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MingLiU"/>
          <w:b/>
          <w:kern w:val="0"/>
          <w:sz w:val="44"/>
          <w:szCs w:val="44"/>
          <w:highlight w:val="none"/>
        </w:rPr>
      </w:pPr>
    </w:p>
    <w:p>
      <w:pPr>
        <w:spacing w:line="600" w:lineRule="exact"/>
        <w:jc w:val="center"/>
        <w:rPr>
          <w:rFonts w:hint="eastAsia" w:ascii="宋体" w:hAnsi="宋体" w:cs="MingLiU"/>
          <w:b/>
          <w:kern w:val="0"/>
          <w:sz w:val="36"/>
          <w:szCs w:val="36"/>
          <w:highlight w:val="none"/>
        </w:rPr>
      </w:pPr>
      <w:r>
        <w:rPr>
          <w:rFonts w:hint="eastAsia" w:ascii="宋体" w:hAnsi="宋体" w:cs="MingLiU"/>
          <w:b/>
          <w:kern w:val="0"/>
          <w:sz w:val="36"/>
          <w:szCs w:val="36"/>
          <w:highlight w:val="none"/>
        </w:rPr>
        <w:t>河南省疾病预防控制中心健康教育和传播系列工作项目</w:t>
      </w:r>
    </w:p>
    <w:p>
      <w:pPr>
        <w:spacing w:line="600" w:lineRule="exact"/>
        <w:jc w:val="center"/>
        <w:rPr>
          <w:rFonts w:ascii="宋体" w:hAnsi="宋体" w:cs="MingLiU"/>
          <w:b/>
          <w:kern w:val="0"/>
          <w:sz w:val="36"/>
          <w:szCs w:val="36"/>
          <w:highlight w:val="none"/>
        </w:rPr>
      </w:pPr>
      <w:r>
        <w:rPr>
          <w:rFonts w:hint="eastAsia" w:ascii="宋体" w:hAnsi="宋体" w:cs="MingLiU"/>
          <w:b/>
          <w:kern w:val="0"/>
          <w:sz w:val="36"/>
          <w:szCs w:val="36"/>
          <w:highlight w:val="none"/>
          <w:lang w:val="en-US" w:eastAsia="zh-CN"/>
        </w:rPr>
        <w:t>三</w:t>
      </w:r>
      <w:r>
        <w:rPr>
          <w:rFonts w:hint="eastAsia" w:ascii="宋体" w:hAnsi="宋体" w:cs="MingLiU"/>
          <w:b/>
          <w:kern w:val="0"/>
          <w:sz w:val="36"/>
          <w:szCs w:val="36"/>
          <w:highlight w:val="none"/>
          <w:lang w:eastAsia="zh-CN"/>
        </w:rPr>
        <w:t>次</w:t>
      </w:r>
      <w:r>
        <w:rPr>
          <w:rFonts w:hint="eastAsia" w:ascii="宋体" w:hAnsi="宋体" w:cs="MingLiU"/>
          <w:b/>
          <w:kern w:val="0"/>
          <w:sz w:val="36"/>
          <w:szCs w:val="36"/>
          <w:highlight w:val="none"/>
        </w:rPr>
        <w:t>（包2） </w:t>
      </w:r>
    </w:p>
    <w:p>
      <w:pPr>
        <w:pStyle w:val="2"/>
        <w:rPr>
          <w:highlight w:val="none"/>
        </w:rPr>
      </w:pPr>
    </w:p>
    <w:p>
      <w:pPr>
        <w:spacing w:line="600" w:lineRule="exact"/>
        <w:ind w:firstLine="1438" w:firstLineChars="398"/>
        <w:rPr>
          <w:rFonts w:ascii="宋体" w:hAnsi="宋体"/>
          <w:b/>
          <w:sz w:val="36"/>
          <w:highlight w:val="none"/>
        </w:rPr>
      </w:pPr>
    </w:p>
    <w:p>
      <w:pPr>
        <w:pStyle w:val="40"/>
        <w:ind w:firstLine="210"/>
        <w:rPr>
          <w:highlight w:val="none"/>
        </w:rPr>
      </w:pPr>
    </w:p>
    <w:p>
      <w:pPr>
        <w:jc w:val="center"/>
        <w:rPr>
          <w:rFonts w:ascii="宋体" w:hAnsi="宋体"/>
          <w:b/>
          <w:sz w:val="110"/>
          <w:szCs w:val="110"/>
          <w:highlight w:val="none"/>
        </w:rPr>
      </w:pPr>
      <w:r>
        <w:rPr>
          <w:rFonts w:hint="eastAsia" w:ascii="宋体" w:hAnsi="宋体"/>
          <w:b/>
          <w:sz w:val="110"/>
          <w:szCs w:val="110"/>
          <w:highlight w:val="none"/>
        </w:rPr>
        <w:t>竞争性磋商文件</w:t>
      </w:r>
    </w:p>
    <w:p>
      <w:pPr>
        <w:spacing w:line="380" w:lineRule="exact"/>
        <w:jc w:val="center"/>
        <w:rPr>
          <w:rFonts w:ascii="宋体" w:hAnsi="宋体"/>
          <w:b/>
          <w:sz w:val="32"/>
          <w:szCs w:val="32"/>
          <w:highlight w:val="none"/>
        </w:rPr>
      </w:pPr>
      <w:r>
        <w:rPr>
          <w:rFonts w:hint="eastAsia" w:ascii="宋体" w:hAnsi="宋体"/>
          <w:b/>
          <w:sz w:val="32"/>
          <w:szCs w:val="32"/>
          <w:highlight w:val="none"/>
        </w:rPr>
        <w:t>采购编号：豫财磋商采购-2021-392</w:t>
      </w:r>
    </w:p>
    <w:p>
      <w:pPr>
        <w:spacing w:line="1100" w:lineRule="exact"/>
        <w:rPr>
          <w:rFonts w:ascii="宋体" w:hAnsi="宋体"/>
          <w:b/>
          <w:sz w:val="36"/>
          <w:highlight w:val="none"/>
        </w:rPr>
      </w:pPr>
      <w:r>
        <w:rPr>
          <w:rFonts w:hint="eastAsia" w:ascii="黑体" w:hAnsi="黑体" w:eastAsia="黑体"/>
          <w:b/>
          <w:kern w:val="0"/>
          <w:sz w:val="48"/>
          <w:szCs w:val="48"/>
          <w:highlight w:val="none"/>
        </w:rPr>
        <w:drawing>
          <wp:anchor distT="0" distB="0" distL="114300" distR="114300" simplePos="0" relativeHeight="251659264" behindDoc="1" locked="0" layoutInCell="1" allowOverlap="1">
            <wp:simplePos x="0" y="0"/>
            <wp:positionH relativeFrom="column">
              <wp:posOffset>1614170</wp:posOffset>
            </wp:positionH>
            <wp:positionV relativeFrom="paragraph">
              <wp:posOffset>428625</wp:posOffset>
            </wp:positionV>
            <wp:extent cx="2332990" cy="2384425"/>
            <wp:effectExtent l="0" t="0" r="10160" b="15875"/>
            <wp:wrapTight wrapText="bothSides">
              <wp:wrapPolygon>
                <wp:start x="0" y="0"/>
                <wp:lineTo x="0" y="21399"/>
                <wp:lineTo x="21341" y="21399"/>
                <wp:lineTo x="21341" y="0"/>
                <wp:lineTo x="0" y="0"/>
              </wp:wrapPolygon>
            </wp:wrapTight>
            <wp:docPr id="11" name="图片 11" descr="33724a28b2dda6ecca6ce107f9b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3724a28b2dda6ecca6ce107f9b9235"/>
                    <pic:cNvPicPr>
                      <a:picLocks noChangeAspect="1"/>
                    </pic:cNvPicPr>
                  </pic:nvPicPr>
                  <pic:blipFill>
                    <a:blip r:embed="rId18"/>
                    <a:stretch>
                      <a:fillRect/>
                    </a:stretch>
                  </pic:blipFill>
                  <pic:spPr>
                    <a:xfrm>
                      <a:off x="0" y="0"/>
                      <a:ext cx="2332990" cy="2384425"/>
                    </a:xfrm>
                    <a:prstGeom prst="rect">
                      <a:avLst/>
                    </a:prstGeom>
                  </pic:spPr>
                </pic:pic>
              </a:graphicData>
            </a:graphic>
          </wp:anchor>
        </w:drawing>
      </w:r>
    </w:p>
    <w:p>
      <w:pPr>
        <w:pStyle w:val="41"/>
        <w:rPr>
          <w:highlight w:val="none"/>
        </w:rPr>
      </w:pPr>
    </w:p>
    <w:p>
      <w:pPr>
        <w:spacing w:line="380" w:lineRule="exact"/>
        <w:ind w:right="-229" w:rightChars="-109" w:firstLine="708" w:firstLineChars="196"/>
        <w:rPr>
          <w:rFonts w:ascii="宋体" w:hAnsi="宋体"/>
          <w:b/>
          <w:sz w:val="36"/>
          <w:szCs w:val="36"/>
          <w:highlight w:val="none"/>
        </w:rPr>
      </w:pPr>
    </w:p>
    <w:p>
      <w:pPr>
        <w:spacing w:line="380" w:lineRule="exact"/>
        <w:ind w:right="-229" w:rightChars="-109" w:firstLine="708" w:firstLineChars="196"/>
        <w:rPr>
          <w:rFonts w:ascii="宋体" w:hAnsi="宋体"/>
          <w:b/>
          <w:sz w:val="36"/>
          <w:szCs w:val="36"/>
          <w:highlight w:val="none"/>
        </w:rPr>
      </w:pPr>
    </w:p>
    <w:p>
      <w:pPr>
        <w:spacing w:line="480" w:lineRule="auto"/>
        <w:ind w:right="-229" w:rightChars="-109" w:firstLine="1272" w:firstLineChars="396"/>
        <w:rPr>
          <w:rFonts w:ascii="宋体" w:hAnsi="宋体"/>
          <w:b/>
          <w:sz w:val="32"/>
          <w:szCs w:val="32"/>
          <w:highlight w:val="none"/>
        </w:rPr>
      </w:pPr>
    </w:p>
    <w:p>
      <w:pPr>
        <w:spacing w:line="480" w:lineRule="auto"/>
        <w:ind w:right="-229" w:rightChars="-109" w:firstLine="1272" w:firstLineChars="396"/>
        <w:rPr>
          <w:rFonts w:ascii="宋体" w:hAnsi="宋体"/>
          <w:b/>
          <w:sz w:val="32"/>
          <w:szCs w:val="32"/>
          <w:highlight w:val="none"/>
        </w:rPr>
      </w:pPr>
    </w:p>
    <w:p>
      <w:pPr>
        <w:spacing w:line="480" w:lineRule="auto"/>
        <w:ind w:right="-229" w:rightChars="-109" w:firstLine="1272" w:firstLineChars="396"/>
        <w:rPr>
          <w:rFonts w:ascii="宋体" w:hAnsi="宋体"/>
          <w:b/>
          <w:sz w:val="32"/>
          <w:szCs w:val="32"/>
          <w:highlight w:val="none"/>
        </w:rPr>
      </w:pPr>
    </w:p>
    <w:p>
      <w:pPr>
        <w:spacing w:line="480" w:lineRule="auto"/>
        <w:ind w:right="-229" w:rightChars="-109" w:firstLine="1272" w:firstLineChars="396"/>
        <w:rPr>
          <w:rFonts w:ascii="宋体" w:hAnsi="宋体"/>
          <w:b/>
          <w:sz w:val="32"/>
          <w:szCs w:val="32"/>
          <w:highlight w:val="none"/>
        </w:rPr>
      </w:pPr>
    </w:p>
    <w:p>
      <w:pPr>
        <w:spacing w:line="480" w:lineRule="auto"/>
        <w:ind w:right="-229" w:rightChars="-109" w:firstLine="1272" w:firstLineChars="396"/>
        <w:rPr>
          <w:rFonts w:ascii="宋体" w:hAnsi="宋体"/>
          <w:b/>
          <w:sz w:val="32"/>
          <w:szCs w:val="32"/>
          <w:highlight w:val="none"/>
        </w:rPr>
      </w:pPr>
    </w:p>
    <w:p>
      <w:pPr>
        <w:pStyle w:val="2"/>
        <w:rPr>
          <w:highlight w:val="none"/>
        </w:rPr>
      </w:pPr>
    </w:p>
    <w:p>
      <w:pPr>
        <w:spacing w:line="360" w:lineRule="auto"/>
        <w:ind w:left="1260" w:leftChars="600" w:firstLine="313" w:firstLineChars="98"/>
        <w:jc w:val="left"/>
        <w:rPr>
          <w:rFonts w:asciiTheme="minorEastAsia" w:hAnsiTheme="minorEastAsia" w:eastAsiaTheme="minorEastAsia" w:cstheme="minorEastAsia"/>
          <w:sz w:val="32"/>
          <w:highlight w:val="none"/>
        </w:rPr>
      </w:pPr>
      <w:r>
        <w:rPr>
          <w:rFonts w:hint="eastAsia" w:asciiTheme="minorEastAsia" w:hAnsiTheme="minorEastAsia" w:eastAsiaTheme="minorEastAsia" w:cstheme="minorEastAsia"/>
          <w:sz w:val="32"/>
          <w:highlight w:val="none"/>
        </w:rPr>
        <w:t>采 购 人：</w:t>
      </w:r>
      <w:r>
        <w:rPr>
          <w:rFonts w:hint="eastAsia" w:asciiTheme="minorEastAsia" w:hAnsiTheme="minorEastAsia" w:eastAsiaTheme="minorEastAsia" w:cstheme="minorEastAsia"/>
          <w:sz w:val="32"/>
          <w:highlight w:val="none"/>
          <w:u w:val="single"/>
        </w:rPr>
        <w:t xml:space="preserve"> 河南省疾病预防控制中心 </w:t>
      </w:r>
    </w:p>
    <w:p>
      <w:pPr>
        <w:spacing w:line="360" w:lineRule="auto"/>
        <w:ind w:left="1260" w:leftChars="600" w:firstLine="313" w:firstLineChars="98"/>
        <w:jc w:val="left"/>
        <w:rPr>
          <w:rFonts w:asciiTheme="minorEastAsia" w:hAnsiTheme="minorEastAsia" w:eastAsiaTheme="minorEastAsia" w:cstheme="minorEastAsia"/>
          <w:sz w:val="32"/>
          <w:highlight w:val="none"/>
        </w:rPr>
      </w:pPr>
      <w:r>
        <w:rPr>
          <w:rFonts w:hint="eastAsia" w:asciiTheme="minorEastAsia" w:hAnsiTheme="minorEastAsia" w:eastAsiaTheme="minorEastAsia" w:cstheme="minorEastAsia"/>
          <w:sz w:val="32"/>
          <w:highlight w:val="none"/>
        </w:rPr>
        <w:t>代理机构：</w:t>
      </w:r>
      <w:r>
        <w:rPr>
          <w:rFonts w:hint="eastAsia" w:asciiTheme="minorEastAsia" w:hAnsiTheme="minorEastAsia" w:eastAsiaTheme="minorEastAsia" w:cstheme="minorEastAsia"/>
          <w:sz w:val="32"/>
          <w:highlight w:val="none"/>
          <w:u w:val="single"/>
        </w:rPr>
        <w:t xml:space="preserve"> 百汇项目管理有限公司  </w:t>
      </w:r>
    </w:p>
    <w:p>
      <w:pPr>
        <w:pStyle w:val="2"/>
        <w:spacing w:before="1" w:line="360" w:lineRule="auto"/>
        <w:ind w:firstLine="1600" w:firstLineChars="500"/>
        <w:rPr>
          <w:rFonts w:asciiTheme="minorEastAsia" w:hAnsiTheme="minorEastAsia" w:eastAsiaTheme="minorEastAsia" w:cstheme="minorEastAsia"/>
          <w:sz w:val="32"/>
          <w:highlight w:val="none"/>
        </w:rPr>
        <w:sectPr>
          <w:headerReference r:id="rId5" w:type="first"/>
          <w:headerReference r:id="rId3" w:type="default"/>
          <w:headerReference r:id="rId4" w:type="even"/>
          <w:footerReference r:id="rId6" w:type="even"/>
          <w:endnotePr>
            <w:numFmt w:val="decimal"/>
          </w:endnotePr>
          <w:pgSz w:w="11906" w:h="16838"/>
          <w:pgMar w:top="1417" w:right="1134" w:bottom="1134" w:left="1417" w:header="720" w:footer="567" w:gutter="0"/>
          <w:cols w:space="0" w:num="1"/>
          <w:titlePg/>
        </w:sectPr>
      </w:pPr>
      <w:r>
        <w:rPr>
          <w:rFonts w:hint="eastAsia" w:asciiTheme="minorEastAsia" w:hAnsiTheme="minorEastAsia" w:eastAsiaTheme="minorEastAsia" w:cstheme="minorEastAsia"/>
          <w:sz w:val="32"/>
          <w:highlight w:val="none"/>
        </w:rPr>
        <w:t>日    期：</w:t>
      </w:r>
      <w:r>
        <w:rPr>
          <w:rFonts w:hint="eastAsia" w:asciiTheme="minorEastAsia" w:hAnsiTheme="minorEastAsia" w:eastAsiaTheme="minorEastAsia" w:cstheme="minorEastAsia"/>
          <w:sz w:val="32"/>
          <w:highlight w:val="none"/>
          <w:u w:val="single"/>
        </w:rPr>
        <w:t xml:space="preserve">  二〇二一  </w:t>
      </w:r>
      <w:r>
        <w:rPr>
          <w:rFonts w:hint="eastAsia" w:asciiTheme="minorEastAsia" w:hAnsiTheme="minorEastAsia" w:eastAsiaTheme="minorEastAsia" w:cstheme="minorEastAsia"/>
          <w:sz w:val="32"/>
          <w:highlight w:val="none"/>
        </w:rPr>
        <w:t>年</w:t>
      </w:r>
      <w:r>
        <w:rPr>
          <w:rFonts w:hint="eastAsia" w:asciiTheme="minorEastAsia" w:hAnsiTheme="minorEastAsia" w:eastAsiaTheme="minorEastAsia" w:cstheme="minorEastAsia"/>
          <w:sz w:val="32"/>
          <w:highlight w:val="none"/>
          <w:u w:val="single"/>
          <w:lang w:eastAsia="zh-CN"/>
        </w:rPr>
        <w:t>九</w:t>
      </w:r>
      <w:r>
        <w:rPr>
          <w:rFonts w:hint="eastAsia" w:asciiTheme="minorEastAsia" w:hAnsiTheme="minorEastAsia" w:eastAsiaTheme="minorEastAsia" w:cstheme="minorEastAsia"/>
          <w:sz w:val="32"/>
          <w:highlight w:val="none"/>
        </w:rPr>
        <w:t>月</w:t>
      </w:r>
    </w:p>
    <w:p>
      <w:pPr>
        <w:jc w:val="center"/>
        <w:rPr>
          <w:sz w:val="32"/>
          <w:szCs w:val="32"/>
          <w:highlight w:val="none"/>
        </w:rPr>
      </w:pPr>
      <w:bookmarkStart w:id="0" w:name="_Toc364329280"/>
      <w:r>
        <w:rPr>
          <w:rFonts w:hint="eastAsia" w:cs="宋体"/>
          <w:b/>
          <w:bCs/>
          <w:sz w:val="32"/>
          <w:szCs w:val="32"/>
          <w:highlight w:val="none"/>
        </w:rPr>
        <w:t>特别提示</w:t>
      </w:r>
      <w:bookmarkEnd w:id="0"/>
    </w:p>
    <w:p>
      <w:pPr>
        <w:spacing w:line="440" w:lineRule="exact"/>
        <w:ind w:firstLine="482" w:firstLineChars="200"/>
        <w:rPr>
          <w:rFonts w:ascii="宋体" w:hAnsi="宋体" w:cs="宋体"/>
          <w:b/>
          <w:sz w:val="24"/>
          <w:highlight w:val="none"/>
        </w:rPr>
      </w:pPr>
      <w:r>
        <w:rPr>
          <w:rFonts w:hint="eastAsia" w:ascii="宋体" w:hAnsi="宋体" w:cs="宋体"/>
          <w:b/>
          <w:sz w:val="24"/>
          <w:highlight w:val="none"/>
        </w:rPr>
        <w:t>1、供应商注册</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供应商根据“河南省公共资源交易中心（</w:t>
      </w:r>
      <w:r>
        <w:rPr>
          <w:highlight w:val="none"/>
        </w:rPr>
        <w:fldChar w:fldCharType="begin"/>
      </w:r>
      <w:r>
        <w:rPr>
          <w:highlight w:val="none"/>
        </w:rPr>
        <w:instrText xml:space="preserve"> HYPERLINK "http://www.hnggzy.com）" </w:instrText>
      </w:r>
      <w:r>
        <w:rPr>
          <w:highlight w:val="none"/>
        </w:rPr>
        <w:fldChar w:fldCharType="separate"/>
      </w:r>
      <w:r>
        <w:rPr>
          <w:rFonts w:hint="eastAsia" w:ascii="宋体" w:hAnsi="宋体" w:cs="宋体"/>
          <w:sz w:val="24"/>
          <w:highlight w:val="none"/>
        </w:rPr>
        <w:t>www.hnggzy.com）”网站</w:t>
      </w:r>
      <w:r>
        <w:rPr>
          <w:rFonts w:hint="eastAsia" w:ascii="宋体" w:hAnsi="宋体" w:cs="宋体"/>
          <w:sz w:val="24"/>
          <w:highlight w:val="none"/>
        </w:rPr>
        <w:fldChar w:fldCharType="end"/>
      </w:r>
      <w:r>
        <w:rPr>
          <w:rFonts w:hint="eastAsia" w:ascii="宋体" w:hAnsi="宋体" w:cs="宋体"/>
          <w:sz w:val="24"/>
          <w:highlight w:val="none"/>
        </w:rPr>
        <w:t>中公共服务（办事指南及下载专区）栏目指引，办理CA数字证书，并按要求准备资料进行注册。</w:t>
      </w:r>
    </w:p>
    <w:p>
      <w:pPr>
        <w:spacing w:line="440" w:lineRule="exact"/>
        <w:ind w:firstLine="482" w:firstLineChars="200"/>
        <w:rPr>
          <w:rFonts w:ascii="宋体" w:hAnsi="宋体" w:cs="宋体"/>
          <w:b/>
          <w:sz w:val="24"/>
          <w:highlight w:val="none"/>
        </w:rPr>
      </w:pPr>
      <w:r>
        <w:rPr>
          <w:rFonts w:hint="eastAsia" w:ascii="宋体" w:hAnsi="宋体" w:cs="宋体"/>
          <w:b/>
          <w:sz w:val="24"/>
          <w:highlight w:val="none"/>
        </w:rPr>
        <w:t>2、竞争性磋商响应文件制作</w:t>
      </w:r>
    </w:p>
    <w:p>
      <w:pPr>
        <w:spacing w:line="440" w:lineRule="exact"/>
        <w:ind w:firstLine="482" w:firstLineChars="200"/>
        <w:rPr>
          <w:rFonts w:ascii="宋体" w:hAnsi="宋体" w:cs="宋体"/>
          <w:sz w:val="24"/>
          <w:highlight w:val="none"/>
        </w:rPr>
      </w:pPr>
      <w:r>
        <w:rPr>
          <w:rFonts w:hint="eastAsia" w:ascii="宋体" w:hAnsi="宋体" w:cs="宋体"/>
          <w:b/>
          <w:sz w:val="24"/>
          <w:highlight w:val="none"/>
        </w:rPr>
        <w:t>2.1、</w:t>
      </w:r>
      <w:r>
        <w:rPr>
          <w:rFonts w:hint="eastAsia" w:ascii="宋体" w:hAnsi="宋体" w:cs="宋体"/>
          <w:sz w:val="24"/>
          <w:highlight w:val="none"/>
        </w:rPr>
        <w:t>供应商通过“河南省公共资源交易中心（</w:t>
      </w:r>
      <w:r>
        <w:rPr>
          <w:rFonts w:hint="eastAsia" w:ascii="宋体" w:hAnsi="宋体" w:cs="宋体"/>
          <w:bCs/>
          <w:iCs/>
          <w:sz w:val="24"/>
          <w:highlight w:val="none"/>
        </w:rPr>
        <w:t>www.hnggzy.com</w:t>
      </w:r>
      <w:r>
        <w:rPr>
          <w:rFonts w:hint="eastAsia" w:ascii="宋体" w:hAnsi="宋体" w:cs="宋体"/>
          <w:sz w:val="24"/>
          <w:highlight w:val="none"/>
        </w:rPr>
        <w:t>）”网站公共服务（办事指南及下载专区）：下载“电子标响应性文件制作工具安装包压缩文件下载”等文件。</w:t>
      </w:r>
    </w:p>
    <w:p>
      <w:pPr>
        <w:spacing w:line="440" w:lineRule="exact"/>
        <w:ind w:firstLine="482" w:firstLineChars="200"/>
        <w:rPr>
          <w:rFonts w:ascii="宋体" w:hAnsi="宋体" w:cs="宋体"/>
          <w:sz w:val="24"/>
          <w:highlight w:val="none"/>
        </w:rPr>
      </w:pPr>
      <w:r>
        <w:rPr>
          <w:rFonts w:hint="eastAsia" w:ascii="宋体" w:hAnsi="宋体" w:cs="宋体"/>
          <w:b/>
          <w:sz w:val="24"/>
          <w:highlight w:val="none"/>
        </w:rPr>
        <w:t>2.2、</w:t>
      </w:r>
      <w:r>
        <w:rPr>
          <w:rFonts w:hint="eastAsia" w:ascii="宋体" w:hAnsi="宋体" w:cs="宋体"/>
          <w:sz w:val="24"/>
          <w:highlight w:val="none"/>
        </w:rPr>
        <w:t>供应商凭CA数字证书登录市场主体系统并按网上提示自行下载每个项目所含格式(.hnzf)的竞争性磋商文件。</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a、供应商下载竞争性磋商文件后到河南省公共资源交易中心网站—公共服务—下载专区栏目下载最新版本的响应性文件制作工具安装包，并使用安装后的最新版本响应性文件制作工具制作电子响应性文件。 </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b、竞争性磋商文件格式所要求包含的全部资料应全部制作在响应文件内，严格按照本项目竞争性磋商文件所有格式如实填写（不涉及的内容除外），不应存在漏项或缺项，否则将存在响应文件被拒绝的风险。投标函及报价一览表，须严格按照格式编辑，并作为电子开评标系统上传的依据。 </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c、如供应商的法定代表人或委托代理人未办理 CA 密匙的，供应商须将要求法定代表人或其委托代理人签字或盖章的地方用法定代表人或委托代理人签字或盖章后的扫描图片替换到相应格式中。</w:t>
      </w:r>
    </w:p>
    <w:p>
      <w:pPr>
        <w:tabs>
          <w:tab w:val="left" w:pos="720"/>
        </w:tabs>
        <w:spacing w:line="440" w:lineRule="exact"/>
        <w:ind w:firstLine="482" w:firstLineChars="200"/>
        <w:rPr>
          <w:rFonts w:ascii="宋体" w:hAnsi="宋体" w:cs="宋体"/>
          <w:sz w:val="24"/>
          <w:highlight w:val="none"/>
        </w:rPr>
      </w:pPr>
      <w:r>
        <w:rPr>
          <w:rFonts w:hint="eastAsia" w:ascii="宋体" w:hAnsi="宋体" w:cs="宋体"/>
          <w:b/>
          <w:sz w:val="24"/>
          <w:highlight w:val="none"/>
        </w:rPr>
        <w:t>2.3、</w:t>
      </w:r>
      <w:r>
        <w:rPr>
          <w:rFonts w:hint="eastAsia" w:ascii="宋体" w:hAnsi="宋体" w:cs="宋体"/>
          <w:sz w:val="24"/>
          <w:highlight w:val="none"/>
        </w:rPr>
        <w:t>供应商须在</w:t>
      </w:r>
      <w:r>
        <w:rPr>
          <w:rFonts w:hint="eastAsia" w:ascii="宋体" w:hAnsi="宋体" w:cs="宋体"/>
          <w:kern w:val="0"/>
          <w:sz w:val="24"/>
          <w:highlight w:val="none"/>
          <w:lang w:val="zh-CN"/>
        </w:rPr>
        <w:t>竞争性磋商响应文件递交截止时间</w:t>
      </w:r>
      <w:r>
        <w:rPr>
          <w:rFonts w:hint="eastAsia" w:ascii="宋体" w:hAnsi="宋体" w:cs="宋体"/>
          <w:sz w:val="24"/>
          <w:highlight w:val="none"/>
        </w:rPr>
        <w:t>前制作并递交：</w:t>
      </w:r>
    </w:p>
    <w:p>
      <w:pPr>
        <w:tabs>
          <w:tab w:val="left" w:pos="720"/>
        </w:tabs>
        <w:spacing w:line="440" w:lineRule="exact"/>
        <w:ind w:firstLine="480" w:firstLineChars="200"/>
        <w:rPr>
          <w:rFonts w:ascii="宋体" w:hAnsi="宋体" w:cs="宋体"/>
          <w:sz w:val="24"/>
          <w:highlight w:val="none"/>
        </w:rPr>
      </w:pPr>
      <w:r>
        <w:rPr>
          <w:rFonts w:hint="eastAsia" w:ascii="宋体" w:hAnsi="宋体" w:cs="宋体"/>
          <w:sz w:val="24"/>
          <w:highlight w:val="none"/>
        </w:rPr>
        <w:t>加密的电子竞争性磋商响应文件（*.hntf 格式）,应在竞争性磋商响应文件截止时间前通过“河南省公共资源交易中心（</w:t>
      </w:r>
      <w:r>
        <w:rPr>
          <w:rFonts w:hint="eastAsia" w:ascii="宋体" w:hAnsi="宋体" w:cs="宋体"/>
          <w:bCs/>
          <w:iCs/>
          <w:sz w:val="24"/>
          <w:highlight w:val="none"/>
        </w:rPr>
        <w:t>www.hnggzy.com</w:t>
      </w:r>
      <w:r>
        <w:rPr>
          <w:rFonts w:hint="eastAsia" w:ascii="宋体" w:hAnsi="宋体" w:cs="宋体"/>
          <w:sz w:val="24"/>
          <w:highlight w:val="none"/>
        </w:rPr>
        <w:t>）”电子交易平台内上传。</w:t>
      </w:r>
    </w:p>
    <w:p>
      <w:pPr>
        <w:spacing w:line="440" w:lineRule="exact"/>
        <w:ind w:firstLine="482" w:firstLineChars="200"/>
        <w:rPr>
          <w:rFonts w:ascii="宋体" w:hAnsi="宋体" w:cs="宋体"/>
          <w:sz w:val="24"/>
          <w:highlight w:val="none"/>
        </w:rPr>
      </w:pPr>
      <w:r>
        <w:rPr>
          <w:rFonts w:hint="eastAsia" w:ascii="宋体" w:hAnsi="宋体" w:cs="宋体"/>
          <w:b/>
          <w:kern w:val="0"/>
          <w:sz w:val="24"/>
          <w:highlight w:val="none"/>
          <w:lang w:val="zh-CN"/>
        </w:rPr>
        <w:t>2.4、</w:t>
      </w:r>
      <w:r>
        <w:rPr>
          <w:rFonts w:hint="eastAsia" w:ascii="宋体" w:hAnsi="宋体" w:cs="宋体"/>
          <w:sz w:val="24"/>
          <w:highlight w:val="none"/>
        </w:rPr>
        <w:t>加密的电子竞争性磋商响应文件为“河南省公共资源交易中心（</w:t>
      </w:r>
      <w:r>
        <w:rPr>
          <w:rFonts w:hint="eastAsia" w:ascii="宋体" w:hAnsi="宋体" w:cs="宋体"/>
          <w:bCs/>
          <w:iCs/>
          <w:sz w:val="24"/>
          <w:highlight w:val="none"/>
        </w:rPr>
        <w:t>www.hnggzy.com</w:t>
      </w:r>
      <w:r>
        <w:rPr>
          <w:rFonts w:hint="eastAsia" w:ascii="宋体" w:hAnsi="宋体" w:cs="宋体"/>
          <w:sz w:val="24"/>
          <w:highlight w:val="none"/>
        </w:rPr>
        <w:t>）” 网站提供的“电子标响应性文件制作工具”软件制作生成的加密版竞争性磋商响应文件。</w:t>
      </w:r>
    </w:p>
    <w:p>
      <w:pPr>
        <w:tabs>
          <w:tab w:val="left" w:pos="720"/>
        </w:tabs>
        <w:spacing w:line="440" w:lineRule="exact"/>
        <w:ind w:firstLine="482" w:firstLineChars="200"/>
        <w:rPr>
          <w:rFonts w:hint="eastAsia" w:ascii="宋体" w:hAnsi="宋体" w:cs="宋体"/>
          <w:sz w:val="24"/>
          <w:highlight w:val="none"/>
        </w:rPr>
        <w:sectPr>
          <w:headerReference r:id="rId7" w:type="default"/>
          <w:footerReference r:id="rId8" w:type="default"/>
          <w:footerReference r:id="rId9" w:type="even"/>
          <w:pgSz w:w="11906" w:h="16838"/>
          <w:pgMar w:top="1440" w:right="1800" w:bottom="1440" w:left="1800" w:header="851" w:footer="992" w:gutter="0"/>
          <w:pgNumType w:start="0"/>
          <w:cols w:space="720" w:num="1"/>
          <w:titlePg/>
          <w:docGrid w:type="lines" w:linePitch="312" w:charSpace="0"/>
        </w:sectPr>
      </w:pPr>
      <w:r>
        <w:rPr>
          <w:rFonts w:hint="eastAsia" w:ascii="宋体" w:hAnsi="宋体" w:cs="宋体"/>
          <w:b/>
          <w:sz w:val="24"/>
          <w:highlight w:val="none"/>
        </w:rPr>
        <w:t>2.5、</w:t>
      </w:r>
      <w:r>
        <w:rPr>
          <w:rFonts w:hint="eastAsia" w:ascii="宋体" w:hAnsi="宋体" w:cs="宋体"/>
          <w:sz w:val="24"/>
          <w:highlight w:val="none"/>
        </w:rPr>
        <w:t>竞争性磋商文件格式所要求包含的全部资料应全部制作在竞争性磋商响应文件内，严格按照本项目竞争性磋商文件格式如实填写（不涉及的内容除外），不应存在漏项或缺项，否则将存在竞争性磋商响应文件被拒绝的风险。投标函及</w:t>
      </w:r>
    </w:p>
    <w:p>
      <w:pPr>
        <w:tabs>
          <w:tab w:val="left" w:pos="720"/>
        </w:tabs>
        <w:spacing w:line="440" w:lineRule="exact"/>
        <w:ind w:firstLine="480" w:firstLineChars="200"/>
        <w:rPr>
          <w:rFonts w:ascii="宋体" w:hAnsi="宋体" w:cs="宋体"/>
          <w:sz w:val="24"/>
          <w:highlight w:val="none"/>
        </w:rPr>
      </w:pPr>
      <w:r>
        <w:rPr>
          <w:rFonts w:hint="eastAsia" w:ascii="宋体" w:hAnsi="宋体" w:cs="宋体"/>
          <w:sz w:val="24"/>
          <w:highlight w:val="none"/>
        </w:rPr>
        <w:t>开标一览表，须严格按照格式编辑，并作为电子开评标系统上传的依据。</w:t>
      </w:r>
    </w:p>
    <w:p>
      <w:pPr>
        <w:spacing w:line="440" w:lineRule="exact"/>
        <w:ind w:firstLine="482" w:firstLineChars="200"/>
        <w:rPr>
          <w:rFonts w:ascii="宋体" w:hAnsi="宋体" w:cs="宋体"/>
          <w:sz w:val="24"/>
          <w:highlight w:val="none"/>
        </w:rPr>
      </w:pPr>
      <w:r>
        <w:rPr>
          <w:rFonts w:hint="eastAsia" w:ascii="宋体" w:hAnsi="宋体" w:cs="宋体"/>
          <w:b/>
          <w:sz w:val="24"/>
          <w:highlight w:val="none"/>
        </w:rPr>
        <w:t>2.6、</w:t>
      </w:r>
      <w:r>
        <w:rPr>
          <w:rFonts w:hint="eastAsia" w:ascii="宋体" w:hAnsi="宋体" w:cs="宋体"/>
          <w:sz w:val="24"/>
          <w:highlight w:val="none"/>
        </w:rPr>
        <w:t>竞争性磋商响应文件以外的任何资料采购人和采购代理机构将拒收。</w:t>
      </w:r>
    </w:p>
    <w:p>
      <w:pPr>
        <w:spacing w:line="440" w:lineRule="exact"/>
        <w:ind w:firstLine="482" w:firstLineChars="200"/>
        <w:jc w:val="left"/>
        <w:rPr>
          <w:rFonts w:ascii="宋体" w:hAnsi="宋体" w:cs="宋体"/>
          <w:sz w:val="24"/>
          <w:highlight w:val="none"/>
        </w:rPr>
      </w:pPr>
      <w:r>
        <w:rPr>
          <w:rFonts w:hint="eastAsia" w:ascii="宋体" w:hAnsi="宋体" w:cs="宋体"/>
          <w:b/>
          <w:sz w:val="24"/>
          <w:highlight w:val="none"/>
        </w:rPr>
        <w:t>2.7、</w:t>
      </w:r>
      <w:r>
        <w:rPr>
          <w:rFonts w:hint="eastAsia" w:ascii="宋体" w:hAnsi="宋体" w:cs="宋体"/>
          <w:sz w:val="24"/>
          <w:highlight w:val="none"/>
        </w:rPr>
        <w:t>供应商编辑电子竞争性磋商响应文件时，根据竞争性磋商文件要求用法定代表人CA数字证书和企业CA数字证书进行签章制作；最后一步生成电子竞争性磋商响应文件（*.hntf格式）时，只能用本单位的企业CA数字证书。</w:t>
      </w:r>
    </w:p>
    <w:p>
      <w:pPr>
        <w:tabs>
          <w:tab w:val="left" w:pos="720"/>
        </w:tabs>
        <w:spacing w:line="360" w:lineRule="auto"/>
        <w:ind w:firstLine="482" w:firstLineChars="200"/>
        <w:rPr>
          <w:rFonts w:ascii="宋体"/>
          <w:b/>
          <w:bCs/>
          <w:sz w:val="24"/>
          <w:highlight w:val="none"/>
        </w:rPr>
      </w:pPr>
      <w:r>
        <w:rPr>
          <w:rFonts w:hint="eastAsia" w:ascii="宋体"/>
          <w:b/>
          <w:bCs/>
          <w:sz w:val="24"/>
          <w:highlight w:val="none"/>
        </w:rPr>
        <w:t>备注：供应商制作竞争性磋商响应文件前应通过“河南省公共资源交易中心（www.hnggzy.com）”网站公共服务（办事指南及下载专区）：按照“河南省公共资源交易平台不见面服务系统使用指南”中相关附件要求制作竞争性磋商响应文件。</w:t>
      </w:r>
    </w:p>
    <w:p>
      <w:pPr>
        <w:tabs>
          <w:tab w:val="left" w:pos="720"/>
        </w:tabs>
        <w:spacing w:line="360" w:lineRule="auto"/>
        <w:ind w:firstLine="482" w:firstLineChars="200"/>
        <w:rPr>
          <w:rFonts w:ascii="宋体"/>
          <w:b/>
          <w:bCs/>
          <w:sz w:val="24"/>
          <w:highlight w:val="none"/>
        </w:rPr>
      </w:pPr>
      <w:r>
        <w:rPr>
          <w:rFonts w:hint="eastAsia" w:ascii="宋体"/>
          <w:b/>
          <w:bCs/>
          <w:sz w:val="24"/>
          <w:highlight w:val="none"/>
        </w:rPr>
        <w:t xml:space="preserve">河南省公共资源交易平台不见面服务系统咨询电话：0371-86095903。 </w:t>
      </w:r>
    </w:p>
    <w:p>
      <w:pPr>
        <w:spacing w:line="440" w:lineRule="exact"/>
        <w:ind w:firstLine="496" w:firstLineChars="206"/>
        <w:rPr>
          <w:rFonts w:ascii="宋体" w:hAnsi="宋体" w:cs="宋体"/>
          <w:b/>
          <w:sz w:val="24"/>
          <w:highlight w:val="none"/>
        </w:rPr>
      </w:pPr>
      <w:r>
        <w:rPr>
          <w:rFonts w:hint="eastAsia" w:ascii="宋体" w:hAnsi="宋体" w:cs="宋体"/>
          <w:b/>
          <w:sz w:val="24"/>
          <w:highlight w:val="none"/>
        </w:rPr>
        <w:t>3、澄清与变更</w:t>
      </w:r>
    </w:p>
    <w:p>
      <w:pPr>
        <w:spacing w:line="440" w:lineRule="exact"/>
        <w:ind w:firstLine="494" w:firstLineChars="206"/>
        <w:rPr>
          <w:rFonts w:ascii="宋体" w:hAnsi="宋体" w:cs="宋体"/>
          <w:b/>
          <w:sz w:val="24"/>
          <w:highlight w:val="none"/>
        </w:rPr>
      </w:pPr>
      <w:r>
        <w:rPr>
          <w:rFonts w:hint="eastAsia" w:ascii="宋体" w:hAnsi="宋体" w:cs="宋体"/>
          <w:sz w:val="24"/>
          <w:highlight w:val="none"/>
        </w:rPr>
        <w:t>采购人、代理机构对已发出的竞争性磋商文件进行的澄清、更正或更改，澄清、更正或更改的内容将作为竞争性磋商文件的组成部分。代理机构将通过网站“变更公告”和系统内部“答疑文件”告知供应商，对于各项目中已经成功报名并下载竞争性磋商文件的项目供应商，系统将通过第三方短信群发方式提醒供应商进行查询。各供应商须重新下载最新的竞争性磋商文件和答疑文件，以此编制竞争性磋商响应文件。供应商注册时所留手机联系方式要保持畅通，因联系方式变更而未及时更新系统内联系方式的，将会造成收不到短信。代理机构不承担供应商未收到短信而引起的一切后果和法律责任。</w:t>
      </w:r>
    </w:p>
    <w:p>
      <w:pPr>
        <w:numPr>
          <w:ilvl w:val="0"/>
          <w:numId w:val="3"/>
        </w:numPr>
        <w:spacing w:line="440" w:lineRule="exact"/>
        <w:ind w:firstLine="602" w:firstLineChars="250"/>
        <w:jc w:val="left"/>
        <w:rPr>
          <w:rFonts w:ascii="宋体" w:hAnsi="宋体" w:cs="宋体"/>
          <w:b/>
          <w:sz w:val="24"/>
          <w:highlight w:val="none"/>
        </w:rPr>
      </w:pPr>
      <w:r>
        <w:rPr>
          <w:rFonts w:hint="eastAsia" w:ascii="宋体" w:hAnsi="宋体" w:cs="宋体"/>
          <w:b/>
          <w:sz w:val="24"/>
          <w:highlight w:val="none"/>
        </w:rPr>
        <w:t>因河南省公共资源交易中心平台在开标前具有保密性，供应商在竞争性磋商响应文件递交截止时间前须自行查看项目进展、变更通知、澄清及回复，因供应商未及时查看而造成的后果自负。</w:t>
      </w:r>
    </w:p>
    <w:p>
      <w:pPr>
        <w:numPr>
          <w:ilvl w:val="0"/>
          <w:numId w:val="3"/>
        </w:numPr>
        <w:spacing w:line="440" w:lineRule="exact"/>
        <w:ind w:firstLine="600" w:firstLineChars="250"/>
        <w:rPr>
          <w:rFonts w:ascii="宋体" w:hAnsi="宋体" w:cs="宋体"/>
          <w:b/>
          <w:bCs/>
          <w:sz w:val="24"/>
          <w:highlight w:val="none"/>
        </w:rPr>
      </w:pPr>
      <w:r>
        <w:rPr>
          <w:rFonts w:hint="eastAsia" w:ascii="宋体" w:hAnsi="宋体" w:cs="宋体"/>
          <w:sz w:val="24"/>
          <w:highlight w:val="none"/>
        </w:rPr>
        <w:t>纸质竞争性磋商响应文件无需提供。</w:t>
      </w:r>
      <w:r>
        <w:rPr>
          <w:rFonts w:hint="eastAsia" w:ascii="宋体" w:hAnsi="宋体" w:cs="宋体"/>
          <w:b/>
          <w:bCs/>
          <w:sz w:val="24"/>
          <w:highlight w:val="none"/>
        </w:rPr>
        <w:t>本项目采用远程磋商，供应商应登录系统在规定时间远程解密，无需到达磋商现场。</w:t>
      </w:r>
    </w:p>
    <w:p>
      <w:pPr>
        <w:numPr>
          <w:ilvl w:val="0"/>
          <w:numId w:val="3"/>
        </w:numPr>
        <w:spacing w:line="440" w:lineRule="exact"/>
        <w:ind w:firstLine="602" w:firstLineChars="250"/>
        <w:rPr>
          <w:rFonts w:ascii="宋体" w:hAnsi="宋体" w:cs="宋体"/>
          <w:b/>
          <w:bCs/>
          <w:sz w:val="24"/>
          <w:highlight w:val="none"/>
        </w:rPr>
      </w:pPr>
      <w:r>
        <w:rPr>
          <w:rFonts w:hint="eastAsia" w:ascii="宋体" w:hAnsi="宋体" w:cs="宋体"/>
          <w:b/>
          <w:bCs/>
          <w:sz w:val="24"/>
          <w:highlight w:val="none"/>
        </w:rPr>
        <w:t>若评标环节显示两家及以上供应商的“投标文件制作机器码一致”，响应文件制作机器码一致的，按响应文件无效处理。</w:t>
      </w:r>
    </w:p>
    <w:p>
      <w:pPr>
        <w:numPr>
          <w:ilvl w:val="0"/>
          <w:numId w:val="3"/>
        </w:numPr>
        <w:spacing w:line="440" w:lineRule="exact"/>
        <w:ind w:firstLine="602" w:firstLineChars="250"/>
        <w:rPr>
          <w:rFonts w:ascii="宋体" w:hAnsi="宋体" w:cs="宋体"/>
          <w:b/>
          <w:bCs/>
          <w:sz w:val="24"/>
          <w:highlight w:val="none"/>
        </w:rPr>
      </w:pPr>
      <w:r>
        <w:rPr>
          <w:rFonts w:hint="eastAsia" w:ascii="宋体" w:hAnsi="宋体" w:cs="宋体"/>
          <w:b/>
          <w:bCs/>
          <w:sz w:val="24"/>
          <w:highlight w:val="none"/>
        </w:rPr>
        <w:t>投标保证金：本项目不收取投标保证金，若交易中心系统内开标一览表确需填写，保证金金额可以填写“0”。</w:t>
      </w:r>
    </w:p>
    <w:p>
      <w:pPr>
        <w:spacing w:line="480" w:lineRule="auto"/>
        <w:jc w:val="center"/>
        <w:rPr>
          <w:rFonts w:ascii="宋体" w:hAnsi="宋体"/>
          <w:b/>
          <w:sz w:val="32"/>
          <w:szCs w:val="32"/>
          <w:highlight w:val="none"/>
        </w:rPr>
        <w:sectPr>
          <w:footerReference r:id="rId11" w:type="first"/>
          <w:footerReference r:id="rId10" w:type="default"/>
          <w:pgSz w:w="11906" w:h="16838"/>
          <w:pgMar w:top="1440" w:right="1800" w:bottom="1440" w:left="1800" w:header="851" w:footer="992" w:gutter="0"/>
          <w:pgNumType w:start="0"/>
          <w:cols w:space="720" w:num="1"/>
          <w:titlePg/>
          <w:docGrid w:type="lines" w:linePitch="312" w:charSpace="0"/>
        </w:sectPr>
      </w:pPr>
    </w:p>
    <w:p>
      <w:pPr>
        <w:rPr>
          <w:rFonts w:ascii="宋体" w:hAnsi="宋体"/>
          <w:b/>
          <w:bCs/>
          <w:sz w:val="44"/>
          <w:szCs w:val="44"/>
          <w:highlight w:val="none"/>
        </w:rPr>
      </w:pPr>
    </w:p>
    <w:p>
      <w:pPr>
        <w:jc w:val="center"/>
        <w:rPr>
          <w:rFonts w:ascii="宋体" w:hAnsi="宋体"/>
          <w:b/>
          <w:bCs/>
          <w:sz w:val="32"/>
          <w:szCs w:val="32"/>
          <w:highlight w:val="none"/>
        </w:rPr>
      </w:pPr>
      <w:r>
        <w:rPr>
          <w:rFonts w:hint="eastAsia" w:ascii="宋体" w:hAnsi="宋体"/>
          <w:b/>
          <w:bCs/>
          <w:sz w:val="32"/>
          <w:szCs w:val="32"/>
          <w:highlight w:val="none"/>
        </w:rPr>
        <w:t>目录</w:t>
      </w:r>
      <w:bookmarkStart w:id="1" w:name="_Toc98041600"/>
    </w:p>
    <w:p>
      <w:pPr>
        <w:pStyle w:val="28"/>
        <w:tabs>
          <w:tab w:val="right" w:leader="dot" w:pos="8971"/>
          <w:tab w:val="clear" w:pos="9060"/>
        </w:tabs>
        <w:spacing w:line="240" w:lineRule="auto"/>
        <w:rPr>
          <w:rFonts w:cs="宋体"/>
          <w:sz w:val="28"/>
          <w:szCs w:val="28"/>
          <w:highlight w:val="none"/>
        </w:rPr>
      </w:pPr>
      <w:r>
        <w:rPr>
          <w:rFonts w:hint="eastAsia" w:cs="宋体"/>
          <w:sz w:val="28"/>
          <w:szCs w:val="28"/>
          <w:highlight w:val="none"/>
        </w:rPr>
        <w:fldChar w:fldCharType="begin"/>
      </w:r>
      <w:r>
        <w:rPr>
          <w:rFonts w:hint="eastAsia" w:cs="宋体"/>
          <w:sz w:val="28"/>
          <w:szCs w:val="28"/>
          <w:highlight w:val="none"/>
        </w:rPr>
        <w:instrText xml:space="preserve"> TOC \o "1-3" \h \z \u </w:instrText>
      </w:r>
      <w:r>
        <w:rPr>
          <w:rFonts w:hint="eastAsia" w:cs="宋体"/>
          <w:sz w:val="28"/>
          <w:szCs w:val="28"/>
          <w:highlight w:val="none"/>
        </w:rPr>
        <w:fldChar w:fldCharType="separate"/>
      </w:r>
      <w:r>
        <w:rPr>
          <w:highlight w:val="none"/>
        </w:rPr>
        <w:fldChar w:fldCharType="begin"/>
      </w:r>
      <w:r>
        <w:rPr>
          <w:highlight w:val="none"/>
        </w:rPr>
        <w:instrText xml:space="preserve"> HYPERLINK \l "_Toc755" </w:instrText>
      </w:r>
      <w:r>
        <w:rPr>
          <w:highlight w:val="none"/>
        </w:rPr>
        <w:fldChar w:fldCharType="separate"/>
      </w:r>
      <w:r>
        <w:rPr>
          <w:rFonts w:hint="eastAsia" w:cs="宋体"/>
          <w:sz w:val="28"/>
          <w:szCs w:val="28"/>
          <w:highlight w:val="none"/>
        </w:rPr>
        <w:t>第一章  竞争性磋商公告</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_Toc755 </w:instrText>
      </w:r>
      <w:r>
        <w:rPr>
          <w:rFonts w:hint="eastAsia" w:cs="宋体"/>
          <w:sz w:val="28"/>
          <w:szCs w:val="28"/>
          <w:highlight w:val="none"/>
        </w:rPr>
        <w:fldChar w:fldCharType="separate"/>
      </w:r>
      <w:r>
        <w:rPr>
          <w:rFonts w:hint="eastAsia" w:cs="宋体"/>
          <w:sz w:val="28"/>
          <w:szCs w:val="28"/>
          <w:highlight w:val="none"/>
        </w:rPr>
        <w:t>2</w:t>
      </w:r>
      <w:r>
        <w:rPr>
          <w:rFonts w:hint="eastAsia" w:cs="宋体"/>
          <w:sz w:val="28"/>
          <w:szCs w:val="28"/>
          <w:highlight w:val="none"/>
        </w:rPr>
        <w:fldChar w:fldCharType="end"/>
      </w:r>
      <w:r>
        <w:rPr>
          <w:rFonts w:hint="eastAsia" w:cs="宋体"/>
          <w:sz w:val="28"/>
          <w:szCs w:val="28"/>
          <w:highlight w:val="none"/>
        </w:rPr>
        <w:fldChar w:fldCharType="end"/>
      </w:r>
    </w:p>
    <w:p>
      <w:pPr>
        <w:pStyle w:val="28"/>
        <w:tabs>
          <w:tab w:val="right" w:leader="dot" w:pos="8971"/>
          <w:tab w:val="clear" w:pos="9060"/>
        </w:tabs>
        <w:spacing w:line="240" w:lineRule="auto"/>
        <w:rPr>
          <w:rFonts w:cs="宋体"/>
          <w:sz w:val="28"/>
          <w:szCs w:val="28"/>
          <w:highlight w:val="none"/>
        </w:rPr>
      </w:pPr>
      <w:r>
        <w:rPr>
          <w:highlight w:val="none"/>
        </w:rPr>
        <w:fldChar w:fldCharType="begin"/>
      </w:r>
      <w:r>
        <w:rPr>
          <w:highlight w:val="none"/>
        </w:rPr>
        <w:instrText xml:space="preserve"> HYPERLINK \l "_Toc4887" </w:instrText>
      </w:r>
      <w:r>
        <w:rPr>
          <w:highlight w:val="none"/>
        </w:rPr>
        <w:fldChar w:fldCharType="separate"/>
      </w:r>
      <w:r>
        <w:rPr>
          <w:rFonts w:hint="eastAsia" w:cs="宋体"/>
          <w:sz w:val="28"/>
          <w:szCs w:val="28"/>
          <w:highlight w:val="none"/>
        </w:rPr>
        <w:t>第二章  供应商须知</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_Toc4887 </w:instrText>
      </w:r>
      <w:r>
        <w:rPr>
          <w:rFonts w:hint="eastAsia" w:cs="宋体"/>
          <w:sz w:val="28"/>
          <w:szCs w:val="28"/>
          <w:highlight w:val="none"/>
        </w:rPr>
        <w:fldChar w:fldCharType="separate"/>
      </w:r>
      <w:r>
        <w:rPr>
          <w:rFonts w:hint="eastAsia" w:cs="宋体"/>
          <w:sz w:val="28"/>
          <w:szCs w:val="28"/>
          <w:highlight w:val="none"/>
        </w:rPr>
        <w:t>6</w:t>
      </w:r>
      <w:r>
        <w:rPr>
          <w:rFonts w:hint="eastAsia" w:cs="宋体"/>
          <w:sz w:val="28"/>
          <w:szCs w:val="28"/>
          <w:highlight w:val="none"/>
        </w:rPr>
        <w:fldChar w:fldCharType="end"/>
      </w:r>
      <w:r>
        <w:rPr>
          <w:rFonts w:hint="eastAsia"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"_Toc8823" </w:instrText>
      </w:r>
      <w:r>
        <w:rPr>
          <w:highlight w:val="none"/>
        </w:rPr>
        <w:fldChar w:fldCharType="separate"/>
      </w:r>
      <w:r>
        <w:rPr>
          <w:rFonts w:hint="eastAsia" w:ascii="宋体" w:hAnsi="宋体" w:cs="宋体"/>
          <w:sz w:val="28"/>
          <w:szCs w:val="28"/>
          <w:highlight w:val="none"/>
        </w:rPr>
        <w:t>一、供应商须知前附表</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_Toc8823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"_Toc23842" </w:instrText>
      </w:r>
      <w:r>
        <w:rPr>
          <w:highlight w:val="none"/>
        </w:rPr>
        <w:fldChar w:fldCharType="separate"/>
      </w:r>
      <w:r>
        <w:rPr>
          <w:rFonts w:hint="eastAsia" w:ascii="宋体" w:hAnsi="宋体" w:cs="宋体"/>
          <w:sz w:val="28"/>
          <w:szCs w:val="28"/>
          <w:highlight w:val="none"/>
        </w:rPr>
        <w:t>二、供应商须知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_Toc23842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"_Toc14896" </w:instrText>
      </w:r>
      <w:r>
        <w:rPr>
          <w:highlight w:val="none"/>
        </w:rPr>
        <w:fldChar w:fldCharType="separate"/>
      </w:r>
      <w:r>
        <w:rPr>
          <w:rFonts w:hint="eastAsia" w:ascii="宋体" w:hAnsi="宋体" w:cs="宋体"/>
          <w:bCs/>
          <w:sz w:val="28"/>
          <w:szCs w:val="28"/>
          <w:highlight w:val="none"/>
        </w:rPr>
        <w:t>三、磋商响应文件的编写</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_Toc14896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"_Toc25993" </w:instrText>
      </w:r>
      <w:r>
        <w:rPr>
          <w:highlight w:val="none"/>
        </w:rPr>
        <w:fldChar w:fldCharType="separate"/>
      </w:r>
      <w:r>
        <w:rPr>
          <w:rFonts w:hint="eastAsia" w:ascii="宋体" w:hAnsi="宋体" w:cs="宋体"/>
          <w:sz w:val="28"/>
          <w:szCs w:val="28"/>
          <w:highlight w:val="none"/>
        </w:rPr>
        <w:t>四、</w:t>
      </w:r>
      <w:r>
        <w:rPr>
          <w:rFonts w:hint="eastAsia" w:ascii="宋体" w:hAnsi="宋体" w:cs="宋体"/>
          <w:bCs/>
          <w:sz w:val="28"/>
          <w:szCs w:val="28"/>
          <w:highlight w:val="none"/>
        </w:rPr>
        <w:t>磋商响应</w:t>
      </w:r>
      <w:r>
        <w:rPr>
          <w:rFonts w:hint="eastAsia" w:ascii="宋体" w:hAnsi="宋体" w:cs="宋体"/>
          <w:sz w:val="28"/>
          <w:szCs w:val="28"/>
          <w:highlight w:val="none"/>
        </w:rPr>
        <w:t>文件的递交及修改、补充与撤回</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_Toc25993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16</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"_Toc7907" </w:instrText>
      </w:r>
      <w:r>
        <w:rPr>
          <w:highlight w:val="none"/>
        </w:rPr>
        <w:fldChar w:fldCharType="separate"/>
      </w:r>
      <w:r>
        <w:rPr>
          <w:rFonts w:hint="eastAsia" w:ascii="宋体" w:hAnsi="宋体" w:cs="宋体"/>
          <w:sz w:val="28"/>
          <w:szCs w:val="28"/>
          <w:highlight w:val="none"/>
        </w:rPr>
        <w:t>五、磋商小组</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_Toc7907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16</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"_Toc30680" </w:instrText>
      </w:r>
      <w:r>
        <w:rPr>
          <w:highlight w:val="none"/>
        </w:rPr>
        <w:fldChar w:fldCharType="separate"/>
      </w:r>
      <w:r>
        <w:rPr>
          <w:rFonts w:hint="eastAsia" w:ascii="宋体" w:hAnsi="宋体" w:cs="宋体"/>
          <w:sz w:val="28"/>
          <w:szCs w:val="28"/>
          <w:highlight w:val="none"/>
        </w:rPr>
        <w:t>六、磋商会议</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_Toc30680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"_Toc30814" </w:instrText>
      </w:r>
      <w:r>
        <w:rPr>
          <w:highlight w:val="none"/>
        </w:rPr>
        <w:fldChar w:fldCharType="separate"/>
      </w:r>
      <w:r>
        <w:rPr>
          <w:rFonts w:hint="eastAsia" w:ascii="宋体" w:hAnsi="宋体" w:cs="宋体"/>
          <w:sz w:val="28"/>
          <w:szCs w:val="28"/>
          <w:highlight w:val="none"/>
        </w:rPr>
        <w:t>七、磋商和评审</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_Toc30814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"_Toc17743" </w:instrText>
      </w:r>
      <w:r>
        <w:rPr>
          <w:highlight w:val="none"/>
        </w:rPr>
        <w:fldChar w:fldCharType="separate"/>
      </w:r>
      <w:r>
        <w:rPr>
          <w:rFonts w:hint="eastAsia" w:ascii="宋体" w:hAnsi="宋体" w:cs="宋体"/>
          <w:sz w:val="28"/>
          <w:szCs w:val="28"/>
          <w:highlight w:val="none"/>
        </w:rPr>
        <w:t>八、评分标准</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_Toc17743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20</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"_Toc24804" </w:instrText>
      </w:r>
      <w:r>
        <w:rPr>
          <w:highlight w:val="none"/>
        </w:rPr>
        <w:fldChar w:fldCharType="separate"/>
      </w:r>
      <w:r>
        <w:rPr>
          <w:rFonts w:hint="eastAsia" w:ascii="宋体" w:hAnsi="宋体" w:cs="宋体"/>
          <w:sz w:val="28"/>
          <w:szCs w:val="28"/>
          <w:highlight w:val="none"/>
        </w:rPr>
        <w:t>九、授予合同</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_Toc24804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"_Toc32030" </w:instrText>
      </w:r>
      <w:r>
        <w:rPr>
          <w:highlight w:val="none"/>
        </w:rPr>
        <w:fldChar w:fldCharType="separate"/>
      </w:r>
      <w:r>
        <w:rPr>
          <w:rFonts w:hint="eastAsia" w:ascii="宋体" w:hAnsi="宋体" w:cs="宋体"/>
          <w:sz w:val="28"/>
          <w:szCs w:val="28"/>
          <w:highlight w:val="none"/>
        </w:rPr>
        <w:t>十、付款方式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_Toc32030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"_Toc14581" </w:instrText>
      </w:r>
      <w:r>
        <w:rPr>
          <w:highlight w:val="none"/>
        </w:rPr>
        <w:fldChar w:fldCharType="separate"/>
      </w:r>
      <w:r>
        <w:rPr>
          <w:rFonts w:hint="eastAsia" w:ascii="宋体" w:hAnsi="宋体" w:cs="宋体"/>
          <w:sz w:val="28"/>
          <w:szCs w:val="28"/>
          <w:highlight w:val="none"/>
        </w:rPr>
        <w:t>十一、解决争议的办法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_Toc14581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8971"/>
          <w:tab w:val="clear" w:pos="9060"/>
        </w:tabs>
        <w:spacing w:line="240" w:lineRule="auto"/>
        <w:rPr>
          <w:rFonts w:cs="宋体"/>
          <w:sz w:val="28"/>
          <w:szCs w:val="28"/>
          <w:highlight w:val="none"/>
        </w:rPr>
      </w:pPr>
      <w:r>
        <w:rPr>
          <w:highlight w:val="none"/>
        </w:rPr>
        <w:fldChar w:fldCharType="begin"/>
      </w:r>
      <w:r>
        <w:rPr>
          <w:highlight w:val="none"/>
        </w:rPr>
        <w:instrText xml:space="preserve"> HYPERLINK \l "_Toc31628" </w:instrText>
      </w:r>
      <w:r>
        <w:rPr>
          <w:highlight w:val="none"/>
        </w:rPr>
        <w:fldChar w:fldCharType="separate"/>
      </w:r>
      <w:r>
        <w:rPr>
          <w:rFonts w:hint="eastAsia" w:cs="宋体"/>
          <w:sz w:val="28"/>
          <w:szCs w:val="28"/>
          <w:highlight w:val="none"/>
        </w:rPr>
        <w:t>第三章 合同格式</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_Toc31628 </w:instrText>
      </w:r>
      <w:r>
        <w:rPr>
          <w:rFonts w:hint="eastAsia" w:cs="宋体"/>
          <w:sz w:val="28"/>
          <w:szCs w:val="28"/>
          <w:highlight w:val="none"/>
        </w:rPr>
        <w:fldChar w:fldCharType="separate"/>
      </w:r>
      <w:r>
        <w:rPr>
          <w:rFonts w:hint="eastAsia" w:cs="宋体"/>
          <w:sz w:val="28"/>
          <w:szCs w:val="28"/>
          <w:highlight w:val="none"/>
        </w:rPr>
        <w:t>24</w:t>
      </w:r>
      <w:r>
        <w:rPr>
          <w:rFonts w:hint="eastAsia" w:cs="宋体"/>
          <w:sz w:val="28"/>
          <w:szCs w:val="28"/>
          <w:highlight w:val="none"/>
        </w:rPr>
        <w:fldChar w:fldCharType="end"/>
      </w:r>
      <w:r>
        <w:rPr>
          <w:rFonts w:hint="eastAsia" w:cs="宋体"/>
          <w:sz w:val="28"/>
          <w:szCs w:val="28"/>
          <w:highlight w:val="none"/>
        </w:rPr>
        <w:fldChar w:fldCharType="end"/>
      </w:r>
    </w:p>
    <w:p>
      <w:pPr>
        <w:pStyle w:val="28"/>
        <w:tabs>
          <w:tab w:val="right" w:leader="dot" w:pos="8971"/>
          <w:tab w:val="clear" w:pos="9060"/>
        </w:tabs>
        <w:spacing w:line="240" w:lineRule="auto"/>
        <w:rPr>
          <w:rFonts w:cs="宋体"/>
          <w:sz w:val="28"/>
          <w:szCs w:val="28"/>
          <w:highlight w:val="none"/>
        </w:rPr>
      </w:pPr>
      <w:r>
        <w:rPr>
          <w:highlight w:val="none"/>
        </w:rPr>
        <w:fldChar w:fldCharType="begin"/>
      </w:r>
      <w:r>
        <w:rPr>
          <w:highlight w:val="none"/>
        </w:rPr>
        <w:instrText xml:space="preserve"> HYPERLINK \l "_Toc27908" </w:instrText>
      </w:r>
      <w:r>
        <w:rPr>
          <w:highlight w:val="none"/>
        </w:rPr>
        <w:fldChar w:fldCharType="separate"/>
      </w:r>
      <w:r>
        <w:rPr>
          <w:rFonts w:hint="eastAsia" w:cs="宋体"/>
          <w:sz w:val="28"/>
          <w:szCs w:val="28"/>
          <w:highlight w:val="none"/>
        </w:rPr>
        <w:t>第四章 采购需求</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_Toc27908 </w:instrText>
      </w:r>
      <w:r>
        <w:rPr>
          <w:rFonts w:hint="eastAsia" w:cs="宋体"/>
          <w:sz w:val="28"/>
          <w:szCs w:val="28"/>
          <w:highlight w:val="none"/>
        </w:rPr>
        <w:fldChar w:fldCharType="separate"/>
      </w:r>
      <w:r>
        <w:rPr>
          <w:rFonts w:hint="eastAsia" w:cs="宋体"/>
          <w:sz w:val="28"/>
          <w:szCs w:val="28"/>
          <w:highlight w:val="none"/>
        </w:rPr>
        <w:t>24</w:t>
      </w:r>
      <w:r>
        <w:rPr>
          <w:rFonts w:hint="eastAsia" w:cs="宋体"/>
          <w:sz w:val="28"/>
          <w:szCs w:val="28"/>
          <w:highlight w:val="none"/>
        </w:rPr>
        <w:fldChar w:fldCharType="end"/>
      </w:r>
      <w:r>
        <w:rPr>
          <w:rFonts w:hint="eastAsia" w:cs="宋体"/>
          <w:sz w:val="28"/>
          <w:szCs w:val="28"/>
          <w:highlight w:val="none"/>
        </w:rPr>
        <w:fldChar w:fldCharType="end"/>
      </w:r>
    </w:p>
    <w:p>
      <w:pPr>
        <w:pStyle w:val="28"/>
        <w:tabs>
          <w:tab w:val="right" w:leader="dot" w:pos="8971"/>
          <w:tab w:val="clear" w:pos="9060"/>
        </w:tabs>
        <w:spacing w:line="240" w:lineRule="auto"/>
        <w:rPr>
          <w:rFonts w:cs="宋体"/>
          <w:sz w:val="28"/>
          <w:szCs w:val="28"/>
          <w:highlight w:val="none"/>
        </w:rPr>
      </w:pPr>
      <w:r>
        <w:rPr>
          <w:highlight w:val="none"/>
        </w:rPr>
        <w:fldChar w:fldCharType="begin"/>
      </w:r>
      <w:r>
        <w:rPr>
          <w:highlight w:val="none"/>
        </w:rPr>
        <w:instrText xml:space="preserve"> HYPERLINK \l "_Toc31348" </w:instrText>
      </w:r>
      <w:r>
        <w:rPr>
          <w:highlight w:val="none"/>
        </w:rPr>
        <w:fldChar w:fldCharType="separate"/>
      </w:r>
      <w:r>
        <w:rPr>
          <w:rFonts w:hint="eastAsia" w:cs="宋体"/>
          <w:sz w:val="28"/>
          <w:szCs w:val="28"/>
          <w:highlight w:val="none"/>
        </w:rPr>
        <w:t>第五章 竞争性磋商响应文件部分格式</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_Toc31348 </w:instrText>
      </w:r>
      <w:r>
        <w:rPr>
          <w:rFonts w:hint="eastAsia" w:cs="宋体"/>
          <w:sz w:val="28"/>
          <w:szCs w:val="28"/>
          <w:highlight w:val="none"/>
        </w:rPr>
        <w:fldChar w:fldCharType="separate"/>
      </w:r>
      <w:r>
        <w:rPr>
          <w:rFonts w:hint="eastAsia" w:cs="宋体"/>
          <w:sz w:val="28"/>
          <w:szCs w:val="28"/>
          <w:highlight w:val="none"/>
        </w:rPr>
        <w:t>26</w:t>
      </w:r>
      <w:r>
        <w:rPr>
          <w:rFonts w:hint="eastAsia" w:cs="宋体"/>
          <w:sz w:val="28"/>
          <w:szCs w:val="28"/>
          <w:highlight w:val="none"/>
        </w:rPr>
        <w:fldChar w:fldCharType="end"/>
      </w:r>
      <w:r>
        <w:rPr>
          <w:rFonts w:hint="eastAsia"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"_Toc15977" </w:instrText>
      </w:r>
      <w:r>
        <w:rPr>
          <w:highlight w:val="none"/>
        </w:rPr>
        <w:fldChar w:fldCharType="separate"/>
      </w:r>
      <w:r>
        <w:rPr>
          <w:rFonts w:hint="eastAsia" w:ascii="宋体" w:hAnsi="宋体" w:cs="宋体"/>
          <w:sz w:val="28"/>
          <w:szCs w:val="28"/>
          <w:highlight w:val="none"/>
        </w:rPr>
        <w:t>一、磋商复函</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_Toc15977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"_Toc19179" </w:instrText>
      </w:r>
      <w:r>
        <w:rPr>
          <w:highlight w:val="none"/>
        </w:rPr>
        <w:fldChar w:fldCharType="separate"/>
      </w:r>
      <w:r>
        <w:rPr>
          <w:rFonts w:hint="eastAsia" w:ascii="宋体" w:hAnsi="宋体" w:cs="宋体"/>
          <w:kern w:val="0"/>
          <w:sz w:val="28"/>
          <w:szCs w:val="28"/>
          <w:highlight w:val="none"/>
        </w:rPr>
        <w:t>二、竞争性磋商报价表</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_Toc19179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"_Toc1207" </w:instrText>
      </w:r>
      <w:r>
        <w:rPr>
          <w:highlight w:val="none"/>
        </w:rPr>
        <w:fldChar w:fldCharType="separate"/>
      </w:r>
      <w:r>
        <w:rPr>
          <w:rFonts w:hint="eastAsia" w:ascii="宋体" w:hAnsi="宋体" w:cs="宋体"/>
          <w:sz w:val="28"/>
          <w:szCs w:val="28"/>
          <w:highlight w:val="none"/>
        </w:rPr>
        <w:t>三、法定代表人身份证明</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_Toc1207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"_Toc16397" </w:instrText>
      </w:r>
      <w:r>
        <w:rPr>
          <w:highlight w:val="none"/>
        </w:rPr>
        <w:fldChar w:fldCharType="separate"/>
      </w:r>
      <w:r>
        <w:rPr>
          <w:rFonts w:hint="eastAsia" w:ascii="宋体" w:hAnsi="宋体" w:cs="宋体"/>
          <w:sz w:val="28"/>
          <w:szCs w:val="28"/>
          <w:highlight w:val="none"/>
        </w:rPr>
        <w:t>四、法定代表人授权委托书</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_Toc16397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"_Toc32716" </w:instrText>
      </w:r>
      <w:r>
        <w:rPr>
          <w:highlight w:val="none"/>
        </w:rPr>
        <w:fldChar w:fldCharType="separate"/>
      </w:r>
      <w:r>
        <w:rPr>
          <w:rFonts w:hint="eastAsia" w:ascii="宋体" w:hAnsi="宋体" w:cs="宋体"/>
          <w:sz w:val="28"/>
          <w:szCs w:val="28"/>
          <w:highlight w:val="none"/>
        </w:rPr>
        <w:t>五、资格审查资料</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_Toc32716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"_Toc10107" </w:instrText>
      </w:r>
      <w:r>
        <w:rPr>
          <w:highlight w:val="none"/>
        </w:rPr>
        <w:fldChar w:fldCharType="separate"/>
      </w:r>
      <w:r>
        <w:rPr>
          <w:rFonts w:hint="eastAsia" w:ascii="宋体" w:hAnsi="宋体" w:cs="宋体"/>
          <w:sz w:val="28"/>
          <w:szCs w:val="28"/>
          <w:highlight w:val="none"/>
        </w:rPr>
        <w:t>六、供应商承诺函</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_Toc10107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"_Toc1819" </w:instrText>
      </w:r>
      <w:r>
        <w:rPr>
          <w:highlight w:val="none"/>
        </w:rPr>
        <w:fldChar w:fldCharType="separate"/>
      </w:r>
      <w:r>
        <w:rPr>
          <w:rFonts w:hint="eastAsia" w:ascii="宋体" w:hAnsi="宋体" w:cs="宋体"/>
          <w:sz w:val="28"/>
          <w:szCs w:val="28"/>
          <w:highlight w:val="none"/>
        </w:rPr>
        <w:t>七、商务部分</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_Toc1819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"_Toc487" </w:instrText>
      </w:r>
      <w:r>
        <w:rPr>
          <w:highlight w:val="none"/>
        </w:rPr>
        <w:fldChar w:fldCharType="separate"/>
      </w:r>
      <w:r>
        <w:rPr>
          <w:rFonts w:hint="eastAsia" w:ascii="宋体" w:hAnsi="宋体" w:cs="宋体"/>
          <w:sz w:val="28"/>
          <w:szCs w:val="28"/>
          <w:highlight w:val="none"/>
        </w:rPr>
        <w:t>八、技术部分</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_Toc487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"_Toc11115" </w:instrText>
      </w:r>
      <w:r>
        <w:rPr>
          <w:highlight w:val="none"/>
        </w:rPr>
        <w:fldChar w:fldCharType="separate"/>
      </w:r>
      <w:r>
        <w:rPr>
          <w:rFonts w:hint="eastAsia" w:ascii="宋体" w:hAnsi="宋体" w:cs="宋体"/>
          <w:sz w:val="28"/>
          <w:szCs w:val="28"/>
          <w:highlight w:val="none"/>
        </w:rPr>
        <w:t>九、 售后服务及优惠条件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_Toc11115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"_Toc27733" </w:instrText>
      </w:r>
      <w:r>
        <w:rPr>
          <w:highlight w:val="none"/>
        </w:rPr>
        <w:fldChar w:fldCharType="separate"/>
      </w:r>
      <w:r>
        <w:rPr>
          <w:rFonts w:hint="eastAsia" w:ascii="宋体" w:hAnsi="宋体" w:cs="宋体"/>
          <w:sz w:val="28"/>
          <w:szCs w:val="28"/>
          <w:highlight w:val="none"/>
        </w:rPr>
        <w:t>十、中小微企业声明函</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_Toc27733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46</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"_Toc4009" </w:instrText>
      </w:r>
      <w:r>
        <w:rPr>
          <w:highlight w:val="none"/>
        </w:rPr>
        <w:fldChar w:fldCharType="separate"/>
      </w:r>
      <w:r>
        <w:rPr>
          <w:rFonts w:hint="eastAsia" w:ascii="宋体" w:hAnsi="宋体" w:cs="宋体"/>
          <w:sz w:val="28"/>
          <w:szCs w:val="28"/>
          <w:highlight w:val="none"/>
        </w:rPr>
        <w:t>十一、产品适用政府采购政策情况表</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_Toc4009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"_Toc22567" </w:instrText>
      </w:r>
      <w:r>
        <w:rPr>
          <w:highlight w:val="none"/>
        </w:rPr>
        <w:fldChar w:fldCharType="separate"/>
      </w:r>
      <w:r>
        <w:rPr>
          <w:rFonts w:hint="eastAsia" w:ascii="宋体" w:hAnsi="宋体" w:cs="宋体"/>
          <w:sz w:val="28"/>
          <w:szCs w:val="28"/>
          <w:highlight w:val="none"/>
        </w:rPr>
        <w:t>十二、反商业贿赂承诺书</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_Toc22567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34"/>
        <w:tabs>
          <w:tab w:val="right" w:leader="dot" w:pos="8971"/>
        </w:tabs>
        <w:rPr>
          <w:rFonts w:ascii="宋体" w:hAnsi="宋体" w:cs="宋体"/>
          <w:sz w:val="28"/>
          <w:szCs w:val="28"/>
          <w:highlight w:val="none"/>
        </w:rPr>
      </w:pPr>
      <w:r>
        <w:rPr>
          <w:highlight w:val="none"/>
        </w:rPr>
        <w:fldChar w:fldCharType="begin"/>
      </w:r>
      <w:r>
        <w:rPr>
          <w:highlight w:val="none"/>
        </w:rPr>
        <w:instrText xml:space="preserve"> HYPERLINK \l "_Toc31018" </w:instrText>
      </w:r>
      <w:r>
        <w:rPr>
          <w:highlight w:val="none"/>
        </w:rPr>
        <w:fldChar w:fldCharType="separate"/>
      </w:r>
      <w:r>
        <w:rPr>
          <w:rFonts w:hint="eastAsia" w:ascii="宋体" w:hAnsi="宋体" w:cs="宋体"/>
          <w:sz w:val="28"/>
          <w:szCs w:val="28"/>
          <w:highlight w:val="none"/>
        </w:rPr>
        <w:t>十三、其他资料</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_Toc31018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rPr>
          <w:rFonts w:ascii="宋体" w:hAnsi="宋体"/>
          <w:highlight w:val="none"/>
        </w:rPr>
      </w:pPr>
      <w:r>
        <w:rPr>
          <w:rFonts w:hint="eastAsia" w:ascii="宋体" w:hAnsi="宋体" w:cs="宋体"/>
          <w:sz w:val="28"/>
          <w:szCs w:val="28"/>
          <w:highlight w:val="none"/>
        </w:rPr>
        <w:fldChar w:fldCharType="end"/>
      </w:r>
    </w:p>
    <w:p>
      <w:pPr>
        <w:spacing w:line="360" w:lineRule="auto"/>
        <w:rPr>
          <w:rFonts w:ascii="宋体" w:hAnsi="宋体"/>
          <w:bCs/>
          <w:caps/>
          <w:szCs w:val="21"/>
          <w:highlight w:val="none"/>
        </w:rPr>
      </w:pPr>
    </w:p>
    <w:p>
      <w:pPr>
        <w:pStyle w:val="4"/>
        <w:spacing w:before="0" w:after="0"/>
        <w:rPr>
          <w:rFonts w:ascii="宋体" w:hAnsi="宋体" w:eastAsia="宋体"/>
          <w:kern w:val="2"/>
          <w:szCs w:val="32"/>
          <w:highlight w:val="none"/>
        </w:rPr>
      </w:pPr>
      <w:r>
        <w:rPr>
          <w:rFonts w:ascii="宋体" w:hAnsi="宋体" w:eastAsia="宋体"/>
          <w:highlight w:val="none"/>
        </w:rPr>
        <w:br w:type="page"/>
      </w:r>
      <w:bookmarkStart w:id="2" w:name="_Toc463852807"/>
      <w:bookmarkStart w:id="3" w:name="_Toc755"/>
      <w:r>
        <w:rPr>
          <w:rFonts w:hint="eastAsia" w:ascii="宋体" w:hAnsi="宋体" w:eastAsia="宋体"/>
          <w:kern w:val="2"/>
          <w:highlight w:val="none"/>
        </w:rPr>
        <w:t>第一章  竞争性磋商</w:t>
      </w:r>
      <w:bookmarkEnd w:id="2"/>
      <w:r>
        <w:rPr>
          <w:rFonts w:hint="eastAsia" w:ascii="宋体" w:hAnsi="宋体" w:eastAsia="宋体"/>
          <w:kern w:val="2"/>
          <w:highlight w:val="none"/>
        </w:rPr>
        <w:t>公告</w:t>
      </w:r>
      <w:bookmarkEnd w:id="3"/>
    </w:p>
    <w:p>
      <w:pPr>
        <w:rPr>
          <w:highlight w:val="none"/>
        </w:rPr>
      </w:pPr>
    </w:p>
    <w:p>
      <w:pPr>
        <w:pStyle w:val="4"/>
        <w:spacing w:before="0" w:after="0"/>
        <w:rPr>
          <w:rFonts w:ascii="宋体" w:hAnsi="宋体" w:eastAsia="宋体"/>
          <w:kern w:val="2"/>
          <w:szCs w:val="32"/>
          <w:highlight w:val="none"/>
        </w:rPr>
      </w:pPr>
      <w:r>
        <w:rPr>
          <w:rFonts w:hint="eastAsia" w:ascii="宋体" w:hAnsi="宋体" w:eastAsia="宋体"/>
          <w:kern w:val="2"/>
          <w:highlight w:val="none"/>
        </w:rPr>
        <w:t>河南省疾病预防控制中心健康教育和传播系列工作项目竞争性磋商公告</w:t>
      </w:r>
    </w:p>
    <w:p>
      <w:p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项目概况</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河南省疾病预防控制中心健康教育和传播系列工作项目招标项目的潜在投标人应在《河南省公共资源交易中心网》（www.hnggzyjy.</w:t>
      </w:r>
      <w:r>
        <w:rPr>
          <w:rFonts w:hint="eastAsia" w:ascii="宋体" w:hAnsi="宋体" w:cs="宋体"/>
          <w:szCs w:val="21"/>
          <w:highlight w:val="none"/>
          <w:lang w:val="en-US" w:eastAsia="zh-CN"/>
        </w:rPr>
        <w:t>com</w:t>
      </w:r>
      <w:r>
        <w:rPr>
          <w:rFonts w:hint="eastAsia" w:ascii="宋体" w:hAnsi="宋体" w:cs="宋体"/>
          <w:szCs w:val="21"/>
          <w:highlight w:val="none"/>
        </w:rPr>
        <w:t>）下载获取招标文件，并于 2021年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日09时00分（北京时间）前递交响应文件。</w:t>
      </w:r>
    </w:p>
    <w:p>
      <w:p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一、项目基本情况 </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1、项目编号：豫财磋商采购-2021-392</w:t>
      </w:r>
    </w:p>
    <w:p>
      <w:pPr>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2、项目名称：河南省疾病预防控制中心健康教育和传播系列工作项目</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3、采购方式：竞争性磋商 </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4、预算金额：3370000元 </w:t>
      </w:r>
    </w:p>
    <w:p>
      <w:pPr>
        <w:spacing w:line="420" w:lineRule="exact"/>
        <w:ind w:firstLine="630" w:firstLineChars="300"/>
        <w:rPr>
          <w:rFonts w:ascii="宋体" w:hAnsi="宋体" w:cs="宋体"/>
          <w:szCs w:val="21"/>
          <w:highlight w:val="none"/>
        </w:rPr>
      </w:pPr>
      <w:r>
        <w:rPr>
          <w:rFonts w:hint="eastAsia" w:ascii="宋体" w:hAnsi="宋体" w:cs="宋体"/>
          <w:szCs w:val="21"/>
          <w:highlight w:val="none"/>
        </w:rPr>
        <w:t>最高限价：3370000元</w:t>
      </w:r>
    </w:p>
    <w:tbl>
      <w:tblPr>
        <w:tblStyle w:val="43"/>
        <w:tblW w:w="883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2086"/>
        <w:gridCol w:w="3107"/>
        <w:gridCol w:w="1285"/>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3" w:type="dxa"/>
            <w:vAlign w:val="center"/>
          </w:tcPr>
          <w:p>
            <w:pPr>
              <w:pStyle w:val="2"/>
              <w:jc w:val="center"/>
              <w:rPr>
                <w:rFonts w:ascii="宋体" w:hAnsi="宋体" w:cs="宋体"/>
                <w:highlight w:val="none"/>
              </w:rPr>
            </w:pPr>
            <w:r>
              <w:rPr>
                <w:rFonts w:hint="eastAsia" w:ascii="宋体" w:hAnsi="宋体" w:cs="宋体"/>
                <w:highlight w:val="none"/>
              </w:rPr>
              <w:t>序号</w:t>
            </w:r>
          </w:p>
        </w:tc>
        <w:tc>
          <w:tcPr>
            <w:tcW w:w="2086" w:type="dxa"/>
            <w:vAlign w:val="center"/>
          </w:tcPr>
          <w:p>
            <w:pPr>
              <w:pStyle w:val="2"/>
              <w:jc w:val="center"/>
              <w:rPr>
                <w:rFonts w:ascii="宋体" w:hAnsi="宋体" w:cs="宋体"/>
                <w:highlight w:val="none"/>
              </w:rPr>
            </w:pPr>
            <w:r>
              <w:rPr>
                <w:rFonts w:hint="eastAsia" w:ascii="宋体" w:hAnsi="宋体" w:cs="宋体"/>
                <w:highlight w:val="none"/>
              </w:rPr>
              <w:t>包号</w:t>
            </w:r>
          </w:p>
        </w:tc>
        <w:tc>
          <w:tcPr>
            <w:tcW w:w="3107" w:type="dxa"/>
            <w:vAlign w:val="center"/>
          </w:tcPr>
          <w:p>
            <w:pPr>
              <w:pStyle w:val="2"/>
              <w:jc w:val="center"/>
              <w:rPr>
                <w:rFonts w:ascii="宋体" w:hAnsi="宋体" w:cs="宋体"/>
                <w:highlight w:val="none"/>
              </w:rPr>
            </w:pPr>
            <w:r>
              <w:rPr>
                <w:rFonts w:hint="eastAsia" w:ascii="宋体" w:hAnsi="宋体" w:cs="宋体"/>
                <w:highlight w:val="none"/>
              </w:rPr>
              <w:t>包名称</w:t>
            </w:r>
          </w:p>
        </w:tc>
        <w:tc>
          <w:tcPr>
            <w:tcW w:w="1285" w:type="dxa"/>
            <w:vAlign w:val="center"/>
          </w:tcPr>
          <w:p>
            <w:pPr>
              <w:pStyle w:val="2"/>
              <w:jc w:val="center"/>
              <w:rPr>
                <w:rFonts w:ascii="宋体" w:hAnsi="宋体" w:cs="宋体"/>
                <w:highlight w:val="none"/>
              </w:rPr>
            </w:pPr>
            <w:r>
              <w:rPr>
                <w:rFonts w:hint="eastAsia" w:ascii="宋体" w:hAnsi="宋体" w:cs="宋体"/>
                <w:highlight w:val="none"/>
              </w:rPr>
              <w:t>包预算（元）</w:t>
            </w:r>
          </w:p>
        </w:tc>
        <w:tc>
          <w:tcPr>
            <w:tcW w:w="1787" w:type="dxa"/>
            <w:vAlign w:val="center"/>
          </w:tcPr>
          <w:p>
            <w:pPr>
              <w:pStyle w:val="2"/>
              <w:jc w:val="center"/>
              <w:rPr>
                <w:rFonts w:ascii="宋体" w:hAnsi="宋体" w:cs="宋体"/>
                <w:highlight w:val="none"/>
              </w:rPr>
            </w:pPr>
            <w:r>
              <w:rPr>
                <w:rFonts w:hint="eastAsia" w:ascii="宋体" w:hAnsi="宋体" w:cs="宋体"/>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73" w:type="dxa"/>
            <w:vAlign w:val="center"/>
          </w:tcPr>
          <w:p>
            <w:pPr>
              <w:pStyle w:val="2"/>
              <w:jc w:val="center"/>
              <w:rPr>
                <w:rFonts w:ascii="宋体" w:hAnsi="宋体" w:cs="宋体"/>
                <w:highlight w:val="none"/>
              </w:rPr>
            </w:pPr>
            <w:r>
              <w:rPr>
                <w:rFonts w:hint="eastAsia" w:ascii="宋体" w:hAnsi="宋体" w:cs="宋体"/>
                <w:highlight w:val="none"/>
              </w:rPr>
              <w:t>2</w:t>
            </w:r>
          </w:p>
        </w:tc>
        <w:tc>
          <w:tcPr>
            <w:tcW w:w="2086" w:type="dxa"/>
            <w:vAlign w:val="center"/>
          </w:tcPr>
          <w:p>
            <w:pPr>
              <w:pStyle w:val="2"/>
              <w:jc w:val="center"/>
              <w:rPr>
                <w:rFonts w:hint="eastAsia" w:ascii="宋体" w:hAnsi="宋体" w:eastAsia="宋体" w:cs="宋体"/>
                <w:highlight w:val="none"/>
                <w:lang w:eastAsia="zh-CN"/>
              </w:rPr>
            </w:pPr>
            <w:r>
              <w:rPr>
                <w:rFonts w:ascii="宋体" w:hAnsi="宋体" w:cs="宋体"/>
                <w:highlight w:val="none"/>
              </w:rPr>
              <w:t>豫政采(2)20211224-</w:t>
            </w:r>
            <w:r>
              <w:rPr>
                <w:rFonts w:hint="eastAsia" w:ascii="宋体" w:hAnsi="宋体" w:cs="宋体"/>
                <w:highlight w:val="none"/>
                <w:lang w:val="en-US" w:eastAsia="zh-CN"/>
              </w:rPr>
              <w:t>2</w:t>
            </w:r>
          </w:p>
        </w:tc>
        <w:tc>
          <w:tcPr>
            <w:tcW w:w="3107" w:type="dxa"/>
            <w:vAlign w:val="center"/>
          </w:tcPr>
          <w:p>
            <w:pPr>
              <w:pStyle w:val="2"/>
              <w:jc w:val="center"/>
              <w:rPr>
                <w:rFonts w:ascii="宋体" w:hAnsi="宋体" w:cs="宋体"/>
                <w:highlight w:val="none"/>
              </w:rPr>
            </w:pPr>
            <w:r>
              <w:rPr>
                <w:rFonts w:hint="eastAsia" w:ascii="宋体" w:hAnsi="宋体" w:cs="宋体"/>
                <w:highlight w:val="none"/>
              </w:rPr>
              <w:t>公益广告制作</w:t>
            </w:r>
          </w:p>
        </w:tc>
        <w:tc>
          <w:tcPr>
            <w:tcW w:w="1285" w:type="dxa"/>
            <w:vAlign w:val="center"/>
          </w:tcPr>
          <w:p>
            <w:pPr>
              <w:pStyle w:val="2"/>
              <w:jc w:val="center"/>
              <w:rPr>
                <w:rFonts w:ascii="宋体" w:hAnsi="宋体" w:cs="宋体"/>
                <w:highlight w:val="none"/>
              </w:rPr>
            </w:pPr>
            <w:r>
              <w:rPr>
                <w:rFonts w:hint="eastAsia" w:ascii="宋体" w:hAnsi="宋体" w:cs="宋体"/>
                <w:highlight w:val="none"/>
              </w:rPr>
              <w:t>600000</w:t>
            </w:r>
          </w:p>
        </w:tc>
        <w:tc>
          <w:tcPr>
            <w:tcW w:w="1787" w:type="dxa"/>
            <w:vAlign w:val="center"/>
          </w:tcPr>
          <w:p>
            <w:pPr>
              <w:pStyle w:val="2"/>
              <w:jc w:val="center"/>
              <w:rPr>
                <w:rFonts w:ascii="宋体" w:hAnsi="宋体" w:cs="宋体"/>
                <w:highlight w:val="none"/>
              </w:rPr>
            </w:pPr>
            <w:r>
              <w:rPr>
                <w:rFonts w:hint="eastAsia" w:ascii="宋体" w:hAnsi="宋体" w:cs="宋体"/>
                <w:highlight w:val="none"/>
              </w:rPr>
              <w:t>600000</w:t>
            </w:r>
          </w:p>
        </w:tc>
      </w:tr>
    </w:tbl>
    <w:p>
      <w:pPr>
        <w:widowControl/>
        <w:numPr>
          <w:ilvl w:val="0"/>
          <w:numId w:val="4"/>
        </w:numPr>
        <w:autoSpaceDE w:val="0"/>
        <w:autoSpaceDN w:val="0"/>
        <w:spacing w:line="420" w:lineRule="exact"/>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采购需求（包括但不限于标的的名称、数量、简要技术需求或服务要求等）</w:t>
      </w:r>
    </w:p>
    <w:p>
      <w:pPr>
        <w:rPr>
          <w:rFonts w:ascii="宋体" w:hAnsi="宋体" w:cs="宋体"/>
          <w:b/>
          <w:bCs/>
          <w:color w:val="000000"/>
          <w:kern w:val="0"/>
          <w:szCs w:val="21"/>
          <w:highlight w:val="none"/>
          <w:shd w:val="clear" w:color="auto" w:fill="FFFFFF"/>
        </w:rPr>
      </w:pPr>
      <w:r>
        <w:rPr>
          <w:rFonts w:hint="eastAsia" w:ascii="宋体" w:hAnsi="宋体" w:cs="宋体"/>
          <w:b/>
          <w:bCs/>
          <w:color w:val="000000"/>
          <w:kern w:val="0"/>
          <w:szCs w:val="21"/>
          <w:highlight w:val="none"/>
          <w:shd w:val="clear" w:color="auto" w:fill="FFFFFF"/>
        </w:rPr>
        <w:t>包2：</w:t>
      </w:r>
    </w:p>
    <w:p>
      <w:pPr>
        <w:widowControl/>
        <w:autoSpaceDE w:val="0"/>
        <w:autoSpaceDN w:val="0"/>
        <w:spacing w:line="420" w:lineRule="exact"/>
        <w:ind w:firstLine="420" w:firstLineChars="200"/>
        <w:jc w:val="left"/>
        <w:rPr>
          <w:rFonts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采购内容：公益广告制作，制作完成后安排在河南电视台播出，具体内容详见采购需求；</w:t>
      </w:r>
    </w:p>
    <w:p>
      <w:pPr>
        <w:widowControl/>
        <w:autoSpaceDE w:val="0"/>
        <w:autoSpaceDN w:val="0"/>
        <w:spacing w:line="420" w:lineRule="exact"/>
        <w:ind w:firstLine="420" w:firstLineChars="200"/>
        <w:jc w:val="left"/>
        <w:rPr>
          <w:rFonts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服务期：合同签订后60日历天内完成制作并播出；</w:t>
      </w:r>
    </w:p>
    <w:p>
      <w:pPr>
        <w:widowControl/>
        <w:autoSpaceDE w:val="0"/>
        <w:autoSpaceDN w:val="0"/>
        <w:spacing w:line="420" w:lineRule="exact"/>
        <w:ind w:firstLine="420" w:firstLineChars="200"/>
        <w:jc w:val="left"/>
        <w:rPr>
          <w:rFonts w:ascii="宋体" w:hAnsi="宋体" w:cs="宋体"/>
          <w:kern w:val="0"/>
          <w:szCs w:val="21"/>
          <w:highlight w:val="none"/>
          <w:shd w:val="clear" w:color="auto" w:fill="FFFFFF"/>
        </w:rPr>
      </w:pPr>
      <w:r>
        <w:rPr>
          <w:rFonts w:hint="eastAsia" w:ascii="宋体" w:hAnsi="宋体" w:cs="宋体"/>
          <w:color w:val="000000"/>
          <w:kern w:val="0"/>
          <w:szCs w:val="21"/>
          <w:highlight w:val="none"/>
          <w:shd w:val="clear" w:color="auto" w:fill="FFFFFF"/>
        </w:rPr>
        <w:t>质量要求：符合国家和行业现行规范标准规范，同时广告制作标准要达到河南省级电视台播出标准；</w:t>
      </w:r>
    </w:p>
    <w:p>
      <w:pPr>
        <w:widowControl/>
        <w:autoSpaceDE w:val="0"/>
        <w:autoSpaceDN w:val="0"/>
        <w:spacing w:line="420" w:lineRule="exact"/>
        <w:ind w:firstLine="420" w:firstLineChars="200"/>
        <w:jc w:val="left"/>
        <w:rPr>
          <w:rFonts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6、合同履行期限：/</w:t>
      </w:r>
    </w:p>
    <w:p>
      <w:pPr>
        <w:widowControl/>
        <w:autoSpaceDE w:val="0"/>
        <w:autoSpaceDN w:val="0"/>
        <w:spacing w:line="420" w:lineRule="exact"/>
        <w:ind w:firstLine="420" w:firstLineChars="200"/>
        <w:jc w:val="left"/>
        <w:rPr>
          <w:rFonts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7、本项目是否接受联合体投标：否</w:t>
      </w:r>
    </w:p>
    <w:p>
      <w:pPr>
        <w:widowControl/>
        <w:autoSpaceDE w:val="0"/>
        <w:autoSpaceDN w:val="0"/>
        <w:spacing w:line="420" w:lineRule="exact"/>
        <w:ind w:firstLine="420" w:firstLineChars="200"/>
        <w:jc w:val="left"/>
        <w:rPr>
          <w:rFonts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8、是否接受进口产品：否</w:t>
      </w:r>
    </w:p>
    <w:p>
      <w:p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二、申请人资格要求：</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2、落实政府采购政策满足的资格要求：</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本项目落实促进中小微企业、监狱企业、残疾人福利性企业发展等相关政府采购政策； </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3、本项目的特定资格要求： </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（1）注册于中华人民共和国境内，具有独立承担民事责任能力的法人或其它组织机构【提供有效的营业执照】；</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（2）具有良好的商业信誉和健全的财务会计制度，提供2019年或2020度经审计的财务报告（成立年限不足1年的提供基本户银行出具的资信证明）；</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（4）依法缴纳税收和社会保障资金的相关证明（具有2020年度06月份之后任意1个月的缴纳凭证）；</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（5）供应商提供参加政府采购活动前三年内在经营活动中没有重大违法、违纪行为书面声明；</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（6）资质要求：</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包2：供应商须具备《广播电视节目制作经营许可证》；</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（7）根据《关于在政府采购活动中查询及使用信用记录有关问题的通知》(财库[2016]125号) 和豫财购【2016】15号的规定，对列入失信被执行人、重大税收违法案件当事人名单、政府采购严重违法失信行为记录名单的投标人，拒绝参与本项目政府采购活动；【查询渠道：</w:t>
      </w:r>
      <w:r>
        <w:rPr>
          <w:rFonts w:hint="eastAsia" w:ascii="宋体" w:hAnsi="宋体" w:cs="宋体"/>
          <w:szCs w:val="21"/>
          <w:highlight w:val="none"/>
          <w:lang w:eastAsia="zh-CN"/>
        </w:rPr>
        <w:t>“</w:t>
      </w:r>
      <w:r>
        <w:rPr>
          <w:rFonts w:hint="eastAsia" w:ascii="宋体" w:hAnsi="宋体" w:cs="宋体"/>
          <w:szCs w:val="21"/>
          <w:highlight w:val="none"/>
          <w:lang w:val="en-US" w:eastAsia="zh-CN"/>
        </w:rPr>
        <w:t>中国执行信息公开网</w:t>
      </w:r>
      <w:r>
        <w:rPr>
          <w:rFonts w:hint="eastAsia" w:ascii="宋体" w:hAnsi="宋体" w:cs="宋体"/>
          <w:szCs w:val="21"/>
          <w:highlight w:val="none"/>
          <w:lang w:eastAsia="zh-CN"/>
        </w:rPr>
        <w:t>”（http://zxgk.court.gov.cn/shixin/）、</w:t>
      </w:r>
      <w:r>
        <w:rPr>
          <w:rFonts w:hint="eastAsia" w:ascii="宋体" w:hAnsi="宋体" w:cs="宋体"/>
          <w:szCs w:val="21"/>
          <w:highlight w:val="none"/>
        </w:rPr>
        <w:t>“信用中国”网站（www.creditchina.gov.cn）、中国政府采购网（www.ccgp.gov.cn）</w:t>
      </w:r>
      <w:r>
        <w:rPr>
          <w:rFonts w:hint="eastAsia" w:ascii="宋体" w:hAnsi="宋体" w:cs="宋体"/>
          <w:szCs w:val="21"/>
          <w:highlight w:val="none"/>
          <w:lang w:eastAsia="zh-CN"/>
        </w:rPr>
        <w:t>等相关网站</w:t>
      </w:r>
      <w:r>
        <w:rPr>
          <w:rFonts w:hint="eastAsia" w:ascii="宋体" w:hAnsi="宋体" w:cs="宋体"/>
          <w:szCs w:val="21"/>
          <w:highlight w:val="none"/>
        </w:rPr>
        <w:t>】；</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8）单位负责人为同一人或者存在直接控股、管理关系的不同投标人，不得同时参加同一合同项下的政府采购活动。（提供投标企业在“全国企业信用信息公示系统”中公示的公司信息、股东或投资人信息截图。）</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（9）本项目不接受联合体投标；</w:t>
      </w:r>
    </w:p>
    <w:p>
      <w:p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三、获取采购文件</w:t>
      </w:r>
    </w:p>
    <w:p>
      <w:pPr>
        <w:spacing w:line="420" w:lineRule="exact"/>
        <w:ind w:firstLine="420" w:firstLineChars="200"/>
        <w:rPr>
          <w:rFonts w:ascii="宋体" w:hAnsi="宋体" w:cs="宋体"/>
          <w:bCs/>
          <w:szCs w:val="21"/>
          <w:highlight w:val="none"/>
        </w:rPr>
      </w:pPr>
      <w:r>
        <w:rPr>
          <w:rFonts w:hint="eastAsia" w:ascii="宋体" w:hAnsi="宋体" w:cs="宋体"/>
          <w:bCs/>
          <w:szCs w:val="21"/>
          <w:highlight w:val="none"/>
        </w:rPr>
        <w:t>1、时间：2021年</w:t>
      </w:r>
      <w:r>
        <w:rPr>
          <w:rFonts w:hint="eastAsia" w:ascii="宋体" w:hAnsi="宋体" w:cs="宋体"/>
          <w:bCs/>
          <w:szCs w:val="21"/>
          <w:highlight w:val="none"/>
          <w:lang w:val="en-US" w:eastAsia="zh-CN"/>
        </w:rPr>
        <w:t>9</w:t>
      </w:r>
      <w:r>
        <w:rPr>
          <w:rFonts w:hint="eastAsia" w:ascii="宋体" w:hAnsi="宋体" w:cs="宋体"/>
          <w:bCs/>
          <w:szCs w:val="21"/>
          <w:highlight w:val="none"/>
        </w:rPr>
        <w:t>月</w:t>
      </w:r>
      <w:r>
        <w:rPr>
          <w:rFonts w:hint="eastAsia" w:ascii="宋体" w:hAnsi="宋体" w:cs="宋体"/>
          <w:bCs/>
          <w:szCs w:val="21"/>
          <w:highlight w:val="none"/>
          <w:lang w:val="en-US" w:eastAsia="zh-CN"/>
        </w:rPr>
        <w:t>29</w:t>
      </w:r>
      <w:r>
        <w:rPr>
          <w:rFonts w:hint="eastAsia" w:ascii="宋体" w:hAnsi="宋体" w:cs="宋体"/>
          <w:bCs/>
          <w:szCs w:val="21"/>
          <w:highlight w:val="none"/>
        </w:rPr>
        <w:t>日 至 2021年</w:t>
      </w:r>
      <w:r>
        <w:rPr>
          <w:rFonts w:hint="eastAsia" w:ascii="宋体" w:hAnsi="宋体" w:cs="宋体"/>
          <w:bCs/>
          <w:szCs w:val="21"/>
          <w:highlight w:val="none"/>
          <w:lang w:val="en-US" w:eastAsia="zh-CN"/>
        </w:rPr>
        <w:t>10</w:t>
      </w:r>
      <w:r>
        <w:rPr>
          <w:rFonts w:hint="eastAsia" w:ascii="宋体" w:hAnsi="宋体" w:cs="宋体"/>
          <w:bCs/>
          <w:szCs w:val="21"/>
          <w:highlight w:val="none"/>
        </w:rPr>
        <w:t>月</w:t>
      </w:r>
      <w:r>
        <w:rPr>
          <w:rFonts w:hint="eastAsia" w:ascii="宋体" w:hAnsi="宋体" w:cs="宋体"/>
          <w:bCs/>
          <w:szCs w:val="21"/>
          <w:highlight w:val="none"/>
          <w:lang w:val="en-US" w:eastAsia="zh-CN"/>
        </w:rPr>
        <w:t>13</w:t>
      </w:r>
      <w:r>
        <w:rPr>
          <w:rFonts w:hint="eastAsia" w:ascii="宋体" w:hAnsi="宋体" w:cs="宋体"/>
          <w:bCs/>
          <w:szCs w:val="21"/>
          <w:highlight w:val="none"/>
        </w:rPr>
        <w:t>日，每天上午00:00至12:00，下午12:00至23:59（北京时间，法定节假日除外。）</w:t>
      </w:r>
    </w:p>
    <w:p>
      <w:pPr>
        <w:spacing w:line="420" w:lineRule="exact"/>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2、地点：《河南省公共资源交易中心网》（www.hnggzyjy.c</w:t>
      </w:r>
      <w:r>
        <w:rPr>
          <w:rFonts w:hint="eastAsia" w:ascii="宋体" w:hAnsi="宋体" w:cs="宋体"/>
          <w:bCs/>
          <w:szCs w:val="21"/>
          <w:highlight w:val="none"/>
          <w:lang w:val="en-US" w:eastAsia="zh-CN"/>
        </w:rPr>
        <w:t>om</w:t>
      </w:r>
      <w:r>
        <w:rPr>
          <w:rFonts w:hint="eastAsia" w:ascii="宋体" w:hAnsi="宋体" w:cs="宋体"/>
          <w:bCs/>
          <w:szCs w:val="21"/>
          <w:highlight w:val="none"/>
        </w:rPr>
        <w:t>）下载</w:t>
      </w:r>
      <w:r>
        <w:rPr>
          <w:rFonts w:hint="eastAsia" w:ascii="宋体" w:hAnsi="宋体" w:cs="宋体"/>
          <w:bCs/>
          <w:szCs w:val="21"/>
          <w:highlight w:val="none"/>
          <w:lang w:eastAsia="zh-CN"/>
        </w:rPr>
        <w:t>；</w:t>
      </w:r>
    </w:p>
    <w:p>
      <w:pPr>
        <w:spacing w:line="420" w:lineRule="exact"/>
        <w:ind w:firstLine="420" w:firstLineChars="200"/>
        <w:rPr>
          <w:rFonts w:ascii="宋体" w:hAnsi="宋体" w:cs="宋体"/>
          <w:bCs/>
          <w:szCs w:val="21"/>
          <w:highlight w:val="none"/>
        </w:rPr>
      </w:pPr>
      <w:r>
        <w:rPr>
          <w:rFonts w:hint="eastAsia" w:ascii="宋体" w:hAnsi="宋体" w:cs="宋体"/>
          <w:bCs/>
          <w:szCs w:val="21"/>
          <w:highlight w:val="none"/>
        </w:rPr>
        <w:t>3、方式：供应商凭CA密钥登陆（http://www.hnggzy.com）市场主体系统并按网上提示下载采购文件及资料（详见http://www.hnggzy.com公共服务-办事指南）。市场主体需要完成信息登记及CA数字证书办理，才能通过河南省公共资源交易平台参与交易活动，具体办理事宜请查阅河南省公共资源交易中心网站“办事指南”专区的《河南省公共资源交易平台市场主体信息库登记指南（工程建设、政府采购）》。</w:t>
      </w:r>
    </w:p>
    <w:p>
      <w:pPr>
        <w:spacing w:line="420" w:lineRule="exact"/>
        <w:ind w:firstLine="420" w:firstLineChars="200"/>
        <w:rPr>
          <w:rFonts w:hint="eastAsia" w:ascii="宋体" w:hAnsi="宋体" w:eastAsia="宋体" w:cs="宋体"/>
          <w:sz w:val="24"/>
          <w:highlight w:val="none"/>
          <w:lang w:eastAsia="zh-CN"/>
        </w:rPr>
      </w:pPr>
      <w:r>
        <w:rPr>
          <w:rFonts w:hint="eastAsia" w:ascii="宋体" w:hAnsi="宋体" w:cs="宋体"/>
          <w:bCs/>
          <w:szCs w:val="21"/>
          <w:highlight w:val="none"/>
        </w:rPr>
        <w:t>4、售价：0元</w:t>
      </w:r>
      <w:r>
        <w:rPr>
          <w:rFonts w:hint="eastAsia" w:ascii="宋体" w:hAnsi="宋体" w:cs="宋体"/>
          <w:bCs/>
          <w:szCs w:val="21"/>
          <w:highlight w:val="none"/>
          <w:lang w:eastAsia="zh-CN"/>
        </w:rPr>
        <w:t>。</w:t>
      </w:r>
    </w:p>
    <w:p>
      <w:p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四、响应文件提交</w:t>
      </w:r>
    </w:p>
    <w:p>
      <w:pPr>
        <w:spacing w:line="42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bCs/>
          <w:szCs w:val="21"/>
          <w:highlight w:val="none"/>
        </w:rPr>
        <w:t>时间：2021年</w:t>
      </w:r>
      <w:r>
        <w:rPr>
          <w:rFonts w:hint="eastAsia" w:ascii="宋体" w:hAnsi="宋体" w:cs="宋体"/>
          <w:bCs/>
          <w:szCs w:val="21"/>
          <w:highlight w:val="none"/>
          <w:lang w:val="en-US" w:eastAsia="zh-CN"/>
        </w:rPr>
        <w:t>10</w:t>
      </w:r>
      <w:r>
        <w:rPr>
          <w:rFonts w:hint="eastAsia" w:ascii="宋体" w:hAnsi="宋体" w:cs="宋体"/>
          <w:bCs/>
          <w:szCs w:val="21"/>
          <w:highlight w:val="none"/>
        </w:rPr>
        <w:t>月</w:t>
      </w:r>
      <w:r>
        <w:rPr>
          <w:rFonts w:hint="eastAsia" w:ascii="宋体" w:hAnsi="宋体" w:cs="宋体"/>
          <w:bCs/>
          <w:szCs w:val="21"/>
          <w:highlight w:val="none"/>
          <w:lang w:val="en-US" w:eastAsia="zh-CN"/>
        </w:rPr>
        <w:t>27</w:t>
      </w:r>
      <w:r>
        <w:rPr>
          <w:rFonts w:hint="eastAsia" w:ascii="宋体" w:hAnsi="宋体" w:cs="宋体"/>
          <w:bCs/>
          <w:szCs w:val="21"/>
          <w:highlight w:val="none"/>
        </w:rPr>
        <w:t>日09时00分（北京时间）</w:t>
      </w:r>
      <w:r>
        <w:rPr>
          <w:rFonts w:hint="eastAsia" w:ascii="宋体" w:hAnsi="宋体" w:cs="宋体"/>
          <w:bCs/>
          <w:szCs w:val="21"/>
          <w:highlight w:val="none"/>
          <w:lang w:eastAsia="zh-CN"/>
        </w:rPr>
        <w:t>；</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2.地点：河南省公共资源交易中心交易系统（电子响应文件应于响应文件递交截止时间前在河南省公共资源交易中心交易系统中加密上传成功，逾期采购人将不予受理）。</w:t>
      </w:r>
    </w:p>
    <w:p>
      <w:p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五、响应文件开启</w:t>
      </w:r>
    </w:p>
    <w:p>
      <w:pPr>
        <w:spacing w:line="42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1、时间：2021年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日09时00分</w:t>
      </w:r>
      <w:r>
        <w:rPr>
          <w:rFonts w:hint="eastAsia" w:ascii="宋体" w:hAnsi="宋体" w:cs="宋体"/>
          <w:bCs/>
          <w:szCs w:val="21"/>
          <w:highlight w:val="none"/>
        </w:rPr>
        <w:t>（北京时间）</w:t>
      </w:r>
      <w:r>
        <w:rPr>
          <w:rFonts w:hint="eastAsia" w:ascii="宋体" w:hAnsi="宋体" w:cs="宋体"/>
          <w:bCs/>
          <w:szCs w:val="21"/>
          <w:highlight w:val="none"/>
          <w:lang w:eastAsia="zh-CN"/>
        </w:rPr>
        <w:t>；</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2、地点：河南省公共资源交易中心交易系统；</w:t>
      </w:r>
    </w:p>
    <w:p>
      <w:p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六、发布公告的媒介及招标公告期限：</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本次招标公告在《河南省政府采购网》、《中国招标投标公共服务平台》、《河南省公共资源交易中心网》上发布，公告期限为三个工作日。</w:t>
      </w:r>
    </w:p>
    <w:p>
      <w:pPr>
        <w:numPr>
          <w:ilvl w:val="0"/>
          <w:numId w:val="5"/>
        </w:num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其他补充事宜</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本项目采用“远程不见面”开标方式，远程开标大厅网址为 www.hnggzyjy.</w:t>
      </w:r>
      <w:r>
        <w:rPr>
          <w:rFonts w:hint="eastAsia" w:ascii="宋体" w:hAnsi="宋体" w:cs="宋体"/>
          <w:szCs w:val="21"/>
          <w:highlight w:val="none"/>
          <w:lang w:val="en-US" w:eastAsia="zh-CN"/>
        </w:rPr>
        <w:t>com</w:t>
      </w:r>
      <w:r>
        <w:rPr>
          <w:rFonts w:hint="eastAsia" w:ascii="宋体" w:hAnsi="宋体" w:cs="宋体"/>
          <w:szCs w:val="21"/>
          <w:highlight w:val="none"/>
        </w:rPr>
        <w:t>，投标人无需到河南省公共资源交易中心现场参加开标会议，无需到达现场提交原件资料。投标人应当在开标当天响应文件递交截止时间前，登录远程开标大厅，在线准时参加磋商活动并在规定时间内进行文件解密、答疑澄清、远程报价等。各投标人应在规定时间内对本单位的投标文件解密，因加密电子投标文件未能成功上传或误传而导致的解密失败，投标将被拒绝。</w:t>
      </w:r>
    </w:p>
    <w:p>
      <w:pPr>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rPr>
        <w:t>八、凡对本次招标提出询问，请按照以下方式联系</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1、采购人信息 </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名称：河南省疾病预防控制中心  </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地址：郑州市农业南路 105 号</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联系人：熊老师</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联系方式：0371-68089179</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2、采购代理机构信息（如有） </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名称：百汇项目管理有限公司 </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地址：郑州市心怡路康宁街交叉口亚新广场B座808 </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联系人：袁帅、李姗姗</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联系方式：0371-66662058</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3、项目联系方式 </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项目联系人：袁帅、李姗姗</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联系方式：0371-66662058</w:t>
      </w:r>
    </w:p>
    <w:p>
      <w:pPr>
        <w:jc w:val="right"/>
        <w:rPr>
          <w:rFonts w:ascii="宋体" w:hAnsi="宋体" w:cs="宋体"/>
          <w:sz w:val="24"/>
          <w:highlight w:val="none"/>
        </w:rPr>
      </w:pPr>
    </w:p>
    <w:p>
      <w:pPr>
        <w:jc w:val="right"/>
        <w:rPr>
          <w:rFonts w:ascii="宋体" w:hAnsi="宋体" w:cs="宋体"/>
          <w:sz w:val="24"/>
          <w:highlight w:val="none"/>
        </w:rPr>
      </w:pPr>
    </w:p>
    <w:p>
      <w:pPr>
        <w:pStyle w:val="40"/>
        <w:ind w:firstLine="240"/>
        <w:rPr>
          <w:rFonts w:ascii="宋体" w:hAnsi="宋体" w:cs="宋体"/>
          <w:sz w:val="24"/>
          <w:highlight w:val="none"/>
        </w:rPr>
      </w:pPr>
    </w:p>
    <w:p>
      <w:pPr>
        <w:pStyle w:val="4"/>
        <w:spacing w:before="0" w:after="0"/>
        <w:rPr>
          <w:rFonts w:ascii="宋体" w:hAnsi="宋体" w:eastAsia="宋体"/>
          <w:kern w:val="2"/>
          <w:highlight w:val="none"/>
        </w:rPr>
      </w:pPr>
      <w:r>
        <w:rPr>
          <w:rFonts w:ascii="宋体" w:hAnsi="宋体" w:eastAsia="宋体"/>
          <w:kern w:val="0"/>
          <w:sz w:val="24"/>
          <w:highlight w:val="none"/>
        </w:rPr>
        <w:br w:type="page"/>
      </w:r>
      <w:bookmarkStart w:id="4" w:name="_Toc463852808"/>
      <w:bookmarkStart w:id="5" w:name="_Toc4887"/>
      <w:r>
        <w:rPr>
          <w:rFonts w:hint="eastAsia" w:ascii="宋体" w:hAnsi="宋体" w:eastAsia="宋体"/>
          <w:kern w:val="2"/>
          <w:highlight w:val="none"/>
        </w:rPr>
        <w:t>第二章供应商须知</w:t>
      </w:r>
      <w:bookmarkEnd w:id="1"/>
      <w:bookmarkEnd w:id="4"/>
      <w:bookmarkEnd w:id="5"/>
    </w:p>
    <w:p>
      <w:pPr>
        <w:pStyle w:val="5"/>
        <w:spacing w:line="240" w:lineRule="atLeast"/>
        <w:jc w:val="center"/>
        <w:rPr>
          <w:rFonts w:ascii="宋体" w:hAnsi="宋体" w:eastAsia="宋体"/>
          <w:sz w:val="24"/>
          <w:szCs w:val="24"/>
          <w:highlight w:val="none"/>
        </w:rPr>
      </w:pPr>
      <w:bookmarkStart w:id="6" w:name="_Toc8823"/>
      <w:bookmarkStart w:id="7" w:name="_Toc421861805"/>
      <w:bookmarkStart w:id="8" w:name="_Toc436813419"/>
      <w:bookmarkStart w:id="9" w:name="_Toc4901220"/>
      <w:bookmarkStart w:id="10" w:name="_Toc14626"/>
      <w:bookmarkStart w:id="11" w:name="_Toc6239812"/>
      <w:bookmarkStart w:id="12" w:name="_Toc530142456"/>
      <w:bookmarkStart w:id="13" w:name="_Toc32607"/>
      <w:bookmarkStart w:id="14" w:name="_Toc7625"/>
      <w:bookmarkStart w:id="15" w:name="_Toc21163"/>
      <w:r>
        <w:rPr>
          <w:rFonts w:hint="eastAsia" w:ascii="宋体" w:hAnsi="宋体" w:eastAsia="宋体"/>
          <w:sz w:val="24"/>
          <w:szCs w:val="24"/>
          <w:highlight w:val="none"/>
        </w:rPr>
        <w:t>一、供应商须知前附表</w:t>
      </w:r>
      <w:bookmarkEnd w:id="6"/>
      <w:bookmarkEnd w:id="7"/>
      <w:bookmarkEnd w:id="8"/>
      <w:bookmarkEnd w:id="9"/>
      <w:bookmarkEnd w:id="10"/>
      <w:bookmarkEnd w:id="11"/>
      <w:bookmarkEnd w:id="12"/>
      <w:bookmarkEnd w:id="13"/>
      <w:bookmarkEnd w:id="14"/>
      <w:bookmarkEnd w:id="15"/>
    </w:p>
    <w:tbl>
      <w:tblPr>
        <w:tblStyle w:val="42"/>
        <w:tblW w:w="8579"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39"/>
        <w:gridCol w:w="615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条款号</w:t>
            </w:r>
          </w:p>
        </w:tc>
        <w:tc>
          <w:tcPr>
            <w:tcW w:w="1639" w:type="dxa"/>
            <w:vAlign w:val="center"/>
          </w:tcPr>
          <w:p>
            <w:pPr>
              <w:jc w:val="center"/>
              <w:textAlignment w:val="center"/>
              <w:rPr>
                <w:rFonts w:ascii="宋体" w:hAnsi="宋体"/>
                <w:szCs w:val="21"/>
                <w:highlight w:val="none"/>
              </w:rPr>
            </w:pPr>
            <w:r>
              <w:rPr>
                <w:rFonts w:hint="eastAsia" w:ascii="宋体" w:hAnsi="宋体"/>
                <w:szCs w:val="21"/>
                <w:highlight w:val="none"/>
              </w:rPr>
              <w:t>条 款 名 称</w:t>
            </w:r>
          </w:p>
        </w:tc>
        <w:tc>
          <w:tcPr>
            <w:tcW w:w="6183" w:type="dxa"/>
            <w:gridSpan w:val="2"/>
            <w:vAlign w:val="center"/>
          </w:tcPr>
          <w:p>
            <w:pPr>
              <w:jc w:val="center"/>
              <w:textAlignment w:val="center"/>
              <w:rPr>
                <w:rFonts w:ascii="宋体" w:hAnsi="宋体"/>
                <w:szCs w:val="21"/>
                <w:highlight w:val="none"/>
              </w:rPr>
            </w:pPr>
            <w:r>
              <w:rPr>
                <w:rFonts w:hint="eastAsia" w:ascii="宋体" w:hAnsi="宋体"/>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1</w:t>
            </w:r>
          </w:p>
        </w:tc>
        <w:tc>
          <w:tcPr>
            <w:tcW w:w="1639" w:type="dxa"/>
            <w:vAlign w:val="center"/>
          </w:tcPr>
          <w:p>
            <w:pPr>
              <w:textAlignment w:val="center"/>
              <w:rPr>
                <w:rFonts w:ascii="宋体" w:hAnsi="宋体"/>
                <w:szCs w:val="21"/>
                <w:highlight w:val="none"/>
              </w:rPr>
            </w:pPr>
            <w:r>
              <w:rPr>
                <w:rFonts w:hint="eastAsia" w:ascii="宋体" w:hAnsi="宋体"/>
                <w:szCs w:val="21"/>
                <w:highlight w:val="none"/>
              </w:rPr>
              <w:t>采购人</w:t>
            </w:r>
          </w:p>
        </w:tc>
        <w:tc>
          <w:tcPr>
            <w:tcW w:w="6183" w:type="dxa"/>
            <w:gridSpan w:val="2"/>
            <w:vAlign w:val="center"/>
          </w:tcPr>
          <w:p>
            <w:pPr>
              <w:spacing w:line="360" w:lineRule="auto"/>
              <w:rPr>
                <w:rFonts w:ascii="宋体" w:hAnsi="宋体" w:cs="宋体"/>
                <w:szCs w:val="21"/>
                <w:highlight w:val="none"/>
              </w:rPr>
            </w:pPr>
            <w:r>
              <w:rPr>
                <w:rFonts w:hint="eastAsia" w:ascii="宋体" w:hAnsi="宋体" w:cs="宋体"/>
                <w:szCs w:val="21"/>
                <w:highlight w:val="none"/>
              </w:rPr>
              <w:t xml:space="preserve">采 购 人：河南省疾病预防控制中心 </w:t>
            </w:r>
          </w:p>
          <w:p>
            <w:pPr>
              <w:spacing w:line="360" w:lineRule="auto"/>
              <w:rPr>
                <w:rFonts w:ascii="宋体" w:hAnsi="宋体" w:cs="宋体"/>
                <w:szCs w:val="21"/>
                <w:highlight w:val="none"/>
              </w:rPr>
            </w:pPr>
            <w:r>
              <w:rPr>
                <w:rFonts w:ascii="宋体" w:hAnsi="宋体" w:cs="宋体"/>
                <w:szCs w:val="21"/>
                <w:highlight w:val="none"/>
              </w:rPr>
              <w:t>联 系 人：</w:t>
            </w:r>
            <w:r>
              <w:rPr>
                <w:rFonts w:hint="eastAsia" w:ascii="宋体" w:hAnsi="宋体" w:cs="宋体"/>
                <w:szCs w:val="21"/>
                <w:highlight w:val="none"/>
              </w:rPr>
              <w:t xml:space="preserve">熊老师 </w:t>
            </w:r>
            <w:r>
              <w:rPr>
                <w:rFonts w:ascii="宋体" w:hAnsi="宋体" w:cs="宋体"/>
                <w:szCs w:val="21"/>
                <w:highlight w:val="none"/>
              </w:rPr>
              <w:t> </w:t>
            </w:r>
          </w:p>
          <w:p>
            <w:pPr>
              <w:spacing w:line="360" w:lineRule="auto"/>
              <w:rPr>
                <w:rFonts w:ascii="宋体" w:hAnsi="宋体" w:cs="宋体"/>
                <w:szCs w:val="21"/>
                <w:highlight w:val="none"/>
              </w:rPr>
            </w:pPr>
            <w:r>
              <w:rPr>
                <w:rFonts w:hint="eastAsia" w:ascii="宋体" w:hAnsi="宋体" w:cs="宋体"/>
                <w:szCs w:val="21"/>
                <w:highlight w:val="none"/>
              </w:rPr>
              <w:t>联系电话：0371-68089179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2</w:t>
            </w:r>
          </w:p>
        </w:tc>
        <w:tc>
          <w:tcPr>
            <w:tcW w:w="1639" w:type="dxa"/>
            <w:vAlign w:val="center"/>
          </w:tcPr>
          <w:p>
            <w:pPr>
              <w:textAlignment w:val="center"/>
              <w:rPr>
                <w:rFonts w:ascii="宋体" w:hAnsi="宋体"/>
                <w:szCs w:val="21"/>
                <w:highlight w:val="none"/>
              </w:rPr>
            </w:pPr>
            <w:r>
              <w:rPr>
                <w:rFonts w:hint="eastAsia" w:ascii="宋体" w:hAnsi="宋体"/>
                <w:szCs w:val="21"/>
                <w:highlight w:val="none"/>
              </w:rPr>
              <w:t>代理机构</w:t>
            </w:r>
          </w:p>
        </w:tc>
        <w:tc>
          <w:tcPr>
            <w:tcW w:w="6183" w:type="dxa"/>
            <w:gridSpan w:val="2"/>
            <w:vAlign w:val="center"/>
          </w:tcPr>
          <w:p>
            <w:pPr>
              <w:spacing w:line="360" w:lineRule="auto"/>
              <w:rPr>
                <w:rFonts w:ascii="宋体" w:hAnsi="宋体" w:cs="宋体"/>
                <w:szCs w:val="21"/>
                <w:highlight w:val="none"/>
              </w:rPr>
            </w:pPr>
            <w:r>
              <w:rPr>
                <w:rFonts w:hint="eastAsia" w:ascii="宋体" w:hAnsi="宋体" w:cs="宋体"/>
                <w:szCs w:val="21"/>
                <w:highlight w:val="none"/>
              </w:rPr>
              <w:t xml:space="preserve">采购代理机构：百汇项目管理有限公司 </w:t>
            </w:r>
          </w:p>
          <w:p>
            <w:pPr>
              <w:spacing w:line="360" w:lineRule="auto"/>
              <w:rPr>
                <w:rFonts w:ascii="宋体" w:hAnsi="宋体"/>
                <w:bCs/>
                <w:szCs w:val="21"/>
                <w:highlight w:val="none"/>
              </w:rPr>
            </w:pPr>
            <w:r>
              <w:rPr>
                <w:rFonts w:hint="eastAsia" w:ascii="宋体" w:hAnsi="宋体"/>
                <w:bCs/>
                <w:szCs w:val="21"/>
                <w:highlight w:val="none"/>
              </w:rPr>
              <w:t>联 系 人：</w:t>
            </w:r>
            <w:r>
              <w:rPr>
                <w:rFonts w:hint="eastAsia" w:ascii="宋体" w:hAnsi="宋体" w:cs="宋体"/>
                <w:szCs w:val="21"/>
                <w:highlight w:val="none"/>
              </w:rPr>
              <w:t>袁帅、李姗姗</w:t>
            </w:r>
          </w:p>
          <w:p>
            <w:pPr>
              <w:spacing w:line="360" w:lineRule="auto"/>
              <w:rPr>
                <w:rFonts w:ascii="宋体" w:hAnsi="宋体"/>
                <w:bCs/>
                <w:szCs w:val="21"/>
                <w:highlight w:val="none"/>
              </w:rPr>
            </w:pPr>
            <w:r>
              <w:rPr>
                <w:rFonts w:hint="eastAsia" w:ascii="宋体" w:hAnsi="宋体"/>
                <w:bCs/>
                <w:szCs w:val="21"/>
                <w:highlight w:val="none"/>
              </w:rPr>
              <w:t>联系电话：0371-66662058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3</w:t>
            </w:r>
          </w:p>
        </w:tc>
        <w:tc>
          <w:tcPr>
            <w:tcW w:w="1639" w:type="dxa"/>
            <w:vAlign w:val="center"/>
          </w:tcPr>
          <w:p>
            <w:pPr>
              <w:textAlignment w:val="center"/>
              <w:rPr>
                <w:rFonts w:ascii="宋体" w:hAnsi="宋体" w:cs="华文中宋"/>
                <w:szCs w:val="21"/>
                <w:highlight w:val="none"/>
              </w:rPr>
            </w:pPr>
            <w:r>
              <w:rPr>
                <w:rFonts w:hint="eastAsia" w:ascii="宋体" w:hAnsi="宋体" w:cs="华文中宋"/>
                <w:szCs w:val="21"/>
                <w:highlight w:val="none"/>
              </w:rPr>
              <w:t>项目名称</w:t>
            </w:r>
          </w:p>
        </w:tc>
        <w:tc>
          <w:tcPr>
            <w:tcW w:w="6183" w:type="dxa"/>
            <w:gridSpan w:val="2"/>
            <w:vAlign w:val="center"/>
          </w:tcPr>
          <w:p>
            <w:pPr>
              <w:textAlignment w:val="center"/>
              <w:rPr>
                <w:rFonts w:hint="eastAsia" w:ascii="宋体" w:hAnsi="宋体" w:eastAsia="宋体" w:cs="华文中宋"/>
                <w:szCs w:val="21"/>
                <w:highlight w:val="none"/>
                <w:lang w:eastAsia="zh-CN"/>
              </w:rPr>
            </w:pPr>
            <w:r>
              <w:rPr>
                <w:rFonts w:hint="eastAsia" w:ascii="宋体" w:hAnsi="宋体" w:cs="华文中宋"/>
                <w:szCs w:val="21"/>
                <w:highlight w:val="none"/>
              </w:rPr>
              <w:t>河南省疾病预防控制中心健康教育和传播系列工作项目</w:t>
            </w:r>
            <w:r>
              <w:rPr>
                <w:rFonts w:hint="eastAsia" w:ascii="宋体" w:hAnsi="宋体" w:cs="华文中宋"/>
                <w:szCs w:val="21"/>
                <w:highlight w:val="none"/>
                <w:lang w:eastAsia="zh-CN"/>
              </w:rPr>
              <w:t>（三次）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4</w:t>
            </w:r>
          </w:p>
        </w:tc>
        <w:tc>
          <w:tcPr>
            <w:tcW w:w="1639" w:type="dxa"/>
            <w:vAlign w:val="center"/>
          </w:tcPr>
          <w:p>
            <w:pPr>
              <w:textAlignment w:val="center"/>
              <w:rPr>
                <w:rFonts w:ascii="宋体" w:hAnsi="宋体"/>
                <w:bCs/>
                <w:szCs w:val="21"/>
                <w:highlight w:val="none"/>
              </w:rPr>
            </w:pPr>
            <w:r>
              <w:rPr>
                <w:rFonts w:hint="eastAsia" w:ascii="宋体" w:hAnsi="宋体"/>
                <w:bCs/>
                <w:szCs w:val="21"/>
                <w:highlight w:val="none"/>
              </w:rPr>
              <w:t>项目编号</w:t>
            </w:r>
          </w:p>
        </w:tc>
        <w:tc>
          <w:tcPr>
            <w:tcW w:w="6183" w:type="dxa"/>
            <w:gridSpan w:val="2"/>
            <w:vAlign w:val="center"/>
          </w:tcPr>
          <w:p>
            <w:pPr>
              <w:textAlignment w:val="center"/>
              <w:rPr>
                <w:rFonts w:ascii="宋体" w:hAnsi="宋体" w:cs="华文中宋"/>
                <w:szCs w:val="21"/>
                <w:highlight w:val="none"/>
              </w:rPr>
            </w:pPr>
            <w:r>
              <w:rPr>
                <w:rFonts w:hint="eastAsia" w:ascii="宋体" w:hAnsi="宋体" w:cs="华文中宋"/>
                <w:szCs w:val="21"/>
                <w:highlight w:val="none"/>
              </w:rPr>
              <w:t>豫财磋商采购-2021-392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5</w:t>
            </w:r>
          </w:p>
        </w:tc>
        <w:tc>
          <w:tcPr>
            <w:tcW w:w="1639" w:type="dxa"/>
            <w:vAlign w:val="center"/>
          </w:tcPr>
          <w:p>
            <w:pPr>
              <w:textAlignment w:val="center"/>
              <w:rPr>
                <w:rFonts w:ascii="宋体" w:hAnsi="宋体"/>
                <w:bCs/>
                <w:szCs w:val="21"/>
                <w:highlight w:val="none"/>
              </w:rPr>
            </w:pPr>
            <w:r>
              <w:rPr>
                <w:rFonts w:hint="eastAsia" w:ascii="宋体" w:hAnsi="宋体"/>
                <w:bCs/>
                <w:szCs w:val="21"/>
                <w:highlight w:val="none"/>
              </w:rPr>
              <w:t>磋商内容</w:t>
            </w:r>
          </w:p>
        </w:tc>
        <w:tc>
          <w:tcPr>
            <w:tcW w:w="6183" w:type="dxa"/>
            <w:gridSpan w:val="2"/>
            <w:vAlign w:val="center"/>
          </w:tcPr>
          <w:p>
            <w:pPr>
              <w:textAlignment w:val="center"/>
              <w:rPr>
                <w:rFonts w:ascii="宋体" w:hAnsi="宋体"/>
                <w:bCs/>
                <w:szCs w:val="21"/>
                <w:highlight w:val="none"/>
              </w:rPr>
            </w:pPr>
            <w:r>
              <w:rPr>
                <w:rFonts w:hint="eastAsia" w:ascii="宋体" w:hAnsi="宋体" w:cs="宋体"/>
                <w:szCs w:val="21"/>
                <w:highlight w:val="none"/>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6</w:t>
            </w:r>
          </w:p>
        </w:tc>
        <w:tc>
          <w:tcPr>
            <w:tcW w:w="1639" w:type="dxa"/>
            <w:vAlign w:val="center"/>
          </w:tcPr>
          <w:p>
            <w:pPr>
              <w:textAlignment w:val="center"/>
              <w:rPr>
                <w:rFonts w:ascii="宋体" w:hAnsi="宋体"/>
                <w:bCs/>
                <w:szCs w:val="21"/>
                <w:highlight w:val="none"/>
              </w:rPr>
            </w:pPr>
            <w:r>
              <w:rPr>
                <w:rFonts w:hint="eastAsia" w:ascii="宋体" w:hAnsi="宋体"/>
                <w:bCs/>
                <w:szCs w:val="21"/>
                <w:highlight w:val="none"/>
              </w:rPr>
              <w:t>资金来源</w:t>
            </w:r>
          </w:p>
        </w:tc>
        <w:tc>
          <w:tcPr>
            <w:tcW w:w="6183" w:type="dxa"/>
            <w:gridSpan w:val="2"/>
            <w:vAlign w:val="center"/>
          </w:tcPr>
          <w:p>
            <w:pPr>
              <w:textAlignment w:val="center"/>
              <w:rPr>
                <w:rFonts w:ascii="宋体" w:hAnsi="宋体"/>
                <w:bCs/>
                <w:szCs w:val="21"/>
                <w:highlight w:val="none"/>
              </w:rPr>
            </w:pPr>
            <w:r>
              <w:rPr>
                <w:rFonts w:hint="eastAsia" w:ascii="宋体" w:hAnsi="宋体"/>
                <w:bCs/>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7</w:t>
            </w:r>
          </w:p>
        </w:tc>
        <w:tc>
          <w:tcPr>
            <w:tcW w:w="1639" w:type="dxa"/>
            <w:vAlign w:val="center"/>
          </w:tcPr>
          <w:p>
            <w:pPr>
              <w:textAlignment w:val="center"/>
              <w:rPr>
                <w:rFonts w:ascii="宋体" w:hAnsi="宋体"/>
                <w:bCs/>
                <w:szCs w:val="21"/>
                <w:highlight w:val="none"/>
              </w:rPr>
            </w:pPr>
            <w:r>
              <w:rPr>
                <w:rFonts w:hint="eastAsia" w:ascii="宋体" w:hAnsi="宋体"/>
                <w:bCs/>
                <w:szCs w:val="21"/>
                <w:highlight w:val="none"/>
              </w:rPr>
              <w:t>落实情况</w:t>
            </w:r>
          </w:p>
        </w:tc>
        <w:tc>
          <w:tcPr>
            <w:tcW w:w="6183" w:type="dxa"/>
            <w:gridSpan w:val="2"/>
            <w:vAlign w:val="center"/>
          </w:tcPr>
          <w:p>
            <w:pPr>
              <w:textAlignment w:val="center"/>
              <w:rPr>
                <w:rFonts w:ascii="宋体" w:hAnsi="宋体"/>
                <w:bCs/>
                <w:szCs w:val="21"/>
                <w:highlight w:val="none"/>
              </w:rPr>
            </w:pPr>
            <w:r>
              <w:rPr>
                <w:rFonts w:hint="eastAsia" w:ascii="宋体" w:hAnsi="宋体"/>
                <w:bCs/>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8</w:t>
            </w:r>
          </w:p>
        </w:tc>
        <w:tc>
          <w:tcPr>
            <w:tcW w:w="1639" w:type="dxa"/>
            <w:vAlign w:val="center"/>
          </w:tcPr>
          <w:p>
            <w:pPr>
              <w:textAlignment w:val="center"/>
              <w:rPr>
                <w:rFonts w:ascii="宋体" w:hAnsi="宋体"/>
                <w:bCs/>
                <w:szCs w:val="21"/>
                <w:highlight w:val="none"/>
              </w:rPr>
            </w:pPr>
            <w:r>
              <w:rPr>
                <w:rFonts w:hint="eastAsia" w:ascii="宋体" w:hAnsi="宋体"/>
                <w:bCs/>
                <w:szCs w:val="21"/>
                <w:highlight w:val="none"/>
              </w:rPr>
              <w:t>服务期</w:t>
            </w:r>
          </w:p>
        </w:tc>
        <w:tc>
          <w:tcPr>
            <w:tcW w:w="6183" w:type="dxa"/>
            <w:gridSpan w:val="2"/>
            <w:vAlign w:val="center"/>
          </w:tcPr>
          <w:p>
            <w:pPr>
              <w:textAlignment w:val="center"/>
              <w:rPr>
                <w:rFonts w:ascii="宋体" w:hAnsi="宋体"/>
                <w:bCs/>
                <w:szCs w:val="21"/>
                <w:highlight w:val="none"/>
              </w:rPr>
            </w:pPr>
            <w:r>
              <w:rPr>
                <w:rFonts w:hint="eastAsia" w:ascii="宋体" w:hAnsi="宋体"/>
                <w:bCs/>
                <w:szCs w:val="21"/>
                <w:highlight w:val="none"/>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9</w:t>
            </w:r>
          </w:p>
        </w:tc>
        <w:tc>
          <w:tcPr>
            <w:tcW w:w="1639" w:type="dxa"/>
            <w:vAlign w:val="center"/>
          </w:tcPr>
          <w:p>
            <w:pPr>
              <w:textAlignment w:val="center"/>
              <w:rPr>
                <w:rFonts w:ascii="宋体" w:hAnsi="宋体"/>
                <w:szCs w:val="21"/>
                <w:highlight w:val="none"/>
              </w:rPr>
            </w:pPr>
            <w:r>
              <w:rPr>
                <w:rFonts w:hint="eastAsia" w:ascii="宋体" w:hAnsi="宋体"/>
                <w:szCs w:val="21"/>
                <w:highlight w:val="none"/>
              </w:rPr>
              <w:t>质量要求</w:t>
            </w:r>
          </w:p>
        </w:tc>
        <w:tc>
          <w:tcPr>
            <w:tcW w:w="6183" w:type="dxa"/>
            <w:gridSpan w:val="2"/>
            <w:vAlign w:val="center"/>
          </w:tcPr>
          <w:p>
            <w:pPr>
              <w:textAlignment w:val="center"/>
              <w:rPr>
                <w:rFonts w:ascii="宋体" w:hAnsi="宋体"/>
                <w:szCs w:val="21"/>
                <w:highlight w:val="none"/>
              </w:rPr>
            </w:pPr>
            <w:r>
              <w:rPr>
                <w:rFonts w:hint="eastAsia" w:ascii="宋体" w:hAnsi="宋体"/>
                <w:szCs w:val="21"/>
                <w:highlight w:val="none"/>
              </w:rPr>
              <w:t>详见</w:t>
            </w:r>
            <w:r>
              <w:rPr>
                <w:rFonts w:hint="eastAsia" w:ascii="宋体" w:hAnsi="宋体"/>
                <w:bCs/>
                <w:szCs w:val="21"/>
                <w:highlight w:val="none"/>
              </w:rPr>
              <w:t>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14"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10</w:t>
            </w:r>
          </w:p>
        </w:tc>
        <w:tc>
          <w:tcPr>
            <w:tcW w:w="1639" w:type="dxa"/>
            <w:vAlign w:val="center"/>
          </w:tcPr>
          <w:p>
            <w:pPr>
              <w:textAlignment w:val="center"/>
              <w:rPr>
                <w:rFonts w:ascii="宋体" w:hAnsi="宋体"/>
                <w:bCs/>
                <w:szCs w:val="21"/>
                <w:highlight w:val="none"/>
              </w:rPr>
            </w:pPr>
            <w:r>
              <w:rPr>
                <w:rFonts w:hint="eastAsia" w:ascii="宋体" w:hAnsi="宋体"/>
                <w:bCs/>
                <w:szCs w:val="21"/>
                <w:highlight w:val="none"/>
              </w:rPr>
              <w:t>投标有效期</w:t>
            </w:r>
          </w:p>
        </w:tc>
        <w:tc>
          <w:tcPr>
            <w:tcW w:w="6159" w:type="dxa"/>
            <w:vAlign w:val="center"/>
          </w:tcPr>
          <w:p>
            <w:pPr>
              <w:textAlignment w:val="center"/>
              <w:rPr>
                <w:rFonts w:ascii="宋体" w:hAnsi="宋体"/>
                <w:bCs/>
                <w:szCs w:val="21"/>
                <w:highlight w:val="none"/>
              </w:rPr>
            </w:pPr>
            <w:r>
              <w:rPr>
                <w:rFonts w:hint="eastAsia" w:ascii="宋体" w:hAnsi="宋体"/>
                <w:bCs/>
                <w:szCs w:val="21"/>
                <w:highlight w:val="none"/>
              </w:rPr>
              <w:t>响应文件递交截止之日起60日历天内有效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24"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11</w:t>
            </w:r>
          </w:p>
        </w:tc>
        <w:tc>
          <w:tcPr>
            <w:tcW w:w="1639" w:type="dxa"/>
            <w:vAlign w:val="center"/>
          </w:tcPr>
          <w:p>
            <w:pPr>
              <w:textAlignment w:val="center"/>
              <w:rPr>
                <w:rFonts w:ascii="宋体" w:hAnsi="宋体"/>
                <w:bCs/>
                <w:szCs w:val="21"/>
                <w:highlight w:val="none"/>
              </w:rPr>
            </w:pPr>
            <w:r>
              <w:rPr>
                <w:rFonts w:hint="eastAsia" w:ascii="宋体" w:hAnsi="宋体"/>
                <w:bCs/>
                <w:szCs w:val="21"/>
                <w:highlight w:val="none"/>
              </w:rPr>
              <w:t>采购预算</w:t>
            </w:r>
          </w:p>
        </w:tc>
        <w:tc>
          <w:tcPr>
            <w:tcW w:w="6159" w:type="dxa"/>
            <w:vAlign w:val="center"/>
          </w:tcPr>
          <w:p>
            <w:pPr>
              <w:textAlignment w:val="center"/>
              <w:rPr>
                <w:rFonts w:ascii="宋体" w:hAnsi="宋体"/>
                <w:bCs/>
                <w:szCs w:val="21"/>
                <w:highlight w:val="none"/>
              </w:rPr>
            </w:pPr>
            <w:r>
              <w:rPr>
                <w:rFonts w:hint="eastAsia" w:ascii="宋体" w:hAnsi="宋体"/>
                <w:szCs w:val="21"/>
                <w:highlight w:val="none"/>
              </w:rPr>
              <w:t>详见</w:t>
            </w:r>
            <w:r>
              <w:rPr>
                <w:rFonts w:hint="eastAsia" w:ascii="宋体" w:hAnsi="宋体"/>
                <w:bCs/>
                <w:szCs w:val="21"/>
                <w:highlight w:val="none"/>
              </w:rPr>
              <w:t>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12</w:t>
            </w:r>
          </w:p>
        </w:tc>
        <w:tc>
          <w:tcPr>
            <w:tcW w:w="1639" w:type="dxa"/>
            <w:vAlign w:val="center"/>
          </w:tcPr>
          <w:p>
            <w:pPr>
              <w:snapToGrid w:val="0"/>
              <w:spacing w:line="360" w:lineRule="auto"/>
              <w:rPr>
                <w:rFonts w:ascii="宋体" w:hAnsi="宋体"/>
                <w:bCs/>
                <w:szCs w:val="21"/>
                <w:highlight w:val="none"/>
              </w:rPr>
            </w:pPr>
            <w:r>
              <w:rPr>
                <w:rFonts w:hint="eastAsia" w:ascii="宋体" w:hAnsi="宋体" w:cs="宋体"/>
                <w:szCs w:val="21"/>
                <w:highlight w:val="none"/>
              </w:rPr>
              <w:t>磋商报价及费用</w:t>
            </w:r>
          </w:p>
        </w:tc>
        <w:tc>
          <w:tcPr>
            <w:tcW w:w="6183" w:type="dxa"/>
            <w:gridSpan w:val="2"/>
            <w:vAlign w:val="center"/>
          </w:tcPr>
          <w:p>
            <w:pPr>
              <w:snapToGrid w:val="0"/>
              <w:spacing w:line="360" w:lineRule="auto"/>
              <w:rPr>
                <w:rFonts w:ascii="宋体" w:hAnsi="宋体" w:cs="宋体"/>
                <w:bCs/>
                <w:szCs w:val="21"/>
                <w:highlight w:val="none"/>
              </w:rPr>
            </w:pPr>
            <w:r>
              <w:rPr>
                <w:rFonts w:hint="eastAsia" w:ascii="宋体" w:hAnsi="宋体" w:cs="宋体"/>
                <w:bCs/>
                <w:szCs w:val="21"/>
                <w:highlight w:val="none"/>
              </w:rPr>
              <w:t>1.磋商报价：成交人的投标价在签订合同及合同实施期内不得调整，同时也不因市场价格变动而调整。</w:t>
            </w:r>
          </w:p>
          <w:p>
            <w:pPr>
              <w:snapToGrid w:val="0"/>
              <w:spacing w:line="360" w:lineRule="auto"/>
              <w:rPr>
                <w:rFonts w:ascii="宋体" w:hAnsi="宋体"/>
                <w:bCs/>
                <w:szCs w:val="21"/>
                <w:highlight w:val="none"/>
              </w:rPr>
            </w:pPr>
            <w:r>
              <w:rPr>
                <w:rFonts w:hint="eastAsia" w:ascii="宋体" w:hAnsi="宋体" w:cs="宋体"/>
                <w:bCs/>
                <w:szCs w:val="21"/>
                <w:highlight w:val="none"/>
              </w:rPr>
              <w:t>2.代理服务费：由成交供应商按照相关规定支付向采购代理机构交纳代理服务费。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57" w:type="dxa"/>
            <w:vAlign w:val="center"/>
          </w:tcPr>
          <w:p>
            <w:pPr>
              <w:jc w:val="center"/>
              <w:textAlignment w:val="center"/>
              <w:rPr>
                <w:rFonts w:ascii="宋体" w:hAnsi="宋体"/>
                <w:szCs w:val="21"/>
                <w:highlight w:val="none"/>
              </w:rPr>
            </w:pPr>
            <w:r>
              <w:rPr>
                <w:rFonts w:hint="eastAsia" w:ascii="宋体" w:hAnsi="宋体"/>
                <w:szCs w:val="21"/>
                <w:highlight w:val="none"/>
              </w:rPr>
              <w:t>13</w:t>
            </w:r>
          </w:p>
        </w:tc>
        <w:tc>
          <w:tcPr>
            <w:tcW w:w="1639" w:type="dxa"/>
            <w:vAlign w:val="center"/>
          </w:tcPr>
          <w:p>
            <w:pPr>
              <w:textAlignment w:val="center"/>
              <w:rPr>
                <w:rFonts w:ascii="宋体" w:hAnsi="宋体"/>
                <w:szCs w:val="21"/>
                <w:highlight w:val="none"/>
              </w:rPr>
            </w:pPr>
            <w:r>
              <w:rPr>
                <w:rFonts w:hint="eastAsia" w:ascii="宋体" w:hAnsi="宋体"/>
                <w:szCs w:val="21"/>
                <w:highlight w:val="none"/>
              </w:rPr>
              <w:t>供应商资格条件</w:t>
            </w:r>
          </w:p>
        </w:tc>
        <w:tc>
          <w:tcPr>
            <w:tcW w:w="6183" w:type="dxa"/>
            <w:gridSpan w:val="2"/>
            <w:vAlign w:val="center"/>
          </w:tcPr>
          <w:p>
            <w:pPr>
              <w:spacing w:line="420" w:lineRule="atLeast"/>
              <w:rPr>
                <w:rFonts w:ascii="宋体" w:hAnsi="宋体" w:cs="宋体"/>
                <w:szCs w:val="21"/>
                <w:highlight w:val="none"/>
              </w:rPr>
            </w:pPr>
            <w:r>
              <w:rPr>
                <w:rFonts w:hint="eastAsia" w:ascii="宋体" w:hAnsi="宋体" w:cs="宋体"/>
                <w:szCs w:val="21"/>
                <w:highlight w:val="none"/>
              </w:rPr>
              <w:t>（1）注册于中华人民共和国境内，具有独立承担民事责任能力的法人或其它组织机构【提供有效的营业执照】；</w:t>
            </w:r>
          </w:p>
          <w:p>
            <w:pPr>
              <w:spacing w:line="420" w:lineRule="atLeast"/>
              <w:rPr>
                <w:rFonts w:ascii="宋体" w:hAnsi="宋体" w:cs="宋体"/>
                <w:szCs w:val="21"/>
                <w:highlight w:val="none"/>
              </w:rPr>
            </w:pPr>
            <w:r>
              <w:rPr>
                <w:rFonts w:hint="eastAsia" w:ascii="宋体" w:hAnsi="宋体" w:cs="宋体"/>
                <w:szCs w:val="21"/>
                <w:highlight w:val="none"/>
              </w:rPr>
              <w:t>（2）具有良好的商业信誉和健全的财务会计制度，提供2019年或2020度经审计的财务报告（成立年限不足1年的提供基本户银行出具的资信证明）；</w:t>
            </w:r>
          </w:p>
          <w:p>
            <w:pPr>
              <w:spacing w:line="420" w:lineRule="atLeast"/>
              <w:rPr>
                <w:rFonts w:ascii="宋体" w:hAnsi="宋体" w:cs="宋体"/>
                <w:szCs w:val="21"/>
                <w:highlight w:val="none"/>
              </w:rPr>
            </w:pPr>
            <w:r>
              <w:rPr>
                <w:rFonts w:hint="eastAsia" w:ascii="宋体" w:hAnsi="宋体" w:cs="宋体"/>
                <w:szCs w:val="21"/>
                <w:highlight w:val="none"/>
              </w:rPr>
              <w:t>（3）具有履行合同所必需的设备和专业技术能力；</w:t>
            </w:r>
          </w:p>
          <w:p>
            <w:pPr>
              <w:spacing w:line="420" w:lineRule="atLeast"/>
              <w:rPr>
                <w:rFonts w:ascii="宋体" w:hAnsi="宋体" w:cs="宋体"/>
                <w:szCs w:val="21"/>
                <w:highlight w:val="none"/>
              </w:rPr>
            </w:pPr>
            <w:r>
              <w:rPr>
                <w:rFonts w:hint="eastAsia" w:ascii="宋体" w:hAnsi="宋体" w:cs="宋体"/>
                <w:szCs w:val="21"/>
                <w:highlight w:val="none"/>
              </w:rPr>
              <w:t>（4）依法缴纳税收和社会保障资金的相关证明（具有2020年度06月份之后任意1个月的缴纳凭证）；</w:t>
            </w:r>
          </w:p>
          <w:p>
            <w:pPr>
              <w:spacing w:line="420" w:lineRule="atLeast"/>
              <w:rPr>
                <w:rFonts w:ascii="宋体" w:hAnsi="宋体" w:cs="宋体"/>
                <w:szCs w:val="21"/>
                <w:highlight w:val="none"/>
              </w:rPr>
            </w:pPr>
            <w:r>
              <w:rPr>
                <w:rFonts w:hint="eastAsia" w:ascii="宋体" w:hAnsi="宋体" w:cs="宋体"/>
                <w:szCs w:val="21"/>
                <w:highlight w:val="none"/>
              </w:rPr>
              <w:t>（5）供应商提供参加政府采购活动前三年内在经营活动中没有重大违法、违纪行为书面声明；</w:t>
            </w:r>
          </w:p>
          <w:p>
            <w:pPr>
              <w:spacing w:line="420" w:lineRule="atLeast"/>
              <w:rPr>
                <w:rFonts w:ascii="宋体" w:hAnsi="宋体" w:cs="宋体"/>
                <w:szCs w:val="21"/>
                <w:highlight w:val="none"/>
              </w:rPr>
            </w:pPr>
            <w:r>
              <w:rPr>
                <w:rFonts w:hint="eastAsia" w:ascii="宋体" w:hAnsi="宋体" w:cs="宋体"/>
                <w:szCs w:val="21"/>
                <w:highlight w:val="none"/>
              </w:rPr>
              <w:t>（6）供应商须具备《广播电视节目制作经营许可证》；</w:t>
            </w:r>
          </w:p>
          <w:p>
            <w:pPr>
              <w:spacing w:line="420" w:lineRule="atLeast"/>
              <w:rPr>
                <w:rFonts w:ascii="宋体" w:hAnsi="宋体" w:cs="宋体"/>
                <w:szCs w:val="21"/>
                <w:highlight w:val="none"/>
              </w:rPr>
            </w:pPr>
            <w:r>
              <w:rPr>
                <w:rFonts w:hint="eastAsia" w:ascii="宋体" w:hAnsi="宋体" w:cs="宋体"/>
                <w:szCs w:val="21"/>
                <w:highlight w:val="none"/>
              </w:rPr>
              <w:t>（7）根据《关于在政府采购活动中查询及使用信用记录有关问题的通知》(财库[2016]125号) 和豫财购【2016】15号的规定，对列入失信被执行人、重大税收违法案件当事人名单、政府采购严重违法失信行为记录名单的投标人，拒绝参与本项目政府采购活动；【查询渠道：</w:t>
            </w:r>
            <w:r>
              <w:rPr>
                <w:rFonts w:hint="eastAsia" w:ascii="宋体" w:hAnsi="宋体" w:cs="宋体"/>
                <w:szCs w:val="21"/>
                <w:highlight w:val="none"/>
                <w:lang w:eastAsia="zh-CN"/>
              </w:rPr>
              <w:t>“</w:t>
            </w:r>
            <w:r>
              <w:rPr>
                <w:rFonts w:hint="eastAsia" w:ascii="宋体" w:hAnsi="宋体" w:cs="宋体"/>
                <w:szCs w:val="21"/>
                <w:highlight w:val="none"/>
                <w:lang w:val="en-US" w:eastAsia="zh-CN"/>
              </w:rPr>
              <w:t>中国执行信息公开网</w:t>
            </w:r>
            <w:r>
              <w:rPr>
                <w:rFonts w:hint="eastAsia" w:ascii="宋体" w:hAnsi="宋体" w:cs="宋体"/>
                <w:szCs w:val="21"/>
                <w:highlight w:val="none"/>
                <w:lang w:eastAsia="zh-CN"/>
              </w:rPr>
              <w:t>”（http://zxgk.court.gov.cn/shixin/）、</w:t>
            </w:r>
            <w:r>
              <w:rPr>
                <w:rFonts w:hint="eastAsia" w:ascii="宋体" w:hAnsi="宋体" w:cs="宋体"/>
                <w:szCs w:val="21"/>
                <w:highlight w:val="none"/>
              </w:rPr>
              <w:t>“信用中国”网站（www.creditchina.gov.cn）、中国政府采购网（www.ccgp.gov.cn）</w:t>
            </w:r>
            <w:r>
              <w:rPr>
                <w:rFonts w:hint="eastAsia" w:ascii="宋体" w:hAnsi="宋体" w:cs="宋体"/>
                <w:szCs w:val="21"/>
                <w:highlight w:val="none"/>
                <w:lang w:eastAsia="zh-CN"/>
              </w:rPr>
              <w:t>等相关网站</w:t>
            </w:r>
            <w:r>
              <w:rPr>
                <w:rFonts w:hint="eastAsia" w:ascii="宋体" w:hAnsi="宋体" w:cs="宋体"/>
                <w:szCs w:val="21"/>
                <w:highlight w:val="none"/>
              </w:rPr>
              <w:t>】；</w:t>
            </w:r>
          </w:p>
          <w:p>
            <w:pPr>
              <w:spacing w:line="420" w:lineRule="atLeast"/>
              <w:rPr>
                <w:rFonts w:ascii="宋体" w:hAnsi="宋体" w:cs="宋体"/>
                <w:szCs w:val="21"/>
                <w:highlight w:val="none"/>
              </w:rPr>
            </w:pPr>
            <w:r>
              <w:rPr>
                <w:rFonts w:hint="eastAsia" w:ascii="宋体" w:hAnsi="宋体" w:cs="宋体"/>
                <w:szCs w:val="21"/>
                <w:highlight w:val="none"/>
              </w:rPr>
              <w:t>（8） 单位负责人为同一人或者存在直接控股、管理关系的不同投标人，不得同时参加同一合同项下的政府采购活动。（提供投标企业在“全国企业信用信息公示系统”中公示的公司信息、股东或投资人信息截图。）</w:t>
            </w:r>
          </w:p>
          <w:p>
            <w:pPr>
              <w:spacing w:line="420" w:lineRule="atLeast"/>
              <w:rPr>
                <w:rFonts w:hAnsi="宋体"/>
                <w:szCs w:val="21"/>
                <w:highlight w:val="none"/>
              </w:rPr>
            </w:pPr>
            <w:r>
              <w:rPr>
                <w:rFonts w:hint="eastAsia" w:ascii="宋体" w:hAnsi="宋体" w:cs="宋体"/>
                <w:szCs w:val="21"/>
                <w:highlight w:val="none"/>
              </w:rPr>
              <w:t>（9）本项目不接受联合体投标；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57" w:type="dxa"/>
            <w:vMerge w:val="restart"/>
            <w:vAlign w:val="center"/>
          </w:tcPr>
          <w:p>
            <w:pPr>
              <w:jc w:val="center"/>
              <w:rPr>
                <w:rFonts w:ascii="宋体" w:hAnsi="宋体" w:cs="宋体"/>
                <w:szCs w:val="21"/>
                <w:highlight w:val="none"/>
              </w:rPr>
            </w:pPr>
            <w:r>
              <w:rPr>
                <w:rFonts w:hint="eastAsia" w:ascii="宋体" w:hAnsi="宋体" w:cs="宋体"/>
                <w:szCs w:val="21"/>
                <w:highlight w:val="none"/>
              </w:rPr>
              <w:t>14</w:t>
            </w:r>
          </w:p>
        </w:tc>
        <w:tc>
          <w:tcPr>
            <w:tcW w:w="1639" w:type="dxa"/>
            <w:vMerge w:val="restart"/>
            <w:vAlign w:val="center"/>
          </w:tcPr>
          <w:p>
            <w:pPr>
              <w:rPr>
                <w:rFonts w:ascii="宋体" w:hAnsi="宋体" w:cs="宋体"/>
                <w:szCs w:val="21"/>
                <w:highlight w:val="none"/>
              </w:rPr>
            </w:pPr>
            <w:r>
              <w:rPr>
                <w:rFonts w:hint="eastAsia" w:ascii="宋体" w:hAnsi="宋体" w:cs="宋体"/>
                <w:szCs w:val="21"/>
                <w:highlight w:val="none"/>
              </w:rPr>
              <w:t>磋商文件及相关资料</w:t>
            </w:r>
          </w:p>
        </w:tc>
        <w:tc>
          <w:tcPr>
            <w:tcW w:w="6183" w:type="dxa"/>
            <w:gridSpan w:val="2"/>
            <w:vAlign w:val="center"/>
          </w:tcPr>
          <w:p>
            <w:pPr>
              <w:spacing w:line="600" w:lineRule="exact"/>
              <w:rPr>
                <w:rFonts w:ascii="宋体" w:hAnsi="宋体" w:cs="宋体"/>
                <w:szCs w:val="21"/>
                <w:highlight w:val="none"/>
              </w:rPr>
            </w:pPr>
            <w:r>
              <w:rPr>
                <w:rFonts w:hint="eastAsia" w:ascii="宋体" w:hAnsi="宋体" w:cs="宋体"/>
                <w:szCs w:val="21"/>
                <w:highlight w:val="none"/>
              </w:rPr>
              <w:t>在规定时间内按《河南省公共资源交易中心网》网上提示下载磋商文件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7" w:type="dxa"/>
            <w:vMerge w:val="continue"/>
            <w:vAlign w:val="center"/>
          </w:tcPr>
          <w:p>
            <w:pPr>
              <w:rPr>
                <w:rFonts w:ascii="宋体" w:hAnsi="宋体" w:cs="宋体"/>
                <w:szCs w:val="21"/>
                <w:highlight w:val="none"/>
              </w:rPr>
            </w:pPr>
          </w:p>
        </w:tc>
        <w:tc>
          <w:tcPr>
            <w:tcW w:w="1639" w:type="dxa"/>
            <w:vMerge w:val="continue"/>
            <w:vAlign w:val="center"/>
          </w:tcPr>
          <w:p>
            <w:pPr>
              <w:rPr>
                <w:rFonts w:ascii="宋体" w:hAnsi="宋体" w:cs="宋体"/>
                <w:szCs w:val="21"/>
                <w:highlight w:val="none"/>
              </w:rPr>
            </w:pPr>
          </w:p>
        </w:tc>
        <w:tc>
          <w:tcPr>
            <w:tcW w:w="6183" w:type="dxa"/>
            <w:gridSpan w:val="2"/>
            <w:vAlign w:val="center"/>
          </w:tcPr>
          <w:p>
            <w:pPr>
              <w:spacing w:line="440" w:lineRule="exact"/>
              <w:rPr>
                <w:rFonts w:ascii="宋体" w:hAnsi="宋体" w:cs="宋体"/>
                <w:szCs w:val="21"/>
                <w:highlight w:val="none"/>
              </w:rPr>
            </w:pPr>
            <w:r>
              <w:rPr>
                <w:rFonts w:hint="eastAsia" w:ascii="宋体" w:hAnsi="宋体" w:cs="宋体"/>
                <w:szCs w:val="21"/>
                <w:highlight w:val="none"/>
              </w:rPr>
              <w:t>金额：</w:t>
            </w:r>
            <w:r>
              <w:rPr>
                <w:rFonts w:hint="eastAsia" w:ascii="宋体" w:hAnsi="宋体" w:cs="宋体"/>
                <w:szCs w:val="21"/>
                <w:highlight w:val="none"/>
                <w:u w:val="single"/>
              </w:rPr>
              <w:t xml:space="preserve"> 0 </w:t>
            </w:r>
            <w:r>
              <w:rPr>
                <w:rFonts w:hint="eastAsia" w:ascii="宋体" w:hAnsi="宋体" w:cs="宋体"/>
                <w:szCs w:val="21"/>
                <w:highlight w:val="none"/>
              </w:rPr>
              <w:t>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15</w:t>
            </w:r>
          </w:p>
        </w:tc>
        <w:tc>
          <w:tcPr>
            <w:tcW w:w="1639" w:type="dxa"/>
            <w:vAlign w:val="center"/>
          </w:tcPr>
          <w:p>
            <w:pPr>
              <w:rPr>
                <w:rFonts w:ascii="宋体" w:hAnsi="宋体" w:cs="宋体"/>
                <w:szCs w:val="21"/>
                <w:highlight w:val="none"/>
              </w:rPr>
            </w:pPr>
            <w:r>
              <w:rPr>
                <w:rFonts w:hint="eastAsia" w:ascii="宋体" w:hAnsi="宋体" w:cs="宋体"/>
                <w:szCs w:val="21"/>
                <w:highlight w:val="none"/>
              </w:rPr>
              <w:t>磋商保证金</w:t>
            </w:r>
          </w:p>
        </w:tc>
        <w:tc>
          <w:tcPr>
            <w:tcW w:w="6183" w:type="dxa"/>
            <w:gridSpan w:val="2"/>
            <w:vAlign w:val="center"/>
          </w:tcPr>
          <w:p>
            <w:pPr>
              <w:spacing w:line="360" w:lineRule="auto"/>
              <w:rPr>
                <w:rFonts w:ascii="宋体" w:hAnsi="宋体" w:cs="宋体"/>
                <w:szCs w:val="21"/>
                <w:highlight w:val="none"/>
              </w:rPr>
            </w:pPr>
            <w:r>
              <w:rPr>
                <w:rFonts w:hint="eastAsia" w:ascii="宋体" w:hAnsi="宋体" w:cs="宋体"/>
                <w:szCs w:val="21"/>
                <w:highlight w:val="none"/>
              </w:rPr>
              <w:t>根据豫财购【2019】4号文规定，投标保证金不再收取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16</w:t>
            </w:r>
          </w:p>
        </w:tc>
        <w:tc>
          <w:tcPr>
            <w:tcW w:w="1639" w:type="dxa"/>
            <w:vAlign w:val="center"/>
          </w:tcPr>
          <w:p>
            <w:pPr>
              <w:rPr>
                <w:rFonts w:ascii="宋体" w:hAnsi="宋体" w:cs="宋体"/>
                <w:szCs w:val="21"/>
                <w:highlight w:val="none"/>
              </w:rPr>
            </w:pPr>
            <w:r>
              <w:rPr>
                <w:rFonts w:hint="eastAsia" w:ascii="宋体" w:hAnsi="宋体" w:cs="宋体"/>
                <w:szCs w:val="21"/>
                <w:highlight w:val="none"/>
              </w:rPr>
              <w:t>响应性文件份数</w:t>
            </w:r>
          </w:p>
        </w:tc>
        <w:tc>
          <w:tcPr>
            <w:tcW w:w="6183" w:type="dxa"/>
            <w:gridSpan w:val="2"/>
            <w:vAlign w:val="center"/>
          </w:tcPr>
          <w:p>
            <w:pPr>
              <w:spacing w:line="400" w:lineRule="exact"/>
              <w:rPr>
                <w:rFonts w:ascii="宋体" w:hAnsi="宋体" w:cs="宋体"/>
                <w:szCs w:val="21"/>
                <w:highlight w:val="none"/>
              </w:rPr>
            </w:pPr>
            <w:r>
              <w:rPr>
                <w:rFonts w:hint="eastAsia" w:ascii="宋体" w:hAnsi="宋体" w:cs="宋体"/>
                <w:szCs w:val="21"/>
                <w:highlight w:val="none"/>
              </w:rPr>
              <w:t>加密的电子竞争性磋商响应文件（*.hntf 格式）一份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17</w:t>
            </w:r>
          </w:p>
        </w:tc>
        <w:tc>
          <w:tcPr>
            <w:tcW w:w="1639" w:type="dxa"/>
            <w:vAlign w:val="center"/>
          </w:tcPr>
          <w:p>
            <w:pPr>
              <w:rPr>
                <w:rFonts w:ascii="宋体" w:hAnsi="宋体" w:cs="宋体"/>
                <w:szCs w:val="21"/>
                <w:highlight w:val="none"/>
              </w:rPr>
            </w:pPr>
            <w:r>
              <w:rPr>
                <w:rFonts w:hint="eastAsia" w:ascii="宋体" w:hAnsi="宋体" w:cs="宋体"/>
                <w:szCs w:val="21"/>
                <w:highlight w:val="none"/>
              </w:rPr>
              <w:t>签字或盖章要求</w:t>
            </w:r>
          </w:p>
        </w:tc>
        <w:tc>
          <w:tcPr>
            <w:tcW w:w="6183" w:type="dxa"/>
            <w:gridSpan w:val="2"/>
            <w:vAlign w:val="center"/>
          </w:tcPr>
          <w:p>
            <w:pPr>
              <w:spacing w:line="400" w:lineRule="exact"/>
              <w:rPr>
                <w:szCs w:val="21"/>
                <w:highlight w:val="none"/>
              </w:rPr>
            </w:pPr>
            <w:r>
              <w:rPr>
                <w:rFonts w:hint="eastAsia"/>
                <w:szCs w:val="21"/>
                <w:highlight w:val="none"/>
              </w:rPr>
              <w:t>（1）响应文件中需要盖章或签字之处均应按</w:t>
            </w:r>
            <w:r>
              <w:rPr>
                <w:rFonts w:hint="eastAsia"/>
                <w:szCs w:val="21"/>
                <w:highlight w:val="none"/>
                <w:lang w:eastAsia="zh-CN"/>
              </w:rPr>
              <w:t>磋商文件格式要求</w:t>
            </w:r>
            <w:r>
              <w:rPr>
                <w:szCs w:val="21"/>
                <w:highlight w:val="none"/>
              </w:rPr>
              <w:t>要求进行</w:t>
            </w:r>
            <w:r>
              <w:rPr>
                <w:rFonts w:hint="eastAsia"/>
                <w:szCs w:val="21"/>
                <w:highlight w:val="none"/>
                <w:lang w:eastAsia="zh-CN"/>
              </w:rPr>
              <w:t>签字或盖章</w:t>
            </w:r>
            <w:r>
              <w:rPr>
                <w:rFonts w:hint="eastAsia"/>
                <w:szCs w:val="21"/>
                <w:highlight w:val="none"/>
              </w:rPr>
              <w:t>。</w:t>
            </w:r>
          </w:p>
          <w:p>
            <w:pPr>
              <w:spacing w:line="400" w:lineRule="exact"/>
              <w:rPr>
                <w:szCs w:val="21"/>
                <w:highlight w:val="none"/>
              </w:rPr>
            </w:pPr>
            <w:r>
              <w:rPr>
                <w:rFonts w:hint="eastAsia"/>
                <w:szCs w:val="21"/>
                <w:highlight w:val="none"/>
              </w:rPr>
              <w:t>（2）如供应商的法定代表人或委托代理人未办理 CA 密匙的，供应商须将要求法定代表人或其委托代理人签字或盖章的地方用法定代表人或委托代理人签字或盖章后的扫描图片替换到相应格式中。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18</w:t>
            </w:r>
          </w:p>
        </w:tc>
        <w:tc>
          <w:tcPr>
            <w:tcW w:w="1639" w:type="dxa"/>
            <w:vAlign w:val="center"/>
          </w:tcPr>
          <w:p>
            <w:pPr>
              <w:rPr>
                <w:rFonts w:ascii="宋体" w:hAnsi="宋体" w:cs="宋体"/>
                <w:szCs w:val="21"/>
                <w:highlight w:val="none"/>
              </w:rPr>
            </w:pPr>
            <w:r>
              <w:rPr>
                <w:rFonts w:ascii="宋体" w:hAnsi="宋体"/>
                <w:szCs w:val="21"/>
                <w:highlight w:val="none"/>
              </w:rPr>
              <w:t>响应文件样式和制作</w:t>
            </w:r>
          </w:p>
        </w:tc>
        <w:tc>
          <w:tcPr>
            <w:tcW w:w="6183" w:type="dxa"/>
            <w:gridSpan w:val="2"/>
            <w:vAlign w:val="center"/>
          </w:tcPr>
          <w:p>
            <w:pPr>
              <w:spacing w:line="400" w:lineRule="exact"/>
              <w:rPr>
                <w:rFonts w:ascii="宋体" w:hAnsi="宋体" w:cs="宋体"/>
                <w:szCs w:val="21"/>
                <w:highlight w:val="none"/>
              </w:rPr>
            </w:pPr>
            <w:r>
              <w:rPr>
                <w:rFonts w:ascii="宋体" w:hAnsi="宋体" w:cs="宋体"/>
                <w:szCs w:val="21"/>
                <w:highlight w:val="none"/>
              </w:rPr>
              <w:t>（</w:t>
            </w:r>
            <w:r>
              <w:rPr>
                <w:rFonts w:hint="eastAsia" w:ascii="宋体" w:hAnsi="宋体" w:cs="宋体"/>
                <w:szCs w:val="21"/>
                <w:highlight w:val="none"/>
              </w:rPr>
              <w:t>1）加密的电子响应性文件（*.hntf 格式）,应在响应性文件截止时间前通过“河南省公共资源交易中心（</w:t>
            </w:r>
            <w:r>
              <w:rPr>
                <w:highlight w:val="none"/>
              </w:rPr>
              <w:fldChar w:fldCharType="begin"/>
            </w:r>
            <w:r>
              <w:rPr>
                <w:highlight w:val="none"/>
              </w:rPr>
              <w:instrText xml:space="preserve"> HYPERLINK "http://www.hnggzy.com/" \h </w:instrText>
            </w:r>
            <w:r>
              <w:rPr>
                <w:highlight w:val="none"/>
              </w:rPr>
              <w:fldChar w:fldCharType="separate"/>
            </w:r>
            <w:r>
              <w:rPr>
                <w:rFonts w:hint="eastAsia" w:ascii="宋体" w:hAnsi="宋体" w:cs="宋体"/>
                <w:szCs w:val="21"/>
                <w:highlight w:val="none"/>
              </w:rPr>
              <w:t>www.hnggzy.com</w:t>
            </w:r>
            <w:r>
              <w:rPr>
                <w:rFonts w:hint="eastAsia" w:ascii="宋体" w:hAnsi="宋体" w:cs="宋体"/>
                <w:szCs w:val="21"/>
                <w:highlight w:val="none"/>
              </w:rPr>
              <w:fldChar w:fldCharType="end"/>
            </w:r>
            <w:r>
              <w:rPr>
                <w:rFonts w:hint="eastAsia" w:ascii="宋体" w:hAnsi="宋体" w:cs="宋体"/>
                <w:szCs w:val="21"/>
                <w:highlight w:val="none"/>
              </w:rPr>
              <w:t>）”电子交易平 台内上传；</w:t>
            </w:r>
          </w:p>
          <w:p>
            <w:pPr>
              <w:spacing w:line="400" w:lineRule="exact"/>
              <w:rPr>
                <w:rFonts w:ascii="宋体" w:hAnsi="宋体" w:cs="宋体"/>
                <w:szCs w:val="21"/>
                <w:highlight w:val="none"/>
              </w:rPr>
            </w:pPr>
            <w:r>
              <w:rPr>
                <w:rFonts w:hint="eastAsia" w:ascii="宋体" w:hAnsi="宋体" w:cs="宋体"/>
                <w:szCs w:val="21"/>
                <w:highlight w:val="none"/>
              </w:rPr>
              <w:t>（2）加密的电子响应性文件为“ 河南省公共资源交易中心（</w:t>
            </w:r>
            <w:r>
              <w:rPr>
                <w:highlight w:val="none"/>
              </w:rPr>
              <w:fldChar w:fldCharType="begin"/>
            </w:r>
            <w:r>
              <w:rPr>
                <w:highlight w:val="none"/>
              </w:rPr>
              <w:instrText xml:space="preserve"> HYPERLINK "http://www.hnggzy.com/" \h </w:instrText>
            </w:r>
            <w:r>
              <w:rPr>
                <w:highlight w:val="none"/>
              </w:rPr>
              <w:fldChar w:fldCharType="separate"/>
            </w:r>
            <w:r>
              <w:rPr>
                <w:rFonts w:hint="eastAsia" w:ascii="宋体" w:hAnsi="宋体" w:cs="宋体"/>
                <w:szCs w:val="21"/>
                <w:highlight w:val="none"/>
              </w:rPr>
              <w:t>www.hnggzy.com</w:t>
            </w:r>
            <w:r>
              <w:rPr>
                <w:rFonts w:hint="eastAsia" w:ascii="宋体" w:hAnsi="宋体" w:cs="宋体"/>
                <w:szCs w:val="21"/>
                <w:highlight w:val="none"/>
              </w:rPr>
              <w:fldChar w:fldCharType="end"/>
            </w:r>
            <w:r>
              <w:rPr>
                <w:rFonts w:hint="eastAsia" w:ascii="宋体" w:hAnsi="宋体" w:cs="宋体"/>
                <w:szCs w:val="21"/>
                <w:highlight w:val="none"/>
              </w:rPr>
              <w:t>）” 网站提供的“响应性文件制作工具”软件制作生成的加密版响应性文件。</w:t>
            </w:r>
          </w:p>
          <w:p>
            <w:pPr>
              <w:spacing w:line="400" w:lineRule="exact"/>
              <w:rPr>
                <w:rFonts w:ascii="宋体" w:hAnsi="宋体" w:cs="宋体"/>
                <w:szCs w:val="21"/>
                <w:highlight w:val="none"/>
              </w:rPr>
            </w:pPr>
            <w:r>
              <w:rPr>
                <w:rFonts w:hint="eastAsia" w:ascii="宋体" w:hAnsi="宋体" w:cs="宋体"/>
                <w:szCs w:val="21"/>
                <w:highlight w:val="none"/>
              </w:rPr>
              <w:t>（3）供应商编辑电子响应性文件时，根据磋商文件要求用法定代表人CA 密钥和企业 CA 密钥进行签章制作；最后一步生成电子响应性文件（*.hntf格式和*.nhntf 格式）时，只能用本单位的企业 CA 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19</w:t>
            </w:r>
          </w:p>
        </w:tc>
        <w:tc>
          <w:tcPr>
            <w:tcW w:w="1639" w:type="dxa"/>
            <w:vAlign w:val="center"/>
          </w:tcPr>
          <w:p>
            <w:pPr>
              <w:jc w:val="center"/>
              <w:rPr>
                <w:rFonts w:ascii="宋体" w:hAnsi="宋体" w:cs="宋体"/>
                <w:szCs w:val="21"/>
                <w:highlight w:val="none"/>
              </w:rPr>
            </w:pPr>
            <w:r>
              <w:rPr>
                <w:rFonts w:ascii="宋体" w:hAnsi="宋体"/>
                <w:szCs w:val="21"/>
                <w:highlight w:val="none"/>
              </w:rPr>
              <w:t>响应文件递交/上传</w:t>
            </w:r>
          </w:p>
        </w:tc>
        <w:tc>
          <w:tcPr>
            <w:tcW w:w="6183" w:type="dxa"/>
            <w:gridSpan w:val="2"/>
            <w:vAlign w:val="center"/>
          </w:tcPr>
          <w:p>
            <w:pPr>
              <w:spacing w:line="400" w:lineRule="exact"/>
              <w:rPr>
                <w:rFonts w:ascii="宋体" w:hAnsi="宋体" w:cs="宋体"/>
                <w:szCs w:val="21"/>
                <w:highlight w:val="none"/>
              </w:rPr>
            </w:pPr>
            <w:r>
              <w:rPr>
                <w:rFonts w:hint="eastAsia" w:ascii="宋体" w:hAnsi="宋体" w:cs="宋体"/>
                <w:szCs w:val="21"/>
                <w:highlight w:val="none"/>
              </w:rPr>
              <w:t>（1）供应商</w:t>
            </w:r>
            <w:r>
              <w:rPr>
                <w:rFonts w:ascii="宋体" w:hAnsi="宋体" w:cs="宋体"/>
                <w:szCs w:val="21"/>
                <w:highlight w:val="none"/>
              </w:rPr>
              <w:t>应在</w:t>
            </w:r>
            <w:r>
              <w:rPr>
                <w:rFonts w:hint="eastAsia" w:ascii="宋体" w:hAnsi="宋体" w:cs="宋体"/>
                <w:szCs w:val="21"/>
                <w:highlight w:val="none"/>
              </w:rPr>
              <w:t>响应文件递交</w:t>
            </w:r>
            <w:r>
              <w:rPr>
                <w:rFonts w:ascii="宋体" w:hAnsi="宋体" w:cs="宋体"/>
                <w:szCs w:val="21"/>
                <w:highlight w:val="none"/>
              </w:rPr>
              <w:t>时间前上传加密的电子响应性文件（*.hntf）到</w:t>
            </w:r>
            <w:r>
              <w:rPr>
                <w:rFonts w:hint="eastAsia" w:ascii="宋体" w:hAnsi="宋体" w:cs="宋体"/>
                <w:szCs w:val="21"/>
                <w:highlight w:val="none"/>
              </w:rPr>
              <w:t>市场主体</w:t>
            </w:r>
            <w:r>
              <w:rPr>
                <w:rFonts w:ascii="宋体" w:hAnsi="宋体" w:cs="宋体"/>
                <w:szCs w:val="21"/>
                <w:highlight w:val="none"/>
              </w:rPr>
              <w:t>系统的指定位置。上传时必须得到电脑“上传成功” 的确认。请</w:t>
            </w:r>
            <w:r>
              <w:rPr>
                <w:rFonts w:hint="eastAsia" w:ascii="宋体" w:hAnsi="宋体" w:cs="宋体"/>
                <w:szCs w:val="21"/>
                <w:highlight w:val="none"/>
              </w:rPr>
              <w:t>供应商</w:t>
            </w:r>
            <w:r>
              <w:rPr>
                <w:rFonts w:ascii="宋体" w:hAnsi="宋体" w:cs="宋体"/>
                <w:szCs w:val="21"/>
                <w:highlight w:val="none"/>
              </w:rPr>
              <w:t>在上传时认真检查上传响应性文件是否完整、正确。</w:t>
            </w:r>
          </w:p>
          <w:p>
            <w:pPr>
              <w:spacing w:line="400" w:lineRule="exact"/>
              <w:rPr>
                <w:rFonts w:ascii="宋体" w:hAnsi="宋体" w:cs="宋体"/>
                <w:szCs w:val="21"/>
                <w:highlight w:val="none"/>
              </w:rPr>
            </w:pPr>
            <w:r>
              <w:rPr>
                <w:rFonts w:hint="eastAsia" w:ascii="宋体" w:hAnsi="宋体" w:cs="宋体"/>
                <w:szCs w:val="21"/>
                <w:highlight w:val="none"/>
              </w:rPr>
              <w:t>（2）供应商</w:t>
            </w:r>
            <w:r>
              <w:rPr>
                <w:rFonts w:ascii="宋体" w:hAnsi="宋体" w:cs="宋体"/>
                <w:szCs w:val="21"/>
                <w:highlight w:val="none"/>
              </w:rPr>
              <w:t>因河南省公共资源交易平台投标系统问题无法上传电子响应性文件时，请在工作时间与河南省公共资源交易中心联系，联系电话：0371-860959</w:t>
            </w:r>
            <w:r>
              <w:rPr>
                <w:rFonts w:hint="eastAsia" w:ascii="宋体" w:hAnsi="宋体" w:cs="宋体"/>
                <w:szCs w:val="21"/>
                <w:highlight w:val="none"/>
              </w:rPr>
              <w:t>03</w:t>
            </w:r>
            <w:r>
              <w:rPr>
                <w:rFonts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20</w:t>
            </w:r>
          </w:p>
        </w:tc>
        <w:tc>
          <w:tcPr>
            <w:tcW w:w="1639" w:type="dxa"/>
            <w:vAlign w:val="center"/>
          </w:tcPr>
          <w:p>
            <w:pPr>
              <w:jc w:val="center"/>
              <w:rPr>
                <w:rFonts w:ascii="宋体" w:hAnsi="宋体" w:cs="宋体"/>
                <w:szCs w:val="21"/>
                <w:highlight w:val="none"/>
              </w:rPr>
            </w:pPr>
            <w:r>
              <w:rPr>
                <w:rFonts w:hint="eastAsia" w:ascii="宋体" w:hAnsi="宋体" w:cs="宋体"/>
                <w:szCs w:val="21"/>
                <w:highlight w:val="none"/>
              </w:rPr>
              <w:t>磋商的截止时间及地点</w:t>
            </w:r>
          </w:p>
        </w:tc>
        <w:tc>
          <w:tcPr>
            <w:tcW w:w="6183" w:type="dxa"/>
            <w:gridSpan w:val="2"/>
            <w:vAlign w:val="center"/>
          </w:tcPr>
          <w:p>
            <w:pPr>
              <w:spacing w:line="400" w:lineRule="exact"/>
              <w:jc w:val="left"/>
              <w:rPr>
                <w:rFonts w:ascii="宋体" w:hAnsi="宋体"/>
                <w:szCs w:val="21"/>
                <w:highlight w:val="none"/>
              </w:rPr>
            </w:pPr>
            <w:r>
              <w:rPr>
                <w:rFonts w:ascii="宋体" w:hAnsi="宋体"/>
                <w:szCs w:val="21"/>
                <w:highlight w:val="none"/>
              </w:rPr>
              <w:t>磋商时间：</w:t>
            </w:r>
            <w:bookmarkStart w:id="115" w:name="_GoBack"/>
            <w:bookmarkEnd w:id="115"/>
            <w:r>
              <w:rPr>
                <w:rFonts w:hint="eastAsia" w:ascii="宋体" w:hAnsi="宋体"/>
                <w:szCs w:val="21"/>
                <w:highlight w:val="none"/>
              </w:rPr>
              <w:t>2021年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27</w:t>
            </w:r>
            <w:r>
              <w:rPr>
                <w:rFonts w:hint="eastAsia" w:ascii="宋体" w:hAnsi="宋体"/>
                <w:szCs w:val="21"/>
                <w:highlight w:val="none"/>
              </w:rPr>
              <w:t>日09时00分</w:t>
            </w:r>
            <w:r>
              <w:rPr>
                <w:rFonts w:hint="eastAsia" w:ascii="宋体" w:hAnsi="宋体" w:cs="宋体"/>
                <w:bCs/>
                <w:szCs w:val="21"/>
                <w:highlight w:val="none"/>
              </w:rPr>
              <w:t xml:space="preserve">（北京时间） </w:t>
            </w:r>
          </w:p>
          <w:p>
            <w:pPr>
              <w:spacing w:line="440" w:lineRule="exact"/>
              <w:rPr>
                <w:rFonts w:ascii="宋体" w:hAnsi="宋体" w:cs="宋体"/>
                <w:szCs w:val="21"/>
                <w:highlight w:val="none"/>
              </w:rPr>
            </w:pPr>
            <w:r>
              <w:rPr>
                <w:rFonts w:ascii="宋体" w:hAnsi="宋体"/>
                <w:szCs w:val="21"/>
                <w:highlight w:val="none"/>
              </w:rPr>
              <w:t>磋商地点：</w:t>
            </w:r>
            <w:r>
              <w:rPr>
                <w:rFonts w:hint="eastAsia" w:ascii="宋体" w:hAnsi="宋体"/>
                <w:szCs w:val="21"/>
                <w:highlight w:val="none"/>
              </w:rPr>
              <w:t>河南省公共资源交易中心，</w:t>
            </w:r>
            <w:r>
              <w:rPr>
                <w:rFonts w:ascii="宋体" w:hAnsi="宋体"/>
                <w:szCs w:val="21"/>
                <w:highlight w:val="none"/>
              </w:rPr>
              <w:t>本项目采用“远程不见面”开标方式,网 址（</w:t>
            </w:r>
            <w:r>
              <w:rPr>
                <w:highlight w:val="none"/>
              </w:rPr>
              <w:fldChar w:fldCharType="begin"/>
            </w:r>
            <w:r>
              <w:rPr>
                <w:highlight w:val="none"/>
              </w:rPr>
              <w:instrText xml:space="preserve"> HYPERLINK "http://www.hnggzyjy.cn/" \h </w:instrText>
            </w:r>
            <w:r>
              <w:rPr>
                <w:highlight w:val="none"/>
              </w:rPr>
              <w:fldChar w:fldCharType="separate"/>
            </w:r>
            <w:r>
              <w:rPr>
                <w:rFonts w:ascii="宋体" w:hAnsi="宋体"/>
                <w:szCs w:val="21"/>
                <w:highlight w:val="none"/>
              </w:rPr>
              <w:t>www.hnggzyjy.</w:t>
            </w:r>
            <w:r>
              <w:rPr>
                <w:rFonts w:hint="eastAsia" w:ascii="宋体" w:hAnsi="宋体"/>
                <w:szCs w:val="21"/>
                <w:highlight w:val="none"/>
                <w:lang w:val="en-US" w:eastAsia="zh-CN"/>
              </w:rPr>
              <w:t>c</w:t>
            </w:r>
            <w:r>
              <w:rPr>
                <w:rFonts w:ascii="宋体" w:hAnsi="宋体"/>
                <w:szCs w:val="21"/>
                <w:highlight w:val="none"/>
              </w:rPr>
              <w:fldChar w:fldCharType="end"/>
            </w:r>
            <w:r>
              <w:rPr>
                <w:rFonts w:hint="eastAsia" w:ascii="宋体" w:hAnsi="宋体"/>
                <w:szCs w:val="21"/>
                <w:highlight w:val="none"/>
                <w:lang w:val="en-US" w:eastAsia="zh-CN"/>
              </w:rPr>
              <w:t>om</w:t>
            </w:r>
            <w:r>
              <w:rPr>
                <w:rFonts w:ascii="宋体" w:hAnsi="宋体"/>
                <w:szCs w:val="21"/>
                <w:highlight w:val="none"/>
              </w:rPr>
              <w:t>）。</w:t>
            </w:r>
            <w:r>
              <w:rPr>
                <w:rFonts w:hint="eastAsia" w:ascii="宋体" w:hAnsi="宋体"/>
                <w:szCs w:val="21"/>
                <w:highlight w:val="none"/>
              </w:rPr>
              <w:t>供应商</w:t>
            </w:r>
            <w:r>
              <w:rPr>
                <w:rFonts w:ascii="宋体" w:hAnsi="宋体"/>
                <w:szCs w:val="21"/>
                <w:highlight w:val="none"/>
              </w:rPr>
              <w:t>应当在磋商文件确定的</w:t>
            </w:r>
            <w:r>
              <w:rPr>
                <w:rFonts w:hint="eastAsia" w:ascii="宋体" w:hAnsi="宋体"/>
                <w:szCs w:val="21"/>
                <w:highlight w:val="none"/>
              </w:rPr>
              <w:t>响应文件递交截止时间</w:t>
            </w:r>
            <w:r>
              <w:rPr>
                <w:rFonts w:ascii="宋体" w:hAnsi="宋体"/>
                <w:szCs w:val="21"/>
                <w:highlight w:val="none"/>
              </w:rPr>
              <w:t>前,  登录远程开标大厅,在线准时参加开标活动并进行文件解密、答疑澄清等，无需到磋商现场。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21</w:t>
            </w:r>
          </w:p>
        </w:tc>
        <w:tc>
          <w:tcPr>
            <w:tcW w:w="1639" w:type="dxa"/>
            <w:vAlign w:val="center"/>
          </w:tcPr>
          <w:p>
            <w:pPr>
              <w:jc w:val="center"/>
              <w:rPr>
                <w:rFonts w:ascii="宋体" w:hAnsi="宋体" w:cs="宋体"/>
                <w:szCs w:val="21"/>
                <w:highlight w:val="none"/>
              </w:rPr>
            </w:pPr>
            <w:r>
              <w:rPr>
                <w:rFonts w:hint="eastAsia" w:ascii="宋体" w:hAnsi="宋体" w:cs="宋体"/>
                <w:szCs w:val="21"/>
                <w:highlight w:val="none"/>
              </w:rPr>
              <w:t>磋商时间及地点</w:t>
            </w:r>
          </w:p>
        </w:tc>
        <w:tc>
          <w:tcPr>
            <w:tcW w:w="6183" w:type="dxa"/>
            <w:gridSpan w:val="2"/>
            <w:vAlign w:val="center"/>
          </w:tcPr>
          <w:p>
            <w:pPr>
              <w:spacing w:line="440" w:lineRule="exact"/>
              <w:rPr>
                <w:rFonts w:ascii="宋体" w:hAnsi="宋体" w:cs="宋体"/>
                <w:szCs w:val="21"/>
                <w:highlight w:val="none"/>
              </w:rPr>
            </w:pPr>
            <w:r>
              <w:rPr>
                <w:rFonts w:hint="eastAsia" w:ascii="宋体" w:hAnsi="宋体" w:cs="宋体"/>
                <w:szCs w:val="21"/>
                <w:highlight w:val="none"/>
              </w:rPr>
              <w:t>时间：同响应文件递交截止时间</w:t>
            </w:r>
          </w:p>
          <w:p>
            <w:pPr>
              <w:spacing w:line="440" w:lineRule="exact"/>
              <w:rPr>
                <w:rFonts w:ascii="宋体" w:hAnsi="宋体" w:cs="宋体"/>
                <w:szCs w:val="21"/>
                <w:highlight w:val="none"/>
              </w:rPr>
            </w:pPr>
            <w:r>
              <w:rPr>
                <w:rFonts w:hint="eastAsia" w:ascii="宋体" w:hAnsi="宋体" w:cs="宋体"/>
                <w:szCs w:val="21"/>
                <w:highlight w:val="none"/>
              </w:rPr>
              <w:t xml:space="preserve">地点：同磋商地点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22</w:t>
            </w:r>
          </w:p>
        </w:tc>
        <w:tc>
          <w:tcPr>
            <w:tcW w:w="1639" w:type="dxa"/>
            <w:vAlign w:val="center"/>
          </w:tcPr>
          <w:p>
            <w:pPr>
              <w:jc w:val="center"/>
              <w:rPr>
                <w:rFonts w:ascii="宋体" w:hAnsi="宋体" w:cs="宋体"/>
                <w:szCs w:val="21"/>
                <w:highlight w:val="none"/>
              </w:rPr>
            </w:pPr>
            <w:r>
              <w:rPr>
                <w:rFonts w:hint="eastAsia" w:ascii="宋体" w:hAnsi="宋体" w:cs="宋体"/>
                <w:szCs w:val="21"/>
                <w:highlight w:val="none"/>
              </w:rPr>
              <w:t>磋商小组的组建</w:t>
            </w:r>
          </w:p>
        </w:tc>
        <w:tc>
          <w:tcPr>
            <w:tcW w:w="6183" w:type="dxa"/>
            <w:gridSpan w:val="2"/>
            <w:vAlign w:val="center"/>
          </w:tcPr>
          <w:p>
            <w:pPr>
              <w:spacing w:line="440" w:lineRule="exact"/>
              <w:rPr>
                <w:rFonts w:ascii="宋体" w:hAnsi="宋体" w:cs="宋体"/>
                <w:szCs w:val="21"/>
                <w:highlight w:val="none"/>
              </w:rPr>
            </w:pPr>
            <w:r>
              <w:rPr>
                <w:rFonts w:hint="eastAsia" w:ascii="宋体" w:hAnsi="宋体" w:cs="宋体"/>
                <w:szCs w:val="21"/>
                <w:highlight w:val="none"/>
              </w:rPr>
              <w:t>按照国家相关规定组建，采购人代表1人，经济技术方面专家4人，共5人组成。在河南省财政厅专家库中随机抽取。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23</w:t>
            </w:r>
          </w:p>
        </w:tc>
        <w:tc>
          <w:tcPr>
            <w:tcW w:w="1639" w:type="dxa"/>
            <w:vAlign w:val="center"/>
          </w:tcPr>
          <w:p>
            <w:pPr>
              <w:jc w:val="center"/>
              <w:rPr>
                <w:rFonts w:ascii="宋体" w:hAnsi="宋体" w:cs="宋体"/>
                <w:szCs w:val="21"/>
                <w:highlight w:val="none"/>
              </w:rPr>
            </w:pPr>
            <w:r>
              <w:rPr>
                <w:rFonts w:hint="eastAsia" w:ascii="宋体" w:hAnsi="宋体" w:cs="宋体"/>
                <w:szCs w:val="21"/>
                <w:highlight w:val="none"/>
              </w:rPr>
              <w:t>是否授权磋商小组确定成交人</w:t>
            </w:r>
          </w:p>
        </w:tc>
        <w:tc>
          <w:tcPr>
            <w:tcW w:w="6183" w:type="dxa"/>
            <w:gridSpan w:val="2"/>
            <w:vAlign w:val="center"/>
          </w:tcPr>
          <w:p>
            <w:pPr>
              <w:spacing w:line="440" w:lineRule="exact"/>
              <w:rPr>
                <w:rFonts w:ascii="宋体" w:hAnsi="宋体" w:cs="宋体"/>
                <w:szCs w:val="21"/>
                <w:highlight w:val="none"/>
              </w:rPr>
            </w:pPr>
            <w:r>
              <w:rPr>
                <w:rFonts w:hint="eastAsia" w:ascii="宋体" w:hAnsi="宋体" w:cs="宋体"/>
                <w:szCs w:val="21"/>
                <w:highlight w:val="none"/>
              </w:rPr>
              <w:t>否，推荐的成交候选人数：1-3名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24</w:t>
            </w:r>
          </w:p>
        </w:tc>
        <w:tc>
          <w:tcPr>
            <w:tcW w:w="1639" w:type="dxa"/>
            <w:vAlign w:val="center"/>
          </w:tcPr>
          <w:p>
            <w:pPr>
              <w:jc w:val="center"/>
              <w:rPr>
                <w:rFonts w:ascii="宋体" w:hAnsi="宋体" w:cs="宋体"/>
                <w:szCs w:val="21"/>
                <w:highlight w:val="none"/>
              </w:rPr>
            </w:pPr>
            <w:r>
              <w:rPr>
                <w:rFonts w:hint="eastAsia" w:ascii="宋体" w:hAnsi="宋体" w:cs="宋体"/>
                <w:szCs w:val="21"/>
                <w:highlight w:val="none"/>
              </w:rPr>
              <w:t>合同签订</w:t>
            </w:r>
          </w:p>
        </w:tc>
        <w:tc>
          <w:tcPr>
            <w:tcW w:w="6183" w:type="dxa"/>
            <w:gridSpan w:val="2"/>
            <w:vAlign w:val="center"/>
          </w:tcPr>
          <w:p>
            <w:pPr>
              <w:rPr>
                <w:rFonts w:ascii="宋体" w:hAnsi="宋体" w:cs="宋体"/>
                <w:szCs w:val="21"/>
                <w:highlight w:val="none"/>
              </w:rPr>
            </w:pPr>
            <w:r>
              <w:rPr>
                <w:rFonts w:hint="eastAsia" w:ascii="宋体" w:hAnsi="宋体" w:cs="宋体"/>
                <w:szCs w:val="21"/>
                <w:highlight w:val="none"/>
              </w:rPr>
              <w:t>采购人依据成交通知书，在国家规定的期限内按照磋商文件和成交人的响应文件订立书面合同。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25</w:t>
            </w:r>
          </w:p>
        </w:tc>
        <w:tc>
          <w:tcPr>
            <w:tcW w:w="1639" w:type="dxa"/>
            <w:vAlign w:val="center"/>
          </w:tcPr>
          <w:p>
            <w:pPr>
              <w:snapToGrid w:val="0"/>
              <w:spacing w:line="360" w:lineRule="auto"/>
              <w:jc w:val="center"/>
              <w:textAlignment w:val="bottom"/>
              <w:rPr>
                <w:rFonts w:ascii="宋体" w:hAnsi="宋体" w:cs="宋体"/>
                <w:szCs w:val="21"/>
                <w:highlight w:val="none"/>
              </w:rPr>
            </w:pPr>
            <w:r>
              <w:rPr>
                <w:rFonts w:hint="eastAsia" w:ascii="宋体" w:hAnsi="宋体" w:cs="宋体"/>
                <w:szCs w:val="21"/>
                <w:highlight w:val="none"/>
              </w:rPr>
              <w:t>付款方式</w:t>
            </w:r>
          </w:p>
        </w:tc>
        <w:tc>
          <w:tcPr>
            <w:tcW w:w="6183" w:type="dxa"/>
            <w:gridSpan w:val="2"/>
            <w:vAlign w:val="center"/>
          </w:tcPr>
          <w:p>
            <w:pPr>
              <w:spacing w:line="360" w:lineRule="auto"/>
              <w:ind w:left="20"/>
              <w:rPr>
                <w:rFonts w:ascii="宋体" w:hAnsi="宋体"/>
                <w:bCs/>
                <w:szCs w:val="21"/>
                <w:highlight w:val="none"/>
              </w:rPr>
            </w:pPr>
            <w:r>
              <w:rPr>
                <w:rFonts w:hint="eastAsia" w:ascii="宋体" w:hAnsi="宋体"/>
                <w:bCs/>
                <w:szCs w:val="21"/>
                <w:highlight w:val="none"/>
              </w:rPr>
              <w:t>签订合同后与业主协商。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1"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26</w:t>
            </w:r>
          </w:p>
        </w:tc>
        <w:tc>
          <w:tcPr>
            <w:tcW w:w="1639" w:type="dxa"/>
            <w:vAlign w:val="center"/>
          </w:tcPr>
          <w:p>
            <w:pPr>
              <w:snapToGrid w:val="0"/>
              <w:spacing w:line="360" w:lineRule="auto"/>
              <w:jc w:val="center"/>
              <w:textAlignment w:val="bottom"/>
              <w:rPr>
                <w:rFonts w:ascii="宋体" w:hAnsi="宋体" w:cs="宋体"/>
                <w:szCs w:val="21"/>
                <w:highlight w:val="none"/>
              </w:rPr>
            </w:pPr>
            <w:r>
              <w:rPr>
                <w:rFonts w:ascii="宋体" w:hAnsi="宋体"/>
                <w:szCs w:val="21"/>
                <w:highlight w:val="none"/>
              </w:rPr>
              <w:t>政府采购政策</w:t>
            </w:r>
          </w:p>
        </w:tc>
        <w:tc>
          <w:tcPr>
            <w:tcW w:w="6183" w:type="dxa"/>
            <w:gridSpan w:val="2"/>
            <w:vAlign w:val="center"/>
          </w:tcPr>
          <w:p>
            <w:pPr>
              <w:spacing w:line="360" w:lineRule="auto"/>
              <w:ind w:left="20"/>
              <w:rPr>
                <w:rFonts w:ascii="宋体" w:hAnsi="宋体"/>
                <w:kern w:val="0"/>
                <w:szCs w:val="21"/>
                <w:highlight w:val="none"/>
              </w:rPr>
            </w:pPr>
            <w:r>
              <w:rPr>
                <w:rFonts w:hint="eastAsia" w:ascii="宋体" w:hAnsi="宋体"/>
                <w:kern w:val="0"/>
                <w:szCs w:val="21"/>
                <w:highlight w:val="none"/>
              </w:rPr>
              <w:t>1.依据《财政部 国家发展改革委员会关于印发&lt;节能产品政府采购实施意见&gt;的通知》财库〔2004〕185 号、《国务院办公厅关于建立政府强制采购节能产品制度的通知》国办发〔2007〕51 号、财库〔2019〕9号文件要求，在技术、服务等指标满足采购需求的前提下，要优先采购节能产品，对部分节能效果、性能等达到要求的产品，实行强制采购，各潜在供应商在本次投标活动中，招标货物中如有涉及到节能产品清单内强制采购产品时，必须提供节能产品货物参与投标，并提供相关证明材料。节能清单中无对应细化分类且节能清单中的产品确实无法满足工作需要的，允许在节能清单之外采购。</w:t>
            </w:r>
          </w:p>
          <w:p>
            <w:pPr>
              <w:spacing w:line="360" w:lineRule="auto"/>
              <w:ind w:left="20"/>
              <w:rPr>
                <w:rFonts w:ascii="宋体" w:hAnsi="宋体"/>
                <w:kern w:val="0"/>
                <w:szCs w:val="21"/>
                <w:highlight w:val="none"/>
              </w:rPr>
            </w:pPr>
            <w:r>
              <w:rPr>
                <w:rFonts w:hint="eastAsia" w:ascii="宋体" w:hAnsi="宋体"/>
                <w:kern w:val="0"/>
                <w:szCs w:val="21"/>
                <w:highlight w:val="none"/>
              </w:rPr>
              <w:t>2. 依据《财政部 工业和信息化部 国家质检总局 国家认监委关于信息安全产品实施政府采购的通知》财库〔2010〕48 号文件要求，各潜在供应商在本次投标活动投标货物中，如有涉及到信息安全产品的，则所投涉及到上述货物的产品必须提供由中国信息安全认证中心颁发的有效认证证书。</w:t>
            </w:r>
          </w:p>
          <w:p>
            <w:pPr>
              <w:spacing w:line="360" w:lineRule="auto"/>
              <w:ind w:left="20"/>
              <w:rPr>
                <w:rFonts w:ascii="宋体" w:hAnsi="宋体"/>
                <w:kern w:val="0"/>
                <w:szCs w:val="21"/>
                <w:highlight w:val="none"/>
              </w:rPr>
            </w:pPr>
            <w:r>
              <w:rPr>
                <w:rFonts w:hint="eastAsia" w:ascii="宋体" w:hAnsi="宋体"/>
                <w:kern w:val="0"/>
                <w:szCs w:val="21"/>
                <w:highlight w:val="none"/>
              </w:rPr>
              <w:t>3.根据《关于印发节能产品政府采购品目清单的通知》财库〔2019〕19号文件的要求，本次采购有在通知附件：节能产品政府采购品目清单中标记“★”强制采购产品的，需提供《市场监管总局关于发布参与实施政府采购节能产品、环境标志产品认证机构名录的公告》2019年第16号文件中指定的认证机构出具的节能产品认证证书。</w:t>
            </w:r>
          </w:p>
          <w:p>
            <w:pPr>
              <w:spacing w:line="360" w:lineRule="auto"/>
              <w:ind w:left="20"/>
              <w:rPr>
                <w:rFonts w:ascii="宋体" w:hAnsi="宋体"/>
                <w:kern w:val="0"/>
                <w:szCs w:val="21"/>
                <w:highlight w:val="none"/>
              </w:rPr>
            </w:pPr>
            <w:r>
              <w:rPr>
                <w:rFonts w:hint="eastAsia" w:ascii="宋体" w:hAnsi="宋体"/>
                <w:kern w:val="0"/>
                <w:szCs w:val="21"/>
                <w:highlight w:val="none"/>
              </w:rPr>
              <w:t>4.如若所投产品已列入国家强制性产品认证的产品，必须提供通过国家 3C 认证的有关证明材料（可提供合法查询网址）。</w:t>
            </w:r>
          </w:p>
          <w:p>
            <w:pPr>
              <w:spacing w:line="360" w:lineRule="auto"/>
              <w:ind w:left="20"/>
              <w:rPr>
                <w:rFonts w:ascii="宋体" w:hAnsi="宋体"/>
                <w:kern w:val="0"/>
                <w:szCs w:val="21"/>
                <w:highlight w:val="none"/>
              </w:rPr>
            </w:pPr>
            <w:r>
              <w:rPr>
                <w:rFonts w:hint="eastAsia" w:ascii="宋体" w:hAnsi="宋体"/>
                <w:kern w:val="0"/>
                <w:szCs w:val="21"/>
                <w:highlight w:val="none"/>
              </w:rPr>
              <w:t>5.</w:t>
            </w:r>
            <w:r>
              <w:rPr>
                <w:rFonts w:ascii="宋体" w:hAnsi="宋体"/>
                <w:kern w:val="0"/>
                <w:szCs w:val="21"/>
                <w:highlight w:val="none"/>
              </w:rPr>
              <w:t>优先采购本国产品。依据《政府采购进口产品管理办法》财库〔2007〕119 号，政府采购应当优先采购本国产品，确需采购进口产品的，实行审核管理。本次采购产品均为本国产品，若</w:t>
            </w:r>
            <w:r>
              <w:rPr>
                <w:rFonts w:hint="eastAsia" w:ascii="宋体" w:hAnsi="宋体"/>
                <w:kern w:val="0"/>
                <w:szCs w:val="21"/>
                <w:highlight w:val="none"/>
              </w:rPr>
              <w:t>供应商</w:t>
            </w:r>
            <w:r>
              <w:rPr>
                <w:rFonts w:ascii="宋体" w:hAnsi="宋体"/>
                <w:kern w:val="0"/>
                <w:szCs w:val="21"/>
                <w:highlight w:val="none"/>
              </w:rPr>
              <w:t>提供的单个产品整体为进口产品，将视为非实质性响应磋商文件要求而予以拒绝。</w:t>
            </w:r>
          </w:p>
          <w:p>
            <w:pPr>
              <w:spacing w:line="360" w:lineRule="auto"/>
              <w:ind w:left="20"/>
              <w:rPr>
                <w:rFonts w:ascii="宋体" w:hAnsi="宋体"/>
                <w:kern w:val="0"/>
                <w:szCs w:val="21"/>
                <w:highlight w:val="none"/>
              </w:rPr>
            </w:pPr>
            <w:r>
              <w:rPr>
                <w:rFonts w:hint="eastAsia" w:ascii="宋体" w:hAnsi="宋体"/>
                <w:kern w:val="0"/>
                <w:szCs w:val="21"/>
                <w:highlight w:val="none"/>
              </w:rPr>
              <w:t>6.</w:t>
            </w:r>
            <w:r>
              <w:rPr>
                <w:rFonts w:ascii="宋体" w:hAnsi="宋体"/>
                <w:kern w:val="0"/>
                <w:szCs w:val="21"/>
                <w:highlight w:val="none"/>
              </w:rPr>
              <w:t>采购信息安全产品的，应当采购经国家认证的信息安全产品，供应商 应提供由中国信息安全认证中心按国家标准颁发的有效认证证书。</w:t>
            </w:r>
          </w:p>
          <w:p>
            <w:pPr>
              <w:spacing w:line="360" w:lineRule="auto"/>
              <w:ind w:left="20"/>
              <w:rPr>
                <w:rFonts w:ascii="宋体" w:hAnsi="宋体"/>
                <w:kern w:val="0"/>
                <w:szCs w:val="21"/>
                <w:highlight w:val="none"/>
              </w:rPr>
            </w:pPr>
            <w:r>
              <w:rPr>
                <w:rFonts w:hint="eastAsia" w:ascii="宋体" w:hAnsi="宋体"/>
                <w:kern w:val="0"/>
                <w:szCs w:val="21"/>
                <w:highlight w:val="none"/>
              </w:rPr>
              <w:t>7.</w:t>
            </w:r>
            <w:r>
              <w:rPr>
                <w:rFonts w:ascii="宋体" w:hAnsi="宋体"/>
                <w:kern w:val="0"/>
                <w:szCs w:val="21"/>
                <w:highlight w:val="none"/>
              </w:rPr>
              <w:t>鼓励创新，首购和订购的产品具有首创和自主研发性质，属于自主创新产品的，必须执行《自主创新产品政府收购和订购管理办法》。</w:t>
            </w:r>
          </w:p>
          <w:p>
            <w:pPr>
              <w:spacing w:line="360" w:lineRule="auto"/>
              <w:ind w:left="20"/>
              <w:rPr>
                <w:rFonts w:ascii="宋体" w:hAnsi="宋体"/>
                <w:kern w:val="0"/>
                <w:szCs w:val="21"/>
                <w:highlight w:val="none"/>
              </w:rPr>
            </w:pPr>
            <w:r>
              <w:rPr>
                <w:rFonts w:hint="eastAsia" w:ascii="宋体" w:hAnsi="宋体"/>
                <w:kern w:val="0"/>
                <w:szCs w:val="21"/>
                <w:highlight w:val="none"/>
              </w:rPr>
              <w:t>8.本项目非专门面向中小企业及监狱企业采购项目。根据《政府采购促进中小企 业发展管理办法》（财库﹝2020﹞46 号）、财政部、司法部关于政府采购支持监狱企 业发展有关问题的通知（财库[2014]68 号）的要求，对小型、微型企业及监狱企业 产品的价格给予 6%～10%的扣除，用扣除后的价格参与评审，本项目的扣除比例为： 小型企业扣除 6%，微型企业扣除 6%，监狱企业 6%。</w:t>
            </w:r>
          </w:p>
          <w:p>
            <w:pPr>
              <w:spacing w:line="360" w:lineRule="auto"/>
              <w:ind w:left="20"/>
              <w:rPr>
                <w:rFonts w:ascii="宋体" w:hAnsi="宋体"/>
                <w:kern w:val="0"/>
                <w:szCs w:val="21"/>
                <w:highlight w:val="none"/>
              </w:rPr>
            </w:pPr>
            <w:r>
              <w:rPr>
                <w:rFonts w:hint="eastAsia" w:ascii="宋体" w:hAnsi="宋体"/>
                <w:kern w:val="0"/>
                <w:szCs w:val="21"/>
                <w:highlight w:val="none"/>
              </w:rPr>
              <w:t xml:space="preserve">9、根据《三部门联合发布关于促进残疾人就业政府采购政策的通知》（财库 [2017]141 号）的规定，在政府采购活动中，残疾人福利性单位视同小型、微型企业， 享受预留份额、评审中价格扣除等促进中小企业发展的政府采购政策。向残疾人福利 性单位采购的金额，计入面向中小企业采购的统计数据。残疾人福利性单位属于小型、 微型企业的，不重复享受政策，价格扣除比例同小微企业。 </w:t>
            </w:r>
          </w:p>
          <w:p>
            <w:pPr>
              <w:spacing w:line="360" w:lineRule="auto"/>
              <w:ind w:left="20"/>
              <w:rPr>
                <w:rFonts w:ascii="宋体" w:hAnsi="宋体"/>
                <w:kern w:val="0"/>
                <w:szCs w:val="21"/>
                <w:highlight w:val="none"/>
              </w:rPr>
            </w:pPr>
            <w:r>
              <w:rPr>
                <w:rFonts w:hint="eastAsia" w:ascii="宋体" w:hAnsi="宋体"/>
                <w:kern w:val="0"/>
                <w:szCs w:val="21"/>
                <w:highlight w:val="none"/>
              </w:rPr>
              <w:t>10.其他未尽事项，按有关法规执行。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27</w:t>
            </w:r>
          </w:p>
        </w:tc>
        <w:tc>
          <w:tcPr>
            <w:tcW w:w="1639" w:type="dxa"/>
            <w:vAlign w:val="center"/>
          </w:tcPr>
          <w:p>
            <w:pPr>
              <w:snapToGrid w:val="0"/>
              <w:spacing w:line="360" w:lineRule="auto"/>
              <w:jc w:val="center"/>
              <w:textAlignment w:val="bottom"/>
              <w:rPr>
                <w:rFonts w:ascii="宋体" w:hAnsi="宋体"/>
                <w:szCs w:val="21"/>
                <w:highlight w:val="none"/>
              </w:rPr>
            </w:pPr>
            <w:r>
              <w:rPr>
                <w:szCs w:val="21"/>
                <w:highlight w:val="none"/>
              </w:rPr>
              <w:t>磋商文件质疑</w:t>
            </w:r>
          </w:p>
        </w:tc>
        <w:tc>
          <w:tcPr>
            <w:tcW w:w="6183" w:type="dxa"/>
            <w:gridSpan w:val="2"/>
            <w:vAlign w:val="center"/>
          </w:tcPr>
          <w:p>
            <w:pPr>
              <w:spacing w:line="360" w:lineRule="auto"/>
              <w:ind w:left="20"/>
              <w:rPr>
                <w:rFonts w:ascii="宋体" w:hAnsi="宋体"/>
                <w:kern w:val="0"/>
                <w:szCs w:val="21"/>
                <w:highlight w:val="none"/>
              </w:rPr>
            </w:pPr>
            <w:r>
              <w:rPr>
                <w:rFonts w:ascii="宋体" w:hAnsi="宋体"/>
                <w:kern w:val="0"/>
                <w:szCs w:val="21"/>
                <w:highlight w:val="none"/>
              </w:rPr>
              <w:t>供应商认为采购文件、采购过程和成交结果使自己的权益受到损害的, 可以在知道或者应知其权益受到损害之日起七个工作日内，按照政府采购质疑和投诉办法（中华人民共和国财政部令94号）以书面形式向采购人或采购代理机构提出质疑，逾期不再接收。</w:t>
            </w:r>
          </w:p>
          <w:p>
            <w:pPr>
              <w:spacing w:line="360" w:lineRule="auto"/>
              <w:ind w:left="20"/>
              <w:rPr>
                <w:rFonts w:ascii="宋体" w:hAnsi="宋体"/>
                <w:b/>
                <w:kern w:val="0"/>
                <w:szCs w:val="21"/>
                <w:highlight w:val="none"/>
              </w:rPr>
            </w:pPr>
            <w:r>
              <w:rPr>
                <w:rFonts w:ascii="宋体" w:hAnsi="宋体"/>
                <w:b/>
                <w:kern w:val="0"/>
                <w:szCs w:val="21"/>
                <w:highlight w:val="none"/>
              </w:rPr>
              <w:t>在法定质疑期内</w:t>
            </w:r>
            <w:r>
              <w:rPr>
                <w:rFonts w:hint="eastAsia" w:ascii="宋体" w:hAnsi="宋体"/>
                <w:b/>
                <w:kern w:val="0"/>
                <w:szCs w:val="21"/>
                <w:highlight w:val="none"/>
              </w:rPr>
              <w:t>供应商</w:t>
            </w:r>
            <w:r>
              <w:rPr>
                <w:rFonts w:ascii="宋体" w:hAnsi="宋体"/>
                <w:b/>
                <w:kern w:val="0"/>
                <w:szCs w:val="21"/>
                <w:highlight w:val="none"/>
              </w:rPr>
              <w:t>针对同一采购程序环节的质疑应当一次性提出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757" w:type="dxa"/>
            <w:vAlign w:val="center"/>
          </w:tcPr>
          <w:p>
            <w:pPr>
              <w:jc w:val="center"/>
              <w:rPr>
                <w:rFonts w:ascii="宋体" w:hAnsi="宋体" w:cs="宋体"/>
                <w:szCs w:val="21"/>
                <w:highlight w:val="none"/>
              </w:rPr>
            </w:pPr>
            <w:r>
              <w:rPr>
                <w:rFonts w:hint="eastAsia" w:ascii="宋体" w:hAnsi="宋体" w:cs="宋体"/>
                <w:szCs w:val="21"/>
                <w:highlight w:val="none"/>
              </w:rPr>
              <w:t>28</w:t>
            </w:r>
          </w:p>
        </w:tc>
        <w:tc>
          <w:tcPr>
            <w:tcW w:w="1639" w:type="dxa"/>
            <w:vAlign w:val="center"/>
          </w:tcPr>
          <w:p>
            <w:pPr>
              <w:snapToGrid w:val="0"/>
              <w:spacing w:line="360" w:lineRule="auto"/>
              <w:jc w:val="center"/>
              <w:textAlignment w:val="bottom"/>
              <w:rPr>
                <w:szCs w:val="21"/>
                <w:highlight w:val="none"/>
              </w:rPr>
            </w:pPr>
            <w:r>
              <w:rPr>
                <w:rFonts w:hint="eastAsia"/>
                <w:szCs w:val="21"/>
                <w:highlight w:val="none"/>
              </w:rPr>
              <w:t>代理服务费</w:t>
            </w:r>
          </w:p>
        </w:tc>
        <w:tc>
          <w:tcPr>
            <w:tcW w:w="6183" w:type="dxa"/>
            <w:gridSpan w:val="2"/>
            <w:vAlign w:val="center"/>
          </w:tcPr>
          <w:p>
            <w:pPr>
              <w:spacing w:line="360" w:lineRule="auto"/>
              <w:ind w:left="20" w:firstLine="420" w:firstLineChars="200"/>
              <w:rPr>
                <w:rFonts w:ascii="宋体" w:hAnsi="宋体"/>
                <w:kern w:val="0"/>
                <w:szCs w:val="21"/>
                <w:highlight w:val="none"/>
              </w:rPr>
            </w:pPr>
            <w:r>
              <w:rPr>
                <w:rFonts w:hint="eastAsia" w:ascii="宋体" w:hAnsi="宋体"/>
                <w:kern w:val="0"/>
                <w:szCs w:val="21"/>
                <w:highlight w:val="none"/>
              </w:rPr>
              <w:t xml:space="preserve">参照国家发展和改革委员会办公厅《招标代理服务收费管理暂行办法》（计价格[2002]1980 号）和国家发改价格[2011]534 号文件规定的收费标准向成交人收取。 </w:t>
            </w:r>
          </w:p>
          <w:p>
            <w:pPr>
              <w:spacing w:line="360" w:lineRule="auto"/>
              <w:ind w:left="20" w:firstLine="420" w:firstLineChars="200"/>
              <w:rPr>
                <w:rFonts w:ascii="宋体" w:hAnsi="宋体"/>
                <w:bCs/>
                <w:kern w:val="0"/>
                <w:szCs w:val="21"/>
                <w:highlight w:val="none"/>
              </w:rPr>
            </w:pPr>
            <w:r>
              <w:rPr>
                <w:rFonts w:hint="eastAsia" w:ascii="宋体" w:hAnsi="宋体"/>
                <w:bCs/>
                <w:kern w:val="0"/>
                <w:szCs w:val="21"/>
                <w:highlight w:val="none"/>
              </w:rPr>
              <w:t xml:space="preserve">成交供应商在领取成交通知书前将代理服务费交至百汇项目管理有限公司账户信息如下： </w:t>
            </w:r>
          </w:p>
          <w:p>
            <w:pPr>
              <w:spacing w:line="360" w:lineRule="auto"/>
              <w:ind w:left="20" w:firstLine="348" w:firstLineChars="166"/>
              <w:rPr>
                <w:rFonts w:ascii="宋体" w:hAnsi="宋体"/>
                <w:bCs/>
                <w:kern w:val="0"/>
                <w:szCs w:val="21"/>
                <w:highlight w:val="none"/>
              </w:rPr>
            </w:pPr>
            <w:r>
              <w:rPr>
                <w:rFonts w:hint="eastAsia" w:ascii="宋体" w:hAnsi="宋体"/>
                <w:bCs/>
                <w:kern w:val="0"/>
                <w:szCs w:val="21"/>
                <w:highlight w:val="none"/>
              </w:rPr>
              <w:t>开户名称：百汇项目管理有限公司</w:t>
            </w:r>
          </w:p>
          <w:p>
            <w:pPr>
              <w:spacing w:line="360" w:lineRule="auto"/>
              <w:ind w:left="20" w:firstLine="348" w:firstLineChars="166"/>
              <w:rPr>
                <w:rFonts w:ascii="宋体" w:hAnsi="宋体"/>
                <w:bCs/>
                <w:kern w:val="0"/>
                <w:szCs w:val="21"/>
                <w:highlight w:val="none"/>
              </w:rPr>
            </w:pPr>
            <w:r>
              <w:rPr>
                <w:rFonts w:hint="eastAsia" w:ascii="宋体" w:hAnsi="宋体"/>
                <w:bCs/>
                <w:kern w:val="0"/>
                <w:szCs w:val="21"/>
                <w:highlight w:val="none"/>
              </w:rPr>
              <w:t>开 户 行：中国建设银行郑州市铁路支行</w:t>
            </w:r>
          </w:p>
          <w:p>
            <w:pPr>
              <w:spacing w:line="360" w:lineRule="auto"/>
              <w:ind w:left="20" w:firstLine="348" w:firstLineChars="166"/>
              <w:rPr>
                <w:rFonts w:ascii="宋体" w:hAnsi="宋体"/>
                <w:bCs/>
                <w:kern w:val="0"/>
                <w:szCs w:val="21"/>
                <w:highlight w:val="none"/>
              </w:rPr>
            </w:pPr>
            <w:r>
              <w:rPr>
                <w:rFonts w:hint="eastAsia" w:ascii="宋体" w:hAnsi="宋体"/>
                <w:bCs/>
                <w:kern w:val="0"/>
                <w:szCs w:val="21"/>
                <w:highlight w:val="none"/>
              </w:rPr>
              <w:t>帐    号：41001505010050213769</w:t>
            </w:r>
          </w:p>
          <w:p>
            <w:pPr>
              <w:spacing w:line="360" w:lineRule="auto"/>
              <w:ind w:left="20" w:firstLine="348" w:firstLineChars="166"/>
              <w:rPr>
                <w:rFonts w:ascii="宋体" w:hAnsi="宋体"/>
                <w:bCs/>
                <w:kern w:val="0"/>
                <w:szCs w:val="21"/>
                <w:highlight w:val="none"/>
              </w:rPr>
            </w:pPr>
            <w:r>
              <w:rPr>
                <w:rFonts w:hint="eastAsia" w:ascii="宋体" w:hAnsi="宋体"/>
                <w:bCs/>
                <w:kern w:val="0"/>
                <w:szCs w:val="21"/>
                <w:highlight w:val="none"/>
              </w:rPr>
              <w:t>开户行行号：105491000055</w:t>
            </w:r>
          </w:p>
          <w:p>
            <w:pPr>
              <w:spacing w:line="360" w:lineRule="auto"/>
              <w:ind w:left="20" w:firstLine="348" w:firstLineChars="166"/>
              <w:rPr>
                <w:rFonts w:ascii="宋体" w:hAnsi="宋体"/>
                <w:bCs/>
                <w:kern w:val="0"/>
                <w:szCs w:val="21"/>
                <w:highlight w:val="none"/>
              </w:rPr>
            </w:pPr>
            <w:r>
              <w:rPr>
                <w:rFonts w:hint="eastAsia" w:ascii="宋体" w:hAnsi="宋体"/>
                <w:bCs/>
                <w:kern w:val="0"/>
                <w:szCs w:val="21"/>
                <w:highlight w:val="none"/>
              </w:rPr>
              <w:t>联 系 人：李女士</w:t>
            </w:r>
          </w:p>
          <w:p>
            <w:pPr>
              <w:spacing w:line="360" w:lineRule="auto"/>
              <w:ind w:left="20" w:firstLine="348" w:firstLineChars="166"/>
              <w:rPr>
                <w:rFonts w:ascii="宋体" w:hAnsi="宋体"/>
                <w:b/>
                <w:kern w:val="0"/>
                <w:szCs w:val="21"/>
                <w:highlight w:val="none"/>
              </w:rPr>
            </w:pPr>
            <w:r>
              <w:rPr>
                <w:rFonts w:hint="eastAsia" w:ascii="宋体" w:hAnsi="宋体"/>
                <w:bCs/>
                <w:kern w:val="0"/>
                <w:szCs w:val="21"/>
                <w:highlight w:val="none"/>
              </w:rPr>
              <w:t>联系电话：0371-66662058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757" w:type="dxa"/>
            <w:vAlign w:val="center"/>
          </w:tcPr>
          <w:p>
            <w:pPr>
              <w:jc w:val="center"/>
              <w:rPr>
                <w:rFonts w:ascii="宋体" w:hAnsi="宋体" w:cs="宋体"/>
                <w:b/>
                <w:szCs w:val="21"/>
                <w:highlight w:val="none"/>
              </w:rPr>
            </w:pPr>
            <w:r>
              <w:rPr>
                <w:rFonts w:hint="eastAsia" w:ascii="宋体" w:hAnsi="宋体" w:cs="宋体"/>
                <w:b/>
                <w:szCs w:val="21"/>
                <w:highlight w:val="none"/>
              </w:rPr>
              <w:t>29</w:t>
            </w:r>
          </w:p>
        </w:tc>
        <w:tc>
          <w:tcPr>
            <w:tcW w:w="1639" w:type="dxa"/>
            <w:vAlign w:val="center"/>
          </w:tcPr>
          <w:p>
            <w:pPr>
              <w:snapToGrid w:val="0"/>
              <w:spacing w:line="360" w:lineRule="auto"/>
              <w:jc w:val="center"/>
              <w:textAlignment w:val="bottom"/>
              <w:rPr>
                <w:b/>
                <w:szCs w:val="21"/>
                <w:highlight w:val="none"/>
              </w:rPr>
            </w:pPr>
            <w:r>
              <w:rPr>
                <w:rFonts w:hint="eastAsia"/>
                <w:b/>
                <w:szCs w:val="21"/>
                <w:highlight w:val="none"/>
              </w:rPr>
              <w:t>特别提示</w:t>
            </w:r>
          </w:p>
        </w:tc>
        <w:tc>
          <w:tcPr>
            <w:tcW w:w="6183" w:type="dxa"/>
            <w:gridSpan w:val="2"/>
            <w:vAlign w:val="center"/>
          </w:tcPr>
          <w:p>
            <w:pPr>
              <w:spacing w:line="360" w:lineRule="auto"/>
              <w:ind w:left="20"/>
              <w:rPr>
                <w:rFonts w:ascii="宋体" w:hAnsi="宋体"/>
                <w:b/>
                <w:kern w:val="0"/>
                <w:szCs w:val="21"/>
                <w:highlight w:val="none"/>
              </w:rPr>
            </w:pPr>
            <w:r>
              <w:rPr>
                <w:rFonts w:hint="eastAsia" w:ascii="宋体" w:hAnsi="宋体"/>
                <w:b/>
                <w:kern w:val="0"/>
                <w:szCs w:val="21"/>
                <w:highlight w:val="none"/>
              </w:rPr>
              <w:t>1、在项目开启后，竞争性磋商小组对供应商发起的澄清、磋商以及二次报价等事项均通过系统进行，供应商应密切关注系统通知、提示的待办事项，并按照系统要求进行相应回复及报价，否则，由此引起的所有后果和责任由供应商承担。采购代理机构不承担一切后果和法律责任。</w:t>
            </w:r>
          </w:p>
          <w:p>
            <w:pPr>
              <w:spacing w:line="360" w:lineRule="auto"/>
              <w:ind w:left="20"/>
              <w:rPr>
                <w:rFonts w:ascii="宋体" w:hAnsi="宋体"/>
                <w:b/>
                <w:kern w:val="0"/>
                <w:szCs w:val="21"/>
                <w:highlight w:val="none"/>
              </w:rPr>
            </w:pPr>
            <w:r>
              <w:rPr>
                <w:rFonts w:hint="eastAsia" w:ascii="宋体" w:hAnsi="宋体"/>
                <w:b/>
                <w:kern w:val="0"/>
                <w:szCs w:val="21"/>
                <w:highlight w:val="none"/>
              </w:rPr>
              <w:t>注：供应商应按照“河南省公共资源交易中心（www.hnggzy.com）”网站公共服务（办事指南）“河南省公共资源交易平台不见面服务系统使用指南”的要求进行操作。</w:t>
            </w:r>
          </w:p>
        </w:tc>
      </w:tr>
    </w:tbl>
    <w:p>
      <w:pPr>
        <w:rPr>
          <w:rFonts w:ascii="宋体" w:hAnsi="宋体"/>
          <w:highlight w:val="none"/>
        </w:rPr>
      </w:pPr>
      <w:bookmarkStart w:id="16" w:name="_Toc98041602"/>
    </w:p>
    <w:p>
      <w:pPr>
        <w:rPr>
          <w:rFonts w:ascii="宋体" w:hAnsi="宋体" w:cs="宋体"/>
          <w:bCs/>
          <w:kern w:val="0"/>
          <w:szCs w:val="21"/>
          <w:highlight w:val="none"/>
        </w:rPr>
      </w:pPr>
      <w:r>
        <w:rPr>
          <w:rFonts w:ascii="宋体" w:hAnsi="宋体"/>
          <w:szCs w:val="21"/>
          <w:highlight w:val="none"/>
        </w:rPr>
        <w:br w:type="page"/>
      </w:r>
      <w:bookmarkStart w:id="17" w:name="_Toc32216"/>
      <w:bookmarkStart w:id="18" w:name="_Toc23842"/>
      <w:bookmarkStart w:id="19" w:name="_Toc7197"/>
      <w:bookmarkStart w:id="20" w:name="_Toc28844"/>
      <w:bookmarkStart w:id="21" w:name="_Toc6239813"/>
      <w:bookmarkStart w:id="22" w:name="_Toc24807"/>
      <w:r>
        <w:rPr>
          <w:rFonts w:hint="eastAsia" w:ascii="宋体" w:hAnsi="宋体" w:cs="宋体"/>
          <w:bCs/>
          <w:kern w:val="0"/>
          <w:szCs w:val="21"/>
          <w:highlight w:val="none"/>
        </w:rPr>
        <w:t xml:space="preserve">附件一： </w:t>
      </w:r>
    </w:p>
    <w:p>
      <w:pPr>
        <w:spacing w:line="360" w:lineRule="auto"/>
        <w:jc w:val="center"/>
        <w:rPr>
          <w:rFonts w:ascii="宋体" w:hAnsi="宋体" w:cs="宋体"/>
          <w:b/>
          <w:kern w:val="0"/>
          <w:szCs w:val="21"/>
          <w:highlight w:val="none"/>
        </w:rPr>
      </w:pPr>
      <w:r>
        <w:rPr>
          <w:rFonts w:hint="eastAsia" w:ascii="宋体" w:hAnsi="宋体" w:cs="宋体"/>
          <w:b/>
          <w:kern w:val="0"/>
          <w:szCs w:val="21"/>
          <w:highlight w:val="none"/>
        </w:rPr>
        <w:t>河南省政府采购合同融资政策告知函</w:t>
      </w:r>
    </w:p>
    <w:p>
      <w:pPr>
        <w:spacing w:line="360" w:lineRule="auto"/>
        <w:ind w:left="20" w:firstLine="420" w:firstLineChars="200"/>
        <w:rPr>
          <w:rFonts w:ascii="宋体" w:hAnsi="宋体"/>
          <w:bCs/>
          <w:kern w:val="0"/>
          <w:szCs w:val="21"/>
          <w:highlight w:val="none"/>
        </w:rPr>
      </w:pPr>
      <w:r>
        <w:rPr>
          <w:rFonts w:hint="eastAsia" w:ascii="宋体" w:hAnsi="宋体"/>
          <w:bCs/>
          <w:kern w:val="0"/>
          <w:szCs w:val="21"/>
          <w:highlight w:val="none"/>
        </w:rPr>
        <w:t>各供应商：</w:t>
      </w:r>
    </w:p>
    <w:p>
      <w:pPr>
        <w:spacing w:line="360" w:lineRule="auto"/>
        <w:ind w:left="20" w:firstLine="420" w:firstLineChars="200"/>
        <w:rPr>
          <w:rFonts w:ascii="宋体" w:hAnsi="宋体"/>
          <w:bCs/>
          <w:kern w:val="0"/>
          <w:szCs w:val="21"/>
          <w:highlight w:val="none"/>
        </w:rPr>
      </w:pPr>
      <w:r>
        <w:rPr>
          <w:rFonts w:hint="eastAsia" w:ascii="宋体" w:hAnsi="宋体"/>
          <w:bCs/>
          <w:kern w:val="0"/>
          <w:szCs w:val="21"/>
          <w:highlight w:val="none"/>
        </w:rPr>
        <w:t>欢迎贵公司参与河南省政府采购活动！</w:t>
      </w:r>
    </w:p>
    <w:p>
      <w:pPr>
        <w:spacing w:line="360" w:lineRule="auto"/>
        <w:ind w:left="20" w:firstLine="420" w:firstLineChars="200"/>
        <w:rPr>
          <w:rFonts w:ascii="宋体" w:hAnsi="宋体"/>
          <w:bCs/>
          <w:kern w:val="0"/>
          <w:szCs w:val="21"/>
          <w:highlight w:val="none"/>
        </w:rPr>
      </w:pPr>
      <w:r>
        <w:rPr>
          <w:rFonts w:hint="eastAsia" w:ascii="宋体" w:hAnsi="宋体"/>
          <w:bCs/>
          <w:kern w:val="0"/>
          <w:szCs w:val="21"/>
          <w:highlight w:val="none"/>
        </w:rPr>
        <w:t>政府采购合同融资是河南省财政厅支持中小微企业发展，针对参与政府采购活动的供应 商融资难、融资贵问题推出的一项融资政策。贵公司若成为本次政府采购项目的中标成交供 应商，可持政府采购合同向金融机构申请贷款，无需抵押、担保，融资机构将根据《河南省 政府采购合同融资工作实施方案》（豫财购〔2017〕10 号），按照双方自愿的原则提供便捷、优惠的贷款服务。</w:t>
      </w:r>
    </w:p>
    <w:p>
      <w:pPr>
        <w:spacing w:line="360" w:lineRule="auto"/>
        <w:ind w:left="20" w:firstLine="420" w:firstLineChars="200"/>
        <w:rPr>
          <w:rFonts w:ascii="宋体" w:hAnsi="宋体" w:cs="宋体"/>
          <w:szCs w:val="21"/>
          <w:highlight w:val="none"/>
        </w:rPr>
      </w:pPr>
      <w:r>
        <w:rPr>
          <w:rFonts w:hint="eastAsia" w:ascii="宋体" w:hAnsi="宋体"/>
          <w:bCs/>
          <w:kern w:val="0"/>
          <w:szCs w:val="21"/>
          <w:highlight w:val="none"/>
        </w:rPr>
        <w:t>贷款渠道和提供贷款的金融机构，可在河南省政府采购网“河南省政府采购合同融资平 台”查询联系。</w:t>
      </w:r>
      <w:r>
        <w:rPr>
          <w:rFonts w:hint="eastAsia" w:ascii="宋体" w:hAnsi="宋体" w:cs="宋体"/>
          <w:szCs w:val="21"/>
          <w:highlight w:val="none"/>
        </w:rPr>
        <w:br w:type="page"/>
      </w:r>
    </w:p>
    <w:p>
      <w:pPr>
        <w:pStyle w:val="5"/>
        <w:jc w:val="center"/>
        <w:rPr>
          <w:rFonts w:ascii="宋体" w:hAnsi="宋体" w:eastAsia="宋体"/>
          <w:sz w:val="21"/>
          <w:szCs w:val="21"/>
          <w:highlight w:val="none"/>
        </w:rPr>
      </w:pPr>
      <w:r>
        <w:rPr>
          <w:rFonts w:hint="eastAsia" w:ascii="宋体" w:hAnsi="宋体" w:eastAsia="宋体"/>
          <w:sz w:val="21"/>
          <w:szCs w:val="21"/>
          <w:highlight w:val="none"/>
        </w:rPr>
        <w:t>二</w:t>
      </w:r>
      <w:r>
        <w:rPr>
          <w:rFonts w:ascii="宋体" w:hAnsi="宋体" w:eastAsia="宋体"/>
          <w:sz w:val="21"/>
          <w:szCs w:val="21"/>
          <w:highlight w:val="none"/>
        </w:rPr>
        <w:t>、</w:t>
      </w:r>
      <w:r>
        <w:rPr>
          <w:rFonts w:hint="eastAsia" w:ascii="宋体" w:hAnsi="宋体" w:eastAsia="宋体"/>
          <w:sz w:val="21"/>
          <w:szCs w:val="21"/>
          <w:highlight w:val="none"/>
        </w:rPr>
        <w:t>供应商</w:t>
      </w:r>
      <w:r>
        <w:rPr>
          <w:rFonts w:ascii="宋体" w:hAnsi="宋体" w:eastAsia="宋体"/>
          <w:sz w:val="21"/>
          <w:szCs w:val="21"/>
          <w:highlight w:val="none"/>
        </w:rPr>
        <w:t>须知</w:t>
      </w:r>
      <w:bookmarkEnd w:id="17"/>
      <w:bookmarkEnd w:id="18"/>
      <w:bookmarkEnd w:id="19"/>
      <w:bookmarkEnd w:id="20"/>
      <w:bookmarkEnd w:id="21"/>
      <w:bookmarkEnd w:id="22"/>
    </w:p>
    <w:bookmarkEnd w:id="16"/>
    <w:p>
      <w:pPr>
        <w:spacing w:line="360" w:lineRule="auto"/>
        <w:rPr>
          <w:rFonts w:ascii="宋体" w:hAnsi="宋体"/>
          <w:b/>
          <w:bCs/>
          <w:szCs w:val="21"/>
          <w:highlight w:val="none"/>
        </w:rPr>
      </w:pPr>
      <w:r>
        <w:rPr>
          <w:rFonts w:ascii="宋体" w:hAnsi="宋体"/>
          <w:b/>
          <w:bCs/>
          <w:szCs w:val="21"/>
          <w:highlight w:val="none"/>
        </w:rPr>
        <w:t>1</w:t>
      </w:r>
      <w:r>
        <w:rPr>
          <w:rFonts w:hint="eastAsia" w:ascii="宋体" w:hAnsi="宋体"/>
          <w:b/>
          <w:bCs/>
          <w:szCs w:val="21"/>
          <w:highlight w:val="none"/>
        </w:rPr>
        <w:t>．适用范围</w:t>
      </w:r>
    </w:p>
    <w:p>
      <w:pPr>
        <w:spacing w:line="360" w:lineRule="auto"/>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 xml:space="preserve">1  </w:t>
      </w:r>
      <w:r>
        <w:rPr>
          <w:rFonts w:hint="eastAsia" w:ascii="宋体" w:hAnsi="宋体"/>
          <w:szCs w:val="21"/>
          <w:highlight w:val="none"/>
        </w:rPr>
        <w:t>本磋商文件仅适用于本次竞争性磋商所叙述的货物及其伴随服务。遵循《中华人民共和国政府采购法》、《中华人民共和国政府采购法实施条例》、《政府采购竞争性磋商采购方式管理暂行办法》（财库〔2014〕214号）、《</w:t>
      </w:r>
      <w:r>
        <w:rPr>
          <w:rFonts w:ascii="宋体" w:hAnsi="宋体"/>
          <w:bCs/>
          <w:szCs w:val="21"/>
          <w:highlight w:val="none"/>
        </w:rPr>
        <w:t>财政部关于政府采购竞争性磋商采购方式管理暂行办法有关问题的补充通知</w:t>
      </w:r>
      <w:r>
        <w:rPr>
          <w:rFonts w:hint="eastAsia" w:ascii="宋体" w:hAnsi="宋体"/>
          <w:szCs w:val="21"/>
          <w:highlight w:val="none"/>
        </w:rPr>
        <w:t>》（</w:t>
      </w:r>
      <w:r>
        <w:rPr>
          <w:rFonts w:ascii="宋体" w:hAnsi="宋体"/>
          <w:szCs w:val="21"/>
          <w:highlight w:val="none"/>
        </w:rPr>
        <w:t>财库〔2015〕124号</w:t>
      </w:r>
      <w:r>
        <w:rPr>
          <w:rFonts w:hint="eastAsia" w:ascii="宋体" w:hAnsi="宋体"/>
          <w:szCs w:val="21"/>
          <w:highlight w:val="none"/>
        </w:rPr>
        <w:t>）等法律法规</w:t>
      </w:r>
      <w:r>
        <w:rPr>
          <w:rFonts w:ascii="宋体" w:hAnsi="宋体"/>
          <w:szCs w:val="21"/>
          <w:highlight w:val="none"/>
        </w:rPr>
        <w:t>。</w:t>
      </w:r>
    </w:p>
    <w:p>
      <w:pPr>
        <w:spacing w:line="360" w:lineRule="auto"/>
        <w:rPr>
          <w:rFonts w:ascii="宋体" w:hAnsi="宋体"/>
          <w:b/>
          <w:bCs/>
          <w:szCs w:val="21"/>
          <w:highlight w:val="none"/>
        </w:rPr>
      </w:pPr>
      <w:r>
        <w:rPr>
          <w:rFonts w:ascii="宋体" w:hAnsi="宋体"/>
          <w:b/>
          <w:bCs/>
          <w:szCs w:val="21"/>
          <w:highlight w:val="none"/>
        </w:rPr>
        <w:t>2</w:t>
      </w:r>
      <w:r>
        <w:rPr>
          <w:rFonts w:hint="eastAsia" w:ascii="宋体" w:hAnsi="宋体"/>
          <w:b/>
          <w:bCs/>
          <w:szCs w:val="21"/>
          <w:highlight w:val="none"/>
        </w:rPr>
        <w:t>．定义</w:t>
      </w:r>
    </w:p>
    <w:p>
      <w:pPr>
        <w:spacing w:line="360" w:lineRule="auto"/>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 xml:space="preserve">1 </w:t>
      </w:r>
      <w:r>
        <w:rPr>
          <w:rFonts w:hint="eastAsia" w:ascii="宋体" w:hAnsi="宋体"/>
          <w:szCs w:val="21"/>
          <w:highlight w:val="none"/>
        </w:rPr>
        <w:t xml:space="preserve">采购代理机构：是指受采购人委托组织本次招标采购的中介组织。 </w:t>
      </w:r>
    </w:p>
    <w:p>
      <w:pPr>
        <w:spacing w:line="360" w:lineRule="auto"/>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 xml:space="preserve">2 </w:t>
      </w:r>
      <w:r>
        <w:rPr>
          <w:rFonts w:hint="eastAsia" w:ascii="宋体" w:hAnsi="宋体"/>
          <w:szCs w:val="21"/>
          <w:highlight w:val="none"/>
        </w:rPr>
        <w:t xml:space="preserve">供应商：指已按规定获取了该项目的竞争性磋商文件，且已经递交或准备递交本次竞争性磋商响应文件的制造商、供应商或服务商。 </w:t>
      </w:r>
    </w:p>
    <w:p>
      <w:pPr>
        <w:spacing w:line="360" w:lineRule="auto"/>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 xml:space="preserve">3 </w:t>
      </w:r>
      <w:r>
        <w:rPr>
          <w:rFonts w:hint="eastAsia" w:ascii="宋体" w:hAnsi="宋体"/>
          <w:szCs w:val="21"/>
          <w:highlight w:val="none"/>
        </w:rPr>
        <w:t>采购人：供应商须知前附表”中所述的、依法进行政府采购的国家机关、事业单位、团体组织。</w:t>
      </w:r>
    </w:p>
    <w:p>
      <w:pPr>
        <w:spacing w:line="360" w:lineRule="auto"/>
        <w:rPr>
          <w:rFonts w:ascii="宋体" w:hAnsi="宋体"/>
          <w:szCs w:val="21"/>
          <w:highlight w:val="none"/>
        </w:rPr>
      </w:pPr>
      <w:r>
        <w:rPr>
          <w:rFonts w:ascii="宋体" w:hAnsi="宋体"/>
          <w:szCs w:val="21"/>
          <w:highlight w:val="none"/>
        </w:rPr>
        <w:t>2</w:t>
      </w:r>
      <w:r>
        <w:rPr>
          <w:rFonts w:hint="eastAsia" w:ascii="宋体" w:hAnsi="宋体"/>
          <w:szCs w:val="21"/>
          <w:highlight w:val="none"/>
        </w:rPr>
        <w:t>．4“货物”系指除了咨询服务以外的所有的物品或包括附件、备品备件、用于运输和安装的包装、培训、维修和其他类似服务的供应。</w:t>
      </w:r>
    </w:p>
    <w:p>
      <w:pPr>
        <w:spacing w:line="360" w:lineRule="auto"/>
        <w:rPr>
          <w:rFonts w:ascii="宋体" w:hAnsi="宋体"/>
          <w:szCs w:val="21"/>
          <w:highlight w:val="none"/>
        </w:rPr>
      </w:pPr>
      <w:r>
        <w:rPr>
          <w:rFonts w:ascii="宋体" w:hAnsi="宋体"/>
          <w:szCs w:val="21"/>
          <w:highlight w:val="none"/>
        </w:rPr>
        <w:t>2</w:t>
      </w:r>
      <w:r>
        <w:rPr>
          <w:rFonts w:hint="eastAsia" w:ascii="宋体" w:hAnsi="宋体"/>
          <w:szCs w:val="21"/>
          <w:highlight w:val="none"/>
        </w:rPr>
        <w:t>．5“服务”系指磋商文件规定供应商应承担的技术服务、技术协助、及售后服务和其他类似的义务。</w:t>
      </w:r>
    </w:p>
    <w:p>
      <w:pPr>
        <w:spacing w:line="360" w:lineRule="auto"/>
        <w:rPr>
          <w:rFonts w:ascii="宋体" w:hAnsi="宋体"/>
          <w:b/>
          <w:bCs/>
          <w:szCs w:val="21"/>
          <w:highlight w:val="none"/>
        </w:rPr>
      </w:pPr>
      <w:r>
        <w:rPr>
          <w:rFonts w:ascii="宋体" w:hAnsi="宋体"/>
          <w:b/>
          <w:bCs/>
          <w:szCs w:val="21"/>
          <w:highlight w:val="none"/>
        </w:rPr>
        <w:t>3</w:t>
      </w:r>
      <w:r>
        <w:rPr>
          <w:rFonts w:hint="eastAsia" w:ascii="宋体" w:hAnsi="宋体"/>
          <w:b/>
          <w:bCs/>
          <w:szCs w:val="21"/>
          <w:highlight w:val="none"/>
        </w:rPr>
        <w:t>．合格的供应商</w:t>
      </w:r>
    </w:p>
    <w:p>
      <w:pPr>
        <w:spacing w:line="360" w:lineRule="auto"/>
        <w:ind w:firstLine="315" w:firstLineChars="150"/>
        <w:rPr>
          <w:rFonts w:ascii="宋体" w:hAnsi="宋体"/>
          <w:szCs w:val="21"/>
          <w:highlight w:val="none"/>
        </w:rPr>
      </w:pPr>
      <w:r>
        <w:rPr>
          <w:rFonts w:hint="eastAsia" w:ascii="宋体" w:hAnsi="宋体"/>
          <w:szCs w:val="21"/>
          <w:highlight w:val="none"/>
        </w:rPr>
        <w:t>详见供应商须知前附表</w:t>
      </w:r>
    </w:p>
    <w:p>
      <w:pPr>
        <w:spacing w:line="360" w:lineRule="auto"/>
        <w:rPr>
          <w:rFonts w:ascii="宋体" w:hAnsi="宋体"/>
          <w:b/>
          <w:szCs w:val="21"/>
          <w:highlight w:val="none"/>
        </w:rPr>
      </w:pPr>
      <w:r>
        <w:rPr>
          <w:rFonts w:ascii="宋体" w:hAnsi="宋体"/>
          <w:b/>
          <w:szCs w:val="21"/>
          <w:highlight w:val="none"/>
        </w:rPr>
        <w:t>4</w:t>
      </w:r>
      <w:r>
        <w:rPr>
          <w:rFonts w:hint="eastAsia" w:ascii="宋体" w:hAnsi="宋体"/>
          <w:b/>
          <w:szCs w:val="21"/>
          <w:highlight w:val="none"/>
        </w:rPr>
        <w:t>．委托磋商</w:t>
      </w:r>
    </w:p>
    <w:p>
      <w:pPr>
        <w:spacing w:line="360" w:lineRule="auto"/>
        <w:ind w:firstLine="315" w:firstLineChars="150"/>
        <w:rPr>
          <w:rFonts w:ascii="宋体" w:hAnsi="宋体"/>
          <w:szCs w:val="21"/>
          <w:highlight w:val="none"/>
        </w:rPr>
      </w:pPr>
      <w:r>
        <w:rPr>
          <w:rFonts w:hint="eastAsia" w:ascii="宋体" w:hAnsi="宋体"/>
          <w:szCs w:val="21"/>
          <w:highlight w:val="none"/>
        </w:rPr>
        <w:t>如供应商代表不是法人代表，须持有《法定代表人授权委托书》。</w:t>
      </w:r>
    </w:p>
    <w:p>
      <w:pPr>
        <w:spacing w:line="360" w:lineRule="auto"/>
        <w:rPr>
          <w:rFonts w:ascii="宋体" w:hAnsi="宋体"/>
          <w:b/>
          <w:szCs w:val="21"/>
          <w:highlight w:val="none"/>
        </w:rPr>
      </w:pPr>
      <w:r>
        <w:rPr>
          <w:rFonts w:ascii="宋体" w:hAnsi="宋体"/>
          <w:b/>
          <w:szCs w:val="21"/>
          <w:highlight w:val="none"/>
        </w:rPr>
        <w:t>5</w:t>
      </w:r>
      <w:r>
        <w:rPr>
          <w:rFonts w:hint="eastAsia" w:ascii="宋体" w:hAnsi="宋体"/>
          <w:b/>
          <w:szCs w:val="21"/>
          <w:highlight w:val="none"/>
        </w:rPr>
        <w:t>．磋商费用</w:t>
      </w:r>
    </w:p>
    <w:p>
      <w:pPr>
        <w:spacing w:line="360" w:lineRule="auto"/>
        <w:ind w:firstLine="315" w:firstLineChars="150"/>
        <w:rPr>
          <w:rFonts w:ascii="宋体" w:hAnsi="宋体"/>
          <w:szCs w:val="21"/>
          <w:highlight w:val="none"/>
        </w:rPr>
      </w:pPr>
      <w:r>
        <w:rPr>
          <w:rFonts w:hint="eastAsia" w:ascii="宋体" w:hAnsi="宋体"/>
          <w:szCs w:val="21"/>
          <w:highlight w:val="none"/>
        </w:rPr>
        <w:t>无论磋商过程的做法和结果如何，供应商自行承担与参加磋商有关的所有费用。</w:t>
      </w:r>
    </w:p>
    <w:p>
      <w:pPr>
        <w:spacing w:line="360" w:lineRule="auto"/>
        <w:rPr>
          <w:rFonts w:ascii="宋体" w:hAnsi="宋体"/>
          <w:b/>
          <w:szCs w:val="21"/>
          <w:highlight w:val="none"/>
        </w:rPr>
      </w:pPr>
      <w:r>
        <w:rPr>
          <w:rFonts w:hint="eastAsia" w:ascii="宋体" w:hAnsi="宋体"/>
          <w:b/>
          <w:szCs w:val="21"/>
          <w:highlight w:val="none"/>
        </w:rPr>
        <w:t>二、磋商文件说明</w:t>
      </w:r>
    </w:p>
    <w:p>
      <w:pPr>
        <w:spacing w:line="360" w:lineRule="auto"/>
        <w:rPr>
          <w:rFonts w:ascii="宋体" w:hAnsi="宋体"/>
          <w:b/>
          <w:szCs w:val="21"/>
          <w:highlight w:val="none"/>
        </w:rPr>
      </w:pPr>
      <w:r>
        <w:rPr>
          <w:rFonts w:ascii="宋体" w:hAnsi="宋体"/>
          <w:b/>
          <w:szCs w:val="21"/>
          <w:highlight w:val="none"/>
        </w:rPr>
        <w:t>6</w:t>
      </w:r>
      <w:r>
        <w:rPr>
          <w:rFonts w:hint="eastAsia" w:ascii="宋体" w:hAnsi="宋体"/>
          <w:b/>
          <w:szCs w:val="21"/>
          <w:highlight w:val="none"/>
        </w:rPr>
        <w:t>．磋商文件的构成</w:t>
      </w:r>
    </w:p>
    <w:p>
      <w:pPr>
        <w:spacing w:line="360" w:lineRule="auto"/>
        <w:ind w:firstLine="420" w:firstLineChars="200"/>
        <w:rPr>
          <w:rFonts w:ascii="宋体" w:hAnsi="宋体"/>
          <w:szCs w:val="21"/>
          <w:highlight w:val="none"/>
        </w:rPr>
      </w:pPr>
      <w:r>
        <w:rPr>
          <w:rFonts w:hint="eastAsia" w:ascii="宋体" w:hAnsi="宋体"/>
          <w:szCs w:val="21"/>
          <w:highlight w:val="none"/>
        </w:rPr>
        <w:t>磋商文件用以阐明所需货物规格要求、磋商方法和程序及合同条款。磋商文件由下述部分组成：</w:t>
      </w:r>
    </w:p>
    <w:p>
      <w:pPr>
        <w:spacing w:line="360" w:lineRule="auto"/>
        <w:ind w:firstLine="842" w:firstLineChars="401"/>
        <w:rPr>
          <w:rFonts w:ascii="宋体" w:hAnsi="宋体"/>
          <w:szCs w:val="21"/>
          <w:highlight w:val="none"/>
        </w:rPr>
      </w:pPr>
      <w:bookmarkStart w:id="23" w:name="_Toc288060319"/>
      <w:bookmarkStart w:id="24" w:name="_Toc288203155"/>
      <w:r>
        <w:rPr>
          <w:rFonts w:hint="eastAsia" w:ascii="宋体" w:hAnsi="宋体"/>
          <w:szCs w:val="21"/>
          <w:highlight w:val="none"/>
        </w:rPr>
        <w:t>第一章  竞争性磋商公告</w:t>
      </w:r>
      <w:bookmarkEnd w:id="23"/>
      <w:bookmarkEnd w:id="24"/>
      <w:bookmarkStart w:id="25" w:name="_Toc287604727"/>
    </w:p>
    <w:p>
      <w:pPr>
        <w:spacing w:line="360" w:lineRule="auto"/>
        <w:ind w:firstLine="842" w:firstLineChars="401"/>
        <w:rPr>
          <w:rFonts w:ascii="宋体" w:hAnsi="宋体"/>
          <w:szCs w:val="21"/>
          <w:highlight w:val="none"/>
        </w:rPr>
      </w:pPr>
      <w:bookmarkStart w:id="26" w:name="_Toc288060320"/>
      <w:bookmarkStart w:id="27" w:name="_Toc288203156"/>
      <w:r>
        <w:rPr>
          <w:rFonts w:hint="eastAsia" w:ascii="宋体" w:hAnsi="宋体"/>
          <w:szCs w:val="21"/>
          <w:highlight w:val="none"/>
        </w:rPr>
        <w:t>第二章  竞标供应商须知及前附表</w:t>
      </w:r>
      <w:bookmarkEnd w:id="25"/>
      <w:bookmarkEnd w:id="26"/>
      <w:bookmarkEnd w:id="27"/>
      <w:bookmarkStart w:id="28" w:name="_Toc287604728"/>
    </w:p>
    <w:bookmarkEnd w:id="28"/>
    <w:p>
      <w:pPr>
        <w:spacing w:line="360" w:lineRule="auto"/>
        <w:ind w:firstLine="842" w:firstLineChars="401"/>
        <w:rPr>
          <w:rFonts w:ascii="宋体" w:hAnsi="宋体"/>
          <w:szCs w:val="21"/>
          <w:highlight w:val="none"/>
        </w:rPr>
      </w:pPr>
      <w:bookmarkStart w:id="29" w:name="_Toc287604729"/>
      <w:r>
        <w:rPr>
          <w:rFonts w:hint="eastAsia" w:ascii="宋体" w:hAnsi="宋体"/>
          <w:szCs w:val="21"/>
          <w:highlight w:val="none"/>
        </w:rPr>
        <w:t>第三章  合同主要条款</w:t>
      </w:r>
    </w:p>
    <w:p>
      <w:pPr>
        <w:spacing w:line="360" w:lineRule="auto"/>
        <w:ind w:firstLine="842" w:firstLineChars="401"/>
        <w:rPr>
          <w:rFonts w:ascii="宋体" w:hAnsi="宋体"/>
          <w:szCs w:val="21"/>
          <w:highlight w:val="none"/>
        </w:rPr>
      </w:pPr>
      <w:bookmarkStart w:id="30" w:name="_Toc288060322"/>
      <w:bookmarkStart w:id="31" w:name="_Toc288060321"/>
      <w:bookmarkStart w:id="32" w:name="_Toc288203158"/>
      <w:bookmarkStart w:id="33" w:name="_Toc288203157"/>
      <w:r>
        <w:rPr>
          <w:rFonts w:hint="eastAsia" w:ascii="宋体" w:hAnsi="宋体"/>
          <w:szCs w:val="21"/>
          <w:highlight w:val="none"/>
        </w:rPr>
        <w:t>第四章</w:t>
      </w:r>
      <w:bookmarkEnd w:id="29"/>
      <w:bookmarkEnd w:id="30"/>
      <w:bookmarkEnd w:id="31"/>
      <w:bookmarkEnd w:id="32"/>
      <w:bookmarkEnd w:id="33"/>
      <w:bookmarkStart w:id="34" w:name="_Toc287604730"/>
      <w:r>
        <w:rPr>
          <w:rFonts w:hint="eastAsia" w:ascii="宋体" w:hAnsi="宋体"/>
          <w:szCs w:val="21"/>
          <w:highlight w:val="none"/>
        </w:rPr>
        <w:t xml:space="preserve">  采购需求及技术要求</w:t>
      </w:r>
    </w:p>
    <w:p>
      <w:pPr>
        <w:spacing w:line="360" w:lineRule="auto"/>
        <w:ind w:firstLine="842" w:firstLineChars="401"/>
        <w:rPr>
          <w:rFonts w:ascii="宋体" w:hAnsi="宋体"/>
          <w:szCs w:val="21"/>
          <w:highlight w:val="none"/>
        </w:rPr>
      </w:pPr>
      <w:bookmarkStart w:id="35" w:name="_Toc288060323"/>
      <w:bookmarkStart w:id="36" w:name="_Toc288203159"/>
      <w:r>
        <w:rPr>
          <w:rFonts w:hint="eastAsia" w:ascii="宋体" w:hAnsi="宋体"/>
          <w:szCs w:val="21"/>
          <w:highlight w:val="none"/>
        </w:rPr>
        <w:t>第五章</w:t>
      </w:r>
      <w:bookmarkEnd w:id="34"/>
      <w:bookmarkEnd w:id="35"/>
      <w:bookmarkEnd w:id="36"/>
      <w:bookmarkStart w:id="37" w:name="_Toc287604731"/>
      <w:r>
        <w:rPr>
          <w:rFonts w:hint="eastAsia" w:ascii="宋体" w:hAnsi="宋体"/>
          <w:szCs w:val="21"/>
          <w:highlight w:val="none"/>
        </w:rPr>
        <w:t xml:space="preserve">  竞争性磋商响应文件部分格式</w:t>
      </w:r>
    </w:p>
    <w:bookmarkEnd w:id="37"/>
    <w:p>
      <w:pPr>
        <w:spacing w:line="360" w:lineRule="auto"/>
        <w:ind w:firstLine="424" w:firstLineChars="202"/>
        <w:rPr>
          <w:rFonts w:ascii="宋体" w:hAnsi="宋体"/>
          <w:szCs w:val="21"/>
          <w:highlight w:val="none"/>
        </w:rPr>
      </w:pPr>
      <w:r>
        <w:rPr>
          <w:rFonts w:hint="eastAsia" w:ascii="宋体" w:hAnsi="宋体"/>
          <w:szCs w:val="21"/>
          <w:highlight w:val="none"/>
        </w:rPr>
        <w:t>供应商收到磋商文件时，应检查页数和附件数量。供应商发现任何页数或附件数量的遗缺、数字或词汇模糊不清、词义含混不清，应告知采购代理机构补全或澄清。如果供应商不按上述提出要求而造成不良后果，采购代理机构不承担责任。</w:t>
      </w:r>
    </w:p>
    <w:p>
      <w:pPr>
        <w:spacing w:line="360" w:lineRule="auto"/>
        <w:rPr>
          <w:rFonts w:ascii="宋体" w:hAnsi="宋体"/>
          <w:b/>
          <w:bCs/>
          <w:szCs w:val="21"/>
          <w:highlight w:val="none"/>
        </w:rPr>
      </w:pPr>
      <w:r>
        <w:rPr>
          <w:rFonts w:ascii="宋体" w:hAnsi="宋体"/>
          <w:b/>
          <w:bCs/>
          <w:szCs w:val="21"/>
          <w:highlight w:val="none"/>
        </w:rPr>
        <w:t>7</w:t>
      </w:r>
      <w:r>
        <w:rPr>
          <w:rFonts w:hint="eastAsia" w:ascii="宋体" w:hAnsi="宋体"/>
          <w:b/>
          <w:bCs/>
          <w:szCs w:val="21"/>
          <w:highlight w:val="none"/>
        </w:rPr>
        <w:t>．磋商文件的澄清</w:t>
      </w:r>
    </w:p>
    <w:p>
      <w:pPr>
        <w:spacing w:line="360" w:lineRule="auto"/>
        <w:rPr>
          <w:rFonts w:ascii="宋体" w:hAnsi="宋体"/>
          <w:szCs w:val="21"/>
          <w:highlight w:val="none"/>
        </w:rPr>
      </w:pPr>
      <w:r>
        <w:rPr>
          <w:rFonts w:hint="eastAsia" w:ascii="宋体" w:hAnsi="宋体"/>
          <w:szCs w:val="21"/>
          <w:highlight w:val="none"/>
        </w:rPr>
        <w:t>7.1</w:t>
      </w:r>
      <w:r>
        <w:rPr>
          <w:rFonts w:ascii="宋体" w:hAnsi="宋体"/>
          <w:szCs w:val="21"/>
          <w:highlight w:val="none"/>
        </w:rPr>
        <w:t>供应商应仔细阅读和检查竞争性磋商文件的全部内容。如发现缺页或附件不全， 应及时向采购人提出，以便补齐。如有疑问，应按供应商须知前附表规定的时间和形式将提出的问题送达采购人，要求采购人对竞争性磋商文件予以澄清。</w:t>
      </w:r>
    </w:p>
    <w:p>
      <w:pPr>
        <w:spacing w:line="360" w:lineRule="auto"/>
        <w:rPr>
          <w:rFonts w:ascii="宋体" w:hAnsi="宋体"/>
          <w:szCs w:val="21"/>
          <w:highlight w:val="none"/>
        </w:rPr>
      </w:pPr>
      <w:r>
        <w:rPr>
          <w:rFonts w:hint="eastAsia" w:ascii="宋体" w:hAnsi="宋体"/>
          <w:szCs w:val="21"/>
          <w:highlight w:val="none"/>
        </w:rPr>
        <w:t>7.2</w:t>
      </w:r>
      <w:r>
        <w:rPr>
          <w:rFonts w:ascii="宋体" w:hAnsi="宋体"/>
          <w:szCs w:val="21"/>
          <w:highlight w:val="none"/>
        </w:rPr>
        <w:t>竞争性磋商文件的澄清以供应商须知前附表规定的形式发给所有购买竞争性磋商文件的供应商，同时在原公告媒体发布澄清公告，但不指明澄清问题的来源。澄清发出的时间</w:t>
      </w:r>
      <w:r>
        <w:rPr>
          <w:rFonts w:hint="eastAsia" w:ascii="宋体" w:hAnsi="宋体"/>
          <w:szCs w:val="21"/>
          <w:highlight w:val="none"/>
        </w:rPr>
        <w:t>距离</w:t>
      </w:r>
      <w:r>
        <w:rPr>
          <w:rFonts w:ascii="宋体" w:hAnsi="宋体"/>
          <w:szCs w:val="21"/>
          <w:highlight w:val="none"/>
        </w:rPr>
        <w:t>提交首次响应文件截止时间不足 5 日的，并且澄清内容可能影响响应文件编制的，将相应延长提交首次响应文件截止时间。供应商在收到澄清后，应按供应商须知前附表规定的时间和形式通知采购人，确认已收到该澄清。</w:t>
      </w:r>
    </w:p>
    <w:p>
      <w:pPr>
        <w:spacing w:line="360" w:lineRule="auto"/>
        <w:rPr>
          <w:rFonts w:ascii="宋体" w:hAnsi="宋体"/>
          <w:b/>
          <w:bCs/>
          <w:szCs w:val="21"/>
          <w:highlight w:val="none"/>
        </w:rPr>
      </w:pPr>
      <w:r>
        <w:rPr>
          <w:rFonts w:ascii="宋体" w:hAnsi="宋体"/>
          <w:b/>
          <w:bCs/>
          <w:szCs w:val="21"/>
          <w:highlight w:val="none"/>
        </w:rPr>
        <w:t>8</w:t>
      </w:r>
      <w:r>
        <w:rPr>
          <w:rFonts w:hint="eastAsia" w:ascii="宋体" w:hAnsi="宋体"/>
          <w:b/>
          <w:bCs/>
          <w:szCs w:val="21"/>
          <w:highlight w:val="none"/>
        </w:rPr>
        <w:t>．磋商文件的修改</w:t>
      </w:r>
    </w:p>
    <w:p>
      <w:pPr>
        <w:spacing w:line="360" w:lineRule="auto"/>
        <w:ind w:firstLine="424" w:firstLineChars="202"/>
        <w:rPr>
          <w:rFonts w:ascii="宋体" w:hAnsi="宋体"/>
          <w:szCs w:val="21"/>
          <w:highlight w:val="none"/>
        </w:rPr>
      </w:pPr>
      <w:r>
        <w:rPr>
          <w:rFonts w:hint="eastAsia" w:ascii="宋体" w:hAnsi="宋体"/>
          <w:szCs w:val="21"/>
          <w:highlight w:val="none"/>
        </w:rPr>
        <w:t>8.1</w:t>
      </w:r>
      <w:r>
        <w:rPr>
          <w:rFonts w:ascii="宋体" w:hAnsi="宋体"/>
          <w:szCs w:val="21"/>
          <w:highlight w:val="none"/>
        </w:rPr>
        <w:t>供应商对竞争性磋商文件如有需要澄清或疑问，应在磋商响应文件递交截止之日 7 天前在“河南省公共资源交易中心（</w:t>
      </w:r>
      <w:r>
        <w:rPr>
          <w:highlight w:val="none"/>
        </w:rPr>
        <w:fldChar w:fldCharType="begin"/>
      </w:r>
      <w:r>
        <w:rPr>
          <w:highlight w:val="none"/>
        </w:rPr>
        <w:instrText xml:space="preserve"> HYPERLINK "http://www.hnggzy.com/" \h </w:instrText>
      </w:r>
      <w:r>
        <w:rPr>
          <w:highlight w:val="none"/>
        </w:rPr>
        <w:fldChar w:fldCharType="separate"/>
      </w:r>
      <w:r>
        <w:rPr>
          <w:szCs w:val="21"/>
          <w:highlight w:val="none"/>
        </w:rPr>
        <w:t>www.hnggzy.com</w:t>
      </w:r>
      <w:r>
        <w:rPr>
          <w:szCs w:val="21"/>
          <w:highlight w:val="none"/>
        </w:rPr>
        <w:fldChar w:fldCharType="end"/>
      </w:r>
      <w:r>
        <w:rPr>
          <w:rFonts w:ascii="宋体" w:hAnsi="宋体"/>
          <w:szCs w:val="21"/>
          <w:highlight w:val="none"/>
        </w:rPr>
        <w:t>）”电子交易平台进行提问，要求采购人对竞争性磋商文件予以澄清。供应商在规定的时间内未要求对竞争性磋商文件澄清或提出疑问的，采购人和</w:t>
      </w:r>
      <w:r>
        <w:rPr>
          <w:rFonts w:hint="eastAsia" w:ascii="宋体" w:hAnsi="宋体"/>
          <w:szCs w:val="21"/>
          <w:highlight w:val="none"/>
        </w:rPr>
        <w:t>采购代理机构</w:t>
      </w:r>
      <w:r>
        <w:rPr>
          <w:rFonts w:ascii="宋体" w:hAnsi="宋体"/>
          <w:szCs w:val="21"/>
          <w:highlight w:val="none"/>
        </w:rPr>
        <w:t>将视其为无异议，磋商响应文件递交截止时间后，采购人和代理机构不接受其对竞争性磋商文件内容的质疑。</w:t>
      </w:r>
    </w:p>
    <w:p>
      <w:pPr>
        <w:spacing w:line="360" w:lineRule="auto"/>
        <w:ind w:firstLine="424" w:firstLineChars="202"/>
        <w:rPr>
          <w:rFonts w:ascii="宋体" w:hAnsi="宋体"/>
          <w:szCs w:val="21"/>
          <w:highlight w:val="none"/>
        </w:rPr>
      </w:pPr>
      <w:r>
        <w:rPr>
          <w:rFonts w:hint="eastAsia" w:ascii="宋体" w:hAnsi="宋体"/>
          <w:szCs w:val="21"/>
          <w:highlight w:val="none"/>
        </w:rPr>
        <w:t>8.2</w:t>
      </w:r>
      <w:r>
        <w:rPr>
          <w:rFonts w:ascii="宋体" w:hAnsi="宋体"/>
          <w:szCs w:val="21"/>
          <w:highlight w:val="none"/>
        </w:rPr>
        <w:t>竞争性磋商文件的澄清将在磋商响应文件递交截止日 5 天前在“河南省公共资源交易中心（</w:t>
      </w:r>
      <w:r>
        <w:rPr>
          <w:highlight w:val="none"/>
        </w:rPr>
        <w:fldChar w:fldCharType="begin"/>
      </w:r>
      <w:r>
        <w:rPr>
          <w:highlight w:val="none"/>
        </w:rPr>
        <w:instrText xml:space="preserve"> HYPERLINK "http://www.hnggzy.com/" \h </w:instrText>
      </w:r>
      <w:r>
        <w:rPr>
          <w:highlight w:val="none"/>
        </w:rPr>
        <w:fldChar w:fldCharType="separate"/>
      </w:r>
      <w:r>
        <w:rPr>
          <w:szCs w:val="21"/>
          <w:highlight w:val="none"/>
        </w:rPr>
        <w:t>www.hnggzy.com</w:t>
      </w:r>
      <w:r>
        <w:rPr>
          <w:szCs w:val="21"/>
          <w:highlight w:val="none"/>
        </w:rPr>
        <w:fldChar w:fldCharType="end"/>
      </w:r>
      <w:r>
        <w:rPr>
          <w:rFonts w:ascii="宋体" w:hAnsi="宋体"/>
          <w:szCs w:val="21"/>
          <w:highlight w:val="none"/>
        </w:rPr>
        <w:t>）”电子交易平台公布给所有下载竞争性磋商文件的供应商，但不指明澄清问题的来源。如果澄清发出的时间距磋商响应文件递交截止日不足 5 天，并且澄清内容影响磋商响应文件编制的，相应延长磋商响应文件递交截止时间和磋商开始时间。</w:t>
      </w:r>
    </w:p>
    <w:p>
      <w:pPr>
        <w:spacing w:line="360" w:lineRule="auto"/>
        <w:ind w:firstLine="424" w:firstLineChars="202"/>
        <w:rPr>
          <w:rFonts w:ascii="宋体" w:hAnsi="宋体"/>
          <w:szCs w:val="21"/>
          <w:highlight w:val="none"/>
        </w:rPr>
      </w:pPr>
      <w:r>
        <w:rPr>
          <w:rFonts w:hint="eastAsia" w:ascii="宋体" w:hAnsi="宋体"/>
          <w:szCs w:val="21"/>
          <w:highlight w:val="none"/>
        </w:rPr>
        <w:t>8.3</w:t>
      </w:r>
      <w:r>
        <w:rPr>
          <w:rFonts w:ascii="宋体" w:hAnsi="宋体"/>
          <w:szCs w:val="21"/>
          <w:highlight w:val="none"/>
        </w:rPr>
        <w:t>澄清内容是竞争性磋商文件的组成部分，澄清内容一经在项目公告网站和电子交易平台发布，视作已送达所有供应商，并对供应商具有约束力</w:t>
      </w:r>
      <w:r>
        <w:rPr>
          <w:rFonts w:hint="eastAsia" w:ascii="宋体" w:hAnsi="宋体"/>
          <w:szCs w:val="21"/>
          <w:highlight w:val="none"/>
        </w:rPr>
        <w:t>。</w:t>
      </w:r>
    </w:p>
    <w:p>
      <w:pPr>
        <w:spacing w:line="360" w:lineRule="auto"/>
        <w:ind w:firstLine="424" w:firstLineChars="202"/>
        <w:rPr>
          <w:rFonts w:ascii="宋体" w:hAnsi="宋体"/>
          <w:b/>
          <w:bCs/>
          <w:szCs w:val="21"/>
          <w:highlight w:val="none"/>
        </w:rPr>
      </w:pPr>
      <w:r>
        <w:rPr>
          <w:rFonts w:hint="eastAsia" w:ascii="宋体" w:hAnsi="宋体"/>
          <w:szCs w:val="21"/>
          <w:highlight w:val="none"/>
        </w:rPr>
        <w:t>8.4</w:t>
      </w:r>
      <w:r>
        <w:rPr>
          <w:rFonts w:ascii="宋体" w:hAnsi="宋体"/>
          <w:szCs w:val="21"/>
          <w:highlight w:val="none"/>
        </w:rPr>
        <w:t>因河南省公共资源交易中心（</w:t>
      </w:r>
      <w:r>
        <w:rPr>
          <w:highlight w:val="none"/>
        </w:rPr>
        <w:fldChar w:fldCharType="begin"/>
      </w:r>
      <w:r>
        <w:rPr>
          <w:highlight w:val="none"/>
        </w:rPr>
        <w:instrText xml:space="preserve"> HYPERLINK "http://www.hnggzy.com/" \h </w:instrText>
      </w:r>
      <w:r>
        <w:rPr>
          <w:highlight w:val="none"/>
        </w:rPr>
        <w:fldChar w:fldCharType="separate"/>
      </w:r>
      <w:r>
        <w:rPr>
          <w:szCs w:val="21"/>
          <w:highlight w:val="none"/>
        </w:rPr>
        <w:t>www.hnggzy.com</w:t>
      </w:r>
      <w:r>
        <w:rPr>
          <w:szCs w:val="21"/>
          <w:highlight w:val="none"/>
        </w:rPr>
        <w:fldChar w:fldCharType="end"/>
      </w:r>
      <w:r>
        <w:rPr>
          <w:rFonts w:ascii="宋体" w:hAnsi="宋体"/>
          <w:szCs w:val="21"/>
          <w:highlight w:val="none"/>
        </w:rPr>
        <w:t>）”电子交易平台在磋商响应文件递交截止时间前具有保密性，供应商在磋商响应文件递交截止时间前须自行查看项目进展、下载竞争性磋商文件的澄清等，因供应商未及时查看和下载而造成的后果自负</w:t>
      </w:r>
      <w:r>
        <w:rPr>
          <w:rFonts w:hint="eastAsia" w:ascii="宋体" w:hAnsi="宋体"/>
          <w:szCs w:val="21"/>
          <w:highlight w:val="none"/>
        </w:rPr>
        <w:t>。</w:t>
      </w:r>
    </w:p>
    <w:p>
      <w:pPr>
        <w:spacing w:line="360" w:lineRule="auto"/>
        <w:jc w:val="center"/>
        <w:outlineLvl w:val="1"/>
        <w:rPr>
          <w:rFonts w:ascii="宋体" w:hAnsi="宋体"/>
          <w:b/>
          <w:bCs/>
          <w:szCs w:val="21"/>
          <w:highlight w:val="none"/>
        </w:rPr>
      </w:pPr>
      <w:bookmarkStart w:id="38" w:name="_Toc98041606"/>
      <w:bookmarkStart w:id="39" w:name="_Toc14896"/>
      <w:r>
        <w:rPr>
          <w:rFonts w:hint="eastAsia" w:ascii="宋体" w:hAnsi="宋体"/>
          <w:b/>
          <w:bCs/>
          <w:szCs w:val="21"/>
          <w:highlight w:val="none"/>
        </w:rPr>
        <w:t>三、磋商响应文件</w:t>
      </w:r>
      <w:bookmarkEnd w:id="38"/>
      <w:r>
        <w:rPr>
          <w:rFonts w:hint="eastAsia" w:ascii="宋体" w:hAnsi="宋体"/>
          <w:b/>
          <w:bCs/>
          <w:szCs w:val="21"/>
          <w:highlight w:val="none"/>
        </w:rPr>
        <w:t>的编写</w:t>
      </w:r>
      <w:bookmarkEnd w:id="39"/>
    </w:p>
    <w:p>
      <w:pPr>
        <w:spacing w:line="360" w:lineRule="auto"/>
        <w:rPr>
          <w:rFonts w:ascii="宋体" w:hAnsi="宋体"/>
          <w:b/>
          <w:bCs/>
          <w:szCs w:val="21"/>
          <w:highlight w:val="none"/>
        </w:rPr>
      </w:pPr>
      <w:r>
        <w:rPr>
          <w:rFonts w:ascii="宋体" w:hAnsi="宋体"/>
          <w:b/>
          <w:bCs/>
          <w:szCs w:val="21"/>
          <w:highlight w:val="none"/>
        </w:rPr>
        <w:t>9</w:t>
      </w:r>
      <w:r>
        <w:rPr>
          <w:rFonts w:hint="eastAsia" w:ascii="宋体" w:hAnsi="宋体"/>
          <w:b/>
          <w:bCs/>
          <w:szCs w:val="21"/>
          <w:highlight w:val="none"/>
        </w:rPr>
        <w:t>．磋商响应文件的编写要求</w:t>
      </w:r>
    </w:p>
    <w:p>
      <w:pPr>
        <w:spacing w:line="360" w:lineRule="auto"/>
        <w:rPr>
          <w:rFonts w:ascii="宋体" w:hAnsi="宋体"/>
          <w:szCs w:val="21"/>
          <w:highlight w:val="none"/>
        </w:rPr>
      </w:pPr>
      <w:r>
        <w:rPr>
          <w:rFonts w:ascii="宋体" w:hAnsi="宋体"/>
          <w:szCs w:val="21"/>
          <w:highlight w:val="none"/>
        </w:rPr>
        <w:t>9.1</w:t>
      </w:r>
      <w:r>
        <w:rPr>
          <w:rFonts w:hint="eastAsia" w:ascii="宋体" w:hAnsi="宋体"/>
          <w:szCs w:val="21"/>
          <w:highlight w:val="none"/>
        </w:rPr>
        <w:t>供应商应仔细阅读磋商文件的所有内容，按磋商文件的要求提供磋商响应文件，并保证所提供的全部资料的真实性，以使其磋商响应文件对磋商文件的实质性要求做出完全响应，否则，其磋商响应文件可能被拒绝。</w:t>
      </w:r>
    </w:p>
    <w:p>
      <w:pPr>
        <w:spacing w:line="360" w:lineRule="auto"/>
        <w:rPr>
          <w:rFonts w:ascii="宋体" w:hAnsi="宋体"/>
          <w:b/>
          <w:bCs/>
          <w:szCs w:val="21"/>
          <w:highlight w:val="none"/>
        </w:rPr>
      </w:pPr>
      <w:r>
        <w:rPr>
          <w:rFonts w:ascii="宋体" w:hAnsi="宋体"/>
          <w:b/>
          <w:bCs/>
          <w:szCs w:val="21"/>
          <w:highlight w:val="none"/>
        </w:rPr>
        <w:t>10</w:t>
      </w:r>
      <w:r>
        <w:rPr>
          <w:rFonts w:hint="eastAsia" w:ascii="宋体" w:hAnsi="宋体"/>
          <w:b/>
          <w:bCs/>
          <w:szCs w:val="21"/>
          <w:highlight w:val="none"/>
        </w:rPr>
        <w:t>．磋商响应文件语言及计量单位</w:t>
      </w:r>
    </w:p>
    <w:p>
      <w:pPr>
        <w:spacing w:line="360" w:lineRule="auto"/>
        <w:rPr>
          <w:rFonts w:ascii="宋体" w:hAnsi="宋体"/>
          <w:szCs w:val="21"/>
          <w:highlight w:val="none"/>
        </w:rPr>
      </w:pPr>
      <w:r>
        <w:rPr>
          <w:rFonts w:ascii="宋体" w:hAnsi="宋体"/>
          <w:szCs w:val="21"/>
          <w:highlight w:val="none"/>
        </w:rPr>
        <w:t>10.1</w:t>
      </w:r>
      <w:r>
        <w:rPr>
          <w:rFonts w:hint="eastAsia" w:ascii="宋体" w:hAnsi="宋体"/>
          <w:szCs w:val="21"/>
          <w:highlight w:val="none"/>
        </w:rPr>
        <w:t>磋商响应文件以及供应商所有与采购人及采购代理机构就磋商来往的函电均使用中文。供应商提供的外文资料应附有相应的中文译本，并以中文译本为准。</w:t>
      </w:r>
    </w:p>
    <w:p>
      <w:pPr>
        <w:spacing w:line="360" w:lineRule="auto"/>
        <w:rPr>
          <w:rFonts w:ascii="宋体" w:hAnsi="宋体"/>
          <w:szCs w:val="21"/>
          <w:highlight w:val="none"/>
        </w:rPr>
      </w:pPr>
      <w:r>
        <w:rPr>
          <w:rFonts w:ascii="宋体" w:hAnsi="宋体"/>
          <w:szCs w:val="21"/>
          <w:highlight w:val="none"/>
        </w:rPr>
        <w:t>10.2</w:t>
      </w:r>
      <w:r>
        <w:rPr>
          <w:rFonts w:hint="eastAsia" w:ascii="宋体" w:hAnsi="宋体"/>
          <w:szCs w:val="21"/>
          <w:highlight w:val="none"/>
        </w:rPr>
        <w:t>磋商响应文件中所使用的计量单位，除在磋商文件的技术规格和要求中另有规定外，应采用国家法定计量单位。</w:t>
      </w:r>
    </w:p>
    <w:p>
      <w:pPr>
        <w:spacing w:line="360" w:lineRule="auto"/>
        <w:rPr>
          <w:rFonts w:ascii="宋体" w:hAnsi="宋体"/>
          <w:szCs w:val="21"/>
          <w:highlight w:val="none"/>
        </w:rPr>
      </w:pPr>
      <w:r>
        <w:rPr>
          <w:rFonts w:ascii="宋体" w:hAnsi="宋体"/>
          <w:b/>
          <w:szCs w:val="21"/>
          <w:highlight w:val="none"/>
        </w:rPr>
        <w:t>11</w:t>
      </w:r>
      <w:r>
        <w:rPr>
          <w:rFonts w:hint="eastAsia" w:ascii="宋体" w:hAnsi="宋体"/>
          <w:b/>
          <w:szCs w:val="21"/>
          <w:highlight w:val="none"/>
        </w:rPr>
        <w:t>．磋商响应文件的组成</w:t>
      </w:r>
    </w:p>
    <w:p>
      <w:pPr>
        <w:spacing w:line="360" w:lineRule="auto"/>
        <w:ind w:firstLine="420" w:firstLineChars="200"/>
        <w:rPr>
          <w:rFonts w:ascii="宋体" w:hAnsi="宋体"/>
          <w:szCs w:val="21"/>
          <w:highlight w:val="none"/>
        </w:rPr>
      </w:pPr>
      <w:r>
        <w:rPr>
          <w:rFonts w:hint="eastAsia" w:ascii="宋体" w:hAnsi="宋体"/>
          <w:szCs w:val="21"/>
          <w:highlight w:val="none"/>
        </w:rPr>
        <w:t>详见第五章竞争性磋商响应文件部分格式。</w:t>
      </w:r>
      <w:r>
        <w:rPr>
          <w:rFonts w:hint="eastAsia" w:ascii="宋体" w:hAnsi="宋体"/>
          <w:szCs w:val="21"/>
          <w:highlight w:val="none"/>
        </w:rPr>
        <w:tab/>
      </w:r>
      <w:r>
        <w:rPr>
          <w:rFonts w:hint="eastAsia" w:ascii="宋体" w:hAnsi="宋体"/>
          <w:szCs w:val="21"/>
          <w:highlight w:val="none"/>
        </w:rPr>
        <w:tab/>
      </w:r>
    </w:p>
    <w:p>
      <w:pPr>
        <w:spacing w:line="360" w:lineRule="auto"/>
        <w:rPr>
          <w:rFonts w:ascii="宋体" w:hAnsi="宋体"/>
          <w:b/>
          <w:bCs/>
          <w:szCs w:val="21"/>
          <w:highlight w:val="none"/>
        </w:rPr>
      </w:pPr>
      <w:r>
        <w:rPr>
          <w:rFonts w:ascii="宋体" w:hAnsi="宋体"/>
          <w:b/>
          <w:bCs/>
          <w:szCs w:val="21"/>
          <w:highlight w:val="none"/>
        </w:rPr>
        <w:t>12</w:t>
      </w:r>
      <w:r>
        <w:rPr>
          <w:rFonts w:hint="eastAsia" w:ascii="宋体" w:hAnsi="宋体"/>
          <w:b/>
          <w:bCs/>
          <w:szCs w:val="21"/>
          <w:highlight w:val="none"/>
        </w:rPr>
        <w:t>．磋商响应文件格式</w:t>
      </w:r>
    </w:p>
    <w:p>
      <w:pPr>
        <w:spacing w:line="360" w:lineRule="auto"/>
        <w:rPr>
          <w:rFonts w:ascii="宋体" w:hAnsi="宋体"/>
          <w:szCs w:val="21"/>
          <w:highlight w:val="none"/>
        </w:rPr>
      </w:pPr>
      <w:r>
        <w:rPr>
          <w:rFonts w:ascii="宋体" w:hAnsi="宋体"/>
          <w:szCs w:val="21"/>
          <w:highlight w:val="none"/>
        </w:rPr>
        <w:t>12.</w:t>
      </w:r>
      <w:r>
        <w:rPr>
          <w:rFonts w:hint="eastAsia" w:ascii="宋体" w:hAnsi="宋体"/>
          <w:szCs w:val="21"/>
          <w:highlight w:val="none"/>
        </w:rPr>
        <w:t>1供应商可以按照磋商响应文件提供的磋商响应文件格式编制响应文件，也可以同样格式扩展。</w:t>
      </w:r>
    </w:p>
    <w:p>
      <w:pPr>
        <w:spacing w:line="360" w:lineRule="auto"/>
        <w:rPr>
          <w:rFonts w:ascii="宋体" w:hAnsi="宋体"/>
          <w:szCs w:val="21"/>
          <w:highlight w:val="none"/>
        </w:rPr>
      </w:pPr>
      <w:r>
        <w:rPr>
          <w:rFonts w:ascii="宋体" w:hAnsi="宋体"/>
          <w:b/>
          <w:bCs/>
          <w:szCs w:val="21"/>
          <w:highlight w:val="none"/>
        </w:rPr>
        <w:t>13</w:t>
      </w:r>
      <w:r>
        <w:rPr>
          <w:rFonts w:hint="eastAsia" w:ascii="宋体" w:hAnsi="宋体"/>
          <w:szCs w:val="21"/>
          <w:highlight w:val="none"/>
        </w:rPr>
        <w:t>．</w:t>
      </w:r>
      <w:r>
        <w:rPr>
          <w:rFonts w:hint="eastAsia" w:ascii="宋体" w:hAnsi="宋体"/>
          <w:b/>
          <w:szCs w:val="21"/>
          <w:highlight w:val="none"/>
        </w:rPr>
        <w:t>磋商报价</w:t>
      </w:r>
    </w:p>
    <w:p>
      <w:pPr>
        <w:spacing w:line="360" w:lineRule="auto"/>
        <w:rPr>
          <w:rFonts w:ascii="宋体" w:hAnsi="宋体"/>
          <w:b/>
          <w:bCs/>
          <w:spacing w:val="-2"/>
          <w:szCs w:val="21"/>
          <w:highlight w:val="none"/>
          <w:lang w:bidi="zh-CN"/>
        </w:rPr>
      </w:pPr>
      <w:r>
        <w:rPr>
          <w:rFonts w:ascii="宋体" w:hAnsi="宋体"/>
          <w:b/>
          <w:szCs w:val="21"/>
          <w:highlight w:val="none"/>
        </w:rPr>
        <w:t>13.1</w:t>
      </w:r>
      <w:bookmarkStart w:id="40" w:name="_Toc287724439"/>
      <w:r>
        <w:rPr>
          <w:rFonts w:ascii="宋体" w:hAnsi="宋体"/>
          <w:b/>
          <w:spacing w:val="-2"/>
          <w:szCs w:val="21"/>
          <w:highlight w:val="none"/>
          <w:lang w:bidi="zh-CN"/>
        </w:rPr>
        <w:t>供应商</w:t>
      </w:r>
      <w:r>
        <w:rPr>
          <w:rFonts w:hint="eastAsia" w:ascii="宋体" w:hAnsi="宋体"/>
          <w:b/>
          <w:spacing w:val="-2"/>
          <w:szCs w:val="21"/>
          <w:highlight w:val="none"/>
          <w:lang w:bidi="zh-CN"/>
        </w:rPr>
        <w:t>针对本</w:t>
      </w:r>
      <w:r>
        <w:rPr>
          <w:rFonts w:ascii="宋体" w:hAnsi="宋体"/>
          <w:b/>
          <w:spacing w:val="-2"/>
          <w:szCs w:val="21"/>
          <w:highlight w:val="none"/>
          <w:lang w:bidi="zh-CN"/>
        </w:rPr>
        <w:t>项目</w:t>
      </w:r>
      <w:r>
        <w:rPr>
          <w:rFonts w:hint="eastAsia" w:ascii="宋体" w:hAnsi="宋体"/>
          <w:b/>
          <w:spacing w:val="-2"/>
          <w:szCs w:val="21"/>
          <w:highlight w:val="none"/>
          <w:lang w:bidi="zh-CN"/>
        </w:rPr>
        <w:t>应</w:t>
      </w:r>
      <w:r>
        <w:rPr>
          <w:rFonts w:ascii="宋体" w:hAnsi="宋体"/>
          <w:b/>
          <w:spacing w:val="-2"/>
          <w:szCs w:val="21"/>
          <w:highlight w:val="none"/>
          <w:lang w:bidi="zh-CN"/>
        </w:rPr>
        <w:t>根据市场行情自主报价，分二次报价：第一次报价必须按</w:t>
      </w:r>
      <w:r>
        <w:rPr>
          <w:rFonts w:ascii="宋体" w:hAnsi="宋体"/>
          <w:b/>
          <w:bCs/>
          <w:spacing w:val="-2"/>
          <w:szCs w:val="21"/>
          <w:highlight w:val="none"/>
          <w:lang w:bidi="zh-CN"/>
        </w:rPr>
        <w:t>照磋商文件的报价格式（报价格式见附表）填报，第二次报价在磋商中填报，第二次报价（不得高于一次报价）即为最终报价将不予以公开；</w:t>
      </w:r>
      <w:bookmarkEnd w:id="40"/>
      <w:r>
        <w:rPr>
          <w:rFonts w:hint="eastAsia" w:ascii="宋体" w:hAnsi="宋体"/>
          <w:b/>
          <w:bCs/>
          <w:spacing w:val="-2"/>
          <w:szCs w:val="21"/>
          <w:highlight w:val="none"/>
          <w:lang w:bidi="zh-CN"/>
        </w:rPr>
        <w:t>供应商均应进行第二轮报价，未进行第二轮报价或报价高于第一轮报价的供应商，以第一次报价参与价格评审。</w:t>
      </w:r>
    </w:p>
    <w:p>
      <w:pPr>
        <w:pStyle w:val="21"/>
        <w:spacing w:line="360" w:lineRule="auto"/>
        <w:ind w:firstLine="422" w:firstLineChars="200"/>
        <w:rPr>
          <w:rFonts w:hAnsi="宋体"/>
          <w:b/>
          <w:szCs w:val="21"/>
          <w:highlight w:val="none"/>
        </w:rPr>
      </w:pPr>
      <w:r>
        <w:rPr>
          <w:rFonts w:hint="eastAsia" w:hAnsi="宋体"/>
          <w:b/>
          <w:szCs w:val="21"/>
          <w:highlight w:val="none"/>
        </w:rPr>
        <w:t>经提交最后报价的供应商后，由磋商小组采用综合评分法对提交最后报价的供应商的响应文件和最后报价进行综合评分。</w:t>
      </w:r>
    </w:p>
    <w:p>
      <w:pPr>
        <w:tabs>
          <w:tab w:val="left" w:pos="360"/>
          <w:tab w:val="left" w:pos="720"/>
        </w:tabs>
        <w:spacing w:line="360" w:lineRule="auto"/>
        <w:ind w:firstLine="413" w:firstLineChars="196"/>
        <w:rPr>
          <w:rFonts w:ascii="宋体" w:hAnsi="宋体"/>
          <w:b/>
          <w:szCs w:val="21"/>
          <w:highlight w:val="none"/>
        </w:rPr>
      </w:pPr>
      <w:r>
        <w:rPr>
          <w:rFonts w:hint="eastAsia" w:ascii="宋体" w:hAnsi="宋体"/>
          <w:b/>
          <w:szCs w:val="21"/>
          <w:highlight w:val="none"/>
        </w:rPr>
        <w:t>评标价的确定</w:t>
      </w:r>
    </w:p>
    <w:p>
      <w:pPr>
        <w:tabs>
          <w:tab w:val="left" w:pos="0"/>
        </w:tabs>
        <w:spacing w:line="360" w:lineRule="auto"/>
        <w:ind w:left="1" w:firstLine="413" w:firstLineChars="196"/>
        <w:rPr>
          <w:rFonts w:ascii="宋体" w:hAnsi="宋体"/>
          <w:b/>
          <w:szCs w:val="21"/>
          <w:highlight w:val="none"/>
        </w:rPr>
      </w:pPr>
      <w:r>
        <w:rPr>
          <w:rFonts w:hint="eastAsia" w:ascii="宋体" w:hAnsi="宋体"/>
          <w:b/>
          <w:szCs w:val="21"/>
          <w:highlight w:val="none"/>
        </w:rPr>
        <w:t>1.对于小型和微型企业产品以扣除优惠比率后的报价参与价格打分，但不作为成交价和合同签约价。成交价和合同签约价仍以二次或最终报价为准。</w:t>
      </w:r>
    </w:p>
    <w:p>
      <w:pPr>
        <w:tabs>
          <w:tab w:val="left" w:pos="720"/>
        </w:tabs>
        <w:spacing w:line="360" w:lineRule="auto"/>
        <w:ind w:firstLine="413" w:firstLineChars="196"/>
        <w:rPr>
          <w:rFonts w:ascii="宋体" w:hAnsi="宋体"/>
          <w:b/>
          <w:szCs w:val="21"/>
          <w:highlight w:val="none"/>
        </w:rPr>
      </w:pPr>
      <w:r>
        <w:rPr>
          <w:rFonts w:hint="eastAsia" w:ascii="宋体" w:hAnsi="宋体"/>
          <w:b/>
          <w:szCs w:val="21"/>
          <w:highlight w:val="none"/>
        </w:rPr>
        <w:t>2.小型和微型企业产品价格给予扣除标准：</w:t>
      </w:r>
    </w:p>
    <w:p>
      <w:pPr>
        <w:tabs>
          <w:tab w:val="left" w:pos="7560"/>
        </w:tabs>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为贯彻落实财库[2020]46 号《财政部、工信部关于印发《政府采购促进中小企业发展管理办法》 的通知》、本项目为非专门面向中小企业采购，中小企业划型标准以工信部联企业〔2011〕300 号 《工业和信息化部、国家统计局、国家发展和改革委员会、财政部关于印发中小企业划型标准规定 的通知》为依据。依据本办法规定享受扶持政策获得政府采购合同的，小微企业不得将合同分包给大中型企业，中型企业不得将合同分包给大型企业； 关于投标报价评分中给予小微企业优惠的说明：评审时给予小型或微型企业 6%的价格扣除（工程项目为 3%）用扣除后的价格参与评审，其中采用综合评估法的工程项目，评标时在原报价评分的基础上增加其价格得分的3%作为其价格分。供应商须提供《中小企业声明函》，否则不予认可。 </w:t>
      </w:r>
    </w:p>
    <w:p>
      <w:pPr>
        <w:tabs>
          <w:tab w:val="left" w:pos="7560"/>
        </w:tabs>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 微型企业，享受评标中价格优惠等政府采购促进中小企业发展的政府采购政策，监狱企业属于小型、 微型企业的，不重复享受政策。 </w:t>
      </w:r>
    </w:p>
    <w:p>
      <w:pPr>
        <w:tabs>
          <w:tab w:val="left" w:pos="720"/>
        </w:tabs>
        <w:spacing w:line="360" w:lineRule="auto"/>
        <w:ind w:firstLine="411" w:firstLineChars="196"/>
        <w:rPr>
          <w:rFonts w:ascii="宋体" w:hAnsi="宋体" w:cs="宋体"/>
          <w:b/>
          <w:szCs w:val="21"/>
          <w:highlight w:val="none"/>
        </w:rPr>
      </w:pPr>
      <w:r>
        <w:rPr>
          <w:rFonts w:hint="eastAsia" w:ascii="宋体" w:hAnsi="宋体" w:cs="宋体"/>
          <w:szCs w:val="21"/>
          <w:highlight w:val="none"/>
        </w:rPr>
        <w:t>《财政部民政部中国残疾人联合会关于促进残疾人就业政府采购政策的通知》（财库〔2017〕 141 号）的规定，在政府采购活动中，残疾人福利性单位视同小型、微型企业，享受预留份额、评标 中价格优惠等促进中小企业发展的政府采购政策。向残疾人福利性单位采购的金额，计入面向中小企业采购的统计数据。残疾人福利性单位属于小型、微型企业的，不重复享受政策。</w:t>
      </w:r>
    </w:p>
    <w:p>
      <w:pPr>
        <w:tabs>
          <w:tab w:val="left" w:pos="720"/>
        </w:tabs>
        <w:spacing w:line="360" w:lineRule="auto"/>
        <w:ind w:firstLine="413" w:firstLineChars="196"/>
        <w:rPr>
          <w:rFonts w:ascii="宋体" w:hAnsi="宋体"/>
          <w:b/>
          <w:szCs w:val="21"/>
          <w:highlight w:val="none"/>
        </w:rPr>
      </w:pPr>
      <w:r>
        <w:rPr>
          <w:rFonts w:hint="eastAsia" w:ascii="宋体" w:hAnsi="宋体"/>
          <w:b/>
          <w:szCs w:val="21"/>
          <w:highlight w:val="none"/>
        </w:rPr>
        <w:t>3.按照评标方法和标准产生的评标价仅限于评标的比较，对成交价没有任何影响。</w:t>
      </w:r>
    </w:p>
    <w:p>
      <w:pPr>
        <w:spacing w:line="360" w:lineRule="auto"/>
        <w:rPr>
          <w:rFonts w:ascii="宋体" w:hAnsi="宋体"/>
          <w:b/>
          <w:bCs/>
          <w:szCs w:val="21"/>
          <w:highlight w:val="none"/>
        </w:rPr>
      </w:pPr>
      <w:r>
        <w:rPr>
          <w:rFonts w:ascii="宋体" w:hAnsi="宋体"/>
          <w:b/>
          <w:bCs/>
          <w:szCs w:val="21"/>
          <w:highlight w:val="none"/>
        </w:rPr>
        <w:t>14</w:t>
      </w:r>
      <w:r>
        <w:rPr>
          <w:rFonts w:hint="eastAsia" w:ascii="宋体" w:hAnsi="宋体"/>
          <w:b/>
          <w:bCs/>
          <w:szCs w:val="21"/>
          <w:highlight w:val="none"/>
        </w:rPr>
        <w:t>．报价货币</w:t>
      </w:r>
    </w:p>
    <w:p>
      <w:pPr>
        <w:spacing w:line="360" w:lineRule="auto"/>
        <w:rPr>
          <w:rFonts w:ascii="宋体" w:hAnsi="宋体"/>
          <w:szCs w:val="21"/>
          <w:highlight w:val="none"/>
        </w:rPr>
      </w:pPr>
      <w:r>
        <w:rPr>
          <w:rFonts w:ascii="宋体" w:hAnsi="宋体"/>
          <w:szCs w:val="21"/>
          <w:highlight w:val="none"/>
        </w:rPr>
        <w:t>14.1</w:t>
      </w:r>
      <w:r>
        <w:rPr>
          <w:rFonts w:hint="eastAsia" w:ascii="宋体" w:hAnsi="宋体"/>
          <w:szCs w:val="21"/>
          <w:highlight w:val="none"/>
        </w:rPr>
        <w:t>报价和支付所使用的货币：供应商填报的报价均以人民币为计价依据，单位为元</w:t>
      </w:r>
      <w:r>
        <w:rPr>
          <w:rFonts w:ascii="宋体" w:hAnsi="宋体"/>
          <w:szCs w:val="21"/>
          <w:highlight w:val="none"/>
        </w:rPr>
        <w:t>,</w:t>
      </w:r>
      <w:r>
        <w:rPr>
          <w:rFonts w:hint="eastAsia" w:ascii="宋体" w:hAnsi="宋体"/>
          <w:szCs w:val="21"/>
          <w:highlight w:val="none"/>
        </w:rPr>
        <w:t>可保留两位小数。合同实施时亦以人民币支付。</w:t>
      </w:r>
    </w:p>
    <w:p>
      <w:pPr>
        <w:spacing w:line="360" w:lineRule="auto"/>
        <w:rPr>
          <w:rFonts w:ascii="宋体" w:hAnsi="宋体"/>
          <w:b/>
          <w:bCs/>
          <w:szCs w:val="21"/>
          <w:highlight w:val="none"/>
        </w:rPr>
      </w:pPr>
      <w:r>
        <w:rPr>
          <w:rFonts w:ascii="宋体" w:hAnsi="宋体"/>
          <w:b/>
          <w:bCs/>
          <w:szCs w:val="21"/>
          <w:highlight w:val="none"/>
        </w:rPr>
        <w:t>15</w:t>
      </w:r>
      <w:r>
        <w:rPr>
          <w:rFonts w:hint="eastAsia" w:ascii="宋体" w:hAnsi="宋体"/>
          <w:b/>
          <w:bCs/>
          <w:szCs w:val="21"/>
          <w:highlight w:val="none"/>
        </w:rPr>
        <w:t>．供应商资格的证明文件</w:t>
      </w:r>
    </w:p>
    <w:p>
      <w:pPr>
        <w:numPr>
          <w:ilvl w:val="0"/>
          <w:numId w:val="6"/>
        </w:numPr>
        <w:spacing w:line="360" w:lineRule="auto"/>
        <w:rPr>
          <w:rFonts w:ascii="宋体" w:hAnsi="宋体"/>
          <w:szCs w:val="21"/>
          <w:highlight w:val="none"/>
        </w:rPr>
      </w:pPr>
      <w:r>
        <w:rPr>
          <w:rFonts w:hint="eastAsia" w:ascii="宋体" w:hAnsi="宋体"/>
          <w:szCs w:val="21"/>
          <w:highlight w:val="none"/>
        </w:rPr>
        <w:t>供应商必须提交证明其有资格进行磋商和有能力履行合同的文件，作为磋商响应文件的一部分：</w:t>
      </w:r>
    </w:p>
    <w:p>
      <w:pPr>
        <w:numPr>
          <w:ilvl w:val="0"/>
          <w:numId w:val="6"/>
        </w:numPr>
        <w:spacing w:line="360" w:lineRule="auto"/>
        <w:rPr>
          <w:rFonts w:ascii="宋体" w:hAnsi="宋体"/>
          <w:szCs w:val="21"/>
          <w:highlight w:val="none"/>
        </w:rPr>
      </w:pPr>
      <w:r>
        <w:rPr>
          <w:rFonts w:hint="eastAsia" w:ascii="宋体" w:hAnsi="宋体"/>
          <w:szCs w:val="21"/>
          <w:highlight w:val="none"/>
        </w:rPr>
        <w:t>按要求提供的供应商承诺函；</w:t>
      </w:r>
    </w:p>
    <w:p>
      <w:pPr>
        <w:numPr>
          <w:ilvl w:val="0"/>
          <w:numId w:val="6"/>
        </w:numPr>
        <w:spacing w:line="360" w:lineRule="auto"/>
        <w:rPr>
          <w:rFonts w:ascii="宋体" w:hAnsi="宋体"/>
          <w:szCs w:val="21"/>
          <w:highlight w:val="none"/>
        </w:rPr>
      </w:pPr>
      <w:r>
        <w:rPr>
          <w:rFonts w:hint="eastAsia" w:ascii="宋体" w:hAnsi="宋体"/>
          <w:szCs w:val="21"/>
          <w:highlight w:val="none"/>
        </w:rPr>
        <w:t>符合本磋商文件规定的供应商条件的证明文件；</w:t>
      </w:r>
    </w:p>
    <w:p>
      <w:pPr>
        <w:numPr>
          <w:ilvl w:val="0"/>
          <w:numId w:val="6"/>
        </w:numPr>
        <w:spacing w:line="360" w:lineRule="auto"/>
        <w:rPr>
          <w:rFonts w:ascii="宋体" w:hAnsi="宋体"/>
          <w:szCs w:val="21"/>
          <w:highlight w:val="none"/>
        </w:rPr>
      </w:pPr>
      <w:r>
        <w:rPr>
          <w:rFonts w:hint="eastAsia" w:ascii="宋体" w:hAnsi="宋体"/>
          <w:szCs w:val="21"/>
          <w:highlight w:val="none"/>
        </w:rPr>
        <w:t>供应商认为需要提供的有关证明文件。</w:t>
      </w:r>
    </w:p>
    <w:p>
      <w:pPr>
        <w:spacing w:line="360" w:lineRule="auto"/>
        <w:rPr>
          <w:rFonts w:ascii="宋体" w:hAnsi="宋体"/>
          <w:b/>
          <w:bCs/>
          <w:szCs w:val="21"/>
          <w:highlight w:val="none"/>
        </w:rPr>
      </w:pPr>
      <w:r>
        <w:rPr>
          <w:rFonts w:ascii="宋体" w:hAnsi="宋体"/>
          <w:b/>
          <w:bCs/>
          <w:szCs w:val="21"/>
          <w:highlight w:val="none"/>
        </w:rPr>
        <w:t>16</w:t>
      </w:r>
      <w:r>
        <w:rPr>
          <w:rFonts w:hint="eastAsia" w:ascii="宋体" w:hAnsi="宋体"/>
          <w:b/>
          <w:bCs/>
          <w:szCs w:val="21"/>
          <w:highlight w:val="none"/>
        </w:rPr>
        <w:t>．符合磋商文件规定的响应文件</w:t>
      </w:r>
    </w:p>
    <w:p>
      <w:pPr>
        <w:spacing w:line="360" w:lineRule="auto"/>
        <w:rPr>
          <w:rFonts w:ascii="宋体" w:hAnsi="宋体"/>
          <w:szCs w:val="21"/>
          <w:highlight w:val="none"/>
        </w:rPr>
      </w:pPr>
      <w:r>
        <w:rPr>
          <w:rFonts w:ascii="宋体" w:hAnsi="宋体"/>
          <w:szCs w:val="21"/>
          <w:highlight w:val="none"/>
        </w:rPr>
        <w:t>16.1</w:t>
      </w:r>
      <w:r>
        <w:rPr>
          <w:rFonts w:hint="eastAsia" w:ascii="宋体" w:hAnsi="宋体"/>
          <w:szCs w:val="21"/>
          <w:highlight w:val="none"/>
        </w:rPr>
        <w:t>供应商须提交证明其拟提供的货物符合磋商文件规定的磋商响应文件，作为竞标文件的一部分；</w:t>
      </w:r>
    </w:p>
    <w:p>
      <w:pPr>
        <w:spacing w:line="360" w:lineRule="auto"/>
        <w:rPr>
          <w:rFonts w:ascii="宋体" w:hAnsi="宋体"/>
          <w:szCs w:val="21"/>
          <w:highlight w:val="none"/>
        </w:rPr>
      </w:pPr>
      <w:r>
        <w:rPr>
          <w:rFonts w:ascii="宋体" w:hAnsi="宋体"/>
          <w:szCs w:val="21"/>
          <w:highlight w:val="none"/>
        </w:rPr>
        <w:t>16.2</w:t>
      </w:r>
      <w:r>
        <w:rPr>
          <w:rFonts w:hint="eastAsia" w:ascii="宋体" w:hAnsi="宋体"/>
          <w:szCs w:val="21"/>
          <w:highlight w:val="none"/>
        </w:rPr>
        <w:t>上述文件可以是文字资料、图纸和数据。</w:t>
      </w:r>
    </w:p>
    <w:p>
      <w:pPr>
        <w:spacing w:line="360" w:lineRule="auto"/>
        <w:rPr>
          <w:rFonts w:ascii="宋体" w:hAnsi="宋体"/>
          <w:b/>
          <w:bCs/>
          <w:szCs w:val="21"/>
          <w:highlight w:val="none"/>
        </w:rPr>
      </w:pPr>
      <w:r>
        <w:rPr>
          <w:rFonts w:ascii="宋体" w:hAnsi="宋体"/>
          <w:b/>
          <w:bCs/>
          <w:szCs w:val="21"/>
          <w:highlight w:val="none"/>
        </w:rPr>
        <w:t>17</w:t>
      </w:r>
      <w:r>
        <w:rPr>
          <w:rFonts w:hint="eastAsia" w:ascii="宋体" w:hAnsi="宋体"/>
          <w:b/>
          <w:bCs/>
          <w:szCs w:val="21"/>
          <w:highlight w:val="none"/>
        </w:rPr>
        <w:t>．磋商保证金</w:t>
      </w:r>
    </w:p>
    <w:p>
      <w:pPr>
        <w:spacing w:line="360" w:lineRule="auto"/>
        <w:rPr>
          <w:rFonts w:ascii="宋体" w:hAnsi="宋体"/>
          <w:b/>
          <w:bCs/>
          <w:szCs w:val="21"/>
          <w:highlight w:val="none"/>
        </w:rPr>
      </w:pPr>
      <w:r>
        <w:rPr>
          <w:rFonts w:hint="eastAsia" w:ascii="宋体" w:hAnsi="宋体"/>
          <w:b/>
          <w:bCs/>
          <w:szCs w:val="21"/>
          <w:highlight w:val="none"/>
        </w:rPr>
        <w:t>根据豫财购【2019】4号文规定，投标保证金不再收取</w:t>
      </w:r>
    </w:p>
    <w:p>
      <w:pPr>
        <w:spacing w:line="360" w:lineRule="auto"/>
        <w:rPr>
          <w:rFonts w:ascii="宋体" w:hAnsi="宋体"/>
          <w:b/>
          <w:bCs/>
          <w:szCs w:val="21"/>
          <w:highlight w:val="none"/>
        </w:rPr>
      </w:pPr>
      <w:r>
        <w:rPr>
          <w:rFonts w:ascii="宋体" w:hAnsi="宋体"/>
          <w:b/>
          <w:bCs/>
          <w:szCs w:val="21"/>
          <w:highlight w:val="none"/>
        </w:rPr>
        <w:t>18.</w:t>
      </w:r>
      <w:r>
        <w:rPr>
          <w:rFonts w:hint="eastAsia" w:ascii="宋体" w:hAnsi="宋体"/>
          <w:b/>
          <w:bCs/>
          <w:szCs w:val="21"/>
          <w:highlight w:val="none"/>
        </w:rPr>
        <w:t>磋商有效期</w:t>
      </w:r>
    </w:p>
    <w:p>
      <w:pPr>
        <w:spacing w:line="360" w:lineRule="auto"/>
        <w:rPr>
          <w:rFonts w:ascii="宋体" w:hAnsi="宋体"/>
          <w:szCs w:val="21"/>
          <w:highlight w:val="none"/>
        </w:rPr>
      </w:pPr>
      <w:r>
        <w:rPr>
          <w:rFonts w:ascii="宋体" w:hAnsi="宋体"/>
          <w:szCs w:val="21"/>
          <w:highlight w:val="none"/>
        </w:rPr>
        <w:t>18.1</w:t>
      </w:r>
      <w:r>
        <w:rPr>
          <w:rFonts w:hint="eastAsia" w:ascii="宋体" w:hAnsi="宋体"/>
          <w:szCs w:val="21"/>
          <w:highlight w:val="none"/>
        </w:rPr>
        <w:t>磋商有效期从本须知前附表所规定的磋商响应文件递交截止时间起开始计算。磋商响应文件在本须知前附表所规定的</w:t>
      </w:r>
      <w:r>
        <w:rPr>
          <w:rFonts w:ascii="宋体" w:hAnsi="宋体"/>
          <w:szCs w:val="21"/>
          <w:highlight w:val="none"/>
        </w:rPr>
        <w:t>60</w:t>
      </w:r>
      <w:r>
        <w:rPr>
          <w:rFonts w:hint="eastAsia" w:ascii="宋体" w:hAnsi="宋体"/>
          <w:szCs w:val="21"/>
          <w:highlight w:val="none"/>
        </w:rPr>
        <w:t>日历天内有效；</w:t>
      </w:r>
    </w:p>
    <w:p>
      <w:pPr>
        <w:spacing w:line="360" w:lineRule="auto"/>
        <w:rPr>
          <w:rFonts w:ascii="宋体" w:hAnsi="宋体"/>
          <w:szCs w:val="21"/>
          <w:highlight w:val="none"/>
        </w:rPr>
      </w:pPr>
      <w:r>
        <w:rPr>
          <w:rFonts w:ascii="宋体" w:hAnsi="宋体"/>
          <w:szCs w:val="21"/>
          <w:highlight w:val="none"/>
        </w:rPr>
        <w:t>18.2</w:t>
      </w:r>
      <w:r>
        <w:rPr>
          <w:rFonts w:hint="eastAsia" w:ascii="宋体" w:hAnsi="宋体"/>
          <w:szCs w:val="21"/>
          <w:highlight w:val="none"/>
        </w:rPr>
        <w:t>因特殊情况，采购人可以通知所有供应商延长磋商有效期。拒绝延长磋商有效期的供应商有权不参加本次磋商项目。同意延长磋商有效期的供应商不得修改磋商响应文件的实质性内容。</w:t>
      </w:r>
    </w:p>
    <w:p>
      <w:pPr>
        <w:spacing w:line="360" w:lineRule="auto"/>
        <w:rPr>
          <w:rFonts w:ascii="宋体" w:hAnsi="宋体"/>
          <w:b/>
          <w:bCs/>
          <w:szCs w:val="21"/>
          <w:highlight w:val="none"/>
        </w:rPr>
      </w:pPr>
      <w:r>
        <w:rPr>
          <w:rFonts w:ascii="宋体" w:hAnsi="宋体"/>
          <w:b/>
          <w:bCs/>
          <w:szCs w:val="21"/>
          <w:highlight w:val="none"/>
        </w:rPr>
        <w:t>19</w:t>
      </w:r>
      <w:r>
        <w:rPr>
          <w:rFonts w:hint="eastAsia" w:ascii="宋体" w:hAnsi="宋体"/>
          <w:b/>
          <w:bCs/>
          <w:szCs w:val="21"/>
          <w:highlight w:val="none"/>
        </w:rPr>
        <w:t>．磋商响应文件的签署及规定</w:t>
      </w:r>
    </w:p>
    <w:p>
      <w:pPr>
        <w:spacing w:line="360" w:lineRule="auto"/>
        <w:rPr>
          <w:rFonts w:ascii="宋体" w:hAnsi="宋体"/>
          <w:bCs/>
          <w:szCs w:val="21"/>
          <w:highlight w:val="none"/>
        </w:rPr>
      </w:pPr>
      <w:r>
        <w:rPr>
          <w:rFonts w:ascii="宋体" w:hAnsi="宋体"/>
          <w:szCs w:val="21"/>
          <w:highlight w:val="none"/>
        </w:rPr>
        <w:t>19.1</w:t>
      </w:r>
      <w:r>
        <w:rPr>
          <w:rFonts w:hint="eastAsia" w:ascii="宋体" w:hAnsi="宋体"/>
          <w:bCs/>
          <w:szCs w:val="21"/>
          <w:highlight w:val="none"/>
        </w:rPr>
        <w:t>供应商应按照竞争性磋商文件的要求准备和制作竞争性磋商响应文件。并按要求签署电子签章。</w:t>
      </w:r>
    </w:p>
    <w:p>
      <w:pPr>
        <w:spacing w:line="360" w:lineRule="auto"/>
        <w:rPr>
          <w:rFonts w:ascii="宋体" w:hAnsi="宋体"/>
          <w:b/>
          <w:szCs w:val="21"/>
          <w:highlight w:val="none"/>
          <w:lang w:val="zh-CN" w:bidi="zh-CN"/>
        </w:rPr>
      </w:pPr>
      <w:r>
        <w:rPr>
          <w:rFonts w:ascii="宋体" w:hAnsi="宋体"/>
          <w:b/>
          <w:szCs w:val="21"/>
          <w:highlight w:val="none"/>
        </w:rPr>
        <w:t xml:space="preserve">20. </w:t>
      </w:r>
      <w:r>
        <w:rPr>
          <w:rFonts w:ascii="宋体" w:hAnsi="宋体"/>
          <w:b/>
          <w:szCs w:val="21"/>
          <w:highlight w:val="none"/>
          <w:lang w:val="zh-CN" w:bidi="zh-CN"/>
        </w:rPr>
        <w:t>磋商时间和地点</w:t>
      </w:r>
    </w:p>
    <w:p>
      <w:pPr>
        <w:spacing w:line="360" w:lineRule="auto"/>
        <w:rPr>
          <w:rFonts w:ascii="宋体" w:hAnsi="宋体"/>
          <w:szCs w:val="21"/>
          <w:highlight w:val="none"/>
        </w:rPr>
      </w:pPr>
      <w:r>
        <w:rPr>
          <w:rFonts w:hint="eastAsia" w:ascii="宋体" w:hAnsi="宋体"/>
          <w:szCs w:val="21"/>
          <w:highlight w:val="none"/>
          <w:lang w:bidi="zh-CN"/>
        </w:rPr>
        <w:t>供应商</w:t>
      </w:r>
      <w:r>
        <w:rPr>
          <w:rFonts w:ascii="宋体" w:hAnsi="宋体"/>
          <w:szCs w:val="21"/>
          <w:highlight w:val="none"/>
          <w:lang w:bidi="zh-CN"/>
        </w:rPr>
        <w:t>应当在磋商文件确定的</w:t>
      </w:r>
      <w:r>
        <w:rPr>
          <w:rFonts w:hint="eastAsia" w:ascii="宋体" w:hAnsi="宋体"/>
          <w:szCs w:val="21"/>
          <w:highlight w:val="none"/>
          <w:lang w:bidi="zh-CN"/>
        </w:rPr>
        <w:t>响应文件递交截止时间</w:t>
      </w:r>
      <w:r>
        <w:rPr>
          <w:rFonts w:ascii="宋体" w:hAnsi="宋体"/>
          <w:szCs w:val="21"/>
          <w:highlight w:val="none"/>
          <w:lang w:bidi="zh-CN"/>
        </w:rPr>
        <w:t>前, 登录远程开标大厅,在线准时参加开标活动并进行文件解密、答疑澄清等，无需到磋商现场。</w:t>
      </w:r>
    </w:p>
    <w:p>
      <w:pPr>
        <w:spacing w:line="360" w:lineRule="auto"/>
        <w:jc w:val="center"/>
        <w:outlineLvl w:val="1"/>
        <w:rPr>
          <w:rFonts w:ascii="宋体" w:hAnsi="宋体"/>
          <w:b/>
          <w:szCs w:val="21"/>
          <w:highlight w:val="none"/>
        </w:rPr>
      </w:pPr>
      <w:bookmarkStart w:id="41" w:name="_Toc25993"/>
      <w:r>
        <w:rPr>
          <w:rFonts w:hint="eastAsia" w:ascii="宋体" w:hAnsi="宋体"/>
          <w:b/>
          <w:szCs w:val="21"/>
          <w:highlight w:val="none"/>
        </w:rPr>
        <w:t>四、</w:t>
      </w:r>
      <w:r>
        <w:rPr>
          <w:rFonts w:hint="eastAsia" w:ascii="宋体" w:hAnsi="宋体"/>
          <w:b/>
          <w:bCs/>
          <w:szCs w:val="21"/>
          <w:highlight w:val="none"/>
        </w:rPr>
        <w:t>磋商响应</w:t>
      </w:r>
      <w:r>
        <w:rPr>
          <w:rFonts w:hint="eastAsia" w:ascii="宋体" w:hAnsi="宋体"/>
          <w:b/>
          <w:szCs w:val="21"/>
          <w:highlight w:val="none"/>
        </w:rPr>
        <w:t>文件的递交及修改、补充与撤回</w:t>
      </w:r>
      <w:bookmarkEnd w:id="41"/>
    </w:p>
    <w:p>
      <w:pPr>
        <w:spacing w:line="360" w:lineRule="auto"/>
        <w:rPr>
          <w:rFonts w:ascii="宋体" w:hAnsi="宋体"/>
          <w:b/>
          <w:szCs w:val="21"/>
          <w:highlight w:val="none"/>
        </w:rPr>
      </w:pPr>
      <w:r>
        <w:rPr>
          <w:rFonts w:ascii="宋体" w:hAnsi="宋体"/>
          <w:b/>
          <w:szCs w:val="21"/>
          <w:highlight w:val="none"/>
        </w:rPr>
        <w:t>21.</w:t>
      </w:r>
      <w:r>
        <w:rPr>
          <w:rFonts w:hint="eastAsia" w:ascii="宋体" w:hAnsi="宋体"/>
          <w:b/>
          <w:bCs/>
          <w:szCs w:val="21"/>
          <w:highlight w:val="none"/>
        </w:rPr>
        <w:t>磋商响应</w:t>
      </w:r>
      <w:r>
        <w:rPr>
          <w:rFonts w:hint="eastAsia" w:ascii="宋体" w:hAnsi="宋体"/>
          <w:b/>
          <w:szCs w:val="21"/>
          <w:highlight w:val="none"/>
        </w:rPr>
        <w:t>文件的递交</w:t>
      </w:r>
    </w:p>
    <w:p>
      <w:pPr>
        <w:spacing w:line="360" w:lineRule="auto"/>
        <w:rPr>
          <w:rFonts w:ascii="宋体" w:hAnsi="宋体"/>
          <w:szCs w:val="21"/>
          <w:highlight w:val="none"/>
          <w:lang w:bidi="zh-CN"/>
        </w:rPr>
      </w:pPr>
      <w:r>
        <w:rPr>
          <w:rFonts w:hint="eastAsia" w:ascii="宋体" w:hAnsi="宋体"/>
          <w:szCs w:val="21"/>
          <w:highlight w:val="none"/>
          <w:lang w:bidi="zh-CN"/>
        </w:rPr>
        <w:t>21.1供应商</w:t>
      </w:r>
      <w:r>
        <w:rPr>
          <w:rFonts w:ascii="宋体" w:hAnsi="宋体"/>
          <w:szCs w:val="21"/>
          <w:highlight w:val="none"/>
          <w:lang w:bidi="zh-CN"/>
        </w:rPr>
        <w:t>应在</w:t>
      </w:r>
      <w:r>
        <w:rPr>
          <w:rFonts w:hint="eastAsia" w:ascii="宋体" w:hAnsi="宋体"/>
          <w:szCs w:val="21"/>
          <w:highlight w:val="none"/>
          <w:lang w:bidi="zh-CN"/>
        </w:rPr>
        <w:t>响应文件递交截止时间</w:t>
      </w:r>
      <w:r>
        <w:rPr>
          <w:rFonts w:ascii="宋体" w:hAnsi="宋体"/>
          <w:szCs w:val="21"/>
          <w:highlight w:val="none"/>
          <w:lang w:bidi="zh-CN"/>
        </w:rPr>
        <w:t>前上传加密的电子响应性文件（*.hntf）到会员系统的指定位置。上传时必须得到电脑“上传成功”的确认。请</w:t>
      </w:r>
      <w:r>
        <w:rPr>
          <w:rFonts w:hint="eastAsia" w:ascii="宋体" w:hAnsi="宋体"/>
          <w:szCs w:val="21"/>
          <w:highlight w:val="none"/>
          <w:lang w:bidi="zh-CN"/>
        </w:rPr>
        <w:t>供应商</w:t>
      </w:r>
      <w:r>
        <w:rPr>
          <w:rFonts w:ascii="宋体" w:hAnsi="宋体"/>
          <w:szCs w:val="21"/>
          <w:highlight w:val="none"/>
          <w:lang w:bidi="zh-CN"/>
        </w:rPr>
        <w:t>在上传时认真检查上传响应性文件是否完整、正确。</w:t>
      </w:r>
    </w:p>
    <w:p>
      <w:pPr>
        <w:spacing w:line="360" w:lineRule="auto"/>
        <w:rPr>
          <w:rFonts w:ascii="宋体" w:hAnsi="宋体"/>
          <w:szCs w:val="21"/>
          <w:highlight w:val="none"/>
          <w:lang w:bidi="zh-CN"/>
        </w:rPr>
      </w:pPr>
      <w:r>
        <w:rPr>
          <w:rFonts w:hint="eastAsia" w:ascii="宋体" w:hAnsi="宋体"/>
          <w:szCs w:val="21"/>
          <w:highlight w:val="none"/>
          <w:lang w:bidi="zh-CN"/>
        </w:rPr>
        <w:t>21.2供应商</w:t>
      </w:r>
      <w:r>
        <w:rPr>
          <w:rFonts w:ascii="宋体" w:hAnsi="宋体"/>
          <w:szCs w:val="21"/>
          <w:highlight w:val="none"/>
          <w:lang w:bidi="zh-CN"/>
        </w:rPr>
        <w:t>因河南省公共资源交易平台投标系统问题无法上传电子响应性文件时，请在工作时间与河南省公共资源交易中心联系，联系电话：0371-860959</w:t>
      </w:r>
      <w:r>
        <w:rPr>
          <w:rFonts w:hint="eastAsia" w:ascii="宋体" w:hAnsi="宋体"/>
          <w:szCs w:val="21"/>
          <w:highlight w:val="none"/>
          <w:lang w:bidi="zh-CN"/>
        </w:rPr>
        <w:t>03</w:t>
      </w:r>
      <w:r>
        <w:rPr>
          <w:rFonts w:ascii="宋体" w:hAnsi="宋体"/>
          <w:szCs w:val="21"/>
          <w:highlight w:val="none"/>
          <w:lang w:bidi="zh-CN"/>
        </w:rPr>
        <w:t>。</w:t>
      </w:r>
    </w:p>
    <w:p>
      <w:pPr>
        <w:spacing w:line="360" w:lineRule="auto"/>
        <w:rPr>
          <w:rFonts w:ascii="宋体" w:hAnsi="宋体"/>
          <w:szCs w:val="21"/>
          <w:highlight w:val="none"/>
          <w:lang w:bidi="zh-CN"/>
        </w:rPr>
      </w:pPr>
      <w:r>
        <w:rPr>
          <w:rFonts w:hint="eastAsia" w:ascii="宋体" w:hAnsi="宋体"/>
          <w:szCs w:val="21"/>
          <w:highlight w:val="none"/>
          <w:lang w:bidi="zh-CN"/>
        </w:rPr>
        <w:t>21.3</w:t>
      </w:r>
      <w:r>
        <w:rPr>
          <w:rFonts w:ascii="宋体" w:hAnsi="宋体"/>
          <w:szCs w:val="21"/>
          <w:highlight w:val="none"/>
          <w:lang w:bidi="zh-CN"/>
        </w:rPr>
        <w:t>未在规定时间内递交/上传响应文件，响应文件将被拒绝。</w:t>
      </w:r>
    </w:p>
    <w:p>
      <w:pPr>
        <w:spacing w:line="360" w:lineRule="auto"/>
        <w:rPr>
          <w:rFonts w:ascii="宋体" w:hAnsi="宋体"/>
          <w:b/>
          <w:szCs w:val="21"/>
          <w:highlight w:val="none"/>
        </w:rPr>
      </w:pPr>
      <w:r>
        <w:rPr>
          <w:rFonts w:ascii="宋体" w:hAnsi="宋体"/>
          <w:b/>
          <w:szCs w:val="21"/>
          <w:highlight w:val="none"/>
        </w:rPr>
        <w:t>22.</w:t>
      </w:r>
      <w:r>
        <w:rPr>
          <w:rFonts w:hint="eastAsia" w:ascii="宋体" w:hAnsi="宋体"/>
          <w:b/>
          <w:bCs/>
          <w:szCs w:val="21"/>
          <w:highlight w:val="none"/>
        </w:rPr>
        <w:t>磋商响应</w:t>
      </w:r>
      <w:r>
        <w:rPr>
          <w:rFonts w:hint="eastAsia" w:ascii="宋体" w:hAnsi="宋体"/>
          <w:b/>
          <w:szCs w:val="21"/>
          <w:highlight w:val="none"/>
        </w:rPr>
        <w:t>文件的修改、补充与撤回</w:t>
      </w:r>
    </w:p>
    <w:p>
      <w:pPr>
        <w:spacing w:line="360" w:lineRule="auto"/>
        <w:rPr>
          <w:rFonts w:ascii="宋体" w:hAnsi="宋体"/>
          <w:szCs w:val="21"/>
          <w:highlight w:val="none"/>
        </w:rPr>
      </w:pPr>
      <w:r>
        <w:rPr>
          <w:rFonts w:ascii="宋体" w:hAnsi="宋体"/>
          <w:szCs w:val="21"/>
          <w:highlight w:val="none"/>
        </w:rPr>
        <w:t>22.1</w:t>
      </w:r>
      <w:r>
        <w:rPr>
          <w:rFonts w:hint="eastAsia" w:ascii="宋体" w:hAnsi="宋体"/>
          <w:szCs w:val="21"/>
          <w:highlight w:val="none"/>
        </w:rPr>
        <w:t>供应商可以在</w:t>
      </w:r>
      <w:r>
        <w:rPr>
          <w:rFonts w:hint="eastAsia" w:ascii="宋体" w:hAnsi="宋体"/>
          <w:bCs/>
          <w:szCs w:val="21"/>
          <w:highlight w:val="none"/>
        </w:rPr>
        <w:t>磋商响应</w:t>
      </w:r>
      <w:r>
        <w:rPr>
          <w:rFonts w:hint="eastAsia" w:ascii="宋体" w:hAnsi="宋体"/>
          <w:szCs w:val="21"/>
          <w:highlight w:val="none"/>
        </w:rPr>
        <w:t>文件递交截止时间之前修改、补充或撤回响应文件。在</w:t>
      </w:r>
      <w:r>
        <w:rPr>
          <w:rFonts w:hint="eastAsia" w:ascii="宋体" w:hAnsi="宋体"/>
          <w:bCs/>
          <w:szCs w:val="21"/>
          <w:highlight w:val="none"/>
        </w:rPr>
        <w:t>磋商响应</w:t>
      </w:r>
      <w:r>
        <w:rPr>
          <w:rFonts w:hint="eastAsia" w:ascii="宋体" w:hAnsi="宋体"/>
          <w:szCs w:val="21"/>
          <w:highlight w:val="none"/>
        </w:rPr>
        <w:t>文件递交截止时间后不能修改、补充或撤回响应文件；</w:t>
      </w:r>
    </w:p>
    <w:p>
      <w:pPr>
        <w:spacing w:line="360" w:lineRule="auto"/>
        <w:rPr>
          <w:rFonts w:ascii="宋体" w:hAnsi="宋体"/>
          <w:szCs w:val="21"/>
          <w:highlight w:val="none"/>
        </w:rPr>
      </w:pPr>
      <w:r>
        <w:rPr>
          <w:rFonts w:ascii="宋体" w:hAnsi="宋体"/>
          <w:szCs w:val="21"/>
          <w:highlight w:val="none"/>
        </w:rPr>
        <w:t>22.</w:t>
      </w:r>
      <w:r>
        <w:rPr>
          <w:rFonts w:hint="eastAsia" w:ascii="宋体" w:hAnsi="宋体"/>
          <w:szCs w:val="21"/>
          <w:highlight w:val="none"/>
        </w:rPr>
        <w:t>2在磋商有效期内，供应商不能撤回其</w:t>
      </w:r>
      <w:r>
        <w:rPr>
          <w:rFonts w:hint="eastAsia" w:ascii="宋体" w:hAnsi="宋体"/>
          <w:bCs/>
          <w:szCs w:val="21"/>
          <w:highlight w:val="none"/>
        </w:rPr>
        <w:t>磋商响应</w:t>
      </w:r>
      <w:r>
        <w:rPr>
          <w:rFonts w:hint="eastAsia" w:ascii="宋体" w:hAnsi="宋体"/>
          <w:szCs w:val="21"/>
          <w:highlight w:val="none"/>
        </w:rPr>
        <w:t>文件。</w:t>
      </w:r>
    </w:p>
    <w:p>
      <w:pPr>
        <w:spacing w:line="360" w:lineRule="auto"/>
        <w:jc w:val="center"/>
        <w:outlineLvl w:val="1"/>
        <w:rPr>
          <w:rFonts w:ascii="宋体" w:hAnsi="宋体"/>
          <w:b/>
          <w:szCs w:val="21"/>
          <w:highlight w:val="none"/>
        </w:rPr>
      </w:pPr>
      <w:bookmarkStart w:id="42" w:name="_Toc98041609"/>
      <w:bookmarkStart w:id="43" w:name="_Toc7907"/>
      <w:r>
        <w:rPr>
          <w:rFonts w:hint="eastAsia" w:ascii="宋体" w:hAnsi="宋体"/>
          <w:b/>
          <w:szCs w:val="21"/>
          <w:highlight w:val="none"/>
        </w:rPr>
        <w:t>五、</w:t>
      </w:r>
      <w:bookmarkEnd w:id="42"/>
      <w:r>
        <w:rPr>
          <w:rFonts w:hint="eastAsia" w:ascii="宋体" w:hAnsi="宋体"/>
          <w:b/>
          <w:szCs w:val="21"/>
          <w:highlight w:val="none"/>
        </w:rPr>
        <w:t>磋商小组</w:t>
      </w:r>
      <w:bookmarkEnd w:id="43"/>
    </w:p>
    <w:p>
      <w:pPr>
        <w:spacing w:line="360" w:lineRule="auto"/>
        <w:rPr>
          <w:rFonts w:ascii="宋体" w:hAnsi="宋体"/>
          <w:b/>
          <w:szCs w:val="21"/>
          <w:highlight w:val="none"/>
        </w:rPr>
      </w:pPr>
      <w:r>
        <w:rPr>
          <w:rFonts w:ascii="宋体" w:hAnsi="宋体"/>
          <w:b/>
          <w:szCs w:val="21"/>
          <w:highlight w:val="none"/>
        </w:rPr>
        <w:t>23.</w:t>
      </w:r>
      <w:r>
        <w:rPr>
          <w:rFonts w:hint="eastAsia" w:ascii="宋体" w:hAnsi="宋体"/>
          <w:b/>
          <w:szCs w:val="21"/>
          <w:highlight w:val="none"/>
        </w:rPr>
        <w:t>磋商小组</w:t>
      </w:r>
    </w:p>
    <w:p>
      <w:pPr>
        <w:tabs>
          <w:tab w:val="left" w:pos="620"/>
        </w:tabs>
        <w:spacing w:line="360" w:lineRule="auto"/>
        <w:ind w:left="21" w:leftChars="10" w:right="120" w:firstLine="420" w:firstLineChars="200"/>
        <w:rPr>
          <w:rFonts w:ascii="宋体" w:hAnsi="宋体"/>
          <w:szCs w:val="21"/>
          <w:highlight w:val="none"/>
        </w:rPr>
      </w:pPr>
      <w:r>
        <w:rPr>
          <w:rFonts w:ascii="宋体" w:hAnsi="宋体"/>
          <w:szCs w:val="21"/>
          <w:highlight w:val="none"/>
        </w:rPr>
        <w:t>23.1</w:t>
      </w:r>
      <w:r>
        <w:rPr>
          <w:rFonts w:hint="eastAsia" w:ascii="宋体" w:hAnsi="宋体"/>
          <w:spacing w:val="-4"/>
          <w:szCs w:val="21"/>
          <w:highlight w:val="none"/>
        </w:rPr>
        <w:t>依照《中华人民共和国政府采购法》的有关规定，并根据本次采购的特点组织磋商小组，</w:t>
      </w:r>
      <w:r>
        <w:rPr>
          <w:rFonts w:ascii="宋体" w:hAnsi="宋体"/>
          <w:b/>
          <w:szCs w:val="21"/>
          <w:highlight w:val="none"/>
        </w:rPr>
        <w:t>其成员由政府</w:t>
      </w:r>
      <w:r>
        <w:rPr>
          <w:rFonts w:hint="eastAsia" w:ascii="宋体" w:hAnsi="宋体"/>
          <w:b/>
          <w:szCs w:val="21"/>
          <w:highlight w:val="none"/>
        </w:rPr>
        <w:t>采购</w:t>
      </w:r>
      <w:r>
        <w:rPr>
          <w:rFonts w:ascii="宋体" w:hAnsi="宋体"/>
          <w:b/>
          <w:szCs w:val="21"/>
          <w:highlight w:val="none"/>
        </w:rPr>
        <w:t>专家库里随机抽取的</w:t>
      </w:r>
      <w:r>
        <w:rPr>
          <w:rFonts w:hint="eastAsia" w:ascii="宋体" w:hAnsi="宋体"/>
          <w:b/>
          <w:szCs w:val="21"/>
          <w:highlight w:val="none"/>
        </w:rPr>
        <w:t>技术、经济</w:t>
      </w:r>
      <w:r>
        <w:rPr>
          <w:rFonts w:ascii="宋体" w:hAnsi="宋体"/>
          <w:b/>
          <w:szCs w:val="21"/>
          <w:highlight w:val="none"/>
        </w:rPr>
        <w:t>专家与</w:t>
      </w:r>
      <w:r>
        <w:rPr>
          <w:rFonts w:hint="eastAsia" w:ascii="宋体" w:hAnsi="宋体"/>
          <w:b/>
          <w:szCs w:val="21"/>
          <w:highlight w:val="none"/>
        </w:rPr>
        <w:t>采购人</w:t>
      </w:r>
      <w:r>
        <w:rPr>
          <w:rFonts w:ascii="宋体" w:hAnsi="宋体"/>
          <w:b/>
          <w:szCs w:val="21"/>
          <w:highlight w:val="none"/>
        </w:rPr>
        <w:t>代表组成；</w:t>
      </w:r>
    </w:p>
    <w:p>
      <w:pPr>
        <w:spacing w:line="360" w:lineRule="auto"/>
        <w:rPr>
          <w:rFonts w:ascii="宋体" w:hAnsi="宋体"/>
          <w:szCs w:val="21"/>
          <w:highlight w:val="none"/>
        </w:rPr>
      </w:pPr>
      <w:r>
        <w:rPr>
          <w:rFonts w:ascii="宋体" w:hAnsi="宋体"/>
          <w:szCs w:val="21"/>
          <w:highlight w:val="none"/>
        </w:rPr>
        <w:t xml:space="preserve">23.2 </w:t>
      </w:r>
      <w:r>
        <w:rPr>
          <w:rFonts w:hint="eastAsia" w:ascii="宋体" w:hAnsi="宋体"/>
          <w:szCs w:val="21"/>
          <w:highlight w:val="none"/>
        </w:rPr>
        <w:t>与供应商有利害关系的不得进入磋商小组；</w:t>
      </w:r>
    </w:p>
    <w:p>
      <w:pPr>
        <w:spacing w:line="360" w:lineRule="auto"/>
        <w:rPr>
          <w:rFonts w:ascii="宋体" w:hAnsi="宋体"/>
          <w:szCs w:val="21"/>
          <w:highlight w:val="none"/>
        </w:rPr>
      </w:pPr>
      <w:r>
        <w:rPr>
          <w:rFonts w:ascii="宋体" w:hAnsi="宋体"/>
          <w:szCs w:val="21"/>
          <w:highlight w:val="none"/>
        </w:rPr>
        <w:t>23.3</w:t>
      </w:r>
      <w:r>
        <w:rPr>
          <w:rFonts w:hint="eastAsia" w:ascii="宋体" w:hAnsi="宋体"/>
          <w:szCs w:val="21"/>
          <w:highlight w:val="none"/>
        </w:rPr>
        <w:t>磋商小组成员应当客观、公正地履行职务，遵守职业道德，对所提出的评审意见承担个人责任；</w:t>
      </w:r>
    </w:p>
    <w:p>
      <w:pPr>
        <w:spacing w:line="360" w:lineRule="auto"/>
        <w:jc w:val="center"/>
        <w:outlineLvl w:val="1"/>
        <w:rPr>
          <w:rFonts w:ascii="宋体" w:hAnsi="宋体"/>
          <w:b/>
          <w:szCs w:val="21"/>
          <w:highlight w:val="none"/>
        </w:rPr>
      </w:pPr>
      <w:bookmarkStart w:id="44" w:name="_Toc30680"/>
      <w:r>
        <w:rPr>
          <w:rFonts w:hint="eastAsia" w:ascii="宋体" w:hAnsi="宋体"/>
          <w:b/>
          <w:szCs w:val="21"/>
          <w:highlight w:val="none"/>
        </w:rPr>
        <w:t>六、磋商会议</w:t>
      </w:r>
      <w:bookmarkEnd w:id="44"/>
    </w:p>
    <w:p>
      <w:pPr>
        <w:spacing w:line="360" w:lineRule="auto"/>
        <w:rPr>
          <w:rFonts w:ascii="宋体" w:hAnsi="宋体"/>
          <w:b/>
          <w:szCs w:val="21"/>
          <w:highlight w:val="none"/>
        </w:rPr>
      </w:pPr>
      <w:r>
        <w:rPr>
          <w:rFonts w:ascii="宋体" w:hAnsi="宋体"/>
          <w:b/>
          <w:szCs w:val="21"/>
          <w:highlight w:val="none"/>
        </w:rPr>
        <w:t>24.</w:t>
      </w:r>
      <w:r>
        <w:rPr>
          <w:rFonts w:hint="eastAsia" w:ascii="宋体" w:hAnsi="宋体"/>
          <w:b/>
          <w:szCs w:val="21"/>
          <w:highlight w:val="none"/>
        </w:rPr>
        <w:t>磋商会议要求事项</w:t>
      </w:r>
    </w:p>
    <w:p>
      <w:pPr>
        <w:spacing w:line="360" w:lineRule="auto"/>
        <w:rPr>
          <w:rFonts w:ascii="宋体" w:hAnsi="宋体"/>
          <w:szCs w:val="21"/>
          <w:highlight w:val="none"/>
        </w:rPr>
      </w:pPr>
      <w:bookmarkStart w:id="45" w:name="_Toc98041611"/>
      <w:r>
        <w:rPr>
          <w:rFonts w:hint="eastAsia" w:ascii="宋体" w:hAnsi="宋体"/>
          <w:szCs w:val="21"/>
          <w:highlight w:val="none"/>
        </w:rPr>
        <w:t>24.1</w:t>
      </w:r>
      <w:r>
        <w:rPr>
          <w:rFonts w:ascii="宋体" w:hAnsi="宋体"/>
          <w:szCs w:val="21"/>
          <w:highlight w:val="none"/>
        </w:rPr>
        <w:t>开标前，代理机构将会同相关人员进行检查网上招标系统正常与否。开标时， 各</w:t>
      </w:r>
      <w:r>
        <w:rPr>
          <w:rFonts w:hint="eastAsia" w:ascii="宋体" w:hAnsi="宋体"/>
          <w:szCs w:val="21"/>
          <w:highlight w:val="none"/>
        </w:rPr>
        <w:t>供应商</w:t>
      </w:r>
      <w:r>
        <w:rPr>
          <w:rFonts w:ascii="宋体" w:hAnsi="宋体"/>
          <w:szCs w:val="21"/>
          <w:highlight w:val="none"/>
        </w:rPr>
        <w:t>应在规定时间内对本单位的加密响应性文件解密，代理机构在交易中心及业主监督下解密所有响应性文件。</w:t>
      </w:r>
    </w:p>
    <w:p>
      <w:pPr>
        <w:spacing w:line="360" w:lineRule="auto"/>
        <w:rPr>
          <w:rFonts w:ascii="宋体" w:hAnsi="宋体"/>
          <w:szCs w:val="21"/>
          <w:highlight w:val="none"/>
        </w:rPr>
      </w:pPr>
      <w:r>
        <w:rPr>
          <w:rFonts w:hint="eastAsia" w:ascii="宋体" w:hAnsi="宋体"/>
          <w:szCs w:val="21"/>
          <w:highlight w:val="none"/>
        </w:rPr>
        <w:t>24.2供应商</w:t>
      </w:r>
      <w:r>
        <w:rPr>
          <w:rFonts w:ascii="宋体" w:hAnsi="宋体"/>
          <w:szCs w:val="21"/>
          <w:highlight w:val="none"/>
        </w:rPr>
        <w:t>未在磋商文件规定的响应性文件递交截止时间前成功上传或误传加密的响应性文件，而导致的解密失败,将被拒绝。</w:t>
      </w:r>
    </w:p>
    <w:p>
      <w:pPr>
        <w:spacing w:line="360" w:lineRule="auto"/>
        <w:rPr>
          <w:rFonts w:ascii="宋体" w:hAnsi="宋体"/>
          <w:szCs w:val="21"/>
          <w:highlight w:val="none"/>
        </w:rPr>
      </w:pPr>
      <w:r>
        <w:rPr>
          <w:rFonts w:hint="eastAsia" w:ascii="宋体" w:hAnsi="宋体"/>
          <w:szCs w:val="21"/>
          <w:highlight w:val="none"/>
        </w:rPr>
        <w:t>24.3供应商</w:t>
      </w:r>
      <w:r>
        <w:rPr>
          <w:rFonts w:ascii="宋体" w:hAnsi="宋体"/>
          <w:szCs w:val="21"/>
          <w:highlight w:val="none"/>
        </w:rPr>
        <w:t>应在开标前检查自己的上网环境，如果在系统规定时间内无法解密，响应性文件将被系统默认退回，</w:t>
      </w:r>
      <w:r>
        <w:rPr>
          <w:rFonts w:hint="eastAsia" w:ascii="宋体" w:hAnsi="宋体"/>
          <w:szCs w:val="21"/>
          <w:highlight w:val="none"/>
        </w:rPr>
        <w:t>供应商</w:t>
      </w:r>
      <w:r>
        <w:rPr>
          <w:rFonts w:ascii="宋体" w:hAnsi="宋体"/>
          <w:szCs w:val="21"/>
          <w:highlight w:val="none"/>
        </w:rPr>
        <w:t>自行承担后果。</w:t>
      </w:r>
    </w:p>
    <w:p>
      <w:pPr>
        <w:spacing w:line="360" w:lineRule="auto"/>
        <w:rPr>
          <w:rFonts w:ascii="宋体" w:hAnsi="宋体"/>
          <w:szCs w:val="21"/>
          <w:highlight w:val="none"/>
        </w:rPr>
      </w:pPr>
      <w:r>
        <w:rPr>
          <w:rFonts w:hint="eastAsia" w:ascii="宋体" w:hAnsi="宋体"/>
          <w:szCs w:val="21"/>
          <w:highlight w:val="none"/>
        </w:rPr>
        <w:t>24.4</w:t>
      </w:r>
      <w:r>
        <w:rPr>
          <w:rFonts w:ascii="宋体" w:hAnsi="宋体"/>
          <w:szCs w:val="21"/>
          <w:highlight w:val="none"/>
        </w:rPr>
        <w:t>开标时，代理机构将通过网上开标系统默认的顺序唱标，唱标内容包括</w:t>
      </w:r>
      <w:r>
        <w:rPr>
          <w:rFonts w:hint="eastAsia" w:ascii="宋体" w:hAnsi="宋体"/>
          <w:szCs w:val="21"/>
          <w:highlight w:val="none"/>
        </w:rPr>
        <w:t>供应商</w:t>
      </w:r>
      <w:r>
        <w:rPr>
          <w:rFonts w:ascii="宋体" w:hAnsi="宋体"/>
          <w:szCs w:val="21"/>
          <w:highlight w:val="none"/>
        </w:rPr>
        <w:t>名称、投标价格及其它有关内容。</w:t>
      </w:r>
    </w:p>
    <w:p>
      <w:pPr>
        <w:spacing w:line="360" w:lineRule="auto"/>
        <w:jc w:val="center"/>
        <w:outlineLvl w:val="1"/>
        <w:rPr>
          <w:rFonts w:ascii="宋体" w:hAnsi="宋体"/>
          <w:b/>
          <w:szCs w:val="21"/>
          <w:highlight w:val="none"/>
        </w:rPr>
      </w:pPr>
      <w:bookmarkStart w:id="46" w:name="_Toc30814"/>
      <w:r>
        <w:rPr>
          <w:rFonts w:hint="eastAsia" w:ascii="宋体" w:hAnsi="宋体"/>
          <w:b/>
          <w:szCs w:val="21"/>
          <w:highlight w:val="none"/>
        </w:rPr>
        <w:t>七、磋商和评审</w:t>
      </w:r>
      <w:bookmarkEnd w:id="45"/>
      <w:bookmarkEnd w:id="46"/>
    </w:p>
    <w:p>
      <w:pPr>
        <w:spacing w:line="360" w:lineRule="auto"/>
        <w:rPr>
          <w:rFonts w:ascii="宋体" w:hAnsi="宋体"/>
          <w:b/>
          <w:szCs w:val="21"/>
          <w:highlight w:val="none"/>
        </w:rPr>
      </w:pPr>
      <w:r>
        <w:rPr>
          <w:rFonts w:ascii="宋体" w:hAnsi="宋体"/>
          <w:b/>
          <w:szCs w:val="21"/>
          <w:highlight w:val="none"/>
        </w:rPr>
        <w:t>25.</w:t>
      </w:r>
      <w:r>
        <w:rPr>
          <w:rFonts w:hint="eastAsia" w:ascii="宋体" w:hAnsi="宋体"/>
          <w:b/>
          <w:szCs w:val="21"/>
          <w:highlight w:val="none"/>
        </w:rPr>
        <w:t>磋商、评审会议</w:t>
      </w:r>
    </w:p>
    <w:p>
      <w:pPr>
        <w:spacing w:line="360" w:lineRule="auto"/>
        <w:rPr>
          <w:rFonts w:ascii="宋体" w:hAnsi="宋体"/>
          <w:spacing w:val="-2"/>
          <w:szCs w:val="21"/>
          <w:highlight w:val="none"/>
        </w:rPr>
      </w:pPr>
      <w:r>
        <w:rPr>
          <w:rFonts w:ascii="宋体" w:hAnsi="宋体"/>
          <w:szCs w:val="21"/>
          <w:highlight w:val="none"/>
        </w:rPr>
        <w:t>25.1</w:t>
      </w:r>
      <w:r>
        <w:rPr>
          <w:rFonts w:hint="eastAsia" w:ascii="宋体" w:hAnsi="宋体"/>
          <w:spacing w:val="-2"/>
          <w:szCs w:val="21"/>
          <w:highlight w:val="none"/>
        </w:rPr>
        <w:t>磋商、评审会议采用保密方式进行。评审工作在采购人及监督部门的监督下，由磋商小组负责评审。</w:t>
      </w:r>
    </w:p>
    <w:p>
      <w:pPr>
        <w:spacing w:line="360" w:lineRule="auto"/>
        <w:rPr>
          <w:rFonts w:ascii="宋体" w:hAnsi="宋体"/>
          <w:b/>
          <w:szCs w:val="21"/>
          <w:highlight w:val="none"/>
        </w:rPr>
      </w:pPr>
      <w:r>
        <w:rPr>
          <w:rFonts w:ascii="宋体" w:hAnsi="宋体"/>
          <w:b/>
          <w:szCs w:val="21"/>
          <w:highlight w:val="none"/>
        </w:rPr>
        <w:t>26.</w:t>
      </w:r>
      <w:r>
        <w:rPr>
          <w:rFonts w:hint="eastAsia" w:ascii="宋体" w:hAnsi="宋体"/>
          <w:b/>
          <w:szCs w:val="21"/>
          <w:highlight w:val="none"/>
        </w:rPr>
        <w:t>磋商、评审内容的保密</w:t>
      </w:r>
    </w:p>
    <w:p>
      <w:pPr>
        <w:spacing w:line="360" w:lineRule="auto"/>
        <w:rPr>
          <w:rFonts w:ascii="宋体" w:hAnsi="宋体"/>
          <w:szCs w:val="21"/>
          <w:highlight w:val="none"/>
        </w:rPr>
      </w:pPr>
      <w:r>
        <w:rPr>
          <w:rFonts w:ascii="宋体" w:hAnsi="宋体"/>
          <w:szCs w:val="21"/>
          <w:highlight w:val="none"/>
        </w:rPr>
        <w:t>26.1</w:t>
      </w:r>
      <w:r>
        <w:rPr>
          <w:rFonts w:hint="eastAsia" w:ascii="宋体" w:hAnsi="宋体"/>
          <w:szCs w:val="21"/>
          <w:highlight w:val="none"/>
        </w:rPr>
        <w:t>磋商开始后，直到宣布授予成交供应商合同为止，凡涉及</w:t>
      </w:r>
      <w:r>
        <w:rPr>
          <w:rFonts w:hint="eastAsia" w:ascii="宋体" w:hAnsi="宋体"/>
          <w:bCs/>
          <w:szCs w:val="21"/>
          <w:highlight w:val="none"/>
        </w:rPr>
        <w:t>磋商响应</w:t>
      </w:r>
      <w:r>
        <w:rPr>
          <w:rFonts w:hint="eastAsia" w:ascii="宋体" w:hAnsi="宋体"/>
          <w:szCs w:val="21"/>
          <w:highlight w:val="none"/>
        </w:rPr>
        <w:t>文件的评审和比较、成交候选人的推荐情况以及与评审有关的其它情况均应严格保密；</w:t>
      </w:r>
    </w:p>
    <w:p>
      <w:pPr>
        <w:spacing w:line="360" w:lineRule="auto"/>
        <w:rPr>
          <w:rFonts w:ascii="宋体" w:hAnsi="宋体"/>
          <w:szCs w:val="21"/>
          <w:highlight w:val="none"/>
        </w:rPr>
      </w:pPr>
      <w:r>
        <w:rPr>
          <w:rFonts w:ascii="宋体" w:hAnsi="宋体"/>
          <w:szCs w:val="21"/>
          <w:highlight w:val="none"/>
        </w:rPr>
        <w:t>26.2</w:t>
      </w:r>
      <w:r>
        <w:rPr>
          <w:rFonts w:hint="eastAsia" w:ascii="宋体" w:hAnsi="宋体"/>
          <w:szCs w:val="21"/>
          <w:highlight w:val="none"/>
        </w:rPr>
        <w:t>在</w:t>
      </w:r>
      <w:r>
        <w:rPr>
          <w:rFonts w:hint="eastAsia" w:ascii="宋体" w:hAnsi="宋体"/>
          <w:bCs/>
          <w:szCs w:val="21"/>
          <w:highlight w:val="none"/>
        </w:rPr>
        <w:t>磋商响应</w:t>
      </w:r>
      <w:r>
        <w:rPr>
          <w:rFonts w:hint="eastAsia" w:ascii="宋体" w:hAnsi="宋体"/>
          <w:szCs w:val="21"/>
          <w:highlight w:val="none"/>
        </w:rPr>
        <w:t>文件的评审和比较、成交候选人推荐以及授予合同的过程中，供应商对采购人和磋商小组施加影响的任何行为，都将导致取消其磋商资格。</w:t>
      </w:r>
    </w:p>
    <w:p>
      <w:pPr>
        <w:spacing w:line="360" w:lineRule="auto"/>
        <w:rPr>
          <w:rFonts w:ascii="宋体" w:hAnsi="宋体"/>
          <w:b/>
          <w:szCs w:val="21"/>
          <w:highlight w:val="none"/>
        </w:rPr>
      </w:pPr>
      <w:r>
        <w:rPr>
          <w:rFonts w:ascii="宋体" w:hAnsi="宋体"/>
          <w:b/>
          <w:szCs w:val="21"/>
          <w:highlight w:val="none"/>
        </w:rPr>
        <w:t>27.</w:t>
      </w:r>
      <w:r>
        <w:rPr>
          <w:rFonts w:hint="eastAsia" w:ascii="宋体" w:hAnsi="宋体"/>
          <w:b/>
          <w:szCs w:val="21"/>
          <w:highlight w:val="none"/>
        </w:rPr>
        <w:t>供应商初步评审</w:t>
      </w:r>
    </w:p>
    <w:tbl>
      <w:tblPr>
        <w:tblStyle w:val="42"/>
        <w:tblpPr w:leftFromText="180" w:rightFromText="180" w:vertAnchor="text" w:tblpXSpec="center" w:tblpY="15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678"/>
        <w:gridCol w:w="5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pPr>
              <w:jc w:val="center"/>
              <w:rPr>
                <w:rFonts w:ascii="宋体" w:hAnsi="宋体" w:cs="宋体"/>
                <w:b/>
                <w:szCs w:val="21"/>
                <w:highlight w:val="none"/>
              </w:rPr>
            </w:pPr>
            <w:r>
              <w:rPr>
                <w:rFonts w:hint="eastAsia" w:ascii="宋体" w:hAnsi="宋体" w:cs="宋体"/>
                <w:b/>
                <w:szCs w:val="21"/>
                <w:highlight w:val="none"/>
              </w:rPr>
              <w:t>项目</w:t>
            </w:r>
          </w:p>
        </w:tc>
        <w:tc>
          <w:tcPr>
            <w:tcW w:w="8568" w:type="dxa"/>
            <w:gridSpan w:val="2"/>
            <w:vAlign w:val="center"/>
          </w:tcPr>
          <w:p>
            <w:pPr>
              <w:jc w:val="center"/>
              <w:rPr>
                <w:rFonts w:ascii="宋体" w:hAnsi="宋体" w:cs="宋体"/>
                <w:b/>
                <w:szCs w:val="21"/>
                <w:highlight w:val="none"/>
              </w:rPr>
            </w:pPr>
            <w:r>
              <w:rPr>
                <w:rFonts w:hint="eastAsia" w:ascii="宋体" w:hAnsi="宋体" w:cs="宋体"/>
                <w:b/>
                <w:szCs w:val="21"/>
                <w:highlight w:val="none"/>
              </w:rPr>
              <w:t>评审因素评审标准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6" w:type="dxa"/>
            <w:vMerge w:val="restart"/>
            <w:vAlign w:val="center"/>
          </w:tcPr>
          <w:p>
            <w:pPr>
              <w:jc w:val="center"/>
              <w:rPr>
                <w:rFonts w:ascii="宋体" w:hAnsi="宋体" w:cs="宋体"/>
                <w:b/>
                <w:szCs w:val="21"/>
                <w:highlight w:val="none"/>
              </w:rPr>
            </w:pPr>
            <w:r>
              <w:rPr>
                <w:rFonts w:hint="eastAsia" w:ascii="宋体" w:hAnsi="宋体" w:cs="宋体"/>
                <w:b/>
                <w:szCs w:val="21"/>
                <w:highlight w:val="none"/>
              </w:rPr>
              <w:t>初步评审</w:t>
            </w:r>
          </w:p>
        </w:tc>
        <w:tc>
          <w:tcPr>
            <w:tcW w:w="2678" w:type="dxa"/>
            <w:vAlign w:val="center"/>
          </w:tcPr>
          <w:p>
            <w:pPr>
              <w:spacing w:line="360" w:lineRule="exact"/>
              <w:jc w:val="center"/>
              <w:rPr>
                <w:rFonts w:ascii="宋体" w:hAnsi="宋体"/>
                <w:szCs w:val="21"/>
                <w:highlight w:val="none"/>
              </w:rPr>
            </w:pPr>
            <w:r>
              <w:rPr>
                <w:rFonts w:hint="eastAsia" w:ascii="宋体" w:hAnsi="宋体"/>
                <w:szCs w:val="21"/>
                <w:highlight w:val="none"/>
              </w:rPr>
              <w:t>具有有效的营业执照</w:t>
            </w:r>
          </w:p>
        </w:tc>
        <w:tc>
          <w:tcPr>
            <w:tcW w:w="5890" w:type="dxa"/>
            <w:vAlign w:val="center"/>
          </w:tcPr>
          <w:p>
            <w:pPr>
              <w:adjustRightInd w:val="0"/>
              <w:spacing w:line="360" w:lineRule="auto"/>
              <w:rPr>
                <w:rFonts w:ascii="宋体" w:hAnsi="宋体"/>
                <w:szCs w:val="21"/>
                <w:highlight w:val="none"/>
              </w:rPr>
            </w:pPr>
            <w:r>
              <w:rPr>
                <w:rFonts w:hint="eastAsia"/>
                <w:szCs w:val="21"/>
                <w:highlight w:val="none"/>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6" w:type="dxa"/>
            <w:vMerge w:val="continue"/>
            <w:vAlign w:val="center"/>
          </w:tcPr>
          <w:p>
            <w:pPr>
              <w:jc w:val="center"/>
              <w:rPr>
                <w:rFonts w:ascii="宋体" w:hAnsi="宋体" w:cs="宋体"/>
                <w:b/>
                <w:szCs w:val="21"/>
                <w:highlight w:val="none"/>
              </w:rPr>
            </w:pPr>
          </w:p>
        </w:tc>
        <w:tc>
          <w:tcPr>
            <w:tcW w:w="2678" w:type="dxa"/>
            <w:vAlign w:val="center"/>
          </w:tcPr>
          <w:p>
            <w:pPr>
              <w:spacing w:line="360" w:lineRule="exact"/>
              <w:jc w:val="center"/>
              <w:rPr>
                <w:rFonts w:ascii="宋体" w:hAnsi="宋体"/>
                <w:szCs w:val="21"/>
                <w:highlight w:val="none"/>
              </w:rPr>
            </w:pPr>
            <w:r>
              <w:rPr>
                <w:rFonts w:hint="eastAsia" w:ascii="宋体" w:hAnsi="宋体"/>
                <w:szCs w:val="21"/>
                <w:highlight w:val="none"/>
              </w:rPr>
              <w:t>财务状况</w:t>
            </w:r>
          </w:p>
        </w:tc>
        <w:tc>
          <w:tcPr>
            <w:tcW w:w="5890" w:type="dxa"/>
            <w:vAlign w:val="center"/>
          </w:tcPr>
          <w:p>
            <w:pPr>
              <w:adjustRightInd w:val="0"/>
              <w:spacing w:line="360" w:lineRule="auto"/>
              <w:rPr>
                <w:rFonts w:ascii="宋体" w:hAnsi="宋体" w:cs="宋体"/>
                <w:szCs w:val="21"/>
                <w:highlight w:val="none"/>
              </w:rPr>
            </w:pPr>
            <w:r>
              <w:rPr>
                <w:rFonts w:hint="eastAsia"/>
                <w:szCs w:val="21"/>
                <w:highlight w:val="none"/>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96" w:type="dxa"/>
            <w:vMerge w:val="continue"/>
            <w:vAlign w:val="center"/>
          </w:tcPr>
          <w:p>
            <w:pPr>
              <w:jc w:val="center"/>
              <w:rPr>
                <w:rFonts w:ascii="宋体" w:hAnsi="宋体" w:cs="宋体"/>
                <w:b/>
                <w:szCs w:val="21"/>
                <w:highlight w:val="none"/>
              </w:rPr>
            </w:pPr>
          </w:p>
        </w:tc>
        <w:tc>
          <w:tcPr>
            <w:tcW w:w="2678" w:type="dxa"/>
            <w:vAlign w:val="center"/>
          </w:tcPr>
          <w:p>
            <w:pPr>
              <w:spacing w:line="360" w:lineRule="exact"/>
              <w:jc w:val="center"/>
              <w:rPr>
                <w:rFonts w:ascii="宋体" w:hAnsi="宋体"/>
                <w:szCs w:val="21"/>
                <w:highlight w:val="none"/>
              </w:rPr>
            </w:pPr>
            <w:r>
              <w:rPr>
                <w:rFonts w:hint="eastAsia" w:ascii="宋体" w:hAnsi="宋体"/>
                <w:szCs w:val="21"/>
                <w:highlight w:val="none"/>
              </w:rPr>
              <w:t>依法缴纳税收和社会保障资金的相关证明</w:t>
            </w:r>
          </w:p>
        </w:tc>
        <w:tc>
          <w:tcPr>
            <w:tcW w:w="5890" w:type="dxa"/>
            <w:vAlign w:val="center"/>
          </w:tcPr>
          <w:p>
            <w:pPr>
              <w:shd w:val="clear" w:color="auto" w:fill="FFFFFF"/>
              <w:spacing w:line="360" w:lineRule="auto"/>
              <w:rPr>
                <w:rFonts w:ascii="宋体" w:hAnsi="宋体"/>
                <w:szCs w:val="21"/>
                <w:highlight w:val="none"/>
              </w:rPr>
            </w:pPr>
            <w:r>
              <w:rPr>
                <w:rFonts w:hint="eastAsia"/>
                <w:szCs w:val="21"/>
                <w:highlight w:val="none"/>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96" w:type="dxa"/>
            <w:vMerge w:val="continue"/>
            <w:vAlign w:val="center"/>
          </w:tcPr>
          <w:p>
            <w:pPr>
              <w:jc w:val="center"/>
              <w:rPr>
                <w:rFonts w:ascii="宋体" w:hAnsi="宋体" w:cs="宋体"/>
                <w:b/>
                <w:szCs w:val="21"/>
                <w:highlight w:val="none"/>
              </w:rPr>
            </w:pPr>
          </w:p>
        </w:tc>
        <w:tc>
          <w:tcPr>
            <w:tcW w:w="2678" w:type="dxa"/>
            <w:vAlign w:val="center"/>
          </w:tcPr>
          <w:p>
            <w:pPr>
              <w:jc w:val="center"/>
              <w:rPr>
                <w:rFonts w:ascii="宋体" w:hAnsi="宋体" w:cs="宋体"/>
                <w:bCs/>
                <w:szCs w:val="21"/>
                <w:highlight w:val="none"/>
              </w:rPr>
            </w:pPr>
            <w:r>
              <w:rPr>
                <w:rFonts w:hint="eastAsia" w:ascii="宋体" w:hAnsi="宋体" w:cs="宋体"/>
                <w:bCs/>
                <w:szCs w:val="21"/>
                <w:highlight w:val="none"/>
              </w:rPr>
              <w:t>无</w:t>
            </w:r>
            <w:r>
              <w:rPr>
                <w:rFonts w:hint="eastAsia" w:ascii="宋体" w:hAnsi="宋体" w:cs="宋体"/>
                <w:szCs w:val="21"/>
                <w:highlight w:val="none"/>
              </w:rPr>
              <w:t>重大违法记录证明</w:t>
            </w:r>
          </w:p>
        </w:tc>
        <w:tc>
          <w:tcPr>
            <w:tcW w:w="5890" w:type="dxa"/>
            <w:vAlign w:val="center"/>
          </w:tcPr>
          <w:p>
            <w:pPr>
              <w:rPr>
                <w:rFonts w:ascii="宋体" w:hAnsi="宋体" w:cs="宋体"/>
                <w:szCs w:val="21"/>
                <w:highlight w:val="none"/>
              </w:rPr>
            </w:pPr>
            <w:r>
              <w:rPr>
                <w:rFonts w:hint="eastAsia"/>
                <w:szCs w:val="21"/>
                <w:highlight w:val="none"/>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96" w:type="dxa"/>
            <w:vMerge w:val="continue"/>
            <w:vAlign w:val="center"/>
          </w:tcPr>
          <w:p>
            <w:pPr>
              <w:jc w:val="center"/>
              <w:rPr>
                <w:rFonts w:ascii="宋体" w:hAnsi="宋体" w:cs="宋体"/>
                <w:b/>
                <w:szCs w:val="21"/>
                <w:highlight w:val="none"/>
              </w:rPr>
            </w:pPr>
          </w:p>
        </w:tc>
        <w:tc>
          <w:tcPr>
            <w:tcW w:w="2678" w:type="dxa"/>
            <w:vAlign w:val="center"/>
          </w:tcPr>
          <w:p>
            <w:pPr>
              <w:jc w:val="center"/>
              <w:rPr>
                <w:rFonts w:ascii="宋体" w:hAnsi="宋体" w:cs="宋体"/>
                <w:bCs/>
                <w:szCs w:val="21"/>
                <w:highlight w:val="none"/>
              </w:rPr>
            </w:pPr>
            <w:r>
              <w:rPr>
                <w:rFonts w:hint="eastAsia" w:ascii="宋体" w:hAnsi="宋体" w:cs="宋体"/>
                <w:bCs/>
                <w:szCs w:val="21"/>
                <w:highlight w:val="none"/>
              </w:rPr>
              <w:t>经营许可证</w:t>
            </w:r>
          </w:p>
        </w:tc>
        <w:tc>
          <w:tcPr>
            <w:tcW w:w="5890" w:type="dxa"/>
            <w:vAlign w:val="center"/>
          </w:tcPr>
          <w:p>
            <w:pPr>
              <w:rPr>
                <w:szCs w:val="21"/>
                <w:highlight w:val="none"/>
              </w:rPr>
            </w:pPr>
            <w:r>
              <w:rPr>
                <w:rFonts w:hint="eastAsia"/>
                <w:szCs w:val="21"/>
                <w:highlight w:val="none"/>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6" w:type="dxa"/>
            <w:vMerge w:val="continue"/>
            <w:vAlign w:val="center"/>
          </w:tcPr>
          <w:p>
            <w:pPr>
              <w:jc w:val="center"/>
              <w:rPr>
                <w:rFonts w:ascii="宋体" w:hAnsi="宋体" w:cs="宋体"/>
                <w:b/>
                <w:szCs w:val="21"/>
                <w:highlight w:val="none"/>
              </w:rPr>
            </w:pPr>
          </w:p>
        </w:tc>
        <w:tc>
          <w:tcPr>
            <w:tcW w:w="2678" w:type="dxa"/>
            <w:vAlign w:val="center"/>
          </w:tcPr>
          <w:p>
            <w:pPr>
              <w:jc w:val="center"/>
              <w:rPr>
                <w:rFonts w:ascii="宋体" w:hAnsi="宋体" w:cs="宋体"/>
                <w:bCs/>
                <w:szCs w:val="21"/>
                <w:highlight w:val="none"/>
              </w:rPr>
            </w:pPr>
            <w:r>
              <w:rPr>
                <w:rFonts w:hint="eastAsia" w:ascii="宋体" w:hAnsi="宋体" w:cs="宋体"/>
                <w:bCs/>
                <w:szCs w:val="21"/>
                <w:highlight w:val="none"/>
              </w:rPr>
              <w:t>信誉</w:t>
            </w:r>
          </w:p>
        </w:tc>
        <w:tc>
          <w:tcPr>
            <w:tcW w:w="5890" w:type="dxa"/>
            <w:vAlign w:val="center"/>
          </w:tcPr>
          <w:p>
            <w:pPr>
              <w:rPr>
                <w:rFonts w:ascii="宋体" w:hAnsi="宋体" w:cs="宋体"/>
                <w:szCs w:val="21"/>
                <w:highlight w:val="none"/>
              </w:rPr>
            </w:pPr>
            <w:r>
              <w:rPr>
                <w:rFonts w:hint="eastAsia"/>
                <w:szCs w:val="21"/>
                <w:highlight w:val="none"/>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96" w:type="dxa"/>
            <w:vMerge w:val="continue"/>
            <w:vAlign w:val="center"/>
          </w:tcPr>
          <w:p>
            <w:pPr>
              <w:jc w:val="center"/>
              <w:rPr>
                <w:rFonts w:ascii="宋体" w:hAnsi="宋体" w:cs="宋体"/>
                <w:b/>
                <w:szCs w:val="21"/>
                <w:highlight w:val="none"/>
              </w:rPr>
            </w:pPr>
          </w:p>
        </w:tc>
        <w:tc>
          <w:tcPr>
            <w:tcW w:w="2678" w:type="dxa"/>
            <w:vAlign w:val="center"/>
          </w:tcPr>
          <w:p>
            <w:pPr>
              <w:jc w:val="center"/>
              <w:rPr>
                <w:rFonts w:ascii="宋体" w:hAnsi="宋体" w:cs="宋体"/>
                <w:bCs/>
                <w:szCs w:val="21"/>
                <w:highlight w:val="none"/>
              </w:rPr>
            </w:pPr>
            <w:r>
              <w:rPr>
                <w:rFonts w:hint="eastAsia" w:ascii="宋体" w:hAnsi="宋体" w:cs="宋体"/>
                <w:bCs/>
                <w:szCs w:val="21"/>
                <w:highlight w:val="none"/>
              </w:rPr>
              <w:t>控股关系</w:t>
            </w:r>
          </w:p>
        </w:tc>
        <w:tc>
          <w:tcPr>
            <w:tcW w:w="5890" w:type="dxa"/>
            <w:vAlign w:val="center"/>
          </w:tcPr>
          <w:p>
            <w:pPr>
              <w:rPr>
                <w:rFonts w:ascii="宋体" w:hAnsi="宋体" w:cs="宋体"/>
                <w:szCs w:val="21"/>
                <w:highlight w:val="none"/>
              </w:rPr>
            </w:pPr>
            <w:r>
              <w:rPr>
                <w:rFonts w:hint="eastAsia"/>
                <w:szCs w:val="21"/>
                <w:highlight w:val="none"/>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96" w:type="dxa"/>
            <w:vMerge w:val="continue"/>
            <w:vAlign w:val="center"/>
          </w:tcPr>
          <w:p>
            <w:pPr>
              <w:jc w:val="center"/>
              <w:rPr>
                <w:rFonts w:ascii="宋体" w:hAnsi="宋体" w:cs="宋体"/>
                <w:b/>
                <w:szCs w:val="21"/>
                <w:highlight w:val="none"/>
              </w:rPr>
            </w:pPr>
          </w:p>
        </w:tc>
        <w:tc>
          <w:tcPr>
            <w:tcW w:w="2678" w:type="dxa"/>
            <w:vAlign w:val="center"/>
          </w:tcPr>
          <w:p>
            <w:pPr>
              <w:jc w:val="center"/>
              <w:rPr>
                <w:rFonts w:ascii="宋体" w:hAnsi="宋体" w:cs="宋体"/>
                <w:szCs w:val="21"/>
                <w:highlight w:val="none"/>
              </w:rPr>
            </w:pPr>
            <w:r>
              <w:rPr>
                <w:rFonts w:ascii="宋体" w:hAnsi="宋体"/>
                <w:szCs w:val="21"/>
                <w:highlight w:val="none"/>
              </w:rPr>
              <w:t>磋商复函</w:t>
            </w:r>
            <w:r>
              <w:rPr>
                <w:rFonts w:hint="eastAsia" w:ascii="宋体" w:hAnsi="宋体" w:cs="宋体"/>
                <w:szCs w:val="21"/>
                <w:highlight w:val="none"/>
              </w:rPr>
              <w:t>签字盖章</w:t>
            </w:r>
          </w:p>
        </w:tc>
        <w:tc>
          <w:tcPr>
            <w:tcW w:w="5890" w:type="dxa"/>
            <w:vAlign w:val="center"/>
          </w:tcPr>
          <w:p>
            <w:pPr>
              <w:rPr>
                <w:rFonts w:ascii="宋体" w:hAnsi="宋体" w:cs="宋体"/>
                <w:szCs w:val="21"/>
                <w:highlight w:val="none"/>
              </w:rPr>
            </w:pPr>
            <w:r>
              <w:rPr>
                <w:rFonts w:hint="eastAsia"/>
                <w:szCs w:val="21"/>
                <w:highlight w:val="none"/>
              </w:rPr>
              <w:t>符合第五章“竞争性磋商响应文件部分格式”中“磋商复函”格式规定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96" w:type="dxa"/>
            <w:vMerge w:val="continue"/>
            <w:vAlign w:val="center"/>
          </w:tcPr>
          <w:p>
            <w:pPr>
              <w:jc w:val="center"/>
              <w:rPr>
                <w:rFonts w:ascii="宋体" w:hAnsi="宋体" w:cs="宋体"/>
                <w:b/>
                <w:szCs w:val="21"/>
                <w:highlight w:val="none"/>
              </w:rPr>
            </w:pPr>
          </w:p>
        </w:tc>
        <w:tc>
          <w:tcPr>
            <w:tcW w:w="2678" w:type="dxa"/>
            <w:vAlign w:val="center"/>
          </w:tcPr>
          <w:p>
            <w:pPr>
              <w:jc w:val="center"/>
              <w:rPr>
                <w:rFonts w:ascii="宋体" w:hAnsi="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rPr>
              <w:t>服务期</w:t>
            </w:r>
          </w:p>
        </w:tc>
        <w:tc>
          <w:tcPr>
            <w:tcW w:w="5890" w:type="dxa"/>
            <w:vAlign w:val="center"/>
          </w:tcPr>
          <w:p>
            <w:pPr>
              <w:rPr>
                <w:szCs w:val="21"/>
                <w:highlight w:val="none"/>
              </w:rPr>
            </w:pPr>
            <w:r>
              <w:rPr>
                <w:rFonts w:hint="eastAsia"/>
                <w:szCs w:val="21"/>
                <w:highlight w:val="none"/>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96" w:type="dxa"/>
            <w:vMerge w:val="continue"/>
            <w:vAlign w:val="center"/>
          </w:tcPr>
          <w:p>
            <w:pPr>
              <w:jc w:val="center"/>
              <w:rPr>
                <w:rFonts w:ascii="宋体" w:hAnsi="宋体" w:cs="宋体"/>
                <w:szCs w:val="21"/>
                <w:highlight w:val="none"/>
              </w:rPr>
            </w:pPr>
          </w:p>
        </w:tc>
        <w:tc>
          <w:tcPr>
            <w:tcW w:w="2678" w:type="dxa"/>
            <w:vAlign w:val="center"/>
          </w:tcPr>
          <w:p>
            <w:pPr>
              <w:jc w:val="center"/>
              <w:rPr>
                <w:rFonts w:ascii="宋体" w:hAnsi="宋体" w:cs="宋体"/>
                <w:bCs/>
                <w:szCs w:val="21"/>
                <w:highlight w:val="none"/>
              </w:rPr>
            </w:pPr>
            <w:r>
              <w:rPr>
                <w:rFonts w:hint="eastAsia" w:ascii="宋体" w:hAnsi="宋体" w:cs="宋体"/>
                <w:bCs/>
                <w:szCs w:val="21"/>
                <w:highlight w:val="none"/>
              </w:rPr>
              <w:t>质量要求</w:t>
            </w:r>
          </w:p>
        </w:tc>
        <w:tc>
          <w:tcPr>
            <w:tcW w:w="5890" w:type="dxa"/>
            <w:vAlign w:val="center"/>
          </w:tcPr>
          <w:p>
            <w:pPr>
              <w:rPr>
                <w:rFonts w:ascii="宋体" w:hAnsi="宋体" w:cs="宋体"/>
                <w:szCs w:val="21"/>
                <w:highlight w:val="none"/>
              </w:rPr>
            </w:pPr>
            <w:r>
              <w:rPr>
                <w:rFonts w:hint="eastAsia"/>
                <w:szCs w:val="21"/>
                <w:highlight w:val="none"/>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96" w:type="dxa"/>
            <w:vMerge w:val="continue"/>
            <w:vAlign w:val="center"/>
          </w:tcPr>
          <w:p>
            <w:pPr>
              <w:jc w:val="center"/>
              <w:rPr>
                <w:rFonts w:ascii="宋体" w:hAnsi="宋体" w:cs="宋体"/>
                <w:szCs w:val="21"/>
                <w:highlight w:val="none"/>
              </w:rPr>
            </w:pPr>
          </w:p>
        </w:tc>
        <w:tc>
          <w:tcPr>
            <w:tcW w:w="2678" w:type="dxa"/>
            <w:vAlign w:val="center"/>
          </w:tcPr>
          <w:p>
            <w:pPr>
              <w:jc w:val="center"/>
              <w:rPr>
                <w:rFonts w:ascii="宋体" w:hAnsi="宋体" w:cs="宋体"/>
                <w:bCs/>
                <w:szCs w:val="21"/>
                <w:highlight w:val="none"/>
              </w:rPr>
            </w:pPr>
            <w:r>
              <w:rPr>
                <w:rFonts w:hint="eastAsia" w:ascii="宋体" w:hAnsi="宋体" w:cs="宋体"/>
                <w:bCs/>
                <w:szCs w:val="21"/>
                <w:highlight w:val="none"/>
              </w:rPr>
              <w:t>投标报价</w:t>
            </w:r>
          </w:p>
        </w:tc>
        <w:tc>
          <w:tcPr>
            <w:tcW w:w="5890" w:type="dxa"/>
            <w:vAlign w:val="center"/>
          </w:tcPr>
          <w:p>
            <w:pPr>
              <w:jc w:val="left"/>
              <w:rPr>
                <w:rFonts w:ascii="宋体" w:hAnsi="宋体" w:cs="宋体"/>
                <w:bCs/>
                <w:szCs w:val="21"/>
                <w:highlight w:val="none"/>
              </w:rPr>
            </w:pPr>
            <w:r>
              <w:rPr>
                <w:rFonts w:hint="eastAsia" w:ascii="宋体" w:hAnsi="宋体" w:cs="宋体"/>
                <w:bCs/>
                <w:szCs w:val="21"/>
                <w:highlight w:val="none"/>
              </w:rPr>
              <w:t>不超过采购预算价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96" w:type="dxa"/>
            <w:vMerge w:val="continue"/>
            <w:vAlign w:val="center"/>
          </w:tcPr>
          <w:p>
            <w:pPr>
              <w:jc w:val="center"/>
              <w:rPr>
                <w:rFonts w:ascii="宋体" w:hAnsi="宋体" w:cs="宋体"/>
                <w:szCs w:val="21"/>
                <w:highlight w:val="none"/>
              </w:rPr>
            </w:pPr>
          </w:p>
        </w:tc>
        <w:tc>
          <w:tcPr>
            <w:tcW w:w="2678" w:type="dxa"/>
            <w:vAlign w:val="center"/>
          </w:tcPr>
          <w:p>
            <w:pPr>
              <w:jc w:val="center"/>
              <w:rPr>
                <w:rFonts w:ascii="宋体" w:hAnsi="宋体" w:cs="宋体"/>
                <w:bCs/>
                <w:szCs w:val="21"/>
                <w:highlight w:val="none"/>
              </w:rPr>
            </w:pPr>
            <w:r>
              <w:rPr>
                <w:rFonts w:hint="eastAsia" w:ascii="宋体" w:hAnsi="宋体" w:cs="宋体"/>
                <w:bCs/>
                <w:szCs w:val="21"/>
                <w:highlight w:val="none"/>
              </w:rPr>
              <w:t>投标有效期</w:t>
            </w:r>
          </w:p>
        </w:tc>
        <w:tc>
          <w:tcPr>
            <w:tcW w:w="5890" w:type="dxa"/>
            <w:vAlign w:val="center"/>
          </w:tcPr>
          <w:p>
            <w:pPr>
              <w:jc w:val="left"/>
              <w:rPr>
                <w:rFonts w:ascii="宋体" w:hAnsi="宋体" w:cs="宋体"/>
                <w:bCs/>
                <w:szCs w:val="21"/>
                <w:highlight w:val="none"/>
              </w:rPr>
            </w:pPr>
            <w:r>
              <w:rPr>
                <w:rFonts w:hint="eastAsia"/>
                <w:szCs w:val="21"/>
                <w:highlight w:val="none"/>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96" w:type="dxa"/>
            <w:vMerge w:val="continue"/>
            <w:vAlign w:val="center"/>
          </w:tcPr>
          <w:p>
            <w:pPr>
              <w:jc w:val="center"/>
              <w:rPr>
                <w:rFonts w:ascii="宋体" w:hAnsi="宋体" w:cs="宋体"/>
                <w:szCs w:val="21"/>
                <w:highlight w:val="none"/>
              </w:rPr>
            </w:pPr>
          </w:p>
        </w:tc>
        <w:tc>
          <w:tcPr>
            <w:tcW w:w="2678" w:type="dxa"/>
            <w:vAlign w:val="center"/>
          </w:tcPr>
          <w:p>
            <w:pPr>
              <w:jc w:val="center"/>
              <w:rPr>
                <w:rFonts w:ascii="宋体" w:hAnsi="宋体" w:cs="宋体"/>
                <w:bCs/>
                <w:szCs w:val="21"/>
                <w:highlight w:val="none"/>
              </w:rPr>
            </w:pPr>
            <w:r>
              <w:rPr>
                <w:rFonts w:hint="eastAsia" w:ascii="宋体" w:hAnsi="宋体" w:cs="宋体"/>
                <w:bCs/>
                <w:szCs w:val="21"/>
                <w:highlight w:val="none"/>
              </w:rPr>
              <w:t>响应文件制作机器码</w:t>
            </w:r>
          </w:p>
        </w:tc>
        <w:tc>
          <w:tcPr>
            <w:tcW w:w="5890" w:type="dxa"/>
            <w:vAlign w:val="center"/>
          </w:tcPr>
          <w:p>
            <w:pPr>
              <w:jc w:val="left"/>
              <w:rPr>
                <w:szCs w:val="21"/>
                <w:highlight w:val="none"/>
              </w:rPr>
            </w:pPr>
            <w:r>
              <w:rPr>
                <w:rFonts w:hint="eastAsia"/>
                <w:szCs w:val="21"/>
                <w:highlight w:val="none"/>
              </w:rPr>
              <w:t>响应文件制作机器码一致的，按响应文件无效处理。</w:t>
            </w:r>
          </w:p>
        </w:tc>
      </w:tr>
    </w:tbl>
    <w:p>
      <w:pPr>
        <w:spacing w:line="360" w:lineRule="auto"/>
        <w:rPr>
          <w:rFonts w:ascii="宋体" w:hAnsi="宋体"/>
          <w:b/>
          <w:szCs w:val="21"/>
          <w:highlight w:val="none"/>
        </w:rPr>
      </w:pPr>
      <w:r>
        <w:rPr>
          <w:rFonts w:ascii="宋体" w:hAnsi="宋体"/>
          <w:b/>
          <w:szCs w:val="21"/>
          <w:highlight w:val="none"/>
        </w:rPr>
        <w:t>28.</w:t>
      </w:r>
      <w:r>
        <w:rPr>
          <w:rFonts w:hint="eastAsia" w:ascii="宋体" w:hAnsi="宋体"/>
          <w:b/>
          <w:bCs/>
          <w:szCs w:val="21"/>
          <w:highlight w:val="none"/>
        </w:rPr>
        <w:t>磋商响应</w:t>
      </w:r>
      <w:r>
        <w:rPr>
          <w:rFonts w:hint="eastAsia" w:ascii="宋体" w:hAnsi="宋体"/>
          <w:b/>
          <w:szCs w:val="21"/>
          <w:highlight w:val="none"/>
        </w:rPr>
        <w:t>文件的澄清</w:t>
      </w:r>
    </w:p>
    <w:p>
      <w:pPr>
        <w:spacing w:line="360" w:lineRule="auto"/>
        <w:rPr>
          <w:rFonts w:ascii="宋体" w:hAnsi="宋体"/>
          <w:szCs w:val="21"/>
          <w:highlight w:val="none"/>
        </w:rPr>
      </w:pPr>
      <w:r>
        <w:rPr>
          <w:rFonts w:ascii="宋体" w:hAnsi="宋体"/>
          <w:szCs w:val="21"/>
          <w:highlight w:val="none"/>
        </w:rPr>
        <w:t>28.1</w:t>
      </w:r>
      <w:r>
        <w:rPr>
          <w:rFonts w:hint="eastAsia" w:ascii="宋体" w:hAnsi="宋体"/>
          <w:szCs w:val="21"/>
          <w:highlight w:val="none"/>
        </w:rPr>
        <w:t>为了有助于对</w:t>
      </w:r>
      <w:r>
        <w:rPr>
          <w:rFonts w:hint="eastAsia" w:ascii="宋体" w:hAnsi="宋体"/>
          <w:bCs/>
          <w:szCs w:val="21"/>
          <w:highlight w:val="none"/>
        </w:rPr>
        <w:t>磋商响应</w:t>
      </w:r>
      <w:r>
        <w:rPr>
          <w:rFonts w:hint="eastAsia" w:ascii="宋体" w:hAnsi="宋体"/>
          <w:szCs w:val="21"/>
          <w:highlight w:val="none"/>
        </w:rPr>
        <w:t>文件的审查、评价和比较，磋商小组可以要求供应商对其</w:t>
      </w:r>
      <w:r>
        <w:rPr>
          <w:rFonts w:hint="eastAsia" w:ascii="宋体" w:hAnsi="宋体"/>
          <w:bCs/>
          <w:szCs w:val="21"/>
          <w:highlight w:val="none"/>
        </w:rPr>
        <w:t>磋商响应</w:t>
      </w:r>
      <w:r>
        <w:rPr>
          <w:rFonts w:hint="eastAsia" w:ascii="宋体" w:hAnsi="宋体"/>
          <w:szCs w:val="21"/>
          <w:highlight w:val="none"/>
        </w:rPr>
        <w:t>文件中含义不明确的内容作必要的澄清或者说明。有关澄清说明与答复，供应商应以书面形式进行，但是澄清或者说明不得超过</w:t>
      </w:r>
      <w:r>
        <w:rPr>
          <w:rFonts w:hint="eastAsia" w:ascii="宋体" w:hAnsi="宋体"/>
          <w:bCs/>
          <w:szCs w:val="21"/>
          <w:highlight w:val="none"/>
        </w:rPr>
        <w:t>磋商响应</w:t>
      </w:r>
      <w:r>
        <w:rPr>
          <w:rFonts w:hint="eastAsia" w:ascii="宋体" w:hAnsi="宋体"/>
          <w:szCs w:val="21"/>
          <w:highlight w:val="none"/>
        </w:rPr>
        <w:t>文件的范围和改变</w:t>
      </w:r>
      <w:r>
        <w:rPr>
          <w:rFonts w:hint="eastAsia" w:ascii="宋体" w:hAnsi="宋体"/>
          <w:bCs/>
          <w:szCs w:val="21"/>
          <w:highlight w:val="none"/>
        </w:rPr>
        <w:t>磋商响应</w:t>
      </w:r>
      <w:r>
        <w:rPr>
          <w:rFonts w:hint="eastAsia" w:ascii="宋体" w:hAnsi="宋体"/>
          <w:szCs w:val="21"/>
          <w:highlight w:val="none"/>
        </w:rPr>
        <w:t>文件的实质性内容。</w:t>
      </w:r>
    </w:p>
    <w:p>
      <w:pPr>
        <w:spacing w:line="360" w:lineRule="auto"/>
        <w:rPr>
          <w:rFonts w:ascii="宋体" w:hAnsi="宋体"/>
          <w:b/>
          <w:szCs w:val="21"/>
          <w:highlight w:val="none"/>
        </w:rPr>
      </w:pPr>
      <w:r>
        <w:rPr>
          <w:rFonts w:ascii="宋体" w:hAnsi="宋体"/>
          <w:b/>
          <w:szCs w:val="21"/>
          <w:highlight w:val="none"/>
        </w:rPr>
        <w:t>29.</w:t>
      </w:r>
      <w:r>
        <w:rPr>
          <w:rFonts w:hint="eastAsia" w:ascii="宋体" w:hAnsi="宋体"/>
          <w:b/>
          <w:szCs w:val="21"/>
          <w:highlight w:val="none"/>
        </w:rPr>
        <w:t>错误的修正</w:t>
      </w:r>
    </w:p>
    <w:p>
      <w:pPr>
        <w:spacing w:line="360" w:lineRule="auto"/>
        <w:rPr>
          <w:rFonts w:ascii="宋体" w:hAnsi="宋体"/>
          <w:b/>
          <w:szCs w:val="21"/>
          <w:highlight w:val="none"/>
        </w:rPr>
      </w:pPr>
      <w:r>
        <w:rPr>
          <w:rFonts w:ascii="宋体" w:hAnsi="宋体"/>
          <w:szCs w:val="21"/>
          <w:highlight w:val="none"/>
        </w:rPr>
        <w:t>29.1</w:t>
      </w:r>
      <w:r>
        <w:rPr>
          <w:rFonts w:hint="eastAsia" w:ascii="宋体" w:hAnsi="宋体"/>
          <w:szCs w:val="21"/>
          <w:highlight w:val="none"/>
        </w:rPr>
        <w:t>磋商小组将对确定为实质上响应文件要求的磋商响应文件进行校核，看其是否有计算上或累计上或表达上的错误，修正错误的原则如下：</w:t>
      </w:r>
    </w:p>
    <w:p>
      <w:pPr>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）磋商响应文件中的大写金额和小写金额不一致的，以大写金额为准；</w:t>
      </w:r>
    </w:p>
    <w:p>
      <w:pPr>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w:t>
      </w:r>
      <w:r>
        <w:rPr>
          <w:rFonts w:hint="eastAsia" w:ascii="宋体" w:hAnsi="宋体"/>
          <w:spacing w:val="-12"/>
          <w:szCs w:val="21"/>
          <w:highlight w:val="none"/>
        </w:rPr>
        <w:t>总价金额与单价金额不一致的，以单价金额为准，但单价金额小数点有明显错误的除外；</w:t>
      </w:r>
    </w:p>
    <w:p>
      <w:pPr>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）对不同文字文本磋商响应文件的解释发生异议的，以中文文本为准。</w:t>
      </w:r>
    </w:p>
    <w:p>
      <w:pPr>
        <w:spacing w:line="360" w:lineRule="auto"/>
        <w:rPr>
          <w:rFonts w:ascii="宋体" w:hAnsi="宋体"/>
          <w:b/>
          <w:szCs w:val="21"/>
          <w:highlight w:val="none"/>
        </w:rPr>
      </w:pPr>
      <w:r>
        <w:rPr>
          <w:rFonts w:ascii="宋体" w:hAnsi="宋体"/>
          <w:b/>
          <w:szCs w:val="21"/>
          <w:highlight w:val="none"/>
        </w:rPr>
        <w:t>30.</w:t>
      </w:r>
      <w:r>
        <w:rPr>
          <w:rFonts w:hint="eastAsia" w:ascii="宋体" w:hAnsi="宋体"/>
          <w:b/>
          <w:szCs w:val="21"/>
          <w:highlight w:val="none"/>
        </w:rPr>
        <w:t>磋商的程序及方法</w:t>
      </w:r>
    </w:p>
    <w:p>
      <w:pPr>
        <w:spacing w:line="360" w:lineRule="auto"/>
        <w:rPr>
          <w:rFonts w:ascii="宋体" w:hAnsi="宋体"/>
          <w:szCs w:val="21"/>
          <w:highlight w:val="none"/>
        </w:rPr>
      </w:pPr>
      <w:r>
        <w:rPr>
          <w:rFonts w:ascii="宋体" w:hAnsi="宋体"/>
          <w:szCs w:val="21"/>
          <w:highlight w:val="none"/>
        </w:rPr>
        <w:t xml:space="preserve">30.1 </w:t>
      </w:r>
      <w:r>
        <w:rPr>
          <w:rFonts w:hint="eastAsia" w:ascii="宋体" w:hAnsi="宋体"/>
          <w:szCs w:val="21"/>
          <w:highlight w:val="none"/>
        </w:rPr>
        <w:t>磋商小组首先审阅磋商响应文件，讨论、通过磋商工作流程和要点；</w:t>
      </w:r>
    </w:p>
    <w:p>
      <w:pPr>
        <w:spacing w:line="360" w:lineRule="auto"/>
        <w:rPr>
          <w:rFonts w:ascii="宋体" w:hAnsi="宋体"/>
          <w:szCs w:val="21"/>
          <w:highlight w:val="none"/>
        </w:rPr>
      </w:pPr>
      <w:r>
        <w:rPr>
          <w:rFonts w:ascii="宋体" w:hAnsi="宋体"/>
          <w:szCs w:val="21"/>
          <w:highlight w:val="none"/>
        </w:rPr>
        <w:t xml:space="preserve">30.2 </w:t>
      </w:r>
      <w:r>
        <w:rPr>
          <w:rFonts w:hint="eastAsia" w:ascii="宋体" w:hAnsi="宋体"/>
          <w:szCs w:val="21"/>
          <w:highlight w:val="none"/>
        </w:rPr>
        <w:t>根据磋商小组对竞标供应商的磋商响应文件进行评审，按照采购需求、质量和服务相等（即供应商提供的服务均能满足磋商文件规定的实质性要求）的前提，磋商小组推荐综合得分（磋商小组依据评分标准得分）最高的响应供应商作为成交供应商。成交价格为最终报价。</w:t>
      </w:r>
    </w:p>
    <w:p>
      <w:pPr>
        <w:spacing w:line="360" w:lineRule="auto"/>
        <w:rPr>
          <w:rFonts w:ascii="宋体" w:hAnsi="宋体"/>
          <w:szCs w:val="21"/>
          <w:highlight w:val="none"/>
        </w:rPr>
      </w:pPr>
      <w:r>
        <w:rPr>
          <w:rFonts w:ascii="宋体" w:hAnsi="宋体"/>
          <w:szCs w:val="21"/>
          <w:highlight w:val="none"/>
        </w:rPr>
        <w:t xml:space="preserve">30.3 </w:t>
      </w:r>
      <w:r>
        <w:rPr>
          <w:rFonts w:hint="eastAsia" w:ascii="宋体" w:hAnsi="宋体"/>
          <w:szCs w:val="21"/>
          <w:highlight w:val="none"/>
        </w:rPr>
        <w:t>磋商小组在对磋商响应文件的有效性、完整性和响应程度进行审查时，可以要求供应商对磋商响应文件中含义不明确、同类问题表述不一致或者明显文字和计算错误的内容等作出必要的澄清、说明或者更正。供应商的澄清、说明或者更正不得超出响应文件的范围或者改变响应文件的实质性内容。</w:t>
      </w:r>
    </w:p>
    <w:p>
      <w:pPr>
        <w:spacing w:line="360" w:lineRule="auto"/>
        <w:rPr>
          <w:rFonts w:ascii="宋体" w:hAnsi="宋体"/>
          <w:spacing w:val="-4"/>
          <w:szCs w:val="21"/>
          <w:highlight w:val="none"/>
        </w:rPr>
      </w:pPr>
      <w:r>
        <w:rPr>
          <w:rFonts w:ascii="宋体" w:hAnsi="宋体"/>
          <w:szCs w:val="21"/>
          <w:highlight w:val="none"/>
        </w:rPr>
        <w:t>30.4</w:t>
      </w:r>
      <w:r>
        <w:rPr>
          <w:rFonts w:hint="eastAsia" w:ascii="宋体" w:hAnsi="宋体"/>
          <w:spacing w:val="-4"/>
          <w:szCs w:val="21"/>
          <w:highlight w:val="none"/>
        </w:rPr>
        <w:t>磋商小组所有成员应当集中与单一供应商分别进行磋商，并给予所有参加磋商的供应商平等的磋商机会。</w:t>
      </w:r>
    </w:p>
    <w:p>
      <w:pPr>
        <w:spacing w:line="360" w:lineRule="auto"/>
        <w:rPr>
          <w:rFonts w:ascii="宋体" w:hAnsi="宋体"/>
          <w:spacing w:val="-4"/>
          <w:szCs w:val="21"/>
          <w:highlight w:val="none"/>
        </w:rPr>
      </w:pPr>
      <w:r>
        <w:rPr>
          <w:rFonts w:ascii="宋体" w:hAnsi="宋体"/>
          <w:szCs w:val="21"/>
          <w:highlight w:val="none"/>
        </w:rPr>
        <w:t>30.5</w:t>
      </w:r>
      <w:r>
        <w:rPr>
          <w:rFonts w:hint="eastAsia" w:ascii="宋体" w:hAnsi="宋体"/>
          <w:spacing w:val="-4"/>
          <w:szCs w:val="21"/>
          <w:highlight w:val="none"/>
        </w:rPr>
        <w:t>磋商结束后，磋商小组应当要求所有实质性响应的供应商在规定的时间内提交最后报价。最后报价是供应商响应文件的有效组成部分。</w:t>
      </w:r>
    </w:p>
    <w:p>
      <w:pPr>
        <w:pStyle w:val="12"/>
        <w:spacing w:line="520" w:lineRule="exact"/>
        <w:ind w:firstLine="0" w:firstLineChars="0"/>
        <w:rPr>
          <w:rFonts w:ascii="宋体" w:hAnsi="宋体" w:cs="宋体"/>
          <w:b/>
          <w:bCs/>
          <w:szCs w:val="21"/>
          <w:highlight w:val="none"/>
        </w:rPr>
      </w:pPr>
      <w:r>
        <w:rPr>
          <w:rFonts w:ascii="宋体" w:hAnsi="宋体"/>
          <w:b/>
          <w:bCs/>
          <w:szCs w:val="21"/>
          <w:highlight w:val="none"/>
        </w:rPr>
        <w:t xml:space="preserve">30.6 </w:t>
      </w:r>
      <w:r>
        <w:rPr>
          <w:rFonts w:hint="eastAsia" w:ascii="宋体" w:hAnsi="宋体"/>
          <w:b/>
          <w:bCs/>
          <w:szCs w:val="21"/>
          <w:highlight w:val="none"/>
        </w:rPr>
        <w:t>已提交响应文件的供应商，在提交最后报价之前，可以根据磋商情况退出磋商，</w:t>
      </w:r>
      <w:r>
        <w:rPr>
          <w:rFonts w:hint="eastAsia" w:ascii="宋体" w:hAnsi="宋体" w:cs="宋体"/>
          <w:b/>
          <w:bCs/>
          <w:szCs w:val="21"/>
          <w:highlight w:val="none"/>
        </w:rPr>
        <w:t>对于符合《关于政府采购竞争性磋商采购方式管理暂行办法》（财库〔2014〕214号）第三条第四项情形的，提交最后报价的供应商可以为2家，符合财库〔2015〕124号第三条采用竞争性磋商采购方式采购的政府购买服务项目（含政府和社会资本合作项目），在采购过程中符合要求的供应商（社会资本）只有2家的，竞争性磋商采购活动可以继续进行</w:t>
      </w:r>
      <w:r>
        <w:rPr>
          <w:rFonts w:hint="eastAsia" w:ascii="宋体" w:hAnsi="宋体"/>
          <w:b/>
          <w:bCs/>
          <w:szCs w:val="21"/>
          <w:highlight w:val="none"/>
        </w:rPr>
        <w:t>。</w:t>
      </w:r>
    </w:p>
    <w:p>
      <w:pPr>
        <w:spacing w:line="360" w:lineRule="auto"/>
        <w:rPr>
          <w:rFonts w:ascii="宋体" w:hAnsi="宋体"/>
          <w:szCs w:val="21"/>
          <w:highlight w:val="none"/>
        </w:rPr>
      </w:pPr>
      <w:r>
        <w:rPr>
          <w:rFonts w:ascii="宋体" w:hAnsi="宋体"/>
          <w:szCs w:val="21"/>
          <w:highlight w:val="none"/>
        </w:rPr>
        <w:t xml:space="preserve">30.7 </w:t>
      </w:r>
      <w:r>
        <w:rPr>
          <w:rFonts w:hint="eastAsia" w:ascii="宋体" w:hAnsi="宋体"/>
          <w:szCs w:val="21"/>
          <w:highlight w:val="none"/>
        </w:rPr>
        <w:t>经磋商，供应商提交最终报价后，由磋商小组采用综合评分法对提交最后报价的供应商的响应文件和最后报价进行综合评分。</w:t>
      </w:r>
    </w:p>
    <w:p>
      <w:pPr>
        <w:spacing w:line="360" w:lineRule="auto"/>
        <w:rPr>
          <w:rFonts w:ascii="宋体" w:hAnsi="宋体"/>
          <w:szCs w:val="21"/>
          <w:highlight w:val="none"/>
        </w:rPr>
      </w:pPr>
      <w:r>
        <w:rPr>
          <w:rFonts w:hint="eastAsia" w:ascii="宋体" w:hAnsi="宋体"/>
          <w:szCs w:val="21"/>
          <w:highlight w:val="none"/>
        </w:rPr>
        <w:t>30.8 废标情况：</w:t>
      </w:r>
    </w:p>
    <w:p>
      <w:pPr>
        <w:spacing w:line="360" w:lineRule="auto"/>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 符合专业条件的供应商或者对</w:t>
      </w:r>
      <w:r>
        <w:rPr>
          <w:rFonts w:hint="eastAsia" w:ascii="宋体" w:hAnsi="宋体"/>
          <w:szCs w:val="21"/>
          <w:highlight w:val="none"/>
        </w:rPr>
        <w:t>采购</w:t>
      </w:r>
      <w:r>
        <w:rPr>
          <w:rFonts w:ascii="宋体" w:hAnsi="宋体"/>
          <w:szCs w:val="21"/>
          <w:highlight w:val="none"/>
        </w:rPr>
        <w:t>文件作实质响应的供应商不足3家；</w:t>
      </w:r>
    </w:p>
    <w:p>
      <w:pPr>
        <w:spacing w:line="360" w:lineRule="auto"/>
        <w:rPr>
          <w:rFonts w:ascii="宋体" w:hAnsi="宋体"/>
          <w:szCs w:val="21"/>
          <w:highlight w:val="none"/>
        </w:rPr>
      </w:pPr>
      <w:r>
        <w:rPr>
          <w:rFonts w:hint="eastAsia" w:ascii="宋体" w:hAnsi="宋体"/>
          <w:szCs w:val="21"/>
          <w:highlight w:val="none"/>
        </w:rPr>
        <w:t xml:space="preserve">（2） </w:t>
      </w:r>
      <w:r>
        <w:rPr>
          <w:rFonts w:ascii="宋体" w:hAnsi="宋体"/>
          <w:szCs w:val="21"/>
          <w:highlight w:val="none"/>
        </w:rPr>
        <w:t>出现影响采购公正的违法、违规行为；</w:t>
      </w:r>
    </w:p>
    <w:p>
      <w:pPr>
        <w:spacing w:line="360" w:lineRule="auto"/>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rPr>
        <w:t>供应商</w:t>
      </w:r>
      <w:r>
        <w:rPr>
          <w:rFonts w:ascii="宋体" w:hAnsi="宋体"/>
          <w:szCs w:val="21"/>
          <w:highlight w:val="none"/>
        </w:rPr>
        <w:t>的报价均超过了采购预算，采购人不能支付；</w:t>
      </w:r>
    </w:p>
    <w:p>
      <w:pPr>
        <w:spacing w:line="360" w:lineRule="auto"/>
        <w:rPr>
          <w:rFonts w:ascii="宋体" w:hAnsi="宋体"/>
          <w:szCs w:val="21"/>
          <w:highlight w:val="none"/>
        </w:rPr>
      </w:pPr>
      <w:r>
        <w:rPr>
          <w:rFonts w:hint="eastAsia" w:ascii="宋体" w:hAnsi="宋体"/>
          <w:szCs w:val="21"/>
          <w:highlight w:val="none"/>
        </w:rPr>
        <w:t>（4）</w:t>
      </w:r>
      <w:r>
        <w:rPr>
          <w:rFonts w:ascii="宋体" w:hAnsi="宋体"/>
          <w:szCs w:val="21"/>
          <w:highlight w:val="none"/>
        </w:rPr>
        <w:t xml:space="preserve"> 因重大变故，采购任务取消。</w:t>
      </w:r>
    </w:p>
    <w:p>
      <w:pPr>
        <w:spacing w:line="360" w:lineRule="auto"/>
        <w:rPr>
          <w:rFonts w:ascii="宋体" w:hAnsi="宋体"/>
          <w:szCs w:val="21"/>
          <w:highlight w:val="none"/>
        </w:rPr>
      </w:pPr>
      <w:r>
        <w:rPr>
          <w:rFonts w:ascii="宋体" w:hAnsi="宋体"/>
          <w:szCs w:val="21"/>
          <w:highlight w:val="none"/>
        </w:rPr>
        <w:t>31.</w:t>
      </w:r>
      <w:r>
        <w:rPr>
          <w:rFonts w:hint="eastAsia" w:ascii="宋体" w:hAnsi="宋体"/>
          <w:szCs w:val="21"/>
          <w:highlight w:val="none"/>
        </w:rPr>
        <w:t>评审时，磋商小组各成员应当独立对每个有效响应的文件进行评价、打分，然后汇总每个供应商每项评分因素的的得分。</w:t>
      </w:r>
    </w:p>
    <w:p>
      <w:pPr>
        <w:spacing w:line="360" w:lineRule="auto"/>
        <w:rPr>
          <w:rFonts w:ascii="宋体" w:hAnsi="宋体"/>
          <w:szCs w:val="21"/>
          <w:highlight w:val="none"/>
        </w:rPr>
      </w:pPr>
      <w:r>
        <w:rPr>
          <w:rFonts w:ascii="宋体" w:hAnsi="宋体"/>
          <w:szCs w:val="21"/>
          <w:highlight w:val="none"/>
        </w:rPr>
        <w:t>32.</w:t>
      </w:r>
      <w:r>
        <w:rPr>
          <w:rFonts w:hint="eastAsia" w:ascii="宋体" w:hAnsi="宋体"/>
          <w:szCs w:val="21"/>
          <w:highlight w:val="none"/>
        </w:rPr>
        <w:t>磋商小组应当根据综合评分情况，按照评审得分由高到低顺序推荐</w:t>
      </w:r>
      <w:r>
        <w:rPr>
          <w:rFonts w:ascii="宋体" w:hAnsi="宋体"/>
          <w:szCs w:val="21"/>
          <w:highlight w:val="none"/>
        </w:rPr>
        <w:t>1-3</w:t>
      </w:r>
      <w:r>
        <w:rPr>
          <w:rFonts w:hint="eastAsia" w:ascii="宋体" w:hAnsi="宋体"/>
          <w:szCs w:val="21"/>
          <w:highlight w:val="none"/>
        </w:rPr>
        <w:t>名成交候选供应商，并编写评审报告。评审报告经磋商小组全体成员签字确认。</w:t>
      </w:r>
    </w:p>
    <w:p>
      <w:pPr>
        <w:spacing w:line="360" w:lineRule="auto"/>
        <w:rPr>
          <w:rFonts w:ascii="宋体" w:hAnsi="宋体"/>
          <w:szCs w:val="21"/>
          <w:highlight w:val="none"/>
        </w:rPr>
      </w:pPr>
      <w:r>
        <w:rPr>
          <w:rFonts w:ascii="宋体" w:hAnsi="宋体"/>
          <w:szCs w:val="21"/>
          <w:highlight w:val="none"/>
        </w:rPr>
        <w:t>33.</w:t>
      </w:r>
      <w:r>
        <w:rPr>
          <w:rFonts w:hint="eastAsia" w:ascii="宋体" w:hAnsi="宋体"/>
          <w:szCs w:val="21"/>
          <w:highlight w:val="none"/>
        </w:rPr>
        <w:t>磋商小组成员应当客观、公正的履行职务，遵守职业道德，对所提出的评审意见承担个人责任。</w:t>
      </w:r>
      <w:bookmarkStart w:id="47" w:name="_Toc6239814"/>
      <w:bookmarkStart w:id="48" w:name="_Toc98041612"/>
      <w:bookmarkStart w:id="49" w:name="_Toc120344792"/>
    </w:p>
    <w:p>
      <w:pPr>
        <w:rPr>
          <w:rFonts w:ascii="宋体" w:hAnsi="宋体"/>
          <w:szCs w:val="21"/>
          <w:highlight w:val="none"/>
        </w:rPr>
      </w:pPr>
      <w:bookmarkStart w:id="50" w:name="_Toc17743"/>
      <w:bookmarkStart w:id="51" w:name="_Toc25705"/>
      <w:bookmarkStart w:id="52" w:name="_Toc17810"/>
      <w:bookmarkStart w:id="53" w:name="_Toc15156"/>
      <w:bookmarkStart w:id="54" w:name="_Toc12878"/>
      <w:r>
        <w:rPr>
          <w:rFonts w:hint="eastAsia" w:ascii="宋体" w:hAnsi="宋体"/>
          <w:szCs w:val="21"/>
          <w:highlight w:val="none"/>
        </w:rPr>
        <w:br w:type="page"/>
      </w:r>
    </w:p>
    <w:p>
      <w:pPr>
        <w:pStyle w:val="5"/>
        <w:jc w:val="center"/>
        <w:rPr>
          <w:rFonts w:ascii="宋体" w:hAnsi="宋体" w:eastAsia="宋体"/>
          <w:sz w:val="21"/>
          <w:szCs w:val="21"/>
          <w:highlight w:val="none"/>
        </w:rPr>
      </w:pPr>
      <w:r>
        <w:rPr>
          <w:rFonts w:hint="eastAsia" w:ascii="宋体" w:hAnsi="宋体" w:eastAsia="宋体"/>
          <w:sz w:val="21"/>
          <w:szCs w:val="21"/>
          <w:highlight w:val="none"/>
        </w:rPr>
        <w:t>八、评分标准</w:t>
      </w:r>
      <w:bookmarkEnd w:id="47"/>
      <w:bookmarkEnd w:id="50"/>
      <w:bookmarkEnd w:id="51"/>
      <w:bookmarkEnd w:id="52"/>
      <w:bookmarkEnd w:id="53"/>
      <w:bookmarkEnd w:id="54"/>
    </w:p>
    <w:p>
      <w:pPr>
        <w:rPr>
          <w:rFonts w:ascii="宋体" w:hAnsi="宋体"/>
          <w:b/>
          <w:szCs w:val="21"/>
          <w:highlight w:val="none"/>
        </w:rPr>
      </w:pPr>
      <w:r>
        <w:rPr>
          <w:rFonts w:hint="eastAsia" w:ascii="宋体" w:hAnsi="宋体"/>
          <w:b/>
          <w:szCs w:val="21"/>
          <w:highlight w:val="none"/>
        </w:rPr>
        <w:t>34.1（综合评分法，满分</w:t>
      </w:r>
      <w:r>
        <w:rPr>
          <w:rFonts w:ascii="宋体" w:hAnsi="宋体"/>
          <w:b/>
          <w:szCs w:val="21"/>
          <w:highlight w:val="none"/>
        </w:rPr>
        <w:t>100</w:t>
      </w:r>
      <w:r>
        <w:rPr>
          <w:rFonts w:hint="eastAsia" w:ascii="宋体" w:hAnsi="宋体"/>
          <w:b/>
          <w:szCs w:val="21"/>
          <w:highlight w:val="none"/>
        </w:rPr>
        <w:t>分）</w:t>
      </w:r>
    </w:p>
    <w:tbl>
      <w:tblPr>
        <w:tblStyle w:val="42"/>
        <w:tblpPr w:leftFromText="180" w:rightFromText="180" w:vertAnchor="text" w:horzAnchor="page" w:tblpX="1397" w:tblpY="319"/>
        <w:tblOverlap w:val="never"/>
        <w:tblW w:w="92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06"/>
        <w:gridCol w:w="943"/>
        <w:gridCol w:w="73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trPr>
        <w:tc>
          <w:tcPr>
            <w:tcW w:w="1949" w:type="dxa"/>
            <w:gridSpan w:val="2"/>
            <w:tcBorders>
              <w:top w:val="single" w:color="auto" w:sz="4" w:space="0"/>
              <w:bottom w:val="single" w:color="auto" w:sz="4" w:space="0"/>
              <w:right w:val="single" w:color="auto" w:sz="4" w:space="0"/>
            </w:tcBorders>
            <w:vAlign w:val="center"/>
          </w:tcPr>
          <w:p>
            <w:pPr>
              <w:widowControl/>
              <w:spacing w:line="400" w:lineRule="exact"/>
              <w:ind w:right="105" w:rightChars="50"/>
              <w:jc w:val="center"/>
              <w:rPr>
                <w:rFonts w:ascii="宋体" w:hAnsi="宋体" w:cs="宋体"/>
                <w:b/>
                <w:kern w:val="0"/>
                <w:szCs w:val="21"/>
                <w:highlight w:val="none"/>
              </w:rPr>
            </w:pPr>
            <w:r>
              <w:rPr>
                <w:rFonts w:hint="eastAsia" w:ascii="宋体" w:hAnsi="宋体" w:cs="宋体"/>
                <w:b/>
                <w:kern w:val="0"/>
                <w:szCs w:val="21"/>
                <w:highlight w:val="none"/>
              </w:rPr>
              <w:t>评分内容</w:t>
            </w:r>
          </w:p>
        </w:tc>
        <w:tc>
          <w:tcPr>
            <w:tcW w:w="7329" w:type="dxa"/>
            <w:tcBorders>
              <w:top w:val="single" w:color="auto" w:sz="4" w:space="0"/>
              <w:left w:val="single" w:color="auto" w:sz="4" w:space="0"/>
              <w:bottom w:val="single" w:color="auto" w:sz="4" w:space="0"/>
            </w:tcBorders>
            <w:vAlign w:val="center"/>
          </w:tcPr>
          <w:p>
            <w:pPr>
              <w:widowControl/>
              <w:spacing w:line="400" w:lineRule="exact"/>
              <w:ind w:right="105" w:rightChars="50"/>
              <w:jc w:val="center"/>
              <w:rPr>
                <w:rFonts w:ascii="宋体" w:hAnsi="宋体" w:cs="宋体"/>
                <w:b/>
                <w:kern w:val="0"/>
                <w:szCs w:val="21"/>
                <w:highlight w:val="none"/>
              </w:rPr>
            </w:pPr>
            <w:r>
              <w:rPr>
                <w:rFonts w:hint="eastAsia" w:ascii="宋体" w:hAnsi="宋体" w:cs="宋体"/>
                <w:b/>
                <w:kern w:val="0"/>
                <w:szCs w:val="21"/>
                <w:highlight w:val="none"/>
              </w:rPr>
              <w:t>评标标准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7" w:hRule="atLeast"/>
        </w:trPr>
        <w:tc>
          <w:tcPr>
            <w:tcW w:w="1006" w:type="dxa"/>
            <w:tcBorders>
              <w:top w:val="single" w:color="auto" w:sz="4" w:space="0"/>
              <w:right w:val="single" w:color="auto" w:sz="4" w:space="0"/>
            </w:tcBorders>
            <w:vAlign w:val="center"/>
          </w:tcPr>
          <w:p>
            <w:pPr>
              <w:widowControl/>
              <w:spacing w:line="360" w:lineRule="exact"/>
              <w:jc w:val="center"/>
              <w:rPr>
                <w:rFonts w:ascii="宋体" w:hAnsi="宋体"/>
                <w:szCs w:val="21"/>
                <w:highlight w:val="none"/>
              </w:rPr>
            </w:pPr>
            <w:r>
              <w:rPr>
                <w:rFonts w:hint="eastAsia" w:ascii="宋体" w:hAnsi="宋体"/>
                <w:szCs w:val="21"/>
                <w:highlight w:val="none"/>
              </w:rPr>
              <w:t>投标</w:t>
            </w:r>
          </w:p>
          <w:p>
            <w:pPr>
              <w:widowControl/>
              <w:spacing w:line="360" w:lineRule="exact"/>
              <w:jc w:val="center"/>
              <w:rPr>
                <w:rFonts w:ascii="宋体" w:hAnsi="宋体"/>
                <w:szCs w:val="21"/>
                <w:highlight w:val="none"/>
              </w:rPr>
            </w:pPr>
            <w:r>
              <w:rPr>
                <w:rFonts w:hint="eastAsia" w:ascii="宋体" w:hAnsi="宋体"/>
                <w:szCs w:val="21"/>
                <w:highlight w:val="none"/>
              </w:rPr>
              <w:t>报价</w:t>
            </w:r>
          </w:p>
          <w:p>
            <w:pPr>
              <w:widowControl/>
              <w:spacing w:line="360" w:lineRule="exact"/>
              <w:jc w:val="center"/>
              <w:rPr>
                <w:rFonts w:ascii="宋体" w:hAnsi="宋体"/>
                <w:szCs w:val="21"/>
                <w:highlight w:val="none"/>
              </w:rPr>
            </w:pPr>
            <w:r>
              <w:rPr>
                <w:rFonts w:hint="eastAsia" w:ascii="宋体" w:hAnsi="宋体"/>
                <w:szCs w:val="21"/>
                <w:highlight w:val="none"/>
              </w:rPr>
              <w:t>（30分）</w:t>
            </w:r>
          </w:p>
        </w:tc>
        <w:tc>
          <w:tcPr>
            <w:tcW w:w="94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Cs w:val="21"/>
                <w:highlight w:val="none"/>
              </w:rPr>
            </w:pPr>
            <w:r>
              <w:rPr>
                <w:rFonts w:hint="eastAsia"/>
                <w:szCs w:val="21"/>
                <w:highlight w:val="none"/>
              </w:rPr>
              <w:t>投标报价</w:t>
            </w:r>
          </w:p>
        </w:tc>
        <w:tc>
          <w:tcPr>
            <w:tcW w:w="7329" w:type="dxa"/>
            <w:tcBorders>
              <w:top w:val="single" w:color="auto" w:sz="4" w:space="0"/>
              <w:left w:val="single" w:color="auto" w:sz="4" w:space="0"/>
              <w:bottom w:val="single" w:color="auto" w:sz="4" w:space="0"/>
            </w:tcBorders>
            <w:vAlign w:val="center"/>
          </w:tcPr>
          <w:p>
            <w:pPr>
              <w:spacing w:line="440" w:lineRule="exact"/>
              <w:rPr>
                <w:rFonts w:ascii="宋体" w:hAnsi="宋体"/>
                <w:szCs w:val="21"/>
                <w:highlight w:val="none"/>
              </w:rPr>
            </w:pPr>
            <w:r>
              <w:rPr>
                <w:rFonts w:hint="eastAsia" w:ascii="宋体" w:hAnsi="宋体"/>
                <w:szCs w:val="21"/>
                <w:highlight w:val="none"/>
              </w:rPr>
              <w:t>磋商基准价：满足磋商文件要求且最后磋商报价最低的供应商的价格。</w:t>
            </w:r>
          </w:p>
          <w:p>
            <w:pPr>
              <w:spacing w:line="440" w:lineRule="exact"/>
              <w:ind w:left="105" w:leftChars="50" w:right="105" w:rightChars="50"/>
              <w:rPr>
                <w:rFonts w:ascii="宋体" w:hAnsi="宋体"/>
                <w:szCs w:val="21"/>
                <w:highlight w:val="none"/>
              </w:rPr>
            </w:pPr>
            <w:r>
              <w:rPr>
                <w:rFonts w:hint="eastAsia" w:ascii="宋体" w:hAnsi="宋体"/>
                <w:szCs w:val="21"/>
                <w:highlight w:val="none"/>
              </w:rPr>
              <w:t>磋商报价得分</w:t>
            </w:r>
            <w:r>
              <w:rPr>
                <w:rFonts w:ascii="宋体" w:hAnsi="宋体"/>
                <w:szCs w:val="21"/>
                <w:highlight w:val="none"/>
              </w:rPr>
              <w:t>=</w:t>
            </w:r>
            <w:r>
              <w:rPr>
                <w:rFonts w:hint="eastAsia" w:ascii="宋体" w:hAnsi="宋体"/>
                <w:szCs w:val="21"/>
                <w:highlight w:val="none"/>
              </w:rPr>
              <w:t>（磋商基准价÷最后磋商报价）×30</w:t>
            </w:r>
          </w:p>
          <w:p>
            <w:pPr>
              <w:snapToGrid w:val="0"/>
              <w:spacing w:line="480" w:lineRule="exact"/>
              <w:rPr>
                <w:rFonts w:ascii="宋体" w:hAnsi="宋体" w:cs="仿宋_GB2312"/>
                <w:szCs w:val="21"/>
                <w:highlight w:val="none"/>
                <w:lang w:val="zh-CN"/>
              </w:rPr>
            </w:pPr>
            <w:r>
              <w:rPr>
                <w:rFonts w:hint="eastAsia" w:ascii="宋体" w:hAnsi="宋体" w:cs="仿宋_GB2312"/>
                <w:szCs w:val="21"/>
                <w:highlight w:val="none"/>
                <w:lang w:val="zh-CN"/>
              </w:rPr>
              <w:t>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7" w:hRule="atLeast"/>
        </w:trPr>
        <w:tc>
          <w:tcPr>
            <w:tcW w:w="1006" w:type="dxa"/>
            <w:vMerge w:val="restart"/>
            <w:tcBorders>
              <w:top w:val="single" w:color="auto" w:sz="4" w:space="0"/>
              <w:right w:val="single" w:color="auto" w:sz="4" w:space="0"/>
            </w:tcBorders>
            <w:vAlign w:val="center"/>
          </w:tcPr>
          <w:p>
            <w:pPr>
              <w:widowControl/>
              <w:spacing w:line="360" w:lineRule="exact"/>
              <w:jc w:val="center"/>
              <w:rPr>
                <w:rFonts w:ascii="宋体" w:hAnsi="宋体"/>
                <w:szCs w:val="21"/>
                <w:highlight w:val="none"/>
              </w:rPr>
            </w:pPr>
            <w:r>
              <w:rPr>
                <w:rFonts w:hint="eastAsia" w:ascii="宋体" w:hAnsi="宋体"/>
                <w:szCs w:val="21"/>
                <w:highlight w:val="none"/>
              </w:rPr>
              <w:t>商务</w:t>
            </w:r>
          </w:p>
          <w:p>
            <w:pPr>
              <w:widowControl/>
              <w:spacing w:line="360" w:lineRule="exact"/>
              <w:jc w:val="center"/>
              <w:rPr>
                <w:rFonts w:ascii="宋体" w:hAnsi="宋体"/>
                <w:szCs w:val="21"/>
                <w:highlight w:val="none"/>
              </w:rPr>
            </w:pPr>
            <w:r>
              <w:rPr>
                <w:rFonts w:hint="eastAsia" w:ascii="宋体" w:hAnsi="宋体"/>
                <w:szCs w:val="21"/>
                <w:highlight w:val="none"/>
              </w:rPr>
              <w:t>得分</w:t>
            </w:r>
          </w:p>
          <w:p>
            <w:pPr>
              <w:widowControl/>
              <w:spacing w:line="360" w:lineRule="exact"/>
              <w:jc w:val="center"/>
              <w:rPr>
                <w:szCs w:val="21"/>
                <w:highlight w:val="none"/>
              </w:rPr>
            </w:pPr>
            <w:r>
              <w:rPr>
                <w:rFonts w:hint="eastAsia" w:ascii="宋体" w:hAnsi="宋体"/>
                <w:szCs w:val="21"/>
                <w:highlight w:val="none"/>
              </w:rPr>
              <w:t>（25分）</w:t>
            </w:r>
          </w:p>
        </w:tc>
        <w:tc>
          <w:tcPr>
            <w:tcW w:w="94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供应商业绩</w:t>
            </w:r>
          </w:p>
          <w:p>
            <w:pPr>
              <w:pStyle w:val="21"/>
              <w:spacing w:line="360" w:lineRule="auto"/>
              <w:jc w:val="center"/>
              <w:rPr>
                <w:rFonts w:hAnsi="宋体" w:cs="仿宋_GB2312"/>
                <w:kern w:val="2"/>
                <w:szCs w:val="21"/>
                <w:highlight w:val="none"/>
              </w:rPr>
            </w:pPr>
            <w:r>
              <w:rPr>
                <w:rFonts w:hint="eastAsia" w:asciiTheme="minorEastAsia" w:hAnsiTheme="minorEastAsia" w:eastAsiaTheme="minorEastAsia" w:cstheme="minorEastAsia"/>
                <w:highlight w:val="none"/>
              </w:rPr>
              <w:t>（10分）</w:t>
            </w:r>
          </w:p>
        </w:tc>
        <w:tc>
          <w:tcPr>
            <w:tcW w:w="7329" w:type="dxa"/>
            <w:tcBorders>
              <w:top w:val="single" w:color="auto" w:sz="4" w:space="0"/>
              <w:left w:val="single" w:color="auto" w:sz="4" w:space="0"/>
              <w:bottom w:val="single" w:color="auto" w:sz="4" w:space="0"/>
            </w:tcBorders>
            <w:vAlign w:val="center"/>
          </w:tcPr>
          <w:p>
            <w:pPr>
              <w:adjustRightInd w:val="0"/>
              <w:snapToGrid w:val="0"/>
              <w:spacing w:line="360" w:lineRule="auto"/>
              <w:jc w:val="left"/>
              <w:rPr>
                <w:rFonts w:ascii="宋体" w:hAnsi="宋体"/>
                <w:szCs w:val="21"/>
                <w:highlight w:val="none"/>
                <w:lang w:val="zh-CN"/>
              </w:rPr>
            </w:pPr>
            <w:r>
              <w:rPr>
                <w:rFonts w:hint="eastAsia" w:asciiTheme="minorEastAsia" w:hAnsiTheme="minorEastAsia" w:eastAsiaTheme="minorEastAsia" w:cstheme="minorEastAsia"/>
                <w:highlight w:val="none"/>
              </w:rPr>
              <w:t>供应商自2018年1月1日以来（以合同签订日期为准）类似项目业绩（广告制作），提供委托协议或合同，否则此项不得分，每提供一份有效合同得2分，最高10分。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0" w:hRule="atLeast"/>
        </w:trPr>
        <w:tc>
          <w:tcPr>
            <w:tcW w:w="1006" w:type="dxa"/>
            <w:vMerge w:val="continue"/>
            <w:tcBorders>
              <w:right w:val="single" w:color="auto" w:sz="4" w:space="0"/>
            </w:tcBorders>
            <w:vAlign w:val="center"/>
          </w:tcPr>
          <w:p>
            <w:pPr>
              <w:widowControl/>
              <w:spacing w:line="360" w:lineRule="exact"/>
              <w:jc w:val="center"/>
              <w:rPr>
                <w:rFonts w:ascii="宋体" w:hAnsi="宋体"/>
                <w:szCs w:val="21"/>
                <w:highlight w:val="none"/>
              </w:rPr>
            </w:pPr>
          </w:p>
        </w:tc>
        <w:tc>
          <w:tcPr>
            <w:tcW w:w="943" w:type="dxa"/>
            <w:tcBorders>
              <w:top w:val="single" w:color="auto" w:sz="4" w:space="0"/>
              <w:left w:val="single" w:color="auto" w:sz="4" w:space="0"/>
              <w:right w:val="single" w:color="auto" w:sz="4" w:space="0"/>
            </w:tcBorders>
            <w:vAlign w:val="center"/>
          </w:tcPr>
          <w:p>
            <w:pPr>
              <w:pStyle w:val="21"/>
              <w:spacing w:line="360" w:lineRule="auto"/>
              <w:jc w:val="center"/>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企业信用等级证书（3分）</w:t>
            </w:r>
          </w:p>
        </w:tc>
        <w:tc>
          <w:tcPr>
            <w:tcW w:w="7329" w:type="dxa"/>
            <w:tcBorders>
              <w:top w:val="single" w:color="auto" w:sz="4" w:space="0"/>
              <w:left w:val="single" w:color="auto" w:sz="4" w:space="0"/>
              <w:bottom w:val="single" w:color="auto" w:sz="4" w:space="0"/>
            </w:tcBorders>
            <w:vAlign w:val="center"/>
          </w:tcPr>
          <w:p>
            <w:pPr>
              <w:pStyle w:val="21"/>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提供</w:t>
            </w:r>
            <w:r>
              <w:rPr>
                <w:rFonts w:hint="eastAsia" w:asciiTheme="minorEastAsia" w:hAnsiTheme="minorEastAsia" w:eastAsiaTheme="minorEastAsia" w:cstheme="minorEastAsia"/>
                <w:highlight w:val="none"/>
                <w:lang w:val="en-US" w:eastAsia="zh-CN"/>
              </w:rPr>
              <w:t>AA</w:t>
            </w:r>
            <w:r>
              <w:rPr>
                <w:rFonts w:hint="eastAsia" w:asciiTheme="minorEastAsia" w:hAnsiTheme="minorEastAsia" w:eastAsiaTheme="minorEastAsia" w:cstheme="minorEastAsia"/>
                <w:highlight w:val="none"/>
              </w:rPr>
              <w:t>A企业信用等级证书的得</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highlight w:val="none"/>
                <w:lang w:val="en-US" w:eastAsia="zh-CN"/>
              </w:rPr>
              <w:t>AA级的得2分，A级的得1分，</w:t>
            </w:r>
            <w:r>
              <w:rPr>
                <w:rFonts w:hint="eastAsia" w:asciiTheme="minorEastAsia" w:hAnsiTheme="minorEastAsia" w:eastAsiaTheme="minorEastAsia" w:cstheme="minorEastAsia"/>
                <w:highlight w:val="none"/>
              </w:rPr>
              <w:t>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06" w:type="dxa"/>
            <w:vMerge w:val="continue"/>
            <w:tcBorders>
              <w:right w:val="single" w:color="auto" w:sz="4" w:space="0"/>
            </w:tcBorders>
            <w:vAlign w:val="center"/>
          </w:tcPr>
          <w:p>
            <w:pPr>
              <w:widowControl/>
              <w:spacing w:line="360" w:lineRule="exact"/>
              <w:jc w:val="center"/>
              <w:rPr>
                <w:rFonts w:ascii="宋体" w:hAnsi="宋体"/>
                <w:szCs w:val="21"/>
                <w:highlight w:val="none"/>
              </w:rPr>
            </w:pPr>
          </w:p>
        </w:tc>
        <w:tc>
          <w:tcPr>
            <w:tcW w:w="943" w:type="dxa"/>
            <w:tcBorders>
              <w:left w:val="single" w:color="auto" w:sz="4" w:space="0"/>
              <w:right w:val="single" w:color="auto" w:sz="4" w:space="0"/>
            </w:tcBorders>
            <w:vAlign w:val="center"/>
          </w:tcPr>
          <w:p>
            <w:pPr>
              <w:pStyle w:val="21"/>
              <w:spacing w:line="360" w:lineRule="auto"/>
              <w:jc w:val="center"/>
              <w:rPr>
                <w:rFonts w:hAnsi="宋体" w:cs="宋体"/>
                <w:kern w:val="2"/>
                <w:szCs w:val="21"/>
                <w:highlight w:val="none"/>
              </w:rPr>
            </w:pPr>
            <w:r>
              <w:rPr>
                <w:rFonts w:hint="eastAsia" w:hAnsi="宋体" w:cs="宋体"/>
                <w:kern w:val="2"/>
                <w:szCs w:val="21"/>
                <w:highlight w:val="none"/>
              </w:rPr>
              <w:t>企业实力</w:t>
            </w:r>
          </w:p>
          <w:p>
            <w:pPr>
              <w:pStyle w:val="21"/>
              <w:spacing w:line="360" w:lineRule="auto"/>
              <w:jc w:val="center"/>
              <w:rPr>
                <w:rFonts w:hAnsi="宋体" w:cs="宋体"/>
                <w:kern w:val="2"/>
                <w:szCs w:val="21"/>
                <w:highlight w:val="none"/>
              </w:rPr>
            </w:pPr>
            <w:r>
              <w:rPr>
                <w:rFonts w:hint="eastAsia" w:hAnsi="宋体" w:cs="宋体"/>
                <w:kern w:val="2"/>
                <w:szCs w:val="21"/>
                <w:highlight w:val="none"/>
              </w:rPr>
              <w:t>（8分）</w:t>
            </w:r>
          </w:p>
        </w:tc>
        <w:tc>
          <w:tcPr>
            <w:tcW w:w="7329" w:type="dxa"/>
            <w:tcBorders>
              <w:top w:val="single" w:color="auto" w:sz="4" w:space="0"/>
              <w:left w:val="single" w:color="auto" w:sz="4" w:space="0"/>
              <w:bottom w:val="single" w:color="auto" w:sz="4" w:space="0"/>
            </w:tcBorders>
            <w:vAlign w:val="center"/>
          </w:tcPr>
          <w:p>
            <w:pPr>
              <w:adjustRightInd w:val="0"/>
              <w:snapToGrid w:val="0"/>
              <w:spacing w:line="360" w:lineRule="auto"/>
              <w:jc w:val="left"/>
              <w:rPr>
                <w:rFonts w:ascii="宋体" w:hAnsi="宋体" w:cs="宋体"/>
                <w:highlight w:val="none"/>
                <w:lang w:val="zh-CN"/>
              </w:rPr>
            </w:pPr>
            <w:r>
              <w:rPr>
                <w:rFonts w:hint="eastAsia" w:ascii="宋体" w:hAnsi="宋体" w:cs="宋体"/>
                <w:highlight w:val="none"/>
              </w:rPr>
              <w:t>1、</w:t>
            </w:r>
            <w:r>
              <w:rPr>
                <w:rFonts w:hint="eastAsia" w:ascii="宋体" w:hAnsi="宋体" w:cs="宋体"/>
                <w:highlight w:val="none"/>
                <w:lang w:val="zh-CN"/>
              </w:rPr>
              <w:t>供应商具有国家新闻出版广电总局颁发的信息网络传播视听许可证的得</w:t>
            </w:r>
            <w:r>
              <w:rPr>
                <w:rFonts w:hint="eastAsia" w:ascii="宋体" w:hAnsi="宋体" w:cs="宋体"/>
                <w:highlight w:val="none"/>
              </w:rPr>
              <w:t>2</w:t>
            </w:r>
            <w:r>
              <w:rPr>
                <w:rFonts w:hint="eastAsia" w:ascii="宋体" w:hAnsi="宋体" w:cs="宋体"/>
                <w:highlight w:val="none"/>
                <w:lang w:val="zh-CN"/>
              </w:rPr>
              <w:t>分，否则不得分</w:t>
            </w:r>
          </w:p>
          <w:p>
            <w:pPr>
              <w:adjustRightInd w:val="0"/>
              <w:snapToGrid w:val="0"/>
              <w:spacing w:line="360" w:lineRule="auto"/>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供应商</w:t>
            </w:r>
            <w:r>
              <w:rPr>
                <w:rFonts w:hint="eastAsia" w:ascii="宋体" w:hAnsi="宋体" w:cs="宋体"/>
                <w:highlight w:val="none"/>
              </w:rPr>
              <w:t>具有互联网新闻信息服务许可证书的得2分，否则不得书。</w:t>
            </w:r>
          </w:p>
          <w:p>
            <w:pPr>
              <w:adjustRightInd w:val="0"/>
              <w:snapToGrid w:val="0"/>
              <w:spacing w:line="360" w:lineRule="auto"/>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zh-CN"/>
              </w:rPr>
              <w:t>供应商</w:t>
            </w:r>
            <w:r>
              <w:rPr>
                <w:rFonts w:hint="eastAsia" w:ascii="宋体" w:hAnsi="宋体" w:cs="宋体"/>
                <w:highlight w:val="none"/>
              </w:rPr>
              <w:t>具有网络文化经营许可证的得2分，否则不得分。</w:t>
            </w:r>
          </w:p>
          <w:p>
            <w:pPr>
              <w:adjustRightInd w:val="0"/>
              <w:snapToGrid w:val="0"/>
              <w:spacing w:line="360" w:lineRule="auto"/>
              <w:jc w:val="left"/>
              <w:rPr>
                <w:rFonts w:ascii="宋体" w:hAnsi="宋体" w:cs="宋体"/>
                <w:highlight w:val="none"/>
              </w:rPr>
            </w:pPr>
            <w:r>
              <w:rPr>
                <w:rFonts w:hint="eastAsia" w:ascii="宋体" w:hAnsi="宋体" w:cs="宋体"/>
                <w:highlight w:val="none"/>
              </w:rPr>
              <w:t>4、供应商具有国家一级广告企业认证证书的得2分，否则不得分。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5" w:hRule="atLeast"/>
        </w:trPr>
        <w:tc>
          <w:tcPr>
            <w:tcW w:w="1006" w:type="dxa"/>
            <w:vMerge w:val="continue"/>
            <w:tcBorders>
              <w:right w:val="single" w:color="auto" w:sz="4" w:space="0"/>
            </w:tcBorders>
            <w:vAlign w:val="center"/>
          </w:tcPr>
          <w:p>
            <w:pPr>
              <w:widowControl/>
              <w:spacing w:line="360" w:lineRule="exact"/>
              <w:jc w:val="center"/>
              <w:rPr>
                <w:rFonts w:ascii="宋体" w:hAnsi="宋体"/>
                <w:szCs w:val="21"/>
                <w:highlight w:val="none"/>
              </w:rPr>
            </w:pPr>
          </w:p>
        </w:tc>
        <w:tc>
          <w:tcPr>
            <w:tcW w:w="943" w:type="dxa"/>
            <w:tcBorders>
              <w:left w:val="single" w:color="auto" w:sz="4" w:space="0"/>
              <w:right w:val="single" w:color="auto" w:sz="4" w:space="0"/>
            </w:tcBorders>
            <w:vAlign w:val="center"/>
          </w:tcPr>
          <w:p>
            <w:pPr>
              <w:pStyle w:val="21"/>
              <w:spacing w:line="360" w:lineRule="auto"/>
              <w:jc w:val="center"/>
              <w:rPr>
                <w:rFonts w:cs="宋体"/>
                <w:kern w:val="2"/>
                <w:highlight w:val="none"/>
              </w:rPr>
            </w:pPr>
            <w:r>
              <w:rPr>
                <w:rFonts w:hint="eastAsia" w:cs="宋体"/>
                <w:kern w:val="2"/>
                <w:highlight w:val="none"/>
              </w:rPr>
              <w:t>荣誉证书</w:t>
            </w:r>
          </w:p>
          <w:p>
            <w:pPr>
              <w:pStyle w:val="21"/>
              <w:spacing w:line="360" w:lineRule="auto"/>
              <w:jc w:val="center"/>
              <w:rPr>
                <w:rFonts w:asciiTheme="minorEastAsia" w:hAnsiTheme="minorEastAsia" w:eastAsiaTheme="minorEastAsia" w:cstheme="minorEastAsia"/>
                <w:kern w:val="2"/>
                <w:highlight w:val="none"/>
              </w:rPr>
            </w:pPr>
            <w:r>
              <w:rPr>
                <w:rFonts w:hint="eastAsia" w:cs="宋体"/>
                <w:kern w:val="2"/>
                <w:highlight w:val="none"/>
              </w:rPr>
              <w:t>（4分）</w:t>
            </w:r>
          </w:p>
        </w:tc>
        <w:tc>
          <w:tcPr>
            <w:tcW w:w="7329" w:type="dxa"/>
            <w:tcBorders>
              <w:top w:val="single" w:color="auto" w:sz="4" w:space="0"/>
              <w:left w:val="single" w:color="auto" w:sz="4" w:space="0"/>
              <w:bottom w:val="single" w:color="auto" w:sz="4" w:space="0"/>
            </w:tcBorders>
            <w:vAlign w:val="center"/>
          </w:tcPr>
          <w:p>
            <w:pPr>
              <w:pStyle w:val="21"/>
              <w:spacing w:line="360" w:lineRule="auto"/>
              <w:rPr>
                <w:rFonts w:asciiTheme="minorEastAsia" w:hAnsiTheme="minorEastAsia" w:eastAsiaTheme="minorEastAsia" w:cstheme="minorEastAsia"/>
                <w:szCs w:val="21"/>
                <w:highlight w:val="none"/>
              </w:rPr>
            </w:pPr>
            <w:r>
              <w:rPr>
                <w:rFonts w:hint="eastAsia" w:cs="宋体"/>
                <w:szCs w:val="21"/>
                <w:highlight w:val="none"/>
              </w:rPr>
              <w:t>供应商提供在全国或省级公益宣传片或广告作品评比中获奖作品证书（提供证书扫描件并加盖供应商公章），每提供一项得 2分，最多得 4 分，未提供不得分；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5" w:hRule="atLeast"/>
        </w:trPr>
        <w:tc>
          <w:tcPr>
            <w:tcW w:w="1006" w:type="dxa"/>
            <w:vMerge w:val="restart"/>
            <w:tcBorders>
              <w:right w:val="single" w:color="auto" w:sz="4" w:space="0"/>
            </w:tcBorders>
            <w:vAlign w:val="center"/>
          </w:tcPr>
          <w:p>
            <w:pPr>
              <w:widowControl/>
              <w:spacing w:line="360" w:lineRule="exact"/>
              <w:jc w:val="center"/>
              <w:rPr>
                <w:rFonts w:ascii="宋体" w:hAnsi="宋体"/>
                <w:szCs w:val="21"/>
                <w:highlight w:val="none"/>
              </w:rPr>
            </w:pPr>
            <w:r>
              <w:rPr>
                <w:rFonts w:hint="eastAsia" w:ascii="宋体" w:hAnsi="宋体"/>
                <w:szCs w:val="21"/>
                <w:highlight w:val="none"/>
              </w:rPr>
              <w:t>技术部分</w:t>
            </w:r>
          </w:p>
          <w:p>
            <w:pPr>
              <w:widowControl/>
              <w:spacing w:line="360" w:lineRule="exact"/>
              <w:jc w:val="center"/>
              <w:rPr>
                <w:rFonts w:ascii="宋体" w:hAnsi="宋体"/>
                <w:szCs w:val="21"/>
                <w:highlight w:val="none"/>
              </w:rPr>
            </w:pPr>
            <w:r>
              <w:rPr>
                <w:rFonts w:hint="eastAsia" w:ascii="宋体" w:hAnsi="宋体"/>
                <w:szCs w:val="21"/>
                <w:highlight w:val="none"/>
              </w:rPr>
              <w:t>(</w:t>
            </w:r>
            <w:r>
              <w:rPr>
                <w:rFonts w:hint="eastAsia" w:ascii="宋体" w:hAnsi="宋体" w:cs="仿宋_GB2312"/>
                <w:szCs w:val="21"/>
                <w:highlight w:val="none"/>
              </w:rPr>
              <w:t>45分</w:t>
            </w:r>
            <w:r>
              <w:rPr>
                <w:rFonts w:hint="eastAsia" w:ascii="宋体" w:hAnsi="宋体"/>
                <w:szCs w:val="21"/>
                <w:highlight w:val="none"/>
              </w:rPr>
              <w:t>)</w:t>
            </w:r>
          </w:p>
        </w:tc>
        <w:tc>
          <w:tcPr>
            <w:tcW w:w="943" w:type="dxa"/>
            <w:tcBorders>
              <w:left w:val="single" w:color="auto" w:sz="4" w:space="0"/>
              <w:right w:val="single" w:color="auto" w:sz="4" w:space="0"/>
            </w:tcBorders>
            <w:vAlign w:val="center"/>
          </w:tcPr>
          <w:p>
            <w:pPr>
              <w:widowControl/>
              <w:jc w:val="center"/>
              <w:rPr>
                <w:rFonts w:cs="宋体"/>
                <w:highlight w:val="none"/>
              </w:rPr>
            </w:pPr>
            <w:r>
              <w:rPr>
                <w:rFonts w:hint="eastAsia" w:ascii="宋体" w:hAnsi="宋体" w:cs="宋体"/>
                <w:kern w:val="0"/>
                <w:szCs w:val="21"/>
                <w:highlight w:val="none"/>
              </w:rPr>
              <w:t xml:space="preserve">项目服务方案    </w:t>
            </w:r>
            <w:r>
              <w:rPr>
                <w:rFonts w:hint="eastAsia" w:ascii="宋体" w:hAnsi="宋体" w:cs="宋体"/>
                <w:highlight w:val="none"/>
              </w:rPr>
              <w:t>（10分）</w:t>
            </w:r>
          </w:p>
        </w:tc>
        <w:tc>
          <w:tcPr>
            <w:tcW w:w="7329" w:type="dxa"/>
            <w:tcBorders>
              <w:top w:val="single" w:color="auto" w:sz="4" w:space="0"/>
              <w:left w:val="single" w:color="auto" w:sz="4" w:space="0"/>
              <w:bottom w:val="single" w:color="auto" w:sz="4" w:space="0"/>
            </w:tcBorders>
            <w:vAlign w:val="center"/>
          </w:tcPr>
          <w:p>
            <w:pPr>
              <w:adjustRightInd w:val="0"/>
              <w:snapToGrid w:val="0"/>
              <w:spacing w:line="360" w:lineRule="auto"/>
              <w:jc w:val="left"/>
              <w:rPr>
                <w:highlight w:val="none"/>
              </w:rPr>
            </w:pPr>
            <w:r>
              <w:rPr>
                <w:rFonts w:hint="eastAsia"/>
                <w:highlight w:val="none"/>
                <w:lang w:val="zh-CN"/>
              </w:rPr>
              <w:t>针对本项目采购需求，编制具体、详细的《公益广告制作》（6部）制作服务方案、6个广告具体内容创意。</w:t>
            </w:r>
          </w:p>
          <w:p>
            <w:pPr>
              <w:adjustRightInd w:val="0"/>
              <w:snapToGrid w:val="0"/>
              <w:spacing w:line="360" w:lineRule="auto"/>
              <w:jc w:val="left"/>
              <w:rPr>
                <w:highlight w:val="none"/>
                <w:lang w:val="zh-CN"/>
              </w:rPr>
            </w:pPr>
            <w:r>
              <w:rPr>
                <w:rFonts w:hint="eastAsia"/>
                <w:highlight w:val="none"/>
                <w:lang w:val="zh-CN"/>
              </w:rPr>
              <w:t>1、针对本项目采购需求，编制具体、详细的制作服务方案、策划方案、媒体推广方案优秀的、可实施性强的、可在省级及以上媒体推广的，得(7-10]分;</w:t>
            </w:r>
          </w:p>
          <w:p>
            <w:pPr>
              <w:adjustRightInd w:val="0"/>
              <w:snapToGrid w:val="0"/>
              <w:spacing w:line="360" w:lineRule="auto"/>
              <w:jc w:val="left"/>
              <w:rPr>
                <w:highlight w:val="none"/>
                <w:lang w:val="zh-CN"/>
              </w:rPr>
            </w:pPr>
            <w:r>
              <w:rPr>
                <w:rFonts w:hint="eastAsia"/>
                <w:highlight w:val="none"/>
                <w:lang w:val="zh-CN"/>
              </w:rPr>
              <w:t>2、编制的制作服务方案、策划方案、媒体推广方案良好的、可在市级媒体上推广的，得(4-7]分;</w:t>
            </w:r>
          </w:p>
          <w:p>
            <w:pPr>
              <w:adjustRightInd w:val="0"/>
              <w:snapToGrid w:val="0"/>
              <w:spacing w:line="360" w:lineRule="auto"/>
              <w:jc w:val="left"/>
              <w:rPr>
                <w:highlight w:val="none"/>
                <w:lang w:val="zh-CN"/>
              </w:rPr>
            </w:pPr>
            <w:r>
              <w:rPr>
                <w:rFonts w:hint="eastAsia"/>
                <w:highlight w:val="none"/>
                <w:lang w:val="zh-CN"/>
              </w:rPr>
              <w:t>3、编制的制作服务方案、策划方案、媒体推广方案一般的、未标明在国家、省、市级媒体上推广的，得(</w:t>
            </w:r>
            <w:r>
              <w:rPr>
                <w:rFonts w:hint="eastAsia"/>
                <w:highlight w:val="none"/>
              </w:rPr>
              <w:t>1</w:t>
            </w:r>
            <w:r>
              <w:rPr>
                <w:rFonts w:hint="eastAsia"/>
                <w:highlight w:val="none"/>
                <w:lang w:val="zh-CN"/>
              </w:rPr>
              <w:t>-4]分。</w:t>
            </w:r>
          </w:p>
          <w:p>
            <w:pPr>
              <w:pStyle w:val="2"/>
              <w:rPr>
                <w:highlight w:val="none"/>
              </w:rPr>
            </w:pPr>
            <w:r>
              <w:rPr>
                <w:rFonts w:hint="eastAsia" w:ascii="宋体"/>
                <w:szCs w:val="21"/>
                <w:highlight w:val="none"/>
              </w:rPr>
              <w:t>4、未提供得0分。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trPr>
        <w:tc>
          <w:tcPr>
            <w:tcW w:w="1006" w:type="dxa"/>
            <w:vMerge w:val="continue"/>
            <w:tcBorders>
              <w:right w:val="single" w:color="auto" w:sz="4" w:space="0"/>
            </w:tcBorders>
            <w:vAlign w:val="center"/>
          </w:tcPr>
          <w:p>
            <w:pPr>
              <w:widowControl/>
              <w:spacing w:line="360" w:lineRule="exact"/>
              <w:jc w:val="center"/>
              <w:rPr>
                <w:rFonts w:ascii="宋体" w:hAnsi="宋体"/>
                <w:szCs w:val="21"/>
                <w:highlight w:val="none"/>
              </w:rPr>
            </w:pPr>
          </w:p>
        </w:tc>
        <w:tc>
          <w:tcPr>
            <w:tcW w:w="943" w:type="dxa"/>
            <w:tcBorders>
              <w:left w:val="single" w:color="auto" w:sz="4" w:space="0"/>
              <w:right w:val="single" w:color="auto" w:sz="4" w:space="0"/>
            </w:tcBorders>
            <w:vAlign w:val="center"/>
          </w:tcPr>
          <w:p>
            <w:pPr>
              <w:pStyle w:val="21"/>
              <w:spacing w:line="360" w:lineRule="auto"/>
              <w:jc w:val="center"/>
              <w:rPr>
                <w:rFonts w:hAnsi="宋体" w:cs="仿宋_GB2312"/>
                <w:kern w:val="2"/>
                <w:szCs w:val="21"/>
                <w:highlight w:val="none"/>
                <w:lang w:val="zh-CN"/>
              </w:rPr>
            </w:pPr>
            <w:r>
              <w:rPr>
                <w:rFonts w:hint="eastAsia" w:hAnsi="宋体" w:cs="仿宋_GB2312"/>
                <w:kern w:val="2"/>
                <w:szCs w:val="21"/>
                <w:highlight w:val="none"/>
                <w:lang w:val="zh-CN"/>
              </w:rPr>
              <w:t>项目理解</w:t>
            </w:r>
          </w:p>
          <w:p>
            <w:pPr>
              <w:pStyle w:val="21"/>
              <w:spacing w:line="360" w:lineRule="auto"/>
              <w:jc w:val="center"/>
              <w:rPr>
                <w:szCs w:val="21"/>
                <w:highlight w:val="none"/>
              </w:rPr>
            </w:pPr>
            <w:r>
              <w:rPr>
                <w:rFonts w:hint="eastAsia" w:hAnsi="宋体" w:cs="仿宋_GB2312"/>
                <w:kern w:val="2"/>
                <w:szCs w:val="21"/>
                <w:highlight w:val="none"/>
              </w:rPr>
              <w:t>(10分)</w:t>
            </w:r>
          </w:p>
        </w:tc>
        <w:tc>
          <w:tcPr>
            <w:tcW w:w="7329" w:type="dxa"/>
            <w:tcBorders>
              <w:top w:val="single" w:color="auto" w:sz="4" w:space="0"/>
              <w:left w:val="single" w:color="auto" w:sz="4" w:space="0"/>
              <w:bottom w:val="single" w:color="auto" w:sz="4" w:space="0"/>
            </w:tcBorders>
            <w:vAlign w:val="center"/>
          </w:tcPr>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供应商能够充分理解该项目需求包括但不限于</w:t>
            </w:r>
            <w:r>
              <w:rPr>
                <w:rFonts w:hint="eastAsia" w:asciiTheme="minorEastAsia" w:hAnsiTheme="minorEastAsia" w:eastAsiaTheme="minorEastAsia" w:cstheme="minorEastAsia"/>
                <w:szCs w:val="21"/>
                <w:highlight w:val="none"/>
                <w:lang w:val="zh-CN"/>
              </w:rPr>
              <w:t>选题制作、相关故事情节、宣传需求、公益广告内容把握</w:t>
            </w:r>
            <w:r>
              <w:rPr>
                <w:rFonts w:hint="eastAsia" w:hAnsi="宋体" w:cs="仿宋_GB2312"/>
                <w:kern w:val="2"/>
                <w:szCs w:val="21"/>
                <w:highlight w:val="none"/>
                <w:lang w:val="zh-CN"/>
              </w:rPr>
              <w:t>针对项目有较为详尽的需求分析，分为</w:t>
            </w:r>
            <w:r>
              <w:rPr>
                <w:rFonts w:hint="eastAsia" w:hAnsi="宋体" w:cs="仿宋_GB2312"/>
                <w:kern w:val="2"/>
                <w:szCs w:val="21"/>
                <w:highlight w:val="none"/>
              </w:rPr>
              <w:t>4</w:t>
            </w:r>
            <w:r>
              <w:rPr>
                <w:rFonts w:hint="eastAsia" w:hAnsi="宋体" w:cs="仿宋_GB2312"/>
                <w:kern w:val="2"/>
                <w:szCs w:val="21"/>
                <w:highlight w:val="none"/>
                <w:lang w:val="zh-CN"/>
              </w:rPr>
              <w:t>等：</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1、对项目需求理解透彻、全面,详细阐述为用户提供基于项目前期的策划设计服务、项目中期的拍摄制作服务、到项目后期的宣传发布服务,得(</w:t>
            </w:r>
            <w:r>
              <w:rPr>
                <w:rFonts w:hint="eastAsia" w:hAnsi="宋体" w:cs="仿宋_GB2312"/>
                <w:kern w:val="2"/>
                <w:szCs w:val="21"/>
                <w:highlight w:val="none"/>
              </w:rPr>
              <w:t>7</w:t>
            </w:r>
            <w:r>
              <w:rPr>
                <w:rFonts w:hint="eastAsia" w:hAnsi="宋体" w:cs="仿宋_GB2312"/>
                <w:kern w:val="2"/>
                <w:szCs w:val="21"/>
                <w:highlight w:val="none"/>
                <w:lang w:val="zh-CN"/>
              </w:rPr>
              <w:t>-</w:t>
            </w:r>
            <w:r>
              <w:rPr>
                <w:rFonts w:hint="eastAsia" w:hAnsi="宋体" w:cs="仿宋_GB2312"/>
                <w:kern w:val="2"/>
                <w:szCs w:val="21"/>
                <w:highlight w:val="none"/>
              </w:rPr>
              <w:t>10</w:t>
            </w:r>
            <w:r>
              <w:rPr>
                <w:rFonts w:hint="eastAsia" w:hAnsi="宋体" w:cs="仿宋_GB2312"/>
                <w:kern w:val="2"/>
                <w:szCs w:val="21"/>
                <w:highlight w:val="none"/>
                <w:lang w:val="zh-CN"/>
              </w:rPr>
              <w:t>]分;</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2、阐述内容完整,对需求的把握到位,实现需求的得(</w:t>
            </w:r>
            <w:r>
              <w:rPr>
                <w:rFonts w:hint="eastAsia" w:hAnsi="宋体" w:cs="仿宋_GB2312"/>
                <w:kern w:val="2"/>
                <w:szCs w:val="21"/>
                <w:highlight w:val="none"/>
              </w:rPr>
              <w:t>4</w:t>
            </w:r>
            <w:r>
              <w:rPr>
                <w:rFonts w:hint="eastAsia" w:hAnsi="宋体" w:cs="仿宋_GB2312"/>
                <w:kern w:val="2"/>
                <w:szCs w:val="21"/>
                <w:highlight w:val="none"/>
                <w:lang w:val="zh-CN"/>
              </w:rPr>
              <w:t>-</w:t>
            </w:r>
            <w:r>
              <w:rPr>
                <w:rFonts w:hint="eastAsia" w:hAnsi="宋体" w:cs="仿宋_GB2312"/>
                <w:kern w:val="2"/>
                <w:szCs w:val="21"/>
                <w:highlight w:val="none"/>
              </w:rPr>
              <w:t>7</w:t>
            </w:r>
            <w:r>
              <w:rPr>
                <w:rFonts w:hint="eastAsia" w:hAnsi="宋体" w:cs="仿宋_GB2312"/>
                <w:kern w:val="2"/>
                <w:szCs w:val="21"/>
                <w:highlight w:val="none"/>
                <w:lang w:val="zh-CN"/>
              </w:rPr>
              <w:t>]分;</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3、阐述内容基本完整,对需求的把握基本到位,基本实现需求的得(1-</w:t>
            </w:r>
            <w:r>
              <w:rPr>
                <w:rFonts w:hint="eastAsia" w:hAnsi="宋体" w:cs="仿宋_GB2312"/>
                <w:kern w:val="2"/>
                <w:szCs w:val="21"/>
                <w:highlight w:val="none"/>
              </w:rPr>
              <w:t>4</w:t>
            </w:r>
            <w:r>
              <w:rPr>
                <w:rFonts w:hint="eastAsia" w:hAnsi="宋体" w:cs="仿宋_GB2312"/>
                <w:kern w:val="2"/>
                <w:szCs w:val="21"/>
                <w:highlight w:val="none"/>
                <w:lang w:val="zh-CN"/>
              </w:rPr>
              <w:t>]分。</w:t>
            </w:r>
          </w:p>
          <w:p>
            <w:pPr>
              <w:pStyle w:val="21"/>
              <w:spacing w:line="360" w:lineRule="auto"/>
              <w:rPr>
                <w:rFonts w:hAnsi="宋体"/>
                <w:szCs w:val="21"/>
                <w:highlight w:val="none"/>
              </w:rPr>
            </w:pPr>
            <w:r>
              <w:rPr>
                <w:rFonts w:hint="eastAsia"/>
                <w:szCs w:val="21"/>
                <w:highlight w:val="none"/>
              </w:rPr>
              <w:t>4、未提供得0分。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0" w:hRule="atLeast"/>
        </w:trPr>
        <w:tc>
          <w:tcPr>
            <w:tcW w:w="1006" w:type="dxa"/>
            <w:vMerge w:val="continue"/>
            <w:tcBorders>
              <w:right w:val="single" w:color="auto" w:sz="4" w:space="0"/>
            </w:tcBorders>
            <w:vAlign w:val="center"/>
          </w:tcPr>
          <w:p>
            <w:pPr>
              <w:widowControl/>
              <w:spacing w:line="360" w:lineRule="exact"/>
              <w:jc w:val="center"/>
              <w:rPr>
                <w:rFonts w:ascii="宋体" w:hAnsi="宋体"/>
                <w:szCs w:val="21"/>
                <w:highlight w:val="none"/>
              </w:rPr>
            </w:pPr>
          </w:p>
        </w:tc>
        <w:tc>
          <w:tcPr>
            <w:tcW w:w="943" w:type="dxa"/>
            <w:tcBorders>
              <w:left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lang w:val="zh-CN"/>
              </w:rPr>
              <w:t>保障措施的完整性、可行性</w:t>
            </w:r>
          </w:p>
          <w:p>
            <w:pPr>
              <w:jc w:val="center"/>
              <w:rPr>
                <w:rFonts w:ascii="宋体" w:hAnsi="宋体" w:cs="仿宋_GB2312"/>
                <w:szCs w:val="21"/>
                <w:highlight w:val="none"/>
                <w:lang w:val="zh-CN"/>
              </w:rPr>
            </w:pPr>
            <w:r>
              <w:rPr>
                <w:rFonts w:hint="eastAsia" w:asciiTheme="minorEastAsia" w:hAnsiTheme="minorEastAsia" w:eastAsiaTheme="minorEastAsia" w:cstheme="minorEastAsia"/>
                <w:highlight w:val="none"/>
              </w:rPr>
              <w:t>（5分）</w:t>
            </w:r>
          </w:p>
        </w:tc>
        <w:tc>
          <w:tcPr>
            <w:tcW w:w="7329" w:type="dxa"/>
            <w:tcBorders>
              <w:top w:val="single" w:color="auto" w:sz="4" w:space="0"/>
              <w:left w:val="single" w:color="auto" w:sz="4" w:space="0"/>
              <w:bottom w:val="single" w:color="auto" w:sz="4" w:space="0"/>
            </w:tcBorders>
            <w:shd w:val="clear" w:color="auto" w:fill="auto"/>
            <w:vAlign w:val="center"/>
          </w:tcPr>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就保障措施的完整性、可行性进行横向对比：</w:t>
            </w:r>
          </w:p>
          <w:p>
            <w:pPr>
              <w:pStyle w:val="21"/>
              <w:numPr>
                <w:ilvl w:val="0"/>
                <w:numId w:val="7"/>
              </w:numPr>
              <w:spacing w:line="360" w:lineRule="auto"/>
              <w:rPr>
                <w:rFonts w:hint="eastAsia" w:hAnsi="宋体" w:cs="仿宋_GB2312"/>
                <w:kern w:val="2"/>
                <w:szCs w:val="21"/>
                <w:highlight w:val="none"/>
                <w:lang w:val="zh-CN"/>
              </w:rPr>
            </w:pPr>
            <w:r>
              <w:rPr>
                <w:rFonts w:hint="eastAsia" w:hAnsi="宋体" w:cs="仿宋_GB2312"/>
                <w:kern w:val="2"/>
                <w:szCs w:val="21"/>
                <w:highlight w:val="none"/>
                <w:lang w:val="zh-CN"/>
              </w:rPr>
              <w:t>提供的实施策略及关键问题解决方法、质量保证措施、进度控制和保密措施，完整优秀可行性强的得：(3-5]分；</w:t>
            </w:r>
          </w:p>
          <w:p>
            <w:pPr>
              <w:pStyle w:val="21"/>
              <w:numPr>
                <w:ilvl w:val="0"/>
                <w:numId w:val="0"/>
              </w:numPr>
              <w:spacing w:line="360" w:lineRule="auto"/>
              <w:rPr>
                <w:rFonts w:hAnsi="宋体" w:cs="仿宋_GB2312"/>
                <w:kern w:val="2"/>
                <w:szCs w:val="21"/>
                <w:highlight w:val="none"/>
                <w:lang w:val="zh-CN"/>
              </w:rPr>
            </w:pPr>
            <w:r>
              <w:rPr>
                <w:rFonts w:hint="eastAsia" w:hAnsi="宋体" w:cs="仿宋_GB2312"/>
                <w:kern w:val="2"/>
                <w:szCs w:val="21"/>
                <w:highlight w:val="none"/>
                <w:lang w:val="en-US" w:eastAsia="zh-CN"/>
              </w:rPr>
              <w:t>2、</w:t>
            </w:r>
            <w:r>
              <w:rPr>
                <w:rFonts w:hint="eastAsia" w:hAnsi="宋体" w:cs="仿宋_GB2312"/>
                <w:kern w:val="2"/>
                <w:szCs w:val="21"/>
                <w:highlight w:val="none"/>
                <w:lang w:val="zh-CN"/>
              </w:rPr>
              <w:t>提供的实施策略及关键问题解决方法、质量保证措施、进度控制和保密措施，完整性可行性一般的得：(2-3]分；</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en-US" w:eastAsia="zh-CN"/>
              </w:rPr>
              <w:t>3、</w:t>
            </w:r>
            <w:r>
              <w:rPr>
                <w:rFonts w:hint="eastAsia" w:hAnsi="宋体" w:cs="仿宋_GB2312"/>
                <w:kern w:val="2"/>
                <w:szCs w:val="21"/>
                <w:highlight w:val="none"/>
                <w:lang w:val="zh-CN"/>
              </w:rPr>
              <w:t>提供的实施策略及关键问题解决方法、质量保证措施、进度控制和保密措施，不完善可行性差的得：(1-2]分；</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4、未提供得0分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0" w:hRule="atLeast"/>
        </w:trPr>
        <w:tc>
          <w:tcPr>
            <w:tcW w:w="1006" w:type="dxa"/>
            <w:vMerge w:val="continue"/>
            <w:tcBorders>
              <w:right w:val="single" w:color="auto" w:sz="4" w:space="0"/>
            </w:tcBorders>
            <w:vAlign w:val="center"/>
          </w:tcPr>
          <w:p>
            <w:pPr>
              <w:widowControl/>
              <w:spacing w:line="360" w:lineRule="exact"/>
              <w:jc w:val="center"/>
              <w:rPr>
                <w:rFonts w:ascii="宋体" w:hAnsi="宋体"/>
                <w:szCs w:val="21"/>
                <w:highlight w:val="none"/>
              </w:rPr>
            </w:pPr>
          </w:p>
        </w:tc>
        <w:tc>
          <w:tcPr>
            <w:tcW w:w="943" w:type="dxa"/>
            <w:tcBorders>
              <w:left w:val="single" w:color="auto" w:sz="4" w:space="0"/>
              <w:right w:val="single" w:color="auto" w:sz="4" w:space="0"/>
            </w:tcBorders>
            <w:vAlign w:val="center"/>
          </w:tcPr>
          <w:p>
            <w:pPr>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制作推广方案创新性           （7分）</w:t>
            </w:r>
          </w:p>
        </w:tc>
        <w:tc>
          <w:tcPr>
            <w:tcW w:w="7329" w:type="dxa"/>
            <w:tcBorders>
              <w:top w:val="single" w:color="auto" w:sz="4" w:space="0"/>
              <w:left w:val="single" w:color="auto" w:sz="4" w:space="0"/>
              <w:bottom w:val="single" w:color="auto" w:sz="4" w:space="0"/>
            </w:tcBorders>
            <w:vAlign w:val="center"/>
          </w:tcPr>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就广告制作推广方案创新性进行横向对比：</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1、提供的广告制作推广方案创新、合理、可实施性强的得：(5-7]分；</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2、提供的广告制作推广方案创新性、合理性、可实施性一般的得：(3-5]分；</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3、提供的广告制作推广方案创新性差、不合理、可实施性差的得：(1-3]分；</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4、未提供得0分。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0" w:hRule="atLeast"/>
        </w:trPr>
        <w:tc>
          <w:tcPr>
            <w:tcW w:w="1006" w:type="dxa"/>
            <w:vMerge w:val="continue"/>
            <w:tcBorders>
              <w:right w:val="single" w:color="auto" w:sz="4" w:space="0"/>
            </w:tcBorders>
            <w:vAlign w:val="center"/>
          </w:tcPr>
          <w:p>
            <w:pPr>
              <w:widowControl/>
              <w:spacing w:line="360" w:lineRule="exact"/>
              <w:jc w:val="center"/>
              <w:rPr>
                <w:rFonts w:ascii="宋体" w:hAnsi="宋体"/>
                <w:szCs w:val="21"/>
                <w:highlight w:val="none"/>
              </w:rPr>
            </w:pPr>
          </w:p>
        </w:tc>
        <w:tc>
          <w:tcPr>
            <w:tcW w:w="943" w:type="dxa"/>
            <w:tcBorders>
              <w:left w:val="single" w:color="auto" w:sz="4" w:space="0"/>
              <w:right w:val="single" w:color="auto" w:sz="4" w:space="0"/>
            </w:tcBorders>
            <w:vAlign w:val="center"/>
          </w:tcPr>
          <w:p>
            <w:pPr>
              <w:pStyle w:val="21"/>
              <w:spacing w:line="360" w:lineRule="auto"/>
              <w:jc w:val="center"/>
              <w:rPr>
                <w:szCs w:val="21"/>
                <w:highlight w:val="none"/>
              </w:rPr>
            </w:pPr>
            <w:r>
              <w:rPr>
                <w:rFonts w:hint="eastAsia"/>
                <w:szCs w:val="21"/>
                <w:highlight w:val="none"/>
              </w:rPr>
              <w:t>人员配备</w:t>
            </w:r>
          </w:p>
          <w:p>
            <w:pPr>
              <w:pStyle w:val="21"/>
              <w:spacing w:line="360" w:lineRule="auto"/>
              <w:jc w:val="center"/>
              <w:rPr>
                <w:rFonts w:asciiTheme="minorEastAsia" w:hAnsiTheme="minorEastAsia" w:eastAsiaTheme="minorEastAsia" w:cstheme="minorEastAsia"/>
                <w:szCs w:val="21"/>
                <w:highlight w:val="none"/>
                <w:lang w:val="zh-CN"/>
              </w:rPr>
            </w:pPr>
            <w:r>
              <w:rPr>
                <w:rFonts w:hint="eastAsia" w:hAnsi="宋体" w:cs="仿宋_GB2312"/>
                <w:kern w:val="2"/>
                <w:szCs w:val="21"/>
                <w:highlight w:val="none"/>
              </w:rPr>
              <w:t>（8分）</w:t>
            </w:r>
          </w:p>
        </w:tc>
        <w:tc>
          <w:tcPr>
            <w:tcW w:w="7329" w:type="dxa"/>
            <w:tcBorders>
              <w:top w:val="single" w:color="auto" w:sz="4" w:space="0"/>
              <w:left w:val="single" w:color="auto" w:sz="4" w:space="0"/>
              <w:bottom w:val="single" w:color="auto" w:sz="4" w:space="0"/>
            </w:tcBorders>
            <w:vAlign w:val="center"/>
          </w:tcPr>
          <w:p>
            <w:pPr>
              <w:pStyle w:val="21"/>
              <w:spacing w:line="360" w:lineRule="auto"/>
              <w:rPr>
                <w:szCs w:val="21"/>
                <w:highlight w:val="none"/>
              </w:rPr>
            </w:pPr>
            <w:r>
              <w:rPr>
                <w:szCs w:val="21"/>
                <w:highlight w:val="none"/>
              </w:rPr>
              <w:t>1、拟投入本项目的服务人员需有明确的岗位职责、分工合理根据分工和机构设置的综合情况。执行团队人数</w:t>
            </w:r>
            <w:r>
              <w:rPr>
                <w:rFonts w:hint="eastAsia"/>
                <w:szCs w:val="21"/>
                <w:highlight w:val="none"/>
              </w:rPr>
              <w:t>10</w:t>
            </w:r>
            <w:r>
              <w:rPr>
                <w:szCs w:val="21"/>
                <w:highlight w:val="none"/>
              </w:rPr>
              <w:t>人以上得</w:t>
            </w:r>
            <w:r>
              <w:rPr>
                <w:rFonts w:hint="eastAsia"/>
                <w:szCs w:val="21"/>
                <w:highlight w:val="none"/>
              </w:rPr>
              <w:t>4</w:t>
            </w:r>
            <w:r>
              <w:rPr>
                <w:szCs w:val="21"/>
                <w:highlight w:val="none"/>
              </w:rPr>
              <w:t>分</w:t>
            </w:r>
            <w:r>
              <w:rPr>
                <w:rFonts w:hint="eastAsia"/>
                <w:szCs w:val="21"/>
                <w:highlight w:val="none"/>
              </w:rPr>
              <w:t>，5-10</w:t>
            </w:r>
            <w:r>
              <w:rPr>
                <w:szCs w:val="21"/>
                <w:highlight w:val="none"/>
              </w:rPr>
              <w:t>人得</w:t>
            </w:r>
            <w:r>
              <w:rPr>
                <w:rFonts w:hint="eastAsia"/>
                <w:szCs w:val="21"/>
                <w:highlight w:val="none"/>
              </w:rPr>
              <w:t>2</w:t>
            </w:r>
            <w:r>
              <w:rPr>
                <w:szCs w:val="21"/>
                <w:highlight w:val="none"/>
              </w:rPr>
              <w:t>分，</w:t>
            </w:r>
            <w:r>
              <w:rPr>
                <w:rFonts w:hint="eastAsia"/>
                <w:szCs w:val="21"/>
                <w:highlight w:val="none"/>
              </w:rPr>
              <w:t>5</w:t>
            </w:r>
            <w:r>
              <w:rPr>
                <w:szCs w:val="21"/>
                <w:highlight w:val="none"/>
              </w:rPr>
              <w:t>人以下不得分，需提供有效的劳动合同。</w:t>
            </w:r>
          </w:p>
          <w:p>
            <w:pPr>
              <w:adjustRightInd w:val="0"/>
              <w:snapToGrid w:val="0"/>
              <w:spacing w:line="360" w:lineRule="auto"/>
              <w:jc w:val="left"/>
              <w:rPr>
                <w:rFonts w:ascii="宋体" w:hAnsi="宋体" w:cs="仿宋_GB2312"/>
                <w:szCs w:val="21"/>
                <w:highlight w:val="none"/>
                <w:lang w:val="zh-CN"/>
              </w:rPr>
            </w:pPr>
            <w:r>
              <w:rPr>
                <w:rFonts w:ascii="宋体" w:hAnsi="Courier New"/>
                <w:kern w:val="0"/>
                <w:szCs w:val="21"/>
                <w:highlight w:val="none"/>
              </w:rPr>
              <w:t>2、执行团队中，正高职称1人得2分，副高职称1人得1分；本项最高得4分，须提供人员职称证书、202</w:t>
            </w:r>
            <w:r>
              <w:rPr>
                <w:rFonts w:hint="eastAsia" w:ascii="宋体" w:hAnsi="Courier New"/>
                <w:kern w:val="0"/>
                <w:szCs w:val="21"/>
                <w:highlight w:val="none"/>
              </w:rPr>
              <w:t>1</w:t>
            </w:r>
            <w:r>
              <w:rPr>
                <w:rFonts w:ascii="宋体" w:hAnsi="Courier New"/>
                <w:kern w:val="0"/>
                <w:szCs w:val="21"/>
                <w:highlight w:val="none"/>
              </w:rPr>
              <w:t>年1月1日以来任意三个月的社保证明、在职证明或劳动合同，未提供不得分。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0" w:hRule="atLeast"/>
        </w:trPr>
        <w:tc>
          <w:tcPr>
            <w:tcW w:w="1006" w:type="dxa"/>
            <w:vMerge w:val="continue"/>
            <w:tcBorders>
              <w:right w:val="single" w:color="auto" w:sz="4" w:space="0"/>
            </w:tcBorders>
            <w:vAlign w:val="center"/>
          </w:tcPr>
          <w:p>
            <w:pPr>
              <w:widowControl/>
              <w:spacing w:line="360" w:lineRule="exact"/>
              <w:jc w:val="center"/>
              <w:rPr>
                <w:rFonts w:ascii="宋体" w:hAnsi="宋体"/>
                <w:szCs w:val="21"/>
                <w:highlight w:val="none"/>
              </w:rPr>
            </w:pPr>
          </w:p>
        </w:tc>
        <w:tc>
          <w:tcPr>
            <w:tcW w:w="943" w:type="dxa"/>
            <w:tcBorders>
              <w:left w:val="single" w:color="auto" w:sz="4" w:space="0"/>
              <w:right w:val="single" w:color="auto" w:sz="4" w:space="0"/>
            </w:tcBorders>
            <w:vAlign w:val="center"/>
          </w:tcPr>
          <w:p>
            <w:pPr>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应急措施的可执行性和合理性</w:t>
            </w:r>
          </w:p>
          <w:p>
            <w:pPr>
              <w:jc w:val="center"/>
              <w:rPr>
                <w:rFonts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kern w:val="0"/>
                <w:szCs w:val="21"/>
                <w:highlight w:val="none"/>
                <w:lang w:val="zh-CN"/>
              </w:rPr>
              <w:t>（5分）</w:t>
            </w:r>
          </w:p>
        </w:tc>
        <w:tc>
          <w:tcPr>
            <w:tcW w:w="7329" w:type="dxa"/>
            <w:tcBorders>
              <w:top w:val="single" w:color="auto" w:sz="4" w:space="0"/>
              <w:left w:val="single" w:color="auto" w:sz="4" w:space="0"/>
              <w:bottom w:val="single" w:color="auto" w:sz="4" w:space="0"/>
            </w:tcBorders>
            <w:vAlign w:val="center"/>
          </w:tcPr>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就应急措施的可执行性和合理性进行横向对比：</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1、提供的应急措施，完整合理可执行性强的得：(3-5]分；</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2、提供的应急措施，合理性可执行性一般的得：(2-3]分；</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3、提供的应急措施，合理性可执行性差的得：(1-2]分；</w:t>
            </w:r>
          </w:p>
          <w:p>
            <w:pPr>
              <w:pStyle w:val="21"/>
              <w:spacing w:line="360" w:lineRule="auto"/>
              <w:rPr>
                <w:rFonts w:hAnsi="宋体" w:cs="仿宋_GB2312"/>
                <w:kern w:val="2"/>
                <w:szCs w:val="21"/>
                <w:highlight w:val="none"/>
                <w:lang w:val="zh-CN"/>
              </w:rPr>
            </w:pPr>
            <w:r>
              <w:rPr>
                <w:rFonts w:hint="eastAsia" w:hAnsi="宋体" w:cs="仿宋_GB2312"/>
                <w:kern w:val="2"/>
                <w:szCs w:val="21"/>
                <w:highlight w:val="none"/>
                <w:lang w:val="zh-CN"/>
              </w:rPr>
              <w:t>4、未提供得0分。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0" w:hRule="atLeast"/>
        </w:trPr>
        <w:tc>
          <w:tcPr>
            <w:tcW w:w="9278" w:type="dxa"/>
            <w:gridSpan w:val="3"/>
            <w:vAlign w:val="center"/>
          </w:tcPr>
          <w:p>
            <w:pPr>
              <w:pStyle w:val="21"/>
              <w:spacing w:line="360" w:lineRule="auto"/>
              <w:rPr>
                <w:szCs w:val="21"/>
                <w:highlight w:val="none"/>
              </w:rPr>
            </w:pPr>
            <w:r>
              <w:rPr>
                <w:rFonts w:hint="eastAsia"/>
                <w:szCs w:val="21"/>
                <w:highlight w:val="none"/>
              </w:rPr>
              <w:t>注：</w:t>
            </w:r>
            <w:r>
              <w:rPr>
                <w:rFonts w:hint="eastAsia" w:hAnsi="宋体"/>
                <w:szCs w:val="21"/>
                <w:highlight w:val="none"/>
              </w:rPr>
              <w:t>供应商可根据自身情况提供下属机构或分公司的奖项、业绩等证明材料作为评审依据（若为下属机构或分公司的需提供控股关系证明或加盖总公司公章的承诺函）。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24" w:hRule="atLeast"/>
        </w:trPr>
        <w:tc>
          <w:tcPr>
            <w:tcW w:w="1006" w:type="dxa"/>
            <w:vAlign w:val="center"/>
          </w:tcPr>
          <w:p>
            <w:pPr>
              <w:spacing w:line="400" w:lineRule="exact"/>
              <w:jc w:val="center"/>
              <w:rPr>
                <w:rFonts w:ascii="宋体" w:hAnsi="宋体"/>
                <w:szCs w:val="21"/>
                <w:highlight w:val="none"/>
              </w:rPr>
            </w:pPr>
            <w:r>
              <w:rPr>
                <w:rFonts w:ascii="宋体" w:hAnsi="宋体"/>
                <w:szCs w:val="21"/>
                <w:highlight w:val="none"/>
              </w:rPr>
              <w:t>34.</w:t>
            </w:r>
            <w:r>
              <w:rPr>
                <w:rFonts w:hint="eastAsia" w:ascii="宋体" w:hAnsi="宋体"/>
                <w:szCs w:val="21"/>
                <w:highlight w:val="none"/>
              </w:rPr>
              <w:t>2</w:t>
            </w:r>
          </w:p>
        </w:tc>
        <w:tc>
          <w:tcPr>
            <w:tcW w:w="8272" w:type="dxa"/>
            <w:gridSpan w:val="2"/>
            <w:vAlign w:val="center"/>
          </w:tcPr>
          <w:p>
            <w:pPr>
              <w:spacing w:line="360" w:lineRule="auto"/>
              <w:ind w:right="160"/>
              <w:rPr>
                <w:rFonts w:ascii="宋体" w:hAnsi="宋体"/>
                <w:szCs w:val="21"/>
                <w:highlight w:val="none"/>
              </w:rPr>
            </w:pPr>
            <w:r>
              <w:rPr>
                <w:rFonts w:hint="eastAsia" w:ascii="宋体" w:hAnsi="宋体" w:cs="宋体"/>
                <w:szCs w:val="21"/>
                <w:highlight w:val="none"/>
              </w:rPr>
              <w:t>各个供应商最终得分为所有评委各项打分的总和，计分过程中按四舍五入的法则，取至小数点后3位，最终结果取至小数点后2位，总计得分最高的前1-3名供应商为本项目成交候选人。</w:t>
            </w:r>
            <w:r>
              <w:rPr>
                <w:rFonts w:hint="eastAsia" w:ascii="宋体" w:hAnsi="宋体"/>
                <w:szCs w:val="21"/>
                <w:highlight w:val="none"/>
              </w:rPr>
              <w:t>第一成交候选人，经采购人确认后为成交人。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3" w:hRule="atLeast"/>
        </w:trPr>
        <w:tc>
          <w:tcPr>
            <w:tcW w:w="1006" w:type="dxa"/>
            <w:tcBorders>
              <w:bottom w:val="single" w:color="auto" w:sz="12" w:space="0"/>
            </w:tcBorders>
            <w:vAlign w:val="center"/>
          </w:tcPr>
          <w:p>
            <w:pPr>
              <w:spacing w:line="400" w:lineRule="exact"/>
              <w:jc w:val="center"/>
              <w:rPr>
                <w:rFonts w:ascii="宋体" w:hAnsi="宋体"/>
                <w:szCs w:val="21"/>
                <w:highlight w:val="none"/>
              </w:rPr>
            </w:pPr>
            <w:r>
              <w:rPr>
                <w:rFonts w:ascii="宋体" w:hAnsi="宋体"/>
                <w:szCs w:val="21"/>
                <w:highlight w:val="none"/>
              </w:rPr>
              <w:t>3</w:t>
            </w: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3</w:t>
            </w:r>
          </w:p>
        </w:tc>
        <w:tc>
          <w:tcPr>
            <w:tcW w:w="8272" w:type="dxa"/>
            <w:gridSpan w:val="2"/>
            <w:tcBorders>
              <w:bottom w:val="single" w:color="auto" w:sz="12" w:space="0"/>
            </w:tcBorders>
          </w:tcPr>
          <w:p>
            <w:pPr>
              <w:spacing w:line="400" w:lineRule="exact"/>
              <w:ind w:right="105" w:rightChars="50"/>
              <w:rPr>
                <w:rFonts w:ascii="宋体" w:hAnsi="宋体"/>
                <w:b/>
                <w:spacing w:val="-2"/>
                <w:szCs w:val="21"/>
                <w:highlight w:val="none"/>
              </w:rPr>
            </w:pPr>
            <w:r>
              <w:rPr>
                <w:rFonts w:hint="eastAsia" w:ascii="宋体" w:hAnsi="宋体"/>
                <w:spacing w:val="-2"/>
                <w:szCs w:val="21"/>
                <w:highlight w:val="none"/>
              </w:rPr>
              <w:t>如成交人不按竞争性磋商文件约定谈签合同，</w:t>
            </w:r>
            <w:r>
              <w:rPr>
                <w:rFonts w:hint="eastAsia" w:ascii="宋体" w:hAnsi="宋体" w:cs="宋体"/>
                <w:spacing w:val="-2"/>
                <w:szCs w:val="21"/>
                <w:highlight w:val="none"/>
              </w:rPr>
              <w:t>采购代理机构</w:t>
            </w:r>
            <w:r>
              <w:rPr>
                <w:rFonts w:hint="eastAsia" w:ascii="宋体" w:hAnsi="宋体"/>
                <w:spacing w:val="-2"/>
                <w:szCs w:val="21"/>
                <w:highlight w:val="none"/>
              </w:rPr>
              <w:t>和采购人将报请取消其中标资格。采购人可在候选中标单位中按顺序重新选定成交单位。</w:t>
            </w:r>
          </w:p>
        </w:tc>
      </w:tr>
    </w:tbl>
    <w:p>
      <w:pPr>
        <w:pStyle w:val="2"/>
        <w:rPr>
          <w:szCs w:val="21"/>
          <w:highlight w:val="none"/>
        </w:rPr>
      </w:pPr>
    </w:p>
    <w:p>
      <w:pPr>
        <w:rPr>
          <w:rFonts w:ascii="宋体" w:hAnsi="宋体"/>
          <w:b/>
          <w:szCs w:val="21"/>
          <w:highlight w:val="none"/>
        </w:rPr>
      </w:pPr>
    </w:p>
    <w:p>
      <w:pPr>
        <w:rPr>
          <w:rFonts w:ascii="宋体" w:hAnsi="宋体"/>
          <w:b/>
          <w:szCs w:val="21"/>
          <w:highlight w:val="none"/>
        </w:rPr>
      </w:pPr>
      <w:bookmarkStart w:id="55" w:name="_Toc24804"/>
      <w:r>
        <w:rPr>
          <w:rFonts w:hint="eastAsia" w:ascii="宋体" w:hAnsi="宋体"/>
          <w:b/>
          <w:szCs w:val="21"/>
          <w:highlight w:val="none"/>
        </w:rPr>
        <w:br w:type="page"/>
      </w:r>
    </w:p>
    <w:p>
      <w:pPr>
        <w:spacing w:line="440" w:lineRule="exact"/>
        <w:jc w:val="center"/>
        <w:outlineLvl w:val="1"/>
        <w:rPr>
          <w:rFonts w:ascii="宋体" w:hAnsi="宋体"/>
          <w:b/>
          <w:szCs w:val="21"/>
          <w:highlight w:val="none"/>
        </w:rPr>
      </w:pPr>
      <w:r>
        <w:rPr>
          <w:rFonts w:hint="eastAsia" w:ascii="宋体" w:hAnsi="宋体"/>
          <w:b/>
          <w:szCs w:val="21"/>
          <w:highlight w:val="none"/>
        </w:rPr>
        <w:t>九、</w:t>
      </w:r>
      <w:bookmarkEnd w:id="48"/>
      <w:bookmarkEnd w:id="49"/>
      <w:r>
        <w:rPr>
          <w:rFonts w:hint="eastAsia" w:ascii="宋体" w:hAnsi="宋体"/>
          <w:b/>
          <w:szCs w:val="21"/>
          <w:highlight w:val="none"/>
        </w:rPr>
        <w:t>授予合同</w:t>
      </w:r>
      <w:bookmarkEnd w:id="55"/>
    </w:p>
    <w:p>
      <w:pPr>
        <w:spacing w:line="440" w:lineRule="exact"/>
        <w:rPr>
          <w:rFonts w:ascii="宋体" w:hAnsi="宋体"/>
          <w:b/>
          <w:szCs w:val="21"/>
          <w:highlight w:val="none"/>
        </w:rPr>
      </w:pPr>
      <w:r>
        <w:rPr>
          <w:rFonts w:ascii="宋体" w:hAnsi="宋体"/>
          <w:b/>
          <w:szCs w:val="21"/>
          <w:highlight w:val="none"/>
        </w:rPr>
        <w:t>35.</w:t>
      </w:r>
      <w:r>
        <w:rPr>
          <w:rFonts w:hint="eastAsia" w:ascii="宋体" w:hAnsi="宋体"/>
          <w:b/>
          <w:szCs w:val="21"/>
          <w:highlight w:val="none"/>
        </w:rPr>
        <w:t>成交信息</w:t>
      </w:r>
    </w:p>
    <w:p>
      <w:pPr>
        <w:spacing w:line="440" w:lineRule="exact"/>
        <w:rPr>
          <w:rFonts w:ascii="宋体" w:hAnsi="宋体"/>
          <w:szCs w:val="21"/>
          <w:highlight w:val="none"/>
        </w:rPr>
      </w:pPr>
      <w:r>
        <w:rPr>
          <w:rFonts w:ascii="宋体" w:hAnsi="宋体"/>
          <w:szCs w:val="21"/>
          <w:highlight w:val="none"/>
        </w:rPr>
        <w:t>35.1</w:t>
      </w:r>
      <w:r>
        <w:rPr>
          <w:rFonts w:hint="eastAsia" w:ascii="宋体" w:hAnsi="宋体"/>
          <w:szCs w:val="21"/>
          <w:highlight w:val="none"/>
        </w:rPr>
        <w:t>采购人根据磋商小组的推荐意见，最终确定成交供应商,</w:t>
      </w:r>
      <w:r>
        <w:rPr>
          <w:rFonts w:hint="eastAsia" w:ascii="宋体" w:hAnsi="宋体" w:cs="宋体"/>
          <w:szCs w:val="21"/>
          <w:highlight w:val="none"/>
        </w:rPr>
        <w:t xml:space="preserve"> 在《中国招标投标公共服务平台》、《河南省政府采购网》、《河南省公共资源交易中心网》</w:t>
      </w:r>
      <w:r>
        <w:rPr>
          <w:rFonts w:hint="eastAsia" w:ascii="宋体" w:hAnsi="宋体"/>
          <w:szCs w:val="21"/>
          <w:highlight w:val="none"/>
        </w:rPr>
        <w:t>予以公告，并签发《成交通知书》；</w:t>
      </w:r>
    </w:p>
    <w:p>
      <w:pPr>
        <w:spacing w:line="440" w:lineRule="exact"/>
        <w:rPr>
          <w:rFonts w:ascii="宋体" w:hAnsi="宋体"/>
          <w:spacing w:val="-4"/>
          <w:szCs w:val="21"/>
          <w:highlight w:val="none"/>
        </w:rPr>
      </w:pPr>
      <w:r>
        <w:rPr>
          <w:rFonts w:ascii="宋体" w:hAnsi="宋体"/>
          <w:szCs w:val="21"/>
          <w:highlight w:val="none"/>
        </w:rPr>
        <w:t>35.2</w:t>
      </w:r>
      <w:r>
        <w:rPr>
          <w:rFonts w:hint="eastAsia" w:ascii="宋体" w:hAnsi="宋体"/>
          <w:spacing w:val="-4"/>
          <w:szCs w:val="21"/>
          <w:highlight w:val="none"/>
        </w:rPr>
        <w:t>对未成交供应商，采购代理机构不对未成交原因作出解释，同时亦不退还响应文件；</w:t>
      </w:r>
    </w:p>
    <w:p>
      <w:pPr>
        <w:spacing w:line="440" w:lineRule="exact"/>
        <w:rPr>
          <w:rFonts w:ascii="宋体" w:hAnsi="宋体"/>
          <w:szCs w:val="21"/>
          <w:highlight w:val="none"/>
        </w:rPr>
      </w:pPr>
      <w:r>
        <w:rPr>
          <w:rFonts w:ascii="宋体" w:hAnsi="宋体"/>
          <w:szCs w:val="21"/>
          <w:highlight w:val="none"/>
        </w:rPr>
        <w:t>35.3</w:t>
      </w:r>
      <w:r>
        <w:rPr>
          <w:rFonts w:hint="eastAsia" w:ascii="宋体" w:hAnsi="宋体"/>
          <w:szCs w:val="21"/>
          <w:highlight w:val="none"/>
        </w:rPr>
        <w:t>《成交通知书》将作为签订合同的重要依据。</w:t>
      </w:r>
    </w:p>
    <w:p>
      <w:pPr>
        <w:spacing w:line="440" w:lineRule="exact"/>
        <w:rPr>
          <w:rFonts w:ascii="宋体" w:hAnsi="宋体"/>
          <w:b/>
          <w:bCs/>
          <w:szCs w:val="21"/>
          <w:highlight w:val="none"/>
        </w:rPr>
      </w:pPr>
      <w:r>
        <w:rPr>
          <w:rFonts w:ascii="宋体" w:hAnsi="宋体"/>
          <w:b/>
          <w:bCs/>
          <w:szCs w:val="21"/>
          <w:highlight w:val="none"/>
        </w:rPr>
        <w:t>36</w:t>
      </w:r>
      <w:r>
        <w:rPr>
          <w:rFonts w:hint="eastAsia" w:ascii="宋体" w:hAnsi="宋体"/>
          <w:b/>
          <w:bCs/>
          <w:szCs w:val="21"/>
          <w:highlight w:val="none"/>
        </w:rPr>
        <w:t>．签订合同</w:t>
      </w:r>
    </w:p>
    <w:p>
      <w:pPr>
        <w:spacing w:line="440" w:lineRule="exact"/>
        <w:rPr>
          <w:rFonts w:ascii="宋体" w:hAnsi="宋体"/>
          <w:szCs w:val="21"/>
          <w:highlight w:val="none"/>
        </w:rPr>
      </w:pPr>
      <w:r>
        <w:rPr>
          <w:rFonts w:ascii="宋体" w:hAnsi="宋体"/>
          <w:szCs w:val="21"/>
          <w:highlight w:val="none"/>
        </w:rPr>
        <w:t>36.1</w:t>
      </w:r>
      <w:r>
        <w:rPr>
          <w:rFonts w:hint="eastAsia" w:ascii="宋体" w:hAnsi="宋体"/>
          <w:szCs w:val="21"/>
          <w:highlight w:val="none"/>
        </w:rPr>
        <w:t>采购人和成交供应商应当自成交通知书发出之日起</w:t>
      </w:r>
      <w:r>
        <w:rPr>
          <w:rFonts w:ascii="宋体" w:hAnsi="宋体"/>
          <w:szCs w:val="21"/>
          <w:highlight w:val="none"/>
        </w:rPr>
        <w:t>30</w:t>
      </w:r>
      <w:r>
        <w:rPr>
          <w:rFonts w:hint="eastAsia" w:ascii="宋体" w:hAnsi="宋体"/>
          <w:szCs w:val="21"/>
          <w:highlight w:val="none"/>
        </w:rPr>
        <w:t>日内按照磋商文件和成交供应商的响应文件订立书面合同；</w:t>
      </w:r>
    </w:p>
    <w:p>
      <w:pPr>
        <w:spacing w:line="440" w:lineRule="exact"/>
        <w:rPr>
          <w:rFonts w:ascii="宋体" w:hAnsi="宋体"/>
          <w:szCs w:val="21"/>
          <w:highlight w:val="none"/>
        </w:rPr>
      </w:pPr>
      <w:r>
        <w:rPr>
          <w:rFonts w:ascii="宋体" w:hAnsi="宋体"/>
          <w:szCs w:val="21"/>
          <w:highlight w:val="none"/>
        </w:rPr>
        <w:t>36.2</w:t>
      </w:r>
      <w:r>
        <w:rPr>
          <w:rFonts w:hint="eastAsia" w:ascii="宋体" w:hAnsi="宋体"/>
          <w:szCs w:val="21"/>
          <w:highlight w:val="none"/>
        </w:rPr>
        <w:t>成交供应商应按采购人指定的地点与其签订合同。</w:t>
      </w:r>
    </w:p>
    <w:p>
      <w:pPr>
        <w:spacing w:line="440" w:lineRule="exact"/>
        <w:rPr>
          <w:rFonts w:ascii="宋体" w:hAnsi="宋体"/>
          <w:b/>
          <w:bCs/>
          <w:szCs w:val="21"/>
          <w:highlight w:val="none"/>
        </w:rPr>
      </w:pPr>
      <w:r>
        <w:rPr>
          <w:rFonts w:ascii="宋体" w:hAnsi="宋体"/>
          <w:b/>
          <w:bCs/>
          <w:szCs w:val="21"/>
          <w:highlight w:val="none"/>
        </w:rPr>
        <w:t>37</w:t>
      </w:r>
      <w:r>
        <w:rPr>
          <w:rFonts w:hint="eastAsia" w:ascii="宋体" w:hAnsi="宋体"/>
          <w:b/>
          <w:bCs/>
          <w:szCs w:val="21"/>
          <w:highlight w:val="none"/>
        </w:rPr>
        <w:t>．成交服务费</w:t>
      </w:r>
    </w:p>
    <w:p>
      <w:pPr>
        <w:spacing w:line="440" w:lineRule="exact"/>
        <w:rPr>
          <w:rFonts w:ascii="宋体" w:hAnsi="宋体"/>
          <w:szCs w:val="21"/>
          <w:highlight w:val="none"/>
        </w:rPr>
      </w:pPr>
      <w:r>
        <w:rPr>
          <w:rFonts w:ascii="宋体" w:hAnsi="宋体"/>
          <w:szCs w:val="21"/>
          <w:highlight w:val="none"/>
        </w:rPr>
        <w:t>37.1</w:t>
      </w:r>
      <w:r>
        <w:rPr>
          <w:rFonts w:hint="eastAsia" w:ascii="宋体" w:hAnsi="宋体"/>
          <w:szCs w:val="21"/>
          <w:highlight w:val="none"/>
        </w:rPr>
        <w:t>成交服务费：参照国家发展和改革委员会办公厅《招标代理服务收费管理暂行办法》（计价格[2002]1980 号）和国家发改价格[2011]534 号文件规定的收费标准向成交人收取。</w:t>
      </w:r>
    </w:p>
    <w:p>
      <w:pPr>
        <w:spacing w:line="440" w:lineRule="exact"/>
        <w:jc w:val="center"/>
        <w:outlineLvl w:val="1"/>
        <w:rPr>
          <w:rFonts w:ascii="宋体" w:hAnsi="宋体"/>
          <w:b/>
          <w:szCs w:val="21"/>
          <w:highlight w:val="none"/>
        </w:rPr>
      </w:pPr>
      <w:bookmarkStart w:id="56" w:name="_Toc32030"/>
      <w:r>
        <w:rPr>
          <w:rFonts w:hint="eastAsia" w:ascii="宋体" w:hAnsi="宋体"/>
          <w:b/>
          <w:szCs w:val="21"/>
          <w:highlight w:val="none"/>
        </w:rPr>
        <w:t>十、付款方式</w:t>
      </w:r>
      <w:bookmarkEnd w:id="56"/>
    </w:p>
    <w:p>
      <w:pPr>
        <w:rPr>
          <w:rFonts w:ascii="宋体" w:hAnsi="宋体" w:cs="宋体"/>
          <w:kern w:val="0"/>
          <w:szCs w:val="21"/>
          <w:highlight w:val="none"/>
        </w:rPr>
      </w:pPr>
      <w:r>
        <w:rPr>
          <w:rFonts w:ascii="宋体" w:hAnsi="宋体"/>
          <w:b/>
          <w:szCs w:val="21"/>
          <w:highlight w:val="none"/>
        </w:rPr>
        <w:t>38.</w:t>
      </w:r>
      <w:r>
        <w:rPr>
          <w:rFonts w:hint="eastAsia" w:ascii="宋体" w:hAnsi="宋体"/>
          <w:b/>
          <w:szCs w:val="21"/>
          <w:highlight w:val="none"/>
        </w:rPr>
        <w:t>付款方式：</w:t>
      </w:r>
      <w:r>
        <w:rPr>
          <w:rFonts w:hint="eastAsia" w:ascii="宋体" w:hAnsi="宋体" w:cs="宋体"/>
          <w:kern w:val="0"/>
          <w:szCs w:val="21"/>
          <w:highlight w:val="none"/>
        </w:rPr>
        <w:t>签订合同后与业主协商</w:t>
      </w:r>
    </w:p>
    <w:p>
      <w:pPr>
        <w:spacing w:line="440" w:lineRule="exact"/>
        <w:jc w:val="center"/>
        <w:outlineLvl w:val="1"/>
        <w:rPr>
          <w:rFonts w:ascii="宋体" w:hAnsi="宋体"/>
          <w:b/>
          <w:szCs w:val="21"/>
          <w:highlight w:val="none"/>
        </w:rPr>
      </w:pPr>
      <w:bookmarkStart w:id="57" w:name="_Toc14581"/>
      <w:r>
        <w:rPr>
          <w:rFonts w:hint="eastAsia" w:ascii="宋体" w:hAnsi="宋体"/>
          <w:b/>
          <w:szCs w:val="21"/>
          <w:highlight w:val="none"/>
        </w:rPr>
        <w:t>十一、解决争议的办法</w:t>
      </w:r>
      <w:bookmarkEnd w:id="57"/>
    </w:p>
    <w:p>
      <w:pPr>
        <w:spacing w:line="440" w:lineRule="exact"/>
        <w:rPr>
          <w:rFonts w:ascii="宋体" w:hAnsi="宋体"/>
          <w:sz w:val="24"/>
          <w:highlight w:val="none"/>
        </w:rPr>
      </w:pPr>
      <w:r>
        <w:rPr>
          <w:rFonts w:ascii="宋体" w:hAnsi="宋体"/>
          <w:szCs w:val="21"/>
          <w:highlight w:val="none"/>
        </w:rPr>
        <w:t>39</w:t>
      </w:r>
      <w:r>
        <w:rPr>
          <w:rFonts w:hint="eastAsia" w:ascii="宋体" w:hAnsi="宋体"/>
          <w:szCs w:val="21"/>
          <w:highlight w:val="none"/>
        </w:rPr>
        <w:t>．出现争议时，双方可协商解决，不能达成一致意见时，可通过诉讼方式由采购人所在地法院裁决。</w:t>
      </w:r>
      <w:r>
        <w:rPr>
          <w:rFonts w:ascii="宋体" w:hAnsi="宋体"/>
          <w:szCs w:val="21"/>
          <w:highlight w:val="none"/>
        </w:rPr>
        <w:br w:type="page"/>
      </w:r>
      <w:bookmarkStart w:id="58" w:name="_Toc463852809"/>
    </w:p>
    <w:p>
      <w:pPr>
        <w:pStyle w:val="4"/>
        <w:rPr>
          <w:rFonts w:ascii="宋体" w:hAnsi="宋体" w:eastAsia="宋体"/>
          <w:kern w:val="2"/>
          <w:highlight w:val="none"/>
        </w:rPr>
      </w:pPr>
      <w:bookmarkStart w:id="59" w:name="_bookmark5"/>
      <w:bookmarkEnd w:id="59"/>
      <w:bookmarkStart w:id="60" w:name="_Toc31628"/>
      <w:r>
        <w:rPr>
          <w:rFonts w:hint="eastAsia" w:ascii="宋体" w:hAnsi="宋体" w:eastAsia="宋体"/>
          <w:kern w:val="2"/>
          <w:highlight w:val="none"/>
        </w:rPr>
        <w:t>第三章 合同格式</w:t>
      </w:r>
      <w:bookmarkEnd w:id="60"/>
    </w:p>
    <w:bookmarkEnd w:id="58"/>
    <w:p>
      <w:pPr>
        <w:jc w:val="center"/>
        <w:rPr>
          <w:rFonts w:ascii="宋体" w:hAnsi="宋体"/>
          <w:b/>
          <w:sz w:val="28"/>
          <w:szCs w:val="28"/>
          <w:highlight w:val="none"/>
        </w:rPr>
      </w:pPr>
      <w:bookmarkStart w:id="61" w:name="_Toc27908"/>
      <w:bookmarkStart w:id="62" w:name="_Toc463852810"/>
      <w:r>
        <w:rPr>
          <w:rFonts w:hint="eastAsia"/>
          <w:highlight w:val="none"/>
        </w:rPr>
        <w:t>（此合同仅供参考，实际以签订为准）</w:t>
      </w:r>
    </w:p>
    <w:p>
      <w:pPr>
        <w:jc w:val="right"/>
        <w:rPr>
          <w:rFonts w:ascii="宋体" w:hAnsi="宋体" w:cs="宋体"/>
          <w:b/>
          <w:bCs/>
          <w:sz w:val="28"/>
          <w:szCs w:val="28"/>
          <w:highlight w:val="none"/>
        </w:rPr>
      </w:pPr>
      <w:r>
        <w:rPr>
          <w:rFonts w:hint="eastAsia" w:ascii="宋体" w:hAnsi="宋体"/>
          <w:b/>
          <w:sz w:val="28"/>
          <w:szCs w:val="28"/>
          <w:highlight w:val="none"/>
        </w:rPr>
        <w:t xml:space="preserve">         合同编号</w:t>
      </w:r>
      <w:r>
        <w:rPr>
          <w:rFonts w:hint="eastAsia" w:ascii="宋体" w:hAnsi="宋体"/>
          <w:b/>
          <w:sz w:val="28"/>
          <w:szCs w:val="28"/>
          <w:highlight w:val="none"/>
          <w:u w:val="single"/>
        </w:rPr>
        <w:t>：（中标/成交项目编号）</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甲方：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乙方：</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甲、乙双方根据竞争性磋商文件要求及 2021 年月日百汇项目管理有限公司与采购人以竞争性磋商的方式联合组织的该项目磋商结果及质疑承诺；经双方协商，一致同意签订本合同：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一、服务内容 </w:t>
      </w:r>
    </w:p>
    <w:p>
      <w:pPr>
        <w:spacing w:line="420" w:lineRule="exact"/>
        <w:rPr>
          <w:rFonts w:ascii="宋体" w:hAnsi="宋体" w:cs="宋体"/>
          <w:sz w:val="24"/>
          <w:highlight w:val="none"/>
        </w:rPr>
      </w:pP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二、服务期及服务地点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1、服务期：；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2、服务地点：；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三、服务要求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1、必须满足或高于磋商文件要求。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2、乙方提供的服务与成交所示内容完全一致，不存在任何偏差。如出现不一致，乙方将承担违约责任。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四、合同额及付款方式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1、合同额：元整（小写：¥ ）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2、付款方式：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五、验收</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服务完毕并能正常运行，甲方开具“验收书”。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六、违约责任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1、乙方未能达到约定的服务标准，甲方有权要求乙方限期整改，逾期未整改的，甲方有权终止合同；造成甲方经济损失的,乙方应给予甲方经济赔偿。</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2、非因法律规定或合同约定,任何一方擅自终止本合同,应当承担违约责任,如最终导致合同不能履行,违约方应当赔偿合同总金额百分之五的违约金给守约方,由此给守约方造成经济损失的,违约方还应负责赔偿。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3、由于甲方原因,使乙方未完成规定管理目标,乙方有权要求甲方在一定期限内解决,逾期未解决的,乙方有权终止合同;造成乙方经济损失的,甲方应给予乙方经济赔偿。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4、如因不可抗力事件导致一方不能履行或不能完全履行合同,按照合同法的有关规定执行。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5、如因遇国家法律、法规、政策的规定与本合同发生冲突的,双方应协商对本合同进行相应调整,使之符合法律规定。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七、争议解决方式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1、因服务的质量问题发生争议时，甲、乙双方协商解决。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八、未尽事宜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1、本合同未尽事宜，双方协商补充。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2、本合同未作明确约定，而又有相关法律、法规规定的，从其规定。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3、如合同履行过程中产生争议，双方协商解决。不能协商解决时，由</w:t>
      </w:r>
      <w:r>
        <w:rPr>
          <w:rFonts w:hint="eastAsia" w:ascii="宋体" w:hAnsi="宋体" w:cs="宋体"/>
          <w:color w:val="000000"/>
          <w:sz w:val="24"/>
          <w:highlight w:val="none"/>
          <w:lang w:eastAsia="zh-CN"/>
        </w:rPr>
        <w:t>采购人所在地</w:t>
      </w:r>
      <w:r>
        <w:rPr>
          <w:rFonts w:hint="eastAsia" w:ascii="宋体" w:hAnsi="宋体" w:cs="宋体"/>
          <w:color w:val="000000"/>
          <w:sz w:val="24"/>
          <w:highlight w:val="none"/>
        </w:rPr>
        <w:t xml:space="preserve">人民法院诉讼解决。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九、合同签订地点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1、合同签订地点：；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十、其他</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1、本合同签字、盖章。本合同一式四份，甲方执二份、乙方执二份，具有同等法律效力。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2、以下附件为本合同不可分割的一部分，具有与本合同同等的法律效力： </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（1）本项目的竞争性磋商文件； </w:t>
      </w:r>
    </w:p>
    <w:p>
      <w:pPr>
        <w:spacing w:line="4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（2）中标/成交通知书；</w:t>
      </w: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（3）供方的响应文件、有关投标的澄清资料及承诺书。 </w:t>
      </w:r>
    </w:p>
    <w:p>
      <w:pPr>
        <w:spacing w:line="420" w:lineRule="exact"/>
        <w:ind w:firstLine="480" w:firstLineChars="200"/>
        <w:rPr>
          <w:rFonts w:ascii="宋体" w:hAnsi="宋体" w:cs="宋体"/>
          <w:color w:val="000000"/>
          <w:sz w:val="24"/>
          <w:highlight w:val="none"/>
        </w:rPr>
      </w:pP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甲方：（公章）                             乙方：（公章） </w:t>
      </w:r>
    </w:p>
    <w:p>
      <w:pPr>
        <w:spacing w:line="420" w:lineRule="exact"/>
        <w:ind w:firstLine="480" w:firstLineChars="200"/>
        <w:rPr>
          <w:rFonts w:ascii="宋体" w:hAnsi="宋体" w:cs="宋体"/>
          <w:color w:val="000000"/>
          <w:sz w:val="24"/>
          <w:highlight w:val="none"/>
        </w:rPr>
      </w:pP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 xml:space="preserve">法定代表人或委托代理人签字：               法定代表人或委托代理人签字： </w:t>
      </w:r>
    </w:p>
    <w:p>
      <w:pPr>
        <w:spacing w:line="420" w:lineRule="exact"/>
        <w:ind w:firstLine="480" w:firstLineChars="200"/>
        <w:rPr>
          <w:rFonts w:ascii="宋体" w:hAnsi="宋体" w:cs="宋体"/>
          <w:color w:val="000000"/>
          <w:sz w:val="24"/>
          <w:highlight w:val="none"/>
        </w:rPr>
      </w:pPr>
    </w:p>
    <w:p>
      <w:pPr>
        <w:spacing w:line="420" w:lineRule="exact"/>
        <w:ind w:firstLine="480" w:firstLineChars="200"/>
        <w:rPr>
          <w:rFonts w:ascii="宋体" w:hAnsi="宋体" w:cs="宋体"/>
          <w:sz w:val="24"/>
          <w:highlight w:val="none"/>
        </w:rPr>
      </w:pPr>
      <w:r>
        <w:rPr>
          <w:rFonts w:hint="eastAsia" w:ascii="宋体" w:hAnsi="宋体" w:cs="宋体"/>
          <w:color w:val="000000"/>
          <w:sz w:val="24"/>
          <w:highlight w:val="none"/>
        </w:rPr>
        <w:t>年  月  日                                    年  月  日</w:t>
      </w:r>
    </w:p>
    <w:p>
      <w:pPr>
        <w:rPr>
          <w:rStyle w:val="64"/>
          <w:rFonts w:ascii="宋体" w:hAnsi="宋体"/>
          <w:sz w:val="32"/>
          <w:szCs w:val="32"/>
          <w:highlight w:val="none"/>
        </w:rPr>
      </w:pPr>
      <w:r>
        <w:rPr>
          <w:rStyle w:val="64"/>
          <w:rFonts w:hint="eastAsia" w:ascii="宋体" w:hAnsi="宋体"/>
          <w:sz w:val="32"/>
          <w:szCs w:val="32"/>
          <w:highlight w:val="none"/>
        </w:rPr>
        <w:br w:type="page"/>
      </w:r>
    </w:p>
    <w:p>
      <w:pPr>
        <w:pStyle w:val="4"/>
        <w:rPr>
          <w:rFonts w:ascii="宋体" w:hAnsi="宋体" w:eastAsia="宋体"/>
          <w:kern w:val="2"/>
          <w:highlight w:val="none"/>
        </w:rPr>
      </w:pPr>
      <w:r>
        <w:rPr>
          <w:rFonts w:hint="eastAsia" w:ascii="宋体" w:hAnsi="宋体" w:eastAsia="宋体"/>
          <w:kern w:val="2"/>
          <w:highlight w:val="none"/>
        </w:rPr>
        <w:t>第四章 采购需求</w:t>
      </w:r>
      <w:bookmarkEnd w:id="61"/>
      <w:bookmarkEnd w:id="62"/>
    </w:p>
    <w:p>
      <w:pPr>
        <w:widowControl/>
        <w:spacing w:line="360" w:lineRule="auto"/>
        <w:ind w:firstLine="560" w:firstLineChars="200"/>
        <w:rPr>
          <w:rFonts w:ascii="宋体" w:hAnsi="宋体" w:cs="宋体"/>
          <w:sz w:val="28"/>
          <w:szCs w:val="28"/>
          <w:highlight w:val="none"/>
        </w:rPr>
      </w:pPr>
      <w:bookmarkStart w:id="63" w:name="_Toc31348"/>
      <w:bookmarkStart w:id="64" w:name="_Toc463852811"/>
      <w:r>
        <w:rPr>
          <w:rFonts w:hint="eastAsia" w:ascii="宋体" w:hAnsi="宋体" w:cs="宋体"/>
          <w:sz w:val="28"/>
          <w:szCs w:val="28"/>
          <w:highlight w:val="none"/>
        </w:rPr>
        <w:t>供应商须具备《广播电视节目制作经营许可证》，</w:t>
      </w:r>
      <w:r>
        <w:rPr>
          <w:rFonts w:hint="eastAsia" w:ascii="宋体" w:hAnsi="宋体" w:cs="宋体"/>
          <w:kern w:val="0"/>
          <w:sz w:val="28"/>
          <w:szCs w:val="28"/>
          <w:highlight w:val="none"/>
          <w:lang w:val="zh-CN"/>
        </w:rPr>
        <w:t>供应商应当对项目现状、根据健康素养监测的“十大问题”，重点围绕健康素养六十六条，特别是新冠肺炎防控（传染病）、认识食品/药品标签、健康体重、骨骼健康等方面选题制作、相关故事情节、宣传需求、公益广告内容要把握科学性、政策性和艺术性、形式可采用故事型、场景型、明星代言型等类型、广告的正面导向性，在精准理解的基础上，结合公益广告行业制作经验，重点阐述对</w:t>
      </w:r>
      <w:r>
        <w:rPr>
          <w:rFonts w:hint="eastAsia" w:ascii="宋体" w:hAnsi="宋体" w:cs="宋体"/>
          <w:sz w:val="28"/>
          <w:szCs w:val="28"/>
          <w:highlight w:val="none"/>
          <w:lang w:val="zh-CN"/>
        </w:rPr>
        <w:t>《健康公益广告》（6部）制作</w:t>
      </w:r>
      <w:r>
        <w:rPr>
          <w:rFonts w:hint="eastAsia" w:ascii="宋体" w:hAnsi="宋体" w:cs="宋体"/>
          <w:kern w:val="0"/>
          <w:sz w:val="28"/>
          <w:szCs w:val="28"/>
          <w:highlight w:val="none"/>
          <w:lang w:val="zh-CN"/>
        </w:rPr>
        <w:t>服务需求的理解，提供具体的6个广告创意，以及如何做到引人入胜，有吸引力、可视性强，根据健康素养监测的“十大问题”，重点围绕健康素养六十六条，特别是新冠肺炎防控（传染病）、认识食品/药品标签、健康体重、骨骼健康等方面选题制作，开发制作更具传播影响力的视频材料；同时广告制作标准要达到河南省级电视台播出标准，制作完成后安排在河南电视台一频道（6个广告各播出一次）、二、三频道（每个频道每部广告各播出3次，总计36次）。</w:t>
      </w:r>
    </w:p>
    <w:p>
      <w:pPr>
        <w:rPr>
          <w:rFonts w:ascii="宋体" w:hAnsi="宋体"/>
          <w:szCs w:val="32"/>
          <w:highlight w:val="none"/>
        </w:rPr>
      </w:pPr>
    </w:p>
    <w:p>
      <w:pPr>
        <w:rPr>
          <w:rFonts w:ascii="宋体" w:hAnsi="宋体"/>
          <w:szCs w:val="32"/>
          <w:highlight w:val="none"/>
        </w:rPr>
      </w:pPr>
      <w:r>
        <w:rPr>
          <w:rFonts w:hint="eastAsia" w:ascii="宋体" w:hAnsi="宋体"/>
          <w:szCs w:val="32"/>
          <w:highlight w:val="none"/>
        </w:rPr>
        <w:br w:type="page"/>
      </w:r>
    </w:p>
    <w:p>
      <w:pPr>
        <w:pStyle w:val="4"/>
        <w:rPr>
          <w:rFonts w:ascii="宋体" w:hAnsi="宋体" w:eastAsia="宋体"/>
          <w:szCs w:val="32"/>
          <w:highlight w:val="none"/>
        </w:rPr>
      </w:pPr>
      <w:r>
        <w:rPr>
          <w:rFonts w:hint="eastAsia" w:ascii="宋体" w:hAnsi="宋体" w:eastAsia="宋体"/>
          <w:szCs w:val="32"/>
          <w:highlight w:val="none"/>
        </w:rPr>
        <w:t>第五章 竞争性磋商响应文件部分格式</w:t>
      </w:r>
      <w:bookmarkEnd w:id="63"/>
      <w:bookmarkEnd w:id="64"/>
    </w:p>
    <w:p>
      <w:pPr>
        <w:jc w:val="center"/>
        <w:rPr>
          <w:highlight w:val="none"/>
        </w:rPr>
      </w:pPr>
      <w:r>
        <w:rPr>
          <w:rFonts w:hint="eastAsia"/>
          <w:highlight w:val="none"/>
        </w:rPr>
        <w:t>（</w:t>
      </w:r>
      <w:r>
        <w:rPr>
          <w:rFonts w:hint="eastAsia"/>
          <w:b/>
          <w:highlight w:val="none"/>
        </w:rPr>
        <w:t>本章格式仅供参考，任何人不得以格式有偏差为由废标。</w:t>
      </w:r>
      <w:r>
        <w:rPr>
          <w:rFonts w:hint="eastAsia"/>
          <w:highlight w:val="none"/>
        </w:rPr>
        <w:t>）</w:t>
      </w:r>
    </w:p>
    <w:p>
      <w:pPr>
        <w:autoSpaceDE w:val="0"/>
        <w:autoSpaceDN w:val="0"/>
        <w:adjustRightInd w:val="0"/>
        <w:spacing w:line="480" w:lineRule="exact"/>
        <w:jc w:val="center"/>
        <w:rPr>
          <w:rFonts w:ascii="宋体" w:hAnsi="宋体"/>
          <w:kern w:val="0"/>
          <w:sz w:val="20"/>
          <w:szCs w:val="20"/>
          <w:highlight w:val="none"/>
        </w:rPr>
      </w:pPr>
    </w:p>
    <w:p>
      <w:pPr>
        <w:autoSpaceDE w:val="0"/>
        <w:autoSpaceDN w:val="0"/>
        <w:adjustRightInd w:val="0"/>
        <w:spacing w:line="480" w:lineRule="exact"/>
        <w:jc w:val="center"/>
        <w:rPr>
          <w:rFonts w:ascii="宋体" w:hAnsi="宋体"/>
          <w:kern w:val="0"/>
          <w:sz w:val="20"/>
          <w:szCs w:val="20"/>
          <w:highlight w:val="none"/>
        </w:rPr>
      </w:pPr>
    </w:p>
    <w:p>
      <w:pPr>
        <w:tabs>
          <w:tab w:val="left" w:pos="3885"/>
        </w:tabs>
        <w:autoSpaceDE w:val="0"/>
        <w:autoSpaceDN w:val="0"/>
        <w:adjustRightInd w:val="0"/>
        <w:spacing w:line="360" w:lineRule="auto"/>
        <w:ind w:right="-23"/>
        <w:jc w:val="center"/>
        <w:rPr>
          <w:rFonts w:ascii="宋体" w:hAnsi="宋体"/>
          <w:bCs/>
          <w:kern w:val="0"/>
          <w:sz w:val="36"/>
          <w:szCs w:val="36"/>
          <w:highlight w:val="none"/>
          <w:u w:val="single"/>
        </w:rPr>
      </w:pPr>
      <w:r>
        <w:rPr>
          <w:rFonts w:hint="eastAsia" w:ascii="宋体" w:hAnsi="宋体"/>
          <w:bCs/>
          <w:kern w:val="0"/>
          <w:sz w:val="36"/>
          <w:szCs w:val="36"/>
          <w:highlight w:val="none"/>
          <w:u w:val="single"/>
        </w:rPr>
        <w:t xml:space="preserve">            （项目名称）</w:t>
      </w:r>
    </w:p>
    <w:p>
      <w:pPr>
        <w:autoSpaceDE w:val="0"/>
        <w:autoSpaceDN w:val="0"/>
        <w:adjustRightInd w:val="0"/>
        <w:spacing w:line="480" w:lineRule="exact"/>
        <w:jc w:val="center"/>
        <w:rPr>
          <w:rFonts w:ascii="宋体" w:hAnsi="宋体" w:cs="MingLiU"/>
          <w:kern w:val="0"/>
          <w:sz w:val="20"/>
          <w:szCs w:val="20"/>
          <w:highlight w:val="none"/>
        </w:rPr>
      </w:pPr>
    </w:p>
    <w:p>
      <w:pPr>
        <w:autoSpaceDE w:val="0"/>
        <w:autoSpaceDN w:val="0"/>
        <w:adjustRightInd w:val="0"/>
        <w:spacing w:before="15" w:line="480" w:lineRule="exact"/>
        <w:jc w:val="center"/>
        <w:rPr>
          <w:rFonts w:ascii="宋体" w:hAnsi="宋体" w:cs="MingLiU"/>
          <w:kern w:val="0"/>
          <w:sz w:val="24"/>
          <w:highlight w:val="none"/>
        </w:rPr>
      </w:pPr>
    </w:p>
    <w:p>
      <w:pPr>
        <w:autoSpaceDE w:val="0"/>
        <w:autoSpaceDN w:val="0"/>
        <w:adjustRightInd w:val="0"/>
        <w:spacing w:before="15" w:line="480" w:lineRule="exact"/>
        <w:jc w:val="center"/>
        <w:rPr>
          <w:rFonts w:ascii="宋体" w:hAnsi="宋体" w:cs="MingLiU"/>
          <w:kern w:val="0"/>
          <w:sz w:val="24"/>
          <w:highlight w:val="none"/>
        </w:rPr>
      </w:pPr>
    </w:p>
    <w:p>
      <w:pPr>
        <w:autoSpaceDE w:val="0"/>
        <w:autoSpaceDN w:val="0"/>
        <w:adjustRightInd w:val="0"/>
        <w:spacing w:before="15" w:line="480" w:lineRule="exact"/>
        <w:jc w:val="center"/>
        <w:rPr>
          <w:rFonts w:ascii="宋体" w:hAnsi="宋体" w:cs="MingLiU"/>
          <w:kern w:val="0"/>
          <w:sz w:val="24"/>
          <w:highlight w:val="none"/>
        </w:rPr>
      </w:pPr>
    </w:p>
    <w:p>
      <w:pPr>
        <w:autoSpaceDE w:val="0"/>
        <w:autoSpaceDN w:val="0"/>
        <w:adjustRightInd w:val="0"/>
        <w:spacing w:before="15" w:line="480" w:lineRule="exact"/>
        <w:jc w:val="center"/>
        <w:rPr>
          <w:rFonts w:ascii="宋体" w:hAnsi="宋体" w:cs="MingLiU"/>
          <w:kern w:val="0"/>
          <w:sz w:val="24"/>
          <w:highlight w:val="none"/>
        </w:rPr>
      </w:pPr>
    </w:p>
    <w:p>
      <w:pPr>
        <w:tabs>
          <w:tab w:val="left" w:pos="3600"/>
          <w:tab w:val="left" w:pos="4480"/>
          <w:tab w:val="left" w:pos="5360"/>
        </w:tabs>
        <w:autoSpaceDE w:val="0"/>
        <w:autoSpaceDN w:val="0"/>
        <w:adjustRightInd w:val="0"/>
        <w:spacing w:line="1000" w:lineRule="exact"/>
        <w:ind w:right="-23" w:firstLine="1373" w:firstLineChars="190"/>
        <w:jc w:val="left"/>
        <w:rPr>
          <w:rFonts w:ascii="宋体" w:hAnsi="宋体" w:cs="MingLiU"/>
          <w:b/>
          <w:kern w:val="0"/>
          <w:sz w:val="72"/>
          <w:szCs w:val="72"/>
          <w:highlight w:val="none"/>
        </w:rPr>
      </w:pPr>
      <w:r>
        <w:rPr>
          <w:rFonts w:hint="eastAsia" w:ascii="宋体" w:hAnsi="宋体" w:cs="MingLiU"/>
          <w:b/>
          <w:kern w:val="0"/>
          <w:sz w:val="72"/>
          <w:szCs w:val="72"/>
          <w:highlight w:val="none"/>
        </w:rPr>
        <w:t>竞争性磋商响应文件</w:t>
      </w:r>
    </w:p>
    <w:p>
      <w:pPr>
        <w:autoSpaceDE w:val="0"/>
        <w:autoSpaceDN w:val="0"/>
        <w:adjustRightInd w:val="0"/>
        <w:spacing w:line="480" w:lineRule="exact"/>
        <w:jc w:val="center"/>
        <w:rPr>
          <w:rFonts w:ascii="宋体" w:hAnsi="宋体" w:cs="MingLiU"/>
          <w:kern w:val="0"/>
          <w:sz w:val="32"/>
          <w:szCs w:val="32"/>
          <w:highlight w:val="none"/>
        </w:rPr>
      </w:pPr>
      <w:r>
        <w:rPr>
          <w:rFonts w:hint="eastAsia" w:ascii="宋体" w:hAnsi="宋体" w:cs="MingLiU"/>
          <w:kern w:val="0"/>
          <w:sz w:val="32"/>
          <w:szCs w:val="32"/>
          <w:highlight w:val="none"/>
        </w:rPr>
        <w:t xml:space="preserve">项目编号： </w:t>
      </w:r>
    </w:p>
    <w:p>
      <w:pPr>
        <w:autoSpaceDE w:val="0"/>
        <w:autoSpaceDN w:val="0"/>
        <w:adjustRightInd w:val="0"/>
        <w:spacing w:line="480" w:lineRule="exact"/>
        <w:jc w:val="center"/>
        <w:rPr>
          <w:rFonts w:ascii="宋体" w:hAnsi="宋体" w:cs="MingLiU"/>
          <w:kern w:val="0"/>
          <w:sz w:val="20"/>
          <w:szCs w:val="20"/>
          <w:highlight w:val="none"/>
        </w:rPr>
      </w:pPr>
    </w:p>
    <w:p>
      <w:pPr>
        <w:autoSpaceDE w:val="0"/>
        <w:autoSpaceDN w:val="0"/>
        <w:adjustRightInd w:val="0"/>
        <w:spacing w:line="480" w:lineRule="exact"/>
        <w:jc w:val="center"/>
        <w:rPr>
          <w:rFonts w:ascii="宋体" w:hAnsi="宋体" w:cs="MingLiU"/>
          <w:kern w:val="0"/>
          <w:sz w:val="20"/>
          <w:szCs w:val="20"/>
          <w:highlight w:val="none"/>
        </w:rPr>
      </w:pPr>
    </w:p>
    <w:p>
      <w:pPr>
        <w:autoSpaceDE w:val="0"/>
        <w:autoSpaceDN w:val="0"/>
        <w:adjustRightInd w:val="0"/>
        <w:spacing w:line="480" w:lineRule="exact"/>
        <w:jc w:val="center"/>
        <w:rPr>
          <w:rFonts w:ascii="宋体" w:hAnsi="宋体" w:cs="MingLiU"/>
          <w:kern w:val="0"/>
          <w:sz w:val="20"/>
          <w:szCs w:val="20"/>
          <w:highlight w:val="none"/>
        </w:rPr>
      </w:pPr>
    </w:p>
    <w:p>
      <w:pPr>
        <w:autoSpaceDE w:val="0"/>
        <w:autoSpaceDN w:val="0"/>
        <w:adjustRightInd w:val="0"/>
        <w:spacing w:line="480" w:lineRule="exact"/>
        <w:jc w:val="center"/>
        <w:rPr>
          <w:rFonts w:ascii="宋体" w:hAnsi="宋体" w:cs="MingLiU"/>
          <w:kern w:val="0"/>
          <w:sz w:val="20"/>
          <w:szCs w:val="20"/>
          <w:highlight w:val="none"/>
        </w:rPr>
      </w:pPr>
    </w:p>
    <w:p>
      <w:pPr>
        <w:autoSpaceDE w:val="0"/>
        <w:autoSpaceDN w:val="0"/>
        <w:adjustRightInd w:val="0"/>
        <w:spacing w:line="480" w:lineRule="exact"/>
        <w:jc w:val="center"/>
        <w:rPr>
          <w:rFonts w:ascii="宋体" w:hAnsi="宋体" w:cs="MingLiU"/>
          <w:kern w:val="0"/>
          <w:sz w:val="20"/>
          <w:szCs w:val="20"/>
          <w:highlight w:val="none"/>
        </w:rPr>
      </w:pPr>
    </w:p>
    <w:p>
      <w:pPr>
        <w:autoSpaceDE w:val="0"/>
        <w:autoSpaceDN w:val="0"/>
        <w:adjustRightInd w:val="0"/>
        <w:spacing w:line="480" w:lineRule="auto"/>
        <w:ind w:firstLine="720" w:firstLineChars="300"/>
        <w:rPr>
          <w:rFonts w:ascii="宋体" w:hAnsi="宋体" w:cs="宋体"/>
          <w:sz w:val="24"/>
          <w:highlight w:val="none"/>
        </w:rPr>
      </w:pPr>
      <w:r>
        <w:rPr>
          <w:rFonts w:hint="eastAsia" w:ascii="宋体" w:hAnsi="宋体" w:cs="宋体"/>
          <w:sz w:val="24"/>
          <w:highlight w:val="none"/>
        </w:rPr>
        <w:t>供应商</w:t>
      </w:r>
      <w:r>
        <w:rPr>
          <w:rFonts w:ascii="宋体" w:hAnsi="宋体" w:cs="宋体"/>
          <w:sz w:val="24"/>
          <w:highlight w:val="none"/>
        </w:rPr>
        <w:t>（</w:t>
      </w:r>
      <w:r>
        <w:rPr>
          <w:rFonts w:hint="eastAsia"/>
          <w:sz w:val="24"/>
          <w:highlight w:val="none"/>
        </w:rPr>
        <w:t>盖单位章</w:t>
      </w:r>
      <w:r>
        <w:rPr>
          <w:rFonts w:hint="eastAsia"/>
          <w:sz w:val="24"/>
          <w:highlight w:val="none"/>
          <w:lang w:eastAsia="zh-CN"/>
        </w:rPr>
        <w:t>或电子盖章</w:t>
      </w:r>
      <w:r>
        <w:rPr>
          <w:rFonts w:ascii="宋体" w:hAnsi="宋体" w:cs="宋体"/>
          <w:sz w:val="24"/>
          <w:highlight w:val="none"/>
        </w:rPr>
        <w:t xml:space="preserve">）： </w:t>
      </w:r>
    </w:p>
    <w:p>
      <w:pPr>
        <w:tabs>
          <w:tab w:val="left" w:pos="6080"/>
          <w:tab w:val="left" w:pos="6640"/>
        </w:tabs>
        <w:autoSpaceDE w:val="0"/>
        <w:autoSpaceDN w:val="0"/>
        <w:adjustRightInd w:val="0"/>
        <w:spacing w:line="480" w:lineRule="exact"/>
        <w:ind w:right="403" w:firstLine="720" w:firstLineChars="300"/>
        <w:jc w:val="left"/>
        <w:rPr>
          <w:rFonts w:ascii="宋体" w:hAnsi="宋体" w:cs="MingLiU"/>
          <w:kern w:val="0"/>
          <w:sz w:val="28"/>
          <w:szCs w:val="28"/>
          <w:highlight w:val="none"/>
        </w:rPr>
      </w:pPr>
      <w:r>
        <w:rPr>
          <w:rFonts w:ascii="宋体" w:hAnsi="宋体" w:cs="宋体"/>
          <w:sz w:val="24"/>
          <w:highlight w:val="none"/>
        </w:rPr>
        <w:t>法定代表人（个人电子签章）：</w:t>
      </w:r>
    </w:p>
    <w:p>
      <w:pPr>
        <w:tabs>
          <w:tab w:val="left" w:pos="6080"/>
          <w:tab w:val="left" w:pos="6640"/>
        </w:tabs>
        <w:autoSpaceDE w:val="0"/>
        <w:autoSpaceDN w:val="0"/>
        <w:adjustRightInd w:val="0"/>
        <w:spacing w:line="480" w:lineRule="exact"/>
        <w:ind w:left="774" w:right="403"/>
        <w:jc w:val="left"/>
        <w:rPr>
          <w:rFonts w:ascii="宋体" w:hAnsi="宋体" w:cs="MingLiU"/>
          <w:kern w:val="0"/>
          <w:sz w:val="28"/>
          <w:szCs w:val="28"/>
          <w:highlight w:val="none"/>
        </w:rPr>
      </w:pPr>
    </w:p>
    <w:p>
      <w:pPr>
        <w:wordWrap w:val="0"/>
        <w:spacing w:line="480" w:lineRule="exact"/>
        <w:ind w:right="480" w:firstLine="6360" w:firstLineChars="2650"/>
        <w:rPr>
          <w:rFonts w:ascii="宋体" w:hAnsi="宋体"/>
          <w:sz w:val="24"/>
          <w:highlight w:val="none"/>
        </w:rPr>
      </w:pPr>
      <w:r>
        <w:rPr>
          <w:rFonts w:ascii="宋体" w:hAnsi="宋体"/>
          <w:sz w:val="24"/>
          <w:highlight w:val="none"/>
          <w:u w:val="single"/>
        </w:rPr>
        <w:tab/>
      </w:r>
      <w:r>
        <w:rPr>
          <w:rFonts w:hint="eastAsia" w:ascii="宋体" w:hAnsi="宋体"/>
          <w:sz w:val="24"/>
          <w:highlight w:val="none"/>
        </w:rPr>
        <w:t>年</w:t>
      </w:r>
      <w:r>
        <w:rPr>
          <w:rFonts w:ascii="宋体" w:hAnsi="宋体"/>
          <w:sz w:val="24"/>
          <w:highlight w:val="none"/>
          <w:u w:val="single"/>
        </w:rPr>
        <w:tab/>
      </w:r>
      <w:r>
        <w:rPr>
          <w:rFonts w:hint="eastAsia" w:ascii="宋体" w:hAnsi="宋体"/>
          <w:sz w:val="24"/>
          <w:highlight w:val="none"/>
        </w:rPr>
        <w:t>月</w:t>
      </w:r>
      <w:r>
        <w:rPr>
          <w:rFonts w:ascii="宋体" w:hAnsi="宋体"/>
          <w:sz w:val="24"/>
          <w:highlight w:val="none"/>
          <w:u w:val="single"/>
        </w:rPr>
        <w:tab/>
      </w:r>
      <w:r>
        <w:rPr>
          <w:rFonts w:hint="eastAsia" w:ascii="宋体" w:hAnsi="宋体"/>
          <w:sz w:val="24"/>
          <w:highlight w:val="none"/>
        </w:rPr>
        <w:t xml:space="preserve">日 </w:t>
      </w:r>
    </w:p>
    <w:p>
      <w:pPr>
        <w:jc w:val="center"/>
        <w:rPr>
          <w:rFonts w:ascii="宋体" w:hAnsi="宋体" w:cs="MingLiU"/>
          <w:kern w:val="0"/>
          <w:sz w:val="28"/>
          <w:szCs w:val="28"/>
          <w:highlight w:val="none"/>
        </w:rPr>
      </w:pPr>
      <w:r>
        <w:rPr>
          <w:rFonts w:ascii="宋体" w:hAnsi="宋体" w:cs="MingLiU"/>
          <w:kern w:val="0"/>
          <w:sz w:val="28"/>
          <w:szCs w:val="28"/>
          <w:highlight w:val="none"/>
        </w:rPr>
        <w:br w:type="page"/>
      </w:r>
      <w:bookmarkStart w:id="65" w:name="_Toc530142466"/>
      <w:bookmarkStart w:id="66" w:name="_Toc252830644"/>
      <w:bookmarkStart w:id="67" w:name="_Toc332961927"/>
      <w:bookmarkStart w:id="68" w:name="_Toc262483518"/>
      <w:bookmarkStart w:id="69" w:name="_Toc262746020"/>
    </w:p>
    <w:p>
      <w:pPr>
        <w:pStyle w:val="5"/>
        <w:jc w:val="center"/>
        <w:rPr>
          <w:rFonts w:ascii="宋体" w:hAnsi="宋体" w:eastAsia="宋体"/>
          <w:sz w:val="24"/>
          <w:szCs w:val="24"/>
          <w:highlight w:val="none"/>
        </w:rPr>
      </w:pPr>
      <w:bookmarkStart w:id="70" w:name="_Toc15977"/>
      <w:r>
        <w:rPr>
          <w:rFonts w:ascii="宋体" w:hAnsi="宋体" w:eastAsia="宋体"/>
          <w:sz w:val="24"/>
          <w:szCs w:val="24"/>
          <w:highlight w:val="none"/>
        </w:rPr>
        <w:t>一</w:t>
      </w:r>
      <w:r>
        <w:rPr>
          <w:rFonts w:hint="eastAsia" w:ascii="宋体" w:hAnsi="宋体" w:eastAsia="宋体"/>
          <w:sz w:val="24"/>
          <w:szCs w:val="24"/>
          <w:highlight w:val="none"/>
        </w:rPr>
        <w:t>、</w:t>
      </w:r>
      <w:r>
        <w:rPr>
          <w:rFonts w:ascii="宋体" w:hAnsi="宋体" w:eastAsia="宋体"/>
          <w:sz w:val="24"/>
          <w:szCs w:val="24"/>
          <w:highlight w:val="none"/>
        </w:rPr>
        <w:t>磋商复函</w:t>
      </w:r>
      <w:bookmarkEnd w:id="65"/>
      <w:bookmarkEnd w:id="70"/>
    </w:p>
    <w:p>
      <w:pPr>
        <w:spacing w:line="360" w:lineRule="exact"/>
        <w:jc w:val="center"/>
        <w:rPr>
          <w:rFonts w:ascii="宋体" w:hAnsi="宋体"/>
          <w:b/>
          <w:sz w:val="30"/>
          <w:szCs w:val="30"/>
          <w:highlight w:val="none"/>
        </w:rPr>
      </w:pPr>
    </w:p>
    <w:p>
      <w:pPr>
        <w:spacing w:line="480" w:lineRule="exact"/>
        <w:rPr>
          <w:rFonts w:ascii="宋体" w:hAnsi="宋体"/>
          <w:sz w:val="24"/>
          <w:highlight w:val="none"/>
        </w:rPr>
      </w:pPr>
      <w:r>
        <w:rPr>
          <w:rFonts w:hint="eastAsia" w:ascii="宋体" w:hAnsi="宋体"/>
          <w:sz w:val="24"/>
          <w:highlight w:val="none"/>
          <w:u w:val="single"/>
        </w:rPr>
        <w:t>河南省疾病预防控制中心</w:t>
      </w:r>
      <w:r>
        <w:rPr>
          <w:rFonts w:hint="eastAsia" w:ascii="宋体" w:hAnsi="宋体"/>
          <w:sz w:val="24"/>
          <w:highlight w:val="none"/>
        </w:rPr>
        <w:t>：</w:t>
      </w:r>
    </w:p>
    <w:p>
      <w:pPr>
        <w:adjustRightInd w:val="0"/>
        <w:spacing w:line="480" w:lineRule="exact"/>
        <w:ind w:firstLine="470" w:firstLineChars="196"/>
        <w:rPr>
          <w:rFonts w:ascii="宋体" w:hAnsi="宋体"/>
          <w:sz w:val="24"/>
          <w:highlight w:val="none"/>
        </w:rPr>
      </w:pPr>
      <w:r>
        <w:rPr>
          <w:rFonts w:ascii="宋体" w:hAnsi="宋体"/>
          <w:sz w:val="24"/>
          <w:highlight w:val="none"/>
        </w:rPr>
        <w:t>1</w:t>
      </w:r>
      <w:r>
        <w:rPr>
          <w:rFonts w:hint="eastAsia" w:ascii="宋体" w:hAnsi="宋体"/>
          <w:sz w:val="24"/>
          <w:highlight w:val="none"/>
        </w:rPr>
        <w:t>、我方已仔细研究了</w:t>
      </w:r>
      <w:r>
        <w:rPr>
          <w:rFonts w:hint="eastAsia"/>
          <w:sz w:val="24"/>
          <w:highlight w:val="none"/>
        </w:rPr>
        <w:t>（项目名称）</w:t>
      </w:r>
      <w:r>
        <w:rPr>
          <w:rFonts w:hint="eastAsia" w:ascii="宋体" w:hAnsi="宋体"/>
          <w:sz w:val="24"/>
          <w:highlight w:val="none"/>
        </w:rPr>
        <w:t>竞争性磋商文件的全部内容，经详细研究，我们决定参加该项目的投标活动并投标，我们郑重声明以下诸点并负法律责任。</w:t>
      </w:r>
    </w:p>
    <w:p>
      <w:pPr>
        <w:tabs>
          <w:tab w:val="left" w:pos="5713"/>
        </w:tabs>
        <w:spacing w:line="440" w:lineRule="exact"/>
        <w:ind w:firstLine="480" w:firstLineChars="200"/>
        <w:rPr>
          <w:rFonts w:ascii="宋体" w:hAnsi="宋体"/>
          <w:sz w:val="24"/>
          <w:highlight w:val="none"/>
        </w:rPr>
      </w:pPr>
      <w:r>
        <w:rPr>
          <w:rFonts w:hint="eastAsia" w:ascii="宋体" w:hAnsi="宋体"/>
          <w:sz w:val="24"/>
          <w:highlight w:val="none"/>
        </w:rPr>
        <w:t>愿按照竞争性磋商文件中规定的条款和要求，提供相关服务并按要求提交成果，投标总报价为人民币</w:t>
      </w:r>
      <w:r>
        <w:rPr>
          <w:rFonts w:ascii="宋体" w:hAnsi="宋体"/>
          <w:sz w:val="24"/>
          <w:highlight w:val="none"/>
        </w:rPr>
        <w:t>(</w:t>
      </w:r>
      <w:r>
        <w:rPr>
          <w:rFonts w:hint="eastAsia" w:ascii="宋体" w:hAnsi="宋体"/>
          <w:sz w:val="24"/>
          <w:highlight w:val="none"/>
        </w:rPr>
        <w:t>大写</w:t>
      </w:r>
      <w:r>
        <w:rPr>
          <w:rFonts w:ascii="宋体" w:hAnsi="宋体"/>
          <w:sz w:val="24"/>
          <w:highlight w:val="none"/>
        </w:rPr>
        <w:t>)</w:t>
      </w:r>
      <w:r>
        <w:rPr>
          <w:rFonts w:hint="eastAsia" w:ascii="宋体" w:hAnsi="宋体"/>
          <w:sz w:val="24"/>
          <w:highlight w:val="none"/>
        </w:rPr>
        <w:t>；元人民币</w:t>
      </w:r>
      <w:r>
        <w:rPr>
          <w:rFonts w:ascii="宋体" w:hAnsi="宋体"/>
          <w:sz w:val="24"/>
          <w:highlight w:val="none"/>
        </w:rPr>
        <w:t xml:space="preserve"> (</w:t>
      </w:r>
      <w:r>
        <w:rPr>
          <w:rFonts w:hint="eastAsia" w:ascii="宋体" w:hAnsi="宋体"/>
          <w:sz w:val="24"/>
          <w:highlight w:val="none"/>
        </w:rPr>
        <w:t>小写</w:t>
      </w:r>
      <w:r>
        <w:rPr>
          <w:rFonts w:ascii="宋体" w:hAnsi="宋体"/>
          <w:sz w:val="24"/>
          <w:highlight w:val="none"/>
        </w:rPr>
        <w:t>)</w:t>
      </w:r>
      <w:r>
        <w:rPr>
          <w:rFonts w:hint="eastAsia" w:ascii="宋体" w:hAnsi="宋体"/>
          <w:sz w:val="24"/>
          <w:highlight w:val="none"/>
        </w:rPr>
        <w:t>，质量要求：符合国家和行业现行规范标准规范，同时广告制作标准要达到河南省级电视台播出标准。</w:t>
      </w:r>
    </w:p>
    <w:p>
      <w:pPr>
        <w:spacing w:line="48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、我方承诺在磋商有效期内不修改、撤销磋商响应文件。</w:t>
      </w:r>
    </w:p>
    <w:p>
      <w:pPr>
        <w:spacing w:line="48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、供应商承诺函已按磋商文件规定书写。</w:t>
      </w:r>
    </w:p>
    <w:p>
      <w:pPr>
        <w:spacing w:line="480" w:lineRule="exact"/>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、如我方成为成交供应商：</w:t>
      </w:r>
    </w:p>
    <w:p>
      <w:pPr>
        <w:spacing w:line="48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）我方承诺在收到成交通知书后，在成交通知书规定的期限内与你方签订合同。</w:t>
      </w:r>
    </w:p>
    <w:p>
      <w:pPr>
        <w:spacing w:line="48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）随同本磋商复函递交的磋商复函附录属于合同文件的组成部分。</w:t>
      </w:r>
    </w:p>
    <w:p>
      <w:pPr>
        <w:spacing w:line="48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）我方承诺在合同约定的期限内完成竞争性磋商文件及响应性文件中的各项工作。</w:t>
      </w:r>
    </w:p>
    <w:p>
      <w:pPr>
        <w:spacing w:line="480" w:lineRule="exact"/>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、我方在此声明，所递交的磋商响应文件及有关资料内容完整、真实和准确。</w:t>
      </w:r>
    </w:p>
    <w:p>
      <w:pPr>
        <w:spacing w:line="480" w:lineRule="exact"/>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、如我方成为成交供应商，我方保证按磋商文件要求（含补充文件），向采购代理机构支付招标代理服务费。</w:t>
      </w:r>
    </w:p>
    <w:p>
      <w:pPr>
        <w:spacing w:line="480" w:lineRule="exact"/>
        <w:ind w:firstLine="3960" w:firstLineChars="1650"/>
        <w:rPr>
          <w:rFonts w:ascii="宋体" w:hAnsi="宋体"/>
          <w:sz w:val="24"/>
          <w:highlight w:val="none"/>
        </w:rPr>
      </w:pPr>
      <w:bookmarkStart w:id="71" w:name="_Toc214173925"/>
      <w:r>
        <w:rPr>
          <w:rFonts w:hint="eastAsia" w:ascii="宋体" w:hAnsi="宋体"/>
          <w:sz w:val="24"/>
          <w:highlight w:val="none"/>
        </w:rPr>
        <w:t>供应商</w:t>
      </w:r>
      <w:r>
        <w:rPr>
          <w:rFonts w:ascii="宋体" w:hAnsi="宋体"/>
          <w:sz w:val="24"/>
          <w:highlight w:val="none"/>
        </w:rPr>
        <w:t>（</w:t>
      </w:r>
      <w:r>
        <w:rPr>
          <w:rFonts w:hint="eastAsia" w:ascii="宋体" w:hAnsi="宋体"/>
          <w:sz w:val="24"/>
          <w:highlight w:val="none"/>
        </w:rPr>
        <w:t>盖单位章</w:t>
      </w:r>
      <w:r>
        <w:rPr>
          <w:rFonts w:hint="eastAsia" w:ascii="宋体" w:hAnsi="宋体"/>
          <w:sz w:val="24"/>
          <w:highlight w:val="none"/>
          <w:lang w:eastAsia="zh-CN"/>
        </w:rPr>
        <w:t>或电子盖章</w:t>
      </w:r>
      <w:r>
        <w:rPr>
          <w:rFonts w:ascii="宋体" w:hAnsi="宋体"/>
          <w:sz w:val="24"/>
          <w:highlight w:val="none"/>
        </w:rPr>
        <w:t>）：</w:t>
      </w:r>
    </w:p>
    <w:p>
      <w:pPr>
        <w:spacing w:line="480" w:lineRule="exact"/>
        <w:ind w:firstLine="3960" w:firstLineChars="1650"/>
        <w:rPr>
          <w:rFonts w:ascii="宋体" w:hAnsi="宋体"/>
          <w:sz w:val="24"/>
          <w:highlight w:val="none"/>
          <w:u w:val="single"/>
        </w:rPr>
      </w:pPr>
      <w:r>
        <w:rPr>
          <w:rFonts w:ascii="宋体" w:hAnsi="宋体"/>
          <w:sz w:val="24"/>
          <w:highlight w:val="none"/>
        </w:rPr>
        <w:t>法定代表人（</w:t>
      </w:r>
      <w:r>
        <w:rPr>
          <w:rFonts w:hint="eastAsia" w:ascii="宋体" w:hAnsi="宋体"/>
          <w:sz w:val="24"/>
          <w:highlight w:val="none"/>
          <w:lang w:eastAsia="zh-CN"/>
        </w:rPr>
        <w:t>签字或盖章</w:t>
      </w:r>
      <w:r>
        <w:rPr>
          <w:rFonts w:ascii="宋体" w:hAnsi="宋体"/>
          <w:sz w:val="24"/>
          <w:highlight w:val="none"/>
        </w:rPr>
        <w:t>）：</w:t>
      </w:r>
    </w:p>
    <w:p>
      <w:pPr>
        <w:spacing w:line="480" w:lineRule="exact"/>
        <w:ind w:left="120" w:leftChars="57" w:firstLine="3840" w:firstLineChars="1600"/>
        <w:rPr>
          <w:rFonts w:hint="default" w:ascii="宋体" w:hAnsi="宋体" w:eastAsia="宋体"/>
          <w:sz w:val="24"/>
          <w:highlight w:val="none"/>
          <w:u w:val="single"/>
          <w:lang w:val="en-US" w:eastAsia="zh-CN"/>
        </w:rPr>
      </w:pPr>
      <w:r>
        <w:rPr>
          <w:rFonts w:hint="eastAsia" w:ascii="宋体" w:hAnsi="宋体"/>
          <w:sz w:val="24"/>
          <w:highlight w:val="none"/>
        </w:rPr>
        <w:t>地址：</w:t>
      </w:r>
      <w:r>
        <w:rPr>
          <w:rFonts w:ascii="宋体" w:hAnsi="宋体"/>
          <w:sz w:val="24"/>
          <w:highlight w:val="none"/>
          <w:u w:val="single"/>
        </w:rPr>
        <w:tab/>
      </w:r>
      <w:r>
        <w:rPr>
          <w:rFonts w:hint="eastAsia" w:ascii="宋体" w:hAnsi="宋体"/>
          <w:sz w:val="24"/>
          <w:highlight w:val="none"/>
          <w:u w:val="single"/>
          <w:lang w:val="en-US" w:eastAsia="zh-CN"/>
        </w:rPr>
        <w:t xml:space="preserve">                </w:t>
      </w:r>
    </w:p>
    <w:p>
      <w:pPr>
        <w:spacing w:line="480" w:lineRule="exact"/>
        <w:ind w:left="120" w:leftChars="57" w:firstLine="3840" w:firstLineChars="1600"/>
        <w:rPr>
          <w:rFonts w:hint="default" w:ascii="宋体" w:hAnsi="宋体" w:eastAsia="宋体"/>
          <w:sz w:val="24"/>
          <w:highlight w:val="none"/>
          <w:lang w:val="en-US" w:eastAsia="zh-CN"/>
        </w:rPr>
      </w:pPr>
      <w:r>
        <w:rPr>
          <w:rFonts w:hint="eastAsia" w:ascii="宋体" w:hAnsi="宋体"/>
          <w:sz w:val="24"/>
          <w:highlight w:val="none"/>
        </w:rPr>
        <w:t>网址：</w:t>
      </w:r>
      <w:r>
        <w:rPr>
          <w:rFonts w:ascii="宋体" w:hAnsi="宋体"/>
          <w:sz w:val="24"/>
          <w:highlight w:val="none"/>
          <w:u w:val="single"/>
        </w:rPr>
        <w:tab/>
      </w:r>
      <w:r>
        <w:rPr>
          <w:rFonts w:hint="eastAsia" w:ascii="宋体" w:hAnsi="宋体"/>
          <w:sz w:val="24"/>
          <w:highlight w:val="none"/>
          <w:u w:val="single"/>
          <w:lang w:val="en-US" w:eastAsia="zh-CN"/>
        </w:rPr>
        <w:t xml:space="preserve">                </w:t>
      </w:r>
    </w:p>
    <w:p>
      <w:pPr>
        <w:spacing w:line="480" w:lineRule="exact"/>
        <w:ind w:left="120" w:leftChars="57" w:firstLine="3840" w:firstLineChars="1600"/>
        <w:rPr>
          <w:rFonts w:hint="default" w:ascii="宋体" w:hAnsi="宋体" w:eastAsia="宋体"/>
          <w:sz w:val="24"/>
          <w:highlight w:val="none"/>
          <w:lang w:val="en-US" w:eastAsia="zh-CN"/>
        </w:rPr>
      </w:pPr>
      <w:r>
        <w:rPr>
          <w:rFonts w:hint="eastAsia" w:ascii="宋体" w:hAnsi="宋体"/>
          <w:sz w:val="24"/>
          <w:highlight w:val="none"/>
        </w:rPr>
        <w:t>电话：</w:t>
      </w:r>
      <w:r>
        <w:rPr>
          <w:rFonts w:ascii="宋体" w:hAnsi="宋体"/>
          <w:sz w:val="24"/>
          <w:highlight w:val="none"/>
          <w:u w:val="single"/>
        </w:rPr>
        <w:tab/>
      </w:r>
      <w:r>
        <w:rPr>
          <w:rFonts w:hint="eastAsia" w:ascii="宋体" w:hAnsi="宋体"/>
          <w:sz w:val="24"/>
          <w:highlight w:val="none"/>
          <w:u w:val="single"/>
          <w:lang w:val="en-US" w:eastAsia="zh-CN"/>
        </w:rPr>
        <w:t xml:space="preserve">                </w:t>
      </w:r>
    </w:p>
    <w:p>
      <w:pPr>
        <w:spacing w:line="480" w:lineRule="exact"/>
        <w:ind w:left="120" w:leftChars="57" w:firstLine="3840" w:firstLineChars="1600"/>
        <w:rPr>
          <w:rFonts w:hint="default" w:ascii="宋体" w:hAnsi="宋体" w:eastAsia="宋体"/>
          <w:sz w:val="24"/>
          <w:highlight w:val="none"/>
          <w:lang w:val="en-US" w:eastAsia="zh-CN"/>
        </w:rPr>
      </w:pPr>
      <w:r>
        <w:rPr>
          <w:rFonts w:hint="eastAsia" w:ascii="宋体" w:hAnsi="宋体"/>
          <w:sz w:val="24"/>
          <w:highlight w:val="none"/>
        </w:rPr>
        <w:t>传真：</w:t>
      </w:r>
      <w:r>
        <w:rPr>
          <w:rFonts w:ascii="宋体" w:hAnsi="宋体"/>
          <w:sz w:val="24"/>
          <w:highlight w:val="none"/>
          <w:u w:val="single"/>
        </w:rPr>
        <w:tab/>
      </w:r>
      <w:r>
        <w:rPr>
          <w:rFonts w:hint="eastAsia" w:ascii="宋体" w:hAnsi="宋体"/>
          <w:sz w:val="24"/>
          <w:highlight w:val="none"/>
          <w:u w:val="single"/>
          <w:lang w:val="en-US" w:eastAsia="zh-CN"/>
        </w:rPr>
        <w:t xml:space="preserve">                </w:t>
      </w:r>
    </w:p>
    <w:p>
      <w:pPr>
        <w:spacing w:line="480" w:lineRule="exact"/>
        <w:ind w:left="120" w:leftChars="57" w:firstLine="3840" w:firstLineChars="1600"/>
        <w:rPr>
          <w:rFonts w:ascii="宋体" w:hAnsi="宋体"/>
          <w:sz w:val="24"/>
          <w:highlight w:val="none"/>
        </w:rPr>
      </w:pPr>
      <w:r>
        <w:rPr>
          <w:rFonts w:hint="eastAsia" w:ascii="宋体" w:hAnsi="宋体"/>
          <w:sz w:val="24"/>
          <w:highlight w:val="none"/>
        </w:rPr>
        <w:t>邮政编码：</w:t>
      </w:r>
      <w:r>
        <w:rPr>
          <w:rFonts w:ascii="宋体" w:hAnsi="宋体"/>
          <w:sz w:val="24"/>
          <w:highlight w:val="none"/>
          <w:u w:val="single"/>
        </w:rPr>
        <w:tab/>
      </w:r>
      <w:r>
        <w:rPr>
          <w:rFonts w:hint="eastAsia" w:ascii="宋体" w:hAnsi="宋体"/>
          <w:sz w:val="24"/>
          <w:highlight w:val="none"/>
          <w:u w:val="single"/>
          <w:lang w:val="en-US" w:eastAsia="zh-CN"/>
        </w:rPr>
        <w:t xml:space="preserve">             </w:t>
      </w:r>
    </w:p>
    <w:p>
      <w:pPr>
        <w:spacing w:line="480" w:lineRule="exact"/>
        <w:ind w:left="120" w:leftChars="57" w:firstLine="3840" w:firstLineChars="1600"/>
        <w:rPr>
          <w:rFonts w:ascii="宋体" w:hAnsi="宋体"/>
          <w:sz w:val="24"/>
          <w:highlight w:val="none"/>
        </w:rPr>
      </w:pPr>
    </w:p>
    <w:p>
      <w:pPr>
        <w:wordWrap w:val="0"/>
        <w:spacing w:line="480" w:lineRule="exact"/>
        <w:jc w:val="right"/>
        <w:rPr>
          <w:rFonts w:ascii="宋体" w:hAnsi="宋体"/>
          <w:sz w:val="24"/>
          <w:highlight w:val="none"/>
        </w:rPr>
      </w:pPr>
      <w:r>
        <w:rPr>
          <w:rFonts w:ascii="宋体" w:hAnsi="宋体"/>
          <w:sz w:val="24"/>
          <w:highlight w:val="none"/>
          <w:u w:val="single"/>
        </w:rPr>
        <w:tab/>
      </w:r>
      <w:r>
        <w:rPr>
          <w:rFonts w:hint="eastAsia" w:ascii="宋体" w:hAnsi="宋体"/>
          <w:sz w:val="24"/>
          <w:highlight w:val="none"/>
        </w:rPr>
        <w:t>年</w:t>
      </w:r>
      <w:r>
        <w:rPr>
          <w:rFonts w:ascii="宋体" w:hAnsi="宋体"/>
          <w:sz w:val="24"/>
          <w:highlight w:val="none"/>
          <w:u w:val="single"/>
        </w:rPr>
        <w:tab/>
      </w:r>
      <w:r>
        <w:rPr>
          <w:rFonts w:hint="eastAsia" w:ascii="宋体" w:hAnsi="宋体"/>
          <w:sz w:val="24"/>
          <w:highlight w:val="none"/>
        </w:rPr>
        <w:t>月</w:t>
      </w:r>
      <w:r>
        <w:rPr>
          <w:rFonts w:ascii="宋体" w:hAnsi="宋体"/>
          <w:sz w:val="24"/>
          <w:highlight w:val="none"/>
          <w:u w:val="single"/>
        </w:rPr>
        <w:tab/>
      </w:r>
      <w:r>
        <w:rPr>
          <w:rFonts w:hint="eastAsia" w:ascii="宋体" w:hAnsi="宋体"/>
          <w:sz w:val="24"/>
          <w:highlight w:val="none"/>
        </w:rPr>
        <w:t>日</w:t>
      </w:r>
    </w:p>
    <w:p>
      <w:pPr>
        <w:pStyle w:val="5"/>
        <w:jc w:val="center"/>
        <w:rPr>
          <w:rFonts w:ascii="宋体" w:hAnsi="宋体" w:eastAsia="宋体"/>
          <w:kern w:val="0"/>
          <w:sz w:val="24"/>
          <w:szCs w:val="24"/>
          <w:highlight w:val="none"/>
        </w:rPr>
      </w:pPr>
      <w:r>
        <w:rPr>
          <w:rFonts w:ascii="宋体" w:hAnsi="宋体" w:eastAsia="宋体"/>
          <w:kern w:val="0"/>
          <w:highlight w:val="none"/>
        </w:rPr>
        <w:br w:type="page"/>
      </w:r>
      <w:bookmarkEnd w:id="71"/>
      <w:bookmarkStart w:id="72" w:name="_Toc19179"/>
      <w:r>
        <w:rPr>
          <w:rFonts w:hint="eastAsia" w:ascii="宋体" w:hAnsi="宋体" w:eastAsia="宋体"/>
          <w:kern w:val="0"/>
          <w:sz w:val="24"/>
          <w:szCs w:val="24"/>
          <w:highlight w:val="none"/>
        </w:rPr>
        <w:t>二、竞争性磋商报价表</w:t>
      </w:r>
      <w:bookmarkEnd w:id="72"/>
    </w:p>
    <w:p>
      <w:pPr>
        <w:spacing w:line="480" w:lineRule="exact"/>
        <w:ind w:right="120"/>
        <w:jc w:val="center"/>
        <w:rPr>
          <w:rFonts w:ascii="宋体" w:hAnsi="宋体" w:cs="MingLiU"/>
          <w:b/>
          <w:kern w:val="0"/>
          <w:sz w:val="24"/>
          <w:highlight w:val="none"/>
        </w:rPr>
      </w:pPr>
      <w:r>
        <w:rPr>
          <w:rFonts w:hint="eastAsia" w:ascii="宋体" w:hAnsi="宋体" w:cs="MingLiU"/>
          <w:b/>
          <w:kern w:val="0"/>
          <w:sz w:val="24"/>
          <w:highlight w:val="none"/>
        </w:rPr>
        <w:t>2.1竞争性磋商报价表</w:t>
      </w:r>
    </w:p>
    <w:tbl>
      <w:tblPr>
        <w:tblStyle w:val="42"/>
        <w:tblpPr w:leftFromText="180" w:rightFromText="180" w:vertAnchor="text" w:horzAnchor="page" w:tblpX="1725" w:tblpY="189"/>
        <w:tblOverlap w:val="never"/>
        <w:tblW w:w="8940" w:type="dxa"/>
        <w:tblInd w:w="0" w:type="dxa"/>
        <w:tblLayout w:type="fixed"/>
        <w:tblCellMar>
          <w:top w:w="0" w:type="dxa"/>
          <w:left w:w="0" w:type="dxa"/>
          <w:bottom w:w="0" w:type="dxa"/>
          <w:right w:w="0" w:type="dxa"/>
        </w:tblCellMar>
      </w:tblPr>
      <w:tblGrid>
        <w:gridCol w:w="8940"/>
      </w:tblGrid>
      <w:tr>
        <w:tblPrEx>
          <w:tblCellMar>
            <w:top w:w="0" w:type="dxa"/>
            <w:left w:w="0" w:type="dxa"/>
            <w:bottom w:w="0" w:type="dxa"/>
            <w:right w:w="0" w:type="dxa"/>
          </w:tblCellMar>
        </w:tblPrEx>
        <w:trPr>
          <w:trHeight w:val="540" w:hRule="atLeast"/>
        </w:trPr>
        <w:tc>
          <w:tcPr>
            <w:tcW w:w="8940" w:type="dxa"/>
            <w:tcBorders>
              <w:top w:val="nil"/>
              <w:left w:val="nil"/>
              <w:bottom w:val="nil"/>
              <w:right w:val="nil"/>
            </w:tcBorders>
            <w:tcMar>
              <w:top w:w="15" w:type="dxa"/>
              <w:left w:w="15" w:type="dxa"/>
              <w:bottom w:w="0" w:type="dxa"/>
              <w:right w:w="15" w:type="dxa"/>
            </w:tcMar>
            <w:vAlign w:val="bottom"/>
          </w:tcPr>
          <w:p>
            <w:pPr>
              <w:spacing w:line="440" w:lineRule="exact"/>
              <w:rPr>
                <w:rFonts w:ascii="宋体" w:hAnsi="宋体"/>
                <w:b/>
                <w:sz w:val="24"/>
                <w:highlight w:val="none"/>
              </w:rPr>
            </w:pPr>
            <w:r>
              <w:rPr>
                <w:rFonts w:ascii="宋体" w:hAnsi="宋体"/>
                <w:b/>
                <w:sz w:val="24"/>
                <w:highlight w:val="none"/>
              </w:rPr>
              <w:t>项目编号：</w:t>
            </w:r>
          </w:p>
          <w:p>
            <w:pPr>
              <w:spacing w:line="440" w:lineRule="exact"/>
              <w:rPr>
                <w:rFonts w:ascii="宋体" w:hAnsi="宋体"/>
                <w:b/>
                <w:sz w:val="24"/>
                <w:highlight w:val="none"/>
              </w:rPr>
            </w:pPr>
            <w:r>
              <w:rPr>
                <w:rFonts w:ascii="宋体" w:hAnsi="宋体"/>
                <w:b/>
                <w:sz w:val="24"/>
                <w:highlight w:val="none"/>
              </w:rPr>
              <w:t>项目名称:           金额单位：元人民币</w:t>
            </w:r>
          </w:p>
          <w:tbl>
            <w:tblPr>
              <w:tblStyle w:val="42"/>
              <w:tblW w:w="89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5"/>
              <w:gridCol w:w="74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455" w:type="dxa"/>
                  <w:vAlign w:val="center"/>
                </w:tcPr>
                <w:p>
                  <w:pPr>
                    <w:jc w:val="center"/>
                    <w:rPr>
                      <w:rFonts w:ascii="宋体" w:hAnsi="宋体"/>
                      <w:b/>
                      <w:sz w:val="24"/>
                      <w:highlight w:val="none"/>
                    </w:rPr>
                  </w:pPr>
                  <w:r>
                    <w:rPr>
                      <w:rFonts w:ascii="宋体" w:hAnsi="宋体"/>
                      <w:b/>
                      <w:sz w:val="24"/>
                      <w:highlight w:val="none"/>
                    </w:rPr>
                    <w:t xml:space="preserve">供应商名称 </w:t>
                  </w:r>
                </w:p>
              </w:tc>
              <w:tc>
                <w:tcPr>
                  <w:tcW w:w="7445" w:type="dxa"/>
                  <w:vAlign w:val="center"/>
                </w:tcPr>
                <w:p>
                  <w:pPr>
                    <w:spacing w:line="480" w:lineRule="auto"/>
                    <w:ind w:firstLine="240" w:firstLineChars="100"/>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1455" w:type="dxa"/>
                  <w:vMerge w:val="restart"/>
                  <w:vAlign w:val="center"/>
                </w:tcPr>
                <w:p>
                  <w:pPr>
                    <w:jc w:val="center"/>
                    <w:rPr>
                      <w:rFonts w:ascii="宋体" w:hAnsi="宋体"/>
                      <w:b/>
                      <w:sz w:val="24"/>
                      <w:highlight w:val="none"/>
                    </w:rPr>
                  </w:pPr>
                  <w:r>
                    <w:rPr>
                      <w:rFonts w:ascii="宋体" w:hAnsi="宋体"/>
                      <w:b/>
                      <w:sz w:val="24"/>
                      <w:highlight w:val="none"/>
                    </w:rPr>
                    <w:t>报价</w:t>
                  </w:r>
                </w:p>
              </w:tc>
              <w:tc>
                <w:tcPr>
                  <w:tcW w:w="7445" w:type="dxa"/>
                  <w:vAlign w:val="center"/>
                </w:tcPr>
                <w:p>
                  <w:pPr>
                    <w:spacing w:line="480" w:lineRule="auto"/>
                    <w:rPr>
                      <w:rFonts w:ascii="宋体" w:hAnsi="宋体"/>
                      <w:sz w:val="24"/>
                      <w:highlight w:val="none"/>
                    </w:rPr>
                  </w:pPr>
                  <w:r>
                    <w:rPr>
                      <w:rFonts w:ascii="宋体" w:hAnsi="宋体"/>
                      <w:sz w:val="24"/>
                      <w:highlight w:val="none"/>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1455" w:type="dxa"/>
                  <w:vMerge w:val="continue"/>
                  <w:vAlign w:val="center"/>
                </w:tcPr>
                <w:p>
                  <w:pPr>
                    <w:jc w:val="center"/>
                    <w:rPr>
                      <w:rFonts w:ascii="宋体" w:hAnsi="宋体"/>
                      <w:b/>
                      <w:sz w:val="24"/>
                      <w:highlight w:val="none"/>
                    </w:rPr>
                  </w:pPr>
                </w:p>
              </w:tc>
              <w:tc>
                <w:tcPr>
                  <w:tcW w:w="7445" w:type="dxa"/>
                  <w:vAlign w:val="center"/>
                </w:tcPr>
                <w:p>
                  <w:pPr>
                    <w:spacing w:line="480" w:lineRule="auto"/>
                    <w:rPr>
                      <w:rFonts w:ascii="宋体" w:hAnsi="宋体"/>
                      <w:sz w:val="24"/>
                      <w:highlight w:val="none"/>
                    </w:rPr>
                  </w:pPr>
                  <w:r>
                    <w:rPr>
                      <w:rFonts w:ascii="宋体" w:hAnsi="宋体"/>
                      <w:sz w:val="24"/>
                      <w:highlight w:val="none"/>
                    </w:rPr>
                    <w:t>小写：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1455" w:type="dxa"/>
                  <w:vAlign w:val="center"/>
                </w:tcPr>
                <w:p>
                  <w:pPr>
                    <w:jc w:val="center"/>
                    <w:rPr>
                      <w:rFonts w:ascii="宋体" w:hAnsi="宋体"/>
                      <w:b/>
                      <w:sz w:val="24"/>
                      <w:highlight w:val="none"/>
                    </w:rPr>
                  </w:pPr>
                  <w:r>
                    <w:rPr>
                      <w:rFonts w:ascii="宋体" w:hAnsi="宋体"/>
                      <w:b/>
                      <w:sz w:val="24"/>
                      <w:highlight w:val="none"/>
                    </w:rPr>
                    <w:t>服务期</w:t>
                  </w:r>
                </w:p>
              </w:tc>
              <w:tc>
                <w:tcPr>
                  <w:tcW w:w="7445" w:type="dxa"/>
                  <w:vAlign w:val="center"/>
                </w:tcPr>
                <w:p>
                  <w:pPr>
                    <w:ind w:firstLine="240" w:firstLineChars="100"/>
                    <w:jc w:val="left"/>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1455" w:type="dxa"/>
                  <w:vAlign w:val="center"/>
                </w:tcPr>
                <w:p>
                  <w:pPr>
                    <w:jc w:val="center"/>
                    <w:rPr>
                      <w:rFonts w:ascii="宋体" w:hAnsi="宋体"/>
                      <w:b/>
                      <w:sz w:val="24"/>
                      <w:highlight w:val="none"/>
                    </w:rPr>
                  </w:pPr>
                  <w:r>
                    <w:rPr>
                      <w:rFonts w:hint="eastAsia" w:ascii="宋体" w:hAnsi="宋体"/>
                      <w:b/>
                      <w:sz w:val="24"/>
                      <w:highlight w:val="none"/>
                    </w:rPr>
                    <w:t>质量要求</w:t>
                  </w:r>
                </w:p>
              </w:tc>
              <w:tc>
                <w:tcPr>
                  <w:tcW w:w="7445" w:type="dxa"/>
                  <w:vAlign w:val="center"/>
                </w:tcPr>
                <w:p>
                  <w:pPr>
                    <w:ind w:firstLine="240" w:firstLineChars="100"/>
                    <w:jc w:val="left"/>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1455" w:type="dxa"/>
                  <w:vAlign w:val="center"/>
                </w:tcPr>
                <w:p>
                  <w:pPr>
                    <w:jc w:val="center"/>
                    <w:rPr>
                      <w:rFonts w:ascii="宋体" w:hAnsi="宋体"/>
                      <w:b/>
                      <w:sz w:val="24"/>
                      <w:highlight w:val="none"/>
                    </w:rPr>
                  </w:pPr>
                  <w:r>
                    <w:rPr>
                      <w:rFonts w:ascii="宋体" w:hAnsi="宋体"/>
                      <w:b/>
                      <w:sz w:val="24"/>
                      <w:highlight w:val="none"/>
                    </w:rPr>
                    <w:t>保证金</w:t>
                  </w:r>
                </w:p>
              </w:tc>
              <w:tc>
                <w:tcPr>
                  <w:tcW w:w="7445" w:type="dxa"/>
                  <w:vAlign w:val="center"/>
                </w:tcPr>
                <w:p>
                  <w:pPr>
                    <w:ind w:firstLine="240" w:firstLineChars="100"/>
                    <w:rPr>
                      <w:rFonts w:ascii="宋体" w:hAnsi="宋体"/>
                      <w:sz w:val="24"/>
                      <w:highlight w:val="none"/>
                    </w:rPr>
                  </w:pPr>
                  <w:r>
                    <w:rPr>
                      <w:rFonts w:hint="eastAsia" w:ascii="宋体" w:hAnsi="宋体"/>
                      <w:sz w:val="24"/>
                      <w:highlight w:val="none"/>
                    </w:rPr>
                    <w:t>根据豫财购【2019】4号文规定，投标保证金不再收取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1455" w:type="dxa"/>
                  <w:vAlign w:val="center"/>
                </w:tcPr>
                <w:p>
                  <w:pPr>
                    <w:jc w:val="center"/>
                    <w:rPr>
                      <w:rFonts w:ascii="宋体" w:hAnsi="宋体"/>
                      <w:b/>
                      <w:sz w:val="24"/>
                      <w:highlight w:val="none"/>
                    </w:rPr>
                  </w:pPr>
                  <w:r>
                    <w:rPr>
                      <w:rFonts w:hint="eastAsia" w:ascii="宋体" w:hAnsi="宋体"/>
                      <w:b/>
                      <w:sz w:val="24"/>
                      <w:highlight w:val="none"/>
                    </w:rPr>
                    <w:t>有效期</w:t>
                  </w:r>
                </w:p>
              </w:tc>
              <w:tc>
                <w:tcPr>
                  <w:tcW w:w="7445" w:type="dxa"/>
                  <w:vAlign w:val="center"/>
                </w:tcPr>
                <w:p>
                  <w:pPr>
                    <w:ind w:firstLine="240" w:firstLineChars="100"/>
                    <w:rPr>
                      <w:rFonts w:ascii="宋体" w:hAnsi="宋体"/>
                      <w:sz w:val="24"/>
                      <w:highlight w:val="none"/>
                    </w:rPr>
                  </w:pPr>
                  <w:r>
                    <w:rPr>
                      <w:rFonts w:hint="eastAsia" w:ascii="宋体" w:hAnsi="宋体"/>
                      <w:sz w:val="24"/>
                      <w:highlight w:val="none"/>
                    </w:rPr>
                    <w:t>响应文件递交截止之日起60日历天内有效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555" w:hRule="atLeast"/>
                <w:jc w:val="center"/>
              </w:trPr>
              <w:tc>
                <w:tcPr>
                  <w:tcW w:w="1455" w:type="dxa"/>
                  <w:vAlign w:val="center"/>
                </w:tcPr>
                <w:p>
                  <w:pPr>
                    <w:jc w:val="center"/>
                    <w:rPr>
                      <w:rFonts w:ascii="宋体" w:hAnsi="宋体"/>
                      <w:b/>
                      <w:sz w:val="24"/>
                      <w:highlight w:val="none"/>
                    </w:rPr>
                  </w:pPr>
                  <w:r>
                    <w:rPr>
                      <w:rFonts w:ascii="宋体" w:hAnsi="宋体"/>
                      <w:b/>
                      <w:sz w:val="24"/>
                      <w:highlight w:val="none"/>
                    </w:rPr>
                    <w:t>其他声明</w:t>
                  </w:r>
                </w:p>
              </w:tc>
              <w:tc>
                <w:tcPr>
                  <w:tcW w:w="7445" w:type="dxa"/>
                  <w:vAlign w:val="center"/>
                </w:tcPr>
                <w:p>
                  <w:pPr>
                    <w:rPr>
                      <w:rFonts w:ascii="宋体" w:hAnsi="宋体"/>
                      <w:sz w:val="24"/>
                      <w:highlight w:val="none"/>
                    </w:rPr>
                  </w:pPr>
                </w:p>
              </w:tc>
            </w:tr>
          </w:tbl>
          <w:p>
            <w:pPr>
              <w:spacing w:line="440" w:lineRule="exact"/>
              <w:rPr>
                <w:sz w:val="24"/>
                <w:highlight w:val="none"/>
              </w:rPr>
            </w:pPr>
          </w:p>
          <w:p>
            <w:pPr>
              <w:spacing w:line="440" w:lineRule="exact"/>
              <w:rPr>
                <w:sz w:val="24"/>
                <w:highlight w:val="none"/>
              </w:rPr>
            </w:pPr>
            <w:r>
              <w:rPr>
                <w:sz w:val="24"/>
                <w:highlight w:val="none"/>
              </w:rPr>
              <w:t>供应商</w:t>
            </w:r>
            <w:r>
              <w:rPr>
                <w:rFonts w:hint="eastAsia"/>
                <w:sz w:val="24"/>
                <w:highlight w:val="none"/>
              </w:rPr>
              <w:t>（盖单位章</w:t>
            </w:r>
            <w:r>
              <w:rPr>
                <w:rFonts w:hint="eastAsia"/>
                <w:sz w:val="24"/>
                <w:highlight w:val="none"/>
                <w:lang w:eastAsia="zh-CN"/>
              </w:rPr>
              <w:t>或电子盖章</w:t>
            </w:r>
            <w:r>
              <w:rPr>
                <w:rFonts w:hint="eastAsia"/>
                <w:sz w:val="24"/>
                <w:highlight w:val="none"/>
              </w:rPr>
              <w:t>）</w:t>
            </w:r>
            <w:r>
              <w:rPr>
                <w:sz w:val="24"/>
                <w:highlight w:val="none"/>
              </w:rPr>
              <w:t>：</w:t>
            </w:r>
          </w:p>
          <w:p>
            <w:pPr>
              <w:spacing w:line="440" w:lineRule="exact"/>
              <w:rPr>
                <w:sz w:val="24"/>
                <w:highlight w:val="none"/>
              </w:rPr>
            </w:pPr>
          </w:p>
          <w:p>
            <w:pPr>
              <w:spacing w:line="440" w:lineRule="exact"/>
              <w:rPr>
                <w:sz w:val="24"/>
                <w:highlight w:val="none"/>
              </w:rPr>
            </w:pPr>
            <w:r>
              <w:rPr>
                <w:sz w:val="24"/>
                <w:highlight w:val="none"/>
              </w:rPr>
              <w:t>法定代表人</w:t>
            </w:r>
            <w:r>
              <w:rPr>
                <w:rFonts w:hint="eastAsia"/>
                <w:sz w:val="24"/>
                <w:highlight w:val="none"/>
                <w:lang w:eastAsia="zh-CN"/>
              </w:rPr>
              <w:t>或授权人</w:t>
            </w:r>
            <w:r>
              <w:rPr>
                <w:sz w:val="24"/>
                <w:highlight w:val="none"/>
              </w:rPr>
              <w:t>（</w:t>
            </w:r>
            <w:r>
              <w:rPr>
                <w:rFonts w:hint="eastAsia"/>
                <w:sz w:val="24"/>
                <w:highlight w:val="none"/>
                <w:lang w:eastAsia="zh-CN"/>
              </w:rPr>
              <w:t>签字或盖章</w:t>
            </w:r>
            <w:r>
              <w:rPr>
                <w:sz w:val="24"/>
                <w:highlight w:val="none"/>
              </w:rPr>
              <w:t>）：</w:t>
            </w:r>
          </w:p>
          <w:p>
            <w:pPr>
              <w:spacing w:line="440" w:lineRule="exact"/>
              <w:rPr>
                <w:sz w:val="24"/>
                <w:highlight w:val="none"/>
              </w:rPr>
            </w:pPr>
          </w:p>
          <w:p>
            <w:pPr>
              <w:spacing w:line="440" w:lineRule="exact"/>
              <w:jc w:val="right"/>
              <w:rPr>
                <w:sz w:val="24"/>
                <w:highlight w:val="none"/>
              </w:rPr>
            </w:pPr>
            <w:r>
              <w:rPr>
                <w:sz w:val="24"/>
                <w:highlight w:val="none"/>
              </w:rPr>
              <w:t>日期：      年  月   日</w:t>
            </w:r>
          </w:p>
        </w:tc>
      </w:tr>
    </w:tbl>
    <w:p>
      <w:pPr>
        <w:spacing w:line="0" w:lineRule="atLeast"/>
        <w:jc w:val="center"/>
        <w:rPr>
          <w:rFonts w:ascii="宋体" w:hAnsi="宋体"/>
          <w:b/>
          <w:sz w:val="24"/>
          <w:highlight w:val="none"/>
        </w:rPr>
      </w:pPr>
      <w:bookmarkStart w:id="73" w:name="_Toc340910912"/>
    </w:p>
    <w:p>
      <w:pPr>
        <w:rPr>
          <w:rFonts w:ascii="宋体" w:hAnsi="宋体"/>
          <w:b/>
          <w:sz w:val="24"/>
          <w:highlight w:val="none"/>
        </w:rPr>
      </w:pPr>
      <w:r>
        <w:rPr>
          <w:rFonts w:hint="eastAsia" w:ascii="宋体" w:hAnsi="宋体"/>
          <w:b/>
          <w:sz w:val="24"/>
          <w:highlight w:val="none"/>
        </w:rPr>
        <w:br w:type="page"/>
      </w:r>
    </w:p>
    <w:p>
      <w:pPr>
        <w:jc w:val="center"/>
        <w:rPr>
          <w:rFonts w:ascii="宋体" w:hAnsi="宋体"/>
          <w:b/>
          <w:sz w:val="24"/>
          <w:highlight w:val="none"/>
        </w:rPr>
      </w:pPr>
      <w:r>
        <w:rPr>
          <w:rFonts w:hint="eastAsia" w:ascii="宋体" w:hAnsi="宋体"/>
          <w:b/>
          <w:sz w:val="24"/>
          <w:highlight w:val="none"/>
        </w:rPr>
        <w:t>2.2分项报价一览表</w:t>
      </w:r>
    </w:p>
    <w:p>
      <w:pPr>
        <w:autoSpaceDE w:val="0"/>
        <w:autoSpaceDN w:val="0"/>
        <w:adjustRightInd w:val="0"/>
        <w:spacing w:line="360" w:lineRule="exact"/>
        <w:ind w:left="4318" w:leftChars="285" w:hanging="3720" w:hangingChars="1550"/>
        <w:rPr>
          <w:rFonts w:ascii="宋体" w:hAnsi="宋体"/>
          <w:sz w:val="24"/>
          <w:highlight w:val="none"/>
        </w:rPr>
      </w:pPr>
      <w:r>
        <w:rPr>
          <w:rFonts w:hint="eastAsia" w:ascii="宋体" w:hAnsi="宋体"/>
          <w:sz w:val="24"/>
          <w:highlight w:val="none"/>
        </w:rPr>
        <w:t xml:space="preserve">                                                    金额单位：人民币元</w:t>
      </w:r>
    </w:p>
    <w:p>
      <w:pPr>
        <w:autoSpaceDE w:val="0"/>
        <w:autoSpaceDN w:val="0"/>
        <w:adjustRightInd w:val="0"/>
        <w:spacing w:line="360" w:lineRule="exact"/>
        <w:ind w:left="4318" w:leftChars="285" w:hanging="3720" w:hangingChars="1550"/>
        <w:rPr>
          <w:rFonts w:ascii="宋体" w:hAnsi="宋体"/>
          <w:sz w:val="24"/>
          <w:highlight w:val="none"/>
        </w:rPr>
      </w:pPr>
    </w:p>
    <w:tbl>
      <w:tblPr>
        <w:tblStyle w:val="4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91"/>
        <w:gridCol w:w="1701"/>
        <w:gridCol w:w="84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b/>
                <w:bCs/>
                <w:sz w:val="24"/>
                <w:highlight w:val="none"/>
              </w:rPr>
            </w:pPr>
            <w:r>
              <w:rPr>
                <w:rFonts w:hint="eastAsia" w:ascii="宋体" w:hAnsi="宋体"/>
                <w:b/>
                <w:bCs/>
                <w:sz w:val="24"/>
                <w:highlight w:val="none"/>
              </w:rPr>
              <w:t>序号</w:t>
            </w:r>
          </w:p>
        </w:tc>
        <w:tc>
          <w:tcPr>
            <w:tcW w:w="3391" w:type="dxa"/>
            <w:vAlign w:val="center"/>
          </w:tcPr>
          <w:p>
            <w:pPr>
              <w:spacing w:line="360" w:lineRule="auto"/>
              <w:jc w:val="center"/>
              <w:rPr>
                <w:rFonts w:ascii="宋体" w:hAnsi="宋体"/>
                <w:b/>
                <w:bCs/>
                <w:sz w:val="24"/>
                <w:highlight w:val="none"/>
              </w:rPr>
            </w:pPr>
            <w:r>
              <w:rPr>
                <w:rFonts w:hint="eastAsia" w:ascii="宋体" w:hAnsi="宋体"/>
                <w:b/>
                <w:bCs/>
                <w:sz w:val="24"/>
                <w:highlight w:val="none"/>
              </w:rPr>
              <w:t>分项名称</w:t>
            </w:r>
          </w:p>
        </w:tc>
        <w:tc>
          <w:tcPr>
            <w:tcW w:w="1701" w:type="dxa"/>
            <w:vAlign w:val="center"/>
          </w:tcPr>
          <w:p>
            <w:pPr>
              <w:spacing w:line="360" w:lineRule="auto"/>
              <w:jc w:val="center"/>
              <w:rPr>
                <w:rFonts w:ascii="宋体" w:hAnsi="宋体"/>
                <w:b/>
                <w:bCs/>
                <w:sz w:val="24"/>
                <w:highlight w:val="none"/>
              </w:rPr>
            </w:pPr>
            <w:r>
              <w:rPr>
                <w:rFonts w:hint="eastAsia" w:ascii="宋体" w:hAnsi="宋体"/>
                <w:b/>
                <w:bCs/>
                <w:sz w:val="24"/>
                <w:highlight w:val="none"/>
              </w:rPr>
              <w:t>费用（含税）</w:t>
            </w:r>
          </w:p>
        </w:tc>
        <w:tc>
          <w:tcPr>
            <w:tcW w:w="848" w:type="dxa"/>
            <w:vAlign w:val="center"/>
          </w:tcPr>
          <w:p>
            <w:pPr>
              <w:spacing w:line="360" w:lineRule="auto"/>
              <w:jc w:val="center"/>
              <w:rPr>
                <w:rFonts w:ascii="宋体" w:hAnsi="宋体"/>
                <w:b/>
                <w:bCs/>
                <w:sz w:val="24"/>
                <w:highlight w:val="none"/>
              </w:rPr>
            </w:pPr>
            <w:r>
              <w:rPr>
                <w:rFonts w:hint="eastAsia" w:ascii="宋体" w:hAnsi="宋体"/>
                <w:b/>
                <w:bCs/>
                <w:sz w:val="24"/>
                <w:highlight w:val="none"/>
              </w:rPr>
              <w:t>其他</w:t>
            </w:r>
          </w:p>
        </w:tc>
        <w:tc>
          <w:tcPr>
            <w:tcW w:w="1980" w:type="dxa"/>
            <w:vAlign w:val="center"/>
          </w:tcPr>
          <w:p>
            <w:pPr>
              <w:spacing w:line="360" w:lineRule="auto"/>
              <w:jc w:val="center"/>
              <w:rPr>
                <w:rFonts w:ascii="宋体" w:hAnsi="宋体"/>
                <w:b/>
                <w:bCs/>
                <w:sz w:val="24"/>
                <w:highlight w:val="none"/>
              </w:rPr>
            </w:pPr>
            <w:r>
              <w:rPr>
                <w:rFonts w:hint="eastAsia" w:ascii="宋体" w:hAnsi="宋体"/>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360" w:lineRule="auto"/>
              <w:rPr>
                <w:rFonts w:ascii="宋体" w:hAnsi="宋体"/>
                <w:sz w:val="24"/>
                <w:highlight w:val="none"/>
              </w:rPr>
            </w:pPr>
          </w:p>
        </w:tc>
        <w:tc>
          <w:tcPr>
            <w:tcW w:w="3391" w:type="dxa"/>
          </w:tcPr>
          <w:p>
            <w:pPr>
              <w:spacing w:line="360" w:lineRule="auto"/>
              <w:rPr>
                <w:rFonts w:ascii="宋体" w:hAnsi="宋体"/>
                <w:sz w:val="24"/>
                <w:highlight w:val="none"/>
              </w:rPr>
            </w:pPr>
          </w:p>
        </w:tc>
        <w:tc>
          <w:tcPr>
            <w:tcW w:w="1701" w:type="dxa"/>
          </w:tcPr>
          <w:p>
            <w:pPr>
              <w:spacing w:line="360" w:lineRule="auto"/>
              <w:rPr>
                <w:rFonts w:ascii="宋体" w:hAnsi="宋体"/>
                <w:sz w:val="24"/>
                <w:highlight w:val="none"/>
              </w:rPr>
            </w:pPr>
          </w:p>
        </w:tc>
        <w:tc>
          <w:tcPr>
            <w:tcW w:w="848" w:type="dxa"/>
          </w:tcPr>
          <w:p>
            <w:pPr>
              <w:spacing w:line="360" w:lineRule="auto"/>
              <w:rPr>
                <w:rFonts w:ascii="宋体" w:hAnsi="宋体"/>
                <w:sz w:val="24"/>
                <w:highlight w:val="none"/>
              </w:rPr>
            </w:pPr>
          </w:p>
        </w:tc>
        <w:tc>
          <w:tcPr>
            <w:tcW w:w="1980"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sz w:val="24"/>
                <w:highlight w:val="none"/>
              </w:rPr>
            </w:pPr>
          </w:p>
        </w:tc>
        <w:tc>
          <w:tcPr>
            <w:tcW w:w="3391" w:type="dxa"/>
          </w:tcPr>
          <w:p>
            <w:pPr>
              <w:spacing w:line="360" w:lineRule="auto"/>
              <w:rPr>
                <w:rFonts w:ascii="宋体" w:hAnsi="宋体"/>
                <w:sz w:val="24"/>
                <w:highlight w:val="none"/>
              </w:rPr>
            </w:pPr>
          </w:p>
        </w:tc>
        <w:tc>
          <w:tcPr>
            <w:tcW w:w="1701" w:type="dxa"/>
          </w:tcPr>
          <w:p>
            <w:pPr>
              <w:spacing w:line="360" w:lineRule="auto"/>
              <w:rPr>
                <w:rFonts w:ascii="宋体" w:hAnsi="宋体"/>
                <w:sz w:val="24"/>
                <w:highlight w:val="none"/>
              </w:rPr>
            </w:pPr>
          </w:p>
        </w:tc>
        <w:tc>
          <w:tcPr>
            <w:tcW w:w="848" w:type="dxa"/>
          </w:tcPr>
          <w:p>
            <w:pPr>
              <w:spacing w:line="360" w:lineRule="auto"/>
              <w:rPr>
                <w:rFonts w:ascii="宋体" w:hAnsi="宋体"/>
                <w:sz w:val="24"/>
                <w:highlight w:val="none"/>
              </w:rPr>
            </w:pPr>
          </w:p>
        </w:tc>
        <w:tc>
          <w:tcPr>
            <w:tcW w:w="1980"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360" w:lineRule="auto"/>
              <w:rPr>
                <w:rFonts w:ascii="宋体" w:hAnsi="宋体"/>
                <w:sz w:val="24"/>
                <w:highlight w:val="none"/>
              </w:rPr>
            </w:pPr>
          </w:p>
        </w:tc>
        <w:tc>
          <w:tcPr>
            <w:tcW w:w="3391" w:type="dxa"/>
          </w:tcPr>
          <w:p>
            <w:pPr>
              <w:spacing w:line="360" w:lineRule="auto"/>
              <w:rPr>
                <w:rFonts w:ascii="宋体" w:hAnsi="宋体"/>
                <w:sz w:val="24"/>
                <w:highlight w:val="none"/>
              </w:rPr>
            </w:pPr>
          </w:p>
        </w:tc>
        <w:tc>
          <w:tcPr>
            <w:tcW w:w="1701" w:type="dxa"/>
          </w:tcPr>
          <w:p>
            <w:pPr>
              <w:spacing w:line="360" w:lineRule="auto"/>
              <w:rPr>
                <w:rFonts w:ascii="宋体" w:hAnsi="宋体"/>
                <w:sz w:val="24"/>
                <w:highlight w:val="none"/>
              </w:rPr>
            </w:pPr>
          </w:p>
        </w:tc>
        <w:tc>
          <w:tcPr>
            <w:tcW w:w="848" w:type="dxa"/>
          </w:tcPr>
          <w:p>
            <w:pPr>
              <w:spacing w:line="360" w:lineRule="auto"/>
              <w:rPr>
                <w:rFonts w:ascii="宋体" w:hAnsi="宋体"/>
                <w:sz w:val="24"/>
                <w:highlight w:val="none"/>
              </w:rPr>
            </w:pPr>
          </w:p>
        </w:tc>
        <w:tc>
          <w:tcPr>
            <w:tcW w:w="1980"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sz w:val="24"/>
                <w:highlight w:val="none"/>
              </w:rPr>
            </w:pPr>
          </w:p>
        </w:tc>
        <w:tc>
          <w:tcPr>
            <w:tcW w:w="3391" w:type="dxa"/>
          </w:tcPr>
          <w:p>
            <w:pPr>
              <w:spacing w:line="360" w:lineRule="auto"/>
              <w:rPr>
                <w:rFonts w:ascii="宋体" w:hAnsi="宋体"/>
                <w:sz w:val="24"/>
                <w:highlight w:val="none"/>
              </w:rPr>
            </w:pPr>
          </w:p>
        </w:tc>
        <w:tc>
          <w:tcPr>
            <w:tcW w:w="1701" w:type="dxa"/>
          </w:tcPr>
          <w:p>
            <w:pPr>
              <w:spacing w:line="360" w:lineRule="auto"/>
              <w:rPr>
                <w:rFonts w:ascii="宋体" w:hAnsi="宋体"/>
                <w:sz w:val="24"/>
                <w:highlight w:val="none"/>
              </w:rPr>
            </w:pPr>
          </w:p>
        </w:tc>
        <w:tc>
          <w:tcPr>
            <w:tcW w:w="848" w:type="dxa"/>
          </w:tcPr>
          <w:p>
            <w:pPr>
              <w:spacing w:line="360" w:lineRule="auto"/>
              <w:rPr>
                <w:rFonts w:ascii="宋体" w:hAnsi="宋体"/>
                <w:sz w:val="24"/>
                <w:highlight w:val="none"/>
              </w:rPr>
            </w:pPr>
          </w:p>
        </w:tc>
        <w:tc>
          <w:tcPr>
            <w:tcW w:w="1980"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360" w:lineRule="auto"/>
              <w:rPr>
                <w:rFonts w:ascii="宋体" w:hAnsi="宋体"/>
                <w:sz w:val="24"/>
                <w:highlight w:val="none"/>
              </w:rPr>
            </w:pPr>
          </w:p>
        </w:tc>
        <w:tc>
          <w:tcPr>
            <w:tcW w:w="3391" w:type="dxa"/>
          </w:tcPr>
          <w:p>
            <w:pPr>
              <w:spacing w:line="360" w:lineRule="auto"/>
              <w:rPr>
                <w:rFonts w:ascii="宋体" w:hAnsi="宋体"/>
                <w:sz w:val="24"/>
                <w:highlight w:val="none"/>
              </w:rPr>
            </w:pPr>
          </w:p>
        </w:tc>
        <w:tc>
          <w:tcPr>
            <w:tcW w:w="1701" w:type="dxa"/>
          </w:tcPr>
          <w:p>
            <w:pPr>
              <w:spacing w:line="360" w:lineRule="auto"/>
              <w:rPr>
                <w:rFonts w:ascii="宋体" w:hAnsi="宋体"/>
                <w:sz w:val="24"/>
                <w:highlight w:val="none"/>
              </w:rPr>
            </w:pPr>
          </w:p>
        </w:tc>
        <w:tc>
          <w:tcPr>
            <w:tcW w:w="848" w:type="dxa"/>
          </w:tcPr>
          <w:p>
            <w:pPr>
              <w:spacing w:line="360" w:lineRule="auto"/>
              <w:rPr>
                <w:rFonts w:ascii="宋体" w:hAnsi="宋体"/>
                <w:sz w:val="24"/>
                <w:highlight w:val="none"/>
              </w:rPr>
            </w:pPr>
          </w:p>
        </w:tc>
        <w:tc>
          <w:tcPr>
            <w:tcW w:w="1980"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sz w:val="24"/>
                <w:highlight w:val="none"/>
              </w:rPr>
            </w:pPr>
          </w:p>
        </w:tc>
        <w:tc>
          <w:tcPr>
            <w:tcW w:w="3391" w:type="dxa"/>
          </w:tcPr>
          <w:p>
            <w:pPr>
              <w:spacing w:line="360" w:lineRule="auto"/>
              <w:rPr>
                <w:rFonts w:ascii="宋体" w:hAnsi="宋体"/>
                <w:sz w:val="24"/>
                <w:highlight w:val="none"/>
              </w:rPr>
            </w:pPr>
          </w:p>
        </w:tc>
        <w:tc>
          <w:tcPr>
            <w:tcW w:w="1701" w:type="dxa"/>
          </w:tcPr>
          <w:p>
            <w:pPr>
              <w:spacing w:line="360" w:lineRule="auto"/>
              <w:rPr>
                <w:rFonts w:ascii="宋体" w:hAnsi="宋体"/>
                <w:sz w:val="24"/>
                <w:highlight w:val="none"/>
              </w:rPr>
            </w:pPr>
          </w:p>
        </w:tc>
        <w:tc>
          <w:tcPr>
            <w:tcW w:w="848" w:type="dxa"/>
          </w:tcPr>
          <w:p>
            <w:pPr>
              <w:spacing w:line="360" w:lineRule="auto"/>
              <w:rPr>
                <w:rFonts w:ascii="宋体" w:hAnsi="宋体"/>
                <w:sz w:val="24"/>
                <w:highlight w:val="none"/>
              </w:rPr>
            </w:pPr>
          </w:p>
        </w:tc>
        <w:tc>
          <w:tcPr>
            <w:tcW w:w="1980"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360" w:lineRule="auto"/>
              <w:rPr>
                <w:rFonts w:ascii="宋体" w:hAnsi="宋体"/>
                <w:sz w:val="24"/>
                <w:highlight w:val="none"/>
              </w:rPr>
            </w:pPr>
          </w:p>
        </w:tc>
        <w:tc>
          <w:tcPr>
            <w:tcW w:w="3391" w:type="dxa"/>
          </w:tcPr>
          <w:p>
            <w:pPr>
              <w:spacing w:line="360" w:lineRule="auto"/>
              <w:rPr>
                <w:rFonts w:ascii="宋体" w:hAnsi="宋体"/>
                <w:sz w:val="24"/>
                <w:highlight w:val="none"/>
              </w:rPr>
            </w:pPr>
          </w:p>
        </w:tc>
        <w:tc>
          <w:tcPr>
            <w:tcW w:w="1701" w:type="dxa"/>
          </w:tcPr>
          <w:p>
            <w:pPr>
              <w:spacing w:line="360" w:lineRule="auto"/>
              <w:rPr>
                <w:rFonts w:ascii="宋体" w:hAnsi="宋体"/>
                <w:sz w:val="24"/>
                <w:highlight w:val="none"/>
              </w:rPr>
            </w:pPr>
          </w:p>
        </w:tc>
        <w:tc>
          <w:tcPr>
            <w:tcW w:w="848" w:type="dxa"/>
          </w:tcPr>
          <w:p>
            <w:pPr>
              <w:spacing w:line="360" w:lineRule="auto"/>
              <w:rPr>
                <w:rFonts w:ascii="宋体" w:hAnsi="宋体"/>
                <w:sz w:val="24"/>
                <w:highlight w:val="none"/>
              </w:rPr>
            </w:pPr>
          </w:p>
        </w:tc>
        <w:tc>
          <w:tcPr>
            <w:tcW w:w="1980"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rPr>
                <w:rFonts w:ascii="宋体" w:hAnsi="宋体"/>
                <w:sz w:val="24"/>
                <w:highlight w:val="none"/>
              </w:rPr>
            </w:pPr>
          </w:p>
        </w:tc>
        <w:tc>
          <w:tcPr>
            <w:tcW w:w="3391" w:type="dxa"/>
          </w:tcPr>
          <w:p>
            <w:pPr>
              <w:spacing w:line="360" w:lineRule="auto"/>
              <w:rPr>
                <w:rFonts w:ascii="宋体" w:hAnsi="宋体"/>
                <w:sz w:val="24"/>
                <w:highlight w:val="none"/>
              </w:rPr>
            </w:pPr>
          </w:p>
        </w:tc>
        <w:tc>
          <w:tcPr>
            <w:tcW w:w="1701" w:type="dxa"/>
          </w:tcPr>
          <w:p>
            <w:pPr>
              <w:spacing w:line="360" w:lineRule="auto"/>
              <w:rPr>
                <w:rFonts w:ascii="宋体" w:hAnsi="宋体"/>
                <w:sz w:val="24"/>
                <w:highlight w:val="none"/>
              </w:rPr>
            </w:pPr>
          </w:p>
        </w:tc>
        <w:tc>
          <w:tcPr>
            <w:tcW w:w="848" w:type="dxa"/>
          </w:tcPr>
          <w:p>
            <w:pPr>
              <w:spacing w:line="360" w:lineRule="auto"/>
              <w:rPr>
                <w:rFonts w:ascii="宋体" w:hAnsi="宋体"/>
                <w:sz w:val="24"/>
                <w:highlight w:val="none"/>
              </w:rPr>
            </w:pPr>
          </w:p>
        </w:tc>
        <w:tc>
          <w:tcPr>
            <w:tcW w:w="1980"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gridSpan w:val="2"/>
          </w:tcPr>
          <w:p>
            <w:pPr>
              <w:spacing w:line="360" w:lineRule="auto"/>
              <w:jc w:val="center"/>
              <w:rPr>
                <w:rFonts w:ascii="宋体" w:hAnsi="宋体"/>
                <w:sz w:val="24"/>
                <w:highlight w:val="none"/>
              </w:rPr>
            </w:pPr>
            <w:r>
              <w:rPr>
                <w:rFonts w:hint="eastAsia" w:ascii="宋体" w:hAnsi="宋体"/>
                <w:sz w:val="24"/>
                <w:highlight w:val="none"/>
              </w:rPr>
              <w:t>总计</w:t>
            </w:r>
          </w:p>
        </w:tc>
        <w:tc>
          <w:tcPr>
            <w:tcW w:w="4529" w:type="dxa"/>
            <w:gridSpan w:val="3"/>
          </w:tcPr>
          <w:p>
            <w:pPr>
              <w:spacing w:line="360" w:lineRule="auto"/>
              <w:rPr>
                <w:rFonts w:ascii="宋体" w:hAnsi="宋体"/>
                <w:sz w:val="24"/>
                <w:highlight w:val="none"/>
              </w:rPr>
            </w:pPr>
          </w:p>
        </w:tc>
      </w:tr>
    </w:tbl>
    <w:p>
      <w:pPr>
        <w:autoSpaceDE w:val="0"/>
        <w:autoSpaceDN w:val="0"/>
        <w:adjustRightInd w:val="0"/>
        <w:spacing w:line="360" w:lineRule="exact"/>
        <w:ind w:left="4318" w:leftChars="285" w:hanging="3720" w:hangingChars="1550"/>
        <w:rPr>
          <w:rFonts w:ascii="宋体" w:hAnsi="宋体"/>
          <w:sz w:val="24"/>
          <w:highlight w:val="none"/>
        </w:rPr>
      </w:pPr>
    </w:p>
    <w:p>
      <w:pPr>
        <w:autoSpaceDE w:val="0"/>
        <w:autoSpaceDN w:val="0"/>
        <w:adjustRightInd w:val="0"/>
        <w:spacing w:line="360" w:lineRule="exact"/>
        <w:ind w:left="4318" w:leftChars="285" w:hanging="3720" w:hangingChars="1550"/>
        <w:rPr>
          <w:rFonts w:ascii="宋体" w:hAnsi="宋体"/>
          <w:sz w:val="24"/>
          <w:highlight w:val="none"/>
        </w:rPr>
      </w:pPr>
    </w:p>
    <w:p>
      <w:pPr>
        <w:autoSpaceDE w:val="0"/>
        <w:autoSpaceDN w:val="0"/>
        <w:adjustRightInd w:val="0"/>
        <w:spacing w:line="360" w:lineRule="exact"/>
        <w:ind w:left="4318" w:leftChars="285" w:hanging="3720" w:hangingChars="1550"/>
        <w:rPr>
          <w:rFonts w:ascii="宋体" w:hAnsi="宋体"/>
          <w:sz w:val="24"/>
          <w:highlight w:val="none"/>
        </w:rPr>
      </w:pPr>
    </w:p>
    <w:p>
      <w:pPr>
        <w:autoSpaceDE w:val="0"/>
        <w:autoSpaceDN w:val="0"/>
        <w:adjustRightInd w:val="0"/>
        <w:spacing w:line="360" w:lineRule="exact"/>
        <w:ind w:left="4318" w:leftChars="285" w:hanging="3720" w:hangingChars="1550"/>
        <w:rPr>
          <w:rFonts w:ascii="宋体" w:hAnsi="宋体"/>
          <w:sz w:val="24"/>
          <w:highlight w:val="none"/>
        </w:rPr>
      </w:pPr>
    </w:p>
    <w:p>
      <w:pPr>
        <w:spacing w:line="480" w:lineRule="auto"/>
        <w:ind w:left="3060"/>
        <w:jc w:val="left"/>
        <w:rPr>
          <w:rFonts w:hint="eastAsia" w:ascii="宋体" w:hAnsi="宋体"/>
          <w:sz w:val="24"/>
          <w:highlight w:val="none"/>
        </w:rPr>
      </w:pPr>
      <w:r>
        <w:rPr>
          <w:rFonts w:hint="eastAsia" w:ascii="宋体" w:hAnsi="宋体"/>
          <w:sz w:val="24"/>
          <w:highlight w:val="none"/>
        </w:rPr>
        <w:t>供应商（盖单位章</w:t>
      </w:r>
      <w:r>
        <w:rPr>
          <w:rFonts w:hint="eastAsia" w:ascii="宋体" w:hAnsi="宋体"/>
          <w:sz w:val="24"/>
          <w:highlight w:val="none"/>
          <w:lang w:eastAsia="zh-CN"/>
        </w:rPr>
        <w:t>或电子盖章</w:t>
      </w:r>
      <w:r>
        <w:rPr>
          <w:rFonts w:hint="eastAsia" w:ascii="宋体" w:hAnsi="宋体"/>
          <w:sz w:val="24"/>
          <w:highlight w:val="none"/>
        </w:rPr>
        <w:t>）：</w:t>
      </w:r>
    </w:p>
    <w:p>
      <w:pPr>
        <w:spacing w:line="480" w:lineRule="auto"/>
        <w:ind w:left="3060"/>
        <w:jc w:val="left"/>
        <w:rPr>
          <w:rFonts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lang w:eastAsia="zh-CN"/>
        </w:rPr>
        <w:t>签字或盖章</w:t>
      </w:r>
      <w:r>
        <w:rPr>
          <w:rFonts w:hint="eastAsia" w:ascii="宋体" w:hAnsi="宋体"/>
          <w:sz w:val="24"/>
          <w:highlight w:val="none"/>
        </w:rPr>
        <w:t>）：                                                        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spacing w:line="0" w:lineRule="atLeast"/>
        <w:ind w:left="3060"/>
        <w:rPr>
          <w:rFonts w:ascii="宋体" w:hAnsi="宋体"/>
          <w:b/>
          <w:sz w:val="32"/>
          <w:highlight w:val="none"/>
        </w:rPr>
      </w:pPr>
    </w:p>
    <w:p>
      <w:pPr>
        <w:spacing w:line="0" w:lineRule="atLeast"/>
        <w:ind w:left="3060"/>
        <w:rPr>
          <w:rFonts w:ascii="宋体" w:hAnsi="宋体"/>
          <w:b/>
          <w:sz w:val="32"/>
          <w:highlight w:val="none"/>
        </w:rPr>
      </w:pPr>
    </w:p>
    <w:p>
      <w:pPr>
        <w:spacing w:line="0" w:lineRule="atLeast"/>
        <w:jc w:val="center"/>
        <w:rPr>
          <w:rFonts w:ascii="宋体" w:hAnsi="宋体"/>
          <w:b/>
          <w:sz w:val="24"/>
          <w:highlight w:val="none"/>
        </w:rPr>
      </w:pPr>
      <w:r>
        <w:rPr>
          <w:rFonts w:ascii="宋体" w:hAnsi="宋体"/>
          <w:b/>
          <w:sz w:val="32"/>
          <w:highlight w:val="none"/>
        </w:rPr>
        <w:br w:type="page"/>
      </w:r>
      <w:r>
        <w:rPr>
          <w:rFonts w:hint="eastAsia" w:ascii="宋体" w:hAnsi="宋体"/>
          <w:b/>
          <w:sz w:val="24"/>
          <w:highlight w:val="none"/>
        </w:rPr>
        <w:t>2.3商务条款偏差一览表</w:t>
      </w:r>
    </w:p>
    <w:tbl>
      <w:tblPr>
        <w:tblStyle w:val="42"/>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95"/>
        <w:gridCol w:w="1356"/>
        <w:gridCol w:w="1344"/>
        <w:gridCol w:w="136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90" w:type="dxa"/>
            <w:tcBorders>
              <w:top w:val="double" w:color="auto" w:sz="4" w:space="0"/>
              <w:left w:val="double" w:color="auto" w:sz="4" w:space="0"/>
              <w:bottom w:val="double" w:color="auto" w:sz="4" w:space="0"/>
            </w:tcBorders>
            <w:vAlign w:val="center"/>
          </w:tcPr>
          <w:p>
            <w:pPr>
              <w:jc w:val="center"/>
              <w:rPr>
                <w:rFonts w:ascii="宋体" w:hAnsi="宋体"/>
                <w:b/>
                <w:sz w:val="24"/>
                <w:highlight w:val="none"/>
              </w:rPr>
            </w:pPr>
            <w:r>
              <w:rPr>
                <w:rFonts w:hint="eastAsia" w:ascii="宋体" w:hAnsi="宋体"/>
                <w:b/>
                <w:sz w:val="24"/>
                <w:highlight w:val="none"/>
              </w:rPr>
              <w:t>条款号</w:t>
            </w:r>
          </w:p>
        </w:tc>
        <w:tc>
          <w:tcPr>
            <w:tcW w:w="1595" w:type="dxa"/>
            <w:tcBorders>
              <w:top w:val="double" w:color="auto" w:sz="4" w:space="0"/>
              <w:bottom w:val="double" w:color="auto" w:sz="4" w:space="0"/>
            </w:tcBorders>
            <w:vAlign w:val="center"/>
          </w:tcPr>
          <w:p>
            <w:pPr>
              <w:jc w:val="center"/>
              <w:rPr>
                <w:rFonts w:ascii="宋体" w:hAnsi="宋体"/>
                <w:b/>
                <w:sz w:val="24"/>
                <w:highlight w:val="none"/>
              </w:rPr>
            </w:pPr>
            <w:r>
              <w:rPr>
                <w:rFonts w:hint="eastAsia" w:ascii="宋体" w:hAnsi="宋体"/>
                <w:b/>
                <w:sz w:val="24"/>
                <w:highlight w:val="none"/>
              </w:rPr>
              <w:t>项 目</w:t>
            </w:r>
          </w:p>
        </w:tc>
        <w:tc>
          <w:tcPr>
            <w:tcW w:w="1356" w:type="dxa"/>
            <w:tcBorders>
              <w:top w:val="double" w:color="auto" w:sz="4" w:space="0"/>
              <w:bottom w:val="double" w:color="auto" w:sz="4" w:space="0"/>
            </w:tcBorders>
            <w:vAlign w:val="center"/>
          </w:tcPr>
          <w:p>
            <w:pPr>
              <w:jc w:val="center"/>
              <w:rPr>
                <w:rFonts w:ascii="宋体" w:hAnsi="宋体"/>
                <w:b/>
                <w:sz w:val="24"/>
                <w:highlight w:val="none"/>
              </w:rPr>
            </w:pPr>
            <w:r>
              <w:rPr>
                <w:rFonts w:hint="eastAsia" w:ascii="宋体" w:hAnsi="宋体"/>
                <w:b/>
                <w:sz w:val="24"/>
                <w:highlight w:val="none"/>
              </w:rPr>
              <w:t>磋商要求</w:t>
            </w:r>
          </w:p>
        </w:tc>
        <w:tc>
          <w:tcPr>
            <w:tcW w:w="1344" w:type="dxa"/>
            <w:tcBorders>
              <w:top w:val="double" w:color="auto" w:sz="4" w:space="0"/>
              <w:bottom w:val="double" w:color="auto" w:sz="4" w:space="0"/>
            </w:tcBorders>
            <w:vAlign w:val="center"/>
          </w:tcPr>
          <w:p>
            <w:pPr>
              <w:jc w:val="center"/>
              <w:rPr>
                <w:rFonts w:ascii="宋体" w:hAnsi="宋体"/>
                <w:b/>
                <w:sz w:val="24"/>
                <w:highlight w:val="none"/>
              </w:rPr>
            </w:pPr>
            <w:r>
              <w:rPr>
                <w:rFonts w:hint="eastAsia" w:ascii="宋体" w:hAnsi="宋体"/>
                <w:b/>
                <w:sz w:val="24"/>
                <w:highlight w:val="none"/>
              </w:rPr>
              <w:t>响应文件</w:t>
            </w:r>
          </w:p>
        </w:tc>
        <w:tc>
          <w:tcPr>
            <w:tcW w:w="1368" w:type="dxa"/>
            <w:tcBorders>
              <w:top w:val="double" w:color="auto" w:sz="4" w:space="0"/>
              <w:bottom w:val="double" w:color="auto" w:sz="4" w:space="0"/>
            </w:tcBorders>
            <w:vAlign w:val="center"/>
          </w:tcPr>
          <w:p>
            <w:pPr>
              <w:jc w:val="center"/>
              <w:rPr>
                <w:rFonts w:ascii="宋体" w:hAnsi="宋体"/>
                <w:b/>
                <w:sz w:val="24"/>
                <w:highlight w:val="none"/>
              </w:rPr>
            </w:pPr>
            <w:r>
              <w:rPr>
                <w:rFonts w:hint="eastAsia" w:ascii="宋体" w:hAnsi="宋体"/>
                <w:b/>
                <w:sz w:val="24"/>
                <w:highlight w:val="none"/>
              </w:rPr>
              <w:t>是否偏离</w:t>
            </w:r>
          </w:p>
        </w:tc>
        <w:tc>
          <w:tcPr>
            <w:tcW w:w="2042" w:type="dxa"/>
            <w:tcBorders>
              <w:top w:val="double" w:color="auto" w:sz="4" w:space="0"/>
              <w:bottom w:val="double" w:color="auto" w:sz="4" w:space="0"/>
              <w:right w:val="double" w:color="auto" w:sz="4" w:space="0"/>
            </w:tcBorders>
            <w:vAlign w:val="center"/>
          </w:tcPr>
          <w:p>
            <w:pPr>
              <w:jc w:val="center"/>
              <w:rPr>
                <w:rFonts w:ascii="宋体" w:hAns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0" w:type="dxa"/>
            <w:tcBorders>
              <w:top w:val="double" w:color="auto" w:sz="4" w:space="0"/>
              <w:left w:val="double" w:color="auto" w:sz="4" w:space="0"/>
            </w:tcBorders>
            <w:vAlign w:val="center"/>
          </w:tcPr>
          <w:p>
            <w:pPr>
              <w:jc w:val="center"/>
              <w:rPr>
                <w:rFonts w:ascii="宋体" w:hAnsi="宋体"/>
                <w:sz w:val="24"/>
                <w:highlight w:val="none"/>
              </w:rPr>
            </w:pPr>
            <w:r>
              <w:rPr>
                <w:rFonts w:hint="eastAsia" w:ascii="宋体" w:hAnsi="宋体"/>
                <w:sz w:val="24"/>
                <w:highlight w:val="none"/>
              </w:rPr>
              <w:t>1</w:t>
            </w:r>
          </w:p>
        </w:tc>
        <w:tc>
          <w:tcPr>
            <w:tcW w:w="1595" w:type="dxa"/>
            <w:tcBorders>
              <w:top w:val="double" w:color="auto" w:sz="4" w:space="0"/>
            </w:tcBorders>
            <w:vAlign w:val="center"/>
          </w:tcPr>
          <w:p>
            <w:pPr>
              <w:jc w:val="center"/>
              <w:rPr>
                <w:rFonts w:ascii="宋体" w:hAnsi="宋体"/>
                <w:sz w:val="24"/>
                <w:highlight w:val="none"/>
              </w:rPr>
            </w:pPr>
            <w:r>
              <w:rPr>
                <w:rFonts w:hint="eastAsia" w:ascii="宋体" w:hAnsi="宋体"/>
                <w:sz w:val="24"/>
                <w:highlight w:val="none"/>
              </w:rPr>
              <w:t>服务期</w:t>
            </w:r>
          </w:p>
        </w:tc>
        <w:tc>
          <w:tcPr>
            <w:tcW w:w="1356" w:type="dxa"/>
            <w:tcBorders>
              <w:top w:val="double" w:color="auto" w:sz="4" w:space="0"/>
            </w:tcBorders>
            <w:vAlign w:val="center"/>
          </w:tcPr>
          <w:p>
            <w:pPr>
              <w:jc w:val="center"/>
              <w:rPr>
                <w:rFonts w:ascii="宋体" w:hAnsi="宋体"/>
                <w:sz w:val="24"/>
                <w:highlight w:val="none"/>
              </w:rPr>
            </w:pPr>
            <w:r>
              <w:rPr>
                <w:rFonts w:hint="eastAsia" w:ascii="宋体" w:hAnsi="宋体"/>
                <w:sz w:val="24"/>
                <w:highlight w:val="none"/>
              </w:rPr>
              <w:t>合同签订后60日历天内完成制作并播出；</w:t>
            </w:r>
          </w:p>
        </w:tc>
        <w:tc>
          <w:tcPr>
            <w:tcW w:w="1344" w:type="dxa"/>
            <w:tcBorders>
              <w:top w:val="double" w:color="auto" w:sz="4" w:space="0"/>
            </w:tcBorders>
            <w:vAlign w:val="center"/>
          </w:tcPr>
          <w:p>
            <w:pPr>
              <w:jc w:val="center"/>
              <w:rPr>
                <w:rFonts w:ascii="宋体" w:hAnsi="宋体"/>
                <w:sz w:val="24"/>
                <w:highlight w:val="none"/>
              </w:rPr>
            </w:pPr>
          </w:p>
        </w:tc>
        <w:tc>
          <w:tcPr>
            <w:tcW w:w="1368" w:type="dxa"/>
            <w:tcBorders>
              <w:top w:val="double" w:color="auto" w:sz="4" w:space="0"/>
            </w:tcBorders>
            <w:vAlign w:val="center"/>
          </w:tcPr>
          <w:p>
            <w:pPr>
              <w:jc w:val="center"/>
              <w:rPr>
                <w:rFonts w:ascii="宋体" w:hAnsi="宋体"/>
                <w:sz w:val="24"/>
                <w:highlight w:val="none"/>
              </w:rPr>
            </w:pPr>
          </w:p>
        </w:tc>
        <w:tc>
          <w:tcPr>
            <w:tcW w:w="2042" w:type="dxa"/>
            <w:tcBorders>
              <w:top w:val="double" w:color="auto" w:sz="4" w:space="0"/>
              <w:right w:val="double" w:color="auto" w:sz="4" w:space="0"/>
            </w:tcBorders>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0" w:type="dxa"/>
            <w:tcBorders>
              <w:top w:val="double" w:color="auto" w:sz="4" w:space="0"/>
              <w:left w:val="double" w:color="auto" w:sz="4" w:space="0"/>
            </w:tcBorders>
            <w:vAlign w:val="center"/>
          </w:tcPr>
          <w:p>
            <w:pPr>
              <w:jc w:val="center"/>
              <w:rPr>
                <w:rFonts w:ascii="宋体" w:hAnsi="宋体"/>
                <w:sz w:val="24"/>
                <w:highlight w:val="none"/>
              </w:rPr>
            </w:pPr>
            <w:r>
              <w:rPr>
                <w:rFonts w:hint="eastAsia" w:ascii="宋体" w:hAnsi="宋体"/>
                <w:sz w:val="24"/>
                <w:highlight w:val="none"/>
              </w:rPr>
              <w:t>2</w:t>
            </w:r>
          </w:p>
        </w:tc>
        <w:tc>
          <w:tcPr>
            <w:tcW w:w="1595" w:type="dxa"/>
            <w:tcBorders>
              <w:top w:val="double" w:color="auto" w:sz="4" w:space="0"/>
            </w:tcBorders>
            <w:vAlign w:val="center"/>
          </w:tcPr>
          <w:p>
            <w:pPr>
              <w:jc w:val="center"/>
              <w:rPr>
                <w:rFonts w:ascii="宋体" w:hAnsi="宋体"/>
                <w:sz w:val="24"/>
                <w:highlight w:val="none"/>
              </w:rPr>
            </w:pPr>
            <w:r>
              <w:rPr>
                <w:rFonts w:hint="eastAsia" w:ascii="宋体" w:hAnsi="宋体"/>
                <w:sz w:val="24"/>
                <w:highlight w:val="none"/>
              </w:rPr>
              <w:t>质量要求</w:t>
            </w:r>
          </w:p>
        </w:tc>
        <w:tc>
          <w:tcPr>
            <w:tcW w:w="1356" w:type="dxa"/>
            <w:tcBorders>
              <w:top w:val="double" w:color="auto" w:sz="4" w:space="0"/>
            </w:tcBorders>
            <w:vAlign w:val="center"/>
          </w:tcPr>
          <w:p>
            <w:pPr>
              <w:jc w:val="center"/>
              <w:rPr>
                <w:rFonts w:ascii="宋体" w:hAnsi="宋体"/>
                <w:sz w:val="24"/>
                <w:highlight w:val="none"/>
              </w:rPr>
            </w:pPr>
            <w:r>
              <w:rPr>
                <w:rFonts w:hint="eastAsia" w:ascii="宋体" w:hAnsi="宋体"/>
                <w:sz w:val="24"/>
                <w:highlight w:val="none"/>
              </w:rPr>
              <w:t>符合国家和行业现行规范标准规范，同时广告制作标准要达到河南省级电视台播出标准。</w:t>
            </w:r>
          </w:p>
        </w:tc>
        <w:tc>
          <w:tcPr>
            <w:tcW w:w="1344" w:type="dxa"/>
            <w:tcBorders>
              <w:top w:val="double" w:color="auto" w:sz="4" w:space="0"/>
            </w:tcBorders>
            <w:vAlign w:val="center"/>
          </w:tcPr>
          <w:p>
            <w:pPr>
              <w:jc w:val="center"/>
              <w:rPr>
                <w:rFonts w:ascii="宋体" w:hAnsi="宋体"/>
                <w:sz w:val="24"/>
                <w:highlight w:val="none"/>
              </w:rPr>
            </w:pPr>
          </w:p>
        </w:tc>
        <w:tc>
          <w:tcPr>
            <w:tcW w:w="1368" w:type="dxa"/>
            <w:tcBorders>
              <w:top w:val="double" w:color="auto" w:sz="4" w:space="0"/>
            </w:tcBorders>
            <w:vAlign w:val="center"/>
          </w:tcPr>
          <w:p>
            <w:pPr>
              <w:jc w:val="center"/>
              <w:rPr>
                <w:rFonts w:ascii="宋体" w:hAnsi="宋体"/>
                <w:sz w:val="24"/>
                <w:highlight w:val="none"/>
              </w:rPr>
            </w:pPr>
          </w:p>
        </w:tc>
        <w:tc>
          <w:tcPr>
            <w:tcW w:w="2042" w:type="dxa"/>
            <w:tcBorders>
              <w:top w:val="double" w:color="auto" w:sz="4" w:space="0"/>
              <w:right w:val="double" w:color="auto" w:sz="4" w:space="0"/>
            </w:tcBorders>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0" w:type="dxa"/>
            <w:tcBorders>
              <w:left w:val="double" w:color="auto" w:sz="4" w:space="0"/>
            </w:tcBorders>
            <w:vAlign w:val="center"/>
          </w:tcPr>
          <w:p>
            <w:pPr>
              <w:jc w:val="center"/>
              <w:rPr>
                <w:rFonts w:ascii="宋体" w:hAnsi="宋体"/>
                <w:sz w:val="24"/>
                <w:highlight w:val="none"/>
              </w:rPr>
            </w:pPr>
            <w:r>
              <w:rPr>
                <w:rFonts w:hint="eastAsia" w:ascii="宋体" w:hAnsi="宋体"/>
                <w:sz w:val="24"/>
                <w:highlight w:val="none"/>
              </w:rPr>
              <w:t>3</w:t>
            </w:r>
          </w:p>
        </w:tc>
        <w:tc>
          <w:tcPr>
            <w:tcW w:w="1595" w:type="dxa"/>
            <w:vAlign w:val="center"/>
          </w:tcPr>
          <w:p>
            <w:pPr>
              <w:jc w:val="center"/>
              <w:rPr>
                <w:rFonts w:ascii="宋体" w:hAnsi="宋体"/>
                <w:sz w:val="24"/>
                <w:highlight w:val="none"/>
              </w:rPr>
            </w:pPr>
            <w:r>
              <w:rPr>
                <w:rFonts w:hint="eastAsia" w:ascii="宋体" w:hAnsi="宋体"/>
                <w:sz w:val="24"/>
                <w:highlight w:val="none"/>
              </w:rPr>
              <w:t>投标有效期</w:t>
            </w:r>
          </w:p>
        </w:tc>
        <w:tc>
          <w:tcPr>
            <w:tcW w:w="1356" w:type="dxa"/>
            <w:vAlign w:val="center"/>
          </w:tcPr>
          <w:p>
            <w:pPr>
              <w:jc w:val="center"/>
              <w:rPr>
                <w:rFonts w:ascii="宋体" w:hAnsi="宋体"/>
                <w:sz w:val="24"/>
                <w:highlight w:val="none"/>
              </w:rPr>
            </w:pPr>
            <w:r>
              <w:rPr>
                <w:rFonts w:hint="eastAsia" w:ascii="宋体" w:hAnsi="宋体"/>
                <w:sz w:val="24"/>
                <w:highlight w:val="none"/>
              </w:rPr>
              <w:t>响应文件递交截止之日起60日历天内有效</w:t>
            </w:r>
          </w:p>
        </w:tc>
        <w:tc>
          <w:tcPr>
            <w:tcW w:w="1344" w:type="dxa"/>
            <w:vAlign w:val="center"/>
          </w:tcPr>
          <w:p>
            <w:pPr>
              <w:jc w:val="center"/>
              <w:rPr>
                <w:rFonts w:ascii="宋体" w:hAnsi="宋体"/>
                <w:sz w:val="24"/>
                <w:highlight w:val="none"/>
              </w:rPr>
            </w:pPr>
          </w:p>
        </w:tc>
        <w:tc>
          <w:tcPr>
            <w:tcW w:w="1368" w:type="dxa"/>
            <w:vAlign w:val="center"/>
          </w:tcPr>
          <w:p>
            <w:pPr>
              <w:jc w:val="center"/>
              <w:rPr>
                <w:rFonts w:ascii="宋体" w:hAnsi="宋体"/>
                <w:sz w:val="24"/>
                <w:highlight w:val="none"/>
              </w:rPr>
            </w:pPr>
          </w:p>
        </w:tc>
        <w:tc>
          <w:tcPr>
            <w:tcW w:w="2042" w:type="dxa"/>
            <w:tcBorders>
              <w:right w:val="double" w:color="auto" w:sz="4" w:space="0"/>
            </w:tcBorders>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0" w:type="dxa"/>
            <w:tcBorders>
              <w:left w:val="double" w:color="auto" w:sz="4" w:space="0"/>
            </w:tcBorders>
            <w:vAlign w:val="center"/>
          </w:tcPr>
          <w:p>
            <w:pPr>
              <w:jc w:val="center"/>
              <w:rPr>
                <w:rFonts w:ascii="宋体" w:hAnsi="宋体"/>
                <w:sz w:val="24"/>
                <w:highlight w:val="none"/>
              </w:rPr>
            </w:pPr>
            <w:r>
              <w:rPr>
                <w:rFonts w:hint="eastAsia" w:ascii="宋体" w:hAnsi="宋体"/>
                <w:sz w:val="24"/>
                <w:highlight w:val="none"/>
              </w:rPr>
              <w:t>4</w:t>
            </w:r>
          </w:p>
        </w:tc>
        <w:tc>
          <w:tcPr>
            <w:tcW w:w="1595" w:type="dxa"/>
            <w:vAlign w:val="center"/>
          </w:tcPr>
          <w:p>
            <w:pPr>
              <w:jc w:val="center"/>
              <w:rPr>
                <w:rFonts w:ascii="宋体" w:hAnsi="宋体"/>
                <w:sz w:val="24"/>
                <w:highlight w:val="none"/>
              </w:rPr>
            </w:pPr>
          </w:p>
        </w:tc>
        <w:tc>
          <w:tcPr>
            <w:tcW w:w="1356" w:type="dxa"/>
            <w:vAlign w:val="center"/>
          </w:tcPr>
          <w:p>
            <w:pPr>
              <w:jc w:val="center"/>
              <w:rPr>
                <w:rFonts w:ascii="宋体" w:hAnsi="宋体"/>
                <w:sz w:val="24"/>
                <w:highlight w:val="none"/>
              </w:rPr>
            </w:pPr>
          </w:p>
        </w:tc>
        <w:tc>
          <w:tcPr>
            <w:tcW w:w="1344" w:type="dxa"/>
            <w:vAlign w:val="center"/>
          </w:tcPr>
          <w:p>
            <w:pPr>
              <w:jc w:val="center"/>
              <w:rPr>
                <w:rFonts w:ascii="宋体" w:hAnsi="宋体"/>
                <w:sz w:val="24"/>
                <w:highlight w:val="none"/>
              </w:rPr>
            </w:pPr>
          </w:p>
        </w:tc>
        <w:tc>
          <w:tcPr>
            <w:tcW w:w="1368" w:type="dxa"/>
            <w:vAlign w:val="center"/>
          </w:tcPr>
          <w:p>
            <w:pPr>
              <w:jc w:val="center"/>
              <w:rPr>
                <w:rFonts w:ascii="宋体" w:hAnsi="宋体"/>
                <w:sz w:val="24"/>
                <w:highlight w:val="none"/>
              </w:rPr>
            </w:pPr>
          </w:p>
        </w:tc>
        <w:tc>
          <w:tcPr>
            <w:tcW w:w="2042" w:type="dxa"/>
            <w:tcBorders>
              <w:right w:val="double" w:color="auto" w:sz="4" w:space="0"/>
            </w:tcBorders>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0" w:type="dxa"/>
            <w:tcBorders>
              <w:left w:val="double" w:color="auto" w:sz="4" w:space="0"/>
            </w:tcBorders>
            <w:vAlign w:val="center"/>
          </w:tcPr>
          <w:p>
            <w:pPr>
              <w:jc w:val="center"/>
              <w:rPr>
                <w:rFonts w:ascii="宋体" w:hAnsi="宋体"/>
                <w:sz w:val="24"/>
                <w:highlight w:val="none"/>
              </w:rPr>
            </w:pPr>
            <w:r>
              <w:rPr>
                <w:rFonts w:hint="eastAsia" w:ascii="宋体" w:hAnsi="宋体"/>
                <w:sz w:val="24"/>
                <w:highlight w:val="none"/>
              </w:rPr>
              <w:t>5</w:t>
            </w:r>
          </w:p>
        </w:tc>
        <w:tc>
          <w:tcPr>
            <w:tcW w:w="1595" w:type="dxa"/>
            <w:vAlign w:val="center"/>
          </w:tcPr>
          <w:p>
            <w:pPr>
              <w:jc w:val="center"/>
              <w:rPr>
                <w:rFonts w:ascii="宋体" w:hAnsi="宋体"/>
                <w:sz w:val="24"/>
                <w:highlight w:val="none"/>
              </w:rPr>
            </w:pPr>
            <w:r>
              <w:rPr>
                <w:rFonts w:hint="eastAsia" w:ascii="宋体" w:hAnsi="宋体"/>
                <w:sz w:val="24"/>
                <w:highlight w:val="none"/>
              </w:rPr>
              <w:t>…</w:t>
            </w:r>
          </w:p>
        </w:tc>
        <w:tc>
          <w:tcPr>
            <w:tcW w:w="1356" w:type="dxa"/>
            <w:vAlign w:val="center"/>
          </w:tcPr>
          <w:p>
            <w:pPr>
              <w:jc w:val="center"/>
              <w:rPr>
                <w:rFonts w:ascii="宋体" w:hAnsi="宋体"/>
                <w:sz w:val="24"/>
                <w:highlight w:val="none"/>
              </w:rPr>
            </w:pPr>
          </w:p>
        </w:tc>
        <w:tc>
          <w:tcPr>
            <w:tcW w:w="1344" w:type="dxa"/>
            <w:vAlign w:val="center"/>
          </w:tcPr>
          <w:p>
            <w:pPr>
              <w:jc w:val="center"/>
              <w:rPr>
                <w:rFonts w:ascii="宋体" w:hAnsi="宋体"/>
                <w:sz w:val="24"/>
                <w:highlight w:val="none"/>
              </w:rPr>
            </w:pPr>
          </w:p>
        </w:tc>
        <w:tc>
          <w:tcPr>
            <w:tcW w:w="1368" w:type="dxa"/>
            <w:vAlign w:val="center"/>
          </w:tcPr>
          <w:p>
            <w:pPr>
              <w:jc w:val="center"/>
              <w:rPr>
                <w:rFonts w:ascii="宋体" w:hAnsi="宋体"/>
                <w:sz w:val="24"/>
                <w:highlight w:val="none"/>
              </w:rPr>
            </w:pPr>
          </w:p>
        </w:tc>
        <w:tc>
          <w:tcPr>
            <w:tcW w:w="2042" w:type="dxa"/>
            <w:tcBorders>
              <w:right w:val="double" w:color="auto" w:sz="4" w:space="0"/>
            </w:tcBorders>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90" w:type="dxa"/>
            <w:tcBorders>
              <w:left w:val="double" w:color="auto" w:sz="4" w:space="0"/>
            </w:tcBorders>
            <w:vAlign w:val="center"/>
          </w:tcPr>
          <w:p>
            <w:pPr>
              <w:jc w:val="center"/>
              <w:rPr>
                <w:rFonts w:ascii="宋体" w:hAnsi="宋体"/>
                <w:sz w:val="24"/>
                <w:highlight w:val="none"/>
              </w:rPr>
            </w:pPr>
            <w:r>
              <w:rPr>
                <w:rFonts w:hint="eastAsia" w:ascii="宋体" w:hAnsi="宋体"/>
                <w:sz w:val="24"/>
                <w:highlight w:val="none"/>
              </w:rPr>
              <w:t>…</w:t>
            </w:r>
          </w:p>
        </w:tc>
        <w:tc>
          <w:tcPr>
            <w:tcW w:w="1595" w:type="dxa"/>
            <w:vAlign w:val="center"/>
          </w:tcPr>
          <w:p>
            <w:pPr>
              <w:jc w:val="center"/>
              <w:rPr>
                <w:rFonts w:ascii="宋体" w:hAnsi="宋体"/>
                <w:sz w:val="24"/>
                <w:highlight w:val="none"/>
              </w:rPr>
            </w:pPr>
          </w:p>
        </w:tc>
        <w:tc>
          <w:tcPr>
            <w:tcW w:w="1356" w:type="dxa"/>
            <w:vAlign w:val="center"/>
          </w:tcPr>
          <w:p>
            <w:pPr>
              <w:jc w:val="center"/>
              <w:rPr>
                <w:rFonts w:ascii="宋体" w:hAnsi="宋体"/>
                <w:sz w:val="24"/>
                <w:highlight w:val="none"/>
              </w:rPr>
            </w:pPr>
          </w:p>
        </w:tc>
        <w:tc>
          <w:tcPr>
            <w:tcW w:w="1344" w:type="dxa"/>
            <w:vAlign w:val="center"/>
          </w:tcPr>
          <w:p>
            <w:pPr>
              <w:jc w:val="center"/>
              <w:rPr>
                <w:rFonts w:ascii="宋体" w:hAnsi="宋体"/>
                <w:sz w:val="24"/>
                <w:highlight w:val="none"/>
              </w:rPr>
            </w:pPr>
          </w:p>
        </w:tc>
        <w:tc>
          <w:tcPr>
            <w:tcW w:w="1368" w:type="dxa"/>
            <w:vAlign w:val="center"/>
          </w:tcPr>
          <w:p>
            <w:pPr>
              <w:jc w:val="center"/>
              <w:rPr>
                <w:rFonts w:ascii="宋体" w:hAnsi="宋体"/>
                <w:sz w:val="24"/>
                <w:highlight w:val="none"/>
              </w:rPr>
            </w:pPr>
          </w:p>
        </w:tc>
        <w:tc>
          <w:tcPr>
            <w:tcW w:w="2042" w:type="dxa"/>
            <w:tcBorders>
              <w:right w:val="double" w:color="auto" w:sz="4" w:space="0"/>
            </w:tcBorders>
            <w:vAlign w:val="center"/>
          </w:tcPr>
          <w:p>
            <w:pPr>
              <w:jc w:val="center"/>
              <w:rPr>
                <w:rFonts w:ascii="宋体" w:hAnsi="宋体"/>
                <w:sz w:val="24"/>
                <w:highlight w:val="none"/>
              </w:rPr>
            </w:pPr>
          </w:p>
        </w:tc>
      </w:tr>
    </w:tbl>
    <w:p>
      <w:pPr>
        <w:spacing w:line="0" w:lineRule="atLeast"/>
        <w:jc w:val="center"/>
        <w:rPr>
          <w:rFonts w:ascii="宋体" w:hAnsi="宋体"/>
          <w:b/>
          <w:sz w:val="24"/>
          <w:highlight w:val="none"/>
        </w:rPr>
      </w:pPr>
    </w:p>
    <w:p>
      <w:pPr>
        <w:spacing w:line="480" w:lineRule="auto"/>
        <w:ind w:left="3060"/>
        <w:jc w:val="left"/>
        <w:rPr>
          <w:rFonts w:hint="eastAsia" w:ascii="宋体" w:hAnsi="宋体"/>
          <w:sz w:val="24"/>
          <w:highlight w:val="none"/>
        </w:rPr>
      </w:pPr>
      <w:r>
        <w:rPr>
          <w:rFonts w:hint="eastAsia" w:ascii="宋体" w:hAnsi="宋体"/>
          <w:sz w:val="24"/>
          <w:highlight w:val="none"/>
        </w:rPr>
        <w:t>供应商（盖单位章</w:t>
      </w:r>
      <w:r>
        <w:rPr>
          <w:rFonts w:hint="eastAsia" w:ascii="宋体" w:hAnsi="宋体"/>
          <w:sz w:val="24"/>
          <w:highlight w:val="none"/>
          <w:lang w:eastAsia="zh-CN"/>
        </w:rPr>
        <w:t>或电子盖章</w:t>
      </w:r>
      <w:r>
        <w:rPr>
          <w:rFonts w:hint="eastAsia" w:ascii="宋体" w:hAnsi="宋体"/>
          <w:sz w:val="24"/>
          <w:highlight w:val="none"/>
        </w:rPr>
        <w:t>）：</w:t>
      </w:r>
    </w:p>
    <w:p>
      <w:pPr>
        <w:spacing w:line="480" w:lineRule="auto"/>
        <w:ind w:left="3060"/>
        <w:jc w:val="left"/>
        <w:rPr>
          <w:rFonts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lang w:eastAsia="zh-CN"/>
        </w:rPr>
        <w:t>签字或盖章</w:t>
      </w:r>
      <w:r>
        <w:rPr>
          <w:rFonts w:hint="eastAsia" w:ascii="宋体" w:hAnsi="宋体"/>
          <w:sz w:val="24"/>
          <w:highlight w:val="none"/>
        </w:rPr>
        <w:t>）：                                                        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bookmarkEnd w:id="66"/>
    <w:bookmarkEnd w:id="73"/>
    <w:p>
      <w:pPr>
        <w:rPr>
          <w:rFonts w:ascii="宋体" w:hAnsi="宋体"/>
          <w:sz w:val="24"/>
          <w:highlight w:val="none"/>
        </w:rPr>
      </w:pPr>
      <w:bookmarkStart w:id="74" w:name="_Toc530142468"/>
    </w:p>
    <w:p>
      <w:pPr>
        <w:rPr>
          <w:rFonts w:ascii="宋体" w:hAnsi="宋体"/>
          <w:sz w:val="24"/>
          <w:highlight w:val="none"/>
        </w:rPr>
      </w:pPr>
      <w:bookmarkStart w:id="75" w:name="_Toc1207"/>
      <w:r>
        <w:rPr>
          <w:rFonts w:hint="eastAsia" w:ascii="宋体" w:hAnsi="宋体"/>
          <w:sz w:val="24"/>
          <w:highlight w:val="none"/>
        </w:rPr>
        <w:br w:type="page"/>
      </w:r>
    </w:p>
    <w:p>
      <w:pPr>
        <w:pStyle w:val="5"/>
        <w:jc w:val="center"/>
        <w:rPr>
          <w:rFonts w:ascii="宋体" w:hAnsi="宋体" w:eastAsia="宋体"/>
          <w:sz w:val="24"/>
          <w:szCs w:val="24"/>
          <w:highlight w:val="none"/>
        </w:rPr>
      </w:pPr>
      <w:r>
        <w:rPr>
          <w:rFonts w:hint="eastAsia" w:ascii="宋体" w:hAnsi="宋体" w:eastAsia="宋体"/>
          <w:sz w:val="24"/>
          <w:szCs w:val="24"/>
          <w:highlight w:val="none"/>
        </w:rPr>
        <w:t>三、</w:t>
      </w:r>
      <w:r>
        <w:rPr>
          <w:rFonts w:ascii="宋体" w:hAnsi="宋体" w:eastAsia="宋体"/>
          <w:sz w:val="24"/>
          <w:szCs w:val="24"/>
          <w:highlight w:val="none"/>
        </w:rPr>
        <w:t>法定代表人身份证明</w:t>
      </w:r>
      <w:bookmarkEnd w:id="74"/>
      <w:bookmarkEnd w:id="75"/>
    </w:p>
    <w:p>
      <w:pPr>
        <w:autoSpaceDE w:val="0"/>
        <w:autoSpaceDN w:val="0"/>
        <w:adjustRightInd w:val="0"/>
        <w:spacing w:line="480" w:lineRule="exact"/>
        <w:jc w:val="left"/>
        <w:rPr>
          <w:rFonts w:ascii="宋体" w:hAnsi="宋体" w:cs="MingLiU"/>
          <w:kern w:val="0"/>
          <w:sz w:val="24"/>
          <w:highlight w:val="none"/>
        </w:rPr>
      </w:pPr>
    </w:p>
    <w:p>
      <w:pPr>
        <w:autoSpaceDE w:val="0"/>
        <w:autoSpaceDN w:val="0"/>
        <w:adjustRightInd w:val="0"/>
        <w:spacing w:line="480" w:lineRule="exact"/>
        <w:jc w:val="left"/>
        <w:rPr>
          <w:rFonts w:ascii="宋体" w:hAnsi="宋体" w:cs="MingLiU"/>
          <w:kern w:val="0"/>
          <w:sz w:val="24"/>
          <w:highlight w:val="none"/>
        </w:rPr>
      </w:pPr>
    </w:p>
    <w:p>
      <w:pPr>
        <w:tabs>
          <w:tab w:val="left" w:pos="4300"/>
        </w:tabs>
        <w:autoSpaceDE w:val="0"/>
        <w:autoSpaceDN w:val="0"/>
        <w:adjustRightInd w:val="0"/>
        <w:spacing w:line="600" w:lineRule="exact"/>
        <w:ind w:left="120" w:right="-20"/>
        <w:jc w:val="left"/>
        <w:rPr>
          <w:rFonts w:ascii="宋体" w:hAnsi="宋体" w:cs="MingLiU"/>
          <w:kern w:val="0"/>
          <w:sz w:val="24"/>
          <w:highlight w:val="none"/>
        </w:rPr>
      </w:pPr>
      <w:r>
        <w:rPr>
          <w:rFonts w:hint="eastAsia" w:ascii="宋体" w:hAnsi="宋体" w:cs="MingLiU"/>
          <w:kern w:val="0"/>
          <w:sz w:val="24"/>
          <w:highlight w:val="none"/>
        </w:rPr>
        <w:t>供应商名称：</w:t>
      </w:r>
      <w:r>
        <w:rPr>
          <w:rFonts w:ascii="宋体" w:hAnsi="宋体"/>
          <w:kern w:val="0"/>
          <w:sz w:val="24"/>
          <w:highlight w:val="none"/>
          <w:u w:val="single"/>
        </w:rPr>
        <w:tab/>
      </w:r>
    </w:p>
    <w:p>
      <w:pPr>
        <w:tabs>
          <w:tab w:val="left" w:pos="4420"/>
        </w:tabs>
        <w:autoSpaceDE w:val="0"/>
        <w:autoSpaceDN w:val="0"/>
        <w:adjustRightInd w:val="0"/>
        <w:spacing w:line="600" w:lineRule="exact"/>
        <w:ind w:left="120" w:right="-20"/>
        <w:jc w:val="left"/>
        <w:rPr>
          <w:rFonts w:ascii="宋体" w:hAnsi="宋体" w:cs="MingLiU"/>
          <w:kern w:val="0"/>
          <w:sz w:val="24"/>
          <w:highlight w:val="none"/>
        </w:rPr>
      </w:pPr>
      <w:r>
        <w:rPr>
          <w:rFonts w:hint="eastAsia" w:ascii="宋体" w:hAnsi="宋体" w:cs="MingLiU"/>
          <w:kern w:val="0"/>
          <w:sz w:val="24"/>
          <w:highlight w:val="none"/>
        </w:rPr>
        <w:t>单位性质：</w:t>
      </w:r>
      <w:r>
        <w:rPr>
          <w:rFonts w:ascii="宋体" w:hAnsi="宋体"/>
          <w:kern w:val="0"/>
          <w:sz w:val="24"/>
          <w:highlight w:val="none"/>
          <w:u w:val="single"/>
        </w:rPr>
        <w:tab/>
      </w:r>
    </w:p>
    <w:p>
      <w:pPr>
        <w:tabs>
          <w:tab w:val="left" w:pos="4420"/>
        </w:tabs>
        <w:autoSpaceDE w:val="0"/>
        <w:autoSpaceDN w:val="0"/>
        <w:adjustRightInd w:val="0"/>
        <w:spacing w:line="600" w:lineRule="exact"/>
        <w:ind w:left="120" w:right="-20"/>
        <w:jc w:val="left"/>
        <w:rPr>
          <w:rFonts w:ascii="宋体" w:hAnsi="宋体" w:cs="MingLiU"/>
          <w:kern w:val="0"/>
          <w:sz w:val="24"/>
          <w:highlight w:val="none"/>
        </w:rPr>
      </w:pPr>
      <w:r>
        <w:rPr>
          <w:rFonts w:hint="eastAsia" w:ascii="宋体" w:hAnsi="宋体" w:cs="MingLiU"/>
          <w:kern w:val="0"/>
          <w:sz w:val="24"/>
          <w:highlight w:val="none"/>
        </w:rPr>
        <w:t>地址：</w:t>
      </w:r>
      <w:r>
        <w:rPr>
          <w:rFonts w:ascii="宋体" w:hAnsi="宋体"/>
          <w:kern w:val="0"/>
          <w:sz w:val="24"/>
          <w:highlight w:val="none"/>
          <w:u w:val="single"/>
        </w:rPr>
        <w:tab/>
      </w:r>
    </w:p>
    <w:p>
      <w:pPr>
        <w:tabs>
          <w:tab w:val="left" w:pos="2100"/>
          <w:tab w:val="left" w:pos="3160"/>
          <w:tab w:val="left" w:pos="4200"/>
        </w:tabs>
        <w:autoSpaceDE w:val="0"/>
        <w:autoSpaceDN w:val="0"/>
        <w:adjustRightInd w:val="0"/>
        <w:spacing w:line="600" w:lineRule="exact"/>
        <w:ind w:left="120" w:right="-20"/>
        <w:jc w:val="left"/>
        <w:rPr>
          <w:rFonts w:ascii="宋体" w:hAnsi="宋体" w:cs="MingLiU"/>
          <w:kern w:val="0"/>
          <w:sz w:val="24"/>
          <w:highlight w:val="none"/>
        </w:rPr>
      </w:pPr>
      <w:r>
        <w:rPr>
          <w:rFonts w:hint="eastAsia" w:ascii="宋体" w:hAnsi="宋体" w:cs="MingLiU"/>
          <w:kern w:val="0"/>
          <w:sz w:val="24"/>
          <w:highlight w:val="none"/>
        </w:rPr>
        <w:t>成立时间：</w:t>
      </w:r>
      <w:r>
        <w:rPr>
          <w:rFonts w:ascii="宋体" w:hAnsi="宋体"/>
          <w:kern w:val="0"/>
          <w:sz w:val="24"/>
          <w:highlight w:val="none"/>
          <w:u w:val="single"/>
        </w:rPr>
        <w:tab/>
      </w:r>
      <w:r>
        <w:rPr>
          <w:rFonts w:hint="eastAsia" w:ascii="宋体" w:hAnsi="宋体" w:cs="MingLiU"/>
          <w:kern w:val="0"/>
          <w:sz w:val="24"/>
          <w:highlight w:val="none"/>
        </w:rPr>
        <w:t>年</w:t>
      </w:r>
      <w:r>
        <w:rPr>
          <w:rFonts w:ascii="宋体" w:hAnsi="宋体"/>
          <w:kern w:val="0"/>
          <w:sz w:val="24"/>
          <w:highlight w:val="none"/>
          <w:u w:val="single"/>
        </w:rPr>
        <w:tab/>
      </w:r>
      <w:r>
        <w:rPr>
          <w:rFonts w:hint="eastAsia" w:ascii="宋体" w:hAnsi="宋体" w:cs="MingLiU"/>
          <w:kern w:val="0"/>
          <w:sz w:val="24"/>
          <w:highlight w:val="none"/>
        </w:rPr>
        <w:t>月</w:t>
      </w:r>
      <w:r>
        <w:rPr>
          <w:rFonts w:ascii="宋体" w:hAnsi="宋体"/>
          <w:kern w:val="0"/>
          <w:sz w:val="24"/>
          <w:highlight w:val="none"/>
          <w:u w:val="single"/>
        </w:rPr>
        <w:tab/>
      </w:r>
      <w:r>
        <w:rPr>
          <w:rFonts w:hint="eastAsia" w:ascii="宋体" w:hAnsi="宋体" w:cs="MingLiU"/>
          <w:kern w:val="0"/>
          <w:sz w:val="24"/>
          <w:highlight w:val="none"/>
        </w:rPr>
        <w:t>日</w:t>
      </w:r>
    </w:p>
    <w:p>
      <w:pPr>
        <w:tabs>
          <w:tab w:val="left" w:pos="4420"/>
        </w:tabs>
        <w:autoSpaceDE w:val="0"/>
        <w:autoSpaceDN w:val="0"/>
        <w:adjustRightInd w:val="0"/>
        <w:spacing w:line="600" w:lineRule="exact"/>
        <w:ind w:left="120" w:right="-20"/>
        <w:jc w:val="left"/>
        <w:rPr>
          <w:rFonts w:ascii="宋体" w:hAnsi="宋体" w:cs="MingLiU"/>
          <w:kern w:val="0"/>
          <w:sz w:val="24"/>
          <w:highlight w:val="none"/>
        </w:rPr>
      </w:pPr>
      <w:r>
        <w:rPr>
          <w:rFonts w:hint="eastAsia" w:ascii="宋体" w:hAnsi="宋体" w:cs="MingLiU"/>
          <w:kern w:val="0"/>
          <w:sz w:val="24"/>
          <w:highlight w:val="none"/>
        </w:rPr>
        <w:t>经营期限：</w:t>
      </w:r>
      <w:r>
        <w:rPr>
          <w:rFonts w:ascii="宋体" w:hAnsi="宋体"/>
          <w:kern w:val="0"/>
          <w:sz w:val="24"/>
          <w:highlight w:val="none"/>
          <w:u w:val="single"/>
        </w:rPr>
        <w:tab/>
      </w:r>
    </w:p>
    <w:p>
      <w:pPr>
        <w:tabs>
          <w:tab w:val="left" w:pos="1580"/>
          <w:tab w:val="left" w:pos="3615"/>
          <w:tab w:val="left" w:pos="4840"/>
          <w:tab w:val="left" w:pos="6300"/>
        </w:tabs>
        <w:autoSpaceDE w:val="0"/>
        <w:autoSpaceDN w:val="0"/>
        <w:adjustRightInd w:val="0"/>
        <w:spacing w:line="600" w:lineRule="exact"/>
        <w:ind w:left="120" w:right="-20"/>
        <w:jc w:val="left"/>
        <w:rPr>
          <w:rFonts w:ascii="宋体" w:hAnsi="宋体" w:cs="MingLiU"/>
          <w:kern w:val="0"/>
          <w:sz w:val="24"/>
          <w:highlight w:val="none"/>
          <w:u w:val="single"/>
        </w:rPr>
      </w:pPr>
      <w:r>
        <w:rPr>
          <w:rFonts w:hint="eastAsia" w:ascii="宋体" w:hAnsi="宋体" w:cs="MingLiU"/>
          <w:kern w:val="0"/>
          <w:sz w:val="24"/>
          <w:highlight w:val="none"/>
        </w:rPr>
        <w:t>姓名：性别：年龄：职务：</w:t>
      </w:r>
    </w:p>
    <w:p>
      <w:pPr>
        <w:tabs>
          <w:tab w:val="left" w:pos="3360"/>
        </w:tabs>
        <w:autoSpaceDE w:val="0"/>
        <w:autoSpaceDN w:val="0"/>
        <w:adjustRightInd w:val="0"/>
        <w:spacing w:line="600" w:lineRule="exact"/>
        <w:ind w:left="120" w:right="-20"/>
        <w:jc w:val="left"/>
        <w:rPr>
          <w:rFonts w:ascii="宋体" w:hAnsi="宋体" w:cs="MingLiU"/>
          <w:kern w:val="0"/>
          <w:sz w:val="24"/>
          <w:highlight w:val="none"/>
        </w:rPr>
      </w:pPr>
      <w:r>
        <w:rPr>
          <w:rFonts w:hint="eastAsia" w:ascii="宋体" w:hAnsi="宋体" w:cs="MingLiU"/>
          <w:kern w:val="0"/>
          <w:sz w:val="24"/>
          <w:highlight w:val="none"/>
        </w:rPr>
        <w:t>系</w:t>
      </w:r>
      <w:r>
        <w:rPr>
          <w:rFonts w:ascii="宋体" w:hAnsi="宋体"/>
          <w:kern w:val="0"/>
          <w:sz w:val="24"/>
          <w:highlight w:val="none"/>
          <w:u w:val="single"/>
        </w:rPr>
        <w:tab/>
      </w:r>
      <w:r>
        <w:rPr>
          <w:rFonts w:hint="eastAsia" w:ascii="宋体" w:hAnsi="宋体" w:cs="MingLiU"/>
          <w:kern w:val="0"/>
          <w:sz w:val="24"/>
          <w:highlight w:val="none"/>
        </w:rPr>
        <w:t>（供应商名称）的法定代表人。</w:t>
      </w:r>
    </w:p>
    <w:p>
      <w:pPr>
        <w:autoSpaceDE w:val="0"/>
        <w:autoSpaceDN w:val="0"/>
        <w:adjustRightInd w:val="0"/>
        <w:spacing w:line="600" w:lineRule="exact"/>
        <w:ind w:left="540" w:right="-20"/>
        <w:jc w:val="left"/>
        <w:rPr>
          <w:rFonts w:ascii="宋体" w:hAnsi="宋体" w:cs="MingLiU"/>
          <w:kern w:val="0"/>
          <w:sz w:val="24"/>
          <w:highlight w:val="none"/>
        </w:rPr>
      </w:pPr>
    </w:p>
    <w:p>
      <w:pPr>
        <w:autoSpaceDE w:val="0"/>
        <w:autoSpaceDN w:val="0"/>
        <w:adjustRightInd w:val="0"/>
        <w:spacing w:line="600" w:lineRule="exact"/>
        <w:ind w:left="540" w:right="-20"/>
        <w:jc w:val="left"/>
        <w:rPr>
          <w:rFonts w:ascii="宋体" w:hAnsi="宋体" w:cs="MingLiU"/>
          <w:kern w:val="0"/>
          <w:sz w:val="24"/>
          <w:highlight w:val="none"/>
        </w:rPr>
      </w:pPr>
      <w:r>
        <w:rPr>
          <w:rFonts w:hint="eastAsia" w:ascii="宋体" w:hAnsi="宋体" w:cs="MingLiU"/>
          <w:kern w:val="0"/>
          <w:sz w:val="24"/>
          <w:highlight w:val="none"/>
        </w:rPr>
        <w:t>特此证明。</w:t>
      </w:r>
    </w:p>
    <w:p>
      <w:pPr>
        <w:autoSpaceDE w:val="0"/>
        <w:autoSpaceDN w:val="0"/>
        <w:adjustRightInd w:val="0"/>
        <w:spacing w:line="600" w:lineRule="exact"/>
        <w:jc w:val="left"/>
        <w:rPr>
          <w:rFonts w:ascii="宋体" w:hAnsi="宋体" w:cs="MingLiU"/>
          <w:kern w:val="0"/>
          <w:sz w:val="24"/>
          <w:highlight w:val="none"/>
        </w:rPr>
      </w:pPr>
    </w:p>
    <w:p>
      <w:pPr>
        <w:autoSpaceDE w:val="0"/>
        <w:autoSpaceDN w:val="0"/>
        <w:adjustRightInd w:val="0"/>
        <w:spacing w:line="600" w:lineRule="exact"/>
        <w:jc w:val="left"/>
        <w:rPr>
          <w:rFonts w:ascii="宋体" w:hAnsi="宋体" w:cs="MingLiU"/>
          <w:kern w:val="0"/>
          <w:sz w:val="24"/>
          <w:highlight w:val="none"/>
        </w:rPr>
      </w:pPr>
    </w:p>
    <w:p>
      <w:pPr>
        <w:spacing w:line="480" w:lineRule="auto"/>
        <w:ind w:left="3060"/>
        <w:jc w:val="left"/>
        <w:rPr>
          <w:rFonts w:hint="eastAsia" w:ascii="宋体" w:hAnsi="宋体"/>
          <w:sz w:val="24"/>
          <w:highlight w:val="none"/>
        </w:rPr>
      </w:pPr>
      <w:r>
        <w:rPr>
          <w:rFonts w:hint="eastAsia" w:ascii="宋体" w:hAnsi="宋体"/>
          <w:sz w:val="24"/>
          <w:highlight w:val="none"/>
        </w:rPr>
        <w:t>供应商（盖单位章</w:t>
      </w:r>
      <w:r>
        <w:rPr>
          <w:rFonts w:hint="eastAsia" w:ascii="宋体" w:hAnsi="宋体"/>
          <w:sz w:val="24"/>
          <w:highlight w:val="none"/>
          <w:lang w:eastAsia="zh-CN"/>
        </w:rPr>
        <w:t>或电子盖章</w:t>
      </w:r>
      <w:r>
        <w:rPr>
          <w:rFonts w:hint="eastAsia" w:ascii="宋体" w:hAnsi="宋体"/>
          <w:sz w:val="24"/>
          <w:highlight w:val="none"/>
        </w:rPr>
        <w:t>）：</w:t>
      </w:r>
    </w:p>
    <w:p>
      <w:pPr>
        <w:spacing w:line="480" w:lineRule="auto"/>
        <w:ind w:left="3060"/>
        <w:jc w:val="left"/>
        <w:rPr>
          <w:rFonts w:ascii="宋体" w:hAnsi="宋体"/>
          <w:sz w:val="24"/>
          <w:highlight w:val="none"/>
          <w:u w:val="single"/>
        </w:rPr>
      </w:pPr>
      <w:r>
        <w:rPr>
          <w:rFonts w:hint="eastAsia" w:ascii="宋体" w:hAnsi="宋体"/>
          <w:sz w:val="24"/>
          <w:highlight w:val="none"/>
        </w:rPr>
        <w:t>法定代表人（</w:t>
      </w:r>
      <w:r>
        <w:rPr>
          <w:rFonts w:hint="eastAsia" w:ascii="宋体" w:hAnsi="宋体"/>
          <w:sz w:val="24"/>
          <w:highlight w:val="none"/>
          <w:lang w:eastAsia="zh-CN"/>
        </w:rPr>
        <w:t>签字或盖章</w:t>
      </w:r>
      <w:r>
        <w:rPr>
          <w:rFonts w:hint="eastAsia" w:ascii="宋体" w:hAnsi="宋体"/>
          <w:sz w:val="24"/>
          <w:highlight w:val="none"/>
        </w:rPr>
        <w:t>）：                                                        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spacing w:line="480" w:lineRule="auto"/>
        <w:ind w:left="3060"/>
        <w:jc w:val="left"/>
        <w:rPr>
          <w:rFonts w:ascii="宋体" w:hAnsi="宋体"/>
          <w:sz w:val="24"/>
          <w:highlight w:val="none"/>
          <w:u w:val="single"/>
        </w:rPr>
      </w:pPr>
    </w:p>
    <w:p>
      <w:pPr>
        <w:autoSpaceDE w:val="0"/>
        <w:autoSpaceDN w:val="0"/>
        <w:adjustRightInd w:val="0"/>
        <w:spacing w:before="14" w:line="600" w:lineRule="exact"/>
        <w:jc w:val="left"/>
        <w:rPr>
          <w:rFonts w:ascii="宋体" w:hAnsi="宋体" w:cs="MingLiU"/>
          <w:kern w:val="0"/>
          <w:sz w:val="24"/>
          <w:highlight w:val="none"/>
        </w:rPr>
      </w:pPr>
    </w:p>
    <w:p>
      <w:pPr>
        <w:autoSpaceDE w:val="0"/>
        <w:autoSpaceDN w:val="0"/>
        <w:adjustRightInd w:val="0"/>
        <w:spacing w:line="480" w:lineRule="exact"/>
        <w:ind w:left="3263" w:right="3321"/>
        <w:jc w:val="center"/>
        <w:rPr>
          <w:rFonts w:ascii="宋体" w:hAnsi="宋体" w:cs="MingLiU"/>
          <w:kern w:val="0"/>
          <w:sz w:val="28"/>
          <w:szCs w:val="28"/>
          <w:highlight w:val="none"/>
        </w:rPr>
        <w:sectPr>
          <w:headerReference r:id="rId12" w:type="default"/>
          <w:footerReference r:id="rId13" w:type="default"/>
          <w:pgSz w:w="11920" w:h="16840"/>
          <w:pgMar w:top="1418" w:right="1247" w:bottom="1247" w:left="1418" w:header="794" w:footer="851" w:gutter="284"/>
          <w:cols w:space="720" w:num="1"/>
        </w:sectPr>
      </w:pPr>
    </w:p>
    <w:p>
      <w:pPr>
        <w:pStyle w:val="5"/>
        <w:jc w:val="center"/>
        <w:rPr>
          <w:rFonts w:ascii="宋体" w:hAnsi="宋体" w:eastAsia="宋体"/>
          <w:sz w:val="28"/>
          <w:szCs w:val="28"/>
          <w:highlight w:val="none"/>
        </w:rPr>
      </w:pPr>
      <w:bookmarkStart w:id="76" w:name="_Toc530142469"/>
      <w:bookmarkStart w:id="77" w:name="_Toc16397"/>
      <w:bookmarkStart w:id="78" w:name="_Toc436813435"/>
      <w:r>
        <w:rPr>
          <w:rFonts w:hint="eastAsia" w:ascii="宋体" w:hAnsi="宋体" w:eastAsia="宋体"/>
          <w:sz w:val="28"/>
          <w:szCs w:val="28"/>
          <w:highlight w:val="none"/>
        </w:rPr>
        <w:t>四、法定代表人授权委托书</w:t>
      </w:r>
      <w:bookmarkEnd w:id="76"/>
      <w:bookmarkEnd w:id="77"/>
      <w:bookmarkEnd w:id="78"/>
    </w:p>
    <w:p>
      <w:pPr>
        <w:spacing w:line="480" w:lineRule="auto"/>
        <w:ind w:firstLine="420"/>
        <w:rPr>
          <w:highlight w:val="none"/>
        </w:rPr>
      </w:pPr>
      <w:r>
        <w:rPr>
          <w:highlight w:val="none"/>
        </w:rPr>
        <w:t>本授权书声明：注册于（</w:t>
      </w:r>
      <w:r>
        <w:rPr>
          <w:highlight w:val="none"/>
          <w:u w:val="single"/>
        </w:rPr>
        <w:t>注册地址名称</w:t>
      </w:r>
      <w:r>
        <w:rPr>
          <w:highlight w:val="none"/>
        </w:rPr>
        <w:t>）的(</w:t>
      </w:r>
      <w:r>
        <w:rPr>
          <w:rFonts w:hint="eastAsia" w:ascii="宋体" w:hAnsi="宋体" w:cs="宋体"/>
          <w:highlight w:val="none"/>
          <w:u w:val="single"/>
        </w:rPr>
        <w:t>单位名称</w:t>
      </w:r>
      <w:r>
        <w:rPr>
          <w:highlight w:val="none"/>
        </w:rPr>
        <w:t>)的（</w:t>
      </w:r>
      <w:r>
        <w:rPr>
          <w:highlight w:val="none"/>
          <w:u w:val="single"/>
        </w:rPr>
        <w:t>法定代表人姓名、职务</w:t>
      </w:r>
      <w:r>
        <w:rPr>
          <w:highlight w:val="none"/>
        </w:rPr>
        <w:t>）代表本公司授权（</w:t>
      </w:r>
      <w:r>
        <w:rPr>
          <w:rFonts w:hint="eastAsia"/>
          <w:highlight w:val="none"/>
          <w:u w:val="single"/>
        </w:rPr>
        <w:t>单位名称</w:t>
      </w:r>
      <w:r>
        <w:rPr>
          <w:highlight w:val="none"/>
        </w:rPr>
        <w:t>）的（</w:t>
      </w:r>
      <w:r>
        <w:rPr>
          <w:highlight w:val="none"/>
          <w:u w:val="single"/>
        </w:rPr>
        <w:t>委托代理人的姓名、职务</w:t>
      </w:r>
      <w:r>
        <w:rPr>
          <w:highlight w:val="none"/>
        </w:rPr>
        <w:t>）为本公司的合法代理人，就</w:t>
      </w:r>
      <w:r>
        <w:rPr>
          <w:rFonts w:hint="eastAsia"/>
          <w:highlight w:val="none"/>
        </w:rPr>
        <w:t>采购</w:t>
      </w:r>
      <w:r>
        <w:rPr>
          <w:highlight w:val="none"/>
        </w:rPr>
        <w:t>编号为</w:t>
      </w:r>
      <w:r>
        <w:rPr>
          <w:rFonts w:hint="eastAsia"/>
          <w:highlight w:val="none"/>
        </w:rPr>
        <w:t>（采购项目名称）</w:t>
      </w:r>
      <w:r>
        <w:rPr>
          <w:highlight w:val="none"/>
        </w:rPr>
        <w:t>的</w:t>
      </w:r>
      <w:r>
        <w:rPr>
          <w:rFonts w:hint="eastAsia" w:ascii="宋体" w:hAnsi="宋体" w:cs="宋体"/>
          <w:highlight w:val="none"/>
        </w:rPr>
        <w:t>投标</w:t>
      </w:r>
      <w:r>
        <w:rPr>
          <w:highlight w:val="none"/>
        </w:rPr>
        <w:t>及合同执行，以本公司名义处理一切与之有关的事务。</w:t>
      </w:r>
    </w:p>
    <w:p>
      <w:pPr>
        <w:spacing w:line="480" w:lineRule="auto"/>
        <w:ind w:firstLine="420"/>
        <w:rPr>
          <w:highlight w:val="none"/>
        </w:rPr>
      </w:pPr>
      <w:r>
        <w:rPr>
          <w:highlight w:val="none"/>
        </w:rPr>
        <w:t>本授权书于</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r>
        <w:rPr>
          <w:rFonts w:hint="eastAsia"/>
          <w:highlight w:val="none"/>
          <w:lang w:val="en-US" w:eastAsia="zh-CN"/>
        </w:rPr>
        <w:t xml:space="preserve">  </w:t>
      </w:r>
      <w:r>
        <w:rPr>
          <w:highlight w:val="none"/>
        </w:rPr>
        <w:t>生效，特此声明。</w:t>
      </w:r>
    </w:p>
    <w:p>
      <w:pPr>
        <w:spacing w:line="480" w:lineRule="auto"/>
        <w:ind w:firstLine="420"/>
        <w:rPr>
          <w:rFonts w:hint="eastAsia"/>
          <w:highlight w:val="none"/>
        </w:rPr>
      </w:pPr>
      <w:r>
        <w:rPr>
          <w:rFonts w:hint="eastAsia"/>
          <w:highlight w:val="none"/>
        </w:rPr>
        <w:t>供应商（盖单位章</w:t>
      </w:r>
      <w:r>
        <w:rPr>
          <w:rFonts w:hint="eastAsia"/>
          <w:highlight w:val="none"/>
          <w:lang w:eastAsia="zh-CN"/>
        </w:rPr>
        <w:t>或电子盖章</w:t>
      </w:r>
      <w:r>
        <w:rPr>
          <w:rFonts w:hint="eastAsia"/>
          <w:highlight w:val="none"/>
        </w:rPr>
        <w:t>）：</w:t>
      </w:r>
    </w:p>
    <w:p>
      <w:pPr>
        <w:spacing w:line="480" w:lineRule="auto"/>
        <w:ind w:firstLine="420"/>
        <w:rPr>
          <w:rFonts w:ascii="宋体" w:hAnsi="宋体"/>
          <w:sz w:val="24"/>
          <w:highlight w:val="none"/>
          <w:u w:val="single"/>
        </w:rPr>
      </w:pPr>
      <w:r>
        <w:rPr>
          <w:rFonts w:hint="eastAsia"/>
          <w:highlight w:val="none"/>
          <w:lang w:eastAsia="zh-CN"/>
        </w:rPr>
        <w:t>授权人</w:t>
      </w:r>
      <w:r>
        <w:rPr>
          <w:rFonts w:hint="eastAsia"/>
          <w:highlight w:val="none"/>
        </w:rPr>
        <w:t>（</w:t>
      </w:r>
      <w:r>
        <w:rPr>
          <w:rFonts w:hint="eastAsia"/>
          <w:highlight w:val="none"/>
          <w:lang w:eastAsia="zh-CN"/>
        </w:rPr>
        <w:t>签字或盖章</w:t>
      </w:r>
      <w:r>
        <w:rPr>
          <w:rFonts w:hint="eastAsia"/>
          <w:highlight w:val="none"/>
        </w:rPr>
        <w:t xml:space="preserve">）：   </w:t>
      </w:r>
      <w:r>
        <w:rPr>
          <w:rFonts w:hint="eastAsia" w:ascii="宋体" w:hAnsi="宋体"/>
          <w:sz w:val="24"/>
          <w:highlight w:val="none"/>
        </w:rPr>
        <w:t xml:space="preserve">                                                     </w:t>
      </w:r>
    </w:p>
    <w:p>
      <w:pPr>
        <w:spacing w:line="480" w:lineRule="auto"/>
        <w:ind w:firstLine="420"/>
        <w:rPr>
          <w:highlight w:val="none"/>
          <w:u w:val="single"/>
        </w:rPr>
      </w:pPr>
      <w:r>
        <w:rPr>
          <w:highlight w:val="none"/>
        </w:rPr>
        <w:t>地址：</w:t>
      </w:r>
    </w:p>
    <w:p>
      <w:pPr>
        <w:spacing w:line="480" w:lineRule="auto"/>
        <w:ind w:firstLine="420"/>
        <w:rPr>
          <w:highlight w:val="none"/>
        </w:rPr>
      </w:pPr>
    </w:p>
    <w:p>
      <w:pPr>
        <w:spacing w:line="480" w:lineRule="auto"/>
        <w:ind w:left="210" w:leftChars="100" w:firstLine="210" w:firstLineChars="100"/>
        <w:outlineLvl w:val="1"/>
        <w:rPr>
          <w:b/>
          <w:kern w:val="0"/>
          <w:sz w:val="32"/>
          <w:szCs w:val="32"/>
          <w:highlight w:val="none"/>
        </w:rPr>
      </w:pPr>
      <w:bookmarkStart w:id="79" w:name="_Toc28798"/>
      <w:bookmarkStart w:id="80" w:name="_Toc32050"/>
      <w:bookmarkStart w:id="81" w:name="_Toc29250"/>
      <w:bookmarkStart w:id="82" w:name="_Toc24790"/>
      <w:bookmarkStart w:id="83" w:name="_Toc3866"/>
      <w:r>
        <w:rPr>
          <w:highlight w:val="none"/>
        </w:rPr>
        <w:t>附：</w:t>
      </w:r>
      <w:r>
        <w:rPr>
          <w:rFonts w:hint="eastAsia"/>
          <w:highlight w:val="none"/>
        </w:rPr>
        <w:t>法定代表人和委托代理人身份证正反面扫描件</w:t>
      </w:r>
      <w:bookmarkEnd w:id="79"/>
      <w:bookmarkEnd w:id="80"/>
      <w:bookmarkEnd w:id="81"/>
      <w:bookmarkEnd w:id="82"/>
      <w:bookmarkEnd w:id="83"/>
    </w:p>
    <w:tbl>
      <w:tblPr>
        <w:tblStyle w:val="42"/>
        <w:tblpPr w:leftFromText="180" w:rightFromText="180" w:vertAnchor="text" w:horzAnchor="page" w:tblpX="1522" w:tblpY="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cs="宋体"/>
                <w:color w:val="000000"/>
                <w:highlight w:val="none"/>
              </w:rPr>
            </w:pPr>
            <w:r>
              <w:rPr>
                <w:rFonts w:hint="eastAsia" w:ascii="宋体" w:hAnsi="宋体" w:cs="宋体"/>
                <w:color w:val="000000"/>
                <w:highlight w:val="none"/>
              </w:rPr>
              <w:t>法定代表人身份证（正面）</w:t>
            </w:r>
          </w:p>
        </w:tc>
        <w:tc>
          <w:tcPr>
            <w:tcW w:w="4485" w:type="dxa"/>
            <w:vAlign w:val="center"/>
          </w:tcPr>
          <w:p>
            <w:pPr>
              <w:jc w:val="center"/>
              <w:rPr>
                <w:rFonts w:ascii="宋体" w:hAnsi="宋体" w:cs="宋体"/>
                <w:color w:val="000000"/>
                <w:highlight w:val="none"/>
              </w:rPr>
            </w:pPr>
            <w:r>
              <w:rPr>
                <w:rFonts w:hint="eastAsia" w:ascii="宋体" w:hAnsi="宋体" w:cs="宋体"/>
                <w:color w:val="000000"/>
                <w:highlight w:val="none"/>
              </w:rPr>
              <w:t>法定代表人身份证（反面）</w:t>
            </w:r>
          </w:p>
        </w:tc>
      </w:tr>
    </w:tbl>
    <w:p>
      <w:pPr>
        <w:jc w:val="center"/>
        <w:rPr>
          <w:rFonts w:ascii="宋体" w:hAnsi="宋体" w:cs="宋体"/>
          <w:color w:val="000000"/>
          <w:highlight w:val="none"/>
        </w:rPr>
      </w:pPr>
    </w:p>
    <w:tbl>
      <w:tblPr>
        <w:tblStyle w:val="42"/>
        <w:tblpPr w:leftFromText="180" w:rightFromText="180" w:vertAnchor="text" w:horzAnchor="page" w:tblpX="1492" w:tblpY="4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vAlign w:val="center"/>
          </w:tcPr>
          <w:p>
            <w:pPr>
              <w:jc w:val="center"/>
              <w:rPr>
                <w:rFonts w:ascii="宋体" w:hAnsi="宋体" w:cs="宋体"/>
                <w:color w:val="000000"/>
                <w:highlight w:val="none"/>
              </w:rPr>
            </w:pPr>
            <w:bookmarkStart w:id="84" w:name="_资格证明文件"/>
            <w:bookmarkEnd w:id="84"/>
            <w:bookmarkStart w:id="85" w:name="_Toc364329026"/>
            <w:r>
              <w:rPr>
                <w:rFonts w:hint="eastAsia" w:ascii="宋体" w:hAnsi="宋体" w:cs="宋体"/>
                <w:color w:val="000000"/>
                <w:highlight w:val="none"/>
              </w:rPr>
              <w:t>法定代表人授权代表身份证（正面）</w:t>
            </w:r>
            <w:bookmarkEnd w:id="85"/>
          </w:p>
        </w:tc>
        <w:tc>
          <w:tcPr>
            <w:tcW w:w="4492" w:type="dxa"/>
            <w:vAlign w:val="center"/>
          </w:tcPr>
          <w:p>
            <w:pPr>
              <w:jc w:val="center"/>
              <w:rPr>
                <w:rFonts w:ascii="宋体" w:hAnsi="宋体" w:cs="宋体"/>
                <w:color w:val="000000"/>
                <w:highlight w:val="none"/>
              </w:rPr>
            </w:pPr>
            <w:bookmarkStart w:id="86" w:name="_Toc364329027"/>
            <w:r>
              <w:rPr>
                <w:rFonts w:hint="eastAsia" w:ascii="宋体" w:hAnsi="宋体" w:cs="宋体"/>
                <w:color w:val="000000"/>
                <w:highlight w:val="none"/>
              </w:rPr>
              <w:t>法定代表人授权代表身份证（反面）</w:t>
            </w:r>
            <w:bookmarkEnd w:id="86"/>
          </w:p>
        </w:tc>
      </w:tr>
    </w:tbl>
    <w:p>
      <w:pPr>
        <w:tabs>
          <w:tab w:val="left" w:pos="5835"/>
        </w:tabs>
        <w:autoSpaceDE w:val="0"/>
        <w:autoSpaceDN w:val="0"/>
        <w:adjustRightInd w:val="0"/>
        <w:spacing w:line="600" w:lineRule="exact"/>
        <w:ind w:left="119" w:right="-20"/>
        <w:jc w:val="left"/>
        <w:rPr>
          <w:rFonts w:ascii="宋体" w:hAnsi="宋体" w:cs="MingLiU"/>
          <w:kern w:val="0"/>
          <w:sz w:val="24"/>
          <w:highlight w:val="none"/>
        </w:rPr>
      </w:pPr>
      <w:r>
        <w:rPr>
          <w:rFonts w:ascii="宋体" w:hAnsi="宋体"/>
          <w:szCs w:val="21"/>
          <w:highlight w:val="none"/>
        </w:rPr>
        <w:br w:type="page"/>
      </w:r>
    </w:p>
    <w:bookmarkEnd w:id="67"/>
    <w:bookmarkEnd w:id="68"/>
    <w:bookmarkEnd w:id="69"/>
    <w:p>
      <w:pPr>
        <w:pStyle w:val="5"/>
        <w:jc w:val="center"/>
        <w:rPr>
          <w:rFonts w:ascii="宋体" w:hAnsi="宋体" w:eastAsia="宋体"/>
          <w:sz w:val="24"/>
          <w:szCs w:val="24"/>
          <w:highlight w:val="none"/>
        </w:rPr>
      </w:pPr>
      <w:bookmarkStart w:id="87" w:name="_Toc32716"/>
      <w:bookmarkStart w:id="88" w:name="_Toc530142471"/>
      <w:bookmarkStart w:id="89" w:name="_Toc262746022"/>
      <w:bookmarkStart w:id="90" w:name="_Toc332961929"/>
      <w:bookmarkStart w:id="91" w:name="_Toc262483520"/>
      <w:r>
        <w:rPr>
          <w:rFonts w:hint="eastAsia" w:ascii="宋体" w:hAnsi="宋体" w:eastAsia="宋体"/>
          <w:sz w:val="24"/>
          <w:szCs w:val="24"/>
          <w:highlight w:val="none"/>
        </w:rPr>
        <w:t>五、资格审查资料</w:t>
      </w:r>
      <w:bookmarkEnd w:id="87"/>
      <w:bookmarkEnd w:id="88"/>
    </w:p>
    <w:bookmarkEnd w:id="89"/>
    <w:bookmarkEnd w:id="90"/>
    <w:bookmarkEnd w:id="91"/>
    <w:p>
      <w:pPr>
        <w:jc w:val="center"/>
        <w:rPr>
          <w:rFonts w:ascii="宋体" w:hAnsi="宋体"/>
          <w:b/>
          <w:highlight w:val="none"/>
        </w:rPr>
      </w:pPr>
      <w:bookmarkStart w:id="92" w:name="_Toc458691712"/>
      <w:r>
        <w:rPr>
          <w:rFonts w:hint="eastAsia" w:ascii="宋体" w:hAnsi="宋体"/>
          <w:b/>
          <w:highlight w:val="none"/>
        </w:rPr>
        <w:t>供应商基本情况表</w:t>
      </w:r>
      <w:bookmarkEnd w:id="92"/>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166"/>
        <w:gridCol w:w="2647"/>
        <w:gridCol w:w="1403"/>
        <w:gridCol w:w="126"/>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供应商名称</w:t>
            </w:r>
          </w:p>
        </w:tc>
        <w:tc>
          <w:tcPr>
            <w:tcW w:w="7899" w:type="dxa"/>
            <w:gridSpan w:val="5"/>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注册地址</w:t>
            </w:r>
          </w:p>
        </w:tc>
        <w:tc>
          <w:tcPr>
            <w:tcW w:w="3813" w:type="dxa"/>
            <w:gridSpan w:val="2"/>
            <w:vAlign w:val="center"/>
          </w:tcPr>
          <w:p>
            <w:pPr>
              <w:spacing w:line="360" w:lineRule="auto"/>
              <w:jc w:val="center"/>
              <w:rPr>
                <w:rFonts w:ascii="宋体" w:hAnsi="宋体" w:cs="宋体"/>
                <w:sz w:val="24"/>
                <w:highlight w:val="none"/>
              </w:rPr>
            </w:pPr>
          </w:p>
        </w:tc>
        <w:tc>
          <w:tcPr>
            <w:tcW w:w="140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邮政编码</w:t>
            </w:r>
          </w:p>
        </w:tc>
        <w:tc>
          <w:tcPr>
            <w:tcW w:w="2683" w:type="dxa"/>
            <w:gridSpan w:val="2"/>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71" w:type="dxa"/>
            <w:vMerge w:val="restart"/>
            <w:vAlign w:val="center"/>
          </w:tcPr>
          <w:p>
            <w:pPr>
              <w:spacing w:line="360" w:lineRule="auto"/>
              <w:jc w:val="center"/>
              <w:rPr>
                <w:rFonts w:ascii="宋体" w:hAnsi="宋体" w:cs="宋体"/>
                <w:sz w:val="24"/>
                <w:highlight w:val="none"/>
              </w:rPr>
            </w:pPr>
            <w:r>
              <w:rPr>
                <w:rFonts w:hint="eastAsia" w:ascii="宋体" w:hAnsi="宋体" w:cs="宋体"/>
                <w:sz w:val="24"/>
                <w:highlight w:val="none"/>
              </w:rPr>
              <w:t>联系方式</w:t>
            </w:r>
          </w:p>
        </w:tc>
        <w:tc>
          <w:tcPr>
            <w:tcW w:w="116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联系人</w:t>
            </w:r>
          </w:p>
        </w:tc>
        <w:tc>
          <w:tcPr>
            <w:tcW w:w="2647" w:type="dxa"/>
            <w:vAlign w:val="center"/>
          </w:tcPr>
          <w:p>
            <w:pPr>
              <w:spacing w:line="360" w:lineRule="auto"/>
              <w:jc w:val="center"/>
              <w:rPr>
                <w:rFonts w:ascii="宋体" w:hAnsi="宋体" w:cs="宋体"/>
                <w:sz w:val="24"/>
                <w:highlight w:val="none"/>
              </w:rPr>
            </w:pPr>
          </w:p>
        </w:tc>
        <w:tc>
          <w:tcPr>
            <w:tcW w:w="140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电  话</w:t>
            </w:r>
          </w:p>
        </w:tc>
        <w:tc>
          <w:tcPr>
            <w:tcW w:w="2683" w:type="dxa"/>
            <w:gridSpan w:val="2"/>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vMerge w:val="continue"/>
            <w:vAlign w:val="center"/>
          </w:tcPr>
          <w:p>
            <w:pPr>
              <w:spacing w:line="360" w:lineRule="auto"/>
              <w:jc w:val="center"/>
              <w:rPr>
                <w:rFonts w:ascii="宋体" w:hAnsi="宋体" w:cs="宋体"/>
                <w:sz w:val="24"/>
                <w:highlight w:val="none"/>
              </w:rPr>
            </w:pPr>
          </w:p>
        </w:tc>
        <w:tc>
          <w:tcPr>
            <w:tcW w:w="116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传  真</w:t>
            </w:r>
          </w:p>
        </w:tc>
        <w:tc>
          <w:tcPr>
            <w:tcW w:w="2647" w:type="dxa"/>
            <w:vAlign w:val="center"/>
          </w:tcPr>
          <w:p>
            <w:pPr>
              <w:spacing w:line="360" w:lineRule="auto"/>
              <w:jc w:val="center"/>
              <w:rPr>
                <w:rFonts w:ascii="宋体" w:hAnsi="宋体" w:cs="宋体"/>
                <w:sz w:val="24"/>
                <w:highlight w:val="none"/>
              </w:rPr>
            </w:pPr>
          </w:p>
        </w:tc>
        <w:tc>
          <w:tcPr>
            <w:tcW w:w="140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网  址</w:t>
            </w:r>
          </w:p>
        </w:tc>
        <w:tc>
          <w:tcPr>
            <w:tcW w:w="2683" w:type="dxa"/>
            <w:gridSpan w:val="2"/>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7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法定代表人</w:t>
            </w:r>
          </w:p>
        </w:tc>
        <w:tc>
          <w:tcPr>
            <w:tcW w:w="1166"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姓名</w:t>
            </w:r>
          </w:p>
        </w:tc>
        <w:tc>
          <w:tcPr>
            <w:tcW w:w="2647" w:type="dxa"/>
            <w:vAlign w:val="center"/>
          </w:tcPr>
          <w:p>
            <w:pPr>
              <w:spacing w:line="360" w:lineRule="auto"/>
              <w:jc w:val="center"/>
              <w:rPr>
                <w:rFonts w:ascii="宋体" w:hAnsi="宋体" w:cs="宋体"/>
                <w:sz w:val="24"/>
                <w:highlight w:val="none"/>
              </w:rPr>
            </w:pPr>
          </w:p>
        </w:tc>
        <w:tc>
          <w:tcPr>
            <w:tcW w:w="1529" w:type="dxa"/>
            <w:gridSpan w:val="2"/>
            <w:vAlign w:val="center"/>
          </w:tcPr>
          <w:p>
            <w:pPr>
              <w:spacing w:line="360" w:lineRule="auto"/>
              <w:jc w:val="center"/>
              <w:rPr>
                <w:rFonts w:ascii="宋体" w:hAnsi="宋体" w:cs="宋体"/>
                <w:sz w:val="24"/>
                <w:highlight w:val="none"/>
              </w:rPr>
            </w:pPr>
            <w:r>
              <w:rPr>
                <w:rFonts w:hint="eastAsia" w:ascii="宋体" w:hAnsi="宋体" w:cs="宋体"/>
                <w:sz w:val="24"/>
                <w:highlight w:val="none"/>
              </w:rPr>
              <w:t>电话</w:t>
            </w:r>
          </w:p>
        </w:tc>
        <w:tc>
          <w:tcPr>
            <w:tcW w:w="2557"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7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成立时间</w:t>
            </w:r>
          </w:p>
        </w:tc>
        <w:tc>
          <w:tcPr>
            <w:tcW w:w="3813" w:type="dxa"/>
            <w:gridSpan w:val="2"/>
            <w:vAlign w:val="center"/>
          </w:tcPr>
          <w:p>
            <w:pPr>
              <w:spacing w:line="360" w:lineRule="auto"/>
              <w:jc w:val="center"/>
              <w:rPr>
                <w:rFonts w:ascii="宋体" w:hAnsi="宋体" w:cs="宋体"/>
                <w:sz w:val="24"/>
                <w:highlight w:val="none"/>
              </w:rPr>
            </w:pPr>
          </w:p>
        </w:tc>
        <w:tc>
          <w:tcPr>
            <w:tcW w:w="1529" w:type="dxa"/>
            <w:gridSpan w:val="2"/>
            <w:vAlign w:val="center"/>
          </w:tcPr>
          <w:p>
            <w:pPr>
              <w:spacing w:line="360" w:lineRule="auto"/>
              <w:jc w:val="center"/>
              <w:rPr>
                <w:rFonts w:ascii="宋体" w:hAnsi="宋体" w:cs="宋体"/>
                <w:sz w:val="24"/>
                <w:highlight w:val="none"/>
              </w:rPr>
            </w:pPr>
            <w:r>
              <w:rPr>
                <w:rFonts w:hint="eastAsia" w:ascii="宋体" w:hAnsi="宋体" w:cs="宋体"/>
                <w:sz w:val="24"/>
                <w:highlight w:val="none"/>
              </w:rPr>
              <w:t>员工总人数</w:t>
            </w:r>
          </w:p>
        </w:tc>
        <w:tc>
          <w:tcPr>
            <w:tcW w:w="2557" w:type="dxa"/>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7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营业执照号</w:t>
            </w:r>
          </w:p>
        </w:tc>
        <w:tc>
          <w:tcPr>
            <w:tcW w:w="7899" w:type="dxa"/>
            <w:gridSpan w:val="5"/>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7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注册资金</w:t>
            </w:r>
          </w:p>
        </w:tc>
        <w:tc>
          <w:tcPr>
            <w:tcW w:w="7899" w:type="dxa"/>
            <w:gridSpan w:val="5"/>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7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开户银行</w:t>
            </w:r>
          </w:p>
        </w:tc>
        <w:tc>
          <w:tcPr>
            <w:tcW w:w="7899" w:type="dxa"/>
            <w:gridSpan w:val="5"/>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账号</w:t>
            </w:r>
          </w:p>
        </w:tc>
        <w:tc>
          <w:tcPr>
            <w:tcW w:w="7899" w:type="dxa"/>
            <w:gridSpan w:val="5"/>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67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经营范围</w:t>
            </w:r>
          </w:p>
        </w:tc>
        <w:tc>
          <w:tcPr>
            <w:tcW w:w="7899" w:type="dxa"/>
            <w:gridSpan w:val="5"/>
            <w:vAlign w:val="center"/>
          </w:tcPr>
          <w:p>
            <w:pPr>
              <w:spacing w:line="360" w:lineRule="auto"/>
              <w:jc w:val="center"/>
              <w:rPr>
                <w:rFonts w:ascii="宋体" w:hAnsi="宋体" w:cs="宋体"/>
                <w:sz w:val="24"/>
                <w:highlight w:val="none"/>
              </w:rPr>
            </w:pPr>
          </w:p>
        </w:tc>
      </w:tr>
    </w:tbl>
    <w:p>
      <w:pPr>
        <w:spacing w:line="360" w:lineRule="auto"/>
        <w:rPr>
          <w:rFonts w:ascii="宋体" w:hAnsi="宋体"/>
          <w:sz w:val="24"/>
          <w:highlight w:val="none"/>
        </w:rPr>
      </w:pPr>
      <w:r>
        <w:rPr>
          <w:rFonts w:hint="eastAsia" w:ascii="宋体" w:hAnsi="宋体"/>
          <w:sz w:val="24"/>
          <w:highlight w:val="none"/>
        </w:rPr>
        <w:t>注：后附资格证明文件</w:t>
      </w:r>
    </w:p>
    <w:p>
      <w:pPr>
        <w:spacing w:line="480" w:lineRule="auto"/>
        <w:jc w:val="left"/>
        <w:rPr>
          <w:rFonts w:hint="eastAsia" w:ascii="宋体" w:hAnsi="宋体" w:cs="宋体"/>
          <w:sz w:val="24"/>
          <w:highlight w:val="none"/>
        </w:rPr>
      </w:pPr>
      <w:r>
        <w:rPr>
          <w:rFonts w:hint="eastAsia" w:ascii="宋体" w:hAnsi="宋体" w:cs="宋体"/>
          <w:sz w:val="24"/>
          <w:highlight w:val="none"/>
        </w:rPr>
        <w:t>供应商（盖单位章</w:t>
      </w:r>
      <w:r>
        <w:rPr>
          <w:rFonts w:hint="eastAsia" w:ascii="宋体" w:hAnsi="宋体" w:cs="宋体"/>
          <w:sz w:val="24"/>
          <w:highlight w:val="none"/>
          <w:lang w:eastAsia="zh-CN"/>
        </w:rPr>
        <w:t>或电子盖章</w:t>
      </w:r>
      <w:r>
        <w:rPr>
          <w:rFonts w:hint="eastAsia" w:ascii="宋体" w:hAnsi="宋体" w:cs="宋体"/>
          <w:sz w:val="24"/>
          <w:highlight w:val="none"/>
        </w:rPr>
        <w:t>）：</w:t>
      </w:r>
    </w:p>
    <w:p>
      <w:pPr>
        <w:spacing w:line="480" w:lineRule="auto"/>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lang w:eastAsia="zh-CN"/>
        </w:rPr>
        <w:t>签字或盖章</w:t>
      </w:r>
      <w:r>
        <w:rPr>
          <w:rFonts w:hint="eastAsia" w:ascii="宋体" w:hAnsi="宋体" w:cs="宋体"/>
          <w:sz w:val="24"/>
          <w:highlight w:val="none"/>
        </w:rPr>
        <w:t>）：</w:t>
      </w:r>
    </w:p>
    <w:p>
      <w:pPr>
        <w:spacing w:line="480" w:lineRule="auto"/>
        <w:jc w:val="left"/>
        <w:rPr>
          <w:rFonts w:ascii="宋体" w:hAnsi="宋体"/>
          <w:sz w:val="24"/>
          <w:highlight w:val="none"/>
          <w:u w:val="singl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tabs>
          <w:tab w:val="left" w:pos="0"/>
        </w:tabs>
        <w:spacing w:line="360" w:lineRule="auto"/>
        <w:rPr>
          <w:rFonts w:ascii="宋体" w:hAnsi="宋体"/>
          <w:sz w:val="30"/>
          <w:szCs w:val="30"/>
          <w:highlight w:val="none"/>
        </w:rPr>
      </w:pPr>
    </w:p>
    <w:p>
      <w:pPr>
        <w:tabs>
          <w:tab w:val="left" w:pos="0"/>
        </w:tabs>
        <w:spacing w:line="360" w:lineRule="auto"/>
        <w:rPr>
          <w:rFonts w:ascii="宋体" w:hAnsi="宋体"/>
          <w:sz w:val="30"/>
          <w:szCs w:val="30"/>
          <w:highlight w:val="none"/>
        </w:rPr>
      </w:pPr>
    </w:p>
    <w:p>
      <w:pPr>
        <w:tabs>
          <w:tab w:val="left" w:pos="0"/>
        </w:tabs>
        <w:spacing w:line="360" w:lineRule="auto"/>
        <w:rPr>
          <w:rFonts w:ascii="宋体" w:hAnsi="宋体" w:cs="宋体"/>
          <w:b/>
          <w:bCs/>
          <w:sz w:val="28"/>
          <w:szCs w:val="28"/>
          <w:highlight w:val="none"/>
        </w:rPr>
      </w:pPr>
      <w:r>
        <w:rPr>
          <w:rFonts w:hint="eastAsia" w:ascii="宋体" w:hAnsi="宋体" w:cs="宋体"/>
          <w:b/>
          <w:bCs/>
          <w:sz w:val="28"/>
          <w:szCs w:val="28"/>
          <w:highlight w:val="none"/>
        </w:rPr>
        <w:t>资格证明文件：</w:t>
      </w:r>
    </w:p>
    <w:p>
      <w:pPr>
        <w:spacing w:line="420" w:lineRule="atLeast"/>
        <w:rPr>
          <w:sz w:val="24"/>
          <w:highlight w:val="none"/>
        </w:rPr>
      </w:pPr>
      <w:r>
        <w:rPr>
          <w:rFonts w:hint="eastAsia"/>
          <w:sz w:val="24"/>
          <w:highlight w:val="none"/>
        </w:rPr>
        <w:t>1、提供有效的营业执照；</w:t>
      </w:r>
    </w:p>
    <w:p>
      <w:pPr>
        <w:spacing w:line="420" w:lineRule="atLeast"/>
        <w:rPr>
          <w:sz w:val="24"/>
          <w:highlight w:val="none"/>
        </w:rPr>
      </w:pPr>
      <w:r>
        <w:rPr>
          <w:rFonts w:hint="eastAsia"/>
          <w:sz w:val="24"/>
          <w:highlight w:val="none"/>
        </w:rPr>
        <w:t>2.提供2019年或2020度经审计的财务报告（成立年限不足1年的提供基本户银行出具的资信证明）；（ 财务审计报告请注意应同时具有2名及以上注册会计师盖章和签字。）；</w:t>
      </w:r>
    </w:p>
    <w:p>
      <w:pPr>
        <w:spacing w:line="420" w:lineRule="atLeast"/>
        <w:rPr>
          <w:sz w:val="24"/>
          <w:highlight w:val="none"/>
        </w:rPr>
      </w:pPr>
      <w:r>
        <w:rPr>
          <w:rFonts w:hint="eastAsia"/>
          <w:sz w:val="24"/>
          <w:highlight w:val="none"/>
        </w:rPr>
        <w:t>3.提供2020年06月份以来任意1个月的依法纳税和社会保障资金缴纳证明（银行扣款回单或税局开具的凭据或缴纳清单等，依法免税企业，应提供相关证明文件）；</w:t>
      </w:r>
    </w:p>
    <w:p>
      <w:pPr>
        <w:spacing w:line="420" w:lineRule="atLeast"/>
        <w:rPr>
          <w:sz w:val="24"/>
          <w:highlight w:val="none"/>
        </w:rPr>
      </w:pPr>
      <w:r>
        <w:rPr>
          <w:rFonts w:hint="eastAsia"/>
          <w:sz w:val="24"/>
          <w:highlight w:val="none"/>
        </w:rPr>
        <w:t>4.参加政府采购活动前三年内在经营活动中没有重大违法、违纪行为书面声明；</w:t>
      </w:r>
    </w:p>
    <w:p>
      <w:pPr>
        <w:spacing w:line="420" w:lineRule="atLeast"/>
        <w:rPr>
          <w:sz w:val="24"/>
          <w:highlight w:val="none"/>
        </w:rPr>
      </w:pPr>
      <w:r>
        <w:rPr>
          <w:rFonts w:hint="eastAsia"/>
          <w:sz w:val="24"/>
          <w:highlight w:val="none"/>
        </w:rPr>
        <w:t>5.供应商须具备《广播电视节目制作经营许可证》；</w:t>
      </w:r>
    </w:p>
    <w:p>
      <w:pPr>
        <w:spacing w:line="420" w:lineRule="atLeast"/>
        <w:rPr>
          <w:sz w:val="24"/>
          <w:highlight w:val="none"/>
        </w:rPr>
      </w:pPr>
      <w:r>
        <w:rPr>
          <w:rFonts w:hint="eastAsia"/>
          <w:sz w:val="24"/>
          <w:highlight w:val="none"/>
        </w:rPr>
        <w:t>6.在“</w:t>
      </w:r>
      <w:r>
        <w:rPr>
          <w:rFonts w:hint="eastAsia"/>
          <w:sz w:val="24"/>
          <w:highlight w:val="none"/>
          <w:lang w:val="en-US" w:eastAsia="zh-CN"/>
        </w:rPr>
        <w:t>中国执行信息公开网</w:t>
      </w:r>
      <w:r>
        <w:rPr>
          <w:rFonts w:hint="eastAsia"/>
          <w:sz w:val="24"/>
          <w:highlight w:val="none"/>
        </w:rPr>
        <w:t>”网站中查询“ 失信被执行人”、</w:t>
      </w:r>
      <w:r>
        <w:rPr>
          <w:rFonts w:hint="eastAsia"/>
          <w:sz w:val="24"/>
          <w:highlight w:val="none"/>
          <w:lang w:eastAsia="zh-CN"/>
        </w:rPr>
        <w:t>“信用中国”网站查询</w:t>
      </w:r>
      <w:r>
        <w:rPr>
          <w:rFonts w:hint="eastAsia"/>
          <w:sz w:val="24"/>
          <w:highlight w:val="none"/>
        </w:rPr>
        <w:t>“ 重大税收违法案件当事人名单”，以及在“中国政府采购网”网站中查询“政府采购严重违法失信行为记录名单”共 3 项的查询结果网页截图；</w:t>
      </w:r>
    </w:p>
    <w:p>
      <w:pPr>
        <w:spacing w:line="420" w:lineRule="atLeast"/>
        <w:rPr>
          <w:sz w:val="24"/>
          <w:highlight w:val="none"/>
        </w:rPr>
      </w:pPr>
      <w:r>
        <w:rPr>
          <w:rFonts w:hint="eastAsia" w:ascii="宋体" w:hAnsi="宋体" w:cs="宋体"/>
          <w:sz w:val="24"/>
          <w:highlight w:val="none"/>
        </w:rPr>
        <w:t>7.企业</w:t>
      </w:r>
      <w:r>
        <w:rPr>
          <w:rFonts w:hint="eastAsia"/>
          <w:sz w:val="24"/>
          <w:highlight w:val="none"/>
        </w:rPr>
        <w:t>在“全国企业信用信息公示系统”中公示的公司信息、股东或投资人信息截图。</w:t>
      </w:r>
    </w:p>
    <w:p>
      <w:pPr>
        <w:autoSpaceDE w:val="0"/>
        <w:autoSpaceDN w:val="0"/>
        <w:adjustRightInd w:val="0"/>
        <w:spacing w:line="480" w:lineRule="auto"/>
        <w:jc w:val="left"/>
        <w:rPr>
          <w:rFonts w:ascii="宋体" w:hAnsi="宋体"/>
          <w:sz w:val="30"/>
          <w:szCs w:val="30"/>
          <w:highlight w:val="none"/>
        </w:rPr>
      </w:pPr>
      <w:r>
        <w:rPr>
          <w:rFonts w:hint="eastAsia" w:ascii="宋体" w:hAnsi="宋体"/>
          <w:sz w:val="30"/>
          <w:szCs w:val="30"/>
          <w:highlight w:val="none"/>
        </w:rPr>
        <w:br w:type="page"/>
      </w:r>
    </w:p>
    <w:p>
      <w:pPr>
        <w:spacing w:line="360" w:lineRule="auto"/>
        <w:jc w:val="center"/>
        <w:rPr>
          <w:b/>
          <w:sz w:val="24"/>
          <w:highlight w:val="none"/>
        </w:rPr>
      </w:pPr>
      <w:r>
        <w:rPr>
          <w:rFonts w:hint="eastAsia"/>
          <w:b/>
          <w:sz w:val="24"/>
          <w:highlight w:val="none"/>
        </w:rPr>
        <w:t>信用声明函</w:t>
      </w:r>
    </w:p>
    <w:p>
      <w:pPr>
        <w:tabs>
          <w:tab w:val="left" w:pos="6300"/>
        </w:tabs>
        <w:snapToGrid w:val="0"/>
        <w:spacing w:line="360" w:lineRule="auto"/>
        <w:ind w:firstLine="312" w:firstLineChars="149"/>
        <w:rPr>
          <w:rFonts w:ascii="宋体" w:hAnsi="宋体" w:cs="宋体"/>
          <w:highlight w:val="none"/>
        </w:rPr>
      </w:pPr>
    </w:p>
    <w:p>
      <w:pPr>
        <w:spacing w:line="360" w:lineRule="auto"/>
        <w:ind w:firstLine="420" w:firstLineChars="200"/>
        <w:rPr>
          <w:rFonts w:ascii="宋体" w:hAnsi="宋体"/>
          <w:highlight w:val="none"/>
        </w:rPr>
      </w:pPr>
      <w:r>
        <w:rPr>
          <w:rFonts w:hint="eastAsia" w:ascii="宋体" w:hAnsi="宋体"/>
          <w:highlight w:val="none"/>
        </w:rPr>
        <w:t>我公司</w:t>
      </w:r>
      <w:r>
        <w:rPr>
          <w:rFonts w:ascii="宋体" w:hAnsi="宋体"/>
          <w:highlight w:val="none"/>
        </w:rPr>
        <w:t>信誉</w:t>
      </w:r>
      <w:r>
        <w:rPr>
          <w:rFonts w:hint="eastAsia"/>
          <w:highlight w:val="none"/>
        </w:rPr>
        <w:t>良好，</w:t>
      </w:r>
      <w:r>
        <w:rPr>
          <w:rFonts w:hint="eastAsia" w:ascii="宋体" w:hAnsi="宋体" w:cs="宋体"/>
          <w:highlight w:val="none"/>
        </w:rPr>
        <w:t>参加政府采购活动前三年内，在经营活动中没有重大违法</w:t>
      </w:r>
      <w:r>
        <w:rPr>
          <w:rFonts w:hint="eastAsia" w:ascii="宋体" w:hAnsi="宋体" w:cs="宋体"/>
          <w:highlight w:val="none"/>
          <w:lang w:eastAsia="zh-CN"/>
        </w:rPr>
        <w:t>、违纪</w:t>
      </w:r>
      <w:r>
        <w:rPr>
          <w:rFonts w:hint="eastAsia" w:ascii="宋体" w:hAnsi="宋体" w:cs="宋体"/>
          <w:highlight w:val="none"/>
        </w:rPr>
        <w:t>记录。在“信用中国”网站（</w:t>
      </w:r>
      <w:r>
        <w:rPr>
          <w:rFonts w:hint="eastAsia" w:hAnsi="宋体"/>
          <w:highlight w:val="none"/>
        </w:rPr>
        <w:t>www.creditchina.gov.cn</w:t>
      </w:r>
      <w:r>
        <w:rPr>
          <w:rFonts w:hint="eastAsia" w:ascii="宋体" w:hAnsi="宋体" w:cs="宋体"/>
          <w:highlight w:val="none"/>
        </w:rPr>
        <w:t>）未被列入失信被执行人、重大税收违法案件当事人名单；在 “中国政府采购网” （</w:t>
      </w:r>
      <w:r>
        <w:rPr>
          <w:rFonts w:hint="eastAsia" w:hAnsi="宋体"/>
          <w:highlight w:val="none"/>
        </w:rPr>
        <w:t>www.ccgp.gov.cn</w:t>
      </w:r>
      <w:r>
        <w:rPr>
          <w:rFonts w:hint="eastAsia" w:ascii="宋体" w:hAnsi="宋体" w:cs="宋体"/>
          <w:highlight w:val="none"/>
        </w:rPr>
        <w:t>）未被列入政府采购严重违法失信行为记录名单</w:t>
      </w:r>
      <w:r>
        <w:rPr>
          <w:rFonts w:hint="eastAsia" w:ascii="宋体" w:hAnsi="宋体"/>
          <w:highlight w:val="none"/>
        </w:rPr>
        <w:t>。</w:t>
      </w:r>
    </w:p>
    <w:p>
      <w:pPr>
        <w:spacing w:line="360" w:lineRule="auto"/>
        <w:ind w:firstLine="420" w:firstLineChars="200"/>
        <w:rPr>
          <w:rFonts w:ascii="宋体" w:hAnsi="宋体"/>
          <w:highlight w:val="none"/>
        </w:rPr>
      </w:pPr>
      <w:r>
        <w:rPr>
          <w:rFonts w:hint="eastAsia" w:ascii="宋体" w:hAnsi="宋体"/>
          <w:highlight w:val="none"/>
        </w:rPr>
        <w:t>我方保证上述信息的真实和准确，并愿意承担因我方就此弄虚作假所引起的一切法律后果。</w:t>
      </w:r>
    </w:p>
    <w:p>
      <w:pPr>
        <w:spacing w:line="360" w:lineRule="auto"/>
        <w:ind w:firstLine="420" w:firstLineChars="200"/>
        <w:rPr>
          <w:rFonts w:ascii="宋体" w:hAnsi="宋体"/>
          <w:highlight w:val="none"/>
        </w:rPr>
      </w:pPr>
      <w:r>
        <w:rPr>
          <w:rFonts w:hint="eastAsia" w:ascii="宋体" w:hAnsi="宋体"/>
          <w:highlight w:val="none"/>
        </w:rPr>
        <w:t>特此声明！</w:t>
      </w:r>
    </w:p>
    <w:p>
      <w:pPr>
        <w:tabs>
          <w:tab w:val="left" w:pos="6300"/>
        </w:tabs>
        <w:snapToGrid w:val="0"/>
        <w:spacing w:line="360" w:lineRule="auto"/>
        <w:ind w:firstLine="207" w:firstLineChars="99"/>
        <w:rPr>
          <w:rFonts w:ascii="宋体" w:hAnsi="宋体"/>
          <w:highlight w:val="none"/>
        </w:rPr>
      </w:pPr>
    </w:p>
    <w:p>
      <w:pPr>
        <w:spacing w:line="360" w:lineRule="auto"/>
        <w:ind w:firstLine="210" w:firstLineChars="100"/>
        <w:jc w:val="left"/>
        <w:rPr>
          <w:rFonts w:hint="eastAsia" w:ascii="宋体" w:hAnsi="宋体"/>
          <w:bCs/>
          <w:highlight w:val="none"/>
        </w:rPr>
      </w:pPr>
      <w:r>
        <w:rPr>
          <w:rFonts w:hint="eastAsia" w:ascii="宋体" w:hAnsi="宋体"/>
          <w:bCs/>
          <w:highlight w:val="none"/>
        </w:rPr>
        <w:t>供应商（盖单位章</w:t>
      </w:r>
      <w:r>
        <w:rPr>
          <w:rFonts w:hint="eastAsia" w:ascii="宋体" w:hAnsi="宋体"/>
          <w:bCs/>
          <w:highlight w:val="none"/>
          <w:lang w:eastAsia="zh-CN"/>
        </w:rPr>
        <w:t>或电子盖章</w:t>
      </w:r>
      <w:r>
        <w:rPr>
          <w:rFonts w:hint="eastAsia" w:ascii="宋体" w:hAnsi="宋体"/>
          <w:bCs/>
          <w:highlight w:val="none"/>
        </w:rPr>
        <w:t>）：</w:t>
      </w:r>
    </w:p>
    <w:p>
      <w:pPr>
        <w:spacing w:line="360" w:lineRule="auto"/>
        <w:ind w:firstLine="210" w:firstLineChars="100"/>
        <w:jc w:val="left"/>
        <w:rPr>
          <w:rFonts w:ascii="宋体" w:hAnsi="宋体"/>
          <w:bCs/>
          <w:highlight w:val="none"/>
        </w:rPr>
      </w:pPr>
      <w:r>
        <w:rPr>
          <w:rFonts w:hint="eastAsia" w:ascii="宋体" w:hAnsi="宋体"/>
          <w:bCs/>
          <w:highlight w:val="none"/>
        </w:rPr>
        <w:t>法定代表人（</w:t>
      </w:r>
      <w:r>
        <w:rPr>
          <w:rFonts w:hint="eastAsia" w:ascii="宋体" w:hAnsi="宋体"/>
          <w:bCs/>
          <w:highlight w:val="none"/>
          <w:lang w:eastAsia="zh-CN"/>
        </w:rPr>
        <w:t>签字或盖章</w:t>
      </w:r>
      <w:r>
        <w:rPr>
          <w:rFonts w:hint="eastAsia" w:ascii="宋体" w:hAnsi="宋体"/>
          <w:bCs/>
          <w:highlight w:val="none"/>
        </w:rPr>
        <w:t>）：</w:t>
      </w:r>
    </w:p>
    <w:p>
      <w:pPr>
        <w:spacing w:line="360" w:lineRule="auto"/>
        <w:ind w:firstLine="556"/>
        <w:rPr>
          <w:rFonts w:ascii="宋体" w:hAnsi="宋体"/>
          <w:highlight w:val="none"/>
        </w:rPr>
      </w:pPr>
    </w:p>
    <w:p>
      <w:pPr>
        <w:tabs>
          <w:tab w:val="left" w:pos="6300"/>
        </w:tabs>
        <w:snapToGrid w:val="0"/>
        <w:spacing w:line="360" w:lineRule="auto"/>
        <w:ind w:firstLine="207" w:firstLineChars="99"/>
        <w:jc w:val="right"/>
        <w:rPr>
          <w:rFonts w:ascii="宋体" w:hAnsi="宋体"/>
          <w:highlight w:val="none"/>
        </w:rPr>
      </w:pPr>
      <w:r>
        <w:rPr>
          <w:rFonts w:hint="eastAsia" w:ascii="宋体" w:hAnsi="宋体"/>
          <w:highlight w:val="none"/>
        </w:rPr>
        <w:t>日期：      年   月   日</w:t>
      </w:r>
    </w:p>
    <w:p>
      <w:pPr>
        <w:rPr>
          <w:rFonts w:ascii="宋体" w:hAnsi="宋体"/>
          <w:highlight w:val="none"/>
        </w:rPr>
      </w:pPr>
      <w:r>
        <w:rPr>
          <w:rFonts w:hint="eastAsia" w:ascii="宋体" w:hAnsi="宋体"/>
          <w:highlight w:val="none"/>
        </w:rPr>
        <w:br w:type="page"/>
      </w:r>
    </w:p>
    <w:p>
      <w:pPr>
        <w:jc w:val="center"/>
        <w:rPr>
          <w:rFonts w:ascii="宋体" w:hAnsi="宋体" w:cs="宋体"/>
          <w:b/>
          <w:bCs/>
          <w:sz w:val="24"/>
          <w:szCs w:val="22"/>
          <w:highlight w:val="none"/>
        </w:rPr>
      </w:pPr>
      <w:r>
        <w:rPr>
          <w:rFonts w:hint="eastAsia" w:ascii="宋体" w:hAnsi="宋体" w:cs="宋体"/>
          <w:b/>
          <w:bCs/>
          <w:sz w:val="24"/>
          <w:szCs w:val="22"/>
          <w:highlight w:val="none"/>
        </w:rPr>
        <w:t>国家企业信用信息公示系统（</w:t>
      </w:r>
      <w:r>
        <w:rPr>
          <w:rFonts w:ascii="宋体" w:hAnsi="宋体" w:cs="宋体"/>
          <w:b/>
          <w:bCs/>
          <w:sz w:val="24"/>
          <w:szCs w:val="22"/>
          <w:highlight w:val="none"/>
        </w:rPr>
        <w:t>www.gsxt.gov.cn</w:t>
      </w:r>
      <w:r>
        <w:rPr>
          <w:rFonts w:hint="eastAsia" w:ascii="宋体" w:hAnsi="宋体" w:cs="宋体"/>
          <w:b/>
          <w:bCs/>
          <w:sz w:val="24"/>
          <w:szCs w:val="22"/>
          <w:highlight w:val="none"/>
        </w:rPr>
        <w:t>）本单位股东信息</w:t>
      </w:r>
    </w:p>
    <w:p>
      <w:pPr>
        <w:jc w:val="center"/>
        <w:rPr>
          <w:rFonts w:ascii="宋体" w:hAnsi="宋体" w:cs="宋体"/>
          <w:sz w:val="24"/>
          <w:szCs w:val="22"/>
          <w:highlight w:val="none"/>
        </w:rPr>
      </w:pPr>
    </w:p>
    <w:p>
      <w:pPr>
        <w:jc w:val="center"/>
        <w:rPr>
          <w:rFonts w:ascii="宋体" w:hAnsi="宋体" w:cs="宋体"/>
          <w:sz w:val="24"/>
          <w:szCs w:val="22"/>
          <w:highlight w:val="none"/>
        </w:rPr>
      </w:pPr>
      <w:r>
        <w:rPr>
          <w:highlight w:val="none"/>
        </w:rPr>
        <w:drawing>
          <wp:inline distT="0" distB="0" distL="114300" distR="114300">
            <wp:extent cx="5455920" cy="5288915"/>
            <wp:effectExtent l="0" t="0" r="1143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5455920" cy="5288915"/>
                    </a:xfrm>
                    <a:prstGeom prst="rect">
                      <a:avLst/>
                    </a:prstGeom>
                    <a:noFill/>
                    <a:ln w="9525">
                      <a:noFill/>
                    </a:ln>
                  </pic:spPr>
                </pic:pic>
              </a:graphicData>
            </a:graphic>
          </wp:inline>
        </w:drawing>
      </w:r>
    </w:p>
    <w:p>
      <w:pPr>
        <w:jc w:val="center"/>
        <w:rPr>
          <w:rFonts w:ascii="宋体" w:hAnsi="宋体" w:cs="宋体"/>
          <w:sz w:val="24"/>
          <w:szCs w:val="22"/>
          <w:highlight w:val="none"/>
        </w:rPr>
      </w:pPr>
    </w:p>
    <w:p>
      <w:pPr>
        <w:jc w:val="center"/>
        <w:rPr>
          <w:rFonts w:ascii="宋体" w:hAnsi="宋体" w:cs="宋体"/>
          <w:sz w:val="24"/>
          <w:szCs w:val="22"/>
          <w:highlight w:val="none"/>
        </w:rPr>
      </w:pPr>
    </w:p>
    <w:p>
      <w:pPr>
        <w:jc w:val="center"/>
        <w:rPr>
          <w:rFonts w:ascii="宋体" w:hAnsi="宋体" w:cs="宋体"/>
          <w:sz w:val="24"/>
          <w:szCs w:val="22"/>
          <w:highlight w:val="none"/>
        </w:rPr>
      </w:pPr>
    </w:p>
    <w:p>
      <w:pPr>
        <w:jc w:val="center"/>
        <w:rPr>
          <w:rFonts w:ascii="宋体" w:hAnsi="宋体" w:cs="宋体"/>
          <w:sz w:val="24"/>
          <w:szCs w:val="22"/>
          <w:highlight w:val="none"/>
        </w:rPr>
      </w:pPr>
    </w:p>
    <w:p>
      <w:pPr>
        <w:jc w:val="center"/>
        <w:rPr>
          <w:rFonts w:ascii="宋体" w:hAnsi="宋体"/>
          <w:highlight w:val="none"/>
        </w:rPr>
      </w:pPr>
    </w:p>
    <w:p>
      <w:pPr>
        <w:pStyle w:val="5"/>
        <w:jc w:val="center"/>
        <w:rPr>
          <w:rFonts w:ascii="宋体" w:hAnsi="宋体" w:eastAsia="宋体"/>
          <w:sz w:val="24"/>
          <w:szCs w:val="24"/>
          <w:highlight w:val="none"/>
        </w:rPr>
      </w:pPr>
      <w:r>
        <w:rPr>
          <w:rFonts w:ascii="宋体" w:hAnsi="宋体" w:eastAsia="宋体" w:cs="宋体"/>
          <w:b w:val="0"/>
          <w:bCs w:val="0"/>
          <w:sz w:val="24"/>
          <w:highlight w:val="none"/>
        </w:rPr>
        <w:br w:type="page"/>
      </w:r>
      <w:bookmarkStart w:id="93" w:name="_Toc530142470"/>
      <w:bookmarkStart w:id="94" w:name="_Toc10107"/>
      <w:bookmarkStart w:id="95" w:name="_Toc436813442"/>
      <w:r>
        <w:rPr>
          <w:rFonts w:hint="eastAsia" w:ascii="宋体" w:hAnsi="宋体" w:eastAsia="宋体"/>
          <w:sz w:val="24"/>
          <w:szCs w:val="24"/>
          <w:highlight w:val="none"/>
        </w:rPr>
        <w:t>六、供应商</w:t>
      </w:r>
      <w:bookmarkEnd w:id="93"/>
      <w:r>
        <w:rPr>
          <w:rFonts w:hint="eastAsia" w:ascii="宋体" w:hAnsi="宋体" w:eastAsia="宋体"/>
          <w:sz w:val="24"/>
          <w:szCs w:val="24"/>
          <w:highlight w:val="none"/>
        </w:rPr>
        <w:t>承诺函</w:t>
      </w:r>
      <w:bookmarkEnd w:id="94"/>
    </w:p>
    <w:bookmarkEnd w:id="95"/>
    <w:p>
      <w:pPr>
        <w:pStyle w:val="38"/>
        <w:widowControl/>
        <w:shd w:val="clear" w:color="auto" w:fill="FFFFFF"/>
        <w:jc w:val="center"/>
        <w:rPr>
          <w:rFonts w:ascii="宋体" w:hAnsi="宋体" w:eastAsia="宋体"/>
          <w:b/>
          <w:bCs/>
          <w:kern w:val="0"/>
          <w:highlight w:val="none"/>
        </w:rPr>
      </w:pPr>
      <w:bookmarkStart w:id="96" w:name="_Toc530142472"/>
      <w:r>
        <w:rPr>
          <w:rFonts w:hint="eastAsia" w:ascii="宋体" w:hAnsi="宋体" w:eastAsia="宋体"/>
          <w:b/>
          <w:bCs/>
          <w:kern w:val="0"/>
          <w:highlight w:val="none"/>
        </w:rPr>
        <w:t>一、投标承诺函</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致（采购人）：</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我公司作为本次采购项目的供应商，根据竞争性磋商文件要求，现郑重承诺如下：</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一、具备《中华人民共和国政府采购法》第二十二条第一款和本项目规定的条件：</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（一）具有独立承担民事责任的能力； 　　</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（二）具有良好的商业信誉和健全的财务会计制度； 　</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（三）具有履行合同所必需的设备和专业技术能力； 　　</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（四）依法缴纳税收和社会保障资金的相关证明； 　　</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（五）参加政府采购活动前三年内，在经营活动中没有重大违法记录；</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（六）法律、行政法规规定的其他条件；</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（七）根据采购项目提出的特殊条件。</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二、完全接受和满足本项目竞争性磋商文件中规定的实质性要求，如对竞争性磋商文件有异议，已经在响应文件递交截止时间届满前依法进行维权救济，不存在对竞争性磋商文件有异议的同时又参加投标以求侥幸中标或者为实现其他非法目的的行为。</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三、参加本次招标采购活动，不存在与单位负责人为同一人或者存在直接控股、管理关系的其他供应商参与同一合同项下的政府采购活动的行为。    </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四、参加本次招标采购活动，不存在为采购项目提供整体设计、规范编制或者项目管理、监理、检测等服务的行为。</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五、参加本次招标采购活动，不存在和其他供应商在同一合同项下的采购项目中，同时委托同一个自然人、同一家庭的人员、同一单位的人员作为代理人的行为。</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六、供应商参加本次政府采购活动要求在近三年内供应商和其法定代表人没有行贿犯罪行为。</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七、参加本次招标采购活动，不存在联合体投标。</w:t>
      </w:r>
    </w:p>
    <w:p>
      <w:pPr>
        <w:pStyle w:val="38"/>
        <w:widowControl/>
        <w:shd w:val="clear" w:color="auto" w:fill="FFFFFF"/>
        <w:spacing w:line="360" w:lineRule="auto"/>
        <w:ind w:firstLine="480"/>
        <w:jc w:val="left"/>
        <w:rPr>
          <w:rFonts w:ascii="宋体" w:hAnsi="宋体" w:eastAsia="宋体"/>
          <w:kern w:val="0"/>
          <w:sz w:val="21"/>
          <w:szCs w:val="21"/>
          <w:highlight w:val="none"/>
        </w:rPr>
      </w:pPr>
      <w:r>
        <w:rPr>
          <w:rFonts w:hint="eastAsia" w:ascii="宋体" w:hAnsi="宋体" w:eastAsia="宋体"/>
          <w:kern w:val="0"/>
          <w:sz w:val="21"/>
          <w:szCs w:val="21"/>
          <w:highlight w:val="none"/>
        </w:rPr>
        <w:t>八、响应性文件中提供的能够给予我公司带来优惠、好处的任何材料资料和技术、服务、商务等响应承诺情况都是真实的、有效的、合法的。</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九、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    </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十、存在以下行为之一的愿意接受相关部门的处理：</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（一）投标有效期内撤销响应性文件的；</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（二）在采购人确定成交人以前放弃中标候选资格的；</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（三）由于成交人的原因未能按照竞争性磋商文件的规定与采购人签订合同；</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（四）在响应性文件中提供虚假材料谋取中标；</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（五）与采购人、其他供应商或者采购代理机构恶意串通的；</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（六）投标有效期内，供应商在政府采购活动中有违法、违规、违纪行为。</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由此产生的一切法律后果和责任由我公司承担。我公司声明放弃对此提出任何异议和追索的权利。</w:t>
      </w:r>
    </w:p>
    <w:p>
      <w:pPr>
        <w:pStyle w:val="38"/>
        <w:widowControl/>
        <w:shd w:val="clear" w:color="auto" w:fill="FFFFFF"/>
        <w:spacing w:line="360" w:lineRule="auto"/>
        <w:ind w:firstLine="690"/>
        <w:rPr>
          <w:rFonts w:ascii="宋体" w:hAnsi="宋体" w:eastAsia="宋体"/>
          <w:kern w:val="0"/>
          <w:sz w:val="21"/>
          <w:szCs w:val="21"/>
          <w:highlight w:val="none"/>
        </w:rPr>
      </w:pPr>
      <w:r>
        <w:rPr>
          <w:rFonts w:hint="eastAsia" w:ascii="宋体" w:hAnsi="宋体" w:eastAsia="宋体"/>
          <w:kern w:val="0"/>
          <w:sz w:val="21"/>
          <w:szCs w:val="21"/>
          <w:highlight w:val="none"/>
        </w:rPr>
        <w:t>本公司对上述承诺的内容事项真实性负责。如经查实上述承诺的内容事项存在虚假，我公司愿意接受以提供虚假材料谋取中标追究法律责任。</w:t>
      </w:r>
    </w:p>
    <w:p>
      <w:pPr>
        <w:pStyle w:val="38"/>
        <w:widowControl/>
        <w:shd w:val="clear" w:color="auto" w:fill="FFFFFF"/>
        <w:spacing w:line="360" w:lineRule="auto"/>
        <w:jc w:val="left"/>
        <w:rPr>
          <w:rFonts w:ascii="宋体" w:hAnsi="宋体" w:eastAsia="宋体"/>
          <w:kern w:val="0"/>
          <w:sz w:val="21"/>
          <w:szCs w:val="21"/>
          <w:highlight w:val="none"/>
        </w:rPr>
      </w:pPr>
      <w:r>
        <w:rPr>
          <w:rFonts w:hint="eastAsia" w:ascii="宋体" w:hAnsi="宋体" w:eastAsia="宋体"/>
          <w:kern w:val="0"/>
          <w:sz w:val="21"/>
          <w:szCs w:val="21"/>
          <w:highlight w:val="none"/>
        </w:rPr>
        <w:t>       </w:t>
      </w:r>
    </w:p>
    <w:p>
      <w:pPr>
        <w:pStyle w:val="38"/>
        <w:widowControl/>
        <w:shd w:val="clear" w:color="auto" w:fill="FFFFFF"/>
        <w:spacing w:line="360" w:lineRule="auto"/>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供应商（盖单位章</w:t>
      </w:r>
      <w:r>
        <w:rPr>
          <w:rFonts w:hint="eastAsia" w:ascii="宋体" w:hAnsi="宋体" w:eastAsia="宋体" w:cs="Times New Roman"/>
          <w:kern w:val="0"/>
          <w:sz w:val="21"/>
          <w:szCs w:val="21"/>
          <w:highlight w:val="none"/>
          <w:lang w:eastAsia="zh-CN"/>
        </w:rPr>
        <w:t>或电子盖章</w:t>
      </w:r>
      <w:r>
        <w:rPr>
          <w:rFonts w:hint="eastAsia" w:ascii="宋体" w:hAnsi="宋体" w:eastAsia="宋体" w:cs="Times New Roman"/>
          <w:kern w:val="0"/>
          <w:sz w:val="21"/>
          <w:szCs w:val="21"/>
          <w:highlight w:val="none"/>
        </w:rPr>
        <w:t>）：</w:t>
      </w:r>
    </w:p>
    <w:p>
      <w:pPr>
        <w:pStyle w:val="38"/>
        <w:widowControl/>
        <w:shd w:val="clear" w:color="auto" w:fill="FFFFFF"/>
        <w:spacing w:line="360" w:lineRule="auto"/>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法定代表人（</w:t>
      </w:r>
      <w:r>
        <w:rPr>
          <w:rFonts w:hint="eastAsia" w:ascii="宋体" w:hAnsi="宋体" w:eastAsia="宋体" w:cs="Times New Roman"/>
          <w:kern w:val="0"/>
          <w:sz w:val="21"/>
          <w:szCs w:val="21"/>
          <w:highlight w:val="none"/>
          <w:lang w:eastAsia="zh-CN"/>
        </w:rPr>
        <w:t>签字或盖章</w:t>
      </w:r>
      <w:r>
        <w:rPr>
          <w:rFonts w:hint="eastAsia" w:ascii="宋体" w:hAnsi="宋体" w:eastAsia="宋体" w:cs="Times New Roman"/>
          <w:kern w:val="0"/>
          <w:sz w:val="21"/>
          <w:szCs w:val="21"/>
          <w:highlight w:val="none"/>
        </w:rPr>
        <w:t xml:space="preserve">）：                                                        </w:t>
      </w:r>
    </w:p>
    <w:p>
      <w:pPr>
        <w:pStyle w:val="38"/>
        <w:widowControl/>
        <w:shd w:val="clear" w:color="auto" w:fill="FFFFFF"/>
        <w:spacing w:line="360" w:lineRule="auto"/>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日期：</w:t>
      </w:r>
      <w:r>
        <w:rPr>
          <w:rFonts w:hint="eastAsia" w:ascii="宋体" w:hAnsi="宋体" w:eastAsia="宋体" w:cs="Times New Roman"/>
          <w:kern w:val="0"/>
          <w:sz w:val="21"/>
          <w:szCs w:val="21"/>
          <w:highlight w:val="none"/>
          <w:lang w:val="en-US" w:eastAsia="zh-CN"/>
        </w:rPr>
        <w:t xml:space="preserve">  </w:t>
      </w:r>
      <w:r>
        <w:rPr>
          <w:rFonts w:hint="eastAsia" w:ascii="宋体" w:hAnsi="宋体" w:eastAsia="宋体" w:cs="Times New Roman"/>
          <w:kern w:val="0"/>
          <w:sz w:val="21"/>
          <w:szCs w:val="21"/>
          <w:highlight w:val="none"/>
        </w:rPr>
        <w:t>年</w:t>
      </w:r>
      <w:r>
        <w:rPr>
          <w:rFonts w:hint="eastAsia" w:ascii="宋体" w:hAnsi="宋体" w:eastAsia="宋体" w:cs="Times New Roman"/>
          <w:kern w:val="0"/>
          <w:sz w:val="21"/>
          <w:szCs w:val="21"/>
          <w:highlight w:val="none"/>
          <w:lang w:val="en-US" w:eastAsia="zh-CN"/>
        </w:rPr>
        <w:t xml:space="preserve">  </w:t>
      </w:r>
      <w:r>
        <w:rPr>
          <w:rFonts w:hint="eastAsia" w:ascii="宋体" w:hAnsi="宋体" w:eastAsia="宋体" w:cs="Times New Roman"/>
          <w:kern w:val="0"/>
          <w:sz w:val="21"/>
          <w:szCs w:val="21"/>
          <w:highlight w:val="none"/>
        </w:rPr>
        <w:t>月</w:t>
      </w:r>
      <w:r>
        <w:rPr>
          <w:rFonts w:hint="eastAsia" w:ascii="宋体" w:hAnsi="宋体" w:eastAsia="宋体" w:cs="Times New Roman"/>
          <w:kern w:val="0"/>
          <w:sz w:val="21"/>
          <w:szCs w:val="21"/>
          <w:highlight w:val="none"/>
          <w:lang w:val="en-US" w:eastAsia="zh-CN"/>
        </w:rPr>
        <w:t xml:space="preserve">  </w:t>
      </w:r>
      <w:r>
        <w:rPr>
          <w:rFonts w:hint="eastAsia" w:ascii="宋体" w:hAnsi="宋体" w:eastAsia="宋体" w:cs="Times New Roman"/>
          <w:kern w:val="0"/>
          <w:sz w:val="21"/>
          <w:szCs w:val="21"/>
          <w:highlight w:val="none"/>
        </w:rPr>
        <w:t>日</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w:t>
      </w:r>
    </w:p>
    <w:p>
      <w:pPr>
        <w:spacing w:line="360" w:lineRule="auto"/>
        <w:outlineLvl w:val="0"/>
        <w:rPr>
          <w:rFonts w:ascii="宋体" w:hAnsi="宋体"/>
          <w:kern w:val="0"/>
          <w:szCs w:val="21"/>
          <w:highlight w:val="none"/>
        </w:rPr>
      </w:pPr>
    </w:p>
    <w:p>
      <w:pPr>
        <w:spacing w:line="360" w:lineRule="auto"/>
        <w:outlineLvl w:val="0"/>
        <w:rPr>
          <w:rFonts w:ascii="宋体" w:hAnsi="宋体"/>
          <w:kern w:val="0"/>
          <w:szCs w:val="21"/>
          <w:highlight w:val="none"/>
        </w:rPr>
      </w:pPr>
    </w:p>
    <w:p>
      <w:pPr>
        <w:spacing w:line="360" w:lineRule="auto"/>
        <w:outlineLvl w:val="0"/>
        <w:rPr>
          <w:rFonts w:ascii="宋体" w:hAnsi="宋体"/>
          <w:kern w:val="0"/>
          <w:szCs w:val="21"/>
          <w:highlight w:val="none"/>
        </w:rPr>
      </w:pPr>
    </w:p>
    <w:p>
      <w:pPr>
        <w:spacing w:line="360" w:lineRule="auto"/>
        <w:outlineLvl w:val="0"/>
        <w:rPr>
          <w:rFonts w:ascii="宋体" w:hAnsi="宋体"/>
          <w:kern w:val="0"/>
          <w:szCs w:val="21"/>
          <w:highlight w:val="none"/>
        </w:rPr>
      </w:pPr>
    </w:p>
    <w:p>
      <w:pPr>
        <w:pStyle w:val="38"/>
        <w:widowControl/>
        <w:shd w:val="clear" w:color="auto" w:fill="FFFFFF"/>
        <w:spacing w:line="360" w:lineRule="auto"/>
        <w:jc w:val="center"/>
        <w:rPr>
          <w:rFonts w:ascii="宋体" w:hAnsi="宋体" w:eastAsia="宋体"/>
          <w:b/>
          <w:bCs/>
          <w:kern w:val="0"/>
          <w:sz w:val="28"/>
          <w:szCs w:val="28"/>
          <w:highlight w:val="none"/>
        </w:rPr>
      </w:pPr>
    </w:p>
    <w:p>
      <w:pPr>
        <w:pStyle w:val="38"/>
        <w:widowControl/>
        <w:shd w:val="clear" w:color="auto" w:fill="FFFFFF"/>
        <w:spacing w:line="360" w:lineRule="auto"/>
        <w:jc w:val="center"/>
        <w:rPr>
          <w:rFonts w:ascii="宋体" w:hAnsi="宋体" w:eastAsia="宋体"/>
          <w:b/>
          <w:bCs/>
          <w:kern w:val="0"/>
          <w:sz w:val="28"/>
          <w:szCs w:val="28"/>
          <w:highlight w:val="none"/>
        </w:rPr>
      </w:pPr>
    </w:p>
    <w:p>
      <w:pPr>
        <w:pStyle w:val="38"/>
        <w:widowControl/>
        <w:shd w:val="clear" w:color="auto" w:fill="FFFFFF"/>
        <w:spacing w:line="360" w:lineRule="auto"/>
        <w:jc w:val="center"/>
        <w:rPr>
          <w:rFonts w:ascii="宋体" w:hAnsi="宋体" w:eastAsia="宋体"/>
          <w:b/>
          <w:bCs/>
          <w:kern w:val="0"/>
          <w:sz w:val="28"/>
          <w:szCs w:val="28"/>
          <w:highlight w:val="none"/>
        </w:rPr>
      </w:pPr>
    </w:p>
    <w:p>
      <w:pPr>
        <w:pStyle w:val="38"/>
        <w:widowControl/>
        <w:shd w:val="clear" w:color="auto" w:fill="FFFFFF"/>
        <w:spacing w:line="360" w:lineRule="auto"/>
        <w:jc w:val="center"/>
        <w:rPr>
          <w:rFonts w:ascii="宋体" w:hAnsi="宋体" w:eastAsia="宋体"/>
          <w:b/>
          <w:bCs/>
          <w:kern w:val="0"/>
          <w:sz w:val="28"/>
          <w:szCs w:val="28"/>
          <w:highlight w:val="none"/>
        </w:rPr>
      </w:pPr>
    </w:p>
    <w:p>
      <w:pPr>
        <w:pStyle w:val="38"/>
        <w:widowControl/>
        <w:shd w:val="clear" w:color="auto" w:fill="FFFFFF"/>
        <w:spacing w:line="360" w:lineRule="auto"/>
        <w:jc w:val="center"/>
        <w:rPr>
          <w:rFonts w:ascii="宋体" w:hAnsi="宋体" w:eastAsia="宋体"/>
          <w:b/>
          <w:bCs/>
          <w:kern w:val="0"/>
          <w:sz w:val="28"/>
          <w:szCs w:val="28"/>
          <w:highlight w:val="none"/>
        </w:rPr>
      </w:pPr>
    </w:p>
    <w:p>
      <w:pPr>
        <w:pStyle w:val="38"/>
        <w:widowControl/>
        <w:shd w:val="clear" w:color="auto" w:fill="FFFFFF"/>
        <w:spacing w:line="360" w:lineRule="auto"/>
        <w:jc w:val="center"/>
        <w:rPr>
          <w:rFonts w:ascii="宋体" w:hAnsi="宋体" w:eastAsia="宋体"/>
          <w:b/>
          <w:bCs/>
          <w:kern w:val="0"/>
          <w:sz w:val="28"/>
          <w:szCs w:val="28"/>
          <w:highlight w:val="none"/>
        </w:rPr>
      </w:pPr>
    </w:p>
    <w:p>
      <w:pPr>
        <w:pStyle w:val="38"/>
        <w:widowControl/>
        <w:shd w:val="clear" w:color="auto" w:fill="FFFFFF"/>
        <w:spacing w:line="360" w:lineRule="auto"/>
        <w:jc w:val="center"/>
        <w:rPr>
          <w:rFonts w:ascii="宋体" w:hAnsi="宋体" w:eastAsia="宋体"/>
          <w:b/>
          <w:bCs/>
          <w:kern w:val="0"/>
          <w:sz w:val="28"/>
          <w:szCs w:val="28"/>
          <w:highlight w:val="none"/>
        </w:rPr>
      </w:pPr>
    </w:p>
    <w:p>
      <w:pPr>
        <w:pStyle w:val="38"/>
        <w:widowControl/>
        <w:shd w:val="clear" w:color="auto" w:fill="FFFFFF"/>
        <w:spacing w:line="360" w:lineRule="auto"/>
        <w:jc w:val="center"/>
        <w:rPr>
          <w:rFonts w:ascii="宋体" w:hAnsi="宋体" w:eastAsia="宋体"/>
          <w:b/>
          <w:bCs/>
          <w:kern w:val="0"/>
          <w:sz w:val="28"/>
          <w:szCs w:val="28"/>
          <w:highlight w:val="none"/>
        </w:rPr>
      </w:pPr>
    </w:p>
    <w:p>
      <w:pPr>
        <w:pStyle w:val="38"/>
        <w:widowControl/>
        <w:shd w:val="clear" w:color="auto" w:fill="FFFFFF"/>
        <w:spacing w:line="360" w:lineRule="auto"/>
        <w:jc w:val="center"/>
        <w:rPr>
          <w:rFonts w:ascii="宋体" w:hAnsi="宋体" w:eastAsia="宋体"/>
          <w:b/>
          <w:bCs/>
          <w:kern w:val="0"/>
          <w:sz w:val="28"/>
          <w:szCs w:val="28"/>
          <w:highlight w:val="none"/>
        </w:rPr>
      </w:pPr>
    </w:p>
    <w:p>
      <w:pPr>
        <w:rPr>
          <w:rFonts w:ascii="宋体" w:hAnsi="宋体"/>
          <w:b/>
          <w:bCs/>
          <w:kern w:val="0"/>
          <w:highlight w:val="none"/>
        </w:rPr>
      </w:pPr>
      <w:r>
        <w:rPr>
          <w:rFonts w:hint="eastAsia" w:ascii="宋体" w:hAnsi="宋体"/>
          <w:b/>
          <w:bCs/>
          <w:kern w:val="0"/>
          <w:highlight w:val="none"/>
        </w:rPr>
        <w:br w:type="page"/>
      </w:r>
    </w:p>
    <w:p>
      <w:pPr>
        <w:pStyle w:val="38"/>
        <w:widowControl/>
        <w:shd w:val="clear" w:color="auto" w:fill="FFFFFF"/>
        <w:spacing w:line="360" w:lineRule="auto"/>
        <w:jc w:val="center"/>
        <w:rPr>
          <w:rFonts w:ascii="宋体" w:hAnsi="宋体" w:eastAsia="宋体"/>
          <w:b/>
          <w:bCs/>
          <w:kern w:val="0"/>
          <w:highlight w:val="none"/>
        </w:rPr>
      </w:pPr>
      <w:r>
        <w:rPr>
          <w:rFonts w:hint="eastAsia" w:ascii="宋体" w:hAnsi="宋体" w:eastAsia="宋体"/>
          <w:b/>
          <w:bCs/>
          <w:kern w:val="0"/>
          <w:highlight w:val="none"/>
        </w:rPr>
        <w:t>二、招标代理服务费承诺函</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致（代理机构） ：</w:t>
      </w:r>
    </w:p>
    <w:p>
      <w:pPr>
        <w:pStyle w:val="38"/>
        <w:widowControl/>
        <w:shd w:val="clear" w:color="auto" w:fill="FFFFFF"/>
        <w:spacing w:line="360" w:lineRule="auto"/>
        <w:ind w:firstLine="480"/>
        <w:rPr>
          <w:rFonts w:ascii="宋体" w:hAnsi="宋体" w:eastAsia="宋体"/>
          <w:kern w:val="0"/>
          <w:sz w:val="21"/>
          <w:szCs w:val="21"/>
          <w:highlight w:val="none"/>
        </w:rPr>
      </w:pPr>
      <w:r>
        <w:rPr>
          <w:rFonts w:hint="eastAsia" w:ascii="宋体" w:hAnsi="宋体" w:eastAsia="宋体"/>
          <w:kern w:val="0"/>
          <w:sz w:val="21"/>
          <w:szCs w:val="21"/>
          <w:highlight w:val="none"/>
        </w:rPr>
        <w:t>我们在贵公司组织的（项目名称： ，采购编号：）招标中若获中标，我们保证在中标公告发布后5个工作日内，按竞争性磋商文件的规定，以支票、银行转账、汇票或现金，向贵公司一次性支付招标代理服务费用。否则，由此产生的一切法律后果和责任由我公司承担。我公司声明放弃对此提出任何异议和追索的权利。</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特此承诺。</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w:t>
      </w:r>
    </w:p>
    <w:p>
      <w:pPr>
        <w:pStyle w:val="38"/>
        <w:widowControl/>
        <w:shd w:val="clear" w:color="auto" w:fill="FFFFFF"/>
        <w:spacing w:line="360" w:lineRule="auto"/>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供应商（盖单位章</w:t>
      </w:r>
      <w:r>
        <w:rPr>
          <w:rFonts w:hint="eastAsia" w:ascii="宋体" w:hAnsi="宋体" w:eastAsia="宋体" w:cs="Times New Roman"/>
          <w:kern w:val="0"/>
          <w:sz w:val="21"/>
          <w:szCs w:val="21"/>
          <w:highlight w:val="none"/>
          <w:lang w:eastAsia="zh-CN"/>
        </w:rPr>
        <w:t>或电子盖章</w:t>
      </w:r>
      <w:r>
        <w:rPr>
          <w:rFonts w:hint="eastAsia" w:ascii="宋体" w:hAnsi="宋体" w:eastAsia="宋体" w:cs="Times New Roman"/>
          <w:kern w:val="0"/>
          <w:sz w:val="21"/>
          <w:szCs w:val="21"/>
          <w:highlight w:val="none"/>
        </w:rPr>
        <w:t>）：</w:t>
      </w:r>
    </w:p>
    <w:p>
      <w:pPr>
        <w:pStyle w:val="38"/>
        <w:widowControl/>
        <w:shd w:val="clear" w:color="auto" w:fill="FFFFFF"/>
        <w:spacing w:line="360" w:lineRule="auto"/>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法定代表人（</w:t>
      </w:r>
      <w:r>
        <w:rPr>
          <w:rFonts w:hint="eastAsia" w:ascii="宋体" w:hAnsi="宋体" w:eastAsia="宋体" w:cs="Times New Roman"/>
          <w:kern w:val="0"/>
          <w:sz w:val="21"/>
          <w:szCs w:val="21"/>
          <w:highlight w:val="none"/>
          <w:lang w:eastAsia="zh-CN"/>
        </w:rPr>
        <w:t>签字或盖章</w:t>
      </w:r>
      <w:r>
        <w:rPr>
          <w:rFonts w:hint="eastAsia" w:ascii="宋体" w:hAnsi="宋体" w:eastAsia="宋体" w:cs="Times New Roman"/>
          <w:kern w:val="0"/>
          <w:sz w:val="21"/>
          <w:szCs w:val="21"/>
          <w:highlight w:val="none"/>
        </w:rPr>
        <w:t xml:space="preserve">）：                                                        </w:t>
      </w:r>
    </w:p>
    <w:p>
      <w:pPr>
        <w:pStyle w:val="38"/>
        <w:widowControl/>
        <w:shd w:val="clear" w:color="auto" w:fill="FFFFFF"/>
        <w:spacing w:line="360" w:lineRule="auto"/>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日期：</w:t>
      </w:r>
      <w:r>
        <w:rPr>
          <w:rFonts w:hint="eastAsia" w:ascii="宋体" w:hAnsi="宋体" w:eastAsia="宋体" w:cs="Times New Roman"/>
          <w:kern w:val="0"/>
          <w:sz w:val="21"/>
          <w:szCs w:val="21"/>
          <w:highlight w:val="none"/>
          <w:lang w:val="en-US" w:eastAsia="zh-CN"/>
        </w:rPr>
        <w:t xml:space="preserve">  </w:t>
      </w:r>
      <w:r>
        <w:rPr>
          <w:rFonts w:hint="eastAsia" w:ascii="宋体" w:hAnsi="宋体" w:eastAsia="宋体" w:cs="Times New Roman"/>
          <w:kern w:val="0"/>
          <w:sz w:val="21"/>
          <w:szCs w:val="21"/>
          <w:highlight w:val="none"/>
        </w:rPr>
        <w:t>年</w:t>
      </w:r>
      <w:r>
        <w:rPr>
          <w:rFonts w:hint="eastAsia" w:ascii="宋体" w:hAnsi="宋体" w:eastAsia="宋体" w:cs="Times New Roman"/>
          <w:kern w:val="0"/>
          <w:sz w:val="21"/>
          <w:szCs w:val="21"/>
          <w:highlight w:val="none"/>
          <w:lang w:val="en-US" w:eastAsia="zh-CN"/>
        </w:rPr>
        <w:t xml:space="preserve">  </w:t>
      </w:r>
      <w:r>
        <w:rPr>
          <w:rFonts w:hint="eastAsia" w:ascii="宋体" w:hAnsi="宋体" w:eastAsia="宋体" w:cs="Times New Roman"/>
          <w:kern w:val="0"/>
          <w:sz w:val="21"/>
          <w:szCs w:val="21"/>
          <w:highlight w:val="none"/>
        </w:rPr>
        <w:t>月</w:t>
      </w:r>
      <w:r>
        <w:rPr>
          <w:rFonts w:hint="eastAsia" w:ascii="宋体" w:hAnsi="宋体" w:eastAsia="宋体" w:cs="Times New Roman"/>
          <w:kern w:val="0"/>
          <w:sz w:val="21"/>
          <w:szCs w:val="21"/>
          <w:highlight w:val="none"/>
          <w:lang w:val="en-US" w:eastAsia="zh-CN"/>
        </w:rPr>
        <w:t xml:space="preserve">  </w:t>
      </w:r>
      <w:r>
        <w:rPr>
          <w:rFonts w:hint="eastAsia" w:ascii="宋体" w:hAnsi="宋体" w:eastAsia="宋体" w:cs="Times New Roman"/>
          <w:kern w:val="0"/>
          <w:sz w:val="21"/>
          <w:szCs w:val="21"/>
          <w:highlight w:val="none"/>
        </w:rPr>
        <w:t>日</w:t>
      </w:r>
    </w:p>
    <w:p>
      <w:pPr>
        <w:pStyle w:val="38"/>
        <w:widowControl/>
        <w:shd w:val="clear" w:color="auto" w:fill="FFFFFF"/>
        <w:spacing w:line="360" w:lineRule="auto"/>
        <w:rPr>
          <w:rFonts w:ascii="宋体" w:hAnsi="宋体" w:eastAsia="宋体"/>
          <w:kern w:val="0"/>
          <w:sz w:val="21"/>
          <w:szCs w:val="21"/>
          <w:highlight w:val="none"/>
        </w:rPr>
      </w:pPr>
      <w:r>
        <w:rPr>
          <w:rFonts w:hint="eastAsia" w:ascii="宋体" w:hAnsi="宋体" w:eastAsia="宋体"/>
          <w:kern w:val="0"/>
          <w:sz w:val="21"/>
          <w:szCs w:val="21"/>
          <w:highlight w:val="none"/>
        </w:rPr>
        <w:t>            </w:t>
      </w: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jc w:val="center"/>
        <w:rPr>
          <w:rStyle w:val="52"/>
          <w:rFonts w:ascii="宋体" w:hAnsi="宋体" w:eastAsia="宋体"/>
          <w:sz w:val="24"/>
          <w:highlight w:val="none"/>
        </w:rPr>
      </w:pPr>
    </w:p>
    <w:p>
      <w:pPr>
        <w:pStyle w:val="5"/>
        <w:jc w:val="center"/>
        <w:rPr>
          <w:rFonts w:ascii="宋体" w:hAnsi="宋体" w:eastAsia="宋体"/>
          <w:sz w:val="24"/>
          <w:szCs w:val="24"/>
          <w:highlight w:val="none"/>
        </w:rPr>
      </w:pPr>
      <w:bookmarkStart w:id="97" w:name="_Toc1819"/>
      <w:r>
        <w:rPr>
          <w:rFonts w:hint="eastAsia" w:ascii="宋体" w:hAnsi="宋体" w:eastAsia="宋体"/>
          <w:sz w:val="24"/>
          <w:szCs w:val="24"/>
          <w:highlight w:val="none"/>
        </w:rPr>
        <w:t>七、</w:t>
      </w:r>
      <w:bookmarkEnd w:id="96"/>
      <w:r>
        <w:rPr>
          <w:rFonts w:hint="eastAsia" w:ascii="宋体" w:hAnsi="宋体" w:eastAsia="宋体"/>
          <w:sz w:val="24"/>
          <w:szCs w:val="24"/>
          <w:highlight w:val="none"/>
        </w:rPr>
        <w:t>商务部分</w:t>
      </w:r>
    </w:p>
    <w:bookmarkEnd w:id="97"/>
    <w:p>
      <w:pPr>
        <w:spacing w:line="360" w:lineRule="auto"/>
        <w:rPr>
          <w:rFonts w:ascii="宋体" w:hAnsi="宋体"/>
          <w:sz w:val="24"/>
          <w:highlight w:val="none"/>
        </w:rPr>
      </w:pPr>
      <w:r>
        <w:rPr>
          <w:rFonts w:hint="eastAsia" w:ascii="宋体" w:hAnsi="宋体"/>
          <w:sz w:val="24"/>
          <w:highlight w:val="none"/>
        </w:rPr>
        <w:t>1、企业能力</w:t>
      </w:r>
    </w:p>
    <w:p>
      <w:pPr>
        <w:jc w:val="left"/>
        <w:rPr>
          <w:rFonts w:ascii="宋体" w:hAnsi="宋体" w:cs="宋体"/>
          <w:sz w:val="24"/>
          <w:highlight w:val="none"/>
        </w:rPr>
      </w:pPr>
      <w:r>
        <w:rPr>
          <w:rFonts w:hint="eastAsia" w:ascii="宋体" w:hAnsi="宋体" w:cs="宋体"/>
          <w:sz w:val="24"/>
          <w:highlight w:val="none"/>
        </w:rPr>
        <w:t>（1）供应商业绩</w:t>
      </w:r>
    </w:p>
    <w:p>
      <w:pPr>
        <w:jc w:val="left"/>
        <w:rPr>
          <w:rFonts w:ascii="宋体" w:hAnsi="宋体" w:cs="宋体"/>
          <w:sz w:val="24"/>
          <w:highlight w:val="none"/>
        </w:rPr>
      </w:pPr>
      <w:r>
        <w:rPr>
          <w:rFonts w:hint="eastAsia" w:ascii="宋体" w:hAnsi="宋体" w:cs="宋体"/>
          <w:sz w:val="24"/>
          <w:highlight w:val="none"/>
        </w:rPr>
        <w:t>（2）企业信用等级证书</w:t>
      </w:r>
    </w:p>
    <w:p>
      <w:pPr>
        <w:jc w:val="left"/>
        <w:rPr>
          <w:rFonts w:ascii="宋体" w:hAnsi="宋体" w:cs="宋体"/>
          <w:sz w:val="24"/>
          <w:highlight w:val="none"/>
        </w:rPr>
      </w:pPr>
      <w:r>
        <w:rPr>
          <w:rFonts w:hint="eastAsia" w:ascii="宋体" w:hAnsi="宋体" w:cs="宋体"/>
          <w:sz w:val="24"/>
          <w:highlight w:val="none"/>
        </w:rPr>
        <w:t>（3）企业实力（信息网络传播视听许可证、新闻信息服务许可证书、网络文化经营许可证、国家一级广告企业认证证书）</w:t>
      </w:r>
    </w:p>
    <w:p>
      <w:pPr>
        <w:jc w:val="left"/>
        <w:rPr>
          <w:rFonts w:ascii="宋体" w:hAnsi="宋体" w:cs="宋体"/>
          <w:sz w:val="24"/>
          <w:highlight w:val="none"/>
        </w:rPr>
      </w:pPr>
      <w:r>
        <w:rPr>
          <w:rFonts w:hint="eastAsia" w:ascii="宋体" w:hAnsi="宋体" w:cs="宋体"/>
          <w:sz w:val="24"/>
          <w:highlight w:val="none"/>
        </w:rPr>
        <w:t>（4）荣誉证书</w:t>
      </w:r>
    </w:p>
    <w:p>
      <w:pPr>
        <w:jc w:val="left"/>
        <w:rPr>
          <w:rFonts w:ascii="宋体" w:hAnsi="宋体" w:cs="宋体"/>
          <w:sz w:val="24"/>
          <w:highlight w:val="none"/>
        </w:rPr>
      </w:pPr>
      <w:r>
        <w:rPr>
          <w:rFonts w:hint="eastAsia" w:ascii="宋体" w:hAnsi="宋体" w:cs="宋体"/>
          <w:sz w:val="24"/>
          <w:highlight w:val="none"/>
        </w:rPr>
        <w:t>（5）投标人认为有利于评审其他材料</w:t>
      </w:r>
    </w:p>
    <w:p>
      <w:pPr>
        <w:jc w:val="left"/>
        <w:rPr>
          <w:rFonts w:ascii="宋体" w:hAnsi="宋体" w:cs="宋体"/>
          <w:sz w:val="24"/>
          <w:highlight w:val="none"/>
        </w:rPr>
      </w:pPr>
    </w:p>
    <w:p>
      <w:pPr>
        <w:pStyle w:val="3"/>
        <w:rPr>
          <w:highlight w:val="none"/>
        </w:rPr>
      </w:pPr>
    </w:p>
    <w:p>
      <w:pPr>
        <w:pStyle w:val="3"/>
        <w:rPr>
          <w:highlight w:val="none"/>
        </w:rPr>
      </w:pPr>
    </w:p>
    <w:p>
      <w:pPr>
        <w:jc w:val="center"/>
        <w:rPr>
          <w:rFonts w:ascii="宋体" w:hAnsi="宋体"/>
          <w:sz w:val="30"/>
          <w:szCs w:val="30"/>
          <w:highlight w:val="none"/>
        </w:rPr>
      </w:pPr>
      <w:r>
        <w:rPr>
          <w:rFonts w:ascii="宋体" w:hAnsi="宋体"/>
          <w:sz w:val="30"/>
          <w:szCs w:val="30"/>
          <w:highlight w:val="none"/>
        </w:rPr>
        <w:br w:type="page"/>
      </w:r>
    </w:p>
    <w:p>
      <w:pPr>
        <w:spacing w:line="360" w:lineRule="auto"/>
        <w:jc w:val="left"/>
        <w:rPr>
          <w:rFonts w:ascii="宋体" w:hAnsi="宋体"/>
          <w:b/>
          <w:bCs/>
          <w:sz w:val="28"/>
          <w:szCs w:val="28"/>
          <w:highlight w:val="none"/>
        </w:rPr>
      </w:pPr>
      <w:r>
        <w:rPr>
          <w:rFonts w:hint="eastAsia" w:ascii="宋体" w:hAnsi="宋体"/>
          <w:b/>
          <w:bCs/>
          <w:sz w:val="28"/>
          <w:szCs w:val="28"/>
          <w:highlight w:val="none"/>
        </w:rPr>
        <w:t>附表</w:t>
      </w:r>
    </w:p>
    <w:p>
      <w:pPr>
        <w:spacing w:line="360" w:lineRule="auto"/>
        <w:jc w:val="center"/>
        <w:rPr>
          <w:rFonts w:ascii="宋体" w:hAnsi="宋体"/>
          <w:b/>
          <w:bCs/>
          <w:sz w:val="24"/>
          <w:highlight w:val="none"/>
        </w:rPr>
      </w:pPr>
      <w:r>
        <w:rPr>
          <w:rFonts w:hint="eastAsia" w:ascii="宋体" w:hAnsi="宋体"/>
          <w:b/>
          <w:bCs/>
          <w:sz w:val="24"/>
          <w:highlight w:val="none"/>
        </w:rPr>
        <w:t>供应商业绩</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70" w:type="dxa"/>
            <w:vAlign w:val="center"/>
          </w:tcPr>
          <w:p>
            <w:pPr>
              <w:rPr>
                <w:b/>
                <w:highlight w:val="none"/>
              </w:rPr>
            </w:pPr>
            <w:bookmarkStart w:id="98" w:name="_Toc530142474"/>
            <w:bookmarkStart w:id="99" w:name="_Toc487"/>
            <w:bookmarkStart w:id="100" w:name="_Toc491080981"/>
            <w:r>
              <w:rPr>
                <w:rFonts w:hint="eastAsia" w:ascii="宋体" w:hAnsi="宋体"/>
                <w:sz w:val="24"/>
                <w:highlight w:val="none"/>
              </w:rPr>
              <w:br w:type="page"/>
            </w:r>
            <w:r>
              <w:rPr>
                <w:rFonts w:hint="eastAsia" w:ascii="宋体" w:hAnsi="宋体" w:cs="宋体"/>
                <w:szCs w:val="21"/>
                <w:highlight w:val="none"/>
              </w:rPr>
              <w:br w:type="page"/>
            </w:r>
            <w:r>
              <w:rPr>
                <w:b/>
                <w:highlight w:val="none"/>
              </w:rPr>
              <w:t>项目名称</w:t>
            </w:r>
          </w:p>
        </w:tc>
        <w:tc>
          <w:tcPr>
            <w:tcW w:w="6258" w:type="dxa"/>
          </w:tcPr>
          <w:p>
            <w:pPr>
              <w:topLinePunct/>
              <w:spacing w:line="360" w:lineRule="auto"/>
              <w:ind w:left="1470"/>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70" w:type="dxa"/>
            <w:vAlign w:val="center"/>
          </w:tcPr>
          <w:p>
            <w:pPr>
              <w:topLinePunct/>
              <w:spacing w:line="360" w:lineRule="auto"/>
              <w:rPr>
                <w:b/>
                <w:highlight w:val="none"/>
              </w:rPr>
            </w:pPr>
            <w:r>
              <w:rPr>
                <w:b/>
                <w:highlight w:val="none"/>
              </w:rPr>
              <w:t>项目所在地</w:t>
            </w:r>
          </w:p>
        </w:tc>
        <w:tc>
          <w:tcPr>
            <w:tcW w:w="6258" w:type="dxa"/>
          </w:tcPr>
          <w:p>
            <w:pPr>
              <w:topLinePunct/>
              <w:spacing w:line="360" w:lineRule="auto"/>
              <w:ind w:left="1470"/>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70" w:type="dxa"/>
            <w:vAlign w:val="center"/>
          </w:tcPr>
          <w:p>
            <w:pPr>
              <w:topLinePunct/>
              <w:spacing w:line="360" w:lineRule="auto"/>
              <w:rPr>
                <w:b/>
                <w:highlight w:val="none"/>
              </w:rPr>
            </w:pPr>
            <w:r>
              <w:rPr>
                <w:rFonts w:hint="eastAsia"/>
                <w:b/>
                <w:highlight w:val="none"/>
              </w:rPr>
              <w:t>需方</w:t>
            </w:r>
            <w:r>
              <w:rPr>
                <w:b/>
                <w:highlight w:val="none"/>
              </w:rPr>
              <w:t>名称</w:t>
            </w:r>
          </w:p>
        </w:tc>
        <w:tc>
          <w:tcPr>
            <w:tcW w:w="6258" w:type="dxa"/>
          </w:tcPr>
          <w:p>
            <w:pPr>
              <w:topLinePunct/>
              <w:spacing w:line="360" w:lineRule="auto"/>
              <w:ind w:left="1470"/>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70" w:type="dxa"/>
            <w:vAlign w:val="center"/>
          </w:tcPr>
          <w:p>
            <w:pPr>
              <w:topLinePunct/>
              <w:spacing w:line="360" w:lineRule="auto"/>
              <w:rPr>
                <w:b/>
                <w:highlight w:val="none"/>
              </w:rPr>
            </w:pPr>
            <w:r>
              <w:rPr>
                <w:rFonts w:hint="eastAsia"/>
                <w:b/>
                <w:highlight w:val="none"/>
              </w:rPr>
              <w:t>需方</w:t>
            </w:r>
            <w:r>
              <w:rPr>
                <w:b/>
                <w:highlight w:val="none"/>
              </w:rPr>
              <w:t>地址</w:t>
            </w:r>
          </w:p>
        </w:tc>
        <w:tc>
          <w:tcPr>
            <w:tcW w:w="6258" w:type="dxa"/>
          </w:tcPr>
          <w:p>
            <w:pPr>
              <w:topLinePunct/>
              <w:spacing w:line="360" w:lineRule="auto"/>
              <w:ind w:left="1470"/>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70" w:type="dxa"/>
            <w:vAlign w:val="center"/>
          </w:tcPr>
          <w:p>
            <w:pPr>
              <w:topLinePunct/>
              <w:spacing w:line="360" w:lineRule="auto"/>
              <w:rPr>
                <w:b/>
                <w:highlight w:val="none"/>
              </w:rPr>
            </w:pPr>
            <w:r>
              <w:rPr>
                <w:rFonts w:hint="eastAsia"/>
                <w:b/>
                <w:highlight w:val="none"/>
              </w:rPr>
              <w:t>联系人</w:t>
            </w:r>
          </w:p>
        </w:tc>
        <w:tc>
          <w:tcPr>
            <w:tcW w:w="6258" w:type="dxa"/>
          </w:tcPr>
          <w:p>
            <w:pPr>
              <w:topLinePunct/>
              <w:spacing w:line="360" w:lineRule="auto"/>
              <w:ind w:left="1470"/>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70" w:type="dxa"/>
            <w:vAlign w:val="center"/>
          </w:tcPr>
          <w:p>
            <w:pPr>
              <w:topLinePunct/>
              <w:spacing w:line="360" w:lineRule="auto"/>
              <w:rPr>
                <w:b/>
                <w:highlight w:val="none"/>
              </w:rPr>
            </w:pPr>
            <w:r>
              <w:rPr>
                <w:rFonts w:hint="eastAsia"/>
                <w:b/>
                <w:highlight w:val="none"/>
              </w:rPr>
              <w:t>联系</w:t>
            </w:r>
            <w:r>
              <w:rPr>
                <w:b/>
                <w:highlight w:val="none"/>
              </w:rPr>
              <w:t>电话</w:t>
            </w:r>
          </w:p>
        </w:tc>
        <w:tc>
          <w:tcPr>
            <w:tcW w:w="6258" w:type="dxa"/>
          </w:tcPr>
          <w:p>
            <w:pPr>
              <w:topLinePunct/>
              <w:spacing w:line="360" w:lineRule="auto"/>
              <w:ind w:left="1470"/>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70" w:type="dxa"/>
            <w:vAlign w:val="center"/>
          </w:tcPr>
          <w:p>
            <w:pPr>
              <w:topLinePunct/>
              <w:spacing w:line="360" w:lineRule="auto"/>
              <w:rPr>
                <w:b/>
                <w:highlight w:val="none"/>
              </w:rPr>
            </w:pPr>
            <w:r>
              <w:rPr>
                <w:b/>
                <w:highlight w:val="none"/>
              </w:rPr>
              <w:t>合同价格</w:t>
            </w:r>
          </w:p>
        </w:tc>
        <w:tc>
          <w:tcPr>
            <w:tcW w:w="6258" w:type="dxa"/>
          </w:tcPr>
          <w:p>
            <w:pPr>
              <w:topLinePunct/>
              <w:spacing w:line="360" w:lineRule="auto"/>
              <w:ind w:left="1470"/>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70" w:type="dxa"/>
            <w:vAlign w:val="center"/>
          </w:tcPr>
          <w:p>
            <w:pPr>
              <w:topLinePunct/>
              <w:spacing w:line="360" w:lineRule="auto"/>
              <w:rPr>
                <w:b/>
                <w:highlight w:val="none"/>
              </w:rPr>
            </w:pPr>
            <w:r>
              <w:rPr>
                <w:b/>
                <w:highlight w:val="none"/>
              </w:rPr>
              <w:t>质量</w:t>
            </w:r>
            <w:r>
              <w:rPr>
                <w:rFonts w:hint="eastAsia"/>
                <w:b/>
                <w:highlight w:val="none"/>
              </w:rPr>
              <w:t>标准</w:t>
            </w:r>
          </w:p>
        </w:tc>
        <w:tc>
          <w:tcPr>
            <w:tcW w:w="6258" w:type="dxa"/>
          </w:tcPr>
          <w:p>
            <w:pPr>
              <w:topLinePunct/>
              <w:spacing w:line="360" w:lineRule="auto"/>
              <w:ind w:left="1470"/>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70" w:type="dxa"/>
            <w:vAlign w:val="center"/>
          </w:tcPr>
          <w:p>
            <w:pPr>
              <w:topLinePunct/>
              <w:spacing w:line="360" w:lineRule="auto"/>
              <w:rPr>
                <w:b/>
                <w:highlight w:val="none"/>
              </w:rPr>
            </w:pPr>
            <w:r>
              <w:rPr>
                <w:rFonts w:hint="eastAsia"/>
                <w:b/>
                <w:highlight w:val="none"/>
              </w:rPr>
              <w:t>主要内容</w:t>
            </w:r>
          </w:p>
        </w:tc>
        <w:tc>
          <w:tcPr>
            <w:tcW w:w="6258" w:type="dxa"/>
          </w:tcPr>
          <w:p>
            <w:pPr>
              <w:topLinePunct/>
              <w:spacing w:line="360" w:lineRule="auto"/>
              <w:ind w:left="1470"/>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70" w:type="dxa"/>
            <w:vAlign w:val="center"/>
          </w:tcPr>
          <w:p>
            <w:pPr>
              <w:spacing w:line="360" w:lineRule="auto"/>
              <w:rPr>
                <w:b/>
                <w:highlight w:val="none"/>
              </w:rPr>
            </w:pPr>
            <w:r>
              <w:rPr>
                <w:b/>
                <w:highlight w:val="none"/>
              </w:rPr>
              <w:t>备注</w:t>
            </w:r>
          </w:p>
        </w:tc>
        <w:tc>
          <w:tcPr>
            <w:tcW w:w="6258" w:type="dxa"/>
          </w:tcPr>
          <w:p>
            <w:pPr>
              <w:spacing w:line="360" w:lineRule="auto"/>
              <w:rPr>
                <w:highlight w:val="none"/>
              </w:rPr>
            </w:pPr>
          </w:p>
        </w:tc>
      </w:tr>
    </w:tbl>
    <w:p>
      <w:pPr>
        <w:ind w:firstLine="210" w:firstLineChars="100"/>
        <w:rPr>
          <w:rFonts w:ascii="宋体" w:hAnsi="宋体" w:cs="宋体"/>
          <w:sz w:val="24"/>
          <w:highlight w:val="none"/>
        </w:rPr>
      </w:pPr>
      <w:r>
        <w:rPr>
          <w:rFonts w:hint="eastAsia"/>
          <w:highlight w:val="none"/>
        </w:rPr>
        <w:t>注：需附委托协议或合同等证明材料</w:t>
      </w:r>
      <w:r>
        <w:rPr>
          <w:rFonts w:hint="eastAsia"/>
          <w:b/>
          <w:kern w:val="0"/>
          <w:sz w:val="28"/>
          <w:szCs w:val="28"/>
          <w:highlight w:val="none"/>
        </w:rPr>
        <w:br w:type="page"/>
      </w:r>
    </w:p>
    <w:p>
      <w:pPr>
        <w:pStyle w:val="5"/>
        <w:jc w:val="center"/>
        <w:rPr>
          <w:rFonts w:ascii="宋体" w:hAnsi="宋体" w:eastAsia="宋体"/>
          <w:sz w:val="24"/>
          <w:szCs w:val="24"/>
          <w:highlight w:val="none"/>
        </w:rPr>
      </w:pPr>
      <w:r>
        <w:rPr>
          <w:rFonts w:hint="eastAsia" w:ascii="宋体" w:hAnsi="宋体" w:eastAsia="宋体"/>
          <w:sz w:val="24"/>
          <w:szCs w:val="24"/>
          <w:highlight w:val="none"/>
        </w:rPr>
        <w:t>八、</w:t>
      </w:r>
      <w:bookmarkEnd w:id="98"/>
      <w:r>
        <w:rPr>
          <w:rFonts w:hint="eastAsia" w:ascii="宋体" w:hAnsi="宋体" w:eastAsia="宋体"/>
          <w:sz w:val="24"/>
          <w:szCs w:val="24"/>
          <w:highlight w:val="none"/>
        </w:rPr>
        <w:t>技术部分</w:t>
      </w:r>
      <w:bookmarkEnd w:id="99"/>
    </w:p>
    <w:p>
      <w:pPr>
        <w:spacing w:line="440" w:lineRule="exact"/>
        <w:ind w:left="420" w:firstLine="562" w:firstLineChars="200"/>
        <w:rPr>
          <w:rFonts w:ascii="宋体" w:hAnsi="宋体"/>
          <w:b/>
          <w:bCs/>
          <w:sz w:val="28"/>
          <w:szCs w:val="28"/>
          <w:highlight w:val="none"/>
        </w:rPr>
      </w:pPr>
      <w:r>
        <w:rPr>
          <w:rFonts w:hint="eastAsia" w:ascii="宋体" w:hAnsi="宋体"/>
          <w:b/>
          <w:bCs/>
          <w:sz w:val="28"/>
          <w:szCs w:val="28"/>
          <w:highlight w:val="none"/>
        </w:rPr>
        <w:t>供应商根据磋商文件采购要求及评分办法服务方案自行编写包括但不限于以下几点，格式自拟。</w:t>
      </w:r>
    </w:p>
    <w:p>
      <w:pPr>
        <w:rPr>
          <w:sz w:val="24"/>
          <w:highlight w:val="none"/>
        </w:rPr>
      </w:pPr>
      <w:r>
        <w:rPr>
          <w:rFonts w:hint="eastAsia"/>
          <w:sz w:val="24"/>
          <w:highlight w:val="none"/>
        </w:rPr>
        <w:t>（1）项目服务方案；</w:t>
      </w:r>
    </w:p>
    <w:p>
      <w:pPr>
        <w:rPr>
          <w:sz w:val="24"/>
          <w:highlight w:val="none"/>
        </w:rPr>
      </w:pPr>
      <w:r>
        <w:rPr>
          <w:rFonts w:hint="eastAsia"/>
          <w:sz w:val="24"/>
          <w:highlight w:val="none"/>
        </w:rPr>
        <w:t>（2）</w:t>
      </w:r>
      <w:r>
        <w:rPr>
          <w:rFonts w:hint="eastAsia"/>
          <w:sz w:val="24"/>
          <w:highlight w:val="none"/>
          <w:lang w:val="zh-CN"/>
        </w:rPr>
        <w:t>项目理解</w:t>
      </w:r>
      <w:r>
        <w:rPr>
          <w:rFonts w:hint="eastAsia"/>
          <w:sz w:val="24"/>
          <w:highlight w:val="none"/>
        </w:rPr>
        <w:t>；</w:t>
      </w:r>
    </w:p>
    <w:p>
      <w:pPr>
        <w:rPr>
          <w:sz w:val="24"/>
          <w:highlight w:val="none"/>
        </w:rPr>
      </w:pPr>
      <w:r>
        <w:rPr>
          <w:rFonts w:hint="eastAsia"/>
          <w:sz w:val="24"/>
          <w:highlight w:val="none"/>
        </w:rPr>
        <w:t>（3）</w:t>
      </w:r>
      <w:r>
        <w:rPr>
          <w:rFonts w:hint="eastAsia"/>
          <w:sz w:val="24"/>
          <w:highlight w:val="none"/>
          <w:lang w:val="zh-CN"/>
        </w:rPr>
        <w:t>保障措施的完整性、可行性</w:t>
      </w:r>
    </w:p>
    <w:p>
      <w:pPr>
        <w:rPr>
          <w:sz w:val="24"/>
          <w:highlight w:val="none"/>
        </w:rPr>
      </w:pPr>
      <w:r>
        <w:rPr>
          <w:rFonts w:hint="eastAsia"/>
          <w:sz w:val="24"/>
          <w:highlight w:val="none"/>
          <w:lang w:val="zh-CN"/>
        </w:rPr>
        <w:t>（</w:t>
      </w:r>
      <w:r>
        <w:rPr>
          <w:rFonts w:hint="eastAsia"/>
          <w:sz w:val="24"/>
          <w:highlight w:val="none"/>
        </w:rPr>
        <w:t>4</w:t>
      </w:r>
      <w:r>
        <w:rPr>
          <w:rFonts w:hint="eastAsia"/>
          <w:sz w:val="24"/>
          <w:highlight w:val="none"/>
          <w:lang w:val="zh-CN"/>
        </w:rPr>
        <w:t>）制作推广方案创新性</w:t>
      </w:r>
    </w:p>
    <w:p>
      <w:pPr>
        <w:rPr>
          <w:sz w:val="24"/>
          <w:highlight w:val="none"/>
        </w:rPr>
      </w:pPr>
      <w:r>
        <w:rPr>
          <w:rFonts w:hint="eastAsia"/>
          <w:sz w:val="24"/>
          <w:highlight w:val="none"/>
        </w:rPr>
        <w:t>（5）</w:t>
      </w:r>
      <w:r>
        <w:rPr>
          <w:rFonts w:hint="eastAsia"/>
          <w:sz w:val="24"/>
          <w:highlight w:val="none"/>
          <w:lang w:val="zh-CN"/>
        </w:rPr>
        <w:t>人员配备</w:t>
      </w:r>
      <w:r>
        <w:rPr>
          <w:rFonts w:hint="eastAsia"/>
          <w:sz w:val="24"/>
          <w:highlight w:val="none"/>
        </w:rPr>
        <w:t>；</w:t>
      </w:r>
    </w:p>
    <w:p>
      <w:pPr>
        <w:rPr>
          <w:sz w:val="24"/>
          <w:highlight w:val="none"/>
          <w:lang w:val="zh-CN"/>
        </w:rPr>
      </w:pPr>
      <w:r>
        <w:rPr>
          <w:rFonts w:hint="eastAsia"/>
          <w:sz w:val="24"/>
          <w:highlight w:val="none"/>
        </w:rPr>
        <w:t>（6）</w:t>
      </w:r>
      <w:r>
        <w:rPr>
          <w:rFonts w:hint="eastAsia"/>
          <w:sz w:val="24"/>
          <w:highlight w:val="none"/>
          <w:lang w:val="zh-CN"/>
        </w:rPr>
        <w:t>应急措施的可执行性和合理性；</w:t>
      </w:r>
    </w:p>
    <w:p>
      <w:pPr>
        <w:rPr>
          <w:sz w:val="24"/>
          <w:highlight w:val="none"/>
        </w:rPr>
      </w:pPr>
      <w:r>
        <w:rPr>
          <w:rFonts w:hint="eastAsia"/>
          <w:sz w:val="24"/>
          <w:highlight w:val="none"/>
        </w:rPr>
        <w:t>（7）投标人认为有利于评审其他材料；</w:t>
      </w:r>
    </w:p>
    <w:p>
      <w:pPr>
        <w:rPr>
          <w:sz w:val="24"/>
          <w:highlight w:val="none"/>
        </w:rPr>
      </w:pPr>
      <w:r>
        <w:rPr>
          <w:rFonts w:hint="eastAsia"/>
          <w:sz w:val="24"/>
          <w:highlight w:val="none"/>
        </w:rPr>
        <w:br w:type="page"/>
      </w:r>
    </w:p>
    <w:p>
      <w:pPr>
        <w:spacing w:line="360" w:lineRule="auto"/>
        <w:jc w:val="left"/>
        <w:rPr>
          <w:rFonts w:ascii="宋体" w:hAnsi="宋体"/>
          <w:b/>
          <w:bCs/>
          <w:sz w:val="28"/>
          <w:szCs w:val="28"/>
          <w:highlight w:val="none"/>
        </w:rPr>
      </w:pPr>
      <w:bookmarkStart w:id="101" w:name="_Toc11115"/>
      <w:r>
        <w:rPr>
          <w:rFonts w:hint="eastAsia" w:ascii="宋体" w:hAnsi="宋体"/>
          <w:b/>
          <w:bCs/>
          <w:sz w:val="28"/>
          <w:szCs w:val="28"/>
          <w:highlight w:val="none"/>
        </w:rPr>
        <w:t>附表</w:t>
      </w:r>
    </w:p>
    <w:p>
      <w:pPr>
        <w:spacing w:line="360" w:lineRule="auto"/>
        <w:jc w:val="center"/>
        <w:rPr>
          <w:rFonts w:ascii="宋体" w:hAnsi="宋体"/>
          <w:b/>
          <w:bCs/>
          <w:sz w:val="28"/>
          <w:szCs w:val="28"/>
          <w:highlight w:val="none"/>
        </w:rPr>
      </w:pPr>
      <w:bookmarkStart w:id="102" w:name="_Toc17231"/>
      <w:bookmarkStart w:id="103" w:name="_Toc25294"/>
      <w:r>
        <w:rPr>
          <w:rFonts w:hint="eastAsia" w:ascii="宋体" w:hAnsi="宋体"/>
          <w:b/>
          <w:bCs/>
          <w:sz w:val="28"/>
          <w:szCs w:val="28"/>
          <w:highlight w:val="none"/>
        </w:rPr>
        <w:t>拟投入本项目主要人员一览表</w:t>
      </w:r>
    </w:p>
    <w:bookmarkEnd w:id="102"/>
    <w:bookmarkEnd w:id="103"/>
    <w:tbl>
      <w:tblPr>
        <w:tblStyle w:val="4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96"/>
        <w:gridCol w:w="1152"/>
        <w:gridCol w:w="1152"/>
        <w:gridCol w:w="1152"/>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vAlign w:val="center"/>
          </w:tcPr>
          <w:p>
            <w:pPr>
              <w:spacing w:line="360" w:lineRule="auto"/>
              <w:jc w:val="center"/>
              <w:rPr>
                <w:rFonts w:ascii="宋体" w:hAnsi="宋体"/>
                <w:b/>
                <w:bCs/>
                <w:spacing w:val="4"/>
                <w:sz w:val="24"/>
                <w:highlight w:val="none"/>
              </w:rPr>
            </w:pPr>
            <w:r>
              <w:rPr>
                <w:rFonts w:hint="eastAsia" w:ascii="宋体" w:hAnsi="宋体"/>
                <w:b/>
                <w:bCs/>
                <w:spacing w:val="4"/>
                <w:sz w:val="24"/>
                <w:highlight w:val="none"/>
              </w:rPr>
              <w:t>序号</w:t>
            </w:r>
          </w:p>
        </w:tc>
        <w:tc>
          <w:tcPr>
            <w:tcW w:w="1296" w:type="dxa"/>
            <w:vAlign w:val="center"/>
          </w:tcPr>
          <w:p>
            <w:pPr>
              <w:spacing w:line="360" w:lineRule="auto"/>
              <w:jc w:val="center"/>
              <w:rPr>
                <w:rFonts w:ascii="宋体" w:hAnsi="宋体"/>
                <w:b/>
                <w:bCs/>
                <w:spacing w:val="4"/>
                <w:sz w:val="24"/>
                <w:highlight w:val="none"/>
              </w:rPr>
            </w:pPr>
            <w:r>
              <w:rPr>
                <w:rFonts w:hint="eastAsia" w:ascii="宋体" w:hAnsi="宋体"/>
                <w:b/>
                <w:bCs/>
                <w:spacing w:val="4"/>
                <w:sz w:val="24"/>
                <w:highlight w:val="none"/>
              </w:rPr>
              <w:t>姓名</w:t>
            </w:r>
          </w:p>
        </w:tc>
        <w:tc>
          <w:tcPr>
            <w:tcW w:w="1152" w:type="dxa"/>
            <w:vAlign w:val="center"/>
          </w:tcPr>
          <w:p>
            <w:pPr>
              <w:spacing w:line="360" w:lineRule="auto"/>
              <w:jc w:val="center"/>
              <w:rPr>
                <w:rFonts w:ascii="宋体" w:hAnsi="宋体"/>
                <w:b/>
                <w:bCs/>
                <w:spacing w:val="4"/>
                <w:sz w:val="24"/>
                <w:highlight w:val="none"/>
              </w:rPr>
            </w:pPr>
            <w:r>
              <w:rPr>
                <w:rFonts w:hint="eastAsia" w:ascii="宋体" w:hAnsi="宋体"/>
                <w:b/>
                <w:bCs/>
                <w:spacing w:val="4"/>
                <w:sz w:val="24"/>
                <w:highlight w:val="none"/>
              </w:rPr>
              <w:t>职务</w:t>
            </w:r>
          </w:p>
        </w:tc>
        <w:tc>
          <w:tcPr>
            <w:tcW w:w="1152" w:type="dxa"/>
          </w:tcPr>
          <w:p>
            <w:pPr>
              <w:spacing w:line="360" w:lineRule="auto"/>
              <w:jc w:val="center"/>
              <w:rPr>
                <w:rFonts w:ascii="宋体" w:hAnsi="宋体"/>
                <w:b/>
                <w:bCs/>
                <w:spacing w:val="4"/>
                <w:sz w:val="24"/>
                <w:highlight w:val="none"/>
              </w:rPr>
            </w:pPr>
            <w:r>
              <w:rPr>
                <w:rFonts w:hint="eastAsia" w:ascii="宋体" w:hAnsi="宋体"/>
                <w:b/>
                <w:bCs/>
                <w:spacing w:val="4"/>
                <w:sz w:val="24"/>
                <w:highlight w:val="none"/>
              </w:rPr>
              <w:t>职称</w:t>
            </w:r>
          </w:p>
        </w:tc>
        <w:tc>
          <w:tcPr>
            <w:tcW w:w="1152" w:type="dxa"/>
            <w:vAlign w:val="center"/>
          </w:tcPr>
          <w:p>
            <w:pPr>
              <w:spacing w:line="360" w:lineRule="auto"/>
              <w:jc w:val="center"/>
              <w:rPr>
                <w:rFonts w:ascii="宋体" w:hAnsi="宋体"/>
                <w:b/>
                <w:bCs/>
                <w:spacing w:val="4"/>
                <w:sz w:val="24"/>
                <w:highlight w:val="none"/>
              </w:rPr>
            </w:pPr>
            <w:r>
              <w:rPr>
                <w:rFonts w:hint="eastAsia" w:ascii="宋体" w:hAnsi="宋体"/>
                <w:b/>
                <w:bCs/>
                <w:spacing w:val="4"/>
                <w:sz w:val="24"/>
                <w:highlight w:val="none"/>
              </w:rPr>
              <w:t>学历</w:t>
            </w:r>
          </w:p>
        </w:tc>
        <w:tc>
          <w:tcPr>
            <w:tcW w:w="3774" w:type="dxa"/>
            <w:vAlign w:val="center"/>
          </w:tcPr>
          <w:p>
            <w:pPr>
              <w:spacing w:line="360" w:lineRule="auto"/>
              <w:jc w:val="center"/>
              <w:rPr>
                <w:rFonts w:ascii="宋体" w:hAnsi="宋体"/>
                <w:b/>
                <w:bCs/>
                <w:spacing w:val="4"/>
                <w:sz w:val="24"/>
                <w:highlight w:val="none"/>
              </w:rPr>
            </w:pPr>
            <w:r>
              <w:rPr>
                <w:rFonts w:hint="eastAsia" w:ascii="宋体" w:hAnsi="宋体"/>
                <w:b/>
                <w:bCs/>
                <w:spacing w:val="4"/>
                <w:sz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tcPr>
          <w:p>
            <w:pPr>
              <w:spacing w:line="360" w:lineRule="auto"/>
              <w:jc w:val="center"/>
              <w:rPr>
                <w:rFonts w:ascii="宋体" w:hAnsi="宋体"/>
                <w:spacing w:val="4"/>
                <w:sz w:val="24"/>
                <w:highlight w:val="none"/>
              </w:rPr>
            </w:pP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tcPr>
          <w:p>
            <w:pPr>
              <w:spacing w:line="360" w:lineRule="auto"/>
              <w:rPr>
                <w:rFonts w:ascii="宋体" w:hAnsi="宋体"/>
                <w:bCs/>
                <w:spacing w:val="4"/>
                <w:sz w:val="24"/>
                <w:highlight w:val="none"/>
              </w:rPr>
            </w:pP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tcPr>
          <w:p>
            <w:pPr>
              <w:spacing w:line="360" w:lineRule="auto"/>
              <w:rPr>
                <w:rFonts w:ascii="宋体" w:hAnsi="宋体"/>
                <w:bCs/>
                <w:spacing w:val="4"/>
                <w:sz w:val="24"/>
                <w:highlight w:val="none"/>
              </w:rPr>
            </w:pP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tcPr>
          <w:p>
            <w:pPr>
              <w:spacing w:line="360" w:lineRule="auto"/>
              <w:rPr>
                <w:rFonts w:ascii="宋体" w:hAnsi="宋体"/>
                <w:bCs/>
                <w:spacing w:val="4"/>
                <w:sz w:val="24"/>
                <w:highlight w:val="none"/>
              </w:rPr>
            </w:pP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ind w:firstLine="720" w:firstLineChars="3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tcPr>
          <w:p>
            <w:pPr>
              <w:spacing w:line="360" w:lineRule="auto"/>
              <w:rPr>
                <w:rFonts w:ascii="宋体" w:hAnsi="宋体"/>
                <w:bCs/>
                <w:spacing w:val="4"/>
                <w:sz w:val="24"/>
                <w:highlight w:val="none"/>
              </w:rPr>
            </w:pP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ind w:firstLine="720" w:firstLineChars="3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tcPr>
          <w:p>
            <w:pPr>
              <w:spacing w:line="360" w:lineRule="auto"/>
              <w:rPr>
                <w:rFonts w:ascii="宋体" w:hAnsi="宋体"/>
                <w:bCs/>
                <w:spacing w:val="4"/>
                <w:sz w:val="24"/>
                <w:highlight w:val="none"/>
              </w:rPr>
            </w:pP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ind w:firstLine="600" w:firstLineChars="25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tcPr>
          <w:p>
            <w:pPr>
              <w:spacing w:line="360" w:lineRule="auto"/>
              <w:rPr>
                <w:rFonts w:ascii="宋体" w:hAnsi="宋体"/>
                <w:spacing w:val="4"/>
                <w:sz w:val="24"/>
                <w:highlight w:val="none"/>
              </w:rPr>
            </w:pP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52" w:type="dxa"/>
          </w:tcPr>
          <w:p>
            <w:pPr>
              <w:spacing w:line="360" w:lineRule="auto"/>
              <w:rPr>
                <w:rFonts w:ascii="宋体" w:hAnsi="宋体"/>
                <w:spacing w:val="4"/>
                <w:sz w:val="24"/>
                <w:highlight w:val="none"/>
              </w:rPr>
            </w:pPr>
            <w:r>
              <w:rPr>
                <w:rFonts w:ascii="宋体" w:hAnsi="宋体"/>
                <w:spacing w:val="4"/>
                <w:sz w:val="24"/>
                <w:highlight w:val="none"/>
              </w:rPr>
              <w:t>…………</w:t>
            </w:r>
            <w:r>
              <w:rPr>
                <w:rFonts w:hint="eastAsia" w:ascii="宋体" w:hAnsi="宋体"/>
                <w:spacing w:val="4"/>
                <w:sz w:val="24"/>
                <w:highlight w:val="none"/>
              </w:rPr>
              <w:t>.</w:t>
            </w: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tcPr>
          <w:p>
            <w:pPr>
              <w:spacing w:line="360" w:lineRule="auto"/>
              <w:rPr>
                <w:rFonts w:ascii="宋体" w:hAnsi="宋体"/>
                <w:spacing w:val="4"/>
                <w:sz w:val="24"/>
                <w:highlight w:val="none"/>
              </w:rPr>
            </w:pP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tcPr>
          <w:p>
            <w:pPr>
              <w:spacing w:line="360" w:lineRule="auto"/>
              <w:rPr>
                <w:rFonts w:ascii="宋体" w:hAnsi="宋体"/>
                <w:spacing w:val="4"/>
                <w:sz w:val="24"/>
                <w:highlight w:val="none"/>
              </w:rPr>
            </w:pP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2" w:type="dxa"/>
          </w:tcPr>
          <w:p>
            <w:pPr>
              <w:spacing w:line="360" w:lineRule="auto"/>
              <w:rPr>
                <w:rFonts w:ascii="宋体" w:hAnsi="宋体"/>
                <w:spacing w:val="4"/>
                <w:sz w:val="24"/>
                <w:highlight w:val="none"/>
              </w:rPr>
            </w:pPr>
          </w:p>
        </w:tc>
        <w:tc>
          <w:tcPr>
            <w:tcW w:w="1296"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1152" w:type="dxa"/>
          </w:tcPr>
          <w:p>
            <w:pPr>
              <w:spacing w:line="360" w:lineRule="auto"/>
              <w:rPr>
                <w:rFonts w:ascii="宋体" w:hAnsi="宋体"/>
                <w:sz w:val="24"/>
                <w:highlight w:val="none"/>
              </w:rPr>
            </w:pPr>
          </w:p>
        </w:tc>
        <w:tc>
          <w:tcPr>
            <w:tcW w:w="3774" w:type="dxa"/>
          </w:tcPr>
          <w:p>
            <w:pPr>
              <w:spacing w:line="360" w:lineRule="auto"/>
              <w:rPr>
                <w:rFonts w:ascii="宋体" w:hAnsi="宋体"/>
                <w:sz w:val="24"/>
                <w:highlight w:val="none"/>
              </w:rPr>
            </w:pPr>
          </w:p>
        </w:tc>
      </w:tr>
    </w:tbl>
    <w:p>
      <w:pPr>
        <w:spacing w:line="360" w:lineRule="auto"/>
        <w:rPr>
          <w:rFonts w:ascii="宋体" w:hAnsi="宋体" w:cs="宋体"/>
          <w:b/>
          <w:bCs/>
          <w:sz w:val="24"/>
          <w:highlight w:val="none"/>
        </w:rPr>
      </w:pPr>
      <w:r>
        <w:rPr>
          <w:rFonts w:hint="eastAsia" w:ascii="宋体" w:hAnsi="宋体" w:cs="宋体"/>
          <w:b/>
          <w:bCs/>
          <w:sz w:val="24"/>
          <w:highlight w:val="none"/>
        </w:rPr>
        <w:t>注：需附职称证、社保证明、在职证明或劳动合同相关资料，具体要求详见  评标办法“人员配备”。</w:t>
      </w:r>
    </w:p>
    <w:p>
      <w:pPr>
        <w:jc w:val="center"/>
        <w:rPr>
          <w:rFonts w:ascii="宋体" w:hAnsi="宋体"/>
          <w:sz w:val="30"/>
          <w:szCs w:val="30"/>
          <w:highlight w:val="none"/>
        </w:rPr>
      </w:pPr>
    </w:p>
    <w:p>
      <w:pPr>
        <w:rPr>
          <w:rFonts w:hint="eastAsia" w:ascii="宋体" w:hAnsi="宋体"/>
          <w:sz w:val="24"/>
          <w:highlight w:val="none"/>
        </w:rPr>
      </w:pPr>
      <w:r>
        <w:rPr>
          <w:rFonts w:hint="eastAsia" w:ascii="宋体" w:hAnsi="宋体"/>
          <w:sz w:val="24"/>
          <w:highlight w:val="none"/>
        </w:rPr>
        <w:t>供应商（盖单位章</w:t>
      </w:r>
      <w:r>
        <w:rPr>
          <w:rFonts w:hint="eastAsia" w:ascii="宋体" w:hAnsi="宋体"/>
          <w:sz w:val="24"/>
          <w:highlight w:val="none"/>
          <w:lang w:eastAsia="zh-CN"/>
        </w:rPr>
        <w:t>或电子盖章</w:t>
      </w:r>
      <w:r>
        <w:rPr>
          <w:rFonts w:hint="eastAsia" w:ascii="宋体" w:hAnsi="宋体"/>
          <w:sz w:val="24"/>
          <w:highlight w:val="none"/>
        </w:rPr>
        <w:t>）：</w:t>
      </w:r>
    </w:p>
    <w:p>
      <w:pPr>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签字或盖章</w:t>
      </w:r>
      <w:r>
        <w:rPr>
          <w:rFonts w:hint="eastAsia" w:ascii="宋体" w:hAnsi="宋体"/>
          <w:sz w:val="24"/>
          <w:highlight w:val="none"/>
        </w:rPr>
        <w:t xml:space="preserve">）：                                                        </w:t>
      </w:r>
    </w:p>
    <w:p>
      <w:pPr>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rPr>
          <w:rFonts w:ascii="宋体" w:hAnsi="宋体"/>
          <w:sz w:val="24"/>
          <w:highlight w:val="none"/>
        </w:rPr>
      </w:pPr>
    </w:p>
    <w:p>
      <w:pPr>
        <w:pStyle w:val="5"/>
        <w:numPr>
          <w:ilvl w:val="0"/>
          <w:numId w:val="8"/>
        </w:numPr>
        <w:ind w:left="1"/>
        <w:jc w:val="center"/>
        <w:rPr>
          <w:rFonts w:ascii="宋体" w:hAnsi="宋体" w:eastAsia="宋体"/>
          <w:sz w:val="24"/>
          <w:szCs w:val="24"/>
          <w:highlight w:val="none"/>
        </w:rPr>
      </w:pPr>
      <w:r>
        <w:rPr>
          <w:rFonts w:hint="eastAsia" w:ascii="宋体" w:hAnsi="宋体" w:eastAsia="宋体"/>
          <w:sz w:val="24"/>
          <w:szCs w:val="24"/>
          <w:highlight w:val="none"/>
        </w:rPr>
        <w:t>售后服务及优惠条件</w:t>
      </w:r>
      <w:bookmarkEnd w:id="101"/>
    </w:p>
    <w:p>
      <w:pPr>
        <w:pStyle w:val="37"/>
        <w:adjustRightInd w:val="0"/>
        <w:snapToGrid w:val="0"/>
        <w:spacing w:line="360" w:lineRule="auto"/>
        <w:jc w:val="center"/>
        <w:rPr>
          <w:rFonts w:cs="Times New Roman"/>
          <w:highlight w:val="none"/>
        </w:rPr>
      </w:pPr>
      <w:r>
        <w:rPr>
          <w:rFonts w:hint="eastAsia" w:cs="Times New Roman"/>
          <w:highlight w:val="none"/>
        </w:rPr>
        <w:t>结合自身情况自行编写格式自拟。</w:t>
      </w:r>
    </w:p>
    <w:p>
      <w:pPr>
        <w:spacing w:line="360" w:lineRule="auto"/>
        <w:ind w:firstLine="480" w:firstLineChars="200"/>
        <w:rPr>
          <w:rFonts w:ascii="宋体" w:hAnsi="宋体"/>
          <w:bCs/>
          <w:iCs/>
          <w:sz w:val="24"/>
          <w:highlight w:val="none"/>
        </w:rPr>
      </w:pPr>
    </w:p>
    <w:p>
      <w:pPr>
        <w:spacing w:line="360" w:lineRule="auto"/>
        <w:rPr>
          <w:rFonts w:ascii="宋体" w:hAnsi="宋体"/>
          <w:highlight w:val="none"/>
        </w:rPr>
      </w:pPr>
      <w:r>
        <w:rPr>
          <w:rFonts w:ascii="宋体" w:hAnsi="宋体"/>
          <w:bCs/>
          <w:iCs/>
          <w:sz w:val="24"/>
          <w:highlight w:val="none"/>
        </w:rPr>
        <w:br w:type="page"/>
      </w:r>
    </w:p>
    <w:bookmarkEnd w:id="100"/>
    <w:p>
      <w:pPr>
        <w:pStyle w:val="5"/>
        <w:ind w:left="1"/>
        <w:jc w:val="center"/>
        <w:rPr>
          <w:rFonts w:ascii="宋体" w:hAnsi="宋体" w:eastAsia="宋体"/>
          <w:sz w:val="24"/>
          <w:szCs w:val="24"/>
          <w:highlight w:val="none"/>
        </w:rPr>
      </w:pPr>
      <w:bookmarkStart w:id="104" w:name="_Toc530142477"/>
      <w:bookmarkStart w:id="105" w:name="_Toc27733"/>
      <w:bookmarkStart w:id="106" w:name="_Toc487727874"/>
      <w:bookmarkStart w:id="107" w:name="_Toc491080984"/>
      <w:r>
        <w:rPr>
          <w:rFonts w:hint="eastAsia" w:ascii="宋体" w:hAnsi="宋体" w:eastAsia="宋体"/>
          <w:sz w:val="24"/>
          <w:szCs w:val="24"/>
          <w:highlight w:val="none"/>
        </w:rPr>
        <w:t>十、中小微企业声明函</w:t>
      </w:r>
      <w:bookmarkEnd w:id="104"/>
      <w:bookmarkEnd w:id="105"/>
    </w:p>
    <w:p>
      <w:pPr>
        <w:spacing w:line="360" w:lineRule="auto"/>
        <w:ind w:firstLine="420"/>
        <w:jc w:val="center"/>
        <w:rPr>
          <w:rFonts w:ascii="宋体" w:hAnsi="宋体" w:cs="宋体"/>
          <w:b/>
          <w:bCs/>
          <w:sz w:val="24"/>
          <w:highlight w:val="none"/>
        </w:rPr>
      </w:pPr>
      <w:r>
        <w:rPr>
          <w:rFonts w:ascii="宋体" w:hAnsi="宋体" w:cs="宋体"/>
          <w:b/>
          <w:bCs/>
          <w:sz w:val="24"/>
          <w:highlight w:val="none"/>
        </w:rPr>
        <w:t>中小企业声明函（工程、服务）</w:t>
      </w:r>
    </w:p>
    <w:p>
      <w:pPr>
        <w:spacing w:line="360" w:lineRule="auto"/>
        <w:ind w:firstLine="480" w:firstLineChars="200"/>
        <w:rPr>
          <w:rFonts w:ascii="宋体" w:hAnsi="宋体" w:cs="宋体"/>
          <w:sz w:val="24"/>
          <w:highlight w:val="none"/>
        </w:rPr>
      </w:pPr>
      <w:r>
        <w:rPr>
          <w:rFonts w:ascii="宋体" w:hAnsi="宋体" w:cs="宋体"/>
          <w:sz w:val="24"/>
          <w:highlight w:val="none"/>
        </w:rPr>
        <w:t>本公司（联合体）郑重声明，根据《政府采购促进中小企业发展管理办法》（财库﹝2020﹞46 号）的规定，本公司（联合体）参加</w:t>
      </w:r>
      <w:r>
        <w:rPr>
          <w:rFonts w:ascii="宋体" w:hAnsi="宋体" w:cs="宋体"/>
          <w:sz w:val="24"/>
          <w:highlight w:val="none"/>
          <w:u w:val="single"/>
        </w:rPr>
        <w:t>（单位名称）</w:t>
      </w:r>
      <w:r>
        <w:rPr>
          <w:rFonts w:ascii="宋体" w:hAnsi="宋体" w:cs="宋体"/>
          <w:sz w:val="24"/>
          <w:highlight w:val="none"/>
        </w:rPr>
        <w:t>的</w:t>
      </w:r>
      <w:r>
        <w:rPr>
          <w:rFonts w:ascii="宋体" w:hAnsi="宋体" w:cs="宋体"/>
          <w:sz w:val="24"/>
          <w:highlight w:val="none"/>
          <w:u w:val="single"/>
        </w:rPr>
        <w:t>（项目名称）</w:t>
      </w:r>
      <w:r>
        <w:rPr>
          <w:rFonts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9"/>
        </w:numPr>
        <w:spacing w:line="360" w:lineRule="auto"/>
        <w:ind w:firstLine="480" w:firstLineChars="20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ascii="宋体" w:hAnsi="宋体" w:cs="宋体"/>
          <w:sz w:val="24"/>
          <w:highlight w:val="none"/>
          <w:u w:val="single"/>
        </w:rPr>
        <w:t>（采购文件中明确的所属行业）</w:t>
      </w:r>
      <w:r>
        <w:rPr>
          <w:rFonts w:ascii="宋体" w:hAnsi="宋体" w:cs="宋体"/>
          <w:sz w:val="24"/>
          <w:highlight w:val="none"/>
        </w:rPr>
        <w:t>；承建（承接）企业为</w:t>
      </w:r>
      <w:r>
        <w:rPr>
          <w:rFonts w:ascii="宋体" w:hAnsi="宋体" w:cs="宋体"/>
          <w:sz w:val="24"/>
          <w:highlight w:val="none"/>
          <w:u w:val="single"/>
        </w:rPr>
        <w:t>（企业名称）</w:t>
      </w:r>
      <w:r>
        <w:rPr>
          <w:rFonts w:ascii="宋体" w:hAnsi="宋体" w:cs="宋体"/>
          <w:sz w:val="24"/>
          <w:highlight w:val="none"/>
        </w:rPr>
        <w:t>，从业人员人，营业收入为万元，资产总额为万元，属于</w:t>
      </w:r>
      <w:r>
        <w:rPr>
          <w:rFonts w:ascii="宋体" w:hAnsi="宋体" w:cs="宋体"/>
          <w:sz w:val="24"/>
          <w:highlight w:val="none"/>
          <w:u w:val="single"/>
        </w:rPr>
        <w:t>（中型企业、小型企业、微型企 业）</w:t>
      </w:r>
      <w:r>
        <w:rPr>
          <w:rFonts w:ascii="宋体" w:hAnsi="宋体" w:cs="宋体"/>
          <w:sz w:val="24"/>
          <w:highlight w:val="none"/>
        </w:rPr>
        <w:t>；</w:t>
      </w:r>
    </w:p>
    <w:p>
      <w:pPr>
        <w:numPr>
          <w:ilvl w:val="0"/>
          <w:numId w:val="9"/>
        </w:numPr>
        <w:spacing w:line="360" w:lineRule="auto"/>
        <w:ind w:firstLine="480" w:firstLineChars="200"/>
        <w:rPr>
          <w:rFonts w:ascii="宋体" w:hAnsi="宋体" w:cs="宋体"/>
          <w:sz w:val="24"/>
          <w:highlight w:val="none"/>
        </w:rPr>
      </w:pPr>
      <w:r>
        <w:rPr>
          <w:rFonts w:ascii="宋体" w:hAnsi="宋体" w:cs="宋体"/>
          <w:sz w:val="24"/>
          <w:highlight w:val="none"/>
          <w:u w:val="single"/>
        </w:rPr>
        <w:t xml:space="preserve">（标的名称） </w:t>
      </w:r>
      <w:r>
        <w:rPr>
          <w:rFonts w:ascii="宋体" w:hAnsi="宋体" w:cs="宋体"/>
          <w:sz w:val="24"/>
          <w:highlight w:val="none"/>
        </w:rPr>
        <w:t>，属于</w:t>
      </w:r>
      <w:r>
        <w:rPr>
          <w:rFonts w:ascii="宋体" w:hAnsi="宋体" w:cs="宋体"/>
          <w:sz w:val="24"/>
          <w:highlight w:val="none"/>
          <w:u w:val="single"/>
        </w:rPr>
        <w:t>（采购文件中明确的所属行业）</w:t>
      </w:r>
      <w:r>
        <w:rPr>
          <w:rFonts w:ascii="宋体" w:hAnsi="宋体" w:cs="宋体"/>
          <w:sz w:val="24"/>
          <w:highlight w:val="none"/>
        </w:rPr>
        <w:t>；承建（承接）企业为</w:t>
      </w:r>
      <w:r>
        <w:rPr>
          <w:rFonts w:ascii="宋体" w:hAnsi="宋体" w:cs="宋体"/>
          <w:sz w:val="24"/>
          <w:highlight w:val="none"/>
          <w:u w:val="single"/>
        </w:rPr>
        <w:t>（企业名称）</w:t>
      </w:r>
      <w:r>
        <w:rPr>
          <w:rFonts w:ascii="宋体" w:hAnsi="宋体" w:cs="宋体"/>
          <w:sz w:val="24"/>
          <w:highlight w:val="none"/>
        </w:rPr>
        <w:t>，从业人员人，营业收入为万元，资产总额为万元，属于</w:t>
      </w:r>
      <w:r>
        <w:rPr>
          <w:rFonts w:ascii="宋体" w:hAnsi="宋体" w:cs="宋体"/>
          <w:sz w:val="24"/>
          <w:highlight w:val="none"/>
          <w:u w:val="single"/>
        </w:rPr>
        <w:t>（中型企业、小型企业、微型企 业）</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以上企业，不属于大企业的分支机构，不存在控股股东为大企业的情形，也不存在与大企业的负责 人为同一人的情形。 </w:t>
      </w:r>
    </w:p>
    <w:p>
      <w:pPr>
        <w:spacing w:line="360" w:lineRule="auto"/>
        <w:ind w:firstLine="480" w:firstLineChars="200"/>
        <w:rPr>
          <w:rFonts w:ascii="宋体" w:hAnsi="宋体" w:cs="宋体"/>
          <w:sz w:val="24"/>
          <w:highlight w:val="none"/>
        </w:rPr>
      </w:pPr>
      <w:r>
        <w:rPr>
          <w:rFonts w:ascii="宋体" w:hAnsi="宋体" w:cs="宋体"/>
          <w:sz w:val="24"/>
          <w:highlight w:val="none"/>
        </w:rPr>
        <w:t>本企业对上述声明内容的真实性负责。如有虚假，将依法承担相应责任。</w:t>
      </w:r>
    </w:p>
    <w:p>
      <w:pPr>
        <w:tabs>
          <w:tab w:val="left" w:pos="4860"/>
        </w:tabs>
        <w:spacing w:line="588" w:lineRule="exact"/>
        <w:ind w:right="1560" w:firstLine="480" w:firstLineChars="200"/>
        <w:jc w:val="right"/>
        <w:rPr>
          <w:rFonts w:ascii="宋体" w:hAnsi="宋体" w:cs="宋体"/>
          <w:sz w:val="24"/>
          <w:highlight w:val="none"/>
        </w:rPr>
      </w:pPr>
    </w:p>
    <w:p>
      <w:pPr>
        <w:tabs>
          <w:tab w:val="left" w:pos="4860"/>
        </w:tabs>
        <w:spacing w:line="588" w:lineRule="exact"/>
        <w:ind w:right="1560" w:firstLine="480" w:firstLineChars="200"/>
        <w:jc w:val="right"/>
        <w:rPr>
          <w:rFonts w:ascii="宋体" w:hAnsi="宋体" w:cs="宋体"/>
          <w:sz w:val="24"/>
          <w:highlight w:val="none"/>
        </w:rPr>
      </w:pPr>
      <w:r>
        <w:rPr>
          <w:rFonts w:ascii="宋体" w:hAnsi="宋体" w:cs="宋体"/>
          <w:sz w:val="24"/>
          <w:highlight w:val="none"/>
        </w:rPr>
        <w:t>供应商名称（企业电子签章或公章）：</w:t>
      </w:r>
    </w:p>
    <w:p>
      <w:pPr>
        <w:tabs>
          <w:tab w:val="left" w:pos="4860"/>
        </w:tabs>
        <w:spacing w:line="588" w:lineRule="exact"/>
        <w:ind w:right="1560" w:firstLine="480" w:firstLineChars="200"/>
        <w:jc w:val="right"/>
        <w:rPr>
          <w:rFonts w:ascii="宋体" w:hAnsi="宋体"/>
          <w:spacing w:val="6"/>
          <w:sz w:val="24"/>
          <w:highlight w:val="none"/>
        </w:rPr>
      </w:pPr>
      <w:r>
        <w:rPr>
          <w:rFonts w:ascii="宋体" w:hAnsi="宋体" w:cs="宋体"/>
          <w:sz w:val="24"/>
          <w:highlight w:val="none"/>
        </w:rPr>
        <w:t>日 期：</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sz w:val="24"/>
          <w:highlight w:val="none"/>
        </w:rPr>
      </w:pPr>
      <w:r>
        <w:rPr>
          <w:rFonts w:ascii="宋体" w:hAnsi="宋体" w:cs="宋体"/>
          <w:sz w:val="24"/>
          <w:highlight w:val="none"/>
        </w:rPr>
        <w:t>注：1 从业人员、营业收入、资产总额填报上一年度数据，无上一年度数据的新成立企业可不填报。</w:t>
      </w:r>
    </w:p>
    <w:p>
      <w:pPr>
        <w:spacing w:line="588" w:lineRule="exact"/>
        <w:jc w:val="center"/>
        <w:rPr>
          <w:rFonts w:ascii="宋体" w:hAnsi="宋体"/>
          <w:b/>
          <w:spacing w:val="6"/>
          <w:sz w:val="28"/>
          <w:szCs w:val="28"/>
          <w:highlight w:val="none"/>
        </w:rPr>
      </w:pPr>
      <w:bookmarkStart w:id="108" w:name="OLE_LINK14"/>
      <w:bookmarkStart w:id="109" w:name="OLE_LINK13"/>
      <w:r>
        <w:rPr>
          <w:rFonts w:hint="eastAsia" w:ascii="宋体" w:hAnsi="宋体"/>
          <w:b/>
          <w:spacing w:val="6"/>
          <w:sz w:val="28"/>
          <w:szCs w:val="28"/>
          <w:highlight w:val="none"/>
        </w:rPr>
        <w:t>残疾人福利性单位声明函</w:t>
      </w:r>
    </w:p>
    <w:bookmarkEnd w:id="108"/>
    <w:bookmarkEnd w:id="109"/>
    <w:p>
      <w:pPr>
        <w:spacing w:line="588" w:lineRule="exact"/>
        <w:rPr>
          <w:rFonts w:ascii="宋体" w:hAnsi="宋体"/>
          <w:b/>
          <w:spacing w:val="6"/>
          <w:sz w:val="24"/>
          <w:highlight w:val="none"/>
        </w:rPr>
      </w:pP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w:t>
      </w:r>
      <w:r>
        <w:rPr>
          <w:rFonts w:hint="eastAsia" w:ascii="宋体" w:hAnsi="宋体"/>
          <w:sz w:val="24"/>
          <w:highlight w:val="none"/>
        </w:rPr>
        <w:t>〔2017〕 141</w:t>
      </w:r>
      <w:r>
        <w:rPr>
          <w:rFonts w:hint="eastAsia" w:ascii="宋体" w:hAnsi="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588" w:lineRule="exact"/>
        <w:ind w:firstLine="504" w:firstLineChars="200"/>
        <w:rPr>
          <w:rFonts w:ascii="宋体" w:hAnsi="宋体"/>
          <w:spacing w:val="6"/>
          <w:sz w:val="24"/>
          <w:highlight w:val="none"/>
        </w:rPr>
      </w:pPr>
    </w:p>
    <w:p>
      <w:pPr>
        <w:spacing w:line="588" w:lineRule="exact"/>
        <w:ind w:firstLine="504" w:firstLineChars="200"/>
        <w:rPr>
          <w:rFonts w:ascii="宋体" w:hAnsi="宋体"/>
          <w:spacing w:val="6"/>
          <w:sz w:val="24"/>
          <w:highlight w:val="none"/>
        </w:rPr>
      </w:pPr>
    </w:p>
    <w:p>
      <w:pPr>
        <w:tabs>
          <w:tab w:val="left" w:pos="4860"/>
        </w:tabs>
        <w:spacing w:line="588" w:lineRule="exact"/>
        <w:ind w:right="1560" w:firstLine="504" w:firstLineChars="200"/>
        <w:jc w:val="center"/>
        <w:rPr>
          <w:rFonts w:ascii="宋体" w:hAnsi="宋体"/>
          <w:spacing w:val="6"/>
          <w:sz w:val="24"/>
          <w:highlight w:val="none"/>
        </w:rPr>
      </w:pPr>
      <w:r>
        <w:rPr>
          <w:rFonts w:hint="eastAsia" w:ascii="宋体" w:hAnsi="宋体"/>
          <w:spacing w:val="6"/>
          <w:sz w:val="24"/>
          <w:highlight w:val="none"/>
        </w:rPr>
        <w:t xml:space="preserve">               单位名称（盖章）：</w:t>
      </w:r>
    </w:p>
    <w:p>
      <w:pPr>
        <w:tabs>
          <w:tab w:val="left" w:pos="4860"/>
        </w:tabs>
        <w:spacing w:line="588" w:lineRule="exact"/>
        <w:ind w:right="1560" w:firstLine="504" w:firstLineChars="200"/>
        <w:jc w:val="center"/>
        <w:rPr>
          <w:rFonts w:ascii="宋体" w:hAnsi="宋体"/>
          <w:spacing w:val="6"/>
          <w:sz w:val="24"/>
          <w:highlight w:val="none"/>
        </w:rPr>
      </w:pPr>
      <w:r>
        <w:rPr>
          <w:rFonts w:hint="eastAsia" w:ascii="宋体" w:hAnsi="宋体"/>
          <w:spacing w:val="6"/>
          <w:sz w:val="24"/>
          <w:highlight w:val="none"/>
        </w:rPr>
        <w:t xml:space="preserve">       日  期：</w:t>
      </w:r>
    </w:p>
    <w:p>
      <w:pPr>
        <w:rPr>
          <w:rFonts w:ascii="宋体" w:hAnsi="宋体"/>
          <w:spacing w:val="6"/>
          <w:sz w:val="24"/>
          <w:highlight w:val="none"/>
        </w:rPr>
      </w:pPr>
      <w:r>
        <w:rPr>
          <w:rFonts w:hint="eastAsia" w:ascii="宋体" w:hAnsi="宋体"/>
          <w:spacing w:val="6"/>
          <w:sz w:val="24"/>
          <w:highlight w:val="none"/>
        </w:rPr>
        <w:br w:type="page"/>
      </w:r>
    </w:p>
    <w:p>
      <w:pPr>
        <w:spacing w:line="640" w:lineRule="exact"/>
        <w:ind w:firstLine="482" w:firstLineChars="200"/>
        <w:jc w:val="center"/>
        <w:rPr>
          <w:rFonts w:ascii="宋体" w:hAnsi="宋体" w:cs="宋体"/>
          <w:b/>
          <w:bCs/>
          <w:sz w:val="24"/>
          <w:highlight w:val="none"/>
        </w:rPr>
      </w:pPr>
      <w:r>
        <w:rPr>
          <w:rFonts w:ascii="宋体" w:hAnsi="宋体" w:cs="宋体"/>
          <w:b/>
          <w:bCs/>
          <w:sz w:val="24"/>
          <w:highlight w:val="none"/>
        </w:rPr>
        <w:t>监狱企业证明材料（如有）</w:t>
      </w:r>
    </w:p>
    <w:p>
      <w:pPr>
        <w:spacing w:line="640" w:lineRule="exact"/>
        <w:ind w:firstLine="480" w:firstLineChars="200"/>
        <w:rPr>
          <w:rFonts w:ascii="宋体" w:hAnsi="宋体"/>
          <w:sz w:val="24"/>
          <w:highlight w:val="none"/>
        </w:rPr>
      </w:pPr>
      <w:r>
        <w:rPr>
          <w:rFonts w:ascii="宋体" w:hAnsi="宋体" w:cs="宋体"/>
          <w:sz w:val="24"/>
          <w:highlight w:val="none"/>
        </w:rPr>
        <w:t>由投标人提供由省级以上监狱管理局、戒毒管理局（含新疆生产建设兵团）出具的属于监狱企业的证明文件</w:t>
      </w:r>
      <w:r>
        <w:rPr>
          <w:rFonts w:hint="eastAsia" w:ascii="宋体" w:hAnsi="宋体" w:cs="宋体"/>
          <w:sz w:val="24"/>
          <w:highlight w:val="none"/>
        </w:rPr>
        <w:t>。</w:t>
      </w:r>
    </w:p>
    <w:p>
      <w:pPr>
        <w:spacing w:line="520" w:lineRule="exact"/>
        <w:ind w:firstLine="420"/>
        <w:rPr>
          <w:rFonts w:ascii="宋体" w:hAnsi="宋体"/>
          <w:sz w:val="24"/>
          <w:highlight w:val="none"/>
        </w:rPr>
      </w:pPr>
    </w:p>
    <w:p>
      <w:pPr>
        <w:widowControl/>
        <w:spacing w:line="360" w:lineRule="auto"/>
        <w:ind w:firstLine="420"/>
        <w:jc w:val="center"/>
        <w:outlineLvl w:val="1"/>
        <w:rPr>
          <w:b/>
          <w:sz w:val="28"/>
          <w:szCs w:val="28"/>
          <w:highlight w:val="none"/>
        </w:rPr>
      </w:pPr>
      <w:r>
        <w:rPr>
          <w:rFonts w:ascii="宋体" w:hAnsi="宋体"/>
          <w:sz w:val="24"/>
          <w:highlight w:val="none"/>
        </w:rPr>
        <w:br w:type="page"/>
      </w:r>
      <w:bookmarkStart w:id="110" w:name="_Toc4009"/>
      <w:bookmarkStart w:id="111" w:name="_Toc15802"/>
      <w:bookmarkStart w:id="112" w:name="_Toc530142478"/>
      <w:r>
        <w:rPr>
          <w:rFonts w:hint="eastAsia"/>
          <w:b/>
          <w:sz w:val="28"/>
          <w:szCs w:val="28"/>
          <w:highlight w:val="none"/>
        </w:rPr>
        <w:t>十一、产品适用政府采购政策情况表</w:t>
      </w:r>
      <w:bookmarkEnd w:id="110"/>
      <w:bookmarkEnd w:id="111"/>
    </w:p>
    <w:p>
      <w:pPr>
        <w:spacing w:line="360" w:lineRule="auto"/>
        <w:jc w:val="center"/>
        <w:rPr>
          <w:highlight w:val="none"/>
        </w:rPr>
      </w:pPr>
      <w:r>
        <w:rPr>
          <w:rFonts w:hint="eastAsia"/>
          <w:highlight w:val="none"/>
        </w:rPr>
        <w:t>（若有以下情形的投标人应填写此表，若无以下情形的投标人无需填写或不提供此表）</w:t>
      </w:r>
    </w:p>
    <w:tbl>
      <w:tblPr>
        <w:tblStyle w:val="42"/>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880"/>
        <w:gridCol w:w="10"/>
        <w:gridCol w:w="10"/>
        <w:gridCol w:w="1018"/>
        <w:gridCol w:w="1190"/>
        <w:gridCol w:w="1470"/>
        <w:gridCol w:w="20"/>
        <w:gridCol w:w="40"/>
        <w:gridCol w:w="40"/>
        <w:gridCol w:w="781"/>
        <w:gridCol w:w="49"/>
        <w:gridCol w:w="30"/>
        <w:gridCol w:w="10"/>
        <w:gridCol w:w="90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24" w:type="dxa"/>
            <w:vMerge w:val="restart"/>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小微企业扶持政策</w:t>
            </w:r>
          </w:p>
        </w:tc>
        <w:tc>
          <w:tcPr>
            <w:tcW w:w="8928" w:type="dxa"/>
            <w:gridSpan w:val="15"/>
            <w:vAlign w:val="center"/>
          </w:tcPr>
          <w:p>
            <w:pPr>
              <w:pStyle w:val="131"/>
              <w:tabs>
                <w:tab w:val="left" w:pos="1260"/>
              </w:tabs>
              <w:spacing w:line="380" w:lineRule="exact"/>
              <w:rPr>
                <w:rFonts w:ascii="宋体" w:hAnsi="宋体"/>
                <w:highlight w:val="none"/>
                <w:lang w:val="en-GB"/>
              </w:rPr>
            </w:pPr>
            <w:r>
              <w:rPr>
                <w:rFonts w:hint="eastAsia" w:ascii="宋体" w:hAnsi="宋体"/>
                <w:highlight w:val="none"/>
                <w:lang w:val="en-GB"/>
              </w:rPr>
              <w:t>如属所列情形的，请在括号内打“√”：</w:t>
            </w:r>
          </w:p>
          <w:p>
            <w:pPr>
              <w:pStyle w:val="131"/>
              <w:tabs>
                <w:tab w:val="left" w:pos="1260"/>
              </w:tabs>
              <w:spacing w:line="380" w:lineRule="exact"/>
              <w:rPr>
                <w:rFonts w:ascii="宋体" w:hAnsi="宋体"/>
                <w:highlight w:val="none"/>
                <w:lang w:val="en-GB"/>
              </w:rPr>
            </w:pPr>
            <w:r>
              <w:rPr>
                <w:rFonts w:hint="eastAsia" w:ascii="宋体" w:hAnsi="宋体"/>
                <w:highlight w:val="none"/>
                <w:lang w:val="en-GB"/>
              </w:rPr>
              <w:t>（  ）小型、微型企业参加投标且提供本企业制造的产品。</w:t>
            </w:r>
          </w:p>
          <w:p>
            <w:pPr>
              <w:pStyle w:val="131"/>
              <w:tabs>
                <w:tab w:val="left" w:pos="1260"/>
              </w:tabs>
              <w:spacing w:line="380" w:lineRule="exact"/>
              <w:rPr>
                <w:rFonts w:ascii="宋体" w:hAnsi="宋体"/>
                <w:highlight w:val="none"/>
                <w:lang w:val="en-GB"/>
              </w:rPr>
            </w:pPr>
            <w:r>
              <w:rPr>
                <w:rFonts w:hint="eastAsia" w:ascii="宋体" w:hAnsi="宋体"/>
                <w:highlight w:val="none"/>
                <w:lang w:val="en-GB"/>
              </w:rPr>
              <w:t>（  ）小微企业参加投标且提供其它小型、微型企业产品。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1880"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小微企业产品名称</w:t>
            </w:r>
          </w:p>
        </w:tc>
        <w:tc>
          <w:tcPr>
            <w:tcW w:w="1038" w:type="dxa"/>
            <w:gridSpan w:val="3"/>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品牌、型号</w:t>
            </w:r>
          </w:p>
        </w:tc>
        <w:tc>
          <w:tcPr>
            <w:tcW w:w="1190"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制造商</w:t>
            </w:r>
          </w:p>
        </w:tc>
        <w:tc>
          <w:tcPr>
            <w:tcW w:w="1470"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制造商类型</w:t>
            </w:r>
            <w:r>
              <w:rPr>
                <w:rFonts w:hint="eastAsia" w:ascii="宋体" w:hAnsi="宋体"/>
                <w:highlight w:val="none"/>
              </w:rPr>
              <w:t>（填小型/微型/监狱/残疾人福利性单位）</w:t>
            </w:r>
          </w:p>
        </w:tc>
        <w:tc>
          <w:tcPr>
            <w:tcW w:w="881" w:type="dxa"/>
            <w:gridSpan w:val="4"/>
            <w:vAlign w:val="center"/>
          </w:tcPr>
          <w:p>
            <w:pPr>
              <w:spacing w:line="380" w:lineRule="exact"/>
              <w:jc w:val="center"/>
              <w:rPr>
                <w:highlight w:val="none"/>
              </w:rPr>
            </w:pPr>
            <w:r>
              <w:rPr>
                <w:rFonts w:hint="eastAsia"/>
                <w:highlight w:val="none"/>
              </w:rPr>
              <w:t>数量</w:t>
            </w:r>
          </w:p>
        </w:tc>
        <w:tc>
          <w:tcPr>
            <w:tcW w:w="992" w:type="dxa"/>
            <w:gridSpan w:val="4"/>
            <w:vAlign w:val="center"/>
          </w:tcPr>
          <w:p>
            <w:pPr>
              <w:spacing w:line="380" w:lineRule="exact"/>
              <w:jc w:val="center"/>
              <w:rPr>
                <w:highlight w:val="none"/>
              </w:rPr>
            </w:pPr>
            <w:r>
              <w:rPr>
                <w:rFonts w:hint="eastAsia"/>
                <w:highlight w:val="none"/>
              </w:rPr>
              <w:t>单价</w:t>
            </w:r>
            <w:r>
              <w:rPr>
                <w:rFonts w:hint="eastAsia" w:ascii="宋体" w:hAnsi="宋体"/>
                <w:highlight w:val="none"/>
                <w:lang w:val="en-GB"/>
              </w:rPr>
              <w:t>（元）</w:t>
            </w:r>
          </w:p>
        </w:tc>
        <w:tc>
          <w:tcPr>
            <w:tcW w:w="1477"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1880" w:type="dxa"/>
            <w:vAlign w:val="center"/>
          </w:tcPr>
          <w:p>
            <w:pPr>
              <w:pStyle w:val="131"/>
              <w:tabs>
                <w:tab w:val="left" w:pos="1260"/>
              </w:tabs>
              <w:spacing w:line="380" w:lineRule="exact"/>
              <w:jc w:val="center"/>
              <w:rPr>
                <w:rFonts w:ascii="宋体" w:hAnsi="宋体"/>
                <w:highlight w:val="none"/>
                <w:lang w:val="en-GB"/>
              </w:rPr>
            </w:pPr>
          </w:p>
        </w:tc>
        <w:tc>
          <w:tcPr>
            <w:tcW w:w="1038" w:type="dxa"/>
            <w:gridSpan w:val="3"/>
            <w:vAlign w:val="center"/>
          </w:tcPr>
          <w:p>
            <w:pPr>
              <w:pStyle w:val="131"/>
              <w:tabs>
                <w:tab w:val="left" w:pos="1260"/>
              </w:tabs>
              <w:spacing w:line="380" w:lineRule="exact"/>
              <w:jc w:val="center"/>
              <w:rPr>
                <w:rFonts w:ascii="宋体" w:hAnsi="宋体"/>
                <w:highlight w:val="none"/>
                <w:lang w:val="en-GB"/>
              </w:rPr>
            </w:pPr>
          </w:p>
        </w:tc>
        <w:tc>
          <w:tcPr>
            <w:tcW w:w="1190" w:type="dxa"/>
            <w:vAlign w:val="center"/>
          </w:tcPr>
          <w:p>
            <w:pPr>
              <w:pStyle w:val="131"/>
              <w:tabs>
                <w:tab w:val="left" w:pos="1260"/>
              </w:tabs>
              <w:spacing w:line="380" w:lineRule="exact"/>
              <w:jc w:val="center"/>
              <w:rPr>
                <w:rFonts w:ascii="宋体" w:hAnsi="宋体"/>
                <w:highlight w:val="none"/>
                <w:lang w:val="en-GB"/>
              </w:rPr>
            </w:pPr>
          </w:p>
        </w:tc>
        <w:tc>
          <w:tcPr>
            <w:tcW w:w="1470" w:type="dxa"/>
            <w:vAlign w:val="center"/>
          </w:tcPr>
          <w:p>
            <w:pPr>
              <w:pStyle w:val="131"/>
              <w:tabs>
                <w:tab w:val="left" w:pos="1260"/>
              </w:tabs>
              <w:spacing w:line="380" w:lineRule="exact"/>
              <w:jc w:val="center"/>
              <w:rPr>
                <w:rFonts w:ascii="宋体" w:hAnsi="宋体"/>
                <w:highlight w:val="none"/>
                <w:lang w:val="en-GB"/>
              </w:rPr>
            </w:pPr>
          </w:p>
        </w:tc>
        <w:tc>
          <w:tcPr>
            <w:tcW w:w="881" w:type="dxa"/>
            <w:gridSpan w:val="4"/>
            <w:vAlign w:val="center"/>
          </w:tcPr>
          <w:p>
            <w:pPr>
              <w:pStyle w:val="131"/>
              <w:tabs>
                <w:tab w:val="left" w:pos="1260"/>
              </w:tabs>
              <w:spacing w:line="380" w:lineRule="exact"/>
              <w:jc w:val="center"/>
              <w:rPr>
                <w:rFonts w:ascii="宋体" w:hAnsi="宋体"/>
                <w:highlight w:val="none"/>
                <w:lang w:val="en-GB"/>
              </w:rPr>
            </w:pPr>
          </w:p>
        </w:tc>
        <w:tc>
          <w:tcPr>
            <w:tcW w:w="992" w:type="dxa"/>
            <w:gridSpan w:val="4"/>
            <w:vAlign w:val="center"/>
          </w:tcPr>
          <w:p>
            <w:pPr>
              <w:pStyle w:val="131"/>
              <w:tabs>
                <w:tab w:val="left" w:pos="1260"/>
              </w:tabs>
              <w:spacing w:line="380" w:lineRule="exact"/>
              <w:jc w:val="center"/>
              <w:rPr>
                <w:rFonts w:ascii="宋体" w:hAnsi="宋体"/>
                <w:highlight w:val="none"/>
                <w:lang w:val="en-GB"/>
              </w:rPr>
            </w:pP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1880" w:type="dxa"/>
            <w:vAlign w:val="center"/>
          </w:tcPr>
          <w:p>
            <w:pPr>
              <w:pStyle w:val="131"/>
              <w:tabs>
                <w:tab w:val="left" w:pos="1260"/>
              </w:tabs>
              <w:spacing w:line="380" w:lineRule="exact"/>
              <w:jc w:val="center"/>
              <w:rPr>
                <w:rFonts w:ascii="宋体" w:hAnsi="宋体"/>
                <w:highlight w:val="none"/>
                <w:lang w:val="en-GB"/>
              </w:rPr>
            </w:pPr>
          </w:p>
        </w:tc>
        <w:tc>
          <w:tcPr>
            <w:tcW w:w="1038" w:type="dxa"/>
            <w:gridSpan w:val="3"/>
            <w:vAlign w:val="center"/>
          </w:tcPr>
          <w:p>
            <w:pPr>
              <w:pStyle w:val="131"/>
              <w:tabs>
                <w:tab w:val="left" w:pos="1260"/>
              </w:tabs>
              <w:spacing w:line="380" w:lineRule="exact"/>
              <w:jc w:val="center"/>
              <w:rPr>
                <w:rFonts w:ascii="宋体" w:hAnsi="宋体"/>
                <w:highlight w:val="none"/>
                <w:lang w:val="en-GB"/>
              </w:rPr>
            </w:pPr>
          </w:p>
        </w:tc>
        <w:tc>
          <w:tcPr>
            <w:tcW w:w="1190" w:type="dxa"/>
            <w:vAlign w:val="center"/>
          </w:tcPr>
          <w:p>
            <w:pPr>
              <w:pStyle w:val="131"/>
              <w:tabs>
                <w:tab w:val="left" w:pos="1260"/>
              </w:tabs>
              <w:spacing w:line="380" w:lineRule="exact"/>
              <w:jc w:val="center"/>
              <w:rPr>
                <w:rFonts w:ascii="宋体" w:hAnsi="宋体"/>
                <w:highlight w:val="none"/>
                <w:lang w:val="en-GB"/>
              </w:rPr>
            </w:pPr>
          </w:p>
        </w:tc>
        <w:tc>
          <w:tcPr>
            <w:tcW w:w="1470" w:type="dxa"/>
            <w:vAlign w:val="center"/>
          </w:tcPr>
          <w:p>
            <w:pPr>
              <w:pStyle w:val="131"/>
              <w:tabs>
                <w:tab w:val="left" w:pos="1260"/>
              </w:tabs>
              <w:spacing w:line="380" w:lineRule="exact"/>
              <w:jc w:val="center"/>
              <w:rPr>
                <w:rFonts w:ascii="宋体" w:hAnsi="宋体"/>
                <w:highlight w:val="none"/>
                <w:lang w:val="en-GB"/>
              </w:rPr>
            </w:pPr>
          </w:p>
        </w:tc>
        <w:tc>
          <w:tcPr>
            <w:tcW w:w="881" w:type="dxa"/>
            <w:gridSpan w:val="4"/>
            <w:vAlign w:val="center"/>
          </w:tcPr>
          <w:p>
            <w:pPr>
              <w:pStyle w:val="131"/>
              <w:tabs>
                <w:tab w:val="left" w:pos="1260"/>
              </w:tabs>
              <w:spacing w:line="380" w:lineRule="exact"/>
              <w:jc w:val="center"/>
              <w:rPr>
                <w:rFonts w:ascii="宋体" w:hAnsi="宋体"/>
                <w:highlight w:val="none"/>
                <w:lang w:val="en-GB"/>
              </w:rPr>
            </w:pPr>
          </w:p>
        </w:tc>
        <w:tc>
          <w:tcPr>
            <w:tcW w:w="992" w:type="dxa"/>
            <w:gridSpan w:val="4"/>
            <w:vAlign w:val="center"/>
          </w:tcPr>
          <w:p>
            <w:pPr>
              <w:pStyle w:val="131"/>
              <w:tabs>
                <w:tab w:val="left" w:pos="1260"/>
              </w:tabs>
              <w:spacing w:line="380" w:lineRule="exact"/>
              <w:jc w:val="center"/>
              <w:rPr>
                <w:rFonts w:ascii="宋体" w:hAnsi="宋体"/>
                <w:highlight w:val="none"/>
                <w:lang w:val="en-GB"/>
              </w:rPr>
            </w:pP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7451" w:type="dxa"/>
            <w:gridSpan w:val="14"/>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小型、微型企业产品金额总计（元）</w:t>
            </w: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24" w:type="dxa"/>
            <w:vMerge w:val="restart"/>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节能产品</w:t>
            </w:r>
          </w:p>
        </w:tc>
        <w:tc>
          <w:tcPr>
            <w:tcW w:w="1900" w:type="dxa"/>
            <w:gridSpan w:val="3"/>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1、强制采购</w:t>
            </w:r>
          </w:p>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节能产品名称</w:t>
            </w:r>
          </w:p>
        </w:tc>
        <w:tc>
          <w:tcPr>
            <w:tcW w:w="1018"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品牌、型号</w:t>
            </w:r>
          </w:p>
        </w:tc>
        <w:tc>
          <w:tcPr>
            <w:tcW w:w="1190"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制造商</w:t>
            </w:r>
          </w:p>
        </w:tc>
        <w:tc>
          <w:tcPr>
            <w:tcW w:w="1490" w:type="dxa"/>
            <w:gridSpan w:val="2"/>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认证证书编号</w:t>
            </w:r>
          </w:p>
        </w:tc>
        <w:tc>
          <w:tcPr>
            <w:tcW w:w="910" w:type="dxa"/>
            <w:gridSpan w:val="4"/>
            <w:vAlign w:val="center"/>
          </w:tcPr>
          <w:p>
            <w:pPr>
              <w:spacing w:line="380" w:lineRule="exact"/>
              <w:jc w:val="center"/>
              <w:rPr>
                <w:highlight w:val="none"/>
              </w:rPr>
            </w:pPr>
            <w:r>
              <w:rPr>
                <w:rFonts w:hint="eastAsia"/>
                <w:highlight w:val="none"/>
              </w:rPr>
              <w:t>数量</w:t>
            </w:r>
          </w:p>
        </w:tc>
        <w:tc>
          <w:tcPr>
            <w:tcW w:w="943" w:type="dxa"/>
            <w:gridSpan w:val="3"/>
            <w:vAlign w:val="center"/>
          </w:tcPr>
          <w:p>
            <w:pPr>
              <w:spacing w:line="380" w:lineRule="exact"/>
              <w:jc w:val="center"/>
              <w:rPr>
                <w:highlight w:val="none"/>
              </w:rPr>
            </w:pPr>
            <w:r>
              <w:rPr>
                <w:rFonts w:hint="eastAsia"/>
                <w:highlight w:val="none"/>
              </w:rPr>
              <w:t>单价</w:t>
            </w:r>
            <w:r>
              <w:rPr>
                <w:rFonts w:hint="eastAsia" w:ascii="宋体" w:hAnsi="宋体"/>
                <w:highlight w:val="none"/>
                <w:lang w:val="en-GB"/>
              </w:rPr>
              <w:t>（元）</w:t>
            </w:r>
          </w:p>
        </w:tc>
        <w:tc>
          <w:tcPr>
            <w:tcW w:w="1477"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1900" w:type="dxa"/>
            <w:gridSpan w:val="3"/>
            <w:vAlign w:val="center"/>
          </w:tcPr>
          <w:p>
            <w:pPr>
              <w:pStyle w:val="131"/>
              <w:tabs>
                <w:tab w:val="left" w:pos="1260"/>
              </w:tabs>
              <w:spacing w:line="380" w:lineRule="exact"/>
              <w:jc w:val="center"/>
              <w:rPr>
                <w:rFonts w:ascii="宋体" w:hAnsi="宋体"/>
                <w:highlight w:val="none"/>
                <w:lang w:val="en-GB"/>
              </w:rPr>
            </w:pPr>
          </w:p>
        </w:tc>
        <w:tc>
          <w:tcPr>
            <w:tcW w:w="1018" w:type="dxa"/>
            <w:vAlign w:val="center"/>
          </w:tcPr>
          <w:p>
            <w:pPr>
              <w:pStyle w:val="131"/>
              <w:tabs>
                <w:tab w:val="left" w:pos="1260"/>
              </w:tabs>
              <w:spacing w:line="380" w:lineRule="exact"/>
              <w:jc w:val="center"/>
              <w:rPr>
                <w:rFonts w:ascii="宋体" w:hAnsi="宋体"/>
                <w:highlight w:val="none"/>
                <w:lang w:val="en-GB"/>
              </w:rPr>
            </w:pPr>
          </w:p>
        </w:tc>
        <w:tc>
          <w:tcPr>
            <w:tcW w:w="1190" w:type="dxa"/>
            <w:vAlign w:val="center"/>
          </w:tcPr>
          <w:p>
            <w:pPr>
              <w:pStyle w:val="131"/>
              <w:tabs>
                <w:tab w:val="left" w:pos="1260"/>
              </w:tabs>
              <w:spacing w:line="380" w:lineRule="exact"/>
              <w:jc w:val="center"/>
              <w:rPr>
                <w:rFonts w:ascii="宋体" w:hAnsi="宋体"/>
                <w:highlight w:val="none"/>
                <w:lang w:val="en-GB"/>
              </w:rPr>
            </w:pPr>
          </w:p>
        </w:tc>
        <w:tc>
          <w:tcPr>
            <w:tcW w:w="1490" w:type="dxa"/>
            <w:gridSpan w:val="2"/>
            <w:vAlign w:val="center"/>
          </w:tcPr>
          <w:p>
            <w:pPr>
              <w:pStyle w:val="131"/>
              <w:tabs>
                <w:tab w:val="left" w:pos="1260"/>
              </w:tabs>
              <w:spacing w:line="380" w:lineRule="exact"/>
              <w:jc w:val="center"/>
              <w:rPr>
                <w:rFonts w:ascii="宋体" w:hAnsi="宋体"/>
                <w:highlight w:val="none"/>
                <w:lang w:val="en-GB"/>
              </w:rPr>
            </w:pPr>
          </w:p>
        </w:tc>
        <w:tc>
          <w:tcPr>
            <w:tcW w:w="910" w:type="dxa"/>
            <w:gridSpan w:val="4"/>
            <w:vAlign w:val="center"/>
          </w:tcPr>
          <w:p>
            <w:pPr>
              <w:pStyle w:val="131"/>
              <w:tabs>
                <w:tab w:val="left" w:pos="1260"/>
              </w:tabs>
              <w:spacing w:line="380" w:lineRule="exact"/>
              <w:jc w:val="center"/>
              <w:rPr>
                <w:rFonts w:ascii="宋体" w:hAnsi="宋体"/>
                <w:highlight w:val="none"/>
                <w:lang w:val="en-GB"/>
              </w:rPr>
            </w:pPr>
          </w:p>
        </w:tc>
        <w:tc>
          <w:tcPr>
            <w:tcW w:w="943" w:type="dxa"/>
            <w:gridSpan w:val="3"/>
            <w:vAlign w:val="center"/>
          </w:tcPr>
          <w:p>
            <w:pPr>
              <w:pStyle w:val="131"/>
              <w:tabs>
                <w:tab w:val="left" w:pos="1260"/>
              </w:tabs>
              <w:spacing w:line="380" w:lineRule="exact"/>
              <w:jc w:val="center"/>
              <w:rPr>
                <w:rFonts w:ascii="宋体" w:hAnsi="宋体"/>
                <w:highlight w:val="none"/>
                <w:lang w:val="en-GB"/>
              </w:rPr>
            </w:pP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1900" w:type="dxa"/>
            <w:gridSpan w:val="3"/>
            <w:vAlign w:val="center"/>
          </w:tcPr>
          <w:p>
            <w:pPr>
              <w:pStyle w:val="131"/>
              <w:tabs>
                <w:tab w:val="left" w:pos="1260"/>
              </w:tabs>
              <w:spacing w:line="380" w:lineRule="exact"/>
              <w:jc w:val="center"/>
              <w:rPr>
                <w:rFonts w:ascii="宋体" w:hAnsi="宋体"/>
                <w:highlight w:val="none"/>
                <w:lang w:val="en-GB"/>
              </w:rPr>
            </w:pPr>
          </w:p>
        </w:tc>
        <w:tc>
          <w:tcPr>
            <w:tcW w:w="1018" w:type="dxa"/>
            <w:vAlign w:val="center"/>
          </w:tcPr>
          <w:p>
            <w:pPr>
              <w:pStyle w:val="131"/>
              <w:tabs>
                <w:tab w:val="left" w:pos="1260"/>
              </w:tabs>
              <w:spacing w:line="380" w:lineRule="exact"/>
              <w:jc w:val="center"/>
              <w:rPr>
                <w:rFonts w:ascii="宋体" w:hAnsi="宋体"/>
                <w:highlight w:val="none"/>
                <w:lang w:val="en-GB"/>
              </w:rPr>
            </w:pPr>
          </w:p>
        </w:tc>
        <w:tc>
          <w:tcPr>
            <w:tcW w:w="1190" w:type="dxa"/>
            <w:vAlign w:val="center"/>
          </w:tcPr>
          <w:p>
            <w:pPr>
              <w:pStyle w:val="131"/>
              <w:tabs>
                <w:tab w:val="left" w:pos="1260"/>
              </w:tabs>
              <w:spacing w:line="380" w:lineRule="exact"/>
              <w:jc w:val="center"/>
              <w:rPr>
                <w:rFonts w:ascii="宋体" w:hAnsi="宋体"/>
                <w:highlight w:val="none"/>
                <w:lang w:val="en-GB"/>
              </w:rPr>
            </w:pPr>
          </w:p>
        </w:tc>
        <w:tc>
          <w:tcPr>
            <w:tcW w:w="1490" w:type="dxa"/>
            <w:gridSpan w:val="2"/>
            <w:vAlign w:val="center"/>
          </w:tcPr>
          <w:p>
            <w:pPr>
              <w:pStyle w:val="131"/>
              <w:tabs>
                <w:tab w:val="left" w:pos="1260"/>
              </w:tabs>
              <w:spacing w:line="380" w:lineRule="exact"/>
              <w:jc w:val="center"/>
              <w:rPr>
                <w:rFonts w:ascii="宋体" w:hAnsi="宋体"/>
                <w:highlight w:val="none"/>
                <w:lang w:val="en-GB"/>
              </w:rPr>
            </w:pPr>
          </w:p>
        </w:tc>
        <w:tc>
          <w:tcPr>
            <w:tcW w:w="910" w:type="dxa"/>
            <w:gridSpan w:val="4"/>
            <w:vAlign w:val="center"/>
          </w:tcPr>
          <w:p>
            <w:pPr>
              <w:pStyle w:val="131"/>
              <w:tabs>
                <w:tab w:val="left" w:pos="1260"/>
              </w:tabs>
              <w:spacing w:line="380" w:lineRule="exact"/>
              <w:jc w:val="center"/>
              <w:rPr>
                <w:rFonts w:ascii="宋体" w:hAnsi="宋体"/>
                <w:highlight w:val="none"/>
                <w:lang w:val="en-GB"/>
              </w:rPr>
            </w:pPr>
          </w:p>
        </w:tc>
        <w:tc>
          <w:tcPr>
            <w:tcW w:w="943" w:type="dxa"/>
            <w:gridSpan w:val="3"/>
            <w:vAlign w:val="center"/>
          </w:tcPr>
          <w:p>
            <w:pPr>
              <w:pStyle w:val="131"/>
              <w:tabs>
                <w:tab w:val="left" w:pos="1260"/>
              </w:tabs>
              <w:spacing w:line="380" w:lineRule="exact"/>
              <w:jc w:val="center"/>
              <w:rPr>
                <w:rFonts w:ascii="宋体" w:hAnsi="宋体"/>
                <w:highlight w:val="none"/>
                <w:lang w:val="en-GB"/>
              </w:rPr>
            </w:pP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7451" w:type="dxa"/>
            <w:gridSpan w:val="14"/>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强制采购节能产品金额总计（元）</w:t>
            </w: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1900" w:type="dxa"/>
            <w:gridSpan w:val="3"/>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2、优先采购</w:t>
            </w:r>
          </w:p>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节能产品名称</w:t>
            </w:r>
          </w:p>
        </w:tc>
        <w:tc>
          <w:tcPr>
            <w:tcW w:w="1018"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品牌、型号</w:t>
            </w:r>
          </w:p>
        </w:tc>
        <w:tc>
          <w:tcPr>
            <w:tcW w:w="1190"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制造商</w:t>
            </w:r>
          </w:p>
        </w:tc>
        <w:tc>
          <w:tcPr>
            <w:tcW w:w="1530" w:type="dxa"/>
            <w:gridSpan w:val="3"/>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认证证书编号</w:t>
            </w:r>
          </w:p>
        </w:tc>
        <w:tc>
          <w:tcPr>
            <w:tcW w:w="900" w:type="dxa"/>
            <w:gridSpan w:val="4"/>
            <w:vAlign w:val="center"/>
          </w:tcPr>
          <w:p>
            <w:pPr>
              <w:spacing w:line="380" w:lineRule="exact"/>
              <w:jc w:val="center"/>
              <w:rPr>
                <w:highlight w:val="none"/>
              </w:rPr>
            </w:pPr>
            <w:r>
              <w:rPr>
                <w:rFonts w:hint="eastAsia"/>
                <w:highlight w:val="none"/>
              </w:rPr>
              <w:t>数量</w:t>
            </w:r>
          </w:p>
        </w:tc>
        <w:tc>
          <w:tcPr>
            <w:tcW w:w="913" w:type="dxa"/>
            <w:gridSpan w:val="2"/>
            <w:vAlign w:val="center"/>
          </w:tcPr>
          <w:p>
            <w:pPr>
              <w:spacing w:line="380" w:lineRule="exact"/>
              <w:jc w:val="center"/>
              <w:rPr>
                <w:highlight w:val="none"/>
              </w:rPr>
            </w:pPr>
            <w:r>
              <w:rPr>
                <w:rFonts w:hint="eastAsia"/>
                <w:highlight w:val="none"/>
              </w:rPr>
              <w:t>单价</w:t>
            </w:r>
            <w:r>
              <w:rPr>
                <w:rFonts w:hint="eastAsia" w:ascii="宋体" w:hAnsi="宋体"/>
                <w:highlight w:val="none"/>
                <w:lang w:val="en-GB"/>
              </w:rPr>
              <w:t>（元）</w:t>
            </w:r>
          </w:p>
        </w:tc>
        <w:tc>
          <w:tcPr>
            <w:tcW w:w="1477"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1900" w:type="dxa"/>
            <w:gridSpan w:val="3"/>
            <w:vAlign w:val="center"/>
          </w:tcPr>
          <w:p>
            <w:pPr>
              <w:pStyle w:val="131"/>
              <w:tabs>
                <w:tab w:val="left" w:pos="1260"/>
              </w:tabs>
              <w:spacing w:line="380" w:lineRule="exact"/>
              <w:jc w:val="center"/>
              <w:rPr>
                <w:rFonts w:ascii="宋体" w:hAnsi="宋体"/>
                <w:highlight w:val="none"/>
                <w:lang w:val="en-GB"/>
              </w:rPr>
            </w:pPr>
          </w:p>
        </w:tc>
        <w:tc>
          <w:tcPr>
            <w:tcW w:w="1018" w:type="dxa"/>
            <w:vAlign w:val="center"/>
          </w:tcPr>
          <w:p>
            <w:pPr>
              <w:pStyle w:val="131"/>
              <w:tabs>
                <w:tab w:val="left" w:pos="1260"/>
              </w:tabs>
              <w:spacing w:line="380" w:lineRule="exact"/>
              <w:jc w:val="center"/>
              <w:rPr>
                <w:rFonts w:ascii="宋体" w:hAnsi="宋体"/>
                <w:highlight w:val="none"/>
                <w:lang w:val="en-GB"/>
              </w:rPr>
            </w:pPr>
          </w:p>
        </w:tc>
        <w:tc>
          <w:tcPr>
            <w:tcW w:w="1190" w:type="dxa"/>
            <w:vAlign w:val="center"/>
          </w:tcPr>
          <w:p>
            <w:pPr>
              <w:pStyle w:val="131"/>
              <w:tabs>
                <w:tab w:val="left" w:pos="1260"/>
              </w:tabs>
              <w:spacing w:line="380" w:lineRule="exact"/>
              <w:jc w:val="center"/>
              <w:rPr>
                <w:rFonts w:ascii="宋体" w:hAnsi="宋体"/>
                <w:highlight w:val="none"/>
                <w:lang w:val="en-GB"/>
              </w:rPr>
            </w:pPr>
          </w:p>
        </w:tc>
        <w:tc>
          <w:tcPr>
            <w:tcW w:w="1530" w:type="dxa"/>
            <w:gridSpan w:val="3"/>
            <w:vAlign w:val="center"/>
          </w:tcPr>
          <w:p>
            <w:pPr>
              <w:pStyle w:val="131"/>
              <w:tabs>
                <w:tab w:val="left" w:pos="1260"/>
              </w:tabs>
              <w:spacing w:line="380" w:lineRule="exact"/>
              <w:jc w:val="center"/>
              <w:rPr>
                <w:rFonts w:ascii="宋体" w:hAnsi="宋体"/>
                <w:highlight w:val="none"/>
                <w:lang w:val="en-GB"/>
              </w:rPr>
            </w:pPr>
          </w:p>
        </w:tc>
        <w:tc>
          <w:tcPr>
            <w:tcW w:w="900" w:type="dxa"/>
            <w:gridSpan w:val="4"/>
            <w:vAlign w:val="center"/>
          </w:tcPr>
          <w:p>
            <w:pPr>
              <w:pStyle w:val="131"/>
              <w:tabs>
                <w:tab w:val="left" w:pos="1260"/>
              </w:tabs>
              <w:spacing w:line="380" w:lineRule="exact"/>
              <w:jc w:val="center"/>
              <w:rPr>
                <w:rFonts w:ascii="宋体" w:hAnsi="宋体"/>
                <w:highlight w:val="none"/>
                <w:lang w:val="en-GB"/>
              </w:rPr>
            </w:pPr>
          </w:p>
        </w:tc>
        <w:tc>
          <w:tcPr>
            <w:tcW w:w="913" w:type="dxa"/>
            <w:gridSpan w:val="2"/>
            <w:vAlign w:val="center"/>
          </w:tcPr>
          <w:p>
            <w:pPr>
              <w:pStyle w:val="131"/>
              <w:tabs>
                <w:tab w:val="left" w:pos="1260"/>
              </w:tabs>
              <w:spacing w:line="380" w:lineRule="exact"/>
              <w:jc w:val="center"/>
              <w:rPr>
                <w:rFonts w:ascii="宋体" w:hAnsi="宋体"/>
                <w:highlight w:val="none"/>
                <w:lang w:val="en-GB"/>
              </w:rPr>
            </w:pP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1900" w:type="dxa"/>
            <w:gridSpan w:val="3"/>
            <w:vAlign w:val="center"/>
          </w:tcPr>
          <w:p>
            <w:pPr>
              <w:pStyle w:val="131"/>
              <w:tabs>
                <w:tab w:val="left" w:pos="1260"/>
              </w:tabs>
              <w:spacing w:line="380" w:lineRule="exact"/>
              <w:jc w:val="center"/>
              <w:rPr>
                <w:rFonts w:ascii="宋体" w:hAnsi="宋体"/>
                <w:highlight w:val="none"/>
                <w:lang w:val="en-GB"/>
              </w:rPr>
            </w:pPr>
          </w:p>
        </w:tc>
        <w:tc>
          <w:tcPr>
            <w:tcW w:w="1018" w:type="dxa"/>
            <w:vAlign w:val="center"/>
          </w:tcPr>
          <w:p>
            <w:pPr>
              <w:pStyle w:val="131"/>
              <w:tabs>
                <w:tab w:val="left" w:pos="1260"/>
              </w:tabs>
              <w:spacing w:line="380" w:lineRule="exact"/>
              <w:jc w:val="center"/>
              <w:rPr>
                <w:rFonts w:ascii="宋体" w:hAnsi="宋体"/>
                <w:highlight w:val="none"/>
                <w:lang w:val="en-GB"/>
              </w:rPr>
            </w:pPr>
          </w:p>
        </w:tc>
        <w:tc>
          <w:tcPr>
            <w:tcW w:w="1190" w:type="dxa"/>
            <w:vAlign w:val="center"/>
          </w:tcPr>
          <w:p>
            <w:pPr>
              <w:pStyle w:val="131"/>
              <w:tabs>
                <w:tab w:val="left" w:pos="1260"/>
              </w:tabs>
              <w:spacing w:line="380" w:lineRule="exact"/>
              <w:jc w:val="center"/>
              <w:rPr>
                <w:rFonts w:ascii="宋体" w:hAnsi="宋体"/>
                <w:highlight w:val="none"/>
                <w:lang w:val="en-GB"/>
              </w:rPr>
            </w:pPr>
          </w:p>
        </w:tc>
        <w:tc>
          <w:tcPr>
            <w:tcW w:w="1530" w:type="dxa"/>
            <w:gridSpan w:val="3"/>
            <w:vAlign w:val="center"/>
          </w:tcPr>
          <w:p>
            <w:pPr>
              <w:pStyle w:val="131"/>
              <w:tabs>
                <w:tab w:val="left" w:pos="1260"/>
              </w:tabs>
              <w:spacing w:line="380" w:lineRule="exact"/>
              <w:jc w:val="center"/>
              <w:rPr>
                <w:rFonts w:ascii="宋体" w:hAnsi="宋体"/>
                <w:highlight w:val="none"/>
                <w:lang w:val="en-GB"/>
              </w:rPr>
            </w:pPr>
          </w:p>
        </w:tc>
        <w:tc>
          <w:tcPr>
            <w:tcW w:w="900" w:type="dxa"/>
            <w:gridSpan w:val="4"/>
            <w:vAlign w:val="center"/>
          </w:tcPr>
          <w:p>
            <w:pPr>
              <w:pStyle w:val="131"/>
              <w:tabs>
                <w:tab w:val="left" w:pos="1260"/>
              </w:tabs>
              <w:spacing w:line="380" w:lineRule="exact"/>
              <w:jc w:val="center"/>
              <w:rPr>
                <w:rFonts w:ascii="宋体" w:hAnsi="宋体"/>
                <w:highlight w:val="none"/>
                <w:lang w:val="en-GB"/>
              </w:rPr>
            </w:pPr>
          </w:p>
        </w:tc>
        <w:tc>
          <w:tcPr>
            <w:tcW w:w="913" w:type="dxa"/>
            <w:gridSpan w:val="2"/>
            <w:vAlign w:val="center"/>
          </w:tcPr>
          <w:p>
            <w:pPr>
              <w:pStyle w:val="131"/>
              <w:tabs>
                <w:tab w:val="left" w:pos="1260"/>
              </w:tabs>
              <w:spacing w:line="380" w:lineRule="exact"/>
              <w:jc w:val="center"/>
              <w:rPr>
                <w:rFonts w:ascii="宋体" w:hAnsi="宋体"/>
                <w:highlight w:val="none"/>
                <w:lang w:val="en-GB"/>
              </w:rPr>
            </w:pP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7451" w:type="dxa"/>
            <w:gridSpan w:val="14"/>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优先采购节能产品金额总计（元）</w:t>
            </w: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4" w:type="dxa"/>
            <w:vMerge w:val="restart"/>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环境标志产品</w:t>
            </w:r>
          </w:p>
        </w:tc>
        <w:tc>
          <w:tcPr>
            <w:tcW w:w="1890" w:type="dxa"/>
            <w:gridSpan w:val="2"/>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优先采购环境标志产品名称</w:t>
            </w:r>
          </w:p>
        </w:tc>
        <w:tc>
          <w:tcPr>
            <w:tcW w:w="1028" w:type="dxa"/>
            <w:gridSpan w:val="2"/>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品牌、型号</w:t>
            </w:r>
          </w:p>
        </w:tc>
        <w:tc>
          <w:tcPr>
            <w:tcW w:w="1190"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制造商</w:t>
            </w:r>
          </w:p>
        </w:tc>
        <w:tc>
          <w:tcPr>
            <w:tcW w:w="1570" w:type="dxa"/>
            <w:gridSpan w:val="4"/>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认证证书编号</w:t>
            </w:r>
          </w:p>
        </w:tc>
        <w:tc>
          <w:tcPr>
            <w:tcW w:w="870" w:type="dxa"/>
            <w:gridSpan w:val="4"/>
            <w:vAlign w:val="center"/>
          </w:tcPr>
          <w:p>
            <w:pPr>
              <w:spacing w:line="380" w:lineRule="exact"/>
              <w:jc w:val="center"/>
              <w:rPr>
                <w:highlight w:val="none"/>
              </w:rPr>
            </w:pPr>
            <w:r>
              <w:rPr>
                <w:rFonts w:hint="eastAsia"/>
                <w:highlight w:val="none"/>
              </w:rPr>
              <w:t>数量</w:t>
            </w:r>
          </w:p>
        </w:tc>
        <w:tc>
          <w:tcPr>
            <w:tcW w:w="903" w:type="dxa"/>
            <w:vAlign w:val="center"/>
          </w:tcPr>
          <w:p>
            <w:pPr>
              <w:spacing w:line="380" w:lineRule="exact"/>
              <w:jc w:val="center"/>
              <w:rPr>
                <w:highlight w:val="none"/>
              </w:rPr>
            </w:pPr>
            <w:r>
              <w:rPr>
                <w:rFonts w:hint="eastAsia"/>
                <w:highlight w:val="none"/>
              </w:rPr>
              <w:t>单价</w:t>
            </w:r>
            <w:r>
              <w:rPr>
                <w:rFonts w:hint="eastAsia" w:ascii="宋体" w:hAnsi="宋体"/>
                <w:highlight w:val="none"/>
                <w:lang w:val="en-GB"/>
              </w:rPr>
              <w:t>（元）</w:t>
            </w:r>
          </w:p>
        </w:tc>
        <w:tc>
          <w:tcPr>
            <w:tcW w:w="1477" w:type="dxa"/>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1890" w:type="dxa"/>
            <w:gridSpan w:val="2"/>
            <w:vAlign w:val="center"/>
          </w:tcPr>
          <w:p>
            <w:pPr>
              <w:pStyle w:val="131"/>
              <w:tabs>
                <w:tab w:val="left" w:pos="1260"/>
              </w:tabs>
              <w:spacing w:line="380" w:lineRule="exact"/>
              <w:jc w:val="center"/>
              <w:rPr>
                <w:rFonts w:ascii="宋体" w:hAnsi="宋体"/>
                <w:highlight w:val="none"/>
                <w:lang w:val="en-GB"/>
              </w:rPr>
            </w:pPr>
          </w:p>
        </w:tc>
        <w:tc>
          <w:tcPr>
            <w:tcW w:w="1028" w:type="dxa"/>
            <w:gridSpan w:val="2"/>
            <w:vAlign w:val="center"/>
          </w:tcPr>
          <w:p>
            <w:pPr>
              <w:pStyle w:val="131"/>
              <w:tabs>
                <w:tab w:val="left" w:pos="1260"/>
              </w:tabs>
              <w:spacing w:line="380" w:lineRule="exact"/>
              <w:jc w:val="center"/>
              <w:rPr>
                <w:rFonts w:ascii="宋体" w:hAnsi="宋体"/>
                <w:highlight w:val="none"/>
                <w:lang w:val="en-GB"/>
              </w:rPr>
            </w:pPr>
          </w:p>
        </w:tc>
        <w:tc>
          <w:tcPr>
            <w:tcW w:w="1190" w:type="dxa"/>
            <w:vAlign w:val="center"/>
          </w:tcPr>
          <w:p>
            <w:pPr>
              <w:pStyle w:val="131"/>
              <w:tabs>
                <w:tab w:val="left" w:pos="1260"/>
              </w:tabs>
              <w:spacing w:line="380" w:lineRule="exact"/>
              <w:jc w:val="center"/>
              <w:rPr>
                <w:rFonts w:ascii="宋体" w:hAnsi="宋体"/>
                <w:highlight w:val="none"/>
                <w:lang w:val="en-GB"/>
              </w:rPr>
            </w:pPr>
          </w:p>
        </w:tc>
        <w:tc>
          <w:tcPr>
            <w:tcW w:w="1570" w:type="dxa"/>
            <w:gridSpan w:val="4"/>
            <w:vAlign w:val="center"/>
          </w:tcPr>
          <w:p>
            <w:pPr>
              <w:pStyle w:val="131"/>
              <w:tabs>
                <w:tab w:val="left" w:pos="1260"/>
              </w:tabs>
              <w:spacing w:line="380" w:lineRule="exact"/>
              <w:jc w:val="center"/>
              <w:rPr>
                <w:rFonts w:ascii="宋体" w:hAnsi="宋体"/>
                <w:highlight w:val="none"/>
                <w:lang w:val="en-GB"/>
              </w:rPr>
            </w:pPr>
          </w:p>
        </w:tc>
        <w:tc>
          <w:tcPr>
            <w:tcW w:w="870" w:type="dxa"/>
            <w:gridSpan w:val="4"/>
            <w:vAlign w:val="center"/>
          </w:tcPr>
          <w:p>
            <w:pPr>
              <w:pStyle w:val="131"/>
              <w:tabs>
                <w:tab w:val="left" w:pos="1260"/>
              </w:tabs>
              <w:spacing w:line="380" w:lineRule="exact"/>
              <w:jc w:val="center"/>
              <w:rPr>
                <w:rFonts w:ascii="宋体" w:hAnsi="宋体"/>
                <w:highlight w:val="none"/>
                <w:lang w:val="en-GB"/>
              </w:rPr>
            </w:pPr>
          </w:p>
        </w:tc>
        <w:tc>
          <w:tcPr>
            <w:tcW w:w="903" w:type="dxa"/>
            <w:vAlign w:val="center"/>
          </w:tcPr>
          <w:p>
            <w:pPr>
              <w:pStyle w:val="131"/>
              <w:tabs>
                <w:tab w:val="left" w:pos="1260"/>
              </w:tabs>
              <w:spacing w:line="380" w:lineRule="exact"/>
              <w:jc w:val="center"/>
              <w:rPr>
                <w:rFonts w:ascii="宋体" w:hAnsi="宋体"/>
                <w:highlight w:val="none"/>
                <w:lang w:val="en-GB"/>
              </w:rPr>
            </w:pP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1890" w:type="dxa"/>
            <w:gridSpan w:val="2"/>
            <w:vAlign w:val="center"/>
          </w:tcPr>
          <w:p>
            <w:pPr>
              <w:pStyle w:val="131"/>
              <w:tabs>
                <w:tab w:val="left" w:pos="1260"/>
              </w:tabs>
              <w:spacing w:line="380" w:lineRule="exact"/>
              <w:jc w:val="center"/>
              <w:rPr>
                <w:rFonts w:ascii="宋体" w:hAnsi="宋体"/>
                <w:highlight w:val="none"/>
                <w:lang w:val="en-GB"/>
              </w:rPr>
            </w:pPr>
          </w:p>
        </w:tc>
        <w:tc>
          <w:tcPr>
            <w:tcW w:w="1028" w:type="dxa"/>
            <w:gridSpan w:val="2"/>
            <w:vAlign w:val="center"/>
          </w:tcPr>
          <w:p>
            <w:pPr>
              <w:pStyle w:val="131"/>
              <w:tabs>
                <w:tab w:val="left" w:pos="1260"/>
              </w:tabs>
              <w:spacing w:line="380" w:lineRule="exact"/>
              <w:jc w:val="center"/>
              <w:rPr>
                <w:rFonts w:ascii="宋体" w:hAnsi="宋体"/>
                <w:highlight w:val="none"/>
                <w:lang w:val="en-GB"/>
              </w:rPr>
            </w:pPr>
          </w:p>
        </w:tc>
        <w:tc>
          <w:tcPr>
            <w:tcW w:w="1190" w:type="dxa"/>
            <w:vAlign w:val="center"/>
          </w:tcPr>
          <w:p>
            <w:pPr>
              <w:pStyle w:val="131"/>
              <w:tabs>
                <w:tab w:val="left" w:pos="1260"/>
              </w:tabs>
              <w:spacing w:line="380" w:lineRule="exact"/>
              <w:jc w:val="center"/>
              <w:rPr>
                <w:rFonts w:ascii="宋体" w:hAnsi="宋体"/>
                <w:highlight w:val="none"/>
                <w:lang w:val="en-GB"/>
              </w:rPr>
            </w:pPr>
          </w:p>
        </w:tc>
        <w:tc>
          <w:tcPr>
            <w:tcW w:w="1570" w:type="dxa"/>
            <w:gridSpan w:val="4"/>
            <w:vAlign w:val="center"/>
          </w:tcPr>
          <w:p>
            <w:pPr>
              <w:pStyle w:val="131"/>
              <w:tabs>
                <w:tab w:val="left" w:pos="1260"/>
              </w:tabs>
              <w:spacing w:line="380" w:lineRule="exact"/>
              <w:jc w:val="center"/>
              <w:rPr>
                <w:rFonts w:ascii="宋体" w:hAnsi="宋体"/>
                <w:highlight w:val="none"/>
                <w:lang w:val="en-GB"/>
              </w:rPr>
            </w:pPr>
          </w:p>
        </w:tc>
        <w:tc>
          <w:tcPr>
            <w:tcW w:w="870" w:type="dxa"/>
            <w:gridSpan w:val="4"/>
            <w:vAlign w:val="center"/>
          </w:tcPr>
          <w:p>
            <w:pPr>
              <w:pStyle w:val="131"/>
              <w:tabs>
                <w:tab w:val="left" w:pos="1260"/>
              </w:tabs>
              <w:spacing w:line="380" w:lineRule="exact"/>
              <w:jc w:val="center"/>
              <w:rPr>
                <w:rFonts w:ascii="宋体" w:hAnsi="宋体"/>
                <w:highlight w:val="none"/>
                <w:lang w:val="en-GB"/>
              </w:rPr>
            </w:pPr>
          </w:p>
        </w:tc>
        <w:tc>
          <w:tcPr>
            <w:tcW w:w="903" w:type="dxa"/>
            <w:vAlign w:val="center"/>
          </w:tcPr>
          <w:p>
            <w:pPr>
              <w:pStyle w:val="131"/>
              <w:tabs>
                <w:tab w:val="left" w:pos="1260"/>
              </w:tabs>
              <w:spacing w:line="380" w:lineRule="exact"/>
              <w:jc w:val="center"/>
              <w:rPr>
                <w:rFonts w:ascii="宋体" w:hAnsi="宋体"/>
                <w:highlight w:val="none"/>
                <w:lang w:val="en-GB"/>
              </w:rPr>
            </w:pPr>
          </w:p>
        </w:tc>
        <w:tc>
          <w:tcPr>
            <w:tcW w:w="1477" w:type="dxa"/>
            <w:vAlign w:val="center"/>
          </w:tcPr>
          <w:p>
            <w:pPr>
              <w:pStyle w:val="131"/>
              <w:tabs>
                <w:tab w:val="left" w:pos="1260"/>
              </w:tabs>
              <w:spacing w:line="380" w:lineRule="exact"/>
              <w:jc w:val="center"/>
              <w:rPr>
                <w:rFonts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24" w:type="dxa"/>
            <w:vMerge w:val="continue"/>
            <w:vAlign w:val="center"/>
          </w:tcPr>
          <w:p>
            <w:pPr>
              <w:pStyle w:val="131"/>
              <w:tabs>
                <w:tab w:val="left" w:pos="1260"/>
              </w:tabs>
              <w:spacing w:line="380" w:lineRule="exact"/>
              <w:jc w:val="center"/>
              <w:rPr>
                <w:rFonts w:ascii="宋体" w:hAnsi="宋体"/>
                <w:highlight w:val="none"/>
                <w:lang w:val="en-GB"/>
              </w:rPr>
            </w:pPr>
          </w:p>
        </w:tc>
        <w:tc>
          <w:tcPr>
            <w:tcW w:w="7451" w:type="dxa"/>
            <w:gridSpan w:val="14"/>
            <w:vAlign w:val="center"/>
          </w:tcPr>
          <w:p>
            <w:pPr>
              <w:pStyle w:val="131"/>
              <w:tabs>
                <w:tab w:val="left" w:pos="1260"/>
              </w:tabs>
              <w:spacing w:line="380" w:lineRule="exact"/>
              <w:jc w:val="center"/>
              <w:rPr>
                <w:rFonts w:ascii="宋体" w:hAnsi="宋体"/>
                <w:highlight w:val="none"/>
                <w:lang w:val="en-GB"/>
              </w:rPr>
            </w:pPr>
            <w:r>
              <w:rPr>
                <w:rFonts w:hint="eastAsia" w:ascii="宋体" w:hAnsi="宋体"/>
                <w:highlight w:val="none"/>
                <w:lang w:val="en-GB"/>
              </w:rPr>
              <w:t>环境标志产品金额总计（元）</w:t>
            </w:r>
          </w:p>
        </w:tc>
        <w:tc>
          <w:tcPr>
            <w:tcW w:w="1477" w:type="dxa"/>
            <w:vAlign w:val="center"/>
          </w:tcPr>
          <w:p>
            <w:pPr>
              <w:pStyle w:val="131"/>
              <w:tabs>
                <w:tab w:val="left" w:pos="1260"/>
              </w:tabs>
              <w:spacing w:line="380" w:lineRule="exact"/>
              <w:jc w:val="center"/>
              <w:rPr>
                <w:rFonts w:ascii="宋体" w:hAnsi="宋体"/>
                <w:highlight w:val="none"/>
                <w:lang w:val="en-GB"/>
              </w:rPr>
            </w:pPr>
          </w:p>
        </w:tc>
      </w:tr>
    </w:tbl>
    <w:p>
      <w:pPr>
        <w:pStyle w:val="131"/>
        <w:spacing w:line="360" w:lineRule="auto"/>
        <w:ind w:left="718" w:hanging="718" w:hangingChars="342"/>
        <w:rPr>
          <w:rFonts w:ascii="宋体" w:hAnsi="宋体"/>
          <w:highlight w:val="none"/>
          <w:lang w:val="en-GB"/>
        </w:rPr>
      </w:pPr>
      <w:r>
        <w:rPr>
          <w:rFonts w:hint="eastAsia" w:ascii="宋体" w:hAnsi="宋体"/>
          <w:highlight w:val="none"/>
          <w:lang w:val="en-GB"/>
        </w:rPr>
        <w:br w:type="page"/>
      </w:r>
      <w:r>
        <w:rPr>
          <w:rFonts w:hint="eastAsia" w:ascii="宋体" w:hAnsi="宋体"/>
          <w:highlight w:val="none"/>
          <w:lang w:val="en-GB"/>
        </w:rPr>
        <w:t>填报要求：</w:t>
      </w:r>
    </w:p>
    <w:p>
      <w:pPr>
        <w:spacing w:line="360" w:lineRule="auto"/>
        <w:ind w:firstLine="525" w:firstLineChars="250"/>
        <w:rPr>
          <w:highlight w:val="none"/>
          <w:lang w:val="en-GB"/>
        </w:rPr>
      </w:pPr>
      <w:r>
        <w:rPr>
          <w:rFonts w:hint="eastAsia"/>
          <w:highlight w:val="none"/>
          <w:lang w:val="en-GB"/>
        </w:rPr>
        <w:t>1、本表的产品名称、金额应与《分项报价一览表》一致。</w:t>
      </w:r>
    </w:p>
    <w:p>
      <w:pPr>
        <w:spacing w:line="360" w:lineRule="auto"/>
        <w:ind w:firstLine="525" w:firstLineChars="250"/>
        <w:rPr>
          <w:highlight w:val="none"/>
          <w:lang w:val="en-GB"/>
        </w:rPr>
      </w:pPr>
      <w:r>
        <w:rPr>
          <w:rFonts w:hint="eastAsia"/>
          <w:highlight w:val="none"/>
          <w:lang w:val="en-GB"/>
        </w:rPr>
        <w:t>2、制造商为小型或微型或监狱或</w:t>
      </w:r>
      <w:r>
        <w:rPr>
          <w:rFonts w:hint="eastAsia" w:ascii="宋体" w:hAnsi="宋体"/>
          <w:highlight w:val="none"/>
        </w:rPr>
        <w:t>残疾人福利性单位</w:t>
      </w:r>
      <w:r>
        <w:rPr>
          <w:rFonts w:hint="eastAsia"/>
          <w:highlight w:val="none"/>
          <w:lang w:val="en-GB"/>
        </w:rPr>
        <w:t>企业时才需要填“制造商企业类型”栏，填写内容为“小型”或“微型”或</w:t>
      </w:r>
      <w:r>
        <w:rPr>
          <w:rFonts w:hint="eastAsia" w:ascii="宋体" w:hAnsi="宋体"/>
          <w:highlight w:val="none"/>
        </w:rPr>
        <w:t>“</w:t>
      </w:r>
      <w:r>
        <w:rPr>
          <w:rFonts w:hint="eastAsia"/>
          <w:highlight w:val="none"/>
          <w:lang w:val="en-GB"/>
        </w:rPr>
        <w:t>监狱</w:t>
      </w:r>
      <w:r>
        <w:rPr>
          <w:rFonts w:hint="eastAsia" w:ascii="宋体" w:hAnsi="宋体"/>
          <w:highlight w:val="none"/>
        </w:rPr>
        <w:t>”</w:t>
      </w:r>
      <w:r>
        <w:rPr>
          <w:rFonts w:hint="eastAsia"/>
          <w:highlight w:val="none"/>
          <w:lang w:val="en-GB"/>
        </w:rPr>
        <w:t>或</w:t>
      </w:r>
      <w:r>
        <w:rPr>
          <w:rFonts w:hint="eastAsia" w:ascii="宋体" w:hAnsi="宋体"/>
          <w:highlight w:val="none"/>
        </w:rPr>
        <w:t>“残疾人福利性单位”</w:t>
      </w:r>
      <w:r>
        <w:rPr>
          <w:rFonts w:hint="eastAsia"/>
          <w:highlight w:val="none"/>
          <w:lang w:val="en-GB"/>
        </w:rPr>
        <w:t xml:space="preserve">。 </w:t>
      </w:r>
    </w:p>
    <w:p>
      <w:pPr>
        <w:spacing w:line="360" w:lineRule="auto"/>
        <w:ind w:firstLine="525" w:firstLineChars="250"/>
        <w:rPr>
          <w:bCs/>
          <w:highlight w:val="none"/>
        </w:rPr>
      </w:pPr>
      <w:r>
        <w:rPr>
          <w:rFonts w:hint="eastAsia"/>
          <w:highlight w:val="none"/>
          <w:lang w:val="en-GB"/>
        </w:rPr>
        <w:t>3、</w:t>
      </w:r>
      <w:r>
        <w:rPr>
          <w:rFonts w:hint="eastAsia"/>
          <w:bCs/>
          <w:highlight w:val="none"/>
        </w:rPr>
        <w:t>本项目若含有节能产品政府采购品目清单内政府强制采购产品，供应商须选用国家公布的认证机构认证的处于有效期之内的政府强制采购节能产品。本项目若含有节能产品、环境标志产品政府采购品目清单内政府优先采购产品，对选用国家公布的认证机构认证的处于有效期之内的政府优先采购节能产品（政府强制采购产品除外）、环境标志产品给予加分。</w:t>
      </w:r>
    </w:p>
    <w:p>
      <w:pPr>
        <w:spacing w:line="360" w:lineRule="auto"/>
        <w:ind w:firstLine="420"/>
        <w:rPr>
          <w:bCs/>
          <w:highlight w:val="none"/>
        </w:rPr>
      </w:pPr>
      <w:r>
        <w:rPr>
          <w:rFonts w:hint="eastAsia"/>
          <w:bCs/>
          <w:highlight w:val="none"/>
        </w:rPr>
        <w:t>供应商应提供国家公布的认证机构出具的处于有效期之内的节能产品、环境标志产品认证证书。</w:t>
      </w:r>
    </w:p>
    <w:p>
      <w:pPr>
        <w:rPr>
          <w:rFonts w:ascii="宋体" w:hAnsi="宋体"/>
          <w:sz w:val="24"/>
          <w:highlight w:val="none"/>
        </w:rPr>
      </w:pPr>
    </w:p>
    <w:p>
      <w:pPr>
        <w:rPr>
          <w:rStyle w:val="52"/>
          <w:rFonts w:ascii="宋体" w:hAnsi="宋体" w:eastAsia="宋体"/>
          <w:sz w:val="24"/>
          <w:highlight w:val="none"/>
        </w:rPr>
      </w:pPr>
      <w:r>
        <w:rPr>
          <w:rStyle w:val="52"/>
          <w:rFonts w:hint="eastAsia" w:ascii="宋体" w:hAnsi="宋体" w:eastAsia="宋体"/>
          <w:sz w:val="24"/>
          <w:highlight w:val="none"/>
        </w:rPr>
        <w:br w:type="page"/>
      </w:r>
    </w:p>
    <w:p>
      <w:pPr>
        <w:widowControl/>
        <w:jc w:val="center"/>
        <w:rPr>
          <w:rStyle w:val="52"/>
          <w:rFonts w:ascii="宋体" w:hAnsi="宋体" w:eastAsia="宋体"/>
          <w:b w:val="0"/>
          <w:sz w:val="21"/>
          <w:szCs w:val="21"/>
          <w:highlight w:val="none"/>
        </w:rPr>
      </w:pPr>
      <w:bookmarkStart w:id="113" w:name="_Toc22567"/>
      <w:r>
        <w:rPr>
          <w:rStyle w:val="52"/>
          <w:rFonts w:hint="eastAsia" w:ascii="宋体" w:hAnsi="宋体" w:eastAsia="宋体"/>
          <w:sz w:val="24"/>
          <w:highlight w:val="none"/>
        </w:rPr>
        <w:t>十</w:t>
      </w:r>
      <w:r>
        <w:rPr>
          <w:rStyle w:val="52"/>
          <w:rFonts w:hint="eastAsia" w:ascii="宋体" w:hAnsi="宋体"/>
          <w:sz w:val="24"/>
          <w:highlight w:val="none"/>
        </w:rPr>
        <w:t>二</w:t>
      </w:r>
      <w:r>
        <w:rPr>
          <w:rStyle w:val="52"/>
          <w:rFonts w:hint="eastAsia" w:ascii="宋体" w:hAnsi="宋体" w:eastAsia="宋体"/>
          <w:sz w:val="24"/>
          <w:highlight w:val="none"/>
        </w:rPr>
        <w:t>、反商业贿赂承诺书</w:t>
      </w:r>
      <w:bookmarkEnd w:id="106"/>
      <w:bookmarkEnd w:id="107"/>
      <w:bookmarkEnd w:id="112"/>
    </w:p>
    <w:bookmarkEnd w:id="113"/>
    <w:p>
      <w:pPr>
        <w:spacing w:line="560" w:lineRule="exact"/>
        <w:rPr>
          <w:rFonts w:ascii="宋体" w:hAnsi="宋体"/>
          <w:sz w:val="24"/>
          <w:highlight w:val="none"/>
        </w:rPr>
      </w:pPr>
      <w:r>
        <w:rPr>
          <w:rFonts w:ascii="宋体" w:hAnsi="宋体"/>
          <w:sz w:val="24"/>
          <w:highlight w:val="none"/>
        </w:rPr>
        <w:t>我公司承诺：</w:t>
      </w:r>
    </w:p>
    <w:p>
      <w:pPr>
        <w:spacing w:line="560" w:lineRule="exact"/>
        <w:ind w:firstLine="480" w:firstLineChars="200"/>
        <w:rPr>
          <w:rFonts w:ascii="宋体" w:hAnsi="宋体"/>
          <w:sz w:val="24"/>
          <w:highlight w:val="none"/>
        </w:rPr>
      </w:pPr>
      <w:r>
        <w:rPr>
          <w:rFonts w:ascii="宋体" w:hAnsi="宋体"/>
          <w:sz w:val="24"/>
          <w:highlight w:val="none"/>
        </w:rPr>
        <w:t>在</w:t>
      </w:r>
      <w:r>
        <w:rPr>
          <w:rFonts w:hint="eastAsia" w:ascii="宋体" w:hAnsi="宋体"/>
          <w:b/>
          <w:sz w:val="24"/>
          <w:highlight w:val="none"/>
          <w:u w:val="single"/>
        </w:rPr>
        <w:t xml:space="preserve">                                       (项目名称） </w:t>
      </w:r>
      <w:r>
        <w:rPr>
          <w:rFonts w:ascii="宋体" w:hAnsi="宋体"/>
          <w:sz w:val="24"/>
          <w:highlight w:val="none"/>
        </w:rPr>
        <w:t>招标活动中，我公司保证做到：</w:t>
      </w:r>
    </w:p>
    <w:p>
      <w:pPr>
        <w:spacing w:line="560" w:lineRule="exact"/>
        <w:ind w:firstLine="480" w:firstLineChars="200"/>
        <w:rPr>
          <w:rFonts w:ascii="宋体" w:hAnsi="宋体"/>
          <w:sz w:val="24"/>
          <w:highlight w:val="none"/>
        </w:rPr>
      </w:pPr>
      <w:r>
        <w:rPr>
          <w:rFonts w:ascii="宋体" w:hAnsi="宋体"/>
          <w:sz w:val="24"/>
          <w:highlight w:val="none"/>
        </w:rPr>
        <w:t>一、公平竞争参加本次招标活动。</w:t>
      </w:r>
    </w:p>
    <w:p>
      <w:pPr>
        <w:spacing w:line="560" w:lineRule="exact"/>
        <w:ind w:firstLine="480" w:firstLineChars="200"/>
        <w:rPr>
          <w:rFonts w:ascii="宋体" w:hAnsi="宋体"/>
          <w:sz w:val="24"/>
          <w:highlight w:val="none"/>
        </w:rPr>
      </w:pPr>
      <w:r>
        <w:rPr>
          <w:rFonts w:ascii="宋体" w:hAnsi="宋体"/>
          <w:sz w:val="24"/>
          <w:highlight w:val="none"/>
        </w:rPr>
        <w:t>二、杜绝任何形式的商业贿赂行为。不向国家工作人员、政府采购代理机构工作人员、评审专家及其亲属提供礼品礼金、有价证券、</w:t>
      </w:r>
      <w:r>
        <w:rPr>
          <w:rFonts w:hint="eastAsia" w:ascii="宋体" w:hAnsi="宋体"/>
          <w:sz w:val="24"/>
          <w:highlight w:val="none"/>
        </w:rPr>
        <w:t>购物券</w:t>
      </w:r>
      <w:r>
        <w:rPr>
          <w:rFonts w:ascii="宋体" w:hAnsi="宋体"/>
          <w:sz w:val="24"/>
          <w:highlight w:val="none"/>
        </w:rPr>
        <w:t>、回扣、佣金、咨询费、劳务费、赞助费、宣传费、宴请；不为其报销各种消费凭证，不支付其旅游、娱乐等费用。</w:t>
      </w:r>
    </w:p>
    <w:p>
      <w:pPr>
        <w:spacing w:line="560" w:lineRule="exact"/>
        <w:ind w:firstLine="480" w:firstLineChars="200"/>
        <w:rPr>
          <w:rFonts w:ascii="宋体" w:hAnsi="宋体"/>
          <w:sz w:val="24"/>
          <w:highlight w:val="none"/>
        </w:rPr>
      </w:pPr>
      <w:r>
        <w:rPr>
          <w:rFonts w:ascii="宋体" w:hAnsi="宋体"/>
          <w:sz w:val="24"/>
          <w:highlight w:val="none"/>
        </w:rPr>
        <w:t>三、若出现上述行为，我公司及参与投标的工作人员愿意接受按照国家法律法规等有关规定给予的处罚。</w:t>
      </w:r>
    </w:p>
    <w:p>
      <w:pPr>
        <w:spacing w:line="560" w:lineRule="exact"/>
        <w:ind w:firstLine="480" w:firstLineChars="200"/>
        <w:rPr>
          <w:rFonts w:ascii="宋体" w:hAnsi="宋体"/>
          <w:sz w:val="24"/>
          <w:highlight w:val="none"/>
        </w:rPr>
      </w:pPr>
    </w:p>
    <w:p>
      <w:pPr>
        <w:rPr>
          <w:rFonts w:hint="eastAsia" w:ascii="宋体" w:hAnsi="宋体"/>
          <w:sz w:val="24"/>
          <w:highlight w:val="none"/>
        </w:rPr>
      </w:pPr>
      <w:r>
        <w:rPr>
          <w:rFonts w:hint="eastAsia" w:ascii="宋体" w:hAnsi="宋体"/>
          <w:sz w:val="24"/>
          <w:highlight w:val="none"/>
        </w:rPr>
        <w:t>供应商（盖单位章</w:t>
      </w:r>
      <w:r>
        <w:rPr>
          <w:rFonts w:hint="eastAsia" w:ascii="宋体" w:hAnsi="宋体"/>
          <w:sz w:val="24"/>
          <w:highlight w:val="none"/>
          <w:lang w:eastAsia="zh-CN"/>
        </w:rPr>
        <w:t>或电子盖章</w:t>
      </w:r>
      <w:r>
        <w:rPr>
          <w:rFonts w:hint="eastAsia" w:ascii="宋体" w:hAnsi="宋体"/>
          <w:sz w:val="24"/>
          <w:highlight w:val="none"/>
        </w:rPr>
        <w:t>）：</w:t>
      </w:r>
    </w:p>
    <w:p>
      <w:pPr>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签字或盖章</w:t>
      </w:r>
      <w:r>
        <w:rPr>
          <w:rFonts w:hint="eastAsia" w:ascii="宋体" w:hAnsi="宋体"/>
          <w:sz w:val="24"/>
          <w:highlight w:val="none"/>
        </w:rPr>
        <w:t xml:space="preserve">）：                                                        </w:t>
      </w:r>
    </w:p>
    <w:p>
      <w:pPr>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lang w:val="en-US" w:eastAsia="zh-CN"/>
        </w:rPr>
        <w:t xml:space="preserve">  </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pPr>
        <w:rPr>
          <w:rFonts w:ascii="宋体" w:hAnsi="宋体"/>
          <w:sz w:val="24"/>
          <w:highlight w:val="none"/>
        </w:rPr>
      </w:pPr>
      <w:r>
        <w:rPr>
          <w:rFonts w:hint="eastAsia" w:ascii="宋体" w:hAnsi="宋体"/>
          <w:sz w:val="24"/>
          <w:highlight w:val="none"/>
        </w:rPr>
        <w:br w:type="page"/>
      </w:r>
    </w:p>
    <w:p>
      <w:pPr>
        <w:widowControl/>
        <w:jc w:val="center"/>
        <w:rPr>
          <w:rStyle w:val="52"/>
          <w:rFonts w:ascii="宋体" w:hAnsi="宋体" w:eastAsia="宋体"/>
          <w:sz w:val="24"/>
          <w:szCs w:val="22"/>
          <w:highlight w:val="none"/>
        </w:rPr>
      </w:pPr>
      <w:bookmarkStart w:id="114" w:name="_Toc31018"/>
      <w:r>
        <w:rPr>
          <w:rStyle w:val="52"/>
          <w:rFonts w:hint="eastAsia" w:ascii="宋体" w:hAnsi="宋体" w:eastAsia="宋体"/>
          <w:sz w:val="24"/>
          <w:szCs w:val="22"/>
          <w:highlight w:val="none"/>
        </w:rPr>
        <w:t>十</w:t>
      </w:r>
      <w:r>
        <w:rPr>
          <w:rStyle w:val="52"/>
          <w:rFonts w:hint="eastAsia" w:ascii="宋体" w:hAnsi="宋体"/>
          <w:sz w:val="24"/>
          <w:szCs w:val="22"/>
          <w:highlight w:val="none"/>
        </w:rPr>
        <w:t>三</w:t>
      </w:r>
      <w:r>
        <w:rPr>
          <w:rStyle w:val="52"/>
          <w:rFonts w:hint="eastAsia" w:ascii="宋体" w:hAnsi="宋体" w:eastAsia="宋体"/>
          <w:sz w:val="24"/>
          <w:szCs w:val="22"/>
          <w:highlight w:val="none"/>
        </w:rPr>
        <w:t>、  其他资料</w:t>
      </w:r>
    </w:p>
    <w:bookmarkEnd w:id="114"/>
    <w:p>
      <w:pPr>
        <w:spacing w:line="560" w:lineRule="exact"/>
        <w:rPr>
          <w:rFonts w:ascii="宋体" w:hAnsi="宋体"/>
          <w:sz w:val="24"/>
          <w:highlight w:val="none"/>
        </w:rPr>
      </w:pPr>
    </w:p>
    <w:p>
      <w:pPr>
        <w:spacing w:line="600" w:lineRule="exact"/>
        <w:rPr>
          <w:rFonts w:ascii="宋体" w:hAnsi="宋体" w:cs="宋体"/>
          <w:sz w:val="24"/>
          <w:highlight w:val="none"/>
        </w:rPr>
      </w:pPr>
    </w:p>
    <w:p>
      <w:pPr>
        <w:spacing w:line="600" w:lineRule="exact"/>
        <w:rPr>
          <w:rFonts w:ascii="宋体" w:hAnsi="宋体" w:cs="宋体"/>
          <w:sz w:val="24"/>
          <w:highlight w:val="none"/>
        </w:rPr>
      </w:pPr>
    </w:p>
    <w:p>
      <w:pPr>
        <w:spacing w:line="600" w:lineRule="exact"/>
        <w:rPr>
          <w:rFonts w:ascii="宋体" w:hAnsi="宋体" w:cs="宋体"/>
          <w:sz w:val="24"/>
          <w:highlight w:val="none"/>
        </w:rPr>
      </w:pPr>
    </w:p>
    <w:p>
      <w:pPr>
        <w:spacing w:line="600" w:lineRule="exact"/>
        <w:rPr>
          <w:rFonts w:ascii="宋体" w:hAnsi="宋体" w:cs="宋体"/>
          <w:sz w:val="24"/>
          <w:highlight w:val="none"/>
        </w:rPr>
      </w:pPr>
    </w:p>
    <w:p>
      <w:pPr>
        <w:spacing w:line="600" w:lineRule="exact"/>
        <w:rPr>
          <w:rFonts w:ascii="宋体" w:hAnsi="宋体" w:cs="宋体"/>
          <w:sz w:val="24"/>
          <w:highlight w:val="none"/>
        </w:rPr>
      </w:pPr>
    </w:p>
    <w:p>
      <w:pPr>
        <w:rPr>
          <w:rFonts w:ascii="宋体" w:hAnsi="宋体"/>
          <w:bCs/>
          <w:sz w:val="28"/>
          <w:szCs w:val="28"/>
          <w:highlight w:val="none"/>
        </w:rPr>
      </w:pPr>
    </w:p>
    <w:p>
      <w:pPr>
        <w:rPr>
          <w:highlight w:val="none"/>
        </w:rPr>
      </w:pPr>
    </w:p>
    <w:sectPr>
      <w:headerReference r:id="rId14" w:type="first"/>
      <w:footerReference r:id="rId16" w:type="first"/>
      <w:footerReference r:id="rId15" w:type="default"/>
      <w:pgSz w:w="11920" w:h="16840"/>
      <w:pgMar w:top="1418" w:right="1247" w:bottom="1247" w:left="1418" w:header="680" w:footer="851" w:gutter="0"/>
      <w:cols w:space="720" w:num="1"/>
      <w:docGrid w:type="lines" w:linePitch="306"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Ari">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5941" w:y="18"/>
      <w:rPr>
        <w:rStyle w:val="46"/>
        <w:rFonts w:ascii="宋体"/>
      </w:rPr>
    </w:pPr>
    <w:r>
      <w:rPr>
        <w:rStyle w:val="46"/>
        <w:rFonts w:ascii="宋体" w:hAnsi="宋体"/>
      </w:rPr>
      <w:fldChar w:fldCharType="begin"/>
    </w:r>
    <w:r>
      <w:rPr>
        <w:rStyle w:val="46"/>
        <w:rFonts w:ascii="宋体" w:hAnsi="宋体"/>
      </w:rPr>
      <w:instrText xml:space="preserve">PAGE  </w:instrText>
    </w:r>
    <w:r>
      <w:rPr>
        <w:rStyle w:val="46"/>
        <w:rFonts w:ascii="宋体" w:hAnsi="宋体"/>
      </w:rPr>
      <w:fldChar w:fldCharType="separate"/>
    </w:r>
    <w:r>
      <w:rPr>
        <w:rStyle w:val="46"/>
        <w:rFonts w:ascii="宋体" w:hAnsi="宋体"/>
      </w:rPr>
      <w:t>1</w:t>
    </w:r>
    <w:r>
      <w:rPr>
        <w:rStyle w:val="46"/>
        <w:rFonts w:ascii="宋体" w:hAnsi="宋体"/>
      </w:rPr>
      <w:fldChar w:fldCharType="end"/>
    </w:r>
  </w:p>
  <w:p>
    <w:pPr>
      <w:pStyle w:val="26"/>
      <w:pBdr>
        <w:top w:val="single" w:color="auto" w:sz="4" w:space="1"/>
      </w:pBdr>
    </w:pPr>
    <w:r>
      <w:rPr>
        <w:rFonts w:hint="eastAsia"/>
      </w:rPr>
      <w:t>百汇项目管理有限公司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pPr>
    <w:r>
      <w:rPr>
        <w:rFonts w:hint="eastAsia"/>
      </w:rPr>
      <w:t>百汇项目管理有限公司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5934" w:y="59"/>
      <w:jc w:val="center"/>
      <w:rPr>
        <w:rStyle w:val="46"/>
        <w:rFonts w:ascii="宋体"/>
      </w:rPr>
    </w:pPr>
    <w:r>
      <w:rPr>
        <w:rStyle w:val="46"/>
        <w:rFonts w:ascii="宋体" w:hAnsi="宋体"/>
      </w:rPr>
      <w:fldChar w:fldCharType="begin"/>
    </w:r>
    <w:r>
      <w:rPr>
        <w:rStyle w:val="46"/>
        <w:rFonts w:ascii="宋体" w:hAnsi="宋体"/>
      </w:rPr>
      <w:instrText xml:space="preserve">PAGE  </w:instrText>
    </w:r>
    <w:r>
      <w:rPr>
        <w:rStyle w:val="46"/>
        <w:rFonts w:ascii="宋体" w:hAnsi="宋体"/>
      </w:rPr>
      <w:fldChar w:fldCharType="separate"/>
    </w:r>
    <w:r>
      <w:rPr>
        <w:rStyle w:val="46"/>
        <w:rFonts w:ascii="宋体" w:hAnsi="宋体"/>
      </w:rPr>
      <w:t>5</w:t>
    </w:r>
    <w:r>
      <w:rPr>
        <w:rStyle w:val="46"/>
        <w:rFonts w:ascii="宋体" w:hAnsi="宋体"/>
      </w:rPr>
      <w:fldChar w:fldCharType="end"/>
    </w:r>
  </w:p>
  <w:p>
    <w:pPr>
      <w:pStyle w:val="26"/>
      <w:pBdr>
        <w:top w:val="single" w:color="auto" w:sz="4" w:space="1"/>
      </w:pBdr>
    </w:pPr>
    <w:r>
      <w:rPr>
        <w:rFonts w:hint="eastAsia"/>
      </w:rPr>
      <w:t>百汇项目管理有限公司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rPr>
        <w:rStyle w:val="46"/>
      </w:rPr>
      <w:fldChar w:fldCharType="begin"/>
    </w:r>
    <w:r>
      <w:rPr>
        <w:rStyle w:val="46"/>
      </w:rPr>
      <w:instrText xml:space="preserve"> PAGE  \* ArabicDash </w:instrText>
    </w:r>
    <w:r>
      <w:rPr>
        <w:rStyle w:val="46"/>
      </w:rPr>
      <w:fldChar w:fldCharType="separate"/>
    </w:r>
    <w:r>
      <w:rPr>
        <w:rStyle w:val="46"/>
      </w:rPr>
      <w:t>- 55 -</w:t>
    </w:r>
    <w:r>
      <w:rPr>
        <w:rStyle w:val="46"/>
      </w:rPr>
      <w:fldChar w:fldCharType="end"/>
    </w:r>
  </w:p>
  <w:p>
    <w:pPr>
      <w:pStyle w:val="26"/>
      <w:pBdr>
        <w:top w:val="single" w:color="auto" w:sz="4" w:space="1"/>
      </w:pBdr>
    </w:pPr>
    <w:r>
      <w:rPr>
        <w:rFonts w:hint="eastAsia"/>
      </w:rPr>
      <w:t>百汇项目管理有限公司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Style w:val="46"/>
      </w:rPr>
      <w:t>-</w:t>
    </w:r>
    <w:r>
      <w:rPr>
        <w:rStyle w:val="46"/>
      </w:rPr>
      <w:fldChar w:fldCharType="begin"/>
    </w:r>
    <w:r>
      <w:rPr>
        <w:rStyle w:val="46"/>
      </w:rPr>
      <w:instrText xml:space="preserve"> PAGE </w:instrText>
    </w:r>
    <w:r>
      <w:rPr>
        <w:rStyle w:val="46"/>
      </w:rPr>
      <w:fldChar w:fldCharType="separate"/>
    </w:r>
    <w:r>
      <w:rPr>
        <w:rStyle w:val="46"/>
      </w:rPr>
      <w:t>46</w:t>
    </w:r>
    <w:r>
      <w:rPr>
        <w:rStyle w:val="46"/>
      </w:rPr>
      <w:fldChar w:fldCharType="end"/>
    </w:r>
    <w:r>
      <w:rPr>
        <w:rStyle w:val="46"/>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double" w:color="auto" w:sz="8" w:space="1"/>
      </w:pBdr>
      <w:jc w:val="right"/>
    </w:pPr>
    <w:r>
      <w:rPr>
        <w:rFonts w:hint="eastAsia" w:ascii="宋体" w:hAnsi="宋体"/>
        <w:b/>
        <w:bCs/>
        <w:spacing w:val="-8"/>
        <w:sz w:val="20"/>
      </w:rPr>
      <w:t>河南省疾病预防控制中心“120”健康中原频道项目------招标文件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rPr>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ascii="宋体" w:hAnsi="宋体" w:cs="宋体"/>
        <w:szCs w:val="21"/>
        <w:highlight w:val="none"/>
      </w:rPr>
      <w:t>河南省疾病预防控制中心健康教育和传播系列工作项目</w:t>
    </w:r>
    <w:r>
      <w:rPr>
        <w:rFonts w:hint="eastAsia" w:ascii="宋体" w:hAnsi="宋体" w:cs="宋体"/>
        <w:szCs w:val="21"/>
        <w:highlight w:val="none"/>
        <w:lang w:val="en-US" w:eastAsia="zh-CN"/>
      </w:rPr>
      <w:t>(三次)</w:t>
    </w:r>
    <w:r>
      <w:rPr>
        <w:rFonts w:hint="eastAsia"/>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180" w:hanging="180" w:hangingChars="100"/>
      <w:jc w:val="both"/>
      <w:rPr>
        <w:rFonts w:ascii="宋体"/>
        <w:kern w:val="0"/>
      </w:rPr>
    </w:pPr>
    <w:r>
      <w:rPr>
        <w:rFonts w:hint="eastAsia" w:ascii="宋体" w:hAnsi="宋体"/>
        <w:kern w:val="0"/>
      </w:rPr>
      <w:t>河南省疾病预防控制中心河南省机电设备招标股份有限公司</w:t>
    </w:r>
  </w:p>
  <w:p>
    <w:pPr>
      <w:pStyle w:val="27"/>
      <w:ind w:left="180" w:hanging="180" w:hangingChars="100"/>
      <w:jc w:val="both"/>
      <w:rPr>
        <w:rFonts w:ascii="宋体"/>
        <w:kern w:val="0"/>
      </w:rPr>
    </w:pPr>
    <w:r>
      <w:rPr>
        <w:rFonts w:ascii="宋体" w:hAnsi="宋体"/>
        <w:kern w:val="0"/>
      </w:rPr>
      <w:t>2017</w:t>
    </w:r>
    <w:r>
      <w:rPr>
        <w:rFonts w:hint="eastAsia" w:ascii="宋体" w:hAnsi="宋体"/>
        <w:kern w:val="0"/>
      </w:rPr>
      <w:t>年度销售网点暗访检查项目竞争性磋商文件豫财磋商采购</w:t>
    </w:r>
    <w:r>
      <w:rPr>
        <w:rFonts w:ascii="宋体" w:hAnsi="宋体"/>
        <w:kern w:val="0"/>
      </w:rPr>
      <w:t xml:space="preserve">-2016-    </w:t>
    </w:r>
    <w:r>
      <w:rPr>
        <w:rFonts w:hint="eastAsia" w:ascii="宋体" w:hAnsi="宋体"/>
        <w:kern w:val="0"/>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10C73"/>
    <w:multiLevelType w:val="singleLevel"/>
    <w:tmpl w:val="83A10C73"/>
    <w:lvl w:ilvl="0" w:tentative="0">
      <w:start w:val="1"/>
      <w:numFmt w:val="decimal"/>
      <w:suff w:val="space"/>
      <w:lvlText w:val="%1."/>
      <w:lvlJc w:val="left"/>
    </w:lvl>
  </w:abstractNum>
  <w:abstractNum w:abstractNumId="1">
    <w:nsid w:val="BEF90F82"/>
    <w:multiLevelType w:val="singleLevel"/>
    <w:tmpl w:val="BEF90F82"/>
    <w:lvl w:ilvl="0" w:tentative="0">
      <w:start w:val="1"/>
      <w:numFmt w:val="decimal"/>
      <w:suff w:val="nothing"/>
      <w:lvlText w:val="%1、"/>
      <w:lvlJc w:val="left"/>
    </w:lvl>
  </w:abstractNum>
  <w:abstractNum w:abstractNumId="2">
    <w:nsid w:val="C67A3B68"/>
    <w:multiLevelType w:val="singleLevel"/>
    <w:tmpl w:val="C67A3B68"/>
    <w:lvl w:ilvl="0" w:tentative="0">
      <w:start w:val="4"/>
      <w:numFmt w:val="decimal"/>
      <w:suff w:val="nothing"/>
      <w:lvlText w:val="%1、"/>
      <w:lvlJc w:val="left"/>
    </w:lvl>
  </w:abstractNum>
  <w:abstractNum w:abstractNumId="3">
    <w:nsid w:val="F5AA4AE6"/>
    <w:multiLevelType w:val="singleLevel"/>
    <w:tmpl w:val="F5AA4AE6"/>
    <w:lvl w:ilvl="0" w:tentative="0">
      <w:start w:val="1"/>
      <w:numFmt w:val="decimal"/>
      <w:suff w:val="nothing"/>
      <w:lvlText w:val="（%1）"/>
      <w:lvlJc w:val="left"/>
    </w:lvl>
  </w:abstractNum>
  <w:abstractNum w:abstractNumId="4">
    <w:nsid w:val="FD151988"/>
    <w:multiLevelType w:val="singleLevel"/>
    <w:tmpl w:val="FD151988"/>
    <w:lvl w:ilvl="0" w:tentative="0">
      <w:start w:val="5"/>
      <w:numFmt w:val="decimal"/>
      <w:suff w:val="nothing"/>
      <w:lvlText w:val="%1、"/>
      <w:lvlJc w:val="left"/>
    </w:lvl>
  </w:abstractNum>
  <w:abstractNum w:abstractNumId="5">
    <w:nsid w:val="00000009"/>
    <w:multiLevelType w:val="multilevel"/>
    <w:tmpl w:val="00000009"/>
    <w:lvl w:ilvl="0" w:tentative="0">
      <w:start w:val="3"/>
      <w:numFmt w:val="japaneseCounting"/>
      <w:pStyle w:val="111"/>
      <w:lvlText w:val="第%1章"/>
      <w:lvlJc w:val="left"/>
      <w:pPr>
        <w:tabs>
          <w:tab w:val="left" w:pos="3311"/>
        </w:tabs>
        <w:ind w:left="3311" w:hanging="1215"/>
      </w:pPr>
      <w:rPr>
        <w:rFonts w:hint="default" w:ascii="宋体" w:eastAsia="宋体" w:cs="Times New Roman"/>
        <w:b/>
        <w:sz w:val="30"/>
      </w:rPr>
    </w:lvl>
    <w:lvl w:ilvl="1" w:tentative="0">
      <w:start w:val="1"/>
      <w:numFmt w:val="lowerLetter"/>
      <w:lvlText w:val="%2)"/>
      <w:lvlJc w:val="left"/>
      <w:pPr>
        <w:tabs>
          <w:tab w:val="left" w:pos="2936"/>
        </w:tabs>
        <w:ind w:left="2936" w:hanging="420"/>
      </w:pPr>
      <w:rPr>
        <w:rFonts w:cs="Times New Roman"/>
      </w:rPr>
    </w:lvl>
    <w:lvl w:ilvl="2" w:tentative="0">
      <w:start w:val="1"/>
      <w:numFmt w:val="lowerRoman"/>
      <w:lvlText w:val="%3."/>
      <w:lvlJc w:val="right"/>
      <w:pPr>
        <w:tabs>
          <w:tab w:val="left" w:pos="3356"/>
        </w:tabs>
        <w:ind w:left="3356" w:hanging="420"/>
      </w:pPr>
      <w:rPr>
        <w:rFonts w:cs="Times New Roman"/>
      </w:rPr>
    </w:lvl>
    <w:lvl w:ilvl="3" w:tentative="0">
      <w:start w:val="1"/>
      <w:numFmt w:val="decimal"/>
      <w:lvlText w:val="%4."/>
      <w:lvlJc w:val="left"/>
      <w:pPr>
        <w:tabs>
          <w:tab w:val="left" w:pos="3776"/>
        </w:tabs>
        <w:ind w:left="3776" w:hanging="420"/>
      </w:pPr>
      <w:rPr>
        <w:rFonts w:cs="Times New Roman"/>
      </w:rPr>
    </w:lvl>
    <w:lvl w:ilvl="4" w:tentative="0">
      <w:start w:val="1"/>
      <w:numFmt w:val="lowerLetter"/>
      <w:lvlText w:val="%5)"/>
      <w:lvlJc w:val="left"/>
      <w:pPr>
        <w:tabs>
          <w:tab w:val="left" w:pos="4196"/>
        </w:tabs>
        <w:ind w:left="4196" w:hanging="420"/>
      </w:pPr>
      <w:rPr>
        <w:rFonts w:cs="Times New Roman"/>
      </w:rPr>
    </w:lvl>
    <w:lvl w:ilvl="5" w:tentative="0">
      <w:start w:val="1"/>
      <w:numFmt w:val="lowerRoman"/>
      <w:lvlText w:val="%6."/>
      <w:lvlJc w:val="right"/>
      <w:pPr>
        <w:tabs>
          <w:tab w:val="left" w:pos="4616"/>
        </w:tabs>
        <w:ind w:left="4616" w:hanging="420"/>
      </w:pPr>
      <w:rPr>
        <w:rFonts w:cs="Times New Roman"/>
      </w:rPr>
    </w:lvl>
    <w:lvl w:ilvl="6" w:tentative="0">
      <w:start w:val="1"/>
      <w:numFmt w:val="decimal"/>
      <w:lvlText w:val="%7."/>
      <w:lvlJc w:val="left"/>
      <w:pPr>
        <w:tabs>
          <w:tab w:val="left" w:pos="5036"/>
        </w:tabs>
        <w:ind w:left="5036" w:hanging="420"/>
      </w:pPr>
      <w:rPr>
        <w:rFonts w:cs="Times New Roman"/>
      </w:rPr>
    </w:lvl>
    <w:lvl w:ilvl="7" w:tentative="0">
      <w:start w:val="1"/>
      <w:numFmt w:val="lowerLetter"/>
      <w:lvlText w:val="%8)"/>
      <w:lvlJc w:val="left"/>
      <w:pPr>
        <w:tabs>
          <w:tab w:val="left" w:pos="5456"/>
        </w:tabs>
        <w:ind w:left="5456" w:hanging="420"/>
      </w:pPr>
      <w:rPr>
        <w:rFonts w:cs="Times New Roman"/>
      </w:rPr>
    </w:lvl>
    <w:lvl w:ilvl="8" w:tentative="0">
      <w:start w:val="1"/>
      <w:numFmt w:val="lowerRoman"/>
      <w:lvlText w:val="%9."/>
      <w:lvlJc w:val="right"/>
      <w:pPr>
        <w:tabs>
          <w:tab w:val="left" w:pos="5876"/>
        </w:tabs>
        <w:ind w:left="5876" w:hanging="420"/>
      </w:pPr>
      <w:rPr>
        <w:rFonts w:cs="Times New Roman"/>
      </w:rPr>
    </w:lvl>
  </w:abstractNum>
  <w:abstractNum w:abstractNumId="6">
    <w:nsid w:val="0000001F"/>
    <w:multiLevelType w:val="multilevel"/>
    <w:tmpl w:val="0000001F"/>
    <w:lvl w:ilvl="0" w:tentative="0">
      <w:start w:val="1"/>
      <w:numFmt w:val="decimal"/>
      <w:pStyle w:val="103"/>
      <w:lvlText w:val="%1）"/>
      <w:lvlJc w:val="left"/>
      <w:pPr>
        <w:tabs>
          <w:tab w:val="left" w:pos="1260"/>
        </w:tabs>
        <w:ind w:left="1260" w:hanging="720"/>
      </w:pPr>
      <w:rPr>
        <w:rFonts w:hint="default" w:cs="Times New Roman"/>
      </w:rPr>
    </w:lvl>
    <w:lvl w:ilvl="1" w:tentative="0">
      <w:start w:val="2"/>
      <w:numFmt w:val="japaneseCounting"/>
      <w:lvlText w:val="%2、"/>
      <w:lvlJc w:val="left"/>
      <w:pPr>
        <w:tabs>
          <w:tab w:val="left" w:pos="1680"/>
        </w:tabs>
        <w:ind w:left="1680" w:hanging="720"/>
      </w:pPr>
      <w:rPr>
        <w:rFonts w:hint="default"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7">
    <w:nsid w:val="1B5781A8"/>
    <w:multiLevelType w:val="singleLevel"/>
    <w:tmpl w:val="1B5781A8"/>
    <w:lvl w:ilvl="0" w:tentative="0">
      <w:start w:val="9"/>
      <w:numFmt w:val="chineseCounting"/>
      <w:suff w:val="nothing"/>
      <w:lvlText w:val="%1、"/>
      <w:lvlJc w:val="left"/>
      <w:rPr>
        <w:rFonts w:hint="eastAsia"/>
      </w:rPr>
    </w:lvl>
  </w:abstractNum>
  <w:abstractNum w:abstractNumId="8">
    <w:nsid w:val="364B1DD6"/>
    <w:multiLevelType w:val="singleLevel"/>
    <w:tmpl w:val="364B1DD6"/>
    <w:lvl w:ilvl="0" w:tentative="0">
      <w:start w:val="7"/>
      <w:numFmt w:val="chineseCounting"/>
      <w:suff w:val="nothing"/>
      <w:lvlText w:val="%1、"/>
      <w:lvlJc w:val="left"/>
      <w:rPr>
        <w:rFonts w:hint="eastAsia"/>
      </w:rPr>
    </w:lvl>
  </w:abstractNum>
  <w:num w:numId="1">
    <w:abstractNumId w:val="6"/>
  </w:num>
  <w:num w:numId="2">
    <w:abstractNumId w:val="5"/>
  </w:num>
  <w:num w:numId="3">
    <w:abstractNumId w:val="2"/>
  </w:num>
  <w:num w:numId="4">
    <w:abstractNumId w:val="4"/>
  </w:num>
  <w:num w:numId="5">
    <w:abstractNumId w:val="8"/>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DAF"/>
    <w:rsid w:val="000138B0"/>
    <w:rsid w:val="00016DF6"/>
    <w:rsid w:val="000205BC"/>
    <w:rsid w:val="000218BC"/>
    <w:rsid w:val="00023568"/>
    <w:rsid w:val="00023E04"/>
    <w:rsid w:val="00040FDB"/>
    <w:rsid w:val="00043C38"/>
    <w:rsid w:val="000616C7"/>
    <w:rsid w:val="00065BA7"/>
    <w:rsid w:val="000745B7"/>
    <w:rsid w:val="000829AC"/>
    <w:rsid w:val="000B31D8"/>
    <w:rsid w:val="000B5E42"/>
    <w:rsid w:val="000B5F00"/>
    <w:rsid w:val="000C158D"/>
    <w:rsid w:val="000C5878"/>
    <w:rsid w:val="000E4F34"/>
    <w:rsid w:val="000E69BD"/>
    <w:rsid w:val="000F463C"/>
    <w:rsid w:val="000F6B59"/>
    <w:rsid w:val="00120BA8"/>
    <w:rsid w:val="001218E7"/>
    <w:rsid w:val="001357A9"/>
    <w:rsid w:val="00153360"/>
    <w:rsid w:val="001555C2"/>
    <w:rsid w:val="00171723"/>
    <w:rsid w:val="00172A27"/>
    <w:rsid w:val="00183A6A"/>
    <w:rsid w:val="00187788"/>
    <w:rsid w:val="001D07E6"/>
    <w:rsid w:val="001D20EC"/>
    <w:rsid w:val="001D72A4"/>
    <w:rsid w:val="001F1AD5"/>
    <w:rsid w:val="00200E8E"/>
    <w:rsid w:val="002047C9"/>
    <w:rsid w:val="002102AE"/>
    <w:rsid w:val="00220D50"/>
    <w:rsid w:val="002245D9"/>
    <w:rsid w:val="00236BC2"/>
    <w:rsid w:val="00242016"/>
    <w:rsid w:val="002572B6"/>
    <w:rsid w:val="0025781D"/>
    <w:rsid w:val="00266FCE"/>
    <w:rsid w:val="002A1CFC"/>
    <w:rsid w:val="002B3BD5"/>
    <w:rsid w:val="002B4A24"/>
    <w:rsid w:val="002C1B84"/>
    <w:rsid w:val="002C3F8C"/>
    <w:rsid w:val="002D31DC"/>
    <w:rsid w:val="0030492B"/>
    <w:rsid w:val="00306C4A"/>
    <w:rsid w:val="0032202B"/>
    <w:rsid w:val="003227F3"/>
    <w:rsid w:val="00330182"/>
    <w:rsid w:val="003336C2"/>
    <w:rsid w:val="00343360"/>
    <w:rsid w:val="00373263"/>
    <w:rsid w:val="003745F5"/>
    <w:rsid w:val="00376FCD"/>
    <w:rsid w:val="00383D95"/>
    <w:rsid w:val="00394402"/>
    <w:rsid w:val="003B57DD"/>
    <w:rsid w:val="003C20DD"/>
    <w:rsid w:val="003C52BD"/>
    <w:rsid w:val="003C630B"/>
    <w:rsid w:val="003D5732"/>
    <w:rsid w:val="003E0604"/>
    <w:rsid w:val="003E27A9"/>
    <w:rsid w:val="003E78BF"/>
    <w:rsid w:val="003F79D6"/>
    <w:rsid w:val="0041387D"/>
    <w:rsid w:val="0041742B"/>
    <w:rsid w:val="00425722"/>
    <w:rsid w:val="00425B9F"/>
    <w:rsid w:val="00426CB7"/>
    <w:rsid w:val="00434B41"/>
    <w:rsid w:val="00447CB1"/>
    <w:rsid w:val="0047304E"/>
    <w:rsid w:val="0047675C"/>
    <w:rsid w:val="00481B54"/>
    <w:rsid w:val="004B16AE"/>
    <w:rsid w:val="004B617E"/>
    <w:rsid w:val="004C7FA0"/>
    <w:rsid w:val="004D6C8C"/>
    <w:rsid w:val="004F610E"/>
    <w:rsid w:val="00502B06"/>
    <w:rsid w:val="005049D8"/>
    <w:rsid w:val="005075FE"/>
    <w:rsid w:val="00522F40"/>
    <w:rsid w:val="00527857"/>
    <w:rsid w:val="00537BAA"/>
    <w:rsid w:val="005462DF"/>
    <w:rsid w:val="0055003E"/>
    <w:rsid w:val="00554CAA"/>
    <w:rsid w:val="00563C87"/>
    <w:rsid w:val="00564FC1"/>
    <w:rsid w:val="0057271C"/>
    <w:rsid w:val="00572CF7"/>
    <w:rsid w:val="00586154"/>
    <w:rsid w:val="0059611F"/>
    <w:rsid w:val="005A72C1"/>
    <w:rsid w:val="005C650B"/>
    <w:rsid w:val="005C7BA7"/>
    <w:rsid w:val="005D2114"/>
    <w:rsid w:val="005F10A7"/>
    <w:rsid w:val="005F4560"/>
    <w:rsid w:val="00610C7D"/>
    <w:rsid w:val="00611319"/>
    <w:rsid w:val="0063330E"/>
    <w:rsid w:val="00637BF0"/>
    <w:rsid w:val="006466A4"/>
    <w:rsid w:val="006473E2"/>
    <w:rsid w:val="00651E4C"/>
    <w:rsid w:val="00657958"/>
    <w:rsid w:val="006602B4"/>
    <w:rsid w:val="00663930"/>
    <w:rsid w:val="00667ABE"/>
    <w:rsid w:val="006732A1"/>
    <w:rsid w:val="00684ECF"/>
    <w:rsid w:val="006A1FB0"/>
    <w:rsid w:val="006B2BBD"/>
    <w:rsid w:val="006B439E"/>
    <w:rsid w:val="006D2695"/>
    <w:rsid w:val="006D4D1A"/>
    <w:rsid w:val="006E652E"/>
    <w:rsid w:val="006F0EB4"/>
    <w:rsid w:val="006F2966"/>
    <w:rsid w:val="00702A81"/>
    <w:rsid w:val="00720793"/>
    <w:rsid w:val="00724CFB"/>
    <w:rsid w:val="007336D5"/>
    <w:rsid w:val="007349E2"/>
    <w:rsid w:val="00735AFC"/>
    <w:rsid w:val="007452BE"/>
    <w:rsid w:val="007456A1"/>
    <w:rsid w:val="00745B75"/>
    <w:rsid w:val="00750278"/>
    <w:rsid w:val="007545B5"/>
    <w:rsid w:val="00761C97"/>
    <w:rsid w:val="0077778F"/>
    <w:rsid w:val="007A02C2"/>
    <w:rsid w:val="007C147C"/>
    <w:rsid w:val="007C4933"/>
    <w:rsid w:val="007C5EDC"/>
    <w:rsid w:val="007D25EA"/>
    <w:rsid w:val="007F5AA2"/>
    <w:rsid w:val="007F6C82"/>
    <w:rsid w:val="00804503"/>
    <w:rsid w:val="008061CA"/>
    <w:rsid w:val="00811BDF"/>
    <w:rsid w:val="00814412"/>
    <w:rsid w:val="008147C2"/>
    <w:rsid w:val="00823BFA"/>
    <w:rsid w:val="0082588E"/>
    <w:rsid w:val="0083505F"/>
    <w:rsid w:val="008418C7"/>
    <w:rsid w:val="00862427"/>
    <w:rsid w:val="00863C59"/>
    <w:rsid w:val="0087118F"/>
    <w:rsid w:val="00882516"/>
    <w:rsid w:val="00892C19"/>
    <w:rsid w:val="00893017"/>
    <w:rsid w:val="00893F94"/>
    <w:rsid w:val="008963F9"/>
    <w:rsid w:val="008A1606"/>
    <w:rsid w:val="008D60C3"/>
    <w:rsid w:val="008E0184"/>
    <w:rsid w:val="008E0F56"/>
    <w:rsid w:val="008F07AA"/>
    <w:rsid w:val="008F4899"/>
    <w:rsid w:val="008F6F68"/>
    <w:rsid w:val="00903CCB"/>
    <w:rsid w:val="00906269"/>
    <w:rsid w:val="009174AF"/>
    <w:rsid w:val="00930251"/>
    <w:rsid w:val="0094252B"/>
    <w:rsid w:val="009455D4"/>
    <w:rsid w:val="009524F7"/>
    <w:rsid w:val="00952BF9"/>
    <w:rsid w:val="00957383"/>
    <w:rsid w:val="009637CF"/>
    <w:rsid w:val="00964887"/>
    <w:rsid w:val="00965632"/>
    <w:rsid w:val="00966248"/>
    <w:rsid w:val="00966764"/>
    <w:rsid w:val="009763FD"/>
    <w:rsid w:val="009805DE"/>
    <w:rsid w:val="009854F7"/>
    <w:rsid w:val="009905DD"/>
    <w:rsid w:val="009A0098"/>
    <w:rsid w:val="009A1CD4"/>
    <w:rsid w:val="009A35C4"/>
    <w:rsid w:val="009A613C"/>
    <w:rsid w:val="009B35F2"/>
    <w:rsid w:val="009B4148"/>
    <w:rsid w:val="009D163F"/>
    <w:rsid w:val="009F149B"/>
    <w:rsid w:val="00A016B9"/>
    <w:rsid w:val="00A050C1"/>
    <w:rsid w:val="00A1438C"/>
    <w:rsid w:val="00A3221E"/>
    <w:rsid w:val="00A367A8"/>
    <w:rsid w:val="00A369ED"/>
    <w:rsid w:val="00A42C3A"/>
    <w:rsid w:val="00A5110B"/>
    <w:rsid w:val="00A61E6D"/>
    <w:rsid w:val="00A637C5"/>
    <w:rsid w:val="00A6781D"/>
    <w:rsid w:val="00A749F2"/>
    <w:rsid w:val="00A74A4E"/>
    <w:rsid w:val="00A84B55"/>
    <w:rsid w:val="00A86BF7"/>
    <w:rsid w:val="00A91CA3"/>
    <w:rsid w:val="00A93D15"/>
    <w:rsid w:val="00A9497D"/>
    <w:rsid w:val="00AA0CF7"/>
    <w:rsid w:val="00AB2ABE"/>
    <w:rsid w:val="00AE7BA6"/>
    <w:rsid w:val="00AF0275"/>
    <w:rsid w:val="00AF62F8"/>
    <w:rsid w:val="00B10CEE"/>
    <w:rsid w:val="00B10CF5"/>
    <w:rsid w:val="00B13F30"/>
    <w:rsid w:val="00B2143A"/>
    <w:rsid w:val="00B51389"/>
    <w:rsid w:val="00B55B05"/>
    <w:rsid w:val="00B651B2"/>
    <w:rsid w:val="00B8059F"/>
    <w:rsid w:val="00B836DC"/>
    <w:rsid w:val="00B851B7"/>
    <w:rsid w:val="00B85231"/>
    <w:rsid w:val="00B9570B"/>
    <w:rsid w:val="00B96588"/>
    <w:rsid w:val="00BA72B3"/>
    <w:rsid w:val="00BA7B2C"/>
    <w:rsid w:val="00BD6636"/>
    <w:rsid w:val="00BE182C"/>
    <w:rsid w:val="00C04A4B"/>
    <w:rsid w:val="00C13CFE"/>
    <w:rsid w:val="00C20B77"/>
    <w:rsid w:val="00C36513"/>
    <w:rsid w:val="00C50D49"/>
    <w:rsid w:val="00C51986"/>
    <w:rsid w:val="00C57C35"/>
    <w:rsid w:val="00C62DD1"/>
    <w:rsid w:val="00C76B4E"/>
    <w:rsid w:val="00CA135E"/>
    <w:rsid w:val="00CB5720"/>
    <w:rsid w:val="00CD10CE"/>
    <w:rsid w:val="00CD121C"/>
    <w:rsid w:val="00CD5379"/>
    <w:rsid w:val="00CD5531"/>
    <w:rsid w:val="00CE1F09"/>
    <w:rsid w:val="00CF6F69"/>
    <w:rsid w:val="00D120BE"/>
    <w:rsid w:val="00D1292E"/>
    <w:rsid w:val="00D217F4"/>
    <w:rsid w:val="00D21D75"/>
    <w:rsid w:val="00D2204A"/>
    <w:rsid w:val="00D255E7"/>
    <w:rsid w:val="00D27815"/>
    <w:rsid w:val="00D27E7A"/>
    <w:rsid w:val="00D3426E"/>
    <w:rsid w:val="00D3469A"/>
    <w:rsid w:val="00D34B26"/>
    <w:rsid w:val="00D34E6E"/>
    <w:rsid w:val="00D36E5B"/>
    <w:rsid w:val="00D4202C"/>
    <w:rsid w:val="00D630AF"/>
    <w:rsid w:val="00D6767C"/>
    <w:rsid w:val="00D72840"/>
    <w:rsid w:val="00D74321"/>
    <w:rsid w:val="00D743C7"/>
    <w:rsid w:val="00DA3F41"/>
    <w:rsid w:val="00DA5FBC"/>
    <w:rsid w:val="00DA5FC4"/>
    <w:rsid w:val="00DB0065"/>
    <w:rsid w:val="00DB521C"/>
    <w:rsid w:val="00DB710B"/>
    <w:rsid w:val="00DD26C0"/>
    <w:rsid w:val="00DE2BB1"/>
    <w:rsid w:val="00DE3F6C"/>
    <w:rsid w:val="00DF1570"/>
    <w:rsid w:val="00DF1CA5"/>
    <w:rsid w:val="00E12917"/>
    <w:rsid w:val="00E13527"/>
    <w:rsid w:val="00E13A82"/>
    <w:rsid w:val="00E333D1"/>
    <w:rsid w:val="00E33447"/>
    <w:rsid w:val="00E41962"/>
    <w:rsid w:val="00E436D5"/>
    <w:rsid w:val="00E44082"/>
    <w:rsid w:val="00E44218"/>
    <w:rsid w:val="00E46700"/>
    <w:rsid w:val="00E47951"/>
    <w:rsid w:val="00E53CF5"/>
    <w:rsid w:val="00E7613F"/>
    <w:rsid w:val="00E8478D"/>
    <w:rsid w:val="00E84919"/>
    <w:rsid w:val="00E9038E"/>
    <w:rsid w:val="00E924F6"/>
    <w:rsid w:val="00E97A26"/>
    <w:rsid w:val="00EB3842"/>
    <w:rsid w:val="00EC354A"/>
    <w:rsid w:val="00ED12AB"/>
    <w:rsid w:val="00EF2937"/>
    <w:rsid w:val="00EF5E73"/>
    <w:rsid w:val="00F05F00"/>
    <w:rsid w:val="00F25394"/>
    <w:rsid w:val="00F40CB7"/>
    <w:rsid w:val="00F42F5F"/>
    <w:rsid w:val="00F4507F"/>
    <w:rsid w:val="00F450BB"/>
    <w:rsid w:val="00F45B0E"/>
    <w:rsid w:val="00F559A9"/>
    <w:rsid w:val="00F5655C"/>
    <w:rsid w:val="00F65868"/>
    <w:rsid w:val="00F67133"/>
    <w:rsid w:val="00F837E7"/>
    <w:rsid w:val="00FA2C27"/>
    <w:rsid w:val="00FA33EB"/>
    <w:rsid w:val="00FB4597"/>
    <w:rsid w:val="00FD3CB2"/>
    <w:rsid w:val="00FE1524"/>
    <w:rsid w:val="01104CCD"/>
    <w:rsid w:val="01210B94"/>
    <w:rsid w:val="01A03A24"/>
    <w:rsid w:val="01AE28B6"/>
    <w:rsid w:val="02473491"/>
    <w:rsid w:val="026B5A04"/>
    <w:rsid w:val="02972FD5"/>
    <w:rsid w:val="02E53D3E"/>
    <w:rsid w:val="03124DEA"/>
    <w:rsid w:val="036C7986"/>
    <w:rsid w:val="037034B4"/>
    <w:rsid w:val="039B2DCD"/>
    <w:rsid w:val="03E46220"/>
    <w:rsid w:val="041440C5"/>
    <w:rsid w:val="0473364F"/>
    <w:rsid w:val="04853F14"/>
    <w:rsid w:val="04947690"/>
    <w:rsid w:val="04A77998"/>
    <w:rsid w:val="04D5569B"/>
    <w:rsid w:val="05131AE6"/>
    <w:rsid w:val="05273549"/>
    <w:rsid w:val="05ED7CAE"/>
    <w:rsid w:val="0657229D"/>
    <w:rsid w:val="066649D4"/>
    <w:rsid w:val="066D35D0"/>
    <w:rsid w:val="06724AC9"/>
    <w:rsid w:val="06812483"/>
    <w:rsid w:val="06881756"/>
    <w:rsid w:val="071E73B7"/>
    <w:rsid w:val="072C4D8E"/>
    <w:rsid w:val="074C6930"/>
    <w:rsid w:val="07814962"/>
    <w:rsid w:val="078B6886"/>
    <w:rsid w:val="07AB32D1"/>
    <w:rsid w:val="07AE3C12"/>
    <w:rsid w:val="07B1364B"/>
    <w:rsid w:val="07BF4A6D"/>
    <w:rsid w:val="07D327C7"/>
    <w:rsid w:val="07FC48CB"/>
    <w:rsid w:val="07FE0AB4"/>
    <w:rsid w:val="080510DC"/>
    <w:rsid w:val="0828479E"/>
    <w:rsid w:val="083738C2"/>
    <w:rsid w:val="083E5269"/>
    <w:rsid w:val="084571D7"/>
    <w:rsid w:val="085A560A"/>
    <w:rsid w:val="086A3814"/>
    <w:rsid w:val="08822E6B"/>
    <w:rsid w:val="088B0F67"/>
    <w:rsid w:val="08FC5AAB"/>
    <w:rsid w:val="09103861"/>
    <w:rsid w:val="09337446"/>
    <w:rsid w:val="09393C17"/>
    <w:rsid w:val="098B5D59"/>
    <w:rsid w:val="09AB263E"/>
    <w:rsid w:val="09AE56EC"/>
    <w:rsid w:val="09D4131E"/>
    <w:rsid w:val="0A2B22EF"/>
    <w:rsid w:val="0A483C74"/>
    <w:rsid w:val="0A4E6EE8"/>
    <w:rsid w:val="0A717B26"/>
    <w:rsid w:val="0A9B3C0B"/>
    <w:rsid w:val="0AD36DF0"/>
    <w:rsid w:val="0B2F052F"/>
    <w:rsid w:val="0BAD362E"/>
    <w:rsid w:val="0BF73869"/>
    <w:rsid w:val="0C0A1D08"/>
    <w:rsid w:val="0C5B39A0"/>
    <w:rsid w:val="0C6F07AD"/>
    <w:rsid w:val="0C816A96"/>
    <w:rsid w:val="0C8D682B"/>
    <w:rsid w:val="0CB119F6"/>
    <w:rsid w:val="0CB16D58"/>
    <w:rsid w:val="0CF5210B"/>
    <w:rsid w:val="0DB629FF"/>
    <w:rsid w:val="0DC00D1D"/>
    <w:rsid w:val="0DDC7C94"/>
    <w:rsid w:val="0EE1509F"/>
    <w:rsid w:val="0EE72401"/>
    <w:rsid w:val="0F16791B"/>
    <w:rsid w:val="0F1A4376"/>
    <w:rsid w:val="0F26281D"/>
    <w:rsid w:val="0F2C5CCB"/>
    <w:rsid w:val="0F4B3D6E"/>
    <w:rsid w:val="0F5208B0"/>
    <w:rsid w:val="0F73754F"/>
    <w:rsid w:val="0F880DBE"/>
    <w:rsid w:val="0F883377"/>
    <w:rsid w:val="0F9F5E8F"/>
    <w:rsid w:val="0FB80168"/>
    <w:rsid w:val="0FC10D03"/>
    <w:rsid w:val="0FC60262"/>
    <w:rsid w:val="100769A7"/>
    <w:rsid w:val="100D629A"/>
    <w:rsid w:val="102B3F84"/>
    <w:rsid w:val="105B7DE2"/>
    <w:rsid w:val="10AF0BAA"/>
    <w:rsid w:val="1110166C"/>
    <w:rsid w:val="116A7529"/>
    <w:rsid w:val="11A320FC"/>
    <w:rsid w:val="11CD6339"/>
    <w:rsid w:val="11EF585C"/>
    <w:rsid w:val="12742246"/>
    <w:rsid w:val="12F64A4B"/>
    <w:rsid w:val="12FC70BC"/>
    <w:rsid w:val="130127F5"/>
    <w:rsid w:val="130374D8"/>
    <w:rsid w:val="131B67C4"/>
    <w:rsid w:val="13635FE3"/>
    <w:rsid w:val="139C3A59"/>
    <w:rsid w:val="13AA254E"/>
    <w:rsid w:val="13BB717C"/>
    <w:rsid w:val="144569F1"/>
    <w:rsid w:val="146264CB"/>
    <w:rsid w:val="146B5F50"/>
    <w:rsid w:val="14F55F27"/>
    <w:rsid w:val="15241318"/>
    <w:rsid w:val="158E58CE"/>
    <w:rsid w:val="15EC5ED1"/>
    <w:rsid w:val="1640501C"/>
    <w:rsid w:val="16461A48"/>
    <w:rsid w:val="16BC34AF"/>
    <w:rsid w:val="16E64C08"/>
    <w:rsid w:val="1703120B"/>
    <w:rsid w:val="174F0E80"/>
    <w:rsid w:val="179C7F2E"/>
    <w:rsid w:val="17B84F4C"/>
    <w:rsid w:val="17D72AEB"/>
    <w:rsid w:val="18075614"/>
    <w:rsid w:val="180D5862"/>
    <w:rsid w:val="18111B42"/>
    <w:rsid w:val="18357A3B"/>
    <w:rsid w:val="18D827B7"/>
    <w:rsid w:val="18F02C86"/>
    <w:rsid w:val="18F77146"/>
    <w:rsid w:val="192A4A21"/>
    <w:rsid w:val="194175AC"/>
    <w:rsid w:val="196E3469"/>
    <w:rsid w:val="19B0179F"/>
    <w:rsid w:val="1A010EC2"/>
    <w:rsid w:val="1A07075A"/>
    <w:rsid w:val="1A0F65CA"/>
    <w:rsid w:val="1A5D25C1"/>
    <w:rsid w:val="1A666715"/>
    <w:rsid w:val="1AD42908"/>
    <w:rsid w:val="1B351219"/>
    <w:rsid w:val="1B56440A"/>
    <w:rsid w:val="1B597138"/>
    <w:rsid w:val="1B970591"/>
    <w:rsid w:val="1BC43450"/>
    <w:rsid w:val="1BD66FDA"/>
    <w:rsid w:val="1BF85348"/>
    <w:rsid w:val="1BF9692D"/>
    <w:rsid w:val="1C033DC4"/>
    <w:rsid w:val="1C520554"/>
    <w:rsid w:val="1C74762B"/>
    <w:rsid w:val="1C9B0D22"/>
    <w:rsid w:val="1CBA7722"/>
    <w:rsid w:val="1D0920DC"/>
    <w:rsid w:val="1D2A3041"/>
    <w:rsid w:val="1D5A50C3"/>
    <w:rsid w:val="1DB21E2B"/>
    <w:rsid w:val="1DF13F4E"/>
    <w:rsid w:val="1E2B4E73"/>
    <w:rsid w:val="1E3D2D77"/>
    <w:rsid w:val="1E42510C"/>
    <w:rsid w:val="1E52755E"/>
    <w:rsid w:val="1E7E183D"/>
    <w:rsid w:val="1EAA1A06"/>
    <w:rsid w:val="1F427716"/>
    <w:rsid w:val="1F5B1126"/>
    <w:rsid w:val="1F8F7F11"/>
    <w:rsid w:val="1FB3073B"/>
    <w:rsid w:val="1FC92AE5"/>
    <w:rsid w:val="1FF60012"/>
    <w:rsid w:val="1FFD64E7"/>
    <w:rsid w:val="20367233"/>
    <w:rsid w:val="208F5700"/>
    <w:rsid w:val="212D004B"/>
    <w:rsid w:val="216051E3"/>
    <w:rsid w:val="216B5AD1"/>
    <w:rsid w:val="2193043E"/>
    <w:rsid w:val="21BC05BC"/>
    <w:rsid w:val="21C606BF"/>
    <w:rsid w:val="22C552D5"/>
    <w:rsid w:val="23722047"/>
    <w:rsid w:val="23790C0D"/>
    <w:rsid w:val="23D933FE"/>
    <w:rsid w:val="23DC4D53"/>
    <w:rsid w:val="24594A57"/>
    <w:rsid w:val="24763E6F"/>
    <w:rsid w:val="249A7E63"/>
    <w:rsid w:val="249B23A3"/>
    <w:rsid w:val="24CF2BB6"/>
    <w:rsid w:val="25107E0C"/>
    <w:rsid w:val="25214CDD"/>
    <w:rsid w:val="253357AE"/>
    <w:rsid w:val="25C65329"/>
    <w:rsid w:val="2644588F"/>
    <w:rsid w:val="26A93530"/>
    <w:rsid w:val="26B74D02"/>
    <w:rsid w:val="26D77C6C"/>
    <w:rsid w:val="27535EA9"/>
    <w:rsid w:val="2783384C"/>
    <w:rsid w:val="27B10840"/>
    <w:rsid w:val="27B97942"/>
    <w:rsid w:val="27F72DDE"/>
    <w:rsid w:val="28A0359C"/>
    <w:rsid w:val="28C721AF"/>
    <w:rsid w:val="28F544EC"/>
    <w:rsid w:val="28FD50C0"/>
    <w:rsid w:val="2A1F00AF"/>
    <w:rsid w:val="2A297F00"/>
    <w:rsid w:val="2A725773"/>
    <w:rsid w:val="2AB865FC"/>
    <w:rsid w:val="2AC51243"/>
    <w:rsid w:val="2AF81B19"/>
    <w:rsid w:val="2B0A2BB5"/>
    <w:rsid w:val="2B16203F"/>
    <w:rsid w:val="2C215355"/>
    <w:rsid w:val="2C28433C"/>
    <w:rsid w:val="2C913B49"/>
    <w:rsid w:val="2C9837DD"/>
    <w:rsid w:val="2CA8571E"/>
    <w:rsid w:val="2CA85BEE"/>
    <w:rsid w:val="2CCB620B"/>
    <w:rsid w:val="2CE461B7"/>
    <w:rsid w:val="2CED2CF2"/>
    <w:rsid w:val="2CFC7942"/>
    <w:rsid w:val="2D09043D"/>
    <w:rsid w:val="2D666A34"/>
    <w:rsid w:val="2DA67068"/>
    <w:rsid w:val="2E1F00CB"/>
    <w:rsid w:val="2E6C3866"/>
    <w:rsid w:val="2E6F1148"/>
    <w:rsid w:val="2E704CDE"/>
    <w:rsid w:val="2E9068B6"/>
    <w:rsid w:val="2EAB6CCE"/>
    <w:rsid w:val="2EAE7545"/>
    <w:rsid w:val="2EC36A4A"/>
    <w:rsid w:val="2F2A09A5"/>
    <w:rsid w:val="2F5C49C8"/>
    <w:rsid w:val="2FAC2B93"/>
    <w:rsid w:val="30285580"/>
    <w:rsid w:val="302A2838"/>
    <w:rsid w:val="3052132D"/>
    <w:rsid w:val="307E4363"/>
    <w:rsid w:val="30B30BF8"/>
    <w:rsid w:val="310440EC"/>
    <w:rsid w:val="314142D7"/>
    <w:rsid w:val="31805194"/>
    <w:rsid w:val="31821C7D"/>
    <w:rsid w:val="31856378"/>
    <w:rsid w:val="31FF01AE"/>
    <w:rsid w:val="32442B74"/>
    <w:rsid w:val="32560767"/>
    <w:rsid w:val="32717CC3"/>
    <w:rsid w:val="327D3A2C"/>
    <w:rsid w:val="32BD25BC"/>
    <w:rsid w:val="32DC5FF8"/>
    <w:rsid w:val="33105C54"/>
    <w:rsid w:val="33224BC5"/>
    <w:rsid w:val="332407F8"/>
    <w:rsid w:val="336852A2"/>
    <w:rsid w:val="33982774"/>
    <w:rsid w:val="33C11A52"/>
    <w:rsid w:val="33D27C19"/>
    <w:rsid w:val="33DD67B5"/>
    <w:rsid w:val="348A4F89"/>
    <w:rsid w:val="348B5229"/>
    <w:rsid w:val="34A45309"/>
    <w:rsid w:val="35133446"/>
    <w:rsid w:val="352233F2"/>
    <w:rsid w:val="35E26756"/>
    <w:rsid w:val="361C19D2"/>
    <w:rsid w:val="36BD5F93"/>
    <w:rsid w:val="36C3344D"/>
    <w:rsid w:val="36D7408D"/>
    <w:rsid w:val="36EA7348"/>
    <w:rsid w:val="371F71AE"/>
    <w:rsid w:val="37210546"/>
    <w:rsid w:val="375A1B1C"/>
    <w:rsid w:val="377D787E"/>
    <w:rsid w:val="37940DC6"/>
    <w:rsid w:val="37DE63F2"/>
    <w:rsid w:val="389A4488"/>
    <w:rsid w:val="38A50A69"/>
    <w:rsid w:val="38FA6C49"/>
    <w:rsid w:val="390C209D"/>
    <w:rsid w:val="39125B2A"/>
    <w:rsid w:val="39202D9E"/>
    <w:rsid w:val="39563E7B"/>
    <w:rsid w:val="39884572"/>
    <w:rsid w:val="39982C9E"/>
    <w:rsid w:val="39DE5E71"/>
    <w:rsid w:val="39E113F4"/>
    <w:rsid w:val="3A01163D"/>
    <w:rsid w:val="3A094F67"/>
    <w:rsid w:val="3A270619"/>
    <w:rsid w:val="3A4C09FA"/>
    <w:rsid w:val="3A5A55E9"/>
    <w:rsid w:val="3A752A1E"/>
    <w:rsid w:val="3A8C2836"/>
    <w:rsid w:val="3AC55642"/>
    <w:rsid w:val="3B52128D"/>
    <w:rsid w:val="3B861A71"/>
    <w:rsid w:val="3BCE3E56"/>
    <w:rsid w:val="3BF00152"/>
    <w:rsid w:val="3C3268A1"/>
    <w:rsid w:val="3CA80E0F"/>
    <w:rsid w:val="3CEE679F"/>
    <w:rsid w:val="3D0E5B60"/>
    <w:rsid w:val="3D1A1EB8"/>
    <w:rsid w:val="3D30525C"/>
    <w:rsid w:val="3D382277"/>
    <w:rsid w:val="3D9D4C40"/>
    <w:rsid w:val="3DBB552E"/>
    <w:rsid w:val="3DBC3EC6"/>
    <w:rsid w:val="3ECA6AF6"/>
    <w:rsid w:val="3ECB64D0"/>
    <w:rsid w:val="3ECD7C8B"/>
    <w:rsid w:val="3F023D01"/>
    <w:rsid w:val="3FB37A98"/>
    <w:rsid w:val="3FE13309"/>
    <w:rsid w:val="400C12EC"/>
    <w:rsid w:val="4026152E"/>
    <w:rsid w:val="40B445AA"/>
    <w:rsid w:val="40BD5FD9"/>
    <w:rsid w:val="41405412"/>
    <w:rsid w:val="41524538"/>
    <w:rsid w:val="419F07B9"/>
    <w:rsid w:val="41A11CD6"/>
    <w:rsid w:val="42312B2F"/>
    <w:rsid w:val="427652B9"/>
    <w:rsid w:val="429E4E8A"/>
    <w:rsid w:val="42B43E50"/>
    <w:rsid w:val="43092AC7"/>
    <w:rsid w:val="430F44BC"/>
    <w:rsid w:val="4330182F"/>
    <w:rsid w:val="435604C8"/>
    <w:rsid w:val="436032C9"/>
    <w:rsid w:val="43636755"/>
    <w:rsid w:val="436624CF"/>
    <w:rsid w:val="43E743F4"/>
    <w:rsid w:val="4408794E"/>
    <w:rsid w:val="444F77A2"/>
    <w:rsid w:val="445D63CB"/>
    <w:rsid w:val="447E5716"/>
    <w:rsid w:val="44CD1EB9"/>
    <w:rsid w:val="44FA1ED1"/>
    <w:rsid w:val="45011391"/>
    <w:rsid w:val="45463341"/>
    <w:rsid w:val="45786A04"/>
    <w:rsid w:val="45840F19"/>
    <w:rsid w:val="45C3272F"/>
    <w:rsid w:val="46045DA1"/>
    <w:rsid w:val="46783EDD"/>
    <w:rsid w:val="467E5123"/>
    <w:rsid w:val="46A34E7F"/>
    <w:rsid w:val="46A60889"/>
    <w:rsid w:val="46AA3907"/>
    <w:rsid w:val="46E054BC"/>
    <w:rsid w:val="472524C6"/>
    <w:rsid w:val="47321495"/>
    <w:rsid w:val="475F3F4A"/>
    <w:rsid w:val="478F7A0E"/>
    <w:rsid w:val="47971420"/>
    <w:rsid w:val="48104D24"/>
    <w:rsid w:val="48425266"/>
    <w:rsid w:val="48434CD2"/>
    <w:rsid w:val="48483580"/>
    <w:rsid w:val="4855785C"/>
    <w:rsid w:val="486C04D0"/>
    <w:rsid w:val="48E53247"/>
    <w:rsid w:val="48F641A4"/>
    <w:rsid w:val="49605B3C"/>
    <w:rsid w:val="49B931CE"/>
    <w:rsid w:val="49CB28CC"/>
    <w:rsid w:val="49F26C90"/>
    <w:rsid w:val="49FF4BCF"/>
    <w:rsid w:val="4A0D0D26"/>
    <w:rsid w:val="4AA665B7"/>
    <w:rsid w:val="4AA67008"/>
    <w:rsid w:val="4AD57B76"/>
    <w:rsid w:val="4ADD1744"/>
    <w:rsid w:val="4BEA6931"/>
    <w:rsid w:val="4C5D0708"/>
    <w:rsid w:val="4C6B7BD2"/>
    <w:rsid w:val="4C8675D7"/>
    <w:rsid w:val="4C896FBD"/>
    <w:rsid w:val="4C8F3F72"/>
    <w:rsid w:val="4CA767A5"/>
    <w:rsid w:val="4CD23BBA"/>
    <w:rsid w:val="4CD657D7"/>
    <w:rsid w:val="4D1C4E5D"/>
    <w:rsid w:val="4D5878FA"/>
    <w:rsid w:val="4D7759F1"/>
    <w:rsid w:val="4D89630B"/>
    <w:rsid w:val="4EA756CB"/>
    <w:rsid w:val="4F05461B"/>
    <w:rsid w:val="4F5E07E0"/>
    <w:rsid w:val="4F865DAB"/>
    <w:rsid w:val="4F890A05"/>
    <w:rsid w:val="4FAD3C38"/>
    <w:rsid w:val="50193650"/>
    <w:rsid w:val="5039665D"/>
    <w:rsid w:val="505B5BB4"/>
    <w:rsid w:val="50850761"/>
    <w:rsid w:val="50D21192"/>
    <w:rsid w:val="51213FA9"/>
    <w:rsid w:val="51663EED"/>
    <w:rsid w:val="51AE2B49"/>
    <w:rsid w:val="51B57CCD"/>
    <w:rsid w:val="52130497"/>
    <w:rsid w:val="522B5299"/>
    <w:rsid w:val="52460EB0"/>
    <w:rsid w:val="529446F7"/>
    <w:rsid w:val="5366252C"/>
    <w:rsid w:val="536948F0"/>
    <w:rsid w:val="53C8414F"/>
    <w:rsid w:val="53E965FC"/>
    <w:rsid w:val="53EA66B4"/>
    <w:rsid w:val="54317513"/>
    <w:rsid w:val="54394F17"/>
    <w:rsid w:val="54B73605"/>
    <w:rsid w:val="54D42DA4"/>
    <w:rsid w:val="55676716"/>
    <w:rsid w:val="559315AC"/>
    <w:rsid w:val="55933F27"/>
    <w:rsid w:val="55ED7611"/>
    <w:rsid w:val="55FD36FC"/>
    <w:rsid w:val="56BA4C3D"/>
    <w:rsid w:val="57207C3D"/>
    <w:rsid w:val="57C91BFE"/>
    <w:rsid w:val="57DA5A72"/>
    <w:rsid w:val="5823247C"/>
    <w:rsid w:val="585D336B"/>
    <w:rsid w:val="58871A84"/>
    <w:rsid w:val="589E1EA4"/>
    <w:rsid w:val="58A2356C"/>
    <w:rsid w:val="58B4527F"/>
    <w:rsid w:val="58C84D55"/>
    <w:rsid w:val="58E662F8"/>
    <w:rsid w:val="58F27A3F"/>
    <w:rsid w:val="5966750B"/>
    <w:rsid w:val="599810F6"/>
    <w:rsid w:val="5A05217C"/>
    <w:rsid w:val="5A6110E2"/>
    <w:rsid w:val="5A8C65D6"/>
    <w:rsid w:val="5A9C21E8"/>
    <w:rsid w:val="5AB05514"/>
    <w:rsid w:val="5ABA2F92"/>
    <w:rsid w:val="5B1026CB"/>
    <w:rsid w:val="5B900611"/>
    <w:rsid w:val="5B91755E"/>
    <w:rsid w:val="5BA06DBE"/>
    <w:rsid w:val="5BC458F4"/>
    <w:rsid w:val="5BD721BA"/>
    <w:rsid w:val="5BF74382"/>
    <w:rsid w:val="5C1547D2"/>
    <w:rsid w:val="5C7E1951"/>
    <w:rsid w:val="5C951412"/>
    <w:rsid w:val="5CAC1652"/>
    <w:rsid w:val="5CBF52E9"/>
    <w:rsid w:val="5CEF7CAB"/>
    <w:rsid w:val="5D1E416C"/>
    <w:rsid w:val="5D633DE1"/>
    <w:rsid w:val="5D8336AC"/>
    <w:rsid w:val="5E0C21B0"/>
    <w:rsid w:val="5E957815"/>
    <w:rsid w:val="5EB23056"/>
    <w:rsid w:val="5EC14D17"/>
    <w:rsid w:val="5F5A0106"/>
    <w:rsid w:val="5F5F5C6A"/>
    <w:rsid w:val="606504A1"/>
    <w:rsid w:val="606A18B0"/>
    <w:rsid w:val="6077263E"/>
    <w:rsid w:val="608B7A51"/>
    <w:rsid w:val="612965BA"/>
    <w:rsid w:val="625539F2"/>
    <w:rsid w:val="62580533"/>
    <w:rsid w:val="626254CE"/>
    <w:rsid w:val="628F38F4"/>
    <w:rsid w:val="62C116C0"/>
    <w:rsid w:val="62FD0332"/>
    <w:rsid w:val="62FF6541"/>
    <w:rsid w:val="631A5B76"/>
    <w:rsid w:val="632039A1"/>
    <w:rsid w:val="63334F13"/>
    <w:rsid w:val="638F0B67"/>
    <w:rsid w:val="63AF6ADF"/>
    <w:rsid w:val="645B7563"/>
    <w:rsid w:val="64887863"/>
    <w:rsid w:val="649E5F4A"/>
    <w:rsid w:val="65017A69"/>
    <w:rsid w:val="65794AEF"/>
    <w:rsid w:val="65C775EC"/>
    <w:rsid w:val="65F333B6"/>
    <w:rsid w:val="66277155"/>
    <w:rsid w:val="66F36E70"/>
    <w:rsid w:val="67041359"/>
    <w:rsid w:val="6721542C"/>
    <w:rsid w:val="674F3FBF"/>
    <w:rsid w:val="67667FC8"/>
    <w:rsid w:val="67771128"/>
    <w:rsid w:val="67AF41C8"/>
    <w:rsid w:val="67D37C3A"/>
    <w:rsid w:val="682D58D5"/>
    <w:rsid w:val="68795950"/>
    <w:rsid w:val="68803F7D"/>
    <w:rsid w:val="68842896"/>
    <w:rsid w:val="688B153A"/>
    <w:rsid w:val="68AF0C2E"/>
    <w:rsid w:val="68C2112F"/>
    <w:rsid w:val="68FC308B"/>
    <w:rsid w:val="690362BA"/>
    <w:rsid w:val="698A4F5C"/>
    <w:rsid w:val="69BE793C"/>
    <w:rsid w:val="69D82345"/>
    <w:rsid w:val="6A311AC7"/>
    <w:rsid w:val="6A4F4C2A"/>
    <w:rsid w:val="6ABA7026"/>
    <w:rsid w:val="6B0F3D45"/>
    <w:rsid w:val="6B7D4414"/>
    <w:rsid w:val="6BBF4C6B"/>
    <w:rsid w:val="6BE14518"/>
    <w:rsid w:val="6BF3392A"/>
    <w:rsid w:val="6BFF120A"/>
    <w:rsid w:val="6C4052E6"/>
    <w:rsid w:val="6C8A46D4"/>
    <w:rsid w:val="6CC6619B"/>
    <w:rsid w:val="6CF73603"/>
    <w:rsid w:val="6D207764"/>
    <w:rsid w:val="6DA7006F"/>
    <w:rsid w:val="6DBD29D8"/>
    <w:rsid w:val="6DF80C26"/>
    <w:rsid w:val="6E1034A2"/>
    <w:rsid w:val="6E8D2CB0"/>
    <w:rsid w:val="6EA7610B"/>
    <w:rsid w:val="6EA93FA5"/>
    <w:rsid w:val="6EC10899"/>
    <w:rsid w:val="6ED812E5"/>
    <w:rsid w:val="6EFB7ADF"/>
    <w:rsid w:val="6F345BE8"/>
    <w:rsid w:val="6F4A31CC"/>
    <w:rsid w:val="6F512599"/>
    <w:rsid w:val="6F6C3531"/>
    <w:rsid w:val="6F7349A2"/>
    <w:rsid w:val="6F7D4A03"/>
    <w:rsid w:val="6FDB5B8F"/>
    <w:rsid w:val="70517D31"/>
    <w:rsid w:val="70B22388"/>
    <w:rsid w:val="70C77F03"/>
    <w:rsid w:val="710D7AD9"/>
    <w:rsid w:val="71551308"/>
    <w:rsid w:val="715848CA"/>
    <w:rsid w:val="718035FA"/>
    <w:rsid w:val="718274B4"/>
    <w:rsid w:val="720323A4"/>
    <w:rsid w:val="7212254F"/>
    <w:rsid w:val="725C3A02"/>
    <w:rsid w:val="726A754C"/>
    <w:rsid w:val="72CF0C2E"/>
    <w:rsid w:val="72F65294"/>
    <w:rsid w:val="73281BC7"/>
    <w:rsid w:val="732B4052"/>
    <w:rsid w:val="734562FC"/>
    <w:rsid w:val="741B4DE9"/>
    <w:rsid w:val="74C84C68"/>
    <w:rsid w:val="75751DCC"/>
    <w:rsid w:val="758971CD"/>
    <w:rsid w:val="75B5551E"/>
    <w:rsid w:val="75D82D81"/>
    <w:rsid w:val="7649381C"/>
    <w:rsid w:val="764A69CA"/>
    <w:rsid w:val="768A061D"/>
    <w:rsid w:val="76BC7B74"/>
    <w:rsid w:val="76C052AC"/>
    <w:rsid w:val="76DD79A5"/>
    <w:rsid w:val="76E25BEA"/>
    <w:rsid w:val="76F8270E"/>
    <w:rsid w:val="76FF662B"/>
    <w:rsid w:val="778850FE"/>
    <w:rsid w:val="77981A47"/>
    <w:rsid w:val="77EC0633"/>
    <w:rsid w:val="77FD6EE9"/>
    <w:rsid w:val="77FE22FB"/>
    <w:rsid w:val="78425C95"/>
    <w:rsid w:val="78514633"/>
    <w:rsid w:val="78796283"/>
    <w:rsid w:val="78A50A1E"/>
    <w:rsid w:val="78EE1915"/>
    <w:rsid w:val="790A11DA"/>
    <w:rsid w:val="79311371"/>
    <w:rsid w:val="79400FBF"/>
    <w:rsid w:val="798C67B3"/>
    <w:rsid w:val="799E6331"/>
    <w:rsid w:val="79E81A18"/>
    <w:rsid w:val="79EF712B"/>
    <w:rsid w:val="7A331302"/>
    <w:rsid w:val="7A3804D5"/>
    <w:rsid w:val="7A567BA4"/>
    <w:rsid w:val="7ABF2990"/>
    <w:rsid w:val="7AD869B2"/>
    <w:rsid w:val="7B163203"/>
    <w:rsid w:val="7B4C4E83"/>
    <w:rsid w:val="7BF10068"/>
    <w:rsid w:val="7C29304F"/>
    <w:rsid w:val="7C697FDC"/>
    <w:rsid w:val="7CA3514E"/>
    <w:rsid w:val="7D141134"/>
    <w:rsid w:val="7D300030"/>
    <w:rsid w:val="7DA4079C"/>
    <w:rsid w:val="7DA95B9A"/>
    <w:rsid w:val="7DEC1D6C"/>
    <w:rsid w:val="7E32373A"/>
    <w:rsid w:val="7EB44FE1"/>
    <w:rsid w:val="7F9B630C"/>
    <w:rsid w:val="7FE6628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99"/>
    <w:pPr>
      <w:keepNext/>
      <w:keepLines/>
      <w:spacing w:before="340" w:after="330"/>
      <w:jc w:val="center"/>
      <w:outlineLvl w:val="0"/>
    </w:pPr>
    <w:rPr>
      <w:rFonts w:eastAsia="楷体_GB2312"/>
      <w:b/>
      <w:bCs/>
      <w:kern w:val="44"/>
      <w:sz w:val="32"/>
      <w:szCs w:val="44"/>
    </w:rPr>
  </w:style>
  <w:style w:type="paragraph" w:styleId="5">
    <w:name w:val="heading 2"/>
    <w:basedOn w:val="1"/>
    <w:next w:val="1"/>
    <w:link w:val="52"/>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3"/>
    <w:qFormat/>
    <w:uiPriority w:val="99"/>
    <w:pPr>
      <w:keepNext/>
      <w:keepLines/>
      <w:spacing w:before="260" w:after="260" w:line="416" w:lineRule="auto"/>
      <w:outlineLvl w:val="2"/>
    </w:pPr>
    <w:rPr>
      <w:b/>
      <w:bCs/>
      <w:sz w:val="32"/>
      <w:szCs w:val="32"/>
    </w:rPr>
  </w:style>
  <w:style w:type="paragraph" w:styleId="7">
    <w:name w:val="heading 4"/>
    <w:basedOn w:val="1"/>
    <w:next w:val="1"/>
    <w:link w:val="54"/>
    <w:qFormat/>
    <w:uiPriority w:val="99"/>
    <w:pPr>
      <w:keepNext/>
      <w:keepLines/>
      <w:spacing w:before="280" w:after="290" w:line="376" w:lineRule="auto"/>
      <w:outlineLvl w:val="3"/>
    </w:pPr>
    <w:rPr>
      <w:rFonts w:ascii="Cambria" w:hAnsi="Cambria"/>
      <w:b/>
      <w:bCs/>
      <w:sz w:val="28"/>
      <w:szCs w:val="28"/>
    </w:rPr>
  </w:style>
  <w:style w:type="paragraph" w:styleId="8">
    <w:name w:val="heading 5"/>
    <w:basedOn w:val="1"/>
    <w:next w:val="1"/>
    <w:link w:val="55"/>
    <w:qFormat/>
    <w:uiPriority w:val="99"/>
    <w:pPr>
      <w:keepNext/>
      <w:jc w:val="center"/>
      <w:outlineLvl w:val="4"/>
    </w:pPr>
    <w:rPr>
      <w:rFonts w:ascii="宋体" w:hAnsi="宋体"/>
      <w:b/>
      <w:bCs/>
    </w:rPr>
  </w:style>
  <w:style w:type="paragraph" w:styleId="9">
    <w:name w:val="heading 6"/>
    <w:basedOn w:val="1"/>
    <w:next w:val="1"/>
    <w:link w:val="56"/>
    <w:qFormat/>
    <w:uiPriority w:val="99"/>
    <w:pPr>
      <w:keepNext/>
      <w:keepLines/>
      <w:spacing w:before="240" w:after="64" w:line="319" w:lineRule="auto"/>
      <w:outlineLvl w:val="5"/>
    </w:pPr>
    <w:rPr>
      <w:rFonts w:ascii="Arial" w:hAnsi="Arial" w:eastAsia="黑体"/>
      <w:b/>
      <w:bCs/>
      <w:sz w:val="24"/>
    </w:rPr>
  </w:style>
  <w:style w:type="paragraph" w:styleId="10">
    <w:name w:val="heading 7"/>
    <w:basedOn w:val="1"/>
    <w:next w:val="1"/>
    <w:link w:val="57"/>
    <w:qFormat/>
    <w:uiPriority w:val="99"/>
    <w:pPr>
      <w:keepNext/>
      <w:keepLines/>
      <w:spacing w:before="240" w:after="64" w:line="319" w:lineRule="auto"/>
      <w:outlineLvl w:val="6"/>
    </w:pPr>
    <w:rPr>
      <w:b/>
      <w:bCs/>
      <w:sz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0"/>
    <w:qFormat/>
    <w:uiPriority w:val="99"/>
    <w:pPr>
      <w:spacing w:after="120"/>
    </w:pPr>
  </w:style>
  <w:style w:type="paragraph" w:styleId="3">
    <w:name w:val="Body Text 2"/>
    <w:basedOn w:val="1"/>
    <w:link w:val="90"/>
    <w:qFormat/>
    <w:uiPriority w:val="99"/>
    <w:pPr>
      <w:jc w:val="center"/>
    </w:pPr>
    <w:rPr>
      <w:rFonts w:ascii="楷体_GB2312" w:eastAsia="楷体_GB2312"/>
      <w:b/>
      <w:sz w:val="36"/>
      <w:szCs w:val="48"/>
    </w:rPr>
  </w:style>
  <w:style w:type="paragraph" w:styleId="11">
    <w:name w:val="toc 7"/>
    <w:basedOn w:val="1"/>
    <w:next w:val="1"/>
    <w:qFormat/>
    <w:uiPriority w:val="99"/>
    <w:pPr>
      <w:ind w:left="2520" w:leftChars="1200"/>
    </w:pPr>
    <w:rPr>
      <w:rFonts w:ascii="Calibri" w:hAnsi="Calibri"/>
      <w:szCs w:val="22"/>
    </w:rPr>
  </w:style>
  <w:style w:type="paragraph" w:styleId="12">
    <w:name w:val="Normal Indent"/>
    <w:basedOn w:val="1"/>
    <w:link w:val="68"/>
    <w:qFormat/>
    <w:uiPriority w:val="0"/>
    <w:pPr>
      <w:ind w:firstLine="420" w:firstLineChars="200"/>
    </w:pPr>
    <w:rPr>
      <w:szCs w:val="20"/>
    </w:rPr>
  </w:style>
  <w:style w:type="paragraph" w:styleId="13">
    <w:name w:val="Document Map"/>
    <w:basedOn w:val="1"/>
    <w:link w:val="81"/>
    <w:qFormat/>
    <w:uiPriority w:val="99"/>
    <w:pPr>
      <w:shd w:val="clear" w:color="auto" w:fill="000080"/>
    </w:pPr>
  </w:style>
  <w:style w:type="paragraph" w:styleId="14">
    <w:name w:val="annotation text"/>
    <w:basedOn w:val="1"/>
    <w:link w:val="78"/>
    <w:qFormat/>
    <w:uiPriority w:val="99"/>
    <w:pPr>
      <w:jc w:val="left"/>
    </w:pPr>
  </w:style>
  <w:style w:type="paragraph" w:styleId="15">
    <w:name w:val="Body Text 3"/>
    <w:basedOn w:val="1"/>
    <w:link w:val="77"/>
    <w:qFormat/>
    <w:uiPriority w:val="99"/>
    <w:rPr>
      <w:b/>
      <w:bCs/>
      <w:sz w:val="24"/>
    </w:rPr>
  </w:style>
  <w:style w:type="paragraph" w:styleId="16">
    <w:name w:val="Body Text Indent"/>
    <w:basedOn w:val="1"/>
    <w:next w:val="17"/>
    <w:link w:val="76"/>
    <w:qFormat/>
    <w:uiPriority w:val="99"/>
    <w:pPr>
      <w:spacing w:after="120"/>
      <w:ind w:left="420" w:leftChars="200"/>
    </w:pPr>
    <w:rPr>
      <w:sz w:val="24"/>
      <w:szCs w:val="20"/>
    </w:rPr>
  </w:style>
  <w:style w:type="paragraph" w:styleId="17">
    <w:name w:val="envelope return"/>
    <w:basedOn w:val="1"/>
    <w:qFormat/>
    <w:uiPriority w:val="0"/>
    <w:pPr>
      <w:snapToGrid w:val="0"/>
    </w:pPr>
    <w:rPr>
      <w:rFonts w:ascii="Arial" w:hAnsi="Arial"/>
    </w:rPr>
  </w:style>
  <w:style w:type="paragraph" w:styleId="18">
    <w:name w:val="List Continue"/>
    <w:basedOn w:val="1"/>
    <w:qFormat/>
    <w:uiPriority w:val="99"/>
    <w:pPr>
      <w:spacing w:after="120"/>
      <w:ind w:left="420"/>
    </w:pPr>
    <w:rPr>
      <w:rFonts w:eastAsia="楷体_GB2312"/>
      <w:sz w:val="32"/>
      <w:szCs w:val="20"/>
    </w:rPr>
  </w:style>
  <w:style w:type="paragraph" w:styleId="19">
    <w:name w:val="toc 5"/>
    <w:basedOn w:val="1"/>
    <w:next w:val="1"/>
    <w:qFormat/>
    <w:uiPriority w:val="99"/>
    <w:pPr>
      <w:ind w:left="1680" w:leftChars="800"/>
    </w:pPr>
    <w:rPr>
      <w:rFonts w:ascii="Calibri" w:hAnsi="Calibri"/>
      <w:szCs w:val="22"/>
    </w:rPr>
  </w:style>
  <w:style w:type="paragraph" w:styleId="20">
    <w:name w:val="toc 3"/>
    <w:basedOn w:val="1"/>
    <w:next w:val="1"/>
    <w:qFormat/>
    <w:uiPriority w:val="99"/>
    <w:pPr>
      <w:ind w:left="420"/>
      <w:jc w:val="left"/>
    </w:pPr>
    <w:rPr>
      <w:iCs/>
    </w:rPr>
  </w:style>
  <w:style w:type="paragraph" w:styleId="21">
    <w:name w:val="Plain Text"/>
    <w:basedOn w:val="1"/>
    <w:link w:val="83"/>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22">
    <w:name w:val="toc 8"/>
    <w:basedOn w:val="1"/>
    <w:next w:val="1"/>
    <w:qFormat/>
    <w:uiPriority w:val="99"/>
    <w:pPr>
      <w:ind w:left="2940" w:leftChars="1400"/>
    </w:pPr>
    <w:rPr>
      <w:rFonts w:ascii="Calibri" w:hAnsi="Calibri"/>
      <w:szCs w:val="22"/>
    </w:rPr>
  </w:style>
  <w:style w:type="paragraph" w:styleId="23">
    <w:name w:val="Date"/>
    <w:basedOn w:val="1"/>
    <w:next w:val="1"/>
    <w:link w:val="87"/>
    <w:qFormat/>
    <w:uiPriority w:val="99"/>
    <w:rPr>
      <w:sz w:val="24"/>
      <w:szCs w:val="20"/>
    </w:rPr>
  </w:style>
  <w:style w:type="paragraph" w:styleId="24">
    <w:name w:val="Body Text Indent 2"/>
    <w:basedOn w:val="1"/>
    <w:link w:val="85"/>
    <w:qFormat/>
    <w:uiPriority w:val="99"/>
    <w:pPr>
      <w:ind w:left="424" w:leftChars="202"/>
    </w:pPr>
    <w:rPr>
      <w:rFonts w:eastAsia="楷体_GB2312"/>
      <w:sz w:val="28"/>
    </w:rPr>
  </w:style>
  <w:style w:type="paragraph" w:styleId="25">
    <w:name w:val="Balloon Text"/>
    <w:basedOn w:val="1"/>
    <w:link w:val="84"/>
    <w:qFormat/>
    <w:uiPriority w:val="99"/>
    <w:rPr>
      <w:sz w:val="18"/>
      <w:szCs w:val="20"/>
    </w:rPr>
  </w:style>
  <w:style w:type="paragraph" w:styleId="26">
    <w:name w:val="footer"/>
    <w:basedOn w:val="1"/>
    <w:link w:val="88"/>
    <w:qFormat/>
    <w:uiPriority w:val="99"/>
    <w:pPr>
      <w:tabs>
        <w:tab w:val="center" w:pos="4153"/>
        <w:tab w:val="right" w:pos="8306"/>
      </w:tabs>
      <w:snapToGrid w:val="0"/>
      <w:jc w:val="left"/>
    </w:pPr>
    <w:rPr>
      <w:sz w:val="18"/>
      <w:szCs w:val="20"/>
    </w:rPr>
  </w:style>
  <w:style w:type="paragraph" w:styleId="27">
    <w:name w:val="header"/>
    <w:basedOn w:val="1"/>
    <w:link w:val="89"/>
    <w:qFormat/>
    <w:uiPriority w:val="99"/>
    <w:pPr>
      <w:pBdr>
        <w:bottom w:val="single" w:color="auto" w:sz="6" w:space="1"/>
      </w:pBdr>
      <w:tabs>
        <w:tab w:val="center" w:pos="4153"/>
        <w:tab w:val="right" w:pos="8306"/>
      </w:tabs>
      <w:snapToGrid w:val="0"/>
      <w:jc w:val="center"/>
    </w:pPr>
    <w:rPr>
      <w:sz w:val="18"/>
      <w:szCs w:val="20"/>
    </w:rPr>
  </w:style>
  <w:style w:type="paragraph" w:styleId="28">
    <w:name w:val="toc 1"/>
    <w:basedOn w:val="1"/>
    <w:next w:val="1"/>
    <w:qFormat/>
    <w:uiPriority w:val="39"/>
    <w:pPr>
      <w:tabs>
        <w:tab w:val="right" w:leader="dot" w:pos="9060"/>
      </w:tabs>
      <w:spacing w:line="300" w:lineRule="exact"/>
      <w:jc w:val="distribute"/>
    </w:pPr>
    <w:rPr>
      <w:rFonts w:ascii="宋体" w:hAnsi="宋体"/>
      <w:caps/>
      <w:sz w:val="24"/>
    </w:rPr>
  </w:style>
  <w:style w:type="paragraph" w:styleId="29">
    <w:name w:val="toc 4"/>
    <w:basedOn w:val="1"/>
    <w:next w:val="1"/>
    <w:qFormat/>
    <w:uiPriority w:val="99"/>
    <w:pPr>
      <w:ind w:left="1260" w:leftChars="600"/>
    </w:pPr>
    <w:rPr>
      <w:rFonts w:ascii="Calibri" w:hAnsi="Calibri"/>
      <w:szCs w:val="22"/>
    </w:rPr>
  </w:style>
  <w:style w:type="paragraph" w:styleId="30">
    <w:name w:val="List"/>
    <w:basedOn w:val="1"/>
    <w:qFormat/>
    <w:uiPriority w:val="99"/>
    <w:pPr>
      <w:ind w:left="420" w:hanging="420"/>
    </w:pPr>
    <w:rPr>
      <w:rFonts w:eastAsia="楷体_GB2312"/>
      <w:sz w:val="32"/>
      <w:szCs w:val="20"/>
    </w:rPr>
  </w:style>
  <w:style w:type="paragraph" w:styleId="31">
    <w:name w:val="toc 6"/>
    <w:basedOn w:val="1"/>
    <w:next w:val="1"/>
    <w:qFormat/>
    <w:uiPriority w:val="99"/>
    <w:pPr>
      <w:ind w:left="2100" w:leftChars="1000"/>
    </w:pPr>
    <w:rPr>
      <w:rFonts w:ascii="Calibri" w:hAnsi="Calibri"/>
      <w:szCs w:val="22"/>
    </w:rPr>
  </w:style>
  <w:style w:type="paragraph" w:styleId="32">
    <w:name w:val="List 5"/>
    <w:basedOn w:val="1"/>
    <w:qFormat/>
    <w:uiPriority w:val="99"/>
    <w:pPr>
      <w:ind w:left="2100" w:hanging="420"/>
    </w:pPr>
    <w:rPr>
      <w:rFonts w:eastAsia="楷体_GB2312"/>
      <w:sz w:val="32"/>
      <w:szCs w:val="20"/>
    </w:rPr>
  </w:style>
  <w:style w:type="paragraph" w:styleId="33">
    <w:name w:val="Body Text Indent 3"/>
    <w:basedOn w:val="1"/>
    <w:link w:val="86"/>
    <w:qFormat/>
    <w:uiPriority w:val="99"/>
    <w:pPr>
      <w:ind w:left="425"/>
    </w:pPr>
    <w:rPr>
      <w:rFonts w:eastAsia="楷体_GB2312"/>
      <w:sz w:val="24"/>
      <w:szCs w:val="20"/>
    </w:rPr>
  </w:style>
  <w:style w:type="paragraph" w:styleId="34">
    <w:name w:val="toc 2"/>
    <w:basedOn w:val="1"/>
    <w:next w:val="1"/>
    <w:qFormat/>
    <w:uiPriority w:val="39"/>
    <w:pPr>
      <w:ind w:left="420" w:leftChars="200"/>
    </w:pPr>
  </w:style>
  <w:style w:type="paragraph" w:styleId="35">
    <w:name w:val="toc 9"/>
    <w:basedOn w:val="1"/>
    <w:next w:val="1"/>
    <w:qFormat/>
    <w:uiPriority w:val="99"/>
    <w:pPr>
      <w:ind w:left="3360" w:leftChars="1600"/>
    </w:pPr>
    <w:rPr>
      <w:rFonts w:ascii="Calibri" w:hAnsi="Calibri"/>
      <w:szCs w:val="22"/>
    </w:rPr>
  </w:style>
  <w:style w:type="paragraph" w:styleId="36">
    <w:name w:val="List 4"/>
    <w:basedOn w:val="1"/>
    <w:qFormat/>
    <w:uiPriority w:val="99"/>
    <w:pPr>
      <w:ind w:left="1680" w:hanging="420"/>
    </w:pPr>
    <w:rPr>
      <w:rFonts w:eastAsia="楷体_GB2312"/>
      <w:sz w:val="32"/>
      <w:szCs w:val="20"/>
    </w:rPr>
  </w:style>
  <w:style w:type="paragraph" w:styleId="37">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qFormat/>
    <w:uiPriority w:val="99"/>
    <w:rPr>
      <w:rFonts w:eastAsia="仿宋_GB2312"/>
      <w:sz w:val="24"/>
    </w:rPr>
  </w:style>
  <w:style w:type="paragraph" w:styleId="39">
    <w:name w:val="annotation subject"/>
    <w:basedOn w:val="14"/>
    <w:next w:val="14"/>
    <w:link w:val="79"/>
    <w:qFormat/>
    <w:uiPriority w:val="99"/>
    <w:rPr>
      <w:b/>
      <w:bCs/>
    </w:rPr>
  </w:style>
  <w:style w:type="paragraph" w:styleId="40">
    <w:name w:val="Body Text First Indent"/>
    <w:basedOn w:val="2"/>
    <w:next w:val="41"/>
    <w:link w:val="82"/>
    <w:qFormat/>
    <w:uiPriority w:val="99"/>
    <w:pPr>
      <w:ind w:firstLine="420" w:firstLineChars="100"/>
    </w:pPr>
  </w:style>
  <w:style w:type="paragraph" w:styleId="41">
    <w:name w:val="Body Text First Indent 2"/>
    <w:basedOn w:val="16"/>
    <w:link w:val="119"/>
    <w:unhideWhenUsed/>
    <w:qFormat/>
    <w:uiPriority w:val="99"/>
    <w:pPr>
      <w:ind w:firstLine="420" w:firstLineChars="200"/>
    </w:pPr>
    <w:rPr>
      <w:sz w:val="21"/>
      <w:szCs w:val="24"/>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99"/>
    <w:rPr>
      <w:rFonts w:cs="Times New Roman"/>
      <w:b/>
    </w:rPr>
  </w:style>
  <w:style w:type="character" w:styleId="46">
    <w:name w:val="page number"/>
    <w:basedOn w:val="44"/>
    <w:qFormat/>
    <w:uiPriority w:val="99"/>
    <w:rPr>
      <w:rFonts w:cs="Times New Roman"/>
    </w:rPr>
  </w:style>
  <w:style w:type="character" w:styleId="47">
    <w:name w:val="FollowedHyperlink"/>
    <w:basedOn w:val="44"/>
    <w:qFormat/>
    <w:uiPriority w:val="99"/>
    <w:rPr>
      <w:rFonts w:cs="Times New Roman"/>
      <w:color w:val="800080"/>
      <w:u w:val="single"/>
    </w:rPr>
  </w:style>
  <w:style w:type="character" w:styleId="48">
    <w:name w:val="Hyperlink"/>
    <w:basedOn w:val="44"/>
    <w:qFormat/>
    <w:uiPriority w:val="99"/>
    <w:rPr>
      <w:rFonts w:cs="Times New Roman"/>
      <w:color w:val="0000FF"/>
      <w:u w:val="single"/>
    </w:rPr>
  </w:style>
  <w:style w:type="character" w:styleId="49">
    <w:name w:val="annotation reference"/>
    <w:basedOn w:val="44"/>
    <w:qFormat/>
    <w:uiPriority w:val="99"/>
    <w:rPr>
      <w:rFonts w:cs="Times New Roman"/>
      <w:sz w:val="21"/>
    </w:rPr>
  </w:style>
  <w:style w:type="paragraph" w:customStyle="1" w:styleId="50">
    <w:name w:val="表格文字"/>
    <w:basedOn w:val="1"/>
    <w:next w:val="2"/>
    <w:qFormat/>
    <w:uiPriority w:val="0"/>
    <w:pPr>
      <w:adjustRightInd w:val="0"/>
      <w:spacing w:line="420" w:lineRule="atLeast"/>
      <w:jc w:val="left"/>
      <w:textAlignment w:val="baseline"/>
    </w:pPr>
    <w:rPr>
      <w:kern w:val="0"/>
      <w:szCs w:val="20"/>
    </w:rPr>
  </w:style>
  <w:style w:type="character" w:customStyle="1" w:styleId="51">
    <w:name w:val="标题 1 Char"/>
    <w:basedOn w:val="44"/>
    <w:link w:val="4"/>
    <w:qFormat/>
    <w:uiPriority w:val="9"/>
    <w:rPr>
      <w:b/>
      <w:bCs/>
      <w:kern w:val="44"/>
      <w:sz w:val="44"/>
      <w:szCs w:val="44"/>
    </w:rPr>
  </w:style>
  <w:style w:type="character" w:customStyle="1" w:styleId="52">
    <w:name w:val="标题 2 Char"/>
    <w:basedOn w:val="44"/>
    <w:link w:val="5"/>
    <w:qFormat/>
    <w:locked/>
    <w:uiPriority w:val="0"/>
    <w:rPr>
      <w:rFonts w:ascii="Arial" w:hAnsi="Arial" w:eastAsia="黑体"/>
      <w:b/>
      <w:kern w:val="2"/>
      <w:sz w:val="32"/>
      <w:lang w:val="en-US" w:eastAsia="zh-CN"/>
    </w:rPr>
  </w:style>
  <w:style w:type="character" w:customStyle="1" w:styleId="53">
    <w:name w:val="标题 3 Char"/>
    <w:basedOn w:val="44"/>
    <w:link w:val="6"/>
    <w:semiHidden/>
    <w:qFormat/>
    <w:uiPriority w:val="9"/>
    <w:rPr>
      <w:b/>
      <w:bCs/>
      <w:sz w:val="32"/>
      <w:szCs w:val="32"/>
    </w:rPr>
  </w:style>
  <w:style w:type="character" w:customStyle="1" w:styleId="54">
    <w:name w:val="标题 4 Char"/>
    <w:basedOn w:val="44"/>
    <w:link w:val="7"/>
    <w:qFormat/>
    <w:locked/>
    <w:uiPriority w:val="99"/>
    <w:rPr>
      <w:rFonts w:ascii="Cambria" w:hAnsi="Cambria" w:eastAsia="宋体"/>
      <w:b/>
      <w:kern w:val="2"/>
      <w:sz w:val="28"/>
    </w:rPr>
  </w:style>
  <w:style w:type="character" w:customStyle="1" w:styleId="55">
    <w:name w:val="标题 5 Char"/>
    <w:basedOn w:val="44"/>
    <w:link w:val="8"/>
    <w:qFormat/>
    <w:locked/>
    <w:uiPriority w:val="99"/>
    <w:rPr>
      <w:rFonts w:ascii="宋体" w:hAnsi="宋体" w:eastAsia="宋体"/>
      <w:b/>
      <w:kern w:val="2"/>
      <w:sz w:val="24"/>
      <w:lang w:val="en-US" w:eastAsia="zh-CN"/>
    </w:rPr>
  </w:style>
  <w:style w:type="character" w:customStyle="1" w:styleId="56">
    <w:name w:val="标题 6 Char"/>
    <w:basedOn w:val="44"/>
    <w:link w:val="9"/>
    <w:qFormat/>
    <w:locked/>
    <w:uiPriority w:val="99"/>
    <w:rPr>
      <w:rFonts w:ascii="Arial" w:hAnsi="Arial" w:eastAsia="黑体"/>
      <w:b/>
      <w:kern w:val="2"/>
      <w:sz w:val="24"/>
      <w:lang w:val="en-US" w:eastAsia="zh-CN"/>
    </w:rPr>
  </w:style>
  <w:style w:type="character" w:customStyle="1" w:styleId="57">
    <w:name w:val="标题 7 Char"/>
    <w:basedOn w:val="44"/>
    <w:link w:val="10"/>
    <w:qFormat/>
    <w:locked/>
    <w:uiPriority w:val="99"/>
    <w:rPr>
      <w:rFonts w:eastAsia="宋体"/>
      <w:b/>
      <w:kern w:val="2"/>
      <w:sz w:val="24"/>
      <w:lang w:val="en-US" w:eastAsia="zh-CN"/>
    </w:rPr>
  </w:style>
  <w:style w:type="character" w:customStyle="1" w:styleId="58">
    <w:name w:val="Default Paragraph Font New"/>
    <w:qFormat/>
    <w:uiPriority w:val="99"/>
  </w:style>
  <w:style w:type="character" w:customStyle="1" w:styleId="59">
    <w:name w:val="正文文本缩进 Char"/>
    <w:qFormat/>
    <w:locked/>
    <w:uiPriority w:val="99"/>
    <w:rPr>
      <w:rFonts w:eastAsia="宋体"/>
      <w:kern w:val="2"/>
      <w:sz w:val="24"/>
      <w:lang w:val="en-US" w:eastAsia="zh-CN"/>
    </w:rPr>
  </w:style>
  <w:style w:type="character" w:customStyle="1" w:styleId="60">
    <w:name w:val="纯文本 Char"/>
    <w:qFormat/>
    <w:locked/>
    <w:uiPriority w:val="99"/>
    <w:rPr>
      <w:rFonts w:ascii="宋体" w:hAnsi="Courier New" w:eastAsia="宋体"/>
      <w:sz w:val="21"/>
      <w:lang w:val="en-US" w:eastAsia="zh-CN"/>
    </w:rPr>
  </w:style>
  <w:style w:type="character" w:customStyle="1" w:styleId="61">
    <w:name w:val="正文文本缩进 3 Char"/>
    <w:qFormat/>
    <w:locked/>
    <w:uiPriority w:val="99"/>
    <w:rPr>
      <w:rFonts w:eastAsia="楷体_GB2312"/>
      <w:kern w:val="2"/>
      <w:sz w:val="24"/>
      <w:lang w:val="en-US" w:eastAsia="zh-CN"/>
    </w:rPr>
  </w:style>
  <w:style w:type="character" w:customStyle="1" w:styleId="62">
    <w:name w:val="页脚 Char"/>
    <w:qFormat/>
    <w:locked/>
    <w:uiPriority w:val="99"/>
    <w:rPr>
      <w:rFonts w:eastAsia="宋体"/>
      <w:kern w:val="2"/>
      <w:sz w:val="18"/>
      <w:lang w:val="en-US" w:eastAsia="zh-CN"/>
    </w:rPr>
  </w:style>
  <w:style w:type="character" w:customStyle="1" w:styleId="63">
    <w:name w:val="批注框文本 Char"/>
    <w:qFormat/>
    <w:locked/>
    <w:uiPriority w:val="99"/>
    <w:rPr>
      <w:rFonts w:eastAsia="宋体"/>
      <w:kern w:val="2"/>
      <w:sz w:val="18"/>
      <w:lang w:val="en-US" w:eastAsia="zh-CN"/>
    </w:rPr>
  </w:style>
  <w:style w:type="character" w:customStyle="1" w:styleId="64">
    <w:name w:val="H1 Char"/>
    <w:qFormat/>
    <w:uiPriority w:val="99"/>
    <w:rPr>
      <w:rFonts w:ascii="Times New Roman" w:hAnsi="Times New Roman" w:eastAsia="宋体"/>
      <w:b/>
      <w:kern w:val="44"/>
      <w:sz w:val="44"/>
    </w:rPr>
  </w:style>
  <w:style w:type="character" w:customStyle="1" w:styleId="65">
    <w:name w:val="tpc_content1"/>
    <w:qFormat/>
    <w:uiPriority w:val="99"/>
    <w:rPr>
      <w:sz w:val="20"/>
    </w:rPr>
  </w:style>
  <w:style w:type="character" w:customStyle="1" w:styleId="66">
    <w:name w:val="main_tdbg_760"/>
    <w:basedOn w:val="44"/>
    <w:qFormat/>
    <w:uiPriority w:val="99"/>
    <w:rPr>
      <w:rFonts w:cs="Times New Roman"/>
    </w:rPr>
  </w:style>
  <w:style w:type="character" w:customStyle="1" w:styleId="67">
    <w:name w:val="apple-style-span"/>
    <w:qFormat/>
    <w:uiPriority w:val="99"/>
    <w:rPr>
      <w:kern w:val="2"/>
      <w:sz w:val="24"/>
    </w:rPr>
  </w:style>
  <w:style w:type="character" w:customStyle="1" w:styleId="68">
    <w:name w:val="正文缩进 Char"/>
    <w:link w:val="12"/>
    <w:qFormat/>
    <w:locked/>
    <w:uiPriority w:val="0"/>
    <w:rPr>
      <w:rFonts w:eastAsia="宋体"/>
      <w:kern w:val="2"/>
      <w:sz w:val="21"/>
      <w:lang w:val="en-US" w:eastAsia="zh-CN"/>
    </w:rPr>
  </w:style>
  <w:style w:type="character" w:customStyle="1" w:styleId="69">
    <w:name w:val="a51"/>
    <w:qFormat/>
    <w:uiPriority w:val="99"/>
    <w:rPr>
      <w:b/>
      <w:color w:val="991E5F"/>
      <w:sz w:val="20"/>
    </w:rPr>
  </w:style>
  <w:style w:type="character" w:customStyle="1" w:styleId="70">
    <w:name w:val="Char Char10"/>
    <w:qFormat/>
    <w:uiPriority w:val="99"/>
    <w:rPr>
      <w:rFonts w:eastAsia="宋体"/>
      <w:kern w:val="2"/>
      <w:sz w:val="32"/>
      <w:lang w:val="en-US" w:eastAsia="zh-CN"/>
    </w:rPr>
  </w:style>
  <w:style w:type="character" w:customStyle="1" w:styleId="71">
    <w:name w:val="btn-lnk-alignl3"/>
    <w:qFormat/>
    <w:uiPriority w:val="99"/>
  </w:style>
  <w:style w:type="character" w:customStyle="1" w:styleId="72">
    <w:name w:val="页眉 Char"/>
    <w:qFormat/>
    <w:locked/>
    <w:uiPriority w:val="99"/>
    <w:rPr>
      <w:rFonts w:eastAsia="宋体"/>
      <w:kern w:val="2"/>
      <w:sz w:val="18"/>
      <w:lang w:val="en-US" w:eastAsia="zh-CN"/>
    </w:rPr>
  </w:style>
  <w:style w:type="character" w:customStyle="1" w:styleId="73">
    <w:name w:val="默认段落字体1"/>
    <w:qFormat/>
    <w:uiPriority w:val="99"/>
  </w:style>
  <w:style w:type="character" w:customStyle="1" w:styleId="74">
    <w:name w:val="文档正文 Char"/>
    <w:link w:val="75"/>
    <w:qFormat/>
    <w:locked/>
    <w:uiPriority w:val="99"/>
    <w:rPr>
      <w:rFonts w:ascii="仿宋_GB2312" w:eastAsia="仿宋_GB2312"/>
      <w:sz w:val="28"/>
      <w:lang w:val="en-US" w:eastAsia="zh-CN"/>
    </w:rPr>
  </w:style>
  <w:style w:type="paragraph" w:customStyle="1" w:styleId="75">
    <w:name w:val="文档正文"/>
    <w:basedOn w:val="1"/>
    <w:link w:val="74"/>
    <w:qFormat/>
    <w:uiPriority w:val="99"/>
    <w:pPr>
      <w:adjustRightInd w:val="0"/>
      <w:spacing w:line="480" w:lineRule="atLeast"/>
      <w:ind w:firstLine="567"/>
      <w:textAlignment w:val="baseline"/>
    </w:pPr>
    <w:rPr>
      <w:rFonts w:ascii="仿宋_GB2312" w:eastAsia="仿宋_GB2312"/>
      <w:kern w:val="0"/>
      <w:sz w:val="28"/>
      <w:szCs w:val="20"/>
    </w:rPr>
  </w:style>
  <w:style w:type="character" w:customStyle="1" w:styleId="76">
    <w:name w:val="正文文本缩进 Char1"/>
    <w:basedOn w:val="44"/>
    <w:link w:val="16"/>
    <w:semiHidden/>
    <w:qFormat/>
    <w:uiPriority w:val="99"/>
    <w:rPr>
      <w:szCs w:val="24"/>
    </w:rPr>
  </w:style>
  <w:style w:type="character" w:customStyle="1" w:styleId="77">
    <w:name w:val="正文文本 3 Char"/>
    <w:basedOn w:val="44"/>
    <w:link w:val="15"/>
    <w:semiHidden/>
    <w:qFormat/>
    <w:uiPriority w:val="99"/>
    <w:rPr>
      <w:sz w:val="16"/>
      <w:szCs w:val="16"/>
    </w:rPr>
  </w:style>
  <w:style w:type="character" w:customStyle="1" w:styleId="78">
    <w:name w:val="批注文字 Char"/>
    <w:basedOn w:val="44"/>
    <w:link w:val="14"/>
    <w:semiHidden/>
    <w:qFormat/>
    <w:uiPriority w:val="99"/>
    <w:rPr>
      <w:szCs w:val="24"/>
    </w:rPr>
  </w:style>
  <w:style w:type="character" w:customStyle="1" w:styleId="79">
    <w:name w:val="批注主题 Char"/>
    <w:basedOn w:val="78"/>
    <w:link w:val="39"/>
    <w:semiHidden/>
    <w:qFormat/>
    <w:uiPriority w:val="99"/>
    <w:rPr>
      <w:b/>
      <w:bCs/>
      <w:szCs w:val="24"/>
    </w:rPr>
  </w:style>
  <w:style w:type="character" w:customStyle="1" w:styleId="80">
    <w:name w:val="正文文本 Char"/>
    <w:basedOn w:val="44"/>
    <w:link w:val="2"/>
    <w:semiHidden/>
    <w:qFormat/>
    <w:uiPriority w:val="99"/>
    <w:rPr>
      <w:szCs w:val="24"/>
    </w:rPr>
  </w:style>
  <w:style w:type="character" w:customStyle="1" w:styleId="81">
    <w:name w:val="文档结构图 Char"/>
    <w:basedOn w:val="44"/>
    <w:link w:val="13"/>
    <w:semiHidden/>
    <w:qFormat/>
    <w:uiPriority w:val="99"/>
    <w:rPr>
      <w:sz w:val="0"/>
      <w:szCs w:val="0"/>
    </w:rPr>
  </w:style>
  <w:style w:type="character" w:customStyle="1" w:styleId="82">
    <w:name w:val="正文首行缩进 Char"/>
    <w:basedOn w:val="80"/>
    <w:link w:val="40"/>
    <w:qFormat/>
    <w:uiPriority w:val="99"/>
    <w:rPr>
      <w:szCs w:val="24"/>
    </w:rPr>
  </w:style>
  <w:style w:type="character" w:customStyle="1" w:styleId="83">
    <w:name w:val="纯文本 Char1"/>
    <w:basedOn w:val="44"/>
    <w:link w:val="21"/>
    <w:semiHidden/>
    <w:qFormat/>
    <w:uiPriority w:val="99"/>
    <w:rPr>
      <w:rFonts w:ascii="宋体" w:hAnsi="Courier New" w:cs="Courier New"/>
      <w:szCs w:val="21"/>
    </w:rPr>
  </w:style>
  <w:style w:type="character" w:customStyle="1" w:styleId="84">
    <w:name w:val="批注框文本 Char1"/>
    <w:basedOn w:val="44"/>
    <w:link w:val="25"/>
    <w:semiHidden/>
    <w:qFormat/>
    <w:uiPriority w:val="99"/>
    <w:rPr>
      <w:sz w:val="0"/>
      <w:szCs w:val="0"/>
    </w:rPr>
  </w:style>
  <w:style w:type="character" w:customStyle="1" w:styleId="85">
    <w:name w:val="正文文本缩进 2 Char"/>
    <w:basedOn w:val="44"/>
    <w:link w:val="24"/>
    <w:semiHidden/>
    <w:qFormat/>
    <w:uiPriority w:val="99"/>
    <w:rPr>
      <w:szCs w:val="24"/>
    </w:rPr>
  </w:style>
  <w:style w:type="character" w:customStyle="1" w:styleId="86">
    <w:name w:val="正文文本缩进 3 Char1"/>
    <w:basedOn w:val="44"/>
    <w:link w:val="33"/>
    <w:semiHidden/>
    <w:qFormat/>
    <w:uiPriority w:val="99"/>
    <w:rPr>
      <w:sz w:val="16"/>
      <w:szCs w:val="16"/>
    </w:rPr>
  </w:style>
  <w:style w:type="character" w:customStyle="1" w:styleId="87">
    <w:name w:val="日期 Char"/>
    <w:basedOn w:val="44"/>
    <w:link w:val="23"/>
    <w:semiHidden/>
    <w:qFormat/>
    <w:uiPriority w:val="99"/>
    <w:rPr>
      <w:szCs w:val="24"/>
    </w:rPr>
  </w:style>
  <w:style w:type="character" w:customStyle="1" w:styleId="88">
    <w:name w:val="页脚 Char1"/>
    <w:basedOn w:val="44"/>
    <w:link w:val="26"/>
    <w:semiHidden/>
    <w:qFormat/>
    <w:uiPriority w:val="99"/>
    <w:rPr>
      <w:sz w:val="18"/>
      <w:szCs w:val="18"/>
    </w:rPr>
  </w:style>
  <w:style w:type="character" w:customStyle="1" w:styleId="89">
    <w:name w:val="页眉 Char1"/>
    <w:basedOn w:val="44"/>
    <w:link w:val="27"/>
    <w:semiHidden/>
    <w:qFormat/>
    <w:uiPriority w:val="99"/>
    <w:rPr>
      <w:sz w:val="18"/>
      <w:szCs w:val="18"/>
    </w:rPr>
  </w:style>
  <w:style w:type="character" w:customStyle="1" w:styleId="90">
    <w:name w:val="正文文本 2 Char"/>
    <w:basedOn w:val="44"/>
    <w:link w:val="3"/>
    <w:semiHidden/>
    <w:qFormat/>
    <w:uiPriority w:val="99"/>
    <w:rPr>
      <w:szCs w:val="24"/>
    </w:rPr>
  </w:style>
  <w:style w:type="paragraph" w:customStyle="1" w:styleId="91">
    <w:name w:val="Normal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2">
    <w:name w:val="Char Char Char Char"/>
    <w:basedOn w:val="1"/>
    <w:qFormat/>
    <w:uiPriority w:val="99"/>
    <w:rPr>
      <w:rFonts w:ascii="Tahoma" w:hAnsi="Tahoma"/>
      <w:sz w:val="24"/>
      <w:szCs w:val="20"/>
    </w:rPr>
  </w:style>
  <w:style w:type="character" w:customStyle="1" w:styleId="93">
    <w:name w:val="HTML 预设格式 Char"/>
    <w:basedOn w:val="44"/>
    <w:link w:val="37"/>
    <w:qFormat/>
    <w:uiPriority w:val="0"/>
    <w:rPr>
      <w:rFonts w:ascii="Courier New" w:hAnsi="Courier New" w:cs="Courier New"/>
      <w:sz w:val="20"/>
      <w:szCs w:val="20"/>
    </w:rPr>
  </w:style>
  <w:style w:type="paragraph" w:customStyle="1" w:styleId="94">
    <w:name w:val="普通 (Web)"/>
    <w:basedOn w:val="1"/>
    <w:qFormat/>
    <w:uiPriority w:val="99"/>
    <w:pPr>
      <w:widowControl/>
      <w:spacing w:before="100" w:after="100"/>
      <w:jc w:val="left"/>
    </w:pPr>
    <w:rPr>
      <w:rFonts w:ascii="Arial Unicode MS" w:hAnsi="Arial Unicode MS"/>
      <w:kern w:val="0"/>
      <w:sz w:val="24"/>
      <w:szCs w:val="20"/>
    </w:rPr>
  </w:style>
  <w:style w:type="paragraph" w:customStyle="1" w:styleId="95">
    <w:name w:val="标题4"/>
    <w:basedOn w:val="1"/>
    <w:qFormat/>
    <w:uiPriority w:val="99"/>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96">
    <w:name w:val="1 Char"/>
    <w:basedOn w:val="1"/>
    <w:qFormat/>
    <w:uiPriority w:val="99"/>
    <w:rPr>
      <w:rFonts w:ascii="Tahoma" w:hAnsi="Tahoma"/>
      <w:sz w:val="24"/>
      <w:szCs w:val="20"/>
    </w:rPr>
  </w:style>
  <w:style w:type="paragraph" w:customStyle="1" w:styleId="97">
    <w:name w:val="Char Char Char Char Char Char Char Char Char Char Char1 Char"/>
    <w:basedOn w:val="1"/>
    <w:qFormat/>
    <w:uiPriority w:val="99"/>
    <w:pPr>
      <w:widowControl/>
      <w:spacing w:after="160" w:line="240" w:lineRule="exact"/>
      <w:jc w:val="left"/>
    </w:pPr>
    <w:rPr>
      <w:szCs w:val="20"/>
    </w:rPr>
  </w:style>
  <w:style w:type="paragraph" w:customStyle="1" w:styleId="98">
    <w:name w:val="Char1 Char Char Char Char Char Char Char Char Char Char Char Char Char Char Char Char Char Char"/>
    <w:basedOn w:val="1"/>
    <w:qFormat/>
    <w:uiPriority w:val="99"/>
  </w:style>
  <w:style w:type="paragraph" w:customStyle="1" w:styleId="99">
    <w:name w:val="样式"/>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00">
    <w:name w:val="Char Char 字元 字元 字元 Char Char 字元 字元 Char Char Char Char"/>
    <w:basedOn w:val="1"/>
    <w:qFormat/>
    <w:uiPriority w:val="99"/>
    <w:pPr>
      <w:widowControl/>
      <w:spacing w:after="160" w:line="240" w:lineRule="exact"/>
      <w:jc w:val="left"/>
    </w:pPr>
    <w:rPr>
      <w:rFonts w:ascii="Verdana" w:hAnsi="Verdana" w:eastAsia="PMingLiU"/>
      <w:kern w:val="0"/>
      <w:sz w:val="20"/>
      <w:szCs w:val="20"/>
      <w:lang w:eastAsia="en-US"/>
    </w:rPr>
  </w:style>
  <w:style w:type="paragraph" w:customStyle="1" w:styleId="101">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2">
    <w:name w:val="正文11"/>
    <w:qFormat/>
    <w:uiPriority w:val="99"/>
    <w:rPr>
      <w:rFonts w:ascii="Helvetica" w:hAnsi="Helvetica" w:eastAsia="宋体" w:cs="Times New Roman"/>
      <w:color w:val="000000"/>
      <w:sz w:val="24"/>
      <w:lang w:val="en-US" w:eastAsia="zh-CN" w:bidi="ar-SA"/>
    </w:rPr>
  </w:style>
  <w:style w:type="paragraph" w:customStyle="1" w:styleId="103">
    <w:name w:val="项目符号1"/>
    <w:basedOn w:val="1"/>
    <w:qFormat/>
    <w:uiPriority w:val="99"/>
    <w:pPr>
      <w:numPr>
        <w:ilvl w:val="0"/>
        <w:numId w:val="1"/>
      </w:numPr>
      <w:spacing w:line="360" w:lineRule="auto"/>
    </w:pPr>
    <w:rPr>
      <w:rFonts w:cs="宋体"/>
      <w:sz w:val="24"/>
      <w:szCs w:val="20"/>
    </w:rPr>
  </w:style>
  <w:style w:type="paragraph" w:customStyle="1" w:styleId="104">
    <w:name w:val="Char Char Char Char1"/>
    <w:basedOn w:val="1"/>
    <w:qFormat/>
    <w:uiPriority w:val="99"/>
    <w:pPr>
      <w:tabs>
        <w:tab w:val="left" w:pos="1200"/>
      </w:tabs>
      <w:ind w:left="1200" w:hanging="360"/>
    </w:pPr>
    <w:rPr>
      <w:szCs w:val="20"/>
    </w:rPr>
  </w:style>
  <w:style w:type="paragraph" w:customStyle="1" w:styleId="105">
    <w:name w:val="Char Char Char Char Char Char Char Char Char Char Char Char Char Char Char Char"/>
    <w:basedOn w:val="1"/>
    <w:qFormat/>
    <w:uiPriority w:val="99"/>
    <w:rPr>
      <w:rFonts w:ascii="仿宋_GB2312" w:eastAsia="仿宋_GB2312"/>
      <w:b/>
      <w:sz w:val="32"/>
      <w:szCs w:val="32"/>
    </w:rPr>
  </w:style>
  <w:style w:type="paragraph" w:customStyle="1" w:styleId="106">
    <w:name w:val="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07">
    <w:name w:val="正文 A"/>
    <w:qFormat/>
    <w:uiPriority w:val="9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pPr>
    <w:rPr>
      <w:rFonts w:ascii="仿宋" w:hAnsi="仿宋" w:eastAsia="仿宋" w:cs="Times New Roman"/>
      <w:b/>
      <w:kern w:val="2"/>
      <w:sz w:val="24"/>
      <w:lang w:val="en-US" w:eastAsia="zh-CN" w:bidi="ar-SA"/>
    </w:rPr>
  </w:style>
  <w:style w:type="paragraph" w:customStyle="1" w:styleId="108">
    <w:name w:val="自由格式"/>
    <w:qFormat/>
    <w:uiPriority w:val="99"/>
    <w:rPr>
      <w:rFonts w:ascii="Helvetica" w:hAnsi="Helvetica" w:eastAsia="宋体" w:cs="Times New Roman"/>
      <w:color w:val="000000"/>
      <w:sz w:val="24"/>
      <w:lang w:val="en-US" w:eastAsia="zh-CN" w:bidi="ar-SA"/>
    </w:rPr>
  </w:style>
  <w:style w:type="paragraph" w:customStyle="1" w:styleId="109">
    <w:name w:val="Char Char Char Char Char Char Char Char Char Char Char Char Char Char"/>
    <w:basedOn w:val="1"/>
    <w:qFormat/>
    <w:uiPriority w:val="99"/>
    <w:rPr>
      <w:rFonts w:ascii="仿宋_GB2312" w:eastAsia="仿宋_GB2312"/>
      <w:b/>
      <w:sz w:val="32"/>
      <w:szCs w:val="32"/>
    </w:rPr>
  </w:style>
  <w:style w:type="paragraph" w:customStyle="1" w:styleId="110">
    <w:name w:val="Char Char Char Char Char Char Char"/>
    <w:basedOn w:val="1"/>
    <w:qFormat/>
    <w:uiPriority w:val="99"/>
    <w:rPr>
      <w:rFonts w:ascii="Tahoma" w:hAnsi="Tahoma"/>
      <w:sz w:val="24"/>
      <w:szCs w:val="20"/>
    </w:rPr>
  </w:style>
  <w:style w:type="paragraph" w:customStyle="1" w:styleId="111">
    <w:name w:val="项目符号2"/>
    <w:basedOn w:val="1"/>
    <w:qFormat/>
    <w:uiPriority w:val="99"/>
    <w:pPr>
      <w:numPr>
        <w:ilvl w:val="0"/>
        <w:numId w:val="2"/>
      </w:numPr>
      <w:spacing w:line="360" w:lineRule="auto"/>
    </w:pPr>
    <w:rPr>
      <w:rFonts w:cs="宋体"/>
      <w:sz w:val="24"/>
      <w:szCs w:val="20"/>
    </w:rPr>
  </w:style>
  <w:style w:type="paragraph" w:customStyle="1" w:styleId="112">
    <w:name w:val="Char1"/>
    <w:basedOn w:val="1"/>
    <w:qFormat/>
    <w:uiPriority w:val="99"/>
    <w:pPr>
      <w:widowControl/>
      <w:spacing w:after="160" w:line="240" w:lineRule="exact"/>
      <w:ind w:firstLine="200" w:firstLineChars="200"/>
      <w:jc w:val="left"/>
    </w:pPr>
    <w:rPr>
      <w:rFonts w:ascii="Verdana" w:hAnsi="Verdana"/>
      <w:kern w:val="0"/>
      <w:sz w:val="20"/>
      <w:szCs w:val="20"/>
      <w:lang w:eastAsia="en-US"/>
    </w:rPr>
  </w:style>
  <w:style w:type="paragraph" w:customStyle="1" w:styleId="113">
    <w:name w:val="默认段落字体 Para Char Char Char Char Char Char Char Char Char Char"/>
    <w:basedOn w:val="13"/>
    <w:qFormat/>
    <w:uiPriority w:val="99"/>
    <w:rPr>
      <w:rFonts w:ascii="Tahoma" w:hAnsi="Tahoma"/>
      <w:sz w:val="24"/>
    </w:rPr>
  </w:style>
  <w:style w:type="paragraph" w:customStyle="1" w:styleId="114">
    <w:name w:val="Char Char1 Char Char Char Char"/>
    <w:basedOn w:val="1"/>
    <w:qFormat/>
    <w:uiPriority w:val="99"/>
    <w:rPr>
      <w:rFonts w:ascii="Tahoma" w:hAnsi="Tahoma"/>
      <w:sz w:val="24"/>
      <w:szCs w:val="20"/>
    </w:rPr>
  </w:style>
  <w:style w:type="paragraph" w:customStyle="1" w:styleId="115">
    <w:name w:val="Char Char1 Char Char Char Char Char Char Char Char"/>
    <w:basedOn w:val="1"/>
    <w:qFormat/>
    <w:uiPriority w:val="99"/>
    <w:rPr>
      <w:rFonts w:ascii="Tahoma" w:hAnsi="Tahoma"/>
      <w:sz w:val="24"/>
      <w:szCs w:val="20"/>
    </w:rPr>
  </w:style>
  <w:style w:type="character" w:customStyle="1" w:styleId="116">
    <w:name w:val="Normal Indent Char"/>
    <w:qFormat/>
    <w:locked/>
    <w:uiPriority w:val="99"/>
    <w:rPr>
      <w:rFonts w:eastAsia="宋体"/>
      <w:kern w:val="2"/>
      <w:sz w:val="21"/>
      <w:lang w:val="en-US" w:eastAsia="zh-CN"/>
    </w:rPr>
  </w:style>
  <w:style w:type="paragraph" w:customStyle="1" w:styleId="117">
    <w:name w:val="Char2"/>
    <w:basedOn w:val="1"/>
    <w:qFormat/>
    <w:uiPriority w:val="0"/>
    <w:pPr>
      <w:widowControl/>
      <w:jc w:val="left"/>
    </w:pPr>
    <w:rPr>
      <w:rFonts w:ascii="仿宋_GB2312" w:eastAsia="仿宋_GB2312"/>
      <w:b/>
      <w:kern w:val="0"/>
      <w:sz w:val="32"/>
      <w:szCs w:val="32"/>
    </w:rPr>
  </w:style>
  <w:style w:type="paragraph" w:customStyle="1" w:styleId="118">
    <w:name w:val="TOC 标题1"/>
    <w:basedOn w:val="4"/>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119">
    <w:name w:val="正文首行缩进 2 Char"/>
    <w:basedOn w:val="59"/>
    <w:link w:val="41"/>
    <w:semiHidden/>
    <w:qFormat/>
    <w:uiPriority w:val="99"/>
    <w:rPr>
      <w:rFonts w:eastAsia="宋体"/>
      <w:kern w:val="2"/>
      <w:sz w:val="21"/>
      <w:szCs w:val="24"/>
      <w:lang w:val="en-US" w:eastAsia="zh-CN"/>
    </w:rPr>
  </w:style>
  <w:style w:type="paragraph" w:styleId="120">
    <w:name w:val="List Paragraph"/>
    <w:basedOn w:val="1"/>
    <w:qFormat/>
    <w:uiPriority w:val="99"/>
    <w:pPr>
      <w:ind w:firstLine="420" w:firstLineChars="200"/>
    </w:pPr>
  </w:style>
  <w:style w:type="paragraph" w:customStyle="1" w:styleId="121">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22">
    <w:name w:val="样式 标书正文 + 下划线 Char"/>
    <w:qFormat/>
    <w:uiPriority w:val="0"/>
    <w:rPr>
      <w:rFonts w:eastAsia="Ari"/>
      <w:kern w:val="2"/>
      <w:sz w:val="28"/>
      <w:szCs w:val="28"/>
      <w:u w:val="single"/>
      <w:lang w:val="en-US" w:eastAsia="zh-CN" w:bidi="ar-SA"/>
    </w:rPr>
  </w:style>
  <w:style w:type="paragraph" w:customStyle="1" w:styleId="123">
    <w:name w:val="Blockquote"/>
    <w:basedOn w:val="1"/>
    <w:qFormat/>
    <w:uiPriority w:val="0"/>
    <w:pPr>
      <w:autoSpaceDE w:val="0"/>
      <w:autoSpaceDN w:val="0"/>
      <w:adjustRightInd w:val="0"/>
      <w:ind w:left="360" w:right="360"/>
      <w:jc w:val="left"/>
    </w:pPr>
    <w:rPr>
      <w:kern w:val="0"/>
      <w:sz w:val="24"/>
      <w:szCs w:val="20"/>
    </w:rPr>
  </w:style>
  <w:style w:type="character" w:customStyle="1" w:styleId="124">
    <w:name w:val="hover16"/>
    <w:basedOn w:val="44"/>
    <w:qFormat/>
    <w:uiPriority w:val="0"/>
  </w:style>
  <w:style w:type="character" w:customStyle="1" w:styleId="125">
    <w:name w:val="hover"/>
    <w:basedOn w:val="44"/>
    <w:qFormat/>
    <w:uiPriority w:val="0"/>
  </w:style>
  <w:style w:type="character" w:customStyle="1" w:styleId="126">
    <w:name w:val="hover15"/>
    <w:basedOn w:val="44"/>
    <w:qFormat/>
    <w:uiPriority w:val="0"/>
  </w:style>
  <w:style w:type="paragraph" w:customStyle="1" w:styleId="127">
    <w:name w:val="BodyText1I2"/>
    <w:basedOn w:val="128"/>
    <w:qFormat/>
    <w:uiPriority w:val="0"/>
    <w:pPr>
      <w:ind w:firstLine="420" w:firstLineChars="200"/>
    </w:pPr>
  </w:style>
  <w:style w:type="paragraph" w:customStyle="1" w:styleId="128">
    <w:name w:val="BodyTextIndent"/>
    <w:basedOn w:val="1"/>
    <w:next w:val="129"/>
    <w:qFormat/>
    <w:uiPriority w:val="0"/>
    <w:pPr>
      <w:spacing w:after="120"/>
      <w:ind w:left="420" w:leftChars="200"/>
    </w:pPr>
  </w:style>
  <w:style w:type="paragraph" w:customStyle="1" w:styleId="129">
    <w:name w:val="EnvelopeReturn"/>
    <w:basedOn w:val="1"/>
    <w:qFormat/>
    <w:uiPriority w:val="0"/>
    <w:pPr>
      <w:snapToGrid w:val="0"/>
    </w:pPr>
    <w:rPr>
      <w:rFonts w:ascii="Arial" w:hAnsi="Arial"/>
      <w:szCs w:val="22"/>
    </w:rPr>
  </w:style>
  <w:style w:type="paragraph" w:customStyle="1" w:styleId="130">
    <w:name w:val="A正文四号字"/>
    <w:basedOn w:val="1"/>
    <w:qFormat/>
    <w:uiPriority w:val="0"/>
    <w:pPr>
      <w:spacing w:line="360" w:lineRule="auto"/>
      <w:ind w:firstLine="200" w:firstLineChars="200"/>
    </w:pPr>
    <w:rPr>
      <w:kern w:val="0"/>
    </w:rPr>
  </w:style>
  <w:style w:type="paragraph" w:customStyle="1" w:styleId="131">
    <w:name w:val="正文_13_0"/>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4DBD3-C5C6-447E-BCE2-4A5D2BC62287}">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54</Pages>
  <Words>22534</Words>
  <Characters>23876</Characters>
  <Lines>205</Lines>
  <Paragraphs>57</Paragraphs>
  <TotalTime>0</TotalTime>
  <ScaleCrop>false</ScaleCrop>
  <LinksUpToDate>false</LinksUpToDate>
  <CharactersWithSpaces>25141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2019-08-13T08:40:00Z</dcterms:created>
  <dc:creator>微软用户</dc:creator>
  <cp:lastModifiedBy>Y  s</cp:lastModifiedBy>
  <cp:lastPrinted>2016-12-20T08:48:00Z</cp:lastPrinted>
  <dcterms:modified xsi:type="dcterms:W3CDTF">2021-09-27T08:57:25Z</dcterms:modified>
  <dc:title>郑州高新技术产业开发区  购置课桌椅、教师办公桌椅项目</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5FBFC3D503F94C228EADFF858BE3AF1E</vt:lpwstr>
  </property>
</Properties>
</file>