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kern w:val="0"/>
          <w:sz w:val="28"/>
          <w:szCs w:val="28"/>
        </w:rPr>
      </w:pPr>
      <w:r>
        <w:rPr>
          <w:rFonts w:hint="eastAsia" w:ascii="宋体" w:hAnsi="宋体" w:cs="宋体"/>
          <w:b/>
          <w:kern w:val="0"/>
          <w:sz w:val="28"/>
          <w:szCs w:val="28"/>
        </w:rPr>
        <w:t>郑州大学第二附属医院疑难提升手卫生管理系统采购项目</w:t>
      </w:r>
    </w:p>
    <w:p>
      <w:pPr>
        <w:spacing w:line="520" w:lineRule="exact"/>
        <w:jc w:val="center"/>
        <w:rPr>
          <w:rFonts w:ascii="宋体" w:hAnsi="宋体" w:cs="宋体"/>
          <w:b/>
          <w:kern w:val="0"/>
          <w:sz w:val="28"/>
          <w:szCs w:val="28"/>
        </w:rPr>
      </w:pPr>
      <w:r>
        <w:rPr>
          <w:rFonts w:hint="eastAsia" w:ascii="宋体" w:hAnsi="宋体" w:cs="宋体"/>
          <w:b/>
          <w:kern w:val="0"/>
          <w:sz w:val="28"/>
          <w:szCs w:val="28"/>
        </w:rPr>
        <w:t>公开招标公告</w:t>
      </w:r>
    </w:p>
    <w:p>
      <w:pPr>
        <w:pStyle w:val="7"/>
        <w:snapToGrid w:val="0"/>
        <w:spacing w:before="0" w:beforeAutospacing="0" w:after="0" w:afterAutospacing="0" w:line="520" w:lineRule="exact"/>
        <w:ind w:firstLine="660" w:firstLineChars="275"/>
      </w:pPr>
      <w:r>
        <w:rPr>
          <w:rFonts w:hint="eastAsia"/>
        </w:rPr>
        <w:t>河南兴达工程咨询有限公司受郑州大学第二附属医院的委托，对郑州大学第二附属医院疑难提升手卫生管理系统采购项目进行公开招标。本项目现已具备招标条件，欢迎具有相应资格的潜</w:t>
      </w:r>
      <w:bookmarkStart w:id="1" w:name="_GoBack"/>
      <w:bookmarkEnd w:id="1"/>
      <w:r>
        <w:rPr>
          <w:rFonts w:hint="eastAsia"/>
        </w:rPr>
        <w:t>在投标人参加投标。 </w:t>
      </w:r>
    </w:p>
    <w:p>
      <w:pPr>
        <w:spacing w:line="520" w:lineRule="exact"/>
        <w:jc w:val="left"/>
        <w:rPr>
          <w:rFonts w:ascii="宋体" w:hAnsi="宋体" w:cs="宋体"/>
          <w:bCs/>
          <w:sz w:val="24"/>
        </w:rPr>
      </w:pPr>
      <w:r>
        <w:rPr>
          <w:rFonts w:hint="eastAsia" w:ascii="宋体" w:hAnsi="宋体" w:cs="宋体"/>
          <w:b/>
          <w:bCs/>
          <w:sz w:val="24"/>
        </w:rPr>
        <w:t>一、采购项目名称：</w:t>
      </w:r>
      <w:r>
        <w:rPr>
          <w:rFonts w:hint="eastAsia" w:ascii="宋体" w:hAnsi="宋体" w:cs="宋体"/>
          <w:bCs/>
          <w:sz w:val="24"/>
        </w:rPr>
        <w:t>郑州大学第二附属医院疑难提升手卫生管理系统采购项目</w:t>
      </w:r>
    </w:p>
    <w:p>
      <w:pPr>
        <w:spacing w:line="520" w:lineRule="exact"/>
        <w:jc w:val="left"/>
        <w:rPr>
          <w:rFonts w:ascii="宋体" w:hAnsi="宋体" w:cs="宋体"/>
          <w:bCs/>
          <w:sz w:val="24"/>
        </w:rPr>
      </w:pPr>
      <w:r>
        <w:rPr>
          <w:rFonts w:hint="eastAsia" w:ascii="宋体" w:hAnsi="宋体" w:cs="宋体"/>
          <w:b/>
          <w:bCs/>
          <w:sz w:val="24"/>
        </w:rPr>
        <w:t>二、采购项目编号：</w:t>
      </w:r>
      <w:r>
        <w:rPr>
          <w:rFonts w:hint="eastAsia" w:ascii="宋体" w:hAnsi="宋体" w:cs="宋体"/>
          <w:bCs/>
          <w:sz w:val="24"/>
        </w:rPr>
        <w:t xml:space="preserve">豫财招标采购-2020-30 </w:t>
      </w:r>
    </w:p>
    <w:p>
      <w:pPr>
        <w:spacing w:line="520" w:lineRule="exact"/>
        <w:jc w:val="left"/>
        <w:rPr>
          <w:rFonts w:ascii="宋体" w:hAnsi="宋体" w:cs="宋体"/>
          <w:b/>
          <w:bCs/>
          <w:sz w:val="24"/>
        </w:rPr>
      </w:pPr>
      <w:r>
        <w:rPr>
          <w:rFonts w:hint="eastAsia" w:ascii="宋体" w:hAnsi="宋体" w:cs="宋体"/>
          <w:b/>
          <w:bCs/>
          <w:sz w:val="24"/>
        </w:rPr>
        <w:t>三、采购项目预算金额：</w:t>
      </w:r>
      <w:r>
        <w:rPr>
          <w:rFonts w:hint="eastAsia" w:ascii="宋体" w:hAnsi="宋体" w:cs="宋体"/>
          <w:sz w:val="24"/>
        </w:rPr>
        <w:t>770000元</w:t>
      </w:r>
    </w:p>
    <w:p>
      <w:pPr>
        <w:spacing w:line="520" w:lineRule="exact"/>
        <w:ind w:firstLine="482" w:firstLineChars="200"/>
        <w:jc w:val="left"/>
        <w:rPr>
          <w:rFonts w:ascii="宋体" w:hAnsi="宋体" w:cs="宋体"/>
          <w:b/>
          <w:bCs/>
          <w:sz w:val="24"/>
        </w:rPr>
      </w:pPr>
      <w:r>
        <w:rPr>
          <w:rFonts w:hint="eastAsia" w:ascii="宋体" w:hAnsi="宋体" w:cs="宋体"/>
          <w:b/>
          <w:bCs/>
          <w:sz w:val="24"/>
        </w:rPr>
        <w:t>最高限价:</w:t>
      </w:r>
      <w:r>
        <w:rPr>
          <w:rFonts w:ascii="宋体" w:hAnsi="宋体" w:cs="宋体"/>
          <w:sz w:val="24"/>
        </w:rPr>
        <w:t>47</w:t>
      </w:r>
      <w:r>
        <w:rPr>
          <w:rFonts w:hint="eastAsia" w:ascii="宋体" w:hAnsi="宋体" w:cs="宋体"/>
          <w:sz w:val="24"/>
        </w:rPr>
        <w:t>0000元</w:t>
      </w:r>
    </w:p>
    <w:tbl>
      <w:tblPr>
        <w:tblStyle w:val="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1"/>
        <w:gridCol w:w="3209"/>
        <w:gridCol w:w="182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rPr>
        <w:tc>
          <w:tcPr>
            <w:tcW w:w="661" w:type="dxa"/>
            <w:vAlign w:val="center"/>
          </w:tcPr>
          <w:p>
            <w:pPr>
              <w:widowControl/>
              <w:jc w:val="center"/>
              <w:textAlignment w:val="center"/>
            </w:pPr>
            <w:r>
              <w:rPr>
                <w:rFonts w:hint="eastAsia" w:ascii="宋体" w:hAnsi="宋体" w:cs="宋体"/>
                <w:b/>
                <w:color w:val="000000"/>
                <w:kern w:val="0"/>
                <w:sz w:val="24"/>
                <w:lang w:bidi="ar"/>
              </w:rPr>
              <w:t>序号</w:t>
            </w:r>
          </w:p>
        </w:tc>
        <w:tc>
          <w:tcPr>
            <w:tcW w:w="3209" w:type="dxa"/>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包号</w:t>
            </w:r>
          </w:p>
        </w:tc>
        <w:tc>
          <w:tcPr>
            <w:tcW w:w="1826" w:type="dxa"/>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包名称</w:t>
            </w:r>
          </w:p>
        </w:tc>
        <w:tc>
          <w:tcPr>
            <w:tcW w:w="1701" w:type="dxa"/>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 xml:space="preserve">包预算 </w:t>
            </w:r>
            <w:r>
              <w:rPr>
                <w:rFonts w:ascii="宋体" w:hAnsi="宋体" w:cs="宋体"/>
                <w:b/>
                <w:color w:val="000000"/>
                <w:kern w:val="0"/>
                <w:sz w:val="24"/>
                <w:lang w:bidi="ar"/>
              </w:rPr>
              <w:t xml:space="preserve">  </w:t>
            </w:r>
            <w:r>
              <w:rPr>
                <w:rFonts w:hint="eastAsia" w:ascii="宋体" w:hAnsi="宋体" w:cs="宋体"/>
                <w:b/>
                <w:color w:val="000000"/>
                <w:kern w:val="0"/>
                <w:sz w:val="24"/>
                <w:lang w:bidi="ar"/>
              </w:rPr>
              <w:t>（元）</w:t>
            </w:r>
          </w:p>
        </w:tc>
        <w:tc>
          <w:tcPr>
            <w:tcW w:w="1701" w:type="dxa"/>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1" w:hRule="atLeast"/>
        </w:trPr>
        <w:tc>
          <w:tcPr>
            <w:tcW w:w="661" w:type="dxa"/>
            <w:vAlign w:val="center"/>
          </w:tcPr>
          <w:p>
            <w:pPr>
              <w:widowControl/>
              <w:jc w:val="center"/>
              <w:textAlignment w:val="center"/>
            </w:pPr>
            <w:bookmarkStart w:id="0" w:name="_Hlk528228614"/>
            <w:r>
              <w:rPr>
                <w:rFonts w:hint="eastAsia" w:ascii="宋体" w:hAnsi="宋体" w:cs="宋体"/>
                <w:color w:val="000000"/>
                <w:kern w:val="0"/>
                <w:sz w:val="24"/>
                <w:lang w:bidi="ar"/>
              </w:rPr>
              <w:t>1</w:t>
            </w:r>
          </w:p>
        </w:tc>
        <w:tc>
          <w:tcPr>
            <w:tcW w:w="3209" w:type="dxa"/>
            <w:vAlign w:val="center"/>
          </w:tcPr>
          <w:p>
            <w:pPr>
              <w:widowControl/>
              <w:jc w:val="center"/>
              <w:textAlignment w:val="center"/>
              <w:rPr>
                <w:rFonts w:ascii="宋体" w:hAnsi="宋体" w:cs="宋体"/>
                <w:color w:val="000000"/>
                <w:kern w:val="0"/>
                <w:sz w:val="24"/>
                <w:lang w:bidi="ar"/>
              </w:rPr>
            </w:pPr>
            <w:r>
              <w:rPr>
                <w:rFonts w:hint="eastAsia" w:ascii="宋体" w:hAnsi="宋体" w:cs="宋体"/>
                <w:bCs/>
                <w:sz w:val="24"/>
              </w:rPr>
              <w:t>豫政采(2)20200037-1</w:t>
            </w:r>
          </w:p>
        </w:tc>
        <w:tc>
          <w:tcPr>
            <w:tcW w:w="1826" w:type="dxa"/>
            <w:vAlign w:val="center"/>
          </w:tcPr>
          <w:p>
            <w:pPr>
              <w:widowControl/>
              <w:textAlignment w:val="center"/>
              <w:rPr>
                <w:rFonts w:ascii="宋体" w:hAnsi="宋体" w:cs="宋体"/>
                <w:color w:val="000000"/>
                <w:sz w:val="24"/>
              </w:rPr>
            </w:pPr>
            <w:r>
              <w:rPr>
                <w:rFonts w:hint="eastAsia" w:ascii="宋体" w:hAnsi="宋体" w:cs="宋体"/>
                <w:color w:val="000000"/>
                <w:sz w:val="24"/>
              </w:rPr>
              <w:t>郑州大学第二附属医院疑难提升手卫生管理系统采购项目</w:t>
            </w:r>
          </w:p>
        </w:tc>
        <w:tc>
          <w:tcPr>
            <w:tcW w:w="170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770000</w:t>
            </w:r>
          </w:p>
        </w:tc>
        <w:tc>
          <w:tcPr>
            <w:tcW w:w="1701"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470000</w:t>
            </w:r>
          </w:p>
        </w:tc>
      </w:tr>
      <w:bookmarkEnd w:id="0"/>
    </w:tbl>
    <w:p>
      <w:pPr>
        <w:spacing w:line="520" w:lineRule="exact"/>
        <w:jc w:val="left"/>
        <w:rPr>
          <w:rFonts w:ascii="宋体" w:hAnsi="宋体" w:cs="宋体"/>
          <w:bCs/>
          <w:sz w:val="24"/>
        </w:rPr>
      </w:pPr>
      <w:r>
        <w:rPr>
          <w:rFonts w:hint="eastAsia" w:ascii="宋体" w:hAnsi="宋体" w:cs="宋体"/>
          <w:b/>
          <w:bCs/>
          <w:sz w:val="24"/>
        </w:rPr>
        <w:t>四、采购需求：</w:t>
      </w:r>
    </w:p>
    <w:p>
      <w:pPr>
        <w:spacing w:line="520" w:lineRule="exact"/>
        <w:ind w:firstLine="480" w:firstLineChars="200"/>
        <w:jc w:val="left"/>
        <w:rPr>
          <w:rFonts w:ascii="宋体" w:hAnsi="宋体" w:cs="宋体"/>
          <w:bCs/>
          <w:sz w:val="24"/>
        </w:rPr>
      </w:pPr>
      <w:r>
        <w:rPr>
          <w:rFonts w:hint="eastAsia" w:ascii="宋体" w:hAnsi="宋体" w:cs="宋体"/>
          <w:bCs/>
          <w:sz w:val="24"/>
        </w:rPr>
        <w:t>1.采购内容：</w:t>
      </w:r>
    </w:p>
    <w:tbl>
      <w:tblPr>
        <w:tblStyle w:val="4"/>
        <w:tblW w:w="9017" w:type="dxa"/>
        <w:tblInd w:w="93" w:type="dxa"/>
        <w:tblLayout w:type="autofit"/>
        <w:tblCellMar>
          <w:top w:w="0" w:type="dxa"/>
          <w:left w:w="108" w:type="dxa"/>
          <w:bottom w:w="0" w:type="dxa"/>
          <w:right w:w="108" w:type="dxa"/>
        </w:tblCellMar>
      </w:tblPr>
      <w:tblGrid>
        <w:gridCol w:w="1810"/>
        <w:gridCol w:w="3587"/>
        <w:gridCol w:w="1810"/>
        <w:gridCol w:w="1810"/>
      </w:tblGrid>
      <w:tr>
        <w:tblPrEx>
          <w:tblCellMar>
            <w:top w:w="0" w:type="dxa"/>
            <w:left w:w="108" w:type="dxa"/>
            <w:bottom w:w="0" w:type="dxa"/>
            <w:right w:w="108" w:type="dxa"/>
          </w:tblCellMar>
        </w:tblPrEx>
        <w:trPr>
          <w:trHeight w:val="330" w:hRule="atLeast"/>
        </w:trPr>
        <w:tc>
          <w:tcPr>
            <w:tcW w:w="1810" w:type="dxa"/>
            <w:tcBorders>
              <w:top w:val="single" w:color="auto" w:sz="4" w:space="0"/>
              <w:left w:val="single" w:color="auto" w:sz="8" w:space="0"/>
              <w:bottom w:val="single" w:color="auto" w:sz="8" w:space="0"/>
              <w:right w:val="single" w:color="auto" w:sz="8"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587" w:type="dxa"/>
            <w:tcBorders>
              <w:top w:val="single" w:color="auto" w:sz="4" w:space="0"/>
              <w:left w:val="nil"/>
              <w:bottom w:val="single" w:color="auto" w:sz="8" w:space="0"/>
              <w:right w:val="single" w:color="auto" w:sz="8"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1810" w:type="dxa"/>
            <w:tcBorders>
              <w:top w:val="single" w:color="auto" w:sz="4" w:space="0"/>
              <w:left w:val="nil"/>
              <w:bottom w:val="single" w:color="auto" w:sz="8" w:space="0"/>
              <w:right w:val="single" w:color="auto" w:sz="8"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810" w:type="dxa"/>
            <w:tcBorders>
              <w:top w:val="single" w:color="auto" w:sz="4" w:space="0"/>
              <w:left w:val="nil"/>
              <w:bottom w:val="single" w:color="auto" w:sz="8" w:space="0"/>
              <w:right w:val="single" w:color="auto" w:sz="8"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r>
      <w:tr>
        <w:tblPrEx>
          <w:tblCellMar>
            <w:top w:w="0" w:type="dxa"/>
            <w:left w:w="108" w:type="dxa"/>
            <w:bottom w:w="0" w:type="dxa"/>
            <w:right w:w="108" w:type="dxa"/>
          </w:tblCellMar>
        </w:tblPrEx>
        <w:trPr>
          <w:trHeight w:val="330" w:hRule="atLeast"/>
        </w:trPr>
        <w:tc>
          <w:tcPr>
            <w:tcW w:w="9017" w:type="dxa"/>
            <w:gridSpan w:val="4"/>
            <w:tcBorders>
              <w:top w:val="single" w:color="auto" w:sz="8" w:space="0"/>
              <w:left w:val="single" w:color="auto" w:sz="8" w:space="0"/>
              <w:bottom w:val="single" w:color="auto" w:sz="8" w:space="0"/>
              <w:right w:val="single" w:color="auto" w:sz="8"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硬件设备</w:t>
            </w:r>
          </w:p>
        </w:tc>
      </w:tr>
      <w:tr>
        <w:tblPrEx>
          <w:tblCellMar>
            <w:top w:w="0" w:type="dxa"/>
            <w:left w:w="108" w:type="dxa"/>
            <w:bottom w:w="0" w:type="dxa"/>
            <w:right w:w="108" w:type="dxa"/>
          </w:tblCellMar>
        </w:tblPrEx>
        <w:trPr>
          <w:trHeight w:val="345"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587"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智能胸牌</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386</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张</w:t>
            </w:r>
          </w:p>
        </w:tc>
      </w:tr>
      <w:tr>
        <w:tblPrEx>
          <w:tblCellMar>
            <w:top w:w="0" w:type="dxa"/>
            <w:left w:w="108" w:type="dxa"/>
            <w:bottom w:w="0" w:type="dxa"/>
            <w:right w:w="108" w:type="dxa"/>
          </w:tblCellMar>
        </w:tblPrEx>
        <w:trPr>
          <w:trHeight w:val="345"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587"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智能床识别器</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146</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345"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587"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治疗车（手消）识别器</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345"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587"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自动手消识别器</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　230</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345"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587"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智能AP</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345"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587"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出入口识别器</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345"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587"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大屏显示器</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330"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587" w:type="dxa"/>
            <w:tcBorders>
              <w:top w:val="nil"/>
              <w:left w:val="nil"/>
              <w:bottom w:val="single" w:color="auto" w:sz="8" w:space="0"/>
              <w:right w:val="single" w:color="auto" w:sz="8" w:space="0"/>
            </w:tcBorders>
          </w:tcPr>
          <w:p>
            <w:pPr>
              <w:widowControl/>
              <w:rPr>
                <w:rFonts w:ascii="宋体" w:hAnsi="宋体" w:cs="宋体"/>
                <w:color w:val="000000"/>
                <w:kern w:val="0"/>
                <w:sz w:val="24"/>
              </w:rPr>
            </w:pPr>
            <w:r>
              <w:rPr>
                <w:rFonts w:hint="eastAsia" w:ascii="宋体" w:hAnsi="宋体" w:cs="宋体"/>
                <w:color w:val="000000"/>
                <w:kern w:val="0"/>
                <w:sz w:val="24"/>
              </w:rPr>
              <w:t>移动充电器　</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29　</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个　</w:t>
            </w:r>
          </w:p>
        </w:tc>
      </w:tr>
      <w:tr>
        <w:tblPrEx>
          <w:tblCellMar>
            <w:top w:w="0" w:type="dxa"/>
            <w:left w:w="108" w:type="dxa"/>
            <w:bottom w:w="0" w:type="dxa"/>
            <w:right w:w="108" w:type="dxa"/>
          </w:tblCellMar>
        </w:tblPrEx>
        <w:trPr>
          <w:trHeight w:val="330" w:hRule="atLeast"/>
        </w:trPr>
        <w:tc>
          <w:tcPr>
            <w:tcW w:w="9017" w:type="dxa"/>
            <w:gridSpan w:val="4"/>
            <w:tcBorders>
              <w:top w:val="single" w:color="auto" w:sz="8" w:space="0"/>
              <w:left w:val="single" w:color="auto" w:sz="8" w:space="0"/>
              <w:bottom w:val="single" w:color="auto" w:sz="8" w:space="0"/>
              <w:right w:val="single" w:color="auto" w:sz="8" w:space="0"/>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中心系统建设</w:t>
            </w:r>
          </w:p>
        </w:tc>
      </w:tr>
      <w:tr>
        <w:tblPrEx>
          <w:tblCellMar>
            <w:top w:w="0" w:type="dxa"/>
            <w:left w:w="108" w:type="dxa"/>
            <w:bottom w:w="0" w:type="dxa"/>
            <w:right w:w="108" w:type="dxa"/>
          </w:tblCellMar>
        </w:tblPrEx>
        <w:trPr>
          <w:trHeight w:val="330"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587" w:type="dxa"/>
            <w:tcBorders>
              <w:top w:val="nil"/>
              <w:left w:val="nil"/>
              <w:bottom w:val="single" w:color="auto" w:sz="8" w:space="0"/>
              <w:right w:val="single" w:color="auto" w:sz="8" w:space="0"/>
            </w:tcBorders>
          </w:tcPr>
          <w:p>
            <w:pPr>
              <w:widowControl/>
              <w:jc w:val="left"/>
              <w:rPr>
                <w:rFonts w:ascii="宋体" w:hAnsi="宋体" w:cs="宋体"/>
                <w:color w:val="000000"/>
                <w:kern w:val="0"/>
                <w:sz w:val="24"/>
              </w:rPr>
            </w:pPr>
            <w:r>
              <w:rPr>
                <w:rFonts w:hint="eastAsia" w:ascii="宋体" w:hAnsi="宋体" w:cs="宋体"/>
                <w:color w:val="000000"/>
                <w:kern w:val="0"/>
                <w:sz w:val="24"/>
              </w:rPr>
              <w:t>管理系统PC端</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330" w:hRule="atLeast"/>
        </w:trPr>
        <w:tc>
          <w:tcPr>
            <w:tcW w:w="1810" w:type="dxa"/>
            <w:tcBorders>
              <w:top w:val="nil"/>
              <w:left w:val="single" w:color="auto" w:sz="8" w:space="0"/>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587" w:type="dxa"/>
            <w:tcBorders>
              <w:top w:val="nil"/>
              <w:left w:val="nil"/>
              <w:bottom w:val="single" w:color="auto" w:sz="8" w:space="0"/>
              <w:right w:val="single" w:color="auto" w:sz="8" w:space="0"/>
            </w:tcBorders>
          </w:tcPr>
          <w:p>
            <w:pPr>
              <w:widowControl/>
              <w:jc w:val="left"/>
              <w:rPr>
                <w:rFonts w:ascii="宋体" w:hAnsi="宋体" w:cs="宋体"/>
                <w:color w:val="000000"/>
                <w:kern w:val="0"/>
                <w:sz w:val="24"/>
              </w:rPr>
            </w:pPr>
            <w:r>
              <w:rPr>
                <w:rFonts w:hint="eastAsia" w:ascii="宋体" w:hAnsi="宋体" w:cs="宋体"/>
                <w:color w:val="000000"/>
                <w:kern w:val="0"/>
                <w:sz w:val="24"/>
              </w:rPr>
              <w:t>管理系统手机端</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81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套　</w:t>
            </w:r>
          </w:p>
        </w:tc>
      </w:tr>
    </w:tbl>
    <w:p>
      <w:pPr>
        <w:spacing w:line="520" w:lineRule="exact"/>
        <w:ind w:firstLine="480" w:firstLineChars="200"/>
        <w:jc w:val="left"/>
        <w:rPr>
          <w:rFonts w:ascii="宋体" w:hAnsi="宋体" w:cs="宋体"/>
          <w:bCs/>
          <w:sz w:val="24"/>
        </w:rPr>
      </w:pPr>
    </w:p>
    <w:p>
      <w:pPr>
        <w:spacing w:line="520" w:lineRule="exact"/>
        <w:ind w:firstLine="480" w:firstLineChars="200"/>
        <w:jc w:val="left"/>
        <w:rPr>
          <w:rFonts w:ascii="宋体" w:hAnsi="宋体" w:cs="宋体"/>
          <w:bCs/>
          <w:sz w:val="24"/>
        </w:rPr>
      </w:pPr>
      <w:r>
        <w:rPr>
          <w:rFonts w:hint="eastAsia" w:ascii="宋体" w:hAnsi="宋体" w:cs="宋体"/>
          <w:bCs/>
          <w:sz w:val="24"/>
        </w:rPr>
        <w:t>2.采购范围: 设备的采购、安装、调试、验收、培训、质保期内外服务、与货物有关的运输和保险及其他伴随服务等。</w:t>
      </w:r>
    </w:p>
    <w:p>
      <w:pPr>
        <w:spacing w:line="520" w:lineRule="exact"/>
        <w:ind w:firstLine="480" w:firstLineChars="200"/>
        <w:jc w:val="left"/>
        <w:rPr>
          <w:rFonts w:ascii="宋体" w:hAnsi="宋体" w:cs="宋体"/>
          <w:bCs/>
          <w:sz w:val="24"/>
        </w:rPr>
      </w:pPr>
      <w:r>
        <w:rPr>
          <w:rFonts w:hint="eastAsia" w:ascii="宋体" w:hAnsi="宋体" w:cs="宋体"/>
          <w:bCs/>
          <w:sz w:val="24"/>
        </w:rPr>
        <w:t>3.交货期及交货地点：</w:t>
      </w:r>
    </w:p>
    <w:p>
      <w:pPr>
        <w:spacing w:line="520" w:lineRule="exact"/>
        <w:ind w:firstLine="960" w:firstLineChars="400"/>
        <w:jc w:val="left"/>
        <w:rPr>
          <w:rFonts w:ascii="宋体" w:hAnsi="宋体" w:cs="宋体"/>
          <w:bCs/>
          <w:sz w:val="24"/>
        </w:rPr>
      </w:pPr>
      <w:r>
        <w:rPr>
          <w:rFonts w:hint="eastAsia" w:ascii="宋体" w:hAnsi="宋体" w:cs="宋体"/>
          <w:bCs/>
          <w:sz w:val="24"/>
        </w:rPr>
        <w:t>交货期：合同生效后</w:t>
      </w:r>
      <w:r>
        <w:rPr>
          <w:rFonts w:ascii="宋体" w:hAnsi="宋体" w:cs="宋体"/>
          <w:bCs/>
          <w:sz w:val="24"/>
        </w:rPr>
        <w:t>30</w:t>
      </w:r>
      <w:r>
        <w:rPr>
          <w:rFonts w:hint="eastAsia" w:ascii="宋体" w:hAnsi="宋体" w:cs="宋体"/>
          <w:bCs/>
          <w:sz w:val="24"/>
        </w:rPr>
        <w:t>日历天。</w:t>
      </w:r>
    </w:p>
    <w:p>
      <w:pPr>
        <w:spacing w:line="520" w:lineRule="exact"/>
        <w:ind w:firstLine="960" w:firstLineChars="400"/>
        <w:jc w:val="left"/>
        <w:rPr>
          <w:rFonts w:ascii="宋体" w:hAnsi="宋体" w:cs="宋体"/>
          <w:bCs/>
          <w:sz w:val="24"/>
        </w:rPr>
      </w:pPr>
      <w:r>
        <w:rPr>
          <w:rFonts w:hint="eastAsia" w:ascii="宋体" w:hAnsi="宋体" w:cs="宋体"/>
          <w:bCs/>
          <w:sz w:val="24"/>
        </w:rPr>
        <w:t>交货地点：招标人指定地点。</w:t>
      </w:r>
    </w:p>
    <w:p>
      <w:pPr>
        <w:spacing w:line="520" w:lineRule="exact"/>
        <w:ind w:firstLine="480" w:firstLineChars="200"/>
        <w:jc w:val="left"/>
        <w:rPr>
          <w:rFonts w:ascii="宋体" w:hAnsi="宋体" w:cs="宋体"/>
          <w:bCs/>
          <w:sz w:val="24"/>
        </w:rPr>
      </w:pPr>
      <w:r>
        <w:rPr>
          <w:rFonts w:hint="eastAsia" w:ascii="宋体" w:hAnsi="宋体" w:cs="宋体"/>
          <w:bCs/>
          <w:sz w:val="24"/>
        </w:rPr>
        <w:t>4.质量要求：合格。</w:t>
      </w:r>
    </w:p>
    <w:p>
      <w:pPr>
        <w:spacing w:line="520" w:lineRule="exact"/>
        <w:ind w:firstLine="480" w:firstLineChars="200"/>
        <w:jc w:val="left"/>
        <w:rPr>
          <w:rFonts w:ascii="宋体" w:hAnsi="宋体" w:cs="宋体"/>
          <w:bCs/>
          <w:sz w:val="24"/>
        </w:rPr>
      </w:pPr>
      <w:r>
        <w:rPr>
          <w:rFonts w:hint="eastAsia" w:ascii="宋体" w:hAnsi="宋体" w:cs="宋体"/>
          <w:bCs/>
          <w:sz w:val="24"/>
        </w:rPr>
        <w:t>5.本项目共划分为一个标段</w:t>
      </w:r>
    </w:p>
    <w:p>
      <w:pPr>
        <w:spacing w:line="520" w:lineRule="exact"/>
        <w:jc w:val="left"/>
        <w:rPr>
          <w:rFonts w:ascii="宋体" w:hAnsi="宋体" w:cs="宋体"/>
          <w:bCs/>
          <w:sz w:val="24"/>
        </w:rPr>
      </w:pPr>
      <w:r>
        <w:rPr>
          <w:rFonts w:hint="eastAsia" w:ascii="宋体" w:hAnsi="宋体" w:cs="宋体"/>
          <w:b/>
          <w:bCs/>
          <w:sz w:val="24"/>
        </w:rPr>
        <w:t>五、采购项目需要落实的政府采购政策：</w:t>
      </w:r>
      <w:r>
        <w:rPr>
          <w:rFonts w:hint="eastAsia" w:ascii="宋体" w:hAnsi="宋体" w:cs="宋体"/>
          <w:bCs/>
          <w:sz w:val="24"/>
        </w:rPr>
        <w:t>本项目执行促进中小型企业发展政策（监狱企业、残疾人福利性企业视同小微企业）、强制采购节能产品、优先采购节能环保产品等政府采购政策。</w:t>
      </w:r>
    </w:p>
    <w:p>
      <w:pPr>
        <w:spacing w:line="520" w:lineRule="exact"/>
        <w:jc w:val="left"/>
        <w:rPr>
          <w:rFonts w:ascii="宋体" w:hAnsi="宋体" w:cs="宋体"/>
          <w:b/>
          <w:bCs/>
          <w:sz w:val="24"/>
        </w:rPr>
      </w:pPr>
      <w:r>
        <w:rPr>
          <w:rFonts w:hint="eastAsia" w:ascii="宋体" w:hAnsi="宋体" w:cs="宋体"/>
          <w:b/>
          <w:bCs/>
          <w:sz w:val="24"/>
        </w:rPr>
        <w:t>六、供应商资格要求:</w:t>
      </w:r>
    </w:p>
    <w:p>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bCs/>
          <w:sz w:val="24"/>
        </w:rPr>
        <w:t>.</w:t>
      </w:r>
      <w:r>
        <w:rPr>
          <w:rFonts w:hint="eastAsia" w:ascii="宋体" w:hAnsi="宋体" w:cs="宋体"/>
          <w:kern w:val="0"/>
          <w:sz w:val="24"/>
        </w:rPr>
        <w:t>潜在的供应商必须具备《中华人民共和国政府采购法》第二十二条规定的供应商条件：</w:t>
      </w:r>
    </w:p>
    <w:p>
      <w:pPr>
        <w:spacing w:line="360" w:lineRule="auto"/>
        <w:ind w:firstLine="480" w:firstLineChars="200"/>
        <w:rPr>
          <w:rFonts w:ascii="宋体" w:hAnsi="宋体" w:cs="宋体"/>
          <w:kern w:val="0"/>
          <w:sz w:val="24"/>
        </w:rPr>
      </w:pPr>
      <w:r>
        <w:rPr>
          <w:rFonts w:hint="eastAsia" w:ascii="宋体" w:hAnsi="宋体" w:cs="宋体"/>
          <w:kern w:val="0"/>
          <w:sz w:val="24"/>
        </w:rPr>
        <w:t>（一）具有独立承担民事责任的能力；</w:t>
      </w:r>
    </w:p>
    <w:p>
      <w:pPr>
        <w:spacing w:line="360" w:lineRule="auto"/>
        <w:ind w:firstLine="480" w:firstLineChars="200"/>
        <w:rPr>
          <w:rFonts w:ascii="宋体" w:hAnsi="宋体" w:cs="宋体"/>
          <w:kern w:val="0"/>
          <w:sz w:val="24"/>
        </w:rPr>
      </w:pPr>
      <w:r>
        <w:rPr>
          <w:rFonts w:hint="eastAsia" w:ascii="宋体" w:hAnsi="宋体" w:cs="宋体"/>
          <w:kern w:val="0"/>
          <w:sz w:val="24"/>
        </w:rPr>
        <w:t>（二）具有良好的商业信誉和健全的财务会计制度；</w:t>
      </w:r>
    </w:p>
    <w:p>
      <w:pPr>
        <w:spacing w:line="360" w:lineRule="auto"/>
        <w:ind w:firstLine="480" w:firstLineChars="200"/>
        <w:rPr>
          <w:rFonts w:ascii="宋体" w:hAnsi="宋体" w:cs="宋体"/>
          <w:kern w:val="0"/>
          <w:sz w:val="24"/>
        </w:rPr>
      </w:pPr>
      <w:r>
        <w:rPr>
          <w:rFonts w:hint="eastAsia" w:ascii="宋体" w:hAnsi="宋体" w:cs="宋体"/>
          <w:kern w:val="0"/>
          <w:sz w:val="24"/>
        </w:rPr>
        <w:t>（三）具有履行合同所必须的设备和专业技术能力；</w:t>
      </w:r>
    </w:p>
    <w:p>
      <w:pPr>
        <w:spacing w:line="360" w:lineRule="auto"/>
        <w:ind w:firstLine="480" w:firstLineChars="200"/>
        <w:rPr>
          <w:rFonts w:ascii="宋体" w:hAnsi="宋体" w:cs="宋体"/>
          <w:kern w:val="0"/>
          <w:sz w:val="24"/>
        </w:rPr>
      </w:pPr>
      <w:r>
        <w:rPr>
          <w:rFonts w:hint="eastAsia" w:ascii="宋体" w:hAnsi="宋体" w:cs="宋体"/>
          <w:kern w:val="0"/>
          <w:sz w:val="24"/>
        </w:rPr>
        <w:t>（四）有依法缴纳税收和社会保障资金的良好记录；</w:t>
      </w:r>
    </w:p>
    <w:p>
      <w:pPr>
        <w:spacing w:line="360" w:lineRule="auto"/>
        <w:ind w:firstLine="480" w:firstLineChars="200"/>
        <w:rPr>
          <w:rFonts w:ascii="宋体" w:hAnsi="宋体" w:cs="宋体"/>
          <w:kern w:val="0"/>
          <w:sz w:val="24"/>
        </w:rPr>
      </w:pPr>
      <w:r>
        <w:rPr>
          <w:rFonts w:hint="eastAsia" w:ascii="宋体" w:hAnsi="宋体" w:cs="宋体"/>
          <w:kern w:val="0"/>
          <w:sz w:val="24"/>
        </w:rPr>
        <w:t>（五）参加政府采购活动前三年内，在经营活动中没有重大违法记录；</w:t>
      </w:r>
    </w:p>
    <w:p>
      <w:pPr>
        <w:spacing w:line="360" w:lineRule="auto"/>
        <w:ind w:firstLine="480" w:firstLineChars="200"/>
        <w:rPr>
          <w:rFonts w:ascii="宋体" w:hAnsi="宋体" w:cs="宋体"/>
          <w:kern w:val="0"/>
          <w:sz w:val="24"/>
        </w:rPr>
      </w:pPr>
      <w:r>
        <w:rPr>
          <w:rFonts w:hint="eastAsia" w:ascii="宋体" w:hAnsi="宋体" w:cs="宋体"/>
          <w:kern w:val="0"/>
          <w:sz w:val="24"/>
        </w:rPr>
        <w:t>（六）法律、行政法规规定的其他条件。</w:t>
      </w:r>
    </w:p>
    <w:p>
      <w:pPr>
        <w:spacing w:line="360" w:lineRule="auto"/>
        <w:ind w:firstLine="480" w:firstLineChars="200"/>
        <w:rPr>
          <w:rFonts w:ascii="宋体" w:hAnsi="宋体" w:cs="宋体"/>
          <w:kern w:val="0"/>
          <w:sz w:val="24"/>
        </w:rPr>
      </w:pPr>
      <w:r>
        <w:rPr>
          <w:rFonts w:hint="eastAsia" w:ascii="宋体" w:hAnsi="宋体" w:cs="宋体"/>
          <w:kern w:val="0"/>
          <w:sz w:val="24"/>
        </w:rPr>
        <w:t>应提供下列证明材料以证明其满足以上要求：</w:t>
      </w:r>
    </w:p>
    <w:p>
      <w:pPr>
        <w:spacing w:line="360" w:lineRule="auto"/>
        <w:ind w:firstLine="480" w:firstLineChars="200"/>
        <w:rPr>
          <w:rFonts w:ascii="宋体" w:hAnsi="宋体" w:cs="宋体"/>
          <w:kern w:val="0"/>
          <w:sz w:val="24"/>
        </w:rPr>
      </w:pPr>
      <w:r>
        <w:rPr>
          <w:rFonts w:hint="eastAsia" w:ascii="宋体" w:hAnsi="宋体" w:cs="宋体"/>
          <w:kern w:val="0"/>
          <w:sz w:val="24"/>
        </w:rPr>
        <w:t>（1）法人或者其他组织的营业执照等证明文件，自然人的身份证明；在人员、设备、资金等方面具备相应的能力；</w:t>
      </w:r>
    </w:p>
    <w:p>
      <w:pPr>
        <w:spacing w:line="360" w:lineRule="auto"/>
        <w:ind w:firstLine="480" w:firstLineChars="200"/>
        <w:rPr>
          <w:rFonts w:ascii="宋体" w:hAnsi="宋体" w:cs="宋体"/>
          <w:kern w:val="0"/>
          <w:sz w:val="24"/>
        </w:rPr>
      </w:pPr>
      <w:r>
        <w:rPr>
          <w:rFonts w:hint="eastAsia" w:ascii="宋体" w:hAnsi="宋体" w:cs="宋体"/>
          <w:kern w:val="0"/>
          <w:sz w:val="24"/>
        </w:rPr>
        <w:t>（2）经审计的2018年度财务状况报告（公司成立年限不足的企业应提供其基本开户银行出具的资信证明）；</w:t>
      </w:r>
    </w:p>
    <w:p>
      <w:pPr>
        <w:spacing w:line="360" w:lineRule="auto"/>
        <w:ind w:firstLine="480" w:firstLineChars="200"/>
        <w:rPr>
          <w:rFonts w:ascii="宋体" w:hAnsi="宋体" w:cs="宋体"/>
          <w:kern w:val="0"/>
          <w:sz w:val="24"/>
        </w:rPr>
      </w:pPr>
      <w:r>
        <w:rPr>
          <w:rFonts w:hint="eastAsia" w:ascii="宋体" w:hAnsi="宋体" w:cs="宋体"/>
          <w:kern w:val="0"/>
          <w:sz w:val="24"/>
        </w:rPr>
        <w:t>（3）2019年6月1日以来至少一个月的依法缴纳税收和社会保障资金的相关证明；</w:t>
      </w:r>
    </w:p>
    <w:p>
      <w:pPr>
        <w:spacing w:line="360" w:lineRule="auto"/>
        <w:ind w:firstLine="480" w:firstLineChars="200"/>
        <w:rPr>
          <w:rFonts w:ascii="宋体" w:hAnsi="宋体" w:cs="宋体"/>
          <w:bCs/>
          <w:sz w:val="24"/>
        </w:rPr>
      </w:pPr>
      <w:r>
        <w:rPr>
          <w:rFonts w:hint="eastAsia" w:ascii="宋体" w:hAnsi="宋体" w:cs="宋体"/>
          <w:kern w:val="0"/>
          <w:sz w:val="24"/>
        </w:rPr>
        <w:t>（4）具有良好的商业信誉，具有履行合同所必需的设备和专业技术能力且参加本次政府采购活动前三年内，在经营活动中没有重大违法记录的书面证明；</w:t>
      </w:r>
    </w:p>
    <w:p>
      <w:pPr>
        <w:pStyle w:val="3"/>
        <w:widowControl/>
        <w:shd w:val="clear" w:color="auto" w:fill="FFFFFF"/>
        <w:spacing w:beforeAutospacing="0" w:afterAutospacing="0" w:line="520" w:lineRule="exact"/>
        <w:ind w:firstLine="480" w:firstLineChars="200"/>
        <w:jc w:val="both"/>
        <w:rPr>
          <w:rFonts w:ascii="宋体" w:hAnsi="宋体" w:cs="宋体"/>
          <w:bCs/>
          <w:kern w:val="2"/>
        </w:rPr>
      </w:pPr>
      <w:r>
        <w:rPr>
          <w:rFonts w:hint="eastAsia" w:ascii="宋体" w:hAnsi="宋体" w:cs="宋体"/>
          <w:bCs/>
          <w:kern w:val="2"/>
        </w:rPr>
        <w:t>2.投标人须具有完善的售后服务体系，并具有承担本项目的服务能力；投标产品在国内销售没有不良记录、没有发生过重大质量问题或安全事故。</w:t>
      </w:r>
    </w:p>
    <w:p>
      <w:pPr>
        <w:pStyle w:val="3"/>
        <w:widowControl/>
        <w:shd w:val="clear" w:color="auto" w:fill="FFFFFF"/>
        <w:spacing w:beforeAutospacing="0" w:afterAutospacing="0" w:line="520" w:lineRule="exact"/>
        <w:ind w:firstLine="480" w:firstLineChars="200"/>
        <w:jc w:val="both"/>
        <w:rPr>
          <w:rFonts w:ascii="宋体" w:hAnsi="宋体" w:cs="宋体"/>
          <w:bCs/>
          <w:kern w:val="2"/>
        </w:rPr>
      </w:pPr>
      <w:r>
        <w:rPr>
          <w:rFonts w:hint="eastAsia" w:ascii="宋体" w:hAnsi="宋体" w:cs="宋体"/>
          <w:color w:val="000000"/>
          <w:szCs w:val="21"/>
        </w:rPr>
        <w:t>3.单位负责人为同一人或者存在控股关系、参股关系、管理关系的不同单位，不同投标人相互投资参股的，不得参加同一标段投标或未划分标段的同一招标项目投标</w:t>
      </w:r>
      <w:r>
        <w:rPr>
          <w:rFonts w:hint="eastAsia" w:ascii="宋体" w:hAnsi="宋体" w:cs="宋体"/>
          <w:bCs/>
          <w:kern w:val="2"/>
        </w:rPr>
        <w:t>。</w:t>
      </w:r>
    </w:p>
    <w:p>
      <w:pPr>
        <w:pStyle w:val="3"/>
        <w:widowControl/>
        <w:shd w:val="clear" w:color="auto" w:fill="FFFFFF"/>
        <w:spacing w:beforeAutospacing="0" w:afterAutospacing="0" w:line="520" w:lineRule="exact"/>
        <w:ind w:firstLine="480" w:firstLineChars="200"/>
        <w:jc w:val="both"/>
        <w:rPr>
          <w:rFonts w:ascii="宋体" w:hAnsi="宋体" w:cs="宋体"/>
          <w:bCs/>
          <w:kern w:val="2"/>
        </w:rPr>
      </w:pPr>
      <w:r>
        <w:rPr>
          <w:rFonts w:hint="eastAsia" w:ascii="宋体" w:hAnsi="宋体" w:cs="宋体"/>
          <w:bCs/>
          <w:kern w:val="2"/>
        </w:rPr>
        <w:t>4.</w:t>
      </w:r>
      <w:r>
        <w:rPr>
          <w:rFonts w:hint="eastAsia" w:ascii="宋体" w:hAnsi="宋体" w:cs="宋体"/>
          <w:szCs w:val="21"/>
        </w:rPr>
        <w:t>根据《关于在政府采购活动中查询及使用信用记录有关问题的通知》(财库[2016]125号) 和豫财购[2016]15号的规定，对列入失信被执行人、重大税收违法案件当事人名单、政府采购严重违法失信行为记录名单及其他不符合《中华人民共和国政府采购法》第二十二条规定条件的供应商，拒绝参与本项目政府采购活动（查询渠道：“信用中国”网站（www.creditchina.gov.cn）和中国政府采购网（www.ccgp.gov.cn））</w:t>
      </w:r>
      <w:r>
        <w:rPr>
          <w:rFonts w:hint="eastAsia" w:ascii="宋体" w:hAnsi="宋体" w:cs="宋体"/>
          <w:bCs/>
          <w:kern w:val="2"/>
        </w:rPr>
        <w:t>。</w:t>
      </w:r>
    </w:p>
    <w:p>
      <w:pPr>
        <w:pStyle w:val="3"/>
        <w:widowControl/>
        <w:shd w:val="clear" w:color="auto" w:fill="FFFFFF"/>
        <w:spacing w:beforeAutospacing="0" w:afterAutospacing="0" w:line="520" w:lineRule="exact"/>
        <w:ind w:firstLine="480" w:firstLineChars="200"/>
        <w:jc w:val="both"/>
        <w:rPr>
          <w:rFonts w:ascii="宋体" w:hAnsi="宋体" w:cs="宋体"/>
          <w:bCs/>
          <w:kern w:val="2"/>
        </w:rPr>
      </w:pPr>
      <w:r>
        <w:rPr>
          <w:rFonts w:hint="eastAsia" w:ascii="宋体" w:hAnsi="宋体" w:cs="宋体"/>
          <w:bCs/>
          <w:kern w:val="2"/>
        </w:rPr>
        <w:t>5.本招标项目不接受联合体投标。</w:t>
      </w:r>
    </w:p>
    <w:p>
      <w:pPr>
        <w:spacing w:line="520" w:lineRule="exact"/>
        <w:jc w:val="left"/>
        <w:rPr>
          <w:rFonts w:ascii="宋体" w:hAnsi="宋体" w:cs="宋体"/>
          <w:bCs/>
          <w:sz w:val="24"/>
        </w:rPr>
      </w:pPr>
      <w:r>
        <w:rPr>
          <w:rFonts w:hint="eastAsia" w:ascii="宋体" w:hAnsi="宋体" w:cs="宋体"/>
          <w:b/>
          <w:bCs/>
          <w:sz w:val="24"/>
        </w:rPr>
        <w:t>七、是否接受进口产品：</w:t>
      </w:r>
      <w:r>
        <w:rPr>
          <w:rFonts w:hint="eastAsia" w:ascii="宋体" w:hAnsi="宋体" w:cs="宋体"/>
          <w:bCs/>
          <w:sz w:val="24"/>
        </w:rPr>
        <w:t>否。</w:t>
      </w:r>
    </w:p>
    <w:p>
      <w:pPr>
        <w:spacing w:line="520" w:lineRule="exact"/>
        <w:jc w:val="left"/>
        <w:rPr>
          <w:rFonts w:ascii="宋体" w:hAnsi="宋体" w:cs="宋体"/>
          <w:b/>
          <w:bCs/>
          <w:sz w:val="24"/>
        </w:rPr>
      </w:pPr>
      <w:r>
        <w:rPr>
          <w:rFonts w:hint="eastAsia" w:ascii="宋体" w:hAnsi="宋体" w:cs="宋体"/>
          <w:b/>
          <w:bCs/>
          <w:sz w:val="24"/>
        </w:rPr>
        <w:t>八、获取招标文件：</w:t>
      </w:r>
    </w:p>
    <w:p>
      <w:pPr>
        <w:pStyle w:val="3"/>
        <w:widowControl/>
        <w:shd w:val="clear" w:color="auto" w:fill="FFFFFF"/>
        <w:spacing w:beforeAutospacing="0" w:afterAutospacing="0" w:line="520" w:lineRule="exact"/>
        <w:ind w:firstLine="480" w:firstLineChars="200"/>
        <w:jc w:val="both"/>
        <w:rPr>
          <w:rFonts w:ascii="宋体" w:hAnsi="宋体" w:cs="宋体"/>
          <w:bCs/>
        </w:rPr>
      </w:pPr>
      <w:r>
        <w:rPr>
          <w:rFonts w:hint="eastAsia" w:ascii="宋体" w:hAnsi="宋体" w:cs="宋体"/>
          <w:bCs/>
          <w:kern w:val="2"/>
        </w:rPr>
        <w:t>1.时间：</w:t>
      </w:r>
      <w:r>
        <w:rPr>
          <w:rFonts w:hint="eastAsia" w:ascii="宋体" w:hAnsi="宋体" w:cs="宋体"/>
          <w:bCs/>
        </w:rPr>
        <w:t>2020年</w:t>
      </w:r>
      <w:r>
        <w:rPr>
          <w:rFonts w:hint="eastAsia" w:ascii="宋体" w:hAnsi="宋体" w:cs="宋体"/>
          <w:bCs/>
          <w:lang w:val="en-US" w:eastAsia="zh-CN"/>
        </w:rPr>
        <w:t>5</w:t>
      </w:r>
      <w:r>
        <w:rPr>
          <w:rFonts w:hint="eastAsia" w:ascii="宋体" w:hAnsi="宋体" w:cs="宋体"/>
          <w:bCs/>
        </w:rPr>
        <w:t>月</w:t>
      </w:r>
      <w:r>
        <w:rPr>
          <w:rFonts w:hint="eastAsia" w:ascii="宋体" w:hAnsi="宋体" w:cs="宋体"/>
          <w:bCs/>
          <w:lang w:val="en-US" w:eastAsia="zh-CN"/>
        </w:rPr>
        <w:t>8</w:t>
      </w:r>
      <w:r>
        <w:rPr>
          <w:rFonts w:hint="eastAsia" w:ascii="宋体" w:hAnsi="宋体" w:cs="宋体"/>
          <w:bCs/>
        </w:rPr>
        <w:t>日至2020年</w:t>
      </w:r>
      <w:r>
        <w:rPr>
          <w:rFonts w:hint="eastAsia" w:ascii="宋体" w:hAnsi="宋体" w:cs="宋体"/>
          <w:bCs/>
          <w:lang w:val="en-US" w:eastAsia="zh-CN"/>
        </w:rPr>
        <w:t>5</w:t>
      </w:r>
      <w:r>
        <w:rPr>
          <w:rFonts w:hint="eastAsia" w:ascii="宋体" w:hAnsi="宋体" w:cs="宋体"/>
          <w:bCs/>
        </w:rPr>
        <w:t>月</w:t>
      </w:r>
      <w:r>
        <w:rPr>
          <w:rFonts w:hint="eastAsia" w:ascii="宋体" w:hAnsi="宋体" w:cs="宋体"/>
          <w:bCs/>
          <w:lang w:val="en-US" w:eastAsia="zh-CN"/>
        </w:rPr>
        <w:t>14</w:t>
      </w:r>
      <w:r>
        <w:rPr>
          <w:rFonts w:hint="eastAsia" w:ascii="宋体" w:hAnsi="宋体" w:cs="宋体"/>
          <w:bCs/>
        </w:rPr>
        <w:t>日（北京时间）；</w:t>
      </w:r>
    </w:p>
    <w:p>
      <w:pPr>
        <w:pStyle w:val="3"/>
        <w:widowControl/>
        <w:shd w:val="clear" w:color="auto" w:fill="FFFFFF"/>
        <w:spacing w:beforeAutospacing="0" w:afterAutospacing="0" w:line="520" w:lineRule="exact"/>
        <w:ind w:firstLine="480" w:firstLineChars="200"/>
        <w:jc w:val="both"/>
        <w:rPr>
          <w:rFonts w:ascii="宋体" w:hAnsi="宋体" w:cs="宋体"/>
          <w:shd w:val="clear" w:color="auto" w:fill="FFFFFF"/>
        </w:rPr>
      </w:pPr>
      <w:r>
        <w:rPr>
          <w:rFonts w:hint="eastAsia" w:ascii="宋体" w:hAnsi="宋体" w:cs="宋体"/>
          <w:bCs/>
        </w:rPr>
        <w:t>2.地点：</w:t>
      </w:r>
      <w:r>
        <w:rPr>
          <w:rFonts w:hint="eastAsia" w:ascii="宋体" w:hAnsi="宋体" w:cs="宋体"/>
          <w:shd w:val="clear" w:color="auto" w:fill="FFFFFF"/>
        </w:rPr>
        <w:t>河南省公共资源交易中心（</w:t>
      </w:r>
      <w:r>
        <w:fldChar w:fldCharType="begin"/>
      </w:r>
      <w:r>
        <w:instrText xml:space="preserve"> HYPERLINK "http://www.hnggzy.com" </w:instrText>
      </w:r>
      <w:r>
        <w:fldChar w:fldCharType="separate"/>
      </w:r>
      <w:r>
        <w:rPr>
          <w:rStyle w:val="6"/>
          <w:rFonts w:hint="eastAsia" w:ascii="宋体" w:hAnsi="宋体" w:cs="宋体"/>
          <w:shd w:val="clear" w:color="auto" w:fill="FFFFFF"/>
        </w:rPr>
        <w:t>http://www.hnggzy.com</w:t>
      </w:r>
      <w:r>
        <w:rPr>
          <w:rStyle w:val="6"/>
          <w:rFonts w:hint="eastAsia" w:ascii="宋体" w:hAnsi="宋体" w:cs="宋体"/>
          <w:shd w:val="clear" w:color="auto" w:fill="FFFFFF"/>
        </w:rPr>
        <w:fldChar w:fldCharType="end"/>
      </w:r>
      <w:r>
        <w:rPr>
          <w:rFonts w:hint="eastAsia" w:ascii="宋体" w:hAnsi="宋体" w:cs="宋体"/>
          <w:shd w:val="clear" w:color="auto" w:fill="FFFFFF"/>
        </w:rPr>
        <w:t>）；</w:t>
      </w:r>
    </w:p>
    <w:p>
      <w:pPr>
        <w:pStyle w:val="3"/>
        <w:widowControl/>
        <w:shd w:val="clear" w:color="auto" w:fill="FFFFFF"/>
        <w:spacing w:beforeAutospacing="0" w:afterAutospacing="0" w:line="520" w:lineRule="exact"/>
        <w:ind w:firstLine="480" w:firstLineChars="200"/>
        <w:jc w:val="both"/>
        <w:rPr>
          <w:rFonts w:ascii="宋体" w:hAnsi="宋体" w:cs="宋体"/>
          <w:shd w:val="clear" w:color="auto" w:fill="FFFFFF"/>
        </w:rPr>
      </w:pPr>
      <w:r>
        <w:rPr>
          <w:rFonts w:hint="eastAsia" w:ascii="宋体" w:hAnsi="宋体" w:cs="宋体"/>
          <w:shd w:val="clear" w:color="auto" w:fill="FFFFFF"/>
        </w:rPr>
        <w:t>3.方式：登录“河南省公共资源交易中心（http://www.hnggzy.com）”，凭企业身份认证锁（CA密钥）按网上提示进行网上</w:t>
      </w:r>
      <w:r>
        <w:rPr>
          <w:rFonts w:hint="eastAsia" w:ascii="宋体" w:hAnsi="宋体" w:cs="宋体"/>
          <w:color w:val="000000"/>
          <w:shd w:val="clear" w:color="auto" w:fill="FFFFFF"/>
        </w:rPr>
        <w:t>下载招标文件。</w:t>
      </w:r>
      <w:r>
        <w:rPr>
          <w:rFonts w:hint="eastAsia" w:ascii="宋体" w:hAnsi="宋体" w:cs="宋体"/>
          <w:shd w:val="clear" w:color="auto" w:fill="FFFFFF"/>
        </w:rPr>
        <w:t>投标单位应首先完成CA数字证书办理及市场主体信息库登记（具体办理事宜请查询河南省公共资源交易中心网站-公共服务-办事指南-《CA数字证书办理指南》及《河南省公共资源交易平台市场主体信息库登记指南（工程建设、政府采购））。</w:t>
      </w:r>
    </w:p>
    <w:p>
      <w:pPr>
        <w:pStyle w:val="3"/>
        <w:widowControl/>
        <w:shd w:val="clear" w:color="auto" w:fill="FFFFFF"/>
        <w:spacing w:beforeAutospacing="0" w:afterAutospacing="0" w:line="520" w:lineRule="exact"/>
        <w:ind w:firstLine="480" w:firstLineChars="200"/>
        <w:jc w:val="both"/>
        <w:rPr>
          <w:rFonts w:ascii="宋体" w:hAnsi="宋体" w:cs="宋体"/>
          <w:shd w:val="clear" w:color="auto" w:fill="FFFFFF"/>
        </w:rPr>
      </w:pPr>
      <w:r>
        <w:rPr>
          <w:rFonts w:hint="eastAsia" w:ascii="宋体" w:hAnsi="宋体" w:cs="宋体"/>
          <w:shd w:val="clear" w:color="auto" w:fill="FFFFFF"/>
        </w:rPr>
        <w:t>4.售价：0元。</w:t>
      </w:r>
    </w:p>
    <w:p>
      <w:pPr>
        <w:pStyle w:val="3"/>
        <w:widowControl/>
        <w:shd w:val="clear" w:color="auto" w:fill="FFFFFF"/>
        <w:spacing w:beforeAutospacing="0" w:afterAutospacing="0" w:line="520" w:lineRule="exact"/>
        <w:jc w:val="both"/>
        <w:rPr>
          <w:rFonts w:ascii="宋体" w:hAnsi="宋体" w:cs="宋体"/>
          <w:bCs/>
          <w:kern w:val="2"/>
        </w:rPr>
      </w:pPr>
      <w:r>
        <w:rPr>
          <w:rFonts w:hint="eastAsia" w:ascii="宋体" w:hAnsi="宋体" w:cs="宋体"/>
          <w:b/>
          <w:bCs/>
        </w:rPr>
        <w:t>九、投标截止时间（投标文件递交截至时间）及地点</w:t>
      </w:r>
    </w:p>
    <w:p>
      <w:pPr>
        <w:pStyle w:val="3"/>
        <w:widowControl/>
        <w:shd w:val="clear" w:color="auto" w:fill="FFFFFF"/>
        <w:spacing w:beforeAutospacing="0" w:afterAutospacing="0" w:line="520" w:lineRule="exact"/>
        <w:ind w:firstLine="480" w:firstLineChars="200"/>
        <w:jc w:val="both"/>
        <w:rPr>
          <w:rFonts w:ascii="宋体" w:hAnsi="宋体" w:cs="宋体"/>
          <w:bCs/>
          <w:kern w:val="2"/>
          <w:highlight w:val="none"/>
        </w:rPr>
      </w:pPr>
      <w:r>
        <w:rPr>
          <w:rFonts w:hint="eastAsia" w:ascii="宋体" w:hAnsi="宋体" w:cs="宋体"/>
          <w:bCs/>
          <w:kern w:val="2"/>
          <w:highlight w:val="none"/>
        </w:rPr>
        <w:t>1.时间： 2020年</w:t>
      </w:r>
      <w:r>
        <w:rPr>
          <w:rFonts w:hint="eastAsia" w:ascii="宋体" w:hAnsi="宋体" w:cs="宋体"/>
          <w:bCs/>
          <w:kern w:val="2"/>
          <w:highlight w:val="none"/>
          <w:lang w:val="en-US" w:eastAsia="zh-CN"/>
        </w:rPr>
        <w:t>5</w:t>
      </w:r>
      <w:r>
        <w:rPr>
          <w:rFonts w:hint="eastAsia" w:ascii="宋体" w:hAnsi="宋体" w:cs="宋体"/>
          <w:bCs/>
          <w:kern w:val="2"/>
          <w:highlight w:val="none"/>
        </w:rPr>
        <w:t>月</w:t>
      </w:r>
      <w:r>
        <w:rPr>
          <w:rFonts w:hint="eastAsia" w:ascii="宋体" w:hAnsi="宋体" w:cs="宋体"/>
          <w:bCs/>
          <w:kern w:val="2"/>
          <w:highlight w:val="none"/>
          <w:lang w:val="en-US" w:eastAsia="zh-CN"/>
        </w:rPr>
        <w:t>29</w:t>
      </w:r>
      <w:r>
        <w:rPr>
          <w:rFonts w:hint="eastAsia" w:ascii="宋体" w:hAnsi="宋体" w:cs="宋体"/>
          <w:bCs/>
          <w:kern w:val="2"/>
          <w:highlight w:val="none"/>
        </w:rPr>
        <w:t>日</w:t>
      </w:r>
      <w:r>
        <w:rPr>
          <w:rFonts w:hint="eastAsia" w:ascii="宋体" w:hAnsi="宋体" w:cs="宋体"/>
          <w:bCs/>
          <w:kern w:val="2"/>
          <w:highlight w:val="none"/>
          <w:lang w:val="en-US" w:eastAsia="zh-CN"/>
        </w:rPr>
        <w:t>9</w:t>
      </w:r>
      <w:r>
        <w:rPr>
          <w:rFonts w:hint="eastAsia" w:ascii="宋体" w:hAnsi="宋体" w:cs="宋体"/>
          <w:bCs/>
          <w:kern w:val="2"/>
          <w:highlight w:val="none"/>
        </w:rPr>
        <w:t>时</w:t>
      </w:r>
      <w:r>
        <w:rPr>
          <w:rFonts w:hint="eastAsia" w:ascii="宋体" w:hAnsi="宋体" w:cs="宋体"/>
          <w:bCs/>
          <w:kern w:val="2"/>
          <w:highlight w:val="none"/>
          <w:lang w:val="en-US" w:eastAsia="zh-CN"/>
        </w:rPr>
        <w:t>0</w:t>
      </w:r>
      <w:r>
        <w:rPr>
          <w:rFonts w:ascii="宋体" w:hAnsi="宋体" w:cs="宋体"/>
          <w:bCs/>
          <w:kern w:val="2"/>
          <w:highlight w:val="none"/>
        </w:rPr>
        <w:t>0</w:t>
      </w:r>
      <w:r>
        <w:rPr>
          <w:rFonts w:hint="eastAsia" w:ascii="宋体" w:hAnsi="宋体" w:cs="宋体"/>
          <w:bCs/>
          <w:kern w:val="2"/>
          <w:highlight w:val="none"/>
        </w:rPr>
        <w:t>分（北京时间）；</w:t>
      </w:r>
    </w:p>
    <w:p>
      <w:pPr>
        <w:pStyle w:val="3"/>
        <w:widowControl/>
        <w:shd w:val="clear" w:color="auto" w:fill="FFFFFF"/>
        <w:spacing w:beforeAutospacing="0" w:afterAutospacing="0" w:line="520" w:lineRule="exact"/>
        <w:ind w:firstLine="480" w:firstLineChars="200"/>
        <w:jc w:val="both"/>
        <w:rPr>
          <w:rFonts w:ascii="宋体" w:hAnsi="宋体" w:cs="宋体"/>
          <w:bCs/>
          <w:kern w:val="2"/>
          <w:highlight w:val="none"/>
        </w:rPr>
      </w:pPr>
      <w:r>
        <w:rPr>
          <w:rFonts w:hint="eastAsia" w:ascii="宋体" w:hAnsi="宋体" w:cs="宋体"/>
          <w:bCs/>
          <w:kern w:val="2"/>
          <w:highlight w:val="none"/>
        </w:rPr>
        <w:t>2.地点：河南省公共资源交易中心</w:t>
      </w:r>
      <w:r>
        <w:rPr>
          <w:rFonts w:hint="eastAsia" w:ascii="宋体" w:hAnsi="宋体" w:cs="宋体"/>
          <w:bCs/>
          <w:kern w:val="2"/>
          <w:highlight w:val="none"/>
          <w:lang w:val="en-US" w:eastAsia="zh-CN"/>
        </w:rPr>
        <w:t>13</w:t>
      </w:r>
      <w:r>
        <w:rPr>
          <w:rFonts w:hint="eastAsia" w:ascii="宋体" w:hAnsi="宋体" w:cs="宋体"/>
          <w:bCs/>
          <w:kern w:val="2"/>
          <w:highlight w:val="none"/>
        </w:rPr>
        <w:t>楼远程开标室(三) （郑州市经一路与农业路交叉口投资大厦A座）；。</w:t>
      </w:r>
    </w:p>
    <w:p>
      <w:pPr>
        <w:spacing w:line="520" w:lineRule="exact"/>
        <w:jc w:val="left"/>
        <w:rPr>
          <w:rFonts w:ascii="宋体" w:hAnsi="宋体" w:cs="宋体"/>
          <w:b/>
          <w:bCs/>
          <w:kern w:val="0"/>
          <w:sz w:val="24"/>
          <w:highlight w:val="none"/>
        </w:rPr>
      </w:pPr>
      <w:r>
        <w:rPr>
          <w:rFonts w:hint="eastAsia" w:ascii="宋体" w:hAnsi="宋体" w:cs="宋体"/>
          <w:b/>
          <w:bCs/>
          <w:kern w:val="0"/>
          <w:sz w:val="24"/>
          <w:highlight w:val="none"/>
        </w:rPr>
        <w:t>十、开标时间及地点</w:t>
      </w:r>
    </w:p>
    <w:p>
      <w:pPr>
        <w:pStyle w:val="3"/>
        <w:widowControl/>
        <w:shd w:val="clear" w:color="auto" w:fill="FFFFFF"/>
        <w:spacing w:beforeAutospacing="0" w:afterAutospacing="0" w:line="520" w:lineRule="exact"/>
        <w:ind w:firstLine="480" w:firstLineChars="200"/>
        <w:jc w:val="both"/>
        <w:rPr>
          <w:rFonts w:ascii="宋体" w:hAnsi="宋体" w:cs="宋体"/>
          <w:bCs/>
          <w:kern w:val="2"/>
          <w:highlight w:val="none"/>
        </w:rPr>
      </w:pPr>
      <w:r>
        <w:rPr>
          <w:rFonts w:hint="eastAsia" w:ascii="宋体" w:hAnsi="宋体" w:cs="宋体"/>
          <w:bCs/>
          <w:highlight w:val="none"/>
        </w:rPr>
        <w:t>1</w:t>
      </w:r>
      <w:r>
        <w:rPr>
          <w:rFonts w:hint="eastAsia" w:ascii="宋体" w:hAnsi="宋体" w:cs="宋体"/>
          <w:bCs/>
          <w:kern w:val="2"/>
          <w:highlight w:val="none"/>
        </w:rPr>
        <w:t>.</w:t>
      </w:r>
      <w:r>
        <w:rPr>
          <w:rFonts w:hint="eastAsia" w:ascii="宋体" w:hAnsi="宋体" w:cs="宋体"/>
          <w:bCs/>
          <w:highlight w:val="none"/>
        </w:rPr>
        <w:t xml:space="preserve"> 时间：</w:t>
      </w:r>
      <w:r>
        <w:rPr>
          <w:rFonts w:hint="eastAsia" w:ascii="宋体" w:hAnsi="宋体" w:cs="宋体"/>
          <w:bCs/>
          <w:kern w:val="2"/>
          <w:highlight w:val="none"/>
        </w:rPr>
        <w:t>2020年</w:t>
      </w:r>
      <w:r>
        <w:rPr>
          <w:rFonts w:hint="eastAsia" w:ascii="宋体" w:hAnsi="宋体" w:cs="宋体"/>
          <w:bCs/>
          <w:kern w:val="2"/>
          <w:highlight w:val="none"/>
          <w:lang w:val="en-US" w:eastAsia="zh-CN"/>
        </w:rPr>
        <w:t>5</w:t>
      </w:r>
      <w:r>
        <w:rPr>
          <w:rFonts w:hint="eastAsia" w:ascii="宋体" w:hAnsi="宋体" w:cs="宋体"/>
          <w:bCs/>
          <w:kern w:val="2"/>
          <w:highlight w:val="none"/>
        </w:rPr>
        <w:t>月</w:t>
      </w:r>
      <w:r>
        <w:rPr>
          <w:rFonts w:hint="eastAsia" w:ascii="宋体" w:hAnsi="宋体" w:cs="宋体"/>
          <w:bCs/>
          <w:kern w:val="2"/>
          <w:highlight w:val="none"/>
          <w:lang w:val="en-US" w:eastAsia="zh-CN"/>
        </w:rPr>
        <w:t>29</w:t>
      </w:r>
      <w:r>
        <w:rPr>
          <w:rFonts w:hint="eastAsia" w:ascii="宋体" w:hAnsi="宋体" w:cs="宋体"/>
          <w:bCs/>
          <w:kern w:val="2"/>
          <w:highlight w:val="none"/>
        </w:rPr>
        <w:t>日</w:t>
      </w:r>
      <w:r>
        <w:rPr>
          <w:rFonts w:hint="eastAsia" w:ascii="宋体" w:hAnsi="宋体" w:cs="宋体"/>
          <w:bCs/>
          <w:kern w:val="2"/>
          <w:highlight w:val="none"/>
          <w:lang w:val="en-US" w:eastAsia="zh-CN"/>
        </w:rPr>
        <w:t>9</w:t>
      </w:r>
      <w:r>
        <w:rPr>
          <w:rFonts w:hint="eastAsia" w:ascii="宋体" w:hAnsi="宋体" w:cs="宋体"/>
          <w:bCs/>
          <w:kern w:val="2"/>
          <w:highlight w:val="none"/>
        </w:rPr>
        <w:t>时</w:t>
      </w:r>
      <w:r>
        <w:rPr>
          <w:rFonts w:hint="eastAsia" w:ascii="宋体" w:hAnsi="宋体" w:cs="宋体"/>
          <w:bCs/>
          <w:kern w:val="2"/>
          <w:highlight w:val="none"/>
          <w:lang w:val="en-US" w:eastAsia="zh-CN"/>
        </w:rPr>
        <w:t>0</w:t>
      </w:r>
      <w:r>
        <w:rPr>
          <w:rFonts w:ascii="宋体" w:hAnsi="宋体" w:cs="宋体"/>
          <w:bCs/>
          <w:kern w:val="2"/>
          <w:highlight w:val="none"/>
        </w:rPr>
        <w:t>0</w:t>
      </w:r>
      <w:r>
        <w:rPr>
          <w:rFonts w:hint="eastAsia" w:ascii="宋体" w:hAnsi="宋体" w:cs="宋体"/>
          <w:bCs/>
          <w:kern w:val="2"/>
          <w:highlight w:val="none"/>
        </w:rPr>
        <w:t>分（北京时间）。</w:t>
      </w:r>
    </w:p>
    <w:p>
      <w:pPr>
        <w:pStyle w:val="3"/>
        <w:widowControl/>
        <w:shd w:val="clear" w:color="auto" w:fill="FFFFFF"/>
        <w:spacing w:beforeAutospacing="0" w:afterAutospacing="0" w:line="520" w:lineRule="exact"/>
        <w:ind w:firstLine="480" w:firstLineChars="200"/>
        <w:jc w:val="both"/>
        <w:rPr>
          <w:rFonts w:ascii="宋体" w:hAnsi="宋体" w:cs="宋体"/>
          <w:bCs/>
          <w:kern w:val="2"/>
        </w:rPr>
      </w:pPr>
      <w:r>
        <w:rPr>
          <w:rFonts w:hint="eastAsia" w:ascii="宋体" w:hAnsi="宋体" w:cs="宋体"/>
          <w:bCs/>
          <w:kern w:val="2"/>
          <w:highlight w:val="none"/>
        </w:rPr>
        <w:t>2. 地点（远程开标机位）：河南省公共资源交易中心</w:t>
      </w:r>
      <w:r>
        <w:rPr>
          <w:rFonts w:hint="eastAsia" w:ascii="宋体" w:hAnsi="宋体" w:cs="宋体"/>
          <w:bCs/>
          <w:kern w:val="2"/>
          <w:highlight w:val="none"/>
          <w:lang w:val="en-US" w:eastAsia="zh-CN"/>
        </w:rPr>
        <w:t>13</w:t>
      </w:r>
      <w:r>
        <w:rPr>
          <w:rFonts w:hint="eastAsia" w:ascii="宋体" w:hAnsi="宋体" w:cs="宋体"/>
          <w:bCs/>
          <w:kern w:val="2"/>
          <w:highlight w:val="none"/>
        </w:rPr>
        <w:t>楼远程开标室(三) （郑州市经一路与农业路交叉口投资大厦A座）。本项目采用“远程不见面”开标方式，远程开标大厅网址为www.hnggzyjy.cn，投标人无需到河南省公共资源交易中心现场参加开标会议，无需到达现场提交原件资料。投标人应当在投标文件递交截止时间前，</w:t>
      </w:r>
      <w:r>
        <w:rPr>
          <w:rFonts w:hint="eastAsia" w:ascii="宋体" w:hAnsi="宋体" w:cs="宋体"/>
          <w:bCs/>
          <w:kern w:val="2"/>
        </w:rPr>
        <w:t>登录远程开标大厅，在线准时参加开标活动并进行投标文件解密等。各投标人应在规定时间内对本单位的投标文件进行解密，因加密电子投标文件未能上传成功或未在规定时间内解密的，其投标将被拒绝。</w:t>
      </w:r>
    </w:p>
    <w:p>
      <w:pPr>
        <w:spacing w:line="520" w:lineRule="exact"/>
        <w:rPr>
          <w:rFonts w:ascii="宋体" w:hAnsi="宋体" w:cs="宋体"/>
          <w:b/>
          <w:bCs/>
          <w:kern w:val="0"/>
          <w:sz w:val="24"/>
        </w:rPr>
      </w:pPr>
      <w:r>
        <w:rPr>
          <w:rFonts w:hint="eastAsia" w:ascii="宋体" w:hAnsi="宋体" w:cs="宋体"/>
          <w:b/>
          <w:bCs/>
          <w:kern w:val="0"/>
          <w:sz w:val="24"/>
        </w:rPr>
        <w:t>十一、发布公告的媒介及招标公告期限</w:t>
      </w:r>
    </w:p>
    <w:p>
      <w:pPr>
        <w:spacing w:line="520" w:lineRule="exact"/>
        <w:ind w:firstLine="480" w:firstLineChars="200"/>
        <w:rPr>
          <w:rFonts w:ascii="宋体" w:hAnsi="宋体" w:cs="宋体"/>
          <w:kern w:val="0"/>
          <w:sz w:val="24"/>
        </w:rPr>
      </w:pPr>
      <w:r>
        <w:rPr>
          <w:rFonts w:hint="eastAsia" w:ascii="宋体" w:hAnsi="宋体" w:cs="宋体"/>
          <w:snapToGrid w:val="0"/>
          <w:kern w:val="0"/>
          <w:sz w:val="24"/>
        </w:rPr>
        <w:t>本次招标公告同时在《河南省政府采购网》、《河南省公共资源交易中心门户网》上发布。招标公告期限为五个工作日。</w:t>
      </w:r>
    </w:p>
    <w:p>
      <w:pPr>
        <w:spacing w:line="520" w:lineRule="exact"/>
        <w:rPr>
          <w:rFonts w:ascii="宋体" w:hAnsi="宋体" w:cs="宋体"/>
          <w:b/>
          <w:bCs/>
          <w:kern w:val="0"/>
          <w:sz w:val="24"/>
        </w:rPr>
      </w:pPr>
      <w:r>
        <w:rPr>
          <w:rFonts w:hint="eastAsia" w:ascii="宋体" w:hAnsi="宋体" w:cs="宋体"/>
          <w:b/>
          <w:bCs/>
          <w:kern w:val="0"/>
          <w:sz w:val="24"/>
        </w:rPr>
        <w:t>十二、联系方式</w:t>
      </w:r>
    </w:p>
    <w:p>
      <w:pPr>
        <w:spacing w:line="360" w:lineRule="auto"/>
        <w:ind w:firstLine="480" w:firstLineChars="200"/>
        <w:rPr>
          <w:rFonts w:ascii="宋体" w:hAnsi="宋体" w:cs="宋体"/>
          <w:bCs/>
          <w:kern w:val="0"/>
          <w:sz w:val="24"/>
        </w:rPr>
      </w:pPr>
      <w:r>
        <w:rPr>
          <w:rFonts w:hint="eastAsia" w:ascii="宋体" w:hAnsi="宋体" w:cs="宋体"/>
          <w:kern w:val="0"/>
          <w:sz w:val="24"/>
        </w:rPr>
        <w:t>采购人：</w:t>
      </w:r>
      <w:r>
        <w:rPr>
          <w:rFonts w:hint="eastAsia" w:ascii="宋体" w:hAnsi="宋体" w:cs="宋体"/>
          <w:bCs/>
          <w:kern w:val="0"/>
          <w:sz w:val="24"/>
        </w:rPr>
        <w:t>郑州大学第二附属医院</w:t>
      </w:r>
    </w:p>
    <w:p>
      <w:pPr>
        <w:spacing w:line="360" w:lineRule="auto"/>
        <w:ind w:firstLine="480" w:firstLineChars="200"/>
        <w:rPr>
          <w:rFonts w:ascii="宋体" w:hAnsi="宋体" w:cs="宋体"/>
          <w:bCs/>
          <w:kern w:val="0"/>
          <w:sz w:val="24"/>
        </w:rPr>
      </w:pPr>
      <w:r>
        <w:rPr>
          <w:rFonts w:hint="eastAsia" w:ascii="宋体" w:hAnsi="宋体" w:cs="宋体"/>
          <w:kern w:val="0"/>
          <w:sz w:val="24"/>
        </w:rPr>
        <w:t>地址：河南省郑州市经八路2号</w:t>
      </w:r>
    </w:p>
    <w:p>
      <w:pPr>
        <w:spacing w:line="360" w:lineRule="auto"/>
        <w:ind w:firstLine="480" w:firstLineChars="200"/>
        <w:rPr>
          <w:rFonts w:ascii="宋体" w:hAnsi="宋体" w:cs="宋体"/>
          <w:kern w:val="0"/>
          <w:sz w:val="24"/>
        </w:rPr>
      </w:pPr>
      <w:r>
        <w:rPr>
          <w:rFonts w:hint="eastAsia" w:ascii="宋体" w:hAnsi="宋体" w:cs="宋体"/>
          <w:kern w:val="0"/>
          <w:sz w:val="24"/>
        </w:rPr>
        <w:t>招标人联系人：齐女士、刘先生</w:t>
      </w:r>
    </w:p>
    <w:p>
      <w:pPr>
        <w:spacing w:line="360" w:lineRule="auto"/>
        <w:ind w:firstLine="480" w:firstLineChars="200"/>
        <w:rPr>
          <w:rFonts w:ascii="宋体" w:hAnsi="宋体" w:cs="宋体"/>
          <w:kern w:val="0"/>
          <w:sz w:val="24"/>
        </w:rPr>
      </w:pPr>
      <w:r>
        <w:rPr>
          <w:rFonts w:hint="eastAsia" w:ascii="宋体" w:hAnsi="宋体" w:cs="宋体"/>
          <w:kern w:val="0"/>
          <w:sz w:val="24"/>
        </w:rPr>
        <w:t>联系电话：0371- 86099382</w:t>
      </w:r>
    </w:p>
    <w:p>
      <w:pPr>
        <w:spacing w:line="360" w:lineRule="auto"/>
        <w:ind w:firstLine="480" w:firstLineChars="200"/>
        <w:rPr>
          <w:rFonts w:ascii="宋体" w:hAnsi="宋体" w:cs="宋体"/>
          <w:kern w:val="0"/>
          <w:sz w:val="24"/>
        </w:rPr>
      </w:pPr>
      <w:r>
        <w:rPr>
          <w:rFonts w:hint="eastAsia" w:ascii="宋体" w:hAnsi="宋体" w:cs="宋体"/>
          <w:kern w:val="0"/>
          <w:sz w:val="24"/>
        </w:rPr>
        <w:t>代理机构：河南兴达工程咨询有限公司</w:t>
      </w:r>
    </w:p>
    <w:p>
      <w:pPr>
        <w:spacing w:line="360" w:lineRule="auto"/>
        <w:ind w:firstLine="480" w:firstLineChars="200"/>
        <w:rPr>
          <w:rFonts w:ascii="宋体" w:hAnsi="宋体" w:cs="宋体"/>
          <w:kern w:val="0"/>
          <w:sz w:val="24"/>
        </w:rPr>
      </w:pPr>
      <w:r>
        <w:rPr>
          <w:rFonts w:hint="eastAsia" w:ascii="宋体" w:hAnsi="宋体" w:cs="宋体"/>
          <w:kern w:val="0"/>
          <w:sz w:val="24"/>
        </w:rPr>
        <w:t>地址：河南省国家大学科技园15F郑州市电厂路曙光路向西200米路南</w:t>
      </w:r>
    </w:p>
    <w:p>
      <w:pPr>
        <w:spacing w:line="360" w:lineRule="auto"/>
        <w:ind w:firstLine="480" w:firstLineChars="200"/>
        <w:rPr>
          <w:rFonts w:ascii="宋体" w:hAnsi="宋体" w:cs="宋体"/>
          <w:kern w:val="0"/>
          <w:sz w:val="24"/>
        </w:rPr>
      </w:pPr>
      <w:r>
        <w:rPr>
          <w:rFonts w:hint="eastAsia" w:ascii="宋体" w:hAnsi="宋体" w:cs="宋体"/>
          <w:kern w:val="0"/>
          <w:sz w:val="24"/>
        </w:rPr>
        <w:t>联 系 人：郑女士、白先生</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电    话：0371-68865980  </w:t>
      </w:r>
    </w:p>
    <w:p>
      <w:pPr>
        <w:spacing w:line="360" w:lineRule="auto"/>
        <w:ind w:firstLine="480" w:firstLineChars="200"/>
      </w:pPr>
      <w:r>
        <w:rPr>
          <w:rFonts w:hint="eastAsia" w:ascii="宋体" w:hAnsi="宋体" w:cs="宋体"/>
          <w:kern w:val="0"/>
          <w:sz w:val="24"/>
        </w:rPr>
        <w:t>邮箱：xdzx006@126.com</w:t>
      </w:r>
    </w:p>
    <w:p/>
    <w:p>
      <w:pPr>
        <w:spacing w:line="520" w:lineRule="exact"/>
        <w:jc w:val="right"/>
        <w:rPr>
          <w:rFonts w:ascii="宋体" w:hAnsi="宋体" w:cs="宋体"/>
          <w:kern w:val="0"/>
          <w:sz w:val="24"/>
        </w:rPr>
      </w:pPr>
    </w:p>
    <w:p>
      <w:pPr>
        <w:spacing w:line="360" w:lineRule="auto"/>
        <w:ind w:firstLine="960" w:firstLineChars="400"/>
        <w:jc w:val="right"/>
        <w:rPr>
          <w:rFonts w:ascii="宋体" w:hAnsi="宋体" w:cs="宋体"/>
          <w:kern w:val="0"/>
          <w:sz w:val="24"/>
        </w:rPr>
      </w:pPr>
      <w:r>
        <w:rPr>
          <w:rFonts w:hint="eastAsia" w:ascii="宋体" w:hAnsi="宋体" w:cs="宋体"/>
          <w:kern w:val="0"/>
          <w:sz w:val="24"/>
        </w:rPr>
        <w:t>发布人：河南兴达工程咨询有限公司</w:t>
      </w:r>
    </w:p>
    <w:p>
      <w:pPr>
        <w:spacing w:line="360" w:lineRule="auto"/>
        <w:ind w:firstLine="960" w:firstLineChars="400"/>
        <w:jc w:val="right"/>
      </w:pPr>
      <w:r>
        <w:rPr>
          <w:rFonts w:hint="eastAsia" w:ascii="宋体" w:hAnsi="宋体" w:cs="宋体"/>
          <w:kern w:val="0"/>
          <w:sz w:val="24"/>
        </w:rPr>
        <w:t>发布时间：2020年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02AFF"/>
    <w:rsid w:val="46C02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adjustRightInd w:val="0"/>
      <w:spacing w:before="120" w:after="120" w:line="160" w:lineRule="atLeast"/>
      <w:jc w:val="center"/>
      <w:textAlignment w:val="baseline"/>
      <w:outlineLvl w:val="1"/>
    </w:pPr>
    <w:rPr>
      <w:rFonts w:ascii="宋体" w:hAnsi="宋体" w:cs="宋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Autospacing="1" w:afterAutospacing="1"/>
      <w:jc w:val="left"/>
    </w:pPr>
    <w:rPr>
      <w:kern w:val="0"/>
      <w:sz w:val="24"/>
    </w:rPr>
  </w:style>
  <w:style w:type="character" w:styleId="6">
    <w:name w:val="Hyperlink"/>
    <w:basedOn w:val="5"/>
    <w:qFormat/>
    <w:uiPriority w:val="99"/>
    <w:rPr>
      <w:rFonts w:cs="Times New Roman"/>
      <w:color w:val="0000FF"/>
      <w:u w:val="single"/>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2020-05-07T08:33:00Z</dcterms:created>
  <dc:creator>阿蒙</dc:creator>
  <cp:lastModifiedBy>阿蒙</cp:lastModifiedBy>
  <dcterms:modified xsi:type="dcterms:W3CDTF">2020-05-07T08:33:28Z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