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theme="majorEastAsia"/>
          <w:b/>
          <w:bCs/>
          <w:sz w:val="36"/>
          <w:szCs w:val="36"/>
        </w:rPr>
      </w:pPr>
      <w:r>
        <w:rPr>
          <w:rFonts w:hint="eastAsia" w:ascii="宋体" w:hAnsi="宋体" w:eastAsia="宋体" w:cstheme="majorEastAsia"/>
          <w:b/>
          <w:bCs/>
          <w:sz w:val="36"/>
          <w:szCs w:val="36"/>
          <w:lang w:val="en-US" w:eastAsia="zh-CN"/>
        </w:rPr>
        <w:t>YZCG-DLT2023142</w:t>
      </w:r>
      <w:r>
        <w:rPr>
          <w:rFonts w:hint="eastAsia" w:ascii="宋体" w:hAnsi="宋体" w:eastAsia="宋体" w:cstheme="majorEastAsia"/>
          <w:b/>
          <w:bCs/>
          <w:sz w:val="36"/>
          <w:szCs w:val="36"/>
        </w:rPr>
        <w:t>禹州市中等专业学校体能综合训练中心建设项目（不见面开标）</w:t>
      </w:r>
    </w:p>
    <w:p>
      <w:pPr>
        <w:pStyle w:val="27"/>
        <w:jc w:val="center"/>
      </w:pPr>
    </w:p>
    <w:p>
      <w:pPr>
        <w:pStyle w:val="17"/>
        <w:ind w:left="5250"/>
        <w:jc w:val="center"/>
      </w:pPr>
    </w:p>
    <w:p/>
    <w:p>
      <w:pPr>
        <w:pStyle w:val="17"/>
        <w:ind w:left="5250"/>
      </w:pPr>
    </w:p>
    <w:p>
      <w:pPr>
        <w:jc w:val="center"/>
        <w:rPr>
          <w:rFonts w:ascii="宋体" w:hAnsi="宋体" w:eastAsia="宋体" w:cs="黑体"/>
          <w:bCs/>
          <w:w w:val="90"/>
          <w:sz w:val="72"/>
          <w:szCs w:val="72"/>
        </w:rPr>
      </w:pPr>
    </w:p>
    <w:p>
      <w:pPr>
        <w:jc w:val="center"/>
        <w:rPr>
          <w:rFonts w:ascii="宋体" w:hAnsi="宋体" w:eastAsia="宋体" w:cs="黑体"/>
          <w:bCs/>
          <w:w w:val="90"/>
          <w:sz w:val="72"/>
          <w:szCs w:val="72"/>
        </w:rPr>
      </w:pPr>
    </w:p>
    <w:p>
      <w:pPr>
        <w:jc w:val="center"/>
        <w:rPr>
          <w:rFonts w:ascii="宋体" w:hAnsi="宋体" w:eastAsia="宋体" w:cs="黑体"/>
          <w:bCs/>
          <w:w w:val="90"/>
          <w:sz w:val="72"/>
          <w:szCs w:val="72"/>
        </w:rPr>
      </w:pPr>
      <w:r>
        <w:rPr>
          <w:rFonts w:hint="eastAsia" w:ascii="宋体" w:hAnsi="宋体" w:eastAsia="宋体" w:cs="黑体"/>
          <w:bCs/>
          <w:w w:val="90"/>
          <w:sz w:val="72"/>
          <w:szCs w:val="72"/>
        </w:rPr>
        <w:t>竞争性谈判文件</w:t>
      </w:r>
    </w:p>
    <w:p>
      <w:pPr>
        <w:rPr>
          <w:rFonts w:ascii="宋体" w:hAnsi="宋体" w:eastAsia="宋体"/>
        </w:rPr>
      </w:pPr>
    </w:p>
    <w:p>
      <w:pPr>
        <w:rPr>
          <w:rFonts w:ascii="宋体" w:hAnsi="宋体" w:eastAsia="宋体"/>
        </w:rPr>
      </w:pPr>
    </w:p>
    <w:p>
      <w:pPr>
        <w:pStyle w:val="2"/>
        <w:rPr>
          <w:rFonts w:ascii="宋体" w:hAnsi="宋体" w:eastAsia="宋体"/>
        </w:rPr>
      </w:pPr>
    </w:p>
    <w:p>
      <w:pPr>
        <w:rPr>
          <w:rFonts w:ascii="宋体" w:hAnsi="宋体" w:eastAsia="宋体"/>
        </w:rPr>
      </w:pPr>
    </w:p>
    <w:p>
      <w:pPr>
        <w:rPr>
          <w:rFonts w:ascii="宋体" w:hAnsi="宋体" w:eastAsia="宋体"/>
        </w:rPr>
      </w:pPr>
    </w:p>
    <w:p>
      <w:pPr>
        <w:pStyle w:val="51"/>
        <w:rPr>
          <w:rFonts w:ascii="宋体" w:hAnsi="宋体" w:eastAsia="宋体"/>
        </w:rPr>
      </w:pPr>
    </w:p>
    <w:p>
      <w:pPr>
        <w:pStyle w:val="51"/>
        <w:rPr>
          <w:rFonts w:ascii="宋体" w:hAnsi="宋体" w:eastAsia="宋体"/>
        </w:rPr>
      </w:pPr>
    </w:p>
    <w:p>
      <w:pPr>
        <w:pStyle w:val="51"/>
        <w:rPr>
          <w:rFonts w:ascii="宋体" w:hAnsi="宋体" w:eastAsia="宋体"/>
        </w:rPr>
      </w:pPr>
    </w:p>
    <w:p>
      <w:pPr>
        <w:pStyle w:val="51"/>
        <w:rPr>
          <w:rFonts w:ascii="宋体" w:hAnsi="宋体" w:eastAsia="宋体"/>
        </w:rPr>
      </w:pPr>
    </w:p>
    <w:p>
      <w:pPr>
        <w:pStyle w:val="51"/>
        <w:rPr>
          <w:rFonts w:ascii="宋体" w:hAnsi="宋体" w:eastAsia="宋体"/>
        </w:rPr>
      </w:pPr>
    </w:p>
    <w:p>
      <w:pPr>
        <w:rPr>
          <w:rFonts w:ascii="宋体" w:hAnsi="宋体" w:eastAsia="宋体"/>
        </w:rPr>
      </w:pPr>
    </w:p>
    <w:p>
      <w:pPr>
        <w:spacing w:line="600" w:lineRule="exact"/>
        <w:ind w:firstLine="1066" w:firstLineChars="295"/>
        <w:rPr>
          <w:rFonts w:hint="default" w:ascii="宋体" w:hAnsi="宋体" w:eastAsia="宋体" w:cstheme="majorEastAsia"/>
          <w:b/>
          <w:bCs/>
          <w:sz w:val="36"/>
          <w:szCs w:val="36"/>
          <w:lang w:val="en-US" w:eastAsia="zh-CN"/>
        </w:rPr>
      </w:pPr>
      <w:r>
        <w:rPr>
          <w:rFonts w:hint="eastAsia" w:ascii="宋体" w:hAnsi="宋体" w:eastAsia="宋体" w:cstheme="majorEastAsia"/>
          <w:b/>
          <w:bCs/>
          <w:sz w:val="36"/>
          <w:szCs w:val="36"/>
        </w:rPr>
        <w:t>采购编号：</w:t>
      </w:r>
      <w:bookmarkStart w:id="0" w:name="_Hlk82421398"/>
      <w:r>
        <w:rPr>
          <w:rFonts w:hint="eastAsia" w:ascii="宋体" w:hAnsi="宋体" w:eastAsia="宋体" w:cstheme="majorEastAsia"/>
          <w:b/>
          <w:bCs/>
          <w:sz w:val="36"/>
          <w:szCs w:val="36"/>
        </w:rPr>
        <w:t>YZCG-DLT2023</w:t>
      </w:r>
      <w:r>
        <w:rPr>
          <w:rFonts w:hint="eastAsia" w:ascii="宋体" w:hAnsi="宋体" w:eastAsia="宋体" w:cstheme="majorEastAsia"/>
          <w:b/>
          <w:bCs/>
          <w:sz w:val="36"/>
          <w:szCs w:val="36"/>
          <w:lang w:val="en-US" w:eastAsia="zh-CN"/>
        </w:rPr>
        <w:t>142</w:t>
      </w:r>
    </w:p>
    <w:bookmarkEnd w:id="0"/>
    <w:p>
      <w:pPr>
        <w:ind w:firstLine="1066" w:firstLineChars="295"/>
        <w:rPr>
          <w:rFonts w:ascii="宋体" w:hAnsi="宋体" w:eastAsia="宋体" w:cstheme="majorEastAsia"/>
          <w:b/>
          <w:bCs/>
          <w:sz w:val="36"/>
          <w:szCs w:val="36"/>
        </w:rPr>
      </w:pPr>
      <w:r>
        <w:rPr>
          <w:rFonts w:hint="eastAsia" w:ascii="宋体" w:hAnsi="宋体" w:eastAsia="宋体" w:cstheme="majorEastAsia"/>
          <w:b/>
          <w:bCs/>
          <w:sz w:val="36"/>
          <w:szCs w:val="36"/>
        </w:rPr>
        <w:t>采购单位：禹州市中等专业学校</w:t>
      </w:r>
    </w:p>
    <w:p>
      <w:pPr>
        <w:ind w:firstLine="1066" w:firstLineChars="295"/>
        <w:rPr>
          <w:rFonts w:hint="eastAsia" w:ascii="宋体" w:hAnsi="宋体" w:eastAsia="宋体" w:cstheme="majorEastAsia"/>
          <w:b/>
          <w:bCs/>
          <w:sz w:val="36"/>
          <w:szCs w:val="36"/>
          <w:lang w:eastAsia="zh-CN"/>
        </w:rPr>
      </w:pPr>
      <w:r>
        <w:rPr>
          <w:rFonts w:hint="eastAsia" w:ascii="宋体" w:hAnsi="宋体" w:eastAsia="宋体" w:cstheme="majorEastAsia"/>
          <w:b/>
          <w:bCs/>
          <w:sz w:val="36"/>
          <w:szCs w:val="36"/>
        </w:rPr>
        <w:t>代理机构：</w:t>
      </w:r>
      <w:r>
        <w:rPr>
          <w:rFonts w:hint="eastAsia" w:ascii="宋体" w:hAnsi="宋体" w:eastAsia="宋体" w:cstheme="majorEastAsia"/>
          <w:b/>
          <w:bCs/>
          <w:sz w:val="36"/>
          <w:szCs w:val="36"/>
          <w:lang w:eastAsia="zh-CN"/>
        </w:rPr>
        <w:t>中海域安项目管理咨询有限公司</w:t>
      </w:r>
    </w:p>
    <w:p>
      <w:pPr>
        <w:rPr>
          <w:rFonts w:ascii="宋体" w:hAnsi="宋体" w:eastAsia="宋体" w:cstheme="majorEastAsia"/>
          <w:b/>
          <w:bCs/>
          <w:sz w:val="36"/>
          <w:szCs w:val="36"/>
        </w:rPr>
      </w:pPr>
    </w:p>
    <w:p>
      <w:pPr>
        <w:pStyle w:val="27"/>
      </w:pPr>
    </w:p>
    <w:p>
      <w:pPr>
        <w:jc w:val="center"/>
      </w:pPr>
      <w:r>
        <w:rPr>
          <w:rFonts w:hint="eastAsia" w:ascii="宋体" w:hAnsi="宋体" w:eastAsia="宋体" w:cstheme="majorEastAsia"/>
          <w:b/>
          <w:bCs/>
          <w:sz w:val="36"/>
          <w:szCs w:val="36"/>
        </w:rPr>
        <w:t>二〇二三年十</w:t>
      </w:r>
      <w:r>
        <w:rPr>
          <w:rFonts w:hint="eastAsia" w:ascii="宋体" w:hAnsi="宋体" w:eastAsia="宋体" w:cstheme="majorEastAsia"/>
          <w:b/>
          <w:bCs/>
          <w:sz w:val="36"/>
          <w:szCs w:val="36"/>
          <w:lang w:eastAsia="zh-CN"/>
        </w:rPr>
        <w:t>二</w:t>
      </w:r>
      <w:r>
        <w:rPr>
          <w:rFonts w:hint="eastAsia" w:ascii="宋体" w:hAnsi="宋体" w:eastAsia="宋体" w:cstheme="majorEastAsia"/>
          <w:b/>
          <w:bCs/>
          <w:sz w:val="36"/>
          <w:szCs w:val="36"/>
        </w:rPr>
        <w:t>月</w:t>
      </w:r>
    </w:p>
    <w:p>
      <w:pPr>
        <w:autoSpaceDE w:val="0"/>
        <w:autoSpaceDN w:val="0"/>
        <w:adjustRightInd w:val="0"/>
        <w:spacing w:line="700" w:lineRule="exact"/>
        <w:jc w:val="center"/>
        <w:rPr>
          <w:rFonts w:ascii="宋体" w:hAnsi="宋体" w:eastAsia="宋体" w:cs="黑体"/>
          <w:b/>
          <w:bCs/>
          <w:sz w:val="44"/>
          <w:szCs w:val="44"/>
          <w:lang w:val="zh-CN"/>
        </w:rPr>
      </w:pPr>
      <w:r>
        <w:rPr>
          <w:rFonts w:hint="eastAsia" w:ascii="宋体" w:hAnsi="宋体" w:eastAsia="宋体" w:cs="黑体"/>
          <w:b/>
          <w:bCs/>
          <w:sz w:val="44"/>
          <w:szCs w:val="44"/>
          <w:lang w:val="zh-CN"/>
        </w:rPr>
        <w:t>目    录</w:t>
      </w:r>
    </w:p>
    <w:p>
      <w:pPr>
        <w:autoSpaceDE w:val="0"/>
        <w:autoSpaceDN w:val="0"/>
        <w:adjustRightInd w:val="0"/>
        <w:spacing w:line="700" w:lineRule="exact"/>
        <w:ind w:firstLine="551"/>
        <w:rPr>
          <w:rFonts w:ascii="宋体" w:hAnsi="宋体" w:eastAsia="宋体" w:cstheme="majorEastAsia"/>
          <w:b/>
          <w:bCs/>
          <w:sz w:val="32"/>
          <w:szCs w:val="32"/>
          <w:lang w:val="zh-CN"/>
        </w:rPr>
      </w:pP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第一章 谈判邀请</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第二章 采购需求</w:t>
      </w:r>
    </w:p>
    <w:p>
      <w:pPr>
        <w:autoSpaceDE w:val="0"/>
        <w:autoSpaceDN w:val="0"/>
        <w:adjustRightInd w:val="0"/>
        <w:spacing w:line="700" w:lineRule="exact"/>
        <w:ind w:firstLine="56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第三章 </w:t>
      </w:r>
      <w:r>
        <w:rPr>
          <w:rFonts w:hint="eastAsia" w:ascii="宋体" w:hAnsi="宋体" w:eastAsia="宋体" w:cstheme="majorEastAsia"/>
          <w:b/>
          <w:kern w:val="0"/>
          <w:sz w:val="32"/>
          <w:szCs w:val="32"/>
        </w:rPr>
        <w:t>供应商须知前附表</w:t>
      </w:r>
    </w:p>
    <w:p>
      <w:pPr>
        <w:autoSpaceDE w:val="0"/>
        <w:autoSpaceDN w:val="0"/>
        <w:adjustRightInd w:val="0"/>
        <w:spacing w:line="700" w:lineRule="exact"/>
        <w:ind w:firstLine="56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第四章 </w:t>
      </w:r>
      <w:r>
        <w:rPr>
          <w:rFonts w:hint="eastAsia" w:ascii="宋体" w:hAnsi="宋体" w:eastAsia="宋体" w:cstheme="majorEastAsia"/>
          <w:b/>
          <w:kern w:val="0"/>
          <w:sz w:val="32"/>
          <w:szCs w:val="32"/>
        </w:rPr>
        <w:t>供应商须知</w:t>
      </w:r>
    </w:p>
    <w:p>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一、概念释义</w:t>
      </w:r>
    </w:p>
    <w:p>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二、采购文件说明</w:t>
      </w:r>
    </w:p>
    <w:p>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三、响应文件的编制</w:t>
      </w:r>
    </w:p>
    <w:p>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四、响应文件的递交</w:t>
      </w:r>
    </w:p>
    <w:p>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五、谈判和评审</w:t>
      </w:r>
    </w:p>
    <w:p>
      <w:pPr>
        <w:autoSpaceDE w:val="0"/>
        <w:autoSpaceDN w:val="0"/>
        <w:adjustRightInd w:val="0"/>
        <w:spacing w:line="700" w:lineRule="exact"/>
        <w:ind w:firstLine="551"/>
        <w:rPr>
          <w:rFonts w:ascii="宋体" w:hAnsi="宋体" w:eastAsia="宋体" w:cstheme="majorEastAsia"/>
          <w:b/>
          <w:bCs/>
          <w:sz w:val="30"/>
          <w:szCs w:val="30"/>
          <w:lang w:val="zh-CN"/>
        </w:rPr>
      </w:pPr>
      <w:r>
        <w:rPr>
          <w:rFonts w:hint="eastAsia" w:ascii="宋体" w:hAnsi="宋体" w:eastAsia="宋体" w:cstheme="majorEastAsia"/>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第五章 </w:t>
      </w:r>
      <w:r>
        <w:rPr>
          <w:rFonts w:hint="eastAsia" w:ascii="宋体" w:hAnsi="宋体" w:eastAsia="宋体" w:cstheme="majorEastAsia"/>
          <w:b/>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第六章 </w:t>
      </w:r>
      <w:r>
        <w:rPr>
          <w:rFonts w:hint="eastAsia" w:ascii="宋体" w:hAnsi="宋体" w:eastAsia="宋体" w:cstheme="majorEastAsia"/>
          <w:b/>
          <w:kern w:val="0"/>
          <w:sz w:val="32"/>
          <w:szCs w:val="32"/>
        </w:rPr>
        <w:t>对响应文件审查与评审</w:t>
      </w:r>
    </w:p>
    <w:p>
      <w:pPr>
        <w:autoSpaceDE w:val="0"/>
        <w:autoSpaceDN w:val="0"/>
        <w:adjustRightInd w:val="0"/>
        <w:spacing w:line="700" w:lineRule="exact"/>
        <w:ind w:firstLine="551"/>
        <w:outlineLvl w:val="0"/>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第七章 拟签订合同文本</w:t>
      </w:r>
    </w:p>
    <w:p>
      <w:pPr>
        <w:autoSpaceDE w:val="0"/>
        <w:autoSpaceDN w:val="0"/>
        <w:adjustRightInd w:val="0"/>
        <w:spacing w:line="700" w:lineRule="exact"/>
        <w:ind w:firstLine="551"/>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第八章 </w:t>
      </w:r>
      <w:r>
        <w:rPr>
          <w:rFonts w:hint="eastAsia" w:ascii="宋体" w:hAnsi="宋体" w:eastAsia="宋体" w:cstheme="majorEastAsia"/>
          <w:b/>
          <w:kern w:val="0"/>
          <w:sz w:val="32"/>
          <w:szCs w:val="32"/>
        </w:rPr>
        <w:t>响应文件有关格式</w:t>
      </w:r>
    </w:p>
    <w:p>
      <w:pPr>
        <w:autoSpaceDE w:val="0"/>
        <w:autoSpaceDN w:val="0"/>
        <w:adjustRightInd w:val="0"/>
        <w:spacing w:line="700" w:lineRule="exact"/>
        <w:ind w:firstLine="551"/>
        <w:rPr>
          <w:rFonts w:ascii="宋体" w:hAnsi="宋体" w:eastAsia="宋体" w:cstheme="majorEastAsia"/>
          <w:b/>
          <w:kern w:val="0"/>
          <w:sz w:val="32"/>
          <w:szCs w:val="32"/>
        </w:rPr>
      </w:pPr>
    </w:p>
    <w:p>
      <w:pPr>
        <w:widowControl/>
        <w:jc w:val="left"/>
        <w:rPr>
          <w:rFonts w:ascii="宋体" w:hAnsi="宋体" w:eastAsia="宋体" w:cs="宋体"/>
          <w:b/>
          <w:sz w:val="36"/>
          <w:szCs w:val="36"/>
          <w:shd w:val="clear" w:color="auto" w:fill="FFFFFF"/>
        </w:rPr>
      </w:pPr>
      <w:r>
        <w:rPr>
          <w:rFonts w:hint="eastAsia" w:ascii="宋体" w:hAnsi="宋体" w:eastAsia="宋体" w:cs="宋体"/>
          <w:b/>
          <w:sz w:val="36"/>
          <w:szCs w:val="36"/>
          <w:shd w:val="clear" w:color="auto" w:fill="FFFFFF"/>
        </w:rPr>
        <w:br w:type="page"/>
      </w:r>
    </w:p>
    <w:p>
      <w:pPr>
        <w:pStyle w:val="49"/>
        <w:numPr>
          <w:ilvl w:val="0"/>
          <w:numId w:val="4"/>
        </w:numPr>
        <w:ind w:firstLineChars="0"/>
        <w:jc w:val="center"/>
        <w:rPr>
          <w:rFonts w:ascii="宋体" w:hAnsi="宋体" w:eastAsia="宋体" w:cs="宋体"/>
          <w:b/>
          <w:kern w:val="0"/>
          <w:sz w:val="32"/>
          <w:szCs w:val="32"/>
        </w:rPr>
      </w:pPr>
      <w:r>
        <w:rPr>
          <w:rFonts w:hint="eastAsia" w:ascii="宋体" w:hAnsi="宋体" w:eastAsia="宋体" w:cs="宋体"/>
          <w:b/>
          <w:kern w:val="0"/>
          <w:sz w:val="32"/>
          <w:szCs w:val="32"/>
        </w:rPr>
        <w:t>谈判邀请</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中海域安项目管理咨询有限公司受禹州市中等专业学校的委托，就“禹州市中等专业学校体能综合训练中心建设项目（不见面开标）”进行竞争性谈判，欢迎合格的供应商前来投标。</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一、项目基本情况</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1、采 购 人：禹州市中等专业学校</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2、项目名称：禹州市中等专业学校体能综合训练中心建设项目（不见面开标）</w:t>
      </w:r>
    </w:p>
    <w:p>
      <w:pPr>
        <w:wordWrap w:val="0"/>
        <w:spacing w:line="360" w:lineRule="auto"/>
        <w:ind w:firstLine="420" w:firstLineChars="200"/>
        <w:rPr>
          <w:rFonts w:hint="default" w:ascii="宋体" w:hAnsi="宋体" w:eastAsia="宋体" w:cs="仿宋_GB2312"/>
          <w:szCs w:val="21"/>
          <w:lang w:val="en-US" w:eastAsia="zh-CN"/>
        </w:rPr>
      </w:pPr>
      <w:r>
        <w:rPr>
          <w:rFonts w:hint="eastAsia" w:ascii="宋体" w:hAnsi="宋体" w:eastAsia="宋体" w:cs="仿宋_GB2312"/>
          <w:szCs w:val="21"/>
          <w:lang w:val="zh-CN"/>
        </w:rPr>
        <w:t>3、采购编号：YZCG-DLT2023</w:t>
      </w:r>
      <w:r>
        <w:rPr>
          <w:rFonts w:hint="eastAsia" w:ascii="宋体" w:hAnsi="宋体" w:eastAsia="宋体" w:cs="仿宋_GB2312"/>
          <w:szCs w:val="21"/>
          <w:lang w:val="en-US" w:eastAsia="zh-CN"/>
        </w:rPr>
        <w:t>142</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4、项目需求：为达成</w:t>
      </w:r>
      <w:r>
        <w:rPr>
          <w:rFonts w:hint="eastAsia" w:ascii="宋体" w:hAnsi="宋体" w:eastAsia="宋体" w:cs="仿宋_GB2312"/>
          <w:szCs w:val="21"/>
          <w:lang w:val="zh-CN" w:eastAsia="zh-CN"/>
        </w:rPr>
        <w:t>运动训练</w:t>
      </w:r>
      <w:r>
        <w:rPr>
          <w:rFonts w:hint="eastAsia" w:ascii="宋体" w:hAnsi="宋体" w:eastAsia="宋体" w:cs="仿宋_GB2312"/>
          <w:szCs w:val="21"/>
          <w:lang w:val="zh-CN"/>
        </w:rPr>
        <w:t>专业的高技能人才培训体系建设，现需要采购一批</w:t>
      </w:r>
      <w:r>
        <w:rPr>
          <w:rFonts w:hint="eastAsia" w:ascii="宋体" w:hAnsi="宋体" w:eastAsia="宋体" w:cs="仿宋_GB2312"/>
          <w:szCs w:val="21"/>
          <w:lang w:val="zh-CN" w:eastAsia="zh-CN"/>
        </w:rPr>
        <w:t>体能练习</w:t>
      </w:r>
      <w:r>
        <w:rPr>
          <w:rFonts w:hint="eastAsia" w:ascii="宋体" w:hAnsi="宋体" w:eastAsia="宋体" w:cs="仿宋_GB2312"/>
          <w:szCs w:val="21"/>
          <w:lang w:val="zh-CN"/>
        </w:rPr>
        <w:t>相关实训设备</w:t>
      </w:r>
      <w:r>
        <w:rPr>
          <w:rFonts w:hint="eastAsia" w:ascii="宋体" w:hAnsi="宋体" w:eastAsia="宋体" w:cs="仿宋_GB2312"/>
          <w:szCs w:val="21"/>
        </w:rPr>
        <w:t>（详见谈判文件第二章项目需求）；</w:t>
      </w:r>
    </w:p>
    <w:p>
      <w:pPr>
        <w:wordWrap w:val="0"/>
        <w:spacing w:line="360" w:lineRule="auto"/>
        <w:ind w:firstLine="420" w:firstLineChars="200"/>
        <w:rPr>
          <w:rFonts w:hint="eastAsia" w:ascii="宋体" w:hAnsi="宋体" w:eastAsia="宋体" w:cs="仿宋_GB2312"/>
          <w:szCs w:val="21"/>
          <w:lang w:val="en-US" w:eastAsia="zh-CN"/>
        </w:rPr>
      </w:pPr>
      <w:r>
        <w:rPr>
          <w:rFonts w:ascii="宋体" w:hAnsi="宋体" w:eastAsia="宋体" w:cs="仿宋_GB2312"/>
          <w:szCs w:val="21"/>
          <w:lang w:val="zh-CN"/>
        </w:rPr>
        <w:t>5</w:t>
      </w:r>
      <w:r>
        <w:rPr>
          <w:rFonts w:hint="eastAsia" w:ascii="宋体" w:hAnsi="宋体" w:eastAsia="宋体" w:cs="仿宋_GB2312"/>
          <w:szCs w:val="21"/>
          <w:lang w:val="zh-CN"/>
        </w:rPr>
        <w:t>、采购预算：</w:t>
      </w:r>
      <w:r>
        <w:rPr>
          <w:rFonts w:hint="eastAsia" w:ascii="宋体" w:hAnsi="宋体" w:eastAsia="宋体" w:cs="仿宋_GB2312"/>
          <w:szCs w:val="21"/>
          <w:lang w:val="en-US" w:eastAsia="zh-CN"/>
        </w:rPr>
        <w:t>569000.00元</w:t>
      </w:r>
    </w:p>
    <w:p>
      <w:pPr>
        <w:tabs>
          <w:tab w:val="left" w:pos="5325"/>
        </w:tabs>
        <w:wordWrap w:val="0"/>
        <w:spacing w:line="360" w:lineRule="auto"/>
        <w:ind w:firstLine="420" w:firstLineChars="200"/>
        <w:rPr>
          <w:rFonts w:ascii="宋体" w:hAnsi="宋体" w:eastAsia="宋体" w:cs="仿宋_GB2312"/>
          <w:szCs w:val="21"/>
        </w:rPr>
      </w:pPr>
      <w:r>
        <w:rPr>
          <w:rFonts w:ascii="宋体" w:hAnsi="宋体" w:eastAsia="宋体" w:cs="仿宋_GB2312"/>
          <w:szCs w:val="21"/>
        </w:rPr>
        <w:t>6</w:t>
      </w:r>
      <w:r>
        <w:rPr>
          <w:rFonts w:hint="eastAsia" w:ascii="宋体" w:hAnsi="宋体" w:eastAsia="宋体" w:cs="仿宋_GB2312"/>
          <w:szCs w:val="21"/>
        </w:rPr>
        <w:t>、交付（服务、完工）时间：合同签订后</w:t>
      </w:r>
      <w:r>
        <w:rPr>
          <w:rFonts w:hint="eastAsia" w:ascii="宋体" w:hAnsi="宋体" w:eastAsia="宋体" w:cs="仿宋_GB2312"/>
          <w:szCs w:val="21"/>
          <w:lang w:val="en-US" w:eastAsia="zh-CN"/>
        </w:rPr>
        <w:t>30</w:t>
      </w:r>
      <w:r>
        <w:rPr>
          <w:rFonts w:ascii="宋体" w:hAnsi="宋体" w:eastAsia="宋体" w:cs="仿宋_GB2312"/>
          <w:szCs w:val="21"/>
        </w:rPr>
        <w:t>日历天内</w:t>
      </w:r>
      <w:r>
        <w:rPr>
          <w:rFonts w:hint="eastAsia" w:ascii="宋体" w:hAnsi="宋体" w:eastAsia="宋体" w:cs="仿宋_GB2312"/>
          <w:szCs w:val="21"/>
        </w:rPr>
        <w:t>。</w:t>
      </w:r>
      <w:r>
        <w:rPr>
          <w:rFonts w:ascii="宋体" w:hAnsi="宋体" w:eastAsia="宋体" w:cs="仿宋_GB2312"/>
          <w:szCs w:val="21"/>
        </w:rPr>
        <w:tab/>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二、需要落实的政府采购政策</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本项目落实节约能源、保护环境、扶持不发达地区和少数民族地区、促进中小企业、监狱企业发展等政府采购政策。</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三、供应商资格要求</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1、符合《</w:t>
      </w:r>
      <w:r>
        <w:rPr>
          <w:rFonts w:hint="eastAsia" w:ascii="宋体" w:hAnsi="宋体" w:eastAsia="宋体" w:cs="仿宋_GB2312"/>
          <w:szCs w:val="21"/>
          <w:lang w:val="zh-CN" w:eastAsia="zh-CN"/>
        </w:rPr>
        <w:t>中华人民共和国</w:t>
      </w:r>
      <w:r>
        <w:rPr>
          <w:rFonts w:hint="eastAsia" w:ascii="宋体" w:hAnsi="宋体" w:eastAsia="宋体" w:cs="仿宋_GB2312"/>
          <w:szCs w:val="21"/>
          <w:lang w:val="zh-CN"/>
        </w:rPr>
        <w:t>政府采购法》第二十二条之规定；</w:t>
      </w:r>
    </w:p>
    <w:p>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2、本项目不接受联合体投标。</w:t>
      </w:r>
    </w:p>
    <w:p>
      <w:pPr>
        <w:pStyle w:val="27"/>
        <w:ind w:left="0" w:leftChars="0" w:firstLine="0" w:firstLineChars="0"/>
        <w:rPr>
          <w:rFonts w:hint="eastAsia" w:eastAsia="宋体"/>
          <w:lang w:val="en-US" w:eastAsia="zh-CN"/>
        </w:rPr>
      </w:pPr>
      <w:r>
        <w:rPr>
          <w:rFonts w:hint="eastAsia" w:ascii="宋体" w:hAnsi="宋体" w:eastAsia="宋体" w:cs="仿宋_GB2312"/>
          <w:szCs w:val="21"/>
          <w:lang w:val="en-US" w:eastAsia="zh-CN"/>
        </w:rPr>
        <w:t xml:space="preserve">    3、</w:t>
      </w:r>
      <w:r>
        <w:rPr>
          <w:rFonts w:hint="eastAsia" w:asciiTheme="majorEastAsia" w:hAnsiTheme="majorEastAsia" w:eastAsiaTheme="majorEastAsia" w:cstheme="majorEastAsia"/>
          <w:color w:val="auto"/>
          <w:szCs w:val="21"/>
        </w:rPr>
        <w:t>本项目</w:t>
      </w:r>
      <w:r>
        <w:rPr>
          <w:rFonts w:hint="eastAsia" w:asciiTheme="majorEastAsia" w:hAnsiTheme="majorEastAsia" w:eastAsiaTheme="majorEastAsia" w:cstheme="majorEastAsia"/>
          <w:color w:val="auto"/>
          <w:szCs w:val="21"/>
          <w:lang w:eastAsia="zh-CN"/>
        </w:rPr>
        <w:t>专门面向中小企业采购</w:t>
      </w:r>
      <w:r>
        <w:rPr>
          <w:rFonts w:hint="eastAsia" w:asciiTheme="majorEastAsia" w:hAnsiTheme="majorEastAsia" w:eastAsiaTheme="majorEastAsia" w:cstheme="majorEastAsia"/>
          <w:color w:val="auto"/>
          <w:szCs w:val="21"/>
        </w:rPr>
        <w:t>。</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四、获取谈判文件的方式</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（一）持CA数字认证证书，登录《全国公共资源交易平台（河南省·许昌市）》“系统用户注册”入口</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http://ggzy.xuchang.gov.cn:8088/ggzy/eps/public/RegistAllJcxx.html）</w:t>
      </w:r>
      <w:r>
        <w:rPr>
          <w:rFonts w:hint="eastAsia" w:ascii="宋体" w:hAnsi="宋体" w:eastAsia="宋体"/>
          <w:szCs w:val="21"/>
          <w:lang w:val="zh-CN"/>
        </w:rPr>
        <w:fldChar w:fldCharType="end"/>
      </w:r>
      <w:r>
        <w:rPr>
          <w:rFonts w:hint="eastAsia" w:ascii="宋体" w:hAnsi="宋体" w:eastAsia="宋体" w:cs="仿宋_GB2312"/>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（二）在谈判响应截止时间前均可登录《全国公共资源交易平台（河南省·许昌市）》“投标人/供应商登录”入口</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（http://ggzy.xuchang.gov.cn:8088/ggzy/）</w:t>
      </w:r>
      <w:r>
        <w:rPr>
          <w:rFonts w:hint="eastAsia" w:ascii="宋体" w:hAnsi="宋体" w:eastAsia="宋体"/>
          <w:szCs w:val="21"/>
          <w:lang w:val="zh-CN"/>
        </w:rPr>
        <w:fldChar w:fldCharType="end"/>
      </w:r>
      <w:r>
        <w:rPr>
          <w:rFonts w:hint="eastAsia" w:ascii="宋体" w:hAnsi="宋体" w:eastAsia="宋体" w:cs="仿宋_GB2312"/>
          <w:szCs w:val="21"/>
          <w:lang w:val="zh-CN"/>
        </w:rPr>
        <w:t>自行免费下载竞争性谈判文件（详见“常见问题解答－交易系统操作手册”）。</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五、响应文件提交截止时间及谈判响应截止时间、谈判时间</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1、响应文件提交截止时间及谈判响应截止时间、谈判时间：2023年</w:t>
      </w:r>
      <w:r>
        <w:rPr>
          <w:rFonts w:hint="eastAsia" w:ascii="宋体" w:hAnsi="宋体" w:eastAsia="宋体" w:cs="仿宋_GB2312"/>
          <w:szCs w:val="21"/>
          <w:lang w:val="en-US" w:eastAsia="zh-CN"/>
        </w:rPr>
        <w:t>12</w:t>
      </w:r>
      <w:r>
        <w:rPr>
          <w:rFonts w:hint="eastAsia" w:ascii="宋体" w:hAnsi="宋体" w:eastAsia="宋体" w:cs="仿宋_GB2312"/>
          <w:szCs w:val="21"/>
          <w:lang w:val="zh-CN"/>
        </w:rPr>
        <w:t>月</w:t>
      </w:r>
      <w:r>
        <w:rPr>
          <w:rFonts w:hint="eastAsia" w:ascii="宋体" w:hAnsi="宋体" w:eastAsia="宋体" w:cs="仿宋_GB2312"/>
          <w:szCs w:val="21"/>
          <w:lang w:val="en-US" w:eastAsia="zh-CN"/>
        </w:rPr>
        <w:t>25</w:t>
      </w:r>
      <w:r>
        <w:rPr>
          <w:rFonts w:hint="eastAsia" w:ascii="宋体" w:hAnsi="宋体" w:eastAsia="宋体" w:cs="仿宋_GB2312"/>
          <w:szCs w:val="21"/>
          <w:lang w:val="zh-CN"/>
        </w:rPr>
        <w:t>日</w:t>
      </w:r>
      <w:r>
        <w:rPr>
          <w:rFonts w:hint="eastAsia" w:ascii="宋体" w:hAnsi="宋体" w:eastAsia="宋体" w:cs="仿宋_GB2312"/>
          <w:szCs w:val="21"/>
          <w:lang w:val="en-US" w:eastAsia="zh-CN"/>
        </w:rPr>
        <w:t>8时30 分</w:t>
      </w:r>
      <w:r>
        <w:rPr>
          <w:rFonts w:hint="eastAsia" w:ascii="宋体" w:hAnsi="宋体" w:eastAsia="宋体" w:cs="仿宋_GB2312"/>
          <w:szCs w:val="21"/>
          <w:lang w:val="zh-CN"/>
        </w:rPr>
        <w:t>（北京时间），逾期送达或不符合规定的响应文件恕不接受。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2、响应文件开启时间：同响应文件提交截止时间。</w:t>
      </w:r>
      <w:r>
        <w:rPr>
          <w:rFonts w:ascii="宋体" w:hAnsi="宋体" w:eastAsia="宋体" w:cs="仿宋_GB2312"/>
          <w:szCs w:val="21"/>
          <w:lang w:val="zh-CN"/>
        </w:rPr>
        <w:tab/>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六、谈判响应文件开启</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（一）谈判响应文件开启地点：禹州市公共资源交易中心九楼第</w:t>
      </w:r>
      <w:r>
        <w:rPr>
          <w:rFonts w:hint="eastAsia" w:ascii="宋体" w:hAnsi="宋体" w:eastAsia="宋体" w:cs="仿宋_GB2312"/>
          <w:szCs w:val="21"/>
          <w:lang w:val="en-US" w:eastAsia="zh-CN"/>
        </w:rPr>
        <w:t>一</w:t>
      </w:r>
      <w:r>
        <w:rPr>
          <w:rFonts w:hint="eastAsia" w:ascii="宋体" w:hAnsi="宋体" w:eastAsia="宋体" w:cs="仿宋_GB2312"/>
          <w:szCs w:val="21"/>
          <w:lang w:val="zh-CN"/>
        </w:rPr>
        <w:t>开标室。（本项目采用远程不见面谈判，供应商无需到达现场）。</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1、加密电子响应文件（.file格式）须在响应文件提交截止时间（谈判响应截止时间）前通过《全国公共资源交易平台（河南省</w:t>
      </w:r>
      <w:r>
        <w:rPr>
          <w:rFonts w:ascii="Segoe UI Emoji" w:hAnsi="Segoe UI Emoji" w:eastAsia="宋体" w:cs="Segoe UI Emoji"/>
          <w:szCs w:val="21"/>
          <w:lang w:val="zh-CN"/>
        </w:rPr>
        <w:t>▪</w:t>
      </w:r>
      <w:r>
        <w:rPr>
          <w:rFonts w:hint="eastAsia" w:ascii="宋体" w:hAnsi="宋体" w:eastAsia="宋体" w:cs="仿宋_GB2312"/>
          <w:szCs w:val="21"/>
          <w:lang w:val="zh-CN"/>
        </w:rPr>
        <w:t>许昌市）》公共资源交易系统成功上传。</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3、不见面开标大厅登录：供应商使用CA数字证书登录全国公共资源交易平台（河南省·许昌市）——进入公共资源交易系统</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（http://ggzy.xuchang.gov.cn:8088/ggzy/）</w:t>
      </w:r>
      <w:r>
        <w:rPr>
          <w:rFonts w:hint="eastAsia" w:ascii="宋体" w:hAnsi="宋体" w:eastAsia="宋体"/>
          <w:szCs w:val="21"/>
          <w:lang w:val="zh-CN"/>
        </w:rPr>
        <w:fldChar w:fldCharType="end"/>
      </w:r>
      <w:r>
        <w:rPr>
          <w:rFonts w:hint="eastAsia" w:ascii="宋体" w:hAnsi="宋体" w:eastAsia="宋体" w:cs="仿宋_GB2312"/>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七、本次谈判公告同时在《河南省政府采购网》《许昌市政府采购网》《全国公共资源交易平台（河南省•许昌市）》发布。</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八、代理机构及采购单位地址、联系人、联系电话</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采购单位：禹州市中等专业学校</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地 址：禹州市药城路北段</w:t>
      </w:r>
    </w:p>
    <w:p>
      <w:pPr>
        <w:wordWrap w:val="0"/>
        <w:spacing w:line="360" w:lineRule="auto"/>
        <w:ind w:firstLine="420" w:firstLineChars="200"/>
        <w:rPr>
          <w:rFonts w:hint="eastAsia" w:ascii="宋体" w:hAnsi="宋体" w:eastAsia="宋体" w:cs="仿宋_GB2312"/>
          <w:szCs w:val="21"/>
          <w:lang w:val="zh-CN" w:eastAsia="zh-CN"/>
        </w:rPr>
      </w:pPr>
      <w:r>
        <w:rPr>
          <w:rFonts w:hint="eastAsia" w:ascii="宋体" w:hAnsi="宋体" w:eastAsia="宋体" w:cs="仿宋_GB2312"/>
          <w:szCs w:val="21"/>
          <w:lang w:val="zh-CN"/>
        </w:rPr>
        <w:t>联系人：</w:t>
      </w:r>
      <w:r>
        <w:rPr>
          <w:rFonts w:hint="eastAsia" w:ascii="宋体" w:hAnsi="宋体" w:eastAsia="宋体" w:cs="仿宋_GB2312"/>
          <w:szCs w:val="21"/>
          <w:lang w:eastAsia="zh-CN"/>
        </w:rPr>
        <w:t>王先生</w:t>
      </w:r>
    </w:p>
    <w:p>
      <w:pPr>
        <w:wordWrap w:val="0"/>
        <w:spacing w:line="360" w:lineRule="auto"/>
        <w:ind w:firstLine="420" w:firstLineChars="200"/>
        <w:rPr>
          <w:rFonts w:ascii="宋体" w:hAnsi="宋体" w:eastAsia="宋体" w:cs="仿宋_GB2312"/>
          <w:szCs w:val="21"/>
        </w:rPr>
      </w:pPr>
      <w:r>
        <w:rPr>
          <w:rFonts w:hint="eastAsia" w:ascii="宋体" w:hAnsi="宋体" w:eastAsia="宋体" w:cs="仿宋_GB2312"/>
          <w:szCs w:val="21"/>
          <w:lang w:val="zh-CN"/>
        </w:rPr>
        <w:t>联系电话：0374-8816982</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代理机构：中海域安项目管理咨询有限公司</w:t>
      </w:r>
    </w:p>
    <w:p>
      <w:pPr>
        <w:wordWrap w:val="0"/>
        <w:spacing w:line="360" w:lineRule="auto"/>
        <w:ind w:left="1155" w:leftChars="200" w:hanging="735" w:hangingChars="350"/>
        <w:rPr>
          <w:rFonts w:hint="eastAsia" w:ascii="宋体" w:hAnsi="宋体" w:eastAsia="宋体" w:cs="仿宋_GB2312"/>
          <w:szCs w:val="21"/>
          <w:lang w:val="en-US" w:eastAsia="zh-CN"/>
        </w:rPr>
      </w:pPr>
      <w:r>
        <w:rPr>
          <w:rFonts w:hint="eastAsia" w:ascii="宋体" w:hAnsi="宋体" w:eastAsia="宋体" w:cs="仿宋_GB2312"/>
          <w:szCs w:val="21"/>
          <w:lang w:val="zh-CN"/>
        </w:rPr>
        <w:t>地 址：禹州市柏山路</w:t>
      </w:r>
      <w:r>
        <w:rPr>
          <w:rFonts w:hint="eastAsia" w:ascii="宋体" w:hAnsi="宋体" w:eastAsia="宋体" w:cs="仿宋_GB2312"/>
          <w:szCs w:val="21"/>
          <w:lang w:val="en-US" w:eastAsia="zh-CN"/>
        </w:rPr>
        <w:t>7号</w:t>
      </w:r>
    </w:p>
    <w:p>
      <w:pPr>
        <w:wordWrap w:val="0"/>
        <w:spacing w:line="360" w:lineRule="auto"/>
        <w:ind w:left="1155" w:leftChars="200" w:hanging="735" w:hangingChars="350"/>
        <w:rPr>
          <w:rFonts w:ascii="宋体" w:hAnsi="宋体" w:eastAsia="宋体" w:cs="仿宋_GB2312"/>
          <w:szCs w:val="21"/>
          <w:lang w:val="zh-CN"/>
        </w:rPr>
      </w:pPr>
      <w:r>
        <w:rPr>
          <w:rFonts w:hint="eastAsia" w:ascii="宋体" w:hAnsi="宋体" w:eastAsia="宋体" w:cs="仿宋_GB2312"/>
          <w:szCs w:val="21"/>
          <w:lang w:val="zh-CN"/>
        </w:rPr>
        <w:t>联系人：杨先生</w:t>
      </w:r>
    </w:p>
    <w:p>
      <w:pPr>
        <w:wordWrap w:val="0"/>
        <w:spacing w:line="360" w:lineRule="auto"/>
        <w:ind w:firstLine="420" w:firstLineChars="200"/>
        <w:rPr>
          <w:rFonts w:hint="default" w:ascii="宋体" w:hAnsi="宋体" w:eastAsia="宋体" w:cs="仿宋_GB2312"/>
          <w:szCs w:val="21"/>
          <w:lang w:val="en-US" w:eastAsia="zh-CN"/>
        </w:rPr>
      </w:pPr>
      <w:r>
        <w:rPr>
          <w:rFonts w:hint="eastAsia" w:ascii="宋体" w:hAnsi="宋体" w:eastAsia="宋体" w:cs="仿宋_GB2312"/>
          <w:szCs w:val="21"/>
          <w:lang w:val="zh-CN"/>
        </w:rPr>
        <w:t>联系电话：</w:t>
      </w:r>
      <w:r>
        <w:rPr>
          <w:rFonts w:hint="eastAsia" w:ascii="宋体" w:hAnsi="宋体" w:eastAsia="宋体" w:cs="仿宋_GB2312"/>
          <w:szCs w:val="21"/>
          <w:lang w:val="en-US" w:eastAsia="zh-CN"/>
        </w:rPr>
        <w:t>13383748781</w:t>
      </w:r>
    </w:p>
    <w:p>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监督单位：禹州市政府采购监督管理办公室</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b/>
          <w:color w:val="000000"/>
          <w:szCs w:val="21"/>
        </w:rPr>
      </w:pPr>
      <w:r>
        <w:rPr>
          <w:rFonts w:hint="eastAsia" w:ascii="宋体" w:hAnsi="宋体" w:eastAsia="宋体" w:cs="宋体"/>
          <w:sz w:val="21"/>
          <w:szCs w:val="21"/>
          <w:lang w:val="zh-CN"/>
        </w:rPr>
        <w:t>联系电话：0374-8112523</w:t>
      </w:r>
    </w:p>
    <w:p>
      <w:pPr>
        <w:spacing w:line="360" w:lineRule="auto"/>
        <w:rPr>
          <w:rFonts w:ascii="宋体" w:hAnsi="宋体" w:eastAsia="宋体"/>
          <w:b/>
          <w:color w:val="000000"/>
          <w:szCs w:val="21"/>
        </w:rPr>
      </w:pPr>
      <w:r>
        <w:rPr>
          <w:rFonts w:hint="eastAsia" w:ascii="宋体" w:hAnsi="宋体" w:eastAsia="宋体"/>
          <w:b/>
          <w:color w:val="000000"/>
          <w:szCs w:val="21"/>
        </w:rPr>
        <w:t>温馨提示：</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本项目为全流程电子化交易项目，请认真阅读谈判文件，并注意以下事项。</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1.供应商应按谈判文件规定编制、提交、解密电子响应文件。</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2.电子文件下载、制作、提交期间和远程不见面谈判（</w:t>
      </w:r>
      <w:r>
        <w:rPr>
          <w:rFonts w:hint="eastAsia" w:ascii="宋体" w:hAnsi="宋体" w:eastAsia="宋体"/>
          <w:szCs w:val="21"/>
        </w:rPr>
        <w:t>电子响应文件的解密</w:t>
      </w:r>
      <w:r>
        <w:rPr>
          <w:rFonts w:hint="eastAsia" w:ascii="宋体" w:hAnsi="宋体" w:eastAsia="宋体"/>
          <w:b/>
          <w:color w:val="000000"/>
          <w:szCs w:val="21"/>
        </w:rPr>
        <w:t>）环节，供应商须使用同一个</w:t>
      </w:r>
      <w:r>
        <w:rPr>
          <w:rFonts w:ascii="宋体" w:hAnsi="宋体" w:eastAsia="宋体"/>
          <w:b/>
          <w:color w:val="000000"/>
          <w:szCs w:val="21"/>
        </w:rPr>
        <w:t>CA</w:t>
      </w:r>
      <w:r>
        <w:rPr>
          <w:rFonts w:hint="eastAsia" w:ascii="宋体" w:hAnsi="宋体" w:eastAsia="宋体"/>
          <w:b/>
          <w:color w:val="000000"/>
          <w:szCs w:val="21"/>
        </w:rPr>
        <w:t>数字证书（证书须在有效期内并可正常使用）。</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3.电子响应文件的制作</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3.1供应商登录《全国公共资源交易平台（河南省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w:t>
      </w:r>
      <w:r>
        <w:rPr>
          <w:rFonts w:ascii="宋体" w:hAnsi="宋体" w:eastAsia="宋体"/>
          <w:szCs w:val="21"/>
        </w:rPr>
        <w:t>http://221.14.6.70:8088/ggzy/</w:t>
      </w:r>
      <w:r>
        <w:rPr>
          <w:rFonts w:hint="eastAsia" w:ascii="宋体" w:hAnsi="宋体" w:eastAsia="宋体"/>
          <w:color w:val="000000"/>
          <w:szCs w:val="21"/>
        </w:rPr>
        <w:t>）下载“许昌投标文件制作系统</w:t>
      </w:r>
      <w:r>
        <w:rPr>
          <w:rFonts w:ascii="宋体" w:hAnsi="宋体" w:eastAsia="宋体"/>
          <w:color w:val="000000"/>
          <w:szCs w:val="21"/>
        </w:rPr>
        <w:t xml:space="preserve">SEARUN </w:t>
      </w:r>
      <w:r>
        <w:rPr>
          <w:rFonts w:hint="eastAsia" w:ascii="宋体" w:hAnsi="宋体" w:eastAsia="宋体"/>
          <w:color w:val="000000"/>
          <w:szCs w:val="21"/>
        </w:rPr>
        <w:t>最新版本”，按谈判文件要求制作电子响应文件。</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电子响应文件的制作，参考《全国公共资源交易平台（河南省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》公共资源交易系统——组件下载——交易系统操作手册（投标人、供应商）。</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3.2供应商须将谈判文件要求的资质、业绩、荣誉及相关人员证明材料等资料原件扫描件（或图片）制作到所提交的电子响应文件中。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宋体" w:eastAsia="宋体"/>
          <w:color w:val="000000"/>
          <w:szCs w:val="21"/>
        </w:rPr>
      </w:pPr>
      <w:r>
        <w:rPr>
          <w:rFonts w:hint="eastAsia" w:ascii="宋体" w:hAnsi="宋体" w:eastAsia="宋体"/>
          <w:color w:val="000000"/>
          <w:szCs w:val="21"/>
        </w:rPr>
        <w:t>一个标段对应生成一个文件夹（</w:t>
      </w:r>
      <w:r>
        <w:rPr>
          <w:rFonts w:ascii="宋体" w:hAnsi="宋体" w:eastAsia="宋体"/>
          <w:color w:val="000000"/>
          <w:szCs w:val="21"/>
        </w:rPr>
        <w:t>xxxx</w:t>
      </w:r>
      <w:r>
        <w:rPr>
          <w:rFonts w:hint="eastAsia" w:ascii="宋体" w:hAnsi="宋体" w:eastAsia="宋体"/>
          <w:color w:val="000000"/>
          <w:szCs w:val="21"/>
        </w:rPr>
        <w:t>项目</w:t>
      </w:r>
      <w:r>
        <w:rPr>
          <w:rFonts w:ascii="宋体" w:hAnsi="宋体" w:eastAsia="宋体"/>
          <w:color w:val="000000"/>
          <w:szCs w:val="21"/>
        </w:rPr>
        <w:t>xx</w:t>
      </w:r>
      <w:r>
        <w:rPr>
          <w:rFonts w:hint="eastAsia" w:ascii="宋体" w:hAnsi="宋体" w:eastAsia="宋体"/>
          <w:color w:val="000000"/>
          <w:szCs w:val="21"/>
        </w:rPr>
        <w:t>标段），其中后缀名为“</w:t>
      </w:r>
      <w:r>
        <w:rPr>
          <w:rFonts w:ascii="宋体" w:hAnsi="宋体" w:eastAsia="宋体"/>
          <w:color w:val="000000"/>
          <w:szCs w:val="21"/>
        </w:rPr>
        <w:t>.file</w:t>
      </w:r>
      <w:r>
        <w:rPr>
          <w:rFonts w:hint="eastAsia" w:ascii="宋体" w:hAnsi="宋体" w:eastAsia="宋体"/>
          <w:color w:val="000000"/>
          <w:szCs w:val="21"/>
        </w:rPr>
        <w:t>”的文件用于电子投标使用。</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4.加密电子响应文件的提交</w:t>
      </w:r>
    </w:p>
    <w:p>
      <w:pPr>
        <w:tabs>
          <w:tab w:val="left" w:pos="7095"/>
        </w:tabs>
        <w:spacing w:line="360" w:lineRule="auto"/>
        <w:ind w:firstLine="210" w:firstLineChars="100"/>
        <w:rPr>
          <w:rFonts w:ascii="宋体" w:hAnsi="宋体" w:eastAsia="宋体"/>
          <w:color w:val="000000"/>
          <w:szCs w:val="21"/>
        </w:rPr>
      </w:pPr>
      <w:r>
        <w:rPr>
          <w:rFonts w:hint="eastAsia" w:ascii="宋体" w:hAnsi="宋体" w:eastAsia="宋体"/>
          <w:color w:val="000000"/>
          <w:szCs w:val="21"/>
        </w:rPr>
        <w:t>4.1加密电子响应文件应按规定在谈判响应截止时间（谈判时间）之前成功提交至《全国公共资源交易平台（河南省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w:t>
      </w:r>
      <w:r>
        <w:rPr>
          <w:rFonts w:ascii="宋体" w:hAnsi="宋体" w:eastAsia="宋体"/>
          <w:szCs w:val="21"/>
        </w:rPr>
        <w:t>http://221.14.6.70:8088/ggzy/</w:t>
      </w:r>
      <w:r>
        <w:rPr>
          <w:rFonts w:hint="eastAsia" w:ascii="宋体" w:hAnsi="宋体" w:eastAsia="宋体"/>
          <w:color w:val="000000"/>
          <w:szCs w:val="21"/>
        </w:rPr>
        <w:t>）。</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供应商应充分考虑并预留技术处理和上传数据所需时间。</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4.2 供应商对同一项目多个标段进行响应的，加密电子响应文件应按标段分别提交。</w:t>
      </w:r>
    </w:p>
    <w:p>
      <w:pPr>
        <w:tabs>
          <w:tab w:val="left" w:pos="7095"/>
        </w:tabs>
        <w:spacing w:line="360" w:lineRule="auto"/>
        <w:ind w:firstLine="420" w:firstLineChars="200"/>
        <w:rPr>
          <w:rFonts w:ascii="宋体" w:hAnsi="宋体" w:eastAsia="宋体"/>
          <w:color w:val="00B0F0"/>
          <w:szCs w:val="21"/>
        </w:rPr>
      </w:pPr>
      <w:r>
        <w:rPr>
          <w:rFonts w:hint="eastAsia" w:ascii="宋体" w:hAnsi="宋体" w:eastAsia="宋体"/>
          <w:color w:val="000000"/>
          <w:szCs w:val="21"/>
        </w:rPr>
        <w:t>4.3 加密电子响应文件成功提交后，《全国公共资源交易平台（河南省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w:t>
      </w:r>
      <w:r>
        <w:rPr>
          <w:rFonts w:ascii="宋体" w:hAnsi="宋体" w:eastAsia="宋体"/>
          <w:szCs w:val="21"/>
        </w:rPr>
        <w:t>http://221.14.6.70:8088/ggzy/</w:t>
      </w:r>
      <w:r>
        <w:rPr>
          <w:rFonts w:hint="eastAsia" w:ascii="宋体" w:hAnsi="宋体" w:eastAsia="宋体"/>
          <w:color w:val="000000"/>
          <w:szCs w:val="21"/>
        </w:rPr>
        <w:t>）</w:t>
      </w:r>
      <w:r>
        <w:rPr>
          <w:rFonts w:hint="eastAsia" w:ascii="宋体" w:hAnsi="宋体" w:eastAsia="宋体" w:cs="仿宋_GB2312"/>
          <w:color w:val="000000"/>
          <w:szCs w:val="21"/>
        </w:rPr>
        <w:t>生成“投标文件提交回执单”。</w:t>
      </w:r>
    </w:p>
    <w:p>
      <w:pPr>
        <w:tabs>
          <w:tab w:val="left" w:pos="7095"/>
        </w:tabs>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5.远程不见面谈判（电子响应文件的解密）</w:t>
      </w:r>
    </w:p>
    <w:p>
      <w:pPr>
        <w:tabs>
          <w:tab w:val="left" w:pos="7095"/>
        </w:tabs>
        <w:spacing w:line="360" w:lineRule="auto"/>
        <w:ind w:firstLine="420"/>
        <w:rPr>
          <w:rFonts w:ascii="宋体" w:hAnsi="宋体" w:eastAsia="宋体"/>
          <w:color w:val="000000"/>
          <w:szCs w:val="21"/>
        </w:rPr>
      </w:pPr>
      <w:r>
        <w:rPr>
          <w:rFonts w:hint="eastAsia" w:ascii="宋体" w:hAnsi="宋体" w:eastAsia="宋体"/>
          <w:color w:val="000000"/>
          <w:szCs w:val="21"/>
        </w:rPr>
        <w:t>5.1供应商应熟悉《许昌市不见面操作手册》，并提前设置不见面开标浏览器（设置流程详见《许昌市不见面操作手册》）。</w:t>
      </w:r>
    </w:p>
    <w:p>
      <w:pPr>
        <w:tabs>
          <w:tab w:val="left" w:pos="7095"/>
        </w:tabs>
        <w:spacing w:line="360" w:lineRule="auto"/>
        <w:ind w:firstLine="420"/>
        <w:rPr>
          <w:rFonts w:ascii="宋体" w:hAnsi="宋体" w:eastAsia="宋体"/>
          <w:color w:val="000000"/>
          <w:szCs w:val="21"/>
        </w:rPr>
      </w:pPr>
      <w:r>
        <w:rPr>
          <w:rFonts w:hint="eastAsia" w:ascii="宋体" w:hAnsi="宋体" w:eastAsia="宋体"/>
          <w:color w:val="000000"/>
          <w:szCs w:val="21"/>
        </w:rPr>
        <w:t>5.2 《许昌市不见面操作手册》下载路径：全国公共资源交易平台（河南省·许昌市）—“资料下载”栏目。</w:t>
      </w:r>
    </w:p>
    <w:p>
      <w:pPr>
        <w:tabs>
          <w:tab w:val="left" w:pos="7095"/>
        </w:tabs>
        <w:spacing w:line="360" w:lineRule="auto"/>
        <w:ind w:firstLine="420"/>
        <w:rPr>
          <w:rFonts w:ascii="宋体" w:hAnsi="宋体" w:eastAsia="宋体"/>
          <w:color w:val="000000"/>
          <w:szCs w:val="21"/>
        </w:rPr>
      </w:pPr>
      <w:r>
        <w:rPr>
          <w:rFonts w:hint="eastAsia" w:ascii="宋体" w:hAnsi="宋体" w:eastAsia="宋体"/>
          <w:color w:val="000000"/>
          <w:szCs w:val="21"/>
        </w:rPr>
        <w:t>5.3</w:t>
      </w:r>
      <w:r>
        <w:rPr>
          <w:rFonts w:hint="eastAsia" w:ascii="宋体" w:hAnsi="宋体" w:eastAsia="宋体" w:cs="仿宋_GB2312"/>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hint="eastAsia" w:ascii="宋体" w:hAnsi="宋体" w:eastAsia="宋体" w:cs="宋体"/>
          <w:kern w:val="0"/>
          <w:szCs w:val="21"/>
        </w:rPr>
        <w:t>因供应商原因解密失败的，其响应文件将被拒绝。</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宋体" w:eastAsia="宋体"/>
          <w:b/>
          <w:color w:val="000000"/>
          <w:szCs w:val="21"/>
        </w:rPr>
      </w:pPr>
      <w:r>
        <w:rPr>
          <w:rFonts w:hint="eastAsia" w:ascii="宋体" w:hAnsi="宋体" w:eastAsia="宋体"/>
          <w:b/>
          <w:color w:val="000000"/>
          <w:szCs w:val="21"/>
        </w:rPr>
        <w:t>6.评审依据</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6.1全流程电子化交易（不见面谈判）项目，谈判小组以成功上传、解密的电子响应文件为依据评审。</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6.2 评审期间，供应商应保持通讯手机畅通，并根据谈判小组要求在规定时间内提供：</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（1）最后报价（加盖公章，或者由法定代表人或其授权的代表签字）；</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提交方式：供应商须使用</w:t>
      </w:r>
      <w:r>
        <w:rPr>
          <w:rFonts w:ascii="宋体" w:hAnsi="宋体" w:eastAsia="宋体"/>
          <w:color w:val="000000"/>
          <w:szCs w:val="21"/>
        </w:rPr>
        <w:t>CA</w:t>
      </w:r>
      <w:r>
        <w:rPr>
          <w:rFonts w:hint="eastAsia" w:ascii="宋体" w:hAnsi="宋体" w:eastAsia="宋体"/>
          <w:color w:val="000000"/>
          <w:szCs w:val="21"/>
        </w:rPr>
        <w:t>数字证书登录《全国公共资源交易平台（河南省</w:t>
      </w:r>
      <w:r>
        <w:rPr>
          <w:rFonts w:ascii="Segoe UI Emoji" w:hAnsi="Segoe UI Emoji" w:eastAsia="宋体" w:cs="Segoe UI Emoji"/>
          <w:color w:val="000000"/>
          <w:szCs w:val="21"/>
        </w:rPr>
        <w:t>▪</w:t>
      </w:r>
      <w:r>
        <w:rPr>
          <w:rFonts w:hint="eastAsia" w:ascii="宋体" w:hAnsi="宋体" w:eastAsia="宋体"/>
          <w:color w:val="000000"/>
          <w:szCs w:val="21"/>
        </w:rPr>
        <w:t>许昌市）》公共资源交易系统（</w:t>
      </w:r>
      <w:r>
        <w:rPr>
          <w:rFonts w:ascii="宋体" w:hAnsi="宋体" w:eastAsia="宋体"/>
          <w:color w:val="000000"/>
          <w:szCs w:val="21"/>
        </w:rPr>
        <w:t>http://ggzy.xuchang.gov.cn:8088/ggzy/</w:t>
      </w:r>
      <w:r>
        <w:rPr>
          <w:rFonts w:hint="eastAsia" w:ascii="宋体" w:hAnsi="宋体" w:eastAsia="宋体"/>
          <w:color w:val="000000"/>
          <w:szCs w:val="21"/>
        </w:rPr>
        <w:t>）进行最后报价，最后报价应包括：①总报价②分项报价。</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②谈判文件第二章“采购需求”中“采购清单”以工程量清单提供的，供应商应以工程量清单方式提交最后报价。</w:t>
      </w:r>
    </w:p>
    <w:p>
      <w:pPr>
        <w:tabs>
          <w:tab w:val="left" w:pos="6083"/>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③请供应商根据项目情况，可提前准备分项报价。</w:t>
      </w:r>
      <w:r>
        <w:rPr>
          <w:rFonts w:ascii="宋体" w:hAnsi="宋体" w:eastAsia="宋体"/>
          <w:color w:val="000000"/>
          <w:szCs w:val="21"/>
        </w:rPr>
        <w:tab/>
      </w:r>
    </w:p>
    <w:p>
      <w:pPr>
        <w:tabs>
          <w:tab w:val="left" w:pos="7095"/>
        </w:tabs>
        <w:spacing w:line="360" w:lineRule="auto"/>
        <w:ind w:firstLine="420" w:firstLineChars="200"/>
        <w:rPr>
          <w:rFonts w:ascii="宋体" w:hAnsi="宋体" w:eastAsia="宋体"/>
          <w:color w:val="000000"/>
          <w:szCs w:val="21"/>
        </w:rPr>
      </w:pPr>
      <w:r>
        <w:rPr>
          <w:rFonts w:hint="eastAsia" w:ascii="宋体" w:hAnsi="宋体" w:eastAsia="宋体"/>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ascii="宋体" w:hAnsi="宋体" w:eastAsia="宋体" w:cs="宋体"/>
          <w:b/>
          <w:kern w:val="0"/>
          <w:sz w:val="32"/>
          <w:szCs w:val="32"/>
        </w:rPr>
      </w:pPr>
    </w:p>
    <w:p>
      <w:pPr>
        <w:jc w:val="center"/>
        <w:rPr>
          <w:rFonts w:ascii="宋体" w:hAnsi="宋体" w:eastAsia="宋体" w:cs="宋体"/>
          <w:b/>
          <w:kern w:val="0"/>
          <w:sz w:val="32"/>
          <w:szCs w:val="32"/>
        </w:rPr>
      </w:pPr>
    </w:p>
    <w:p>
      <w:pPr>
        <w:jc w:val="center"/>
        <w:rPr>
          <w:rFonts w:ascii="宋体" w:hAnsi="宋体" w:eastAsia="宋体" w:cs="宋体"/>
          <w:b/>
          <w:kern w:val="0"/>
          <w:sz w:val="32"/>
          <w:szCs w:val="32"/>
        </w:rPr>
      </w:pPr>
    </w:p>
    <w:p>
      <w:pPr>
        <w:pStyle w:val="27"/>
      </w:pPr>
    </w:p>
    <w:p>
      <w:pPr>
        <w:pStyle w:val="17"/>
        <w:ind w:left="5250"/>
      </w:pPr>
    </w:p>
    <w:p/>
    <w:p>
      <w:pPr>
        <w:pStyle w:val="27"/>
        <w:ind w:left="0" w:leftChars="0" w:firstLine="0" w:firstLineChars="0"/>
      </w:pPr>
    </w:p>
    <w:p>
      <w:pPr>
        <w:jc w:val="center"/>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一、本项目需实现的功能或者目标：</w:t>
      </w:r>
    </w:p>
    <w:p>
      <w:pPr>
        <w:widowControl/>
        <w:shd w:val="clear" w:color="auto" w:fill="FFFFFF"/>
        <w:spacing w:line="580" w:lineRule="exact"/>
        <w:ind w:firstLine="420" w:firstLineChars="200"/>
        <w:jc w:val="left"/>
        <w:rPr>
          <w:rFonts w:hint="eastAsia" w:asciiTheme="minorEastAsia" w:hAnsiTheme="minorEastAsia"/>
          <w:sz w:val="24"/>
        </w:rPr>
      </w:pPr>
      <w:r>
        <w:rPr>
          <w:rFonts w:hint="eastAsia" w:ascii="宋体" w:hAnsi="宋体" w:eastAsia="宋体" w:cs="宋体"/>
          <w:sz w:val="21"/>
          <w:szCs w:val="21"/>
        </w:rPr>
        <w:t>学校为达成</w:t>
      </w:r>
      <w:r>
        <w:rPr>
          <w:rFonts w:hint="eastAsia" w:ascii="宋体" w:hAnsi="宋体" w:eastAsia="宋体" w:cs="宋体"/>
          <w:sz w:val="21"/>
          <w:szCs w:val="21"/>
          <w:lang w:val="en-US" w:eastAsia="zh-CN"/>
        </w:rPr>
        <w:t>运动训练</w:t>
      </w:r>
      <w:r>
        <w:rPr>
          <w:rFonts w:hint="eastAsia" w:ascii="宋体" w:hAnsi="宋体" w:eastAsia="宋体" w:cs="宋体"/>
          <w:sz w:val="21"/>
          <w:szCs w:val="21"/>
        </w:rPr>
        <w:t>专业的高技能人才培训体系建设，现需要采购一批</w:t>
      </w:r>
      <w:r>
        <w:rPr>
          <w:rFonts w:hint="eastAsia" w:ascii="宋体" w:hAnsi="宋体" w:eastAsia="宋体" w:cs="宋体"/>
          <w:sz w:val="21"/>
          <w:szCs w:val="21"/>
          <w:lang w:val="en-US" w:eastAsia="zh-CN"/>
        </w:rPr>
        <w:t>体能练习</w:t>
      </w:r>
      <w:r>
        <w:rPr>
          <w:rFonts w:hint="eastAsia" w:ascii="宋体" w:hAnsi="宋体" w:eastAsia="宋体" w:cs="宋体"/>
          <w:sz w:val="21"/>
          <w:szCs w:val="21"/>
        </w:rPr>
        <w:t>相关实训设备。</w:t>
      </w:r>
    </w:p>
    <w:p>
      <w:pPr>
        <w:widowControl/>
        <w:numPr>
          <w:ilvl w:val="0"/>
          <w:numId w:val="5"/>
        </w:numPr>
        <w:shd w:val="clear" w:color="auto" w:fill="FFFFFF"/>
        <w:spacing w:line="580" w:lineRule="exact"/>
        <w:jc w:val="left"/>
        <w:rPr>
          <w:rFonts w:hint="eastAsia"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采购清单：</w:t>
      </w:r>
    </w:p>
    <w:tbl>
      <w:tblPr>
        <w:tblStyle w:val="28"/>
        <w:tblW w:w="5283" w:type="pct"/>
        <w:jc w:val="center"/>
        <w:tblLayout w:type="fixed"/>
        <w:tblCellMar>
          <w:top w:w="0" w:type="dxa"/>
          <w:left w:w="108" w:type="dxa"/>
          <w:bottom w:w="0" w:type="dxa"/>
          <w:right w:w="108" w:type="dxa"/>
        </w:tblCellMar>
      </w:tblPr>
      <w:tblGrid>
        <w:gridCol w:w="560"/>
        <w:gridCol w:w="990"/>
        <w:gridCol w:w="5024"/>
        <w:gridCol w:w="709"/>
        <w:gridCol w:w="680"/>
        <w:gridCol w:w="616"/>
        <w:gridCol w:w="427"/>
      </w:tblGrid>
      <w:tr>
        <w:tblPrEx>
          <w:tblCellMar>
            <w:top w:w="0" w:type="dxa"/>
            <w:left w:w="108" w:type="dxa"/>
            <w:bottom w:w="0" w:type="dxa"/>
            <w:right w:w="108" w:type="dxa"/>
          </w:tblCellMar>
        </w:tblPrEx>
        <w:trPr>
          <w:jc w:val="center"/>
        </w:trPr>
        <w:tc>
          <w:tcPr>
            <w:tcW w:w="9006" w:type="dxa"/>
            <w:gridSpan w:val="7"/>
            <w:tcBorders>
              <w:top w:val="single" w:color="000000" w:sz="4" w:space="0"/>
              <w:left w:val="single" w:color="000000" w:sz="4" w:space="0"/>
              <w:bottom w:val="single" w:color="000000" w:sz="4" w:space="0"/>
              <w:right w:val="single" w:color="000000" w:sz="4" w:space="0"/>
            </w:tcBorders>
            <w:shd w:val="clear" w:color="auto" w:fill="00B0F0"/>
            <w:noWrap/>
            <w:vAlign w:val="center"/>
          </w:tcPr>
          <w:p>
            <w:pPr>
              <w:widowControl/>
              <w:spacing w:line="240" w:lineRule="auto"/>
              <w:jc w:val="center"/>
              <w:textAlignment w:val="center"/>
              <w:rPr>
                <w:rFonts w:hint="eastAsia" w:ascii="宋体" w:hAnsi="宋体" w:eastAsia="宋体" w:cs="宋体"/>
                <w:sz w:val="18"/>
                <w:szCs w:val="18"/>
              </w:rPr>
            </w:pPr>
            <w:r>
              <w:rPr>
                <w:rFonts w:hint="eastAsia" w:ascii="宋体" w:hAnsi="宋体" w:eastAsia="宋体" w:cs="宋体"/>
                <w:sz w:val="18"/>
                <w:szCs w:val="18"/>
              </w:rPr>
              <w:t>体能综合训练中心建设项目</w:t>
            </w: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widowControl/>
              <w:spacing w:line="240" w:lineRule="auto"/>
              <w:jc w:val="left"/>
              <w:textAlignment w:val="center"/>
              <w:rPr>
                <w:rFonts w:hint="eastAsia" w:ascii="宋体" w:hAnsi="宋体" w:eastAsia="宋体" w:cs="宋体"/>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spacing w:line="240" w:lineRule="auto"/>
              <w:jc w:val="center"/>
              <w:textAlignment w:val="center"/>
              <w:rPr>
                <w:rFonts w:hint="eastAsia" w:ascii="宋体" w:hAnsi="宋体" w:eastAsia="宋体" w:cs="宋体"/>
                <w:sz w:val="18"/>
                <w:szCs w:val="18"/>
              </w:rPr>
            </w:pPr>
            <w:r>
              <w:rPr>
                <w:rFonts w:hint="eastAsia" w:ascii="宋体" w:hAnsi="宋体" w:eastAsia="宋体" w:cs="宋体"/>
                <w:sz w:val="18"/>
                <w:szCs w:val="18"/>
              </w:rPr>
              <w:t>名称</w:t>
            </w:r>
          </w:p>
        </w:tc>
        <w:tc>
          <w:tcPr>
            <w:tcW w:w="5024"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spacing w:line="240" w:lineRule="auto"/>
              <w:jc w:val="center"/>
              <w:textAlignment w:val="center"/>
              <w:rPr>
                <w:rFonts w:hint="eastAsia" w:ascii="宋体" w:hAnsi="宋体" w:eastAsia="宋体" w:cs="宋体"/>
                <w:sz w:val="18"/>
                <w:szCs w:val="18"/>
              </w:rPr>
            </w:pPr>
            <w:r>
              <w:rPr>
                <w:rFonts w:hint="eastAsia" w:ascii="宋体" w:hAnsi="宋体" w:eastAsia="宋体" w:cs="宋体"/>
                <w:sz w:val="18"/>
                <w:szCs w:val="18"/>
              </w:rPr>
              <w:t>参数</w:t>
            </w:r>
          </w:p>
        </w:tc>
        <w:tc>
          <w:tcPr>
            <w:tcW w:w="709"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单位</w:t>
            </w:r>
          </w:p>
        </w:tc>
        <w:tc>
          <w:tcPr>
            <w:tcW w:w="68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spacing w:line="240" w:lineRule="auto"/>
              <w:jc w:val="left"/>
              <w:textAlignment w:val="center"/>
              <w:rPr>
                <w:rFonts w:hint="eastAsia" w:ascii="宋体" w:hAnsi="宋体" w:eastAsia="宋体" w:cs="宋体"/>
                <w:sz w:val="18"/>
                <w:szCs w:val="18"/>
              </w:rPr>
            </w:pPr>
            <w:r>
              <w:rPr>
                <w:rFonts w:hint="eastAsia" w:ascii="宋体" w:hAnsi="宋体" w:eastAsia="宋体" w:cs="宋体"/>
                <w:sz w:val="18"/>
                <w:szCs w:val="18"/>
              </w:rPr>
              <w:t>数量</w:t>
            </w:r>
          </w:p>
        </w:tc>
        <w:tc>
          <w:tcPr>
            <w:tcW w:w="61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spacing w:line="240" w:lineRule="auto"/>
              <w:jc w:val="left"/>
              <w:textAlignment w:val="center"/>
              <w:rPr>
                <w:rFonts w:hint="eastAsia" w:ascii="宋体" w:hAnsi="宋体" w:eastAsia="宋体" w:cs="宋体"/>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spacing w:line="240" w:lineRule="auto"/>
              <w:jc w:val="left"/>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运动地板</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6"/>
              </w:numPr>
              <w:spacing w:line="240" w:lineRule="auto"/>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拉伸强度≥1.5MPa  </w:t>
            </w:r>
          </w:p>
          <w:p>
            <w:pPr>
              <w:widowControl/>
              <w:numPr>
                <w:ilvl w:val="0"/>
                <w:numId w:val="6"/>
              </w:numPr>
              <w:spacing w:line="240" w:lineRule="auto"/>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加热尺寸变化率（纵向，横向）≤0.4% </w:t>
            </w:r>
          </w:p>
          <w:p>
            <w:pPr>
              <w:widowControl/>
              <w:numPr>
                <w:ilvl w:val="0"/>
                <w:numId w:val="6"/>
              </w:numPr>
              <w:spacing w:line="240" w:lineRule="auto"/>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耐磨性T级，体积损失≤2.0mm³</w:t>
            </w:r>
          </w:p>
          <w:p>
            <w:pPr>
              <w:widowControl/>
              <w:numPr>
                <w:ilvl w:val="0"/>
                <w:numId w:val="6"/>
              </w:numPr>
              <w:spacing w:line="240" w:lineRule="auto"/>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焊接强度，平均值≥500N/50mm；最小值≥400N/50mm </w:t>
            </w:r>
          </w:p>
          <w:p>
            <w:pPr>
              <w:widowControl/>
              <w:numPr>
                <w:ilvl w:val="0"/>
                <w:numId w:val="6"/>
              </w:numPr>
              <w:spacing w:line="240" w:lineRule="auto"/>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防滑性(湿法)≥0.6  </w:t>
            </w:r>
          </w:p>
          <w:p>
            <w:pPr>
              <w:widowControl/>
              <w:numPr>
                <w:ilvl w:val="0"/>
                <w:numId w:val="6"/>
              </w:numPr>
              <w:spacing w:line="240" w:lineRule="auto"/>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阻燃性：Ⅰ级 </w:t>
            </w:r>
          </w:p>
          <w:p>
            <w:pPr>
              <w:widowControl/>
              <w:numPr>
                <w:ilvl w:val="0"/>
                <w:numId w:val="6"/>
              </w:numPr>
              <w:spacing w:line="240" w:lineRule="auto"/>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可溶性重金属铅含量≤20mg/㎡ </w:t>
            </w:r>
          </w:p>
          <w:p>
            <w:pPr>
              <w:widowControl/>
              <w:numPr>
                <w:ilvl w:val="0"/>
                <w:numId w:val="6"/>
              </w:numPr>
              <w:spacing w:line="240" w:lineRule="auto"/>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可溶性重金属镉含量≤20mg/㎡</w:t>
            </w:r>
          </w:p>
          <w:p>
            <w:pPr>
              <w:widowControl/>
              <w:numPr>
                <w:ilvl w:val="0"/>
                <w:numId w:val="6"/>
              </w:numPr>
              <w:spacing w:line="240" w:lineRule="auto"/>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灰分含量≤0.2% </w:t>
            </w:r>
          </w:p>
          <w:p>
            <w:pPr>
              <w:widowControl/>
              <w:numPr>
                <w:ilvl w:val="0"/>
                <w:numId w:val="6"/>
              </w:numPr>
              <w:spacing w:line="240" w:lineRule="auto"/>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为防止产品在潮湿环境滋生细菌，提供依据GB/T31402-2015标准抗菌性能检测（大肠杆菌、金黄色葡萄球菌等5种及以上细菌），抗菌率≥99.5%。</w:t>
            </w:r>
          </w:p>
          <w:p>
            <w:pPr>
              <w:widowControl/>
              <w:numPr>
                <w:ilvl w:val="0"/>
                <w:numId w:val="6"/>
              </w:numPr>
              <w:spacing w:line="240" w:lineRule="auto"/>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为保证产品环保性，提供ISO16000标准28天后甲苯、乙苯释放量未检出的检测报告。</w:t>
            </w:r>
          </w:p>
          <w:p>
            <w:pPr>
              <w:widowControl/>
              <w:numPr>
                <w:ilvl w:val="0"/>
                <w:numId w:val="6"/>
              </w:numPr>
              <w:spacing w:line="240" w:lineRule="auto"/>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为保证产品防滑稳定、安全环保需提供不少于4000h的耐酸耐碱老化后</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依据GB36246-2018标准检测：抗滑值平均值≥98，可溶性铅、可溶性汞未检出。</w:t>
            </w:r>
          </w:p>
          <w:p>
            <w:pPr>
              <w:widowControl/>
              <w:numPr>
                <w:ilvl w:val="0"/>
                <w:numId w:val="6"/>
              </w:numPr>
              <w:spacing w:line="240" w:lineRule="auto"/>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为保证产品质量稳定性提供依据GB/T1842-2008标准≥4000h的耐环境应力开裂破裂率0%的检测报告。</w:t>
            </w:r>
          </w:p>
          <w:p>
            <w:pPr>
              <w:widowControl/>
              <w:numPr>
                <w:ilvl w:val="0"/>
                <w:numId w:val="6"/>
              </w:numPr>
              <w:spacing w:line="240" w:lineRule="auto"/>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为保证产品面层质量和耐污性，提供模拟地胶产品日常使用环境下的老化测试：不少于3000h耐人工气候（透过玻璃）老化，外观不准许有裂纹，依据GB/T 11982.1-2015标准耐污染性0级的检测报告。</w:t>
            </w:r>
          </w:p>
          <w:p>
            <w:pPr>
              <w:widowControl/>
              <w:numPr>
                <w:ilvl w:val="0"/>
                <w:numId w:val="6"/>
              </w:numPr>
              <w:spacing w:line="240" w:lineRule="auto"/>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为保证使用寿命，需分别提供耐酸耐碱老化≥4000h、耐环境应力开裂检测≥4000h、耐人工气候（透过玻璃）老化≥3000h符合老化要求的检测报告。</w:t>
            </w:r>
          </w:p>
          <w:p>
            <w:pPr>
              <w:widowControl/>
              <w:numPr>
                <w:ilvl w:val="0"/>
                <w:numId w:val="6"/>
              </w:numPr>
              <w:spacing w:line="240" w:lineRule="auto"/>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需提供带“CMA”标志的检测报告</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并附带国家认证认可监督管理委员会官网（www.cnca.gov.cn）查询截图，加盖制造商鲜章进行佐证。</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平方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9142"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动感单车</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5"/>
              <w:numPr>
                <w:ilvl w:val="0"/>
                <w:numId w:val="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最大人体承重质量≥130KG；</w:t>
            </w:r>
          </w:p>
          <w:p>
            <w:pPr>
              <w:pStyle w:val="5"/>
              <w:numPr>
                <w:ilvl w:val="0"/>
                <w:numId w:val="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飞轮：采用CNC全钢飞轮，质量≥20KG，尺寸≥φ460mm*14mm，皮带双向传动；</w:t>
            </w:r>
          </w:p>
          <w:p>
            <w:pPr>
              <w:pStyle w:val="5"/>
              <w:numPr>
                <w:ilvl w:val="0"/>
                <w:numId w:val="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刹车系统需采用牛皮刹车，快速按压式制动系统；</w:t>
            </w:r>
          </w:p>
          <w:p>
            <w:pPr>
              <w:pStyle w:val="5"/>
              <w:numPr>
                <w:ilvl w:val="0"/>
                <w:numId w:val="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调节系统需采用无极阻力调节系统；</w:t>
            </w:r>
          </w:p>
          <w:p>
            <w:pPr>
              <w:pStyle w:val="5"/>
              <w:numPr>
                <w:ilvl w:val="0"/>
                <w:numId w:val="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曲柄采用3PCS电镀组合式曲柄，轴芯规格≥φ20*φ110*156mm；</w:t>
            </w:r>
          </w:p>
          <w:p>
            <w:pPr>
              <w:pStyle w:val="5"/>
              <w:numPr>
                <w:ilvl w:val="0"/>
                <w:numId w:val="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扶手需采用多把位设计，扶手调节采用镀铬八面调节管，全浸塑手把管φ≥40，可上下前后调节；</w:t>
            </w:r>
          </w:p>
          <w:p>
            <w:pPr>
              <w:pStyle w:val="5"/>
              <w:numPr>
                <w:ilvl w:val="0"/>
                <w:numId w:val="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把手可调节，上下≥6</w:t>
            </w:r>
            <w:r>
              <w:rPr>
                <w:rFonts w:hint="eastAsia" w:ascii="宋体" w:hAnsi="宋体" w:eastAsia="宋体" w:cs="宋体"/>
                <w:b w:val="0"/>
                <w:bCs w:val="0"/>
                <w:sz w:val="18"/>
                <w:szCs w:val="18"/>
                <w:lang w:eastAsia="zh-CN"/>
              </w:rPr>
              <w:t>挡位</w:t>
            </w:r>
            <w:r>
              <w:rPr>
                <w:rFonts w:hint="eastAsia" w:ascii="宋体" w:hAnsi="宋体" w:eastAsia="宋体" w:cs="宋体"/>
                <w:b w:val="0"/>
                <w:bCs w:val="0"/>
                <w:sz w:val="18"/>
                <w:szCs w:val="18"/>
              </w:rPr>
              <w:t>可调，可调范围≥125mm，前后可调范围≥80mm；</w:t>
            </w:r>
          </w:p>
          <w:p>
            <w:pPr>
              <w:pStyle w:val="5"/>
              <w:numPr>
                <w:ilvl w:val="0"/>
                <w:numId w:val="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坐垫厚度≥60mm，可上下前后调整，上下可调节档位≥9档，可调范围≥200mm，前后可调范围≥85mm；</w:t>
            </w:r>
          </w:p>
          <w:p>
            <w:pPr>
              <w:pStyle w:val="5"/>
              <w:numPr>
                <w:ilvl w:val="0"/>
                <w:numId w:val="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座位立杆插入管身有效深度≥100mm，把手立杆处在最高位置时的插入深度≥95mm；</w:t>
            </w:r>
          </w:p>
          <w:p>
            <w:pPr>
              <w:pStyle w:val="5"/>
              <w:numPr>
                <w:ilvl w:val="0"/>
                <w:numId w:val="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踏板需采用铝合金材质，且内置轴承，表面需带固定脚部装置；</w:t>
            </w:r>
          </w:p>
          <w:p>
            <w:pPr>
              <w:pStyle w:val="5"/>
              <w:numPr>
                <w:ilvl w:val="0"/>
                <w:numId w:val="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踏板任何钢性部件垂直距离地面或地面上的框架≥160mm；</w:t>
            </w:r>
          </w:p>
          <w:p>
            <w:pPr>
              <w:pStyle w:val="5"/>
              <w:numPr>
                <w:ilvl w:val="0"/>
                <w:numId w:val="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调整脚垫≥4个水平调节装置，带可移动脚轮；</w:t>
            </w:r>
          </w:p>
          <w:p>
            <w:pPr>
              <w:pStyle w:val="5"/>
              <w:numPr>
                <w:ilvl w:val="0"/>
                <w:numId w:val="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配备多功能水壶架可放置水壶；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水阻划船器</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5"/>
              <w:numPr>
                <w:ilvl w:val="0"/>
                <w:numId w:val="8"/>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阻力系统需采用多浆水阻调节系统，水箱Φ≥460；</w:t>
            </w:r>
          </w:p>
          <w:p>
            <w:pPr>
              <w:pStyle w:val="5"/>
              <w:numPr>
                <w:ilvl w:val="0"/>
                <w:numId w:val="8"/>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滑轨需采用不锈钢材质，滑轨长≥1050mm；</w:t>
            </w:r>
          </w:p>
          <w:p>
            <w:pPr>
              <w:pStyle w:val="5"/>
              <w:numPr>
                <w:ilvl w:val="0"/>
                <w:numId w:val="8"/>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坐垫距地高度≥460mm，滑行距离≥830mm；</w:t>
            </w:r>
          </w:p>
          <w:p>
            <w:pPr>
              <w:pStyle w:val="5"/>
              <w:numPr>
                <w:ilvl w:val="0"/>
                <w:numId w:val="8"/>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需带电子表，尺寸≥5寸，可多功能数显，可进行参数设置；</w:t>
            </w:r>
          </w:p>
          <w:p>
            <w:pPr>
              <w:pStyle w:val="5"/>
              <w:numPr>
                <w:ilvl w:val="0"/>
                <w:numId w:val="8"/>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踏板长度可调节，机身可折叠，带移动滚轮；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自发电椭圆机</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5"/>
              <w:numPr>
                <w:ilvl w:val="0"/>
                <w:numId w:val="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最大承受人体质量≥150kg；</w:t>
            </w:r>
          </w:p>
          <w:p>
            <w:pPr>
              <w:pStyle w:val="5"/>
              <w:numPr>
                <w:ilvl w:val="0"/>
                <w:numId w:val="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把立管规格≥55mm*100mm*2mm；</w:t>
            </w:r>
          </w:p>
          <w:p>
            <w:pPr>
              <w:pStyle w:val="5"/>
              <w:numPr>
                <w:ilvl w:val="0"/>
                <w:numId w:val="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内磁控飞轮≥10kg；静音皮带双向传动；</w:t>
            </w:r>
          </w:p>
          <w:p>
            <w:pPr>
              <w:pStyle w:val="5"/>
              <w:numPr>
                <w:ilvl w:val="0"/>
                <w:numId w:val="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电动阻力调节≥32档，固定扶手带阻力调节快捷键；</w:t>
            </w:r>
          </w:p>
          <w:p>
            <w:pPr>
              <w:pStyle w:val="5"/>
              <w:numPr>
                <w:ilvl w:val="0"/>
                <w:numId w:val="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把手顶部φ≥50mm，固定、活动把手永久变形率≤0.4%；</w:t>
            </w:r>
          </w:p>
          <w:p>
            <w:pPr>
              <w:pStyle w:val="5"/>
              <w:numPr>
                <w:ilvl w:val="0"/>
                <w:numId w:val="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脚踏板防滑表面≥300mm*100mm，摩擦系数最低≥0.6；</w:t>
            </w:r>
          </w:p>
          <w:p>
            <w:pPr>
              <w:pStyle w:val="5"/>
              <w:numPr>
                <w:ilvl w:val="0"/>
                <w:numId w:val="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脚踏板前沿防护栏高度最低≥40mm，内防护栏高度最低≥45mm；</w:t>
            </w:r>
          </w:p>
          <w:p>
            <w:pPr>
              <w:pStyle w:val="5"/>
              <w:numPr>
                <w:ilvl w:val="0"/>
                <w:numId w:val="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铝合金四轨道一体式滑轨宽≥110mm，坡度调节≥5档，带双气压棒助力；</w:t>
            </w:r>
          </w:p>
          <w:p>
            <w:pPr>
              <w:pStyle w:val="5"/>
              <w:numPr>
                <w:ilvl w:val="0"/>
                <w:numId w:val="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移动手把、扶手间距内≥630mm、外≥860mm，离地最高不超过1720mm</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sz w:val="18"/>
                <w:szCs w:val="18"/>
              </w:rPr>
              <w:t>最低不低于1500mm；</w:t>
            </w:r>
          </w:p>
          <w:p>
            <w:pPr>
              <w:pStyle w:val="5"/>
              <w:numPr>
                <w:ilvl w:val="0"/>
                <w:numId w:val="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橡胶软扶手间距≥750mm，离地高度最低≥1070mm；</w:t>
            </w:r>
          </w:p>
          <w:p>
            <w:pPr>
              <w:pStyle w:val="5"/>
              <w:numPr>
                <w:ilvl w:val="0"/>
                <w:numId w:val="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固定扶手间距≥230mm，离地高度≥1540mm；</w:t>
            </w:r>
          </w:p>
          <w:p>
            <w:pPr>
              <w:pStyle w:val="5"/>
              <w:numPr>
                <w:ilvl w:val="0"/>
                <w:numId w:val="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双蓝牙系统，支持蓝牙音响和蓝牙连接智能运动APP；</w:t>
            </w:r>
          </w:p>
          <w:p>
            <w:pPr>
              <w:pStyle w:val="5"/>
              <w:numPr>
                <w:ilvl w:val="0"/>
                <w:numId w:val="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带电子表显示功能，LED彩色显示≥7个视窗分区功能，显运动时间、距离、速度、消耗热量等；</w:t>
            </w:r>
          </w:p>
          <w:p>
            <w:pPr>
              <w:pStyle w:val="5"/>
              <w:numPr>
                <w:ilvl w:val="0"/>
                <w:numId w:val="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带USB充电，带音频播放插孔；</w:t>
            </w:r>
          </w:p>
          <w:p>
            <w:pPr>
              <w:pStyle w:val="5"/>
              <w:numPr>
                <w:ilvl w:val="0"/>
                <w:numId w:val="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带手握心率测试，带用户设置接口≥5个，内置运动程序≥12个；</w:t>
            </w:r>
          </w:p>
          <w:p>
            <w:pPr>
              <w:pStyle w:val="5"/>
              <w:numPr>
                <w:ilvl w:val="0"/>
                <w:numId w:val="9"/>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color w:val="000000"/>
                <w:sz w:val="18"/>
                <w:szCs w:val="18"/>
              </w:rPr>
              <w:t>可放置平板电脑和手机等；配置水壶架；调整脚垫≥6个，带移动脚轮方便收纳；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6566"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自发电卧</w:t>
            </w:r>
          </w:p>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式车</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5"/>
              <w:numPr>
                <w:ilvl w:val="0"/>
                <w:numId w:val="1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最大承受人体质量≥130kg；</w:t>
            </w:r>
          </w:p>
          <w:p>
            <w:pPr>
              <w:pStyle w:val="5"/>
              <w:numPr>
                <w:ilvl w:val="0"/>
                <w:numId w:val="1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把立管≥50*100*2mm，座垫管≥40*80*2mm；</w:t>
            </w:r>
          </w:p>
          <w:p>
            <w:pPr>
              <w:pStyle w:val="5"/>
              <w:numPr>
                <w:ilvl w:val="0"/>
                <w:numId w:val="1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双向内磁控飞轮≥8kg，皮带静音双向传动；</w:t>
            </w:r>
          </w:p>
          <w:p>
            <w:pPr>
              <w:pStyle w:val="5"/>
              <w:numPr>
                <w:ilvl w:val="0"/>
                <w:numId w:val="1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固定式手把管，双把位设计，带手握脉搏，带重心绑带踏板；</w:t>
            </w:r>
          </w:p>
          <w:p>
            <w:pPr>
              <w:pStyle w:val="5"/>
              <w:numPr>
                <w:ilvl w:val="0"/>
                <w:numId w:val="1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座垫管镀铬滑轨，便携按压前后调节；</w:t>
            </w:r>
          </w:p>
          <w:p>
            <w:pPr>
              <w:pStyle w:val="5"/>
              <w:numPr>
                <w:ilvl w:val="0"/>
                <w:numId w:val="1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电控调节≥16档，内置自动程序≥10个；</w:t>
            </w:r>
          </w:p>
          <w:p>
            <w:pPr>
              <w:pStyle w:val="5"/>
              <w:numPr>
                <w:ilvl w:val="0"/>
                <w:numId w:val="1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背光蓝屏宽屏电子表≥5寸，可显示运动 时间、距离、速度、消耗热量；</w:t>
            </w:r>
          </w:p>
          <w:p>
            <w:pPr>
              <w:pStyle w:val="5"/>
              <w:numPr>
                <w:ilvl w:val="0"/>
                <w:numId w:val="1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3PCS曲柄，和固定部件之间的距离≥36mm；</w:t>
            </w:r>
          </w:p>
          <w:p>
            <w:pPr>
              <w:pStyle w:val="5"/>
              <w:numPr>
                <w:ilvl w:val="0"/>
                <w:numId w:val="1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承受固有载荷（S类，300kg）时座位立杆在座位套管中的滑动距离应为0mm；</w:t>
            </w:r>
          </w:p>
          <w:p>
            <w:pPr>
              <w:pStyle w:val="5"/>
              <w:numPr>
                <w:ilvl w:val="0"/>
                <w:numId w:val="1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Φ25固定式手把管，双把位设计，撕不破握套</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sz w:val="18"/>
                <w:szCs w:val="18"/>
              </w:rPr>
              <w:t>扶手间距≥580mm；</w:t>
            </w:r>
          </w:p>
          <w:p>
            <w:pPr>
              <w:pStyle w:val="5"/>
              <w:numPr>
                <w:ilvl w:val="0"/>
                <w:numId w:val="1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坐垫与把手距离最宽≥380mm，最窄≥180mm，靠背与把手距离最宽≥740mm</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sz w:val="18"/>
                <w:szCs w:val="18"/>
              </w:rPr>
              <w:t>最窄≥560mm；</w:t>
            </w:r>
          </w:p>
          <w:p>
            <w:pPr>
              <w:pStyle w:val="5"/>
              <w:numPr>
                <w:ilvl w:val="0"/>
                <w:numId w:val="1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带重心绑带踏板离地最高≥510mm，最低≥170mm；</w:t>
            </w:r>
          </w:p>
          <w:p>
            <w:pPr>
              <w:pStyle w:val="5"/>
              <w:numPr>
                <w:ilvl w:val="0"/>
                <w:numId w:val="1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可放置平板电脑和手机等；带可移动脚轮，可调脚垫≥4个；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4366"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自发电健身车</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49"/>
              <w:widowControl/>
              <w:numPr>
                <w:ilvl w:val="0"/>
                <w:numId w:val="11"/>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双向内磁控飞轮≥8kg，皮带静音双向传动；</w:t>
            </w:r>
          </w:p>
          <w:p>
            <w:pPr>
              <w:pStyle w:val="49"/>
              <w:widowControl/>
              <w:numPr>
                <w:ilvl w:val="0"/>
                <w:numId w:val="11"/>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主立管规格≥40*80mm椭圆管；</w:t>
            </w:r>
          </w:p>
          <w:p>
            <w:pPr>
              <w:pStyle w:val="49"/>
              <w:widowControl/>
              <w:numPr>
                <w:ilvl w:val="0"/>
                <w:numId w:val="11"/>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双把位设计，带手握脉搏记录，带重心绑带踏板；</w:t>
            </w:r>
          </w:p>
          <w:p>
            <w:pPr>
              <w:pStyle w:val="49"/>
              <w:widowControl/>
              <w:numPr>
                <w:ilvl w:val="0"/>
                <w:numId w:val="11"/>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踏板离地最高≥460mm，最低≥100mm；</w:t>
            </w:r>
          </w:p>
          <w:p>
            <w:pPr>
              <w:pStyle w:val="49"/>
              <w:widowControl/>
              <w:numPr>
                <w:ilvl w:val="0"/>
                <w:numId w:val="11"/>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座位立杆处最高位置时插入深度≥125mm；</w:t>
            </w:r>
          </w:p>
          <w:p>
            <w:pPr>
              <w:pStyle w:val="49"/>
              <w:widowControl/>
              <w:numPr>
                <w:ilvl w:val="0"/>
                <w:numId w:val="11"/>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承受固有载荷（S类，300kg）时座位立杆在座位套管中的滑动距离应为0mm；</w:t>
            </w:r>
          </w:p>
          <w:p>
            <w:pPr>
              <w:pStyle w:val="49"/>
              <w:widowControl/>
              <w:numPr>
                <w:ilvl w:val="0"/>
                <w:numId w:val="11"/>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采用3PCS曲柄，曲柄与固定部件间距≥42mm；</w:t>
            </w:r>
          </w:p>
          <w:p>
            <w:pPr>
              <w:pStyle w:val="49"/>
              <w:widowControl/>
              <w:numPr>
                <w:ilvl w:val="0"/>
                <w:numId w:val="11"/>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阻力调节档位≥8档；带电子表，可显示速度、距离、卡路里、时间、心率；</w:t>
            </w:r>
          </w:p>
          <w:p>
            <w:pPr>
              <w:pStyle w:val="49"/>
              <w:widowControl/>
              <w:numPr>
                <w:ilvl w:val="0"/>
                <w:numId w:val="11"/>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座垫采用Φ50圆管可上下前后调节，离地h⊆[820，1030]mm，上下≥8档可调，范围⊆[0，210]mm，前后可调⊆[0，90]mm，坐垫与把手距离⊆[420，550]mm；</w:t>
            </w:r>
          </w:p>
          <w:p>
            <w:pPr>
              <w:pStyle w:val="49"/>
              <w:widowControl/>
              <w:numPr>
                <w:ilvl w:val="0"/>
                <w:numId w:val="11"/>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带调整脚垫，带可移动脚轮，自带置物架。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磁控登山机</w:t>
            </w:r>
          </w:p>
        </w:tc>
        <w:tc>
          <w:tcPr>
            <w:tcW w:w="5024" w:type="dxa"/>
            <w:tcBorders>
              <w:top w:val="single" w:color="000000" w:sz="4" w:space="0"/>
              <w:left w:val="single" w:color="000000" w:sz="4" w:space="0"/>
              <w:bottom w:val="single" w:color="000000" w:sz="4" w:space="0"/>
              <w:right w:val="single" w:color="000000" w:sz="4" w:space="0"/>
            </w:tcBorders>
            <w:shd w:val="clear" w:color="auto" w:fill="FFFFFF"/>
          </w:tcPr>
          <w:p>
            <w:pPr>
              <w:pStyle w:val="5"/>
              <w:keepNext/>
              <w:keepLines/>
              <w:pageBreakBefore w:val="0"/>
              <w:widowControl w:val="0"/>
              <w:numPr>
                <w:ilvl w:val="0"/>
                <w:numId w:val="12"/>
              </w:numPr>
              <w:kinsoku/>
              <w:wordWrap/>
              <w:overflowPunct/>
              <w:topLinePunct w:val="0"/>
              <w:autoSpaceDE/>
              <w:autoSpaceDN/>
              <w:bidi w:val="0"/>
              <w:adjustRightInd w:val="0"/>
              <w:snapToGrid/>
              <w:spacing w:line="20" w:lineRule="atLeast"/>
              <w:ind w:left="442" w:hanging="442"/>
              <w:jc w:val="left"/>
              <w:textAlignment w:val="auto"/>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铝圈飞轮≥10KG，皮带双向传动，精准磁控阻力调节≥8段可调；</w:t>
            </w:r>
          </w:p>
          <w:p>
            <w:pPr>
              <w:pStyle w:val="5"/>
              <w:keepNext/>
              <w:keepLines/>
              <w:pageBreakBefore w:val="0"/>
              <w:widowControl w:val="0"/>
              <w:numPr>
                <w:ilvl w:val="0"/>
                <w:numId w:val="12"/>
              </w:numPr>
              <w:kinsoku/>
              <w:wordWrap/>
              <w:overflowPunct/>
              <w:topLinePunct w:val="0"/>
              <w:autoSpaceDE/>
              <w:autoSpaceDN/>
              <w:bidi w:val="0"/>
              <w:adjustRightInd w:val="0"/>
              <w:snapToGrid/>
              <w:spacing w:line="20" w:lineRule="atLeast"/>
              <w:ind w:left="442" w:hanging="442"/>
              <w:jc w:val="left"/>
              <w:textAlignment w:val="auto"/>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导轨采用不锈钢材质，运动更顺畅，主架采用壁厚≥2.0高强度管，尺寸≥700*300mm；</w:t>
            </w:r>
          </w:p>
          <w:p>
            <w:pPr>
              <w:pStyle w:val="5"/>
              <w:keepNext/>
              <w:keepLines/>
              <w:pageBreakBefore w:val="0"/>
              <w:widowControl w:val="0"/>
              <w:numPr>
                <w:ilvl w:val="0"/>
                <w:numId w:val="12"/>
              </w:numPr>
              <w:kinsoku/>
              <w:wordWrap/>
              <w:overflowPunct/>
              <w:topLinePunct w:val="0"/>
              <w:autoSpaceDE/>
              <w:autoSpaceDN/>
              <w:bidi w:val="0"/>
              <w:adjustRightInd w:val="0"/>
              <w:snapToGrid/>
              <w:spacing w:line="20" w:lineRule="atLeast"/>
              <w:ind w:left="442" w:hanging="442"/>
              <w:jc w:val="left"/>
              <w:textAlignment w:val="auto"/>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高密度把手握套，四段位把手设计，带手握心率测试；</w:t>
            </w:r>
          </w:p>
          <w:p>
            <w:pPr>
              <w:pStyle w:val="5"/>
              <w:keepNext/>
              <w:keepLines/>
              <w:pageBreakBefore w:val="0"/>
              <w:widowControl w:val="0"/>
              <w:numPr>
                <w:ilvl w:val="0"/>
                <w:numId w:val="12"/>
              </w:numPr>
              <w:kinsoku/>
              <w:wordWrap/>
              <w:overflowPunct/>
              <w:topLinePunct w:val="0"/>
              <w:autoSpaceDE/>
              <w:autoSpaceDN/>
              <w:bidi w:val="0"/>
              <w:adjustRightInd w:val="0"/>
              <w:snapToGrid/>
              <w:spacing w:line="20" w:lineRule="atLeast"/>
              <w:ind w:left="442" w:hanging="442"/>
              <w:jc w:val="left"/>
              <w:textAlignment w:val="auto"/>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带电子表显示功能，可以显示时间、速度、距离、卡路里，电子表带手机支撑座；</w:t>
            </w:r>
          </w:p>
          <w:p>
            <w:pPr>
              <w:pStyle w:val="5"/>
              <w:keepNext/>
              <w:keepLines/>
              <w:pageBreakBefore w:val="0"/>
              <w:widowControl w:val="0"/>
              <w:numPr>
                <w:ilvl w:val="0"/>
                <w:numId w:val="12"/>
              </w:numPr>
              <w:kinsoku/>
              <w:wordWrap/>
              <w:overflowPunct/>
              <w:topLinePunct w:val="0"/>
              <w:autoSpaceDE/>
              <w:autoSpaceDN/>
              <w:bidi w:val="0"/>
              <w:adjustRightInd w:val="0"/>
              <w:snapToGrid/>
              <w:spacing w:line="20" w:lineRule="atLeast"/>
              <w:ind w:left="442" w:hanging="442"/>
              <w:jc w:val="left"/>
              <w:textAlignment w:val="auto"/>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带移动滚轮方便搬移；</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按摩椅</w:t>
            </w:r>
          </w:p>
        </w:tc>
        <w:tc>
          <w:tcPr>
            <w:tcW w:w="5024" w:type="dxa"/>
            <w:tcBorders>
              <w:top w:val="single" w:color="000000" w:sz="4" w:space="0"/>
              <w:left w:val="single" w:color="000000" w:sz="4" w:space="0"/>
              <w:bottom w:val="single" w:color="000000" w:sz="4" w:space="0"/>
              <w:right w:val="single" w:color="000000" w:sz="4" w:space="0"/>
            </w:tcBorders>
            <w:shd w:val="clear" w:color="auto" w:fill="FFFFFF"/>
          </w:tcPr>
          <w:p>
            <w:pPr>
              <w:pStyle w:val="5"/>
              <w:numPr>
                <w:ilvl w:val="0"/>
                <w:numId w:val="13"/>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需具备气囊≥38个，带蓝牙音响≥2个，需采用直导轨行走3D机械手按摩，3D按摩手法，针对不同人群≥3套自动按摩模式；</w:t>
            </w:r>
          </w:p>
          <w:p>
            <w:pPr>
              <w:pStyle w:val="5"/>
              <w:numPr>
                <w:ilvl w:val="0"/>
                <w:numId w:val="13"/>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显示屏需采用触摸屏，尺寸≥7寸，带智能语音播报功能，可支持无线快充，需带童锁技术以减少安全隐患；</w:t>
            </w:r>
          </w:p>
          <w:p>
            <w:pPr>
              <w:pStyle w:val="5"/>
              <w:numPr>
                <w:ilvl w:val="0"/>
                <w:numId w:val="13"/>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带3D光感扫描</w:t>
            </w:r>
            <w:r>
              <w:rPr>
                <w:rFonts w:hint="eastAsia" w:ascii="宋体" w:hAnsi="宋体" w:eastAsia="宋体" w:cs="宋体"/>
                <w:b w:val="0"/>
                <w:bCs w:val="0"/>
                <w:sz w:val="18"/>
                <w:szCs w:val="18"/>
                <w:lang w:eastAsia="zh-CN"/>
              </w:rPr>
              <w:t>体形</w:t>
            </w:r>
            <w:r>
              <w:rPr>
                <w:rFonts w:hint="eastAsia" w:ascii="宋体" w:hAnsi="宋体" w:eastAsia="宋体" w:cs="宋体"/>
                <w:b w:val="0"/>
                <w:bCs w:val="0"/>
                <w:sz w:val="18"/>
                <w:szCs w:val="18"/>
              </w:rPr>
              <w:t>检测，小腿按摩可开放式3D组合按摩；</w:t>
            </w:r>
          </w:p>
          <w:p>
            <w:pPr>
              <w:pStyle w:val="5"/>
              <w:numPr>
                <w:ilvl w:val="0"/>
                <w:numId w:val="13"/>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需带局部加热功能≥2组，至少实现45-50°小腿恒温；</w:t>
            </w:r>
          </w:p>
          <w:p>
            <w:pPr>
              <w:pStyle w:val="5"/>
              <w:numPr>
                <w:ilvl w:val="0"/>
                <w:numId w:val="13"/>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按摩装置采用智能化四轮机械按摩</w:t>
            </w:r>
            <w:r>
              <w:rPr>
                <w:rFonts w:hint="eastAsia" w:ascii="宋体" w:hAnsi="宋体" w:eastAsia="宋体" w:cs="宋体"/>
                <w:b w:val="0"/>
                <w:bCs w:val="0"/>
                <w:sz w:val="18"/>
                <w:szCs w:val="18"/>
                <w:lang w:eastAsia="zh-CN"/>
              </w:rPr>
              <w:t>手法</w:t>
            </w:r>
            <w:r>
              <w:rPr>
                <w:rFonts w:hint="eastAsia" w:ascii="宋体" w:hAnsi="宋体" w:eastAsia="宋体" w:cs="宋体"/>
                <w:b w:val="0"/>
                <w:bCs w:val="0"/>
                <w:sz w:val="18"/>
                <w:szCs w:val="18"/>
              </w:rPr>
              <w:t>，不少于6种仿真按摩手法；</w:t>
            </w:r>
          </w:p>
          <w:p>
            <w:pPr>
              <w:pStyle w:val="5"/>
              <w:numPr>
                <w:ilvl w:val="0"/>
                <w:numId w:val="13"/>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按摩时间可自由调节，按摩角度可自由调节，调节角度范围⊆[115°，155°]；</w:t>
            </w:r>
          </w:p>
          <w:p>
            <w:pPr>
              <w:pStyle w:val="5"/>
              <w:numPr>
                <w:ilvl w:val="0"/>
                <w:numId w:val="13"/>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可实现零重力姿势按摩。</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坐姿推胸训练器</w:t>
            </w:r>
          </w:p>
        </w:tc>
        <w:tc>
          <w:tcPr>
            <w:tcW w:w="5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5"/>
              <w:numPr>
                <w:ilvl w:val="0"/>
                <w:numId w:val="14"/>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拉索需采用φ≥5高强度柔性不锈钢索，滑动流畅，</w:t>
            </w:r>
            <w:r>
              <w:rPr>
                <w:rFonts w:hint="eastAsia" w:ascii="宋体" w:hAnsi="宋体" w:eastAsia="宋体" w:cs="宋体"/>
                <w:b w:val="0"/>
                <w:bCs w:val="0"/>
                <w:color w:val="000000"/>
                <w:sz w:val="18"/>
                <w:szCs w:val="18"/>
                <w:lang w:eastAsia="zh-CN"/>
              </w:rPr>
              <w:t>无噪声</w:t>
            </w:r>
            <w:r>
              <w:rPr>
                <w:rFonts w:hint="eastAsia" w:ascii="宋体" w:hAnsi="宋体" w:eastAsia="宋体" w:cs="宋体"/>
                <w:b w:val="0"/>
                <w:bCs w:val="0"/>
                <w:color w:val="000000"/>
                <w:sz w:val="18"/>
                <w:szCs w:val="18"/>
              </w:rPr>
              <w:t>，且带全封闭护罩保证运动安全；</w:t>
            </w:r>
          </w:p>
          <w:p>
            <w:pPr>
              <w:pStyle w:val="5"/>
              <w:numPr>
                <w:ilvl w:val="0"/>
                <w:numId w:val="14"/>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配重≥80kg，配置块需采用强磁插销式结构，标示有磅/公斤两种单位；</w:t>
            </w:r>
          </w:p>
          <w:p>
            <w:pPr>
              <w:pStyle w:val="5"/>
              <w:numPr>
                <w:ilvl w:val="0"/>
                <w:numId w:val="14"/>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滑轮槽d/2⊆2.85，2.875）mm；</w:t>
            </w:r>
          </w:p>
          <w:p>
            <w:pPr>
              <w:pStyle w:val="5"/>
              <w:numPr>
                <w:ilvl w:val="0"/>
                <w:numId w:val="14"/>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承受人体质量（150kg）的2倍载荷，试验后应无永久变形；</w:t>
            </w:r>
          </w:p>
          <w:p>
            <w:pPr>
              <w:pStyle w:val="5"/>
              <w:numPr>
                <w:ilvl w:val="0"/>
                <w:numId w:val="14"/>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机架需采用≥130*75mm面包形钢管和≥100*50mm扁圆管；</w:t>
            </w:r>
          </w:p>
          <w:p>
            <w:pPr>
              <w:pStyle w:val="5"/>
              <w:numPr>
                <w:ilvl w:val="0"/>
                <w:numId w:val="14"/>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坐、靠垫需内置T≥12mm高强背板</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sz w:val="18"/>
                <w:szCs w:val="18"/>
              </w:rPr>
              <w:t>外覆皮套需采用双针车缝；座椅上下高度可调节，靠垫可调节倾斜角度；</w:t>
            </w:r>
          </w:p>
          <w:p>
            <w:pPr>
              <w:pStyle w:val="5"/>
              <w:numPr>
                <w:ilvl w:val="0"/>
                <w:numId w:val="14"/>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把手需采用非吸附材料，配重导杆需采用不锈钢材质；</w:t>
            </w:r>
          </w:p>
          <w:p>
            <w:pPr>
              <w:pStyle w:val="5"/>
              <w:numPr>
                <w:ilvl w:val="0"/>
                <w:numId w:val="14"/>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管身表面需采用耐磨工艺，如静电热固化粉末涂层工艺，有除锈除油处理，如不锈钢砂抛丸处理，更耐用；</w:t>
            </w:r>
          </w:p>
          <w:p>
            <w:pPr>
              <w:pStyle w:val="5"/>
              <w:numPr>
                <w:ilvl w:val="0"/>
                <w:numId w:val="14"/>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需带橡胶材质脚垫≥4个，减震防滑，脚垫尺寸≥100*150mm；</w:t>
            </w:r>
          </w:p>
          <w:p>
            <w:pPr>
              <w:pStyle w:val="5"/>
              <w:numPr>
                <w:ilvl w:val="0"/>
                <w:numId w:val="14"/>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产品配备运动示意图以及安全警示标识；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坐姿推肩训练器</w:t>
            </w:r>
          </w:p>
        </w:tc>
        <w:tc>
          <w:tcPr>
            <w:tcW w:w="5024" w:type="dxa"/>
            <w:tcBorders>
              <w:top w:val="single" w:color="000000" w:sz="4" w:space="0"/>
              <w:left w:val="single" w:color="000000" w:sz="4" w:space="0"/>
              <w:bottom w:val="single" w:color="000000" w:sz="4" w:space="0"/>
              <w:right w:val="single" w:color="000000" w:sz="4" w:space="0"/>
            </w:tcBorders>
            <w:shd w:val="clear" w:color="auto" w:fill="FFFFFF"/>
          </w:tcPr>
          <w:p>
            <w:pPr>
              <w:pStyle w:val="49"/>
              <w:numPr>
                <w:ilvl w:val="0"/>
                <w:numId w:val="15"/>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钢管需采用≥75*130mm面包管和≥50*100mm椭圆管；</w:t>
            </w:r>
          </w:p>
          <w:p>
            <w:pPr>
              <w:pStyle w:val="49"/>
              <w:numPr>
                <w:ilvl w:val="0"/>
                <w:numId w:val="15"/>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滑杆需采用φ≥20不锈钢圆管，选择杆需采用φ≥22实心杆；</w:t>
            </w:r>
          </w:p>
          <w:p>
            <w:pPr>
              <w:pStyle w:val="49"/>
              <w:numPr>
                <w:ilvl w:val="0"/>
                <w:numId w:val="15"/>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滑轮φ≥106，滑轮槽d/2⊆3.3，3.45）mm；</w:t>
            </w:r>
          </w:p>
          <w:p>
            <w:pPr>
              <w:pStyle w:val="49"/>
              <w:numPr>
                <w:ilvl w:val="0"/>
                <w:numId w:val="15"/>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座垫背垫需内置T≥12mm高强背板</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外覆需采用双针车缝；</w:t>
            </w:r>
          </w:p>
          <w:p>
            <w:pPr>
              <w:pStyle w:val="49"/>
              <w:numPr>
                <w:ilvl w:val="0"/>
                <w:numId w:val="15"/>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扶手需带铝合金装饰件；</w:t>
            </w:r>
          </w:p>
          <w:p>
            <w:pPr>
              <w:pStyle w:val="49"/>
              <w:numPr>
                <w:ilvl w:val="0"/>
                <w:numId w:val="15"/>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背垫需采用≥30mm*70mm不锈钢矩形管调节管；座垫采用≥30mm*70mm不锈钢矩形管调节管，调节档≥6档，调节距离≥125mm；</w:t>
            </w:r>
          </w:p>
          <w:p>
            <w:pPr>
              <w:pStyle w:val="49"/>
              <w:numPr>
                <w:ilvl w:val="0"/>
                <w:numId w:val="15"/>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承受固有载荷（S类，2*150kg），试验后应无永久变形；</w:t>
            </w:r>
          </w:p>
          <w:p>
            <w:pPr>
              <w:pStyle w:val="49"/>
              <w:numPr>
                <w:ilvl w:val="0"/>
                <w:numId w:val="15"/>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轴套需采用高分子耐磨工艺，配重导杆需采用不锈钢材质；</w:t>
            </w:r>
          </w:p>
          <w:p>
            <w:pPr>
              <w:pStyle w:val="49"/>
              <w:numPr>
                <w:ilvl w:val="0"/>
                <w:numId w:val="15"/>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配重≥60kg，多档位调节，调节位置采用304级或以上级别不锈钢，标示磅/千克两种重量单位；</w:t>
            </w:r>
          </w:p>
          <w:p>
            <w:pPr>
              <w:pStyle w:val="49"/>
              <w:numPr>
                <w:ilvl w:val="0"/>
                <w:numId w:val="15"/>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把手需采用非吸附材料和带铝合金端盖；</w:t>
            </w:r>
          </w:p>
          <w:p>
            <w:pPr>
              <w:pStyle w:val="49"/>
              <w:numPr>
                <w:ilvl w:val="0"/>
                <w:numId w:val="15"/>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拉索需采用φ≥5高强度柔性不锈钢索，运动顺畅，安全</w:t>
            </w:r>
            <w:r>
              <w:rPr>
                <w:rFonts w:hint="eastAsia" w:ascii="宋体" w:hAnsi="宋体" w:eastAsia="宋体" w:cs="宋体"/>
                <w:color w:val="000000"/>
                <w:sz w:val="18"/>
                <w:szCs w:val="18"/>
                <w:lang w:eastAsia="zh-CN"/>
              </w:rPr>
              <w:t>无噪声</w:t>
            </w:r>
            <w:r>
              <w:rPr>
                <w:rFonts w:hint="eastAsia" w:ascii="宋体" w:hAnsi="宋体" w:eastAsia="宋体" w:cs="宋体"/>
                <w:color w:val="000000"/>
                <w:sz w:val="18"/>
                <w:szCs w:val="18"/>
              </w:rPr>
              <w:t>；</w:t>
            </w:r>
          </w:p>
          <w:p>
            <w:pPr>
              <w:pStyle w:val="49"/>
              <w:numPr>
                <w:ilvl w:val="0"/>
                <w:numId w:val="15"/>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橡胶材质脚垫≥4个，脚垫尺寸≥100*150mm；</w:t>
            </w:r>
          </w:p>
          <w:p>
            <w:pPr>
              <w:pStyle w:val="49"/>
              <w:numPr>
                <w:ilvl w:val="0"/>
                <w:numId w:val="15"/>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产品配备运动示意图以及安全警示标识；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坐姿踢腿训练器</w:t>
            </w:r>
          </w:p>
        </w:tc>
        <w:tc>
          <w:tcPr>
            <w:tcW w:w="5024" w:type="dxa"/>
            <w:tcBorders>
              <w:top w:val="single" w:color="000000" w:sz="4" w:space="0"/>
              <w:left w:val="single" w:color="000000" w:sz="4" w:space="0"/>
              <w:bottom w:val="single" w:color="000000" w:sz="4" w:space="0"/>
              <w:right w:val="single" w:color="000000" w:sz="4" w:space="0"/>
            </w:tcBorders>
            <w:shd w:val="clear" w:color="auto" w:fill="FFFFFF"/>
          </w:tcPr>
          <w:p>
            <w:pPr>
              <w:pStyle w:val="5"/>
              <w:numPr>
                <w:ilvl w:val="0"/>
                <w:numId w:val="1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钢管采用≥50*100mm椭圆管；</w:t>
            </w:r>
          </w:p>
          <w:p>
            <w:pPr>
              <w:pStyle w:val="5"/>
              <w:numPr>
                <w:ilvl w:val="0"/>
                <w:numId w:val="1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滑杆采用φ≥20不锈钢圆管，选择杆采用φ≥22实心杆；</w:t>
            </w:r>
          </w:p>
          <w:p>
            <w:pPr>
              <w:pStyle w:val="5"/>
              <w:numPr>
                <w:ilvl w:val="0"/>
                <w:numId w:val="1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采用φ120</w:t>
            </w:r>
            <w:r>
              <w:rPr>
                <w:rFonts w:hint="eastAsia" w:ascii="宋体" w:hAnsi="宋体" w:eastAsia="宋体" w:cs="宋体"/>
                <w:b w:val="0"/>
                <w:bCs w:val="0"/>
                <w:color w:val="000000"/>
                <w:sz w:val="18"/>
                <w:szCs w:val="18"/>
                <w:lang w:eastAsia="zh-CN"/>
              </w:rPr>
              <w:t>聚氨酯</w:t>
            </w:r>
            <w:r>
              <w:rPr>
                <w:rFonts w:hint="eastAsia" w:ascii="宋体" w:hAnsi="宋体" w:eastAsia="宋体" w:cs="宋体"/>
                <w:b w:val="0"/>
                <w:bCs w:val="0"/>
                <w:color w:val="000000"/>
                <w:sz w:val="18"/>
                <w:szCs w:val="18"/>
              </w:rPr>
              <w:t>一体发泡泡棉管，φ90装饰罩；</w:t>
            </w:r>
          </w:p>
          <w:p>
            <w:pPr>
              <w:pStyle w:val="5"/>
              <w:numPr>
                <w:ilvl w:val="0"/>
                <w:numId w:val="1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eastAsia="zh-CN"/>
              </w:rPr>
              <w:t>聚氨酯</w:t>
            </w:r>
            <w:r>
              <w:rPr>
                <w:rFonts w:hint="eastAsia" w:ascii="宋体" w:hAnsi="宋体" w:eastAsia="宋体" w:cs="宋体"/>
                <w:b w:val="0"/>
                <w:bCs w:val="0"/>
                <w:color w:val="000000"/>
                <w:sz w:val="18"/>
                <w:szCs w:val="18"/>
              </w:rPr>
              <w:t>一体发泡背垫、座垫，内置高强背板T≥12mm</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sz w:val="18"/>
                <w:szCs w:val="18"/>
              </w:rPr>
              <w:t>外覆PVC皮革材质皮套采用双针车缝；</w:t>
            </w:r>
          </w:p>
          <w:p>
            <w:pPr>
              <w:pStyle w:val="5"/>
              <w:numPr>
                <w:ilvl w:val="0"/>
                <w:numId w:val="1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背垫采用≥30mm*70mm不锈钢矩形管调节管，调节档位≥5档，调节距离≥100mm；</w:t>
            </w:r>
          </w:p>
          <w:p>
            <w:pPr>
              <w:pStyle w:val="5"/>
              <w:numPr>
                <w:ilvl w:val="0"/>
                <w:numId w:val="1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承受固有载荷（S类，2*150kg），试验后应无永久变形；</w:t>
            </w:r>
          </w:p>
          <w:p>
            <w:pPr>
              <w:pStyle w:val="5"/>
              <w:numPr>
                <w:ilvl w:val="0"/>
                <w:numId w:val="1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插销采用φ≥10磁性插销；全包式钢制护罩T≥1mm；</w:t>
            </w:r>
          </w:p>
          <w:p>
            <w:pPr>
              <w:pStyle w:val="5"/>
              <w:numPr>
                <w:ilvl w:val="0"/>
                <w:numId w:val="1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φ106高精度滑轮，滑轮槽d/2⊆</w:t>
            </w: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rPr>
              <w:t>3.3，3.45）mm；</w:t>
            </w:r>
          </w:p>
          <w:p>
            <w:pPr>
              <w:pStyle w:val="5"/>
              <w:numPr>
                <w:ilvl w:val="0"/>
                <w:numId w:val="1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需有多种训练方式，可训练到股四头肌，股直肌  股二头肌，腿旁肌群；</w:t>
            </w:r>
          </w:p>
          <w:p>
            <w:pPr>
              <w:pStyle w:val="5"/>
              <w:numPr>
                <w:ilvl w:val="0"/>
                <w:numId w:val="1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轴套需采用高分子耐磨工艺，配重导杆需采用不锈钢材质；</w:t>
            </w:r>
          </w:p>
          <w:p>
            <w:pPr>
              <w:pStyle w:val="5"/>
              <w:numPr>
                <w:ilvl w:val="0"/>
                <w:numId w:val="1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配重块采用插销式结构，配重≥70kg，多档位调节，调节位置采用304级或以上级别不锈钢，标示磅/千克两种重量单位；</w:t>
            </w:r>
          </w:p>
          <w:p>
            <w:pPr>
              <w:pStyle w:val="5"/>
              <w:numPr>
                <w:ilvl w:val="0"/>
                <w:numId w:val="1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圆弧T型座椅，背垫厚度≥70mm，背垫≥3档位前后按压式调节；</w:t>
            </w:r>
          </w:p>
          <w:p>
            <w:pPr>
              <w:pStyle w:val="5"/>
              <w:numPr>
                <w:ilvl w:val="0"/>
                <w:numId w:val="1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调节杆长≥500mm，调节握把与训练把握把需采用非吸附材料，加铝合金端盖；</w:t>
            </w:r>
          </w:p>
          <w:p>
            <w:pPr>
              <w:pStyle w:val="5"/>
              <w:numPr>
                <w:ilvl w:val="0"/>
                <w:numId w:val="1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拉索需采用φ≥5高强度柔性不锈钢索，运动顺畅，安全</w:t>
            </w:r>
            <w:r>
              <w:rPr>
                <w:rFonts w:hint="eastAsia" w:ascii="宋体" w:hAnsi="宋体" w:eastAsia="宋体" w:cs="宋体"/>
                <w:b w:val="0"/>
                <w:bCs w:val="0"/>
                <w:color w:val="000000"/>
                <w:sz w:val="18"/>
                <w:szCs w:val="18"/>
                <w:lang w:eastAsia="zh-CN"/>
              </w:rPr>
              <w:t>无噪声</w:t>
            </w:r>
            <w:r>
              <w:rPr>
                <w:rFonts w:hint="eastAsia" w:ascii="宋体" w:hAnsi="宋体" w:eastAsia="宋体" w:cs="宋体"/>
                <w:b w:val="0"/>
                <w:bCs w:val="0"/>
                <w:color w:val="000000"/>
                <w:sz w:val="18"/>
                <w:szCs w:val="18"/>
              </w:rPr>
              <w:t>；</w:t>
            </w:r>
          </w:p>
          <w:p>
            <w:pPr>
              <w:pStyle w:val="5"/>
              <w:numPr>
                <w:ilvl w:val="0"/>
                <w:numId w:val="1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胶材质脚垫≥4个，脚垫尺寸≥100*150mm；产品配备运动示意图以及安全警示标识；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坐式扭腰训练器</w:t>
            </w:r>
          </w:p>
        </w:tc>
        <w:tc>
          <w:tcPr>
            <w:tcW w:w="5024" w:type="dxa"/>
            <w:tcBorders>
              <w:top w:val="single" w:color="000000" w:sz="4" w:space="0"/>
              <w:left w:val="single" w:color="000000" w:sz="4" w:space="0"/>
              <w:bottom w:val="single" w:color="000000" w:sz="4" w:space="0"/>
              <w:right w:val="single" w:color="000000" w:sz="4" w:space="0"/>
            </w:tcBorders>
            <w:shd w:val="clear" w:color="auto" w:fill="FFFFFF"/>
          </w:tcPr>
          <w:p>
            <w:pPr>
              <w:pStyle w:val="49"/>
              <w:widowControl/>
              <w:numPr>
                <w:ilvl w:val="0"/>
                <w:numId w:val="17"/>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主框架材质：Q235 ，椭圆管≥ 120×60×2.5 mm</w:t>
            </w:r>
          </w:p>
          <w:p>
            <w:pPr>
              <w:pStyle w:val="49"/>
              <w:widowControl/>
              <w:numPr>
                <w:ilvl w:val="0"/>
                <w:numId w:val="17"/>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主转轴材质：Q235 ，直径≥Φ30</w:t>
            </w:r>
          </w:p>
          <w:p>
            <w:pPr>
              <w:pStyle w:val="49"/>
              <w:widowControl/>
              <w:numPr>
                <w:ilvl w:val="0"/>
                <w:numId w:val="17"/>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主轴轴承：人本轴承≥(6006-2RS) </w:t>
            </w:r>
          </w:p>
          <w:p>
            <w:pPr>
              <w:pStyle w:val="49"/>
              <w:widowControl/>
              <w:numPr>
                <w:ilvl w:val="0"/>
                <w:numId w:val="17"/>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导杆：实心镀硬铬  规格≥Φ20×1126</w:t>
            </w:r>
          </w:p>
          <w:p>
            <w:pPr>
              <w:pStyle w:val="49"/>
              <w:widowControl/>
              <w:numPr>
                <w:ilvl w:val="0"/>
                <w:numId w:val="17"/>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滑轮材质：尼龙+玻璃纤维≥Φ105 </w:t>
            </w:r>
          </w:p>
          <w:p>
            <w:pPr>
              <w:pStyle w:val="49"/>
              <w:widowControl/>
              <w:numPr>
                <w:ilvl w:val="0"/>
                <w:numId w:val="17"/>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防护罩材质：ABS  厚度δ=4</w:t>
            </w:r>
          </w:p>
          <w:p>
            <w:pPr>
              <w:pStyle w:val="49"/>
              <w:widowControl/>
              <w:numPr>
                <w:ilvl w:val="0"/>
                <w:numId w:val="17"/>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把套：TPR                                     </w:t>
            </w:r>
          </w:p>
          <w:p>
            <w:pPr>
              <w:pStyle w:val="49"/>
              <w:widowControl/>
              <w:numPr>
                <w:ilvl w:val="0"/>
                <w:numId w:val="17"/>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绳索规格：φ6钢丝绳 </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可承受力≥1000 KG</w:t>
            </w:r>
          </w:p>
          <w:p>
            <w:pPr>
              <w:pStyle w:val="49"/>
              <w:widowControl/>
              <w:numPr>
                <w:ilvl w:val="0"/>
                <w:numId w:val="17"/>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端盖材质：铝合金</w:t>
            </w:r>
          </w:p>
          <w:p>
            <w:pPr>
              <w:pStyle w:val="49"/>
              <w:widowControl/>
              <w:numPr>
                <w:ilvl w:val="0"/>
                <w:numId w:val="17"/>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配重块材质：钢板</w:t>
            </w:r>
          </w:p>
          <w:p>
            <w:pPr>
              <w:pStyle w:val="49"/>
              <w:widowControl/>
              <w:numPr>
                <w:ilvl w:val="0"/>
                <w:numId w:val="17"/>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最大配重≥80KG、最小配重≥10KG ； 【10KG×7 +10KG（导向块）×1】</w:t>
            </w:r>
          </w:p>
          <w:p>
            <w:pPr>
              <w:pStyle w:val="49"/>
              <w:widowControl/>
              <w:numPr>
                <w:ilvl w:val="0"/>
                <w:numId w:val="17"/>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最大承重≥180KG</w:t>
            </w:r>
          </w:p>
          <w:p>
            <w:pPr>
              <w:pStyle w:val="5"/>
              <w:numPr>
                <w:ilvl w:val="0"/>
                <w:numId w:val="1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腰训练器适于以舒适的坐姿，充分的锻炼内斜肌和外斜肌、腰方肌和竖脊肌。</w:t>
            </w:r>
          </w:p>
          <w:p>
            <w:pPr>
              <w:pStyle w:val="5"/>
              <w:numPr>
                <w:ilvl w:val="0"/>
                <w:numId w:val="1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可调式插销和多手柄抓握设计，满足不同肌肉、不同强度的训练要求，更协调地增强力量。</w:t>
            </w:r>
          </w:p>
          <w:p>
            <w:pPr>
              <w:pStyle w:val="5"/>
              <w:numPr>
                <w:ilvl w:val="0"/>
                <w:numId w:val="1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全自动激光切割机加工、机械手自动焊接，配以精致打磨，表面双层烤漆：灰闪银粉体喷涂+罩光</w:t>
            </w:r>
          </w:p>
          <w:p>
            <w:pPr>
              <w:pStyle w:val="49"/>
              <w:numPr>
                <w:ilvl w:val="0"/>
                <w:numId w:val="17"/>
              </w:numPr>
              <w:spacing w:line="240" w:lineRule="auto"/>
              <w:ind w:firstLineChars="0"/>
              <w:jc w:val="left"/>
              <w:rPr>
                <w:rFonts w:hint="eastAsia" w:ascii="宋体" w:hAnsi="宋体" w:eastAsia="宋体" w:cs="宋体"/>
                <w:sz w:val="18"/>
                <w:szCs w:val="18"/>
              </w:rPr>
            </w:pPr>
            <w:r>
              <w:rPr>
                <w:rFonts w:hint="eastAsia" w:ascii="宋体" w:hAnsi="宋体" w:eastAsia="宋体" w:cs="宋体"/>
                <w:color w:val="000000"/>
                <w:sz w:val="18"/>
                <w:szCs w:val="18"/>
              </w:rPr>
              <w:t>包含走电、走线、走网、安装、调试及师资培训</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肱二头肌</w:t>
            </w:r>
          </w:p>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训练器</w:t>
            </w:r>
          </w:p>
        </w:tc>
        <w:tc>
          <w:tcPr>
            <w:tcW w:w="5024" w:type="dxa"/>
            <w:tcBorders>
              <w:top w:val="single" w:color="000000" w:sz="4" w:space="0"/>
              <w:left w:val="single" w:color="000000" w:sz="4" w:space="0"/>
              <w:bottom w:val="single" w:color="000000" w:sz="4" w:space="0"/>
              <w:right w:val="single" w:color="000000" w:sz="4" w:space="0"/>
            </w:tcBorders>
            <w:shd w:val="clear" w:color="auto" w:fill="FFFFFF"/>
          </w:tcPr>
          <w:p>
            <w:pPr>
              <w:pStyle w:val="49"/>
              <w:numPr>
                <w:ilvl w:val="0"/>
                <w:numId w:val="18"/>
              </w:numPr>
              <w:spacing w:line="240" w:lineRule="auto"/>
              <w:ind w:firstLineChars="0"/>
              <w:jc w:val="left"/>
              <w:rPr>
                <w:rFonts w:hint="eastAsia" w:ascii="宋体" w:hAnsi="宋体" w:eastAsia="宋体" w:cs="宋体"/>
                <w:sz w:val="18"/>
                <w:szCs w:val="18"/>
              </w:rPr>
            </w:pPr>
            <w:r>
              <w:rPr>
                <w:rFonts w:hint="eastAsia" w:ascii="宋体" w:hAnsi="宋体" w:eastAsia="宋体" w:cs="宋体"/>
                <w:sz w:val="18"/>
                <w:szCs w:val="18"/>
              </w:rPr>
              <w:t>机架采用Q215高强度面包形钢管，规格≥130*75*2.5mm，以及规格≥100*50mm扁圆管；</w:t>
            </w:r>
          </w:p>
          <w:p>
            <w:pPr>
              <w:pStyle w:val="49"/>
              <w:numPr>
                <w:ilvl w:val="0"/>
                <w:numId w:val="18"/>
              </w:numPr>
              <w:spacing w:line="240" w:lineRule="auto"/>
              <w:ind w:firstLineChars="0"/>
              <w:jc w:val="left"/>
              <w:rPr>
                <w:rFonts w:hint="eastAsia" w:ascii="宋体" w:hAnsi="宋体" w:eastAsia="宋体" w:cs="宋体"/>
                <w:sz w:val="18"/>
                <w:szCs w:val="18"/>
              </w:rPr>
            </w:pPr>
            <w:r>
              <w:rPr>
                <w:rFonts w:hint="eastAsia" w:ascii="宋体" w:hAnsi="宋体" w:eastAsia="宋体" w:cs="宋体"/>
                <w:sz w:val="18"/>
                <w:szCs w:val="18"/>
              </w:rPr>
              <w:t>滚轮式导轨设计，采用5.0高强度柔性钢索，滑动流畅，</w:t>
            </w:r>
            <w:r>
              <w:rPr>
                <w:rFonts w:hint="eastAsia" w:ascii="宋体" w:hAnsi="宋体" w:eastAsia="宋体" w:cs="宋体"/>
                <w:sz w:val="18"/>
                <w:szCs w:val="18"/>
                <w:lang w:eastAsia="zh-CN"/>
              </w:rPr>
              <w:t>无噪声</w:t>
            </w:r>
            <w:r>
              <w:rPr>
                <w:rFonts w:hint="eastAsia" w:ascii="宋体" w:hAnsi="宋体" w:eastAsia="宋体" w:cs="宋体"/>
                <w:sz w:val="18"/>
                <w:szCs w:val="18"/>
              </w:rPr>
              <w:t>；</w:t>
            </w:r>
          </w:p>
          <w:p>
            <w:pPr>
              <w:pStyle w:val="49"/>
              <w:numPr>
                <w:ilvl w:val="0"/>
                <w:numId w:val="18"/>
              </w:numPr>
              <w:spacing w:line="240" w:lineRule="auto"/>
              <w:ind w:firstLineChars="0"/>
              <w:jc w:val="left"/>
              <w:rPr>
                <w:rFonts w:hint="eastAsia" w:ascii="宋体" w:hAnsi="宋体" w:eastAsia="宋体" w:cs="宋体"/>
                <w:sz w:val="18"/>
                <w:szCs w:val="18"/>
              </w:rPr>
            </w:pPr>
            <w:r>
              <w:rPr>
                <w:rFonts w:hint="eastAsia" w:ascii="宋体" w:hAnsi="宋体" w:eastAsia="宋体" w:cs="宋体"/>
                <w:sz w:val="18"/>
                <w:szCs w:val="18"/>
              </w:rPr>
              <w:t>采用冷轧钢精密配重块≥60kg，调节精准；</w:t>
            </w:r>
          </w:p>
          <w:p>
            <w:pPr>
              <w:pStyle w:val="49"/>
              <w:numPr>
                <w:ilvl w:val="0"/>
                <w:numId w:val="18"/>
              </w:numPr>
              <w:spacing w:line="240" w:lineRule="auto"/>
              <w:ind w:firstLineChars="0"/>
              <w:jc w:val="left"/>
              <w:rPr>
                <w:rFonts w:hint="eastAsia" w:ascii="宋体" w:hAnsi="宋体" w:eastAsia="宋体" w:cs="宋体"/>
                <w:sz w:val="18"/>
                <w:szCs w:val="18"/>
              </w:rPr>
            </w:pPr>
            <w:r>
              <w:rPr>
                <w:rFonts w:hint="eastAsia" w:ascii="宋体" w:hAnsi="宋体" w:eastAsia="宋体" w:cs="宋体"/>
                <w:sz w:val="18"/>
                <w:szCs w:val="18"/>
              </w:rPr>
              <w:t>橡胶材质脚垫≥4个，脚垫尺寸≥100*150mm；</w:t>
            </w:r>
          </w:p>
          <w:p>
            <w:pPr>
              <w:pStyle w:val="49"/>
              <w:numPr>
                <w:ilvl w:val="0"/>
                <w:numId w:val="18"/>
              </w:numPr>
              <w:spacing w:line="240" w:lineRule="auto"/>
              <w:ind w:firstLineChars="0"/>
              <w:jc w:val="left"/>
              <w:rPr>
                <w:rFonts w:hint="eastAsia" w:ascii="宋体" w:hAnsi="宋体" w:eastAsia="宋体" w:cs="宋体"/>
                <w:sz w:val="18"/>
                <w:szCs w:val="18"/>
              </w:rPr>
            </w:pPr>
            <w:r>
              <w:rPr>
                <w:rFonts w:hint="eastAsia" w:ascii="宋体" w:hAnsi="宋体" w:eastAsia="宋体" w:cs="宋体"/>
                <w:sz w:val="18"/>
                <w:szCs w:val="18"/>
              </w:rPr>
              <w:t>把手采用非吸附材料和铝合金端盖，多档位调节，调节位置采用304不锈钢；</w:t>
            </w:r>
          </w:p>
          <w:p>
            <w:pPr>
              <w:pStyle w:val="49"/>
              <w:numPr>
                <w:ilvl w:val="0"/>
                <w:numId w:val="18"/>
              </w:numPr>
              <w:spacing w:line="240" w:lineRule="auto"/>
              <w:ind w:firstLineChars="0"/>
              <w:jc w:val="left"/>
              <w:rPr>
                <w:rFonts w:hint="eastAsia" w:ascii="宋体" w:hAnsi="宋体" w:eastAsia="宋体" w:cs="宋体"/>
                <w:sz w:val="18"/>
                <w:szCs w:val="18"/>
              </w:rPr>
            </w:pPr>
            <w:r>
              <w:rPr>
                <w:rFonts w:hint="eastAsia" w:ascii="宋体" w:hAnsi="宋体" w:eastAsia="宋体" w:cs="宋体"/>
                <w:sz w:val="18"/>
                <w:szCs w:val="18"/>
              </w:rPr>
              <w:t>双功能设计，单台机器上提供多样的训练方式；</w:t>
            </w:r>
          </w:p>
          <w:p>
            <w:pPr>
              <w:pStyle w:val="49"/>
              <w:numPr>
                <w:ilvl w:val="0"/>
                <w:numId w:val="18"/>
              </w:numPr>
              <w:spacing w:line="240" w:lineRule="auto"/>
              <w:ind w:firstLineChars="0"/>
              <w:jc w:val="left"/>
              <w:rPr>
                <w:rFonts w:hint="eastAsia" w:ascii="宋体" w:hAnsi="宋体" w:eastAsia="宋体" w:cs="宋体"/>
                <w:sz w:val="18"/>
                <w:szCs w:val="18"/>
              </w:rPr>
            </w:pPr>
            <w:r>
              <w:rPr>
                <w:rFonts w:hint="eastAsia" w:ascii="宋体" w:hAnsi="宋体" w:eastAsia="宋体" w:cs="宋体"/>
                <w:sz w:val="18"/>
                <w:szCs w:val="18"/>
              </w:rPr>
              <w:t>配备运动示意图以及安全警示标识。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1175"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高低拉</w:t>
            </w:r>
          </w:p>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训练器</w:t>
            </w:r>
          </w:p>
        </w:tc>
        <w:tc>
          <w:tcPr>
            <w:tcW w:w="5024" w:type="dxa"/>
            <w:tcBorders>
              <w:top w:val="single" w:color="000000" w:sz="4" w:space="0"/>
              <w:left w:val="single" w:color="000000" w:sz="4" w:space="0"/>
              <w:bottom w:val="single" w:color="000000" w:sz="4" w:space="0"/>
              <w:right w:val="single" w:color="000000" w:sz="4" w:space="0"/>
            </w:tcBorders>
            <w:shd w:val="clear" w:color="auto" w:fill="FFFFFF"/>
          </w:tcPr>
          <w:p>
            <w:pPr>
              <w:pStyle w:val="49"/>
              <w:numPr>
                <w:ilvl w:val="0"/>
                <w:numId w:val="19"/>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产品尺寸≥1550*1220*2140mm；</w:t>
            </w:r>
          </w:p>
          <w:p>
            <w:pPr>
              <w:pStyle w:val="49"/>
              <w:numPr>
                <w:ilvl w:val="0"/>
                <w:numId w:val="19"/>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产品净重≥178kg；</w:t>
            </w:r>
          </w:p>
          <w:p>
            <w:pPr>
              <w:pStyle w:val="49"/>
              <w:numPr>
                <w:ilvl w:val="0"/>
                <w:numId w:val="19"/>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钢管需采用≥75*130mm面包管和≥50*100mm椭圆管；</w:t>
            </w:r>
          </w:p>
          <w:p>
            <w:pPr>
              <w:pStyle w:val="49"/>
              <w:numPr>
                <w:ilvl w:val="0"/>
                <w:numId w:val="19"/>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滑杆需采用不锈钢圆管，选择杆需采用φ≥22实心杆；</w:t>
            </w:r>
          </w:p>
          <w:p>
            <w:pPr>
              <w:pStyle w:val="49"/>
              <w:numPr>
                <w:ilvl w:val="0"/>
                <w:numId w:val="19"/>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滑轮需采用φ≥106高精度滑轮，滑轮槽d/2⊆（3.15，3.30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mm；</w:t>
            </w:r>
          </w:p>
          <w:p>
            <w:pPr>
              <w:pStyle w:val="49"/>
              <w:numPr>
                <w:ilvl w:val="0"/>
                <w:numId w:val="19"/>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聚氨酯</w:t>
            </w:r>
            <w:r>
              <w:rPr>
                <w:rFonts w:hint="eastAsia" w:ascii="宋体" w:hAnsi="宋体" w:eastAsia="宋体" w:cs="宋体"/>
                <w:color w:val="000000"/>
                <w:sz w:val="18"/>
                <w:szCs w:val="18"/>
              </w:rPr>
              <w:t>一体发泡坐垫，内置高强背板≥12mm</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外覆PVC皮革材质皮套采用双针车缝；</w:t>
            </w:r>
          </w:p>
          <w:p>
            <w:pPr>
              <w:pStyle w:val="49"/>
              <w:numPr>
                <w:ilvl w:val="0"/>
                <w:numId w:val="19"/>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泡棉管带φ≥90装饰罩，泡棉管可调节，弹性销调节≥5档调节；</w:t>
            </w:r>
          </w:p>
          <w:p>
            <w:pPr>
              <w:pStyle w:val="49"/>
              <w:numPr>
                <w:ilvl w:val="0"/>
                <w:numId w:val="19"/>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插销采用φ≥10磁性插销；撕不破扶手握套，带铝合金装饰件；</w:t>
            </w:r>
          </w:p>
          <w:p>
            <w:pPr>
              <w:pStyle w:val="49"/>
              <w:numPr>
                <w:ilvl w:val="0"/>
                <w:numId w:val="19"/>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承受固有载荷（S类，2*150kg），试验后应无永久变形；</w:t>
            </w:r>
          </w:p>
          <w:p>
            <w:pPr>
              <w:pStyle w:val="49"/>
              <w:numPr>
                <w:ilvl w:val="0"/>
                <w:numId w:val="19"/>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双功能设计，训练方式多样，可训练到背部肌群、三角肌、肱二头肌、胸大肌；</w:t>
            </w:r>
          </w:p>
          <w:p>
            <w:pPr>
              <w:pStyle w:val="49"/>
              <w:numPr>
                <w:ilvl w:val="0"/>
                <w:numId w:val="19"/>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轴套需采用高分子耐磨工艺，配重导杆需采用不锈钢材质；</w:t>
            </w:r>
          </w:p>
          <w:p>
            <w:pPr>
              <w:pStyle w:val="49"/>
              <w:numPr>
                <w:ilvl w:val="0"/>
                <w:numId w:val="19"/>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配重≥70kg，多档位调节，调节位置采用304级或以上级别不锈钢，标示磅/千克两种重量单位；</w:t>
            </w:r>
          </w:p>
          <w:p>
            <w:pPr>
              <w:pStyle w:val="49"/>
              <w:numPr>
                <w:ilvl w:val="0"/>
                <w:numId w:val="19"/>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拉索需采用φ≥5高强度柔性不锈钢索，运动顺畅，安全</w:t>
            </w:r>
            <w:r>
              <w:rPr>
                <w:rFonts w:hint="eastAsia" w:ascii="宋体" w:hAnsi="宋体" w:eastAsia="宋体" w:cs="宋体"/>
                <w:color w:val="000000"/>
                <w:sz w:val="18"/>
                <w:szCs w:val="18"/>
                <w:lang w:eastAsia="zh-CN"/>
              </w:rPr>
              <w:t>无噪声</w:t>
            </w:r>
            <w:r>
              <w:rPr>
                <w:rFonts w:hint="eastAsia" w:ascii="宋体" w:hAnsi="宋体" w:eastAsia="宋体" w:cs="宋体"/>
                <w:color w:val="000000"/>
                <w:sz w:val="18"/>
                <w:szCs w:val="18"/>
              </w:rPr>
              <w:t>；</w:t>
            </w:r>
          </w:p>
          <w:p>
            <w:pPr>
              <w:pStyle w:val="49"/>
              <w:numPr>
                <w:ilvl w:val="0"/>
                <w:numId w:val="19"/>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橡胶材质脚垫≥3个，脚垫尺寸≥100*150mm；</w:t>
            </w:r>
          </w:p>
          <w:p>
            <w:pPr>
              <w:pStyle w:val="49"/>
              <w:numPr>
                <w:ilvl w:val="0"/>
                <w:numId w:val="19"/>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产品配备运动示意图以及安全警示标识；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直臂扩胸</w:t>
            </w:r>
          </w:p>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训练器</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49"/>
              <w:numPr>
                <w:ilvl w:val="0"/>
                <w:numId w:val="20"/>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单台机器可提供多种训练方式，可训练到胸大肌、斜方肌、肱三角肌、肱二头肌；</w:t>
            </w:r>
          </w:p>
          <w:p>
            <w:pPr>
              <w:pStyle w:val="49"/>
              <w:numPr>
                <w:ilvl w:val="0"/>
                <w:numId w:val="20"/>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拉索需采用φ≥5高强度柔性不锈钢索，滑动流畅，</w:t>
            </w:r>
            <w:r>
              <w:rPr>
                <w:rFonts w:hint="eastAsia" w:ascii="宋体" w:hAnsi="宋体" w:eastAsia="宋体" w:cs="宋体"/>
                <w:color w:val="000000"/>
                <w:sz w:val="18"/>
                <w:szCs w:val="18"/>
                <w:lang w:eastAsia="zh-CN"/>
              </w:rPr>
              <w:t>无噪声</w:t>
            </w:r>
            <w:r>
              <w:rPr>
                <w:rFonts w:hint="eastAsia" w:ascii="宋体" w:hAnsi="宋体" w:eastAsia="宋体" w:cs="宋体"/>
                <w:color w:val="000000"/>
                <w:sz w:val="18"/>
                <w:szCs w:val="18"/>
              </w:rPr>
              <w:t>，且带全封闭护罩保证运动安全；</w:t>
            </w:r>
          </w:p>
          <w:p>
            <w:pPr>
              <w:pStyle w:val="49"/>
              <w:numPr>
                <w:ilvl w:val="0"/>
                <w:numId w:val="20"/>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配重≥70kg，需采用冷轧钢精密配重块，调节精准，标示有磅/公斤两种单位；</w:t>
            </w:r>
          </w:p>
          <w:p>
            <w:pPr>
              <w:pStyle w:val="49"/>
              <w:numPr>
                <w:ilvl w:val="0"/>
                <w:numId w:val="20"/>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管身表面需采用耐磨工艺，如静电热固化粉末涂层工艺，有除锈除油处理，如不锈钢砂抛丸处理，更耐用；</w:t>
            </w:r>
          </w:p>
          <w:p>
            <w:pPr>
              <w:pStyle w:val="49"/>
              <w:numPr>
                <w:ilvl w:val="0"/>
                <w:numId w:val="20"/>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坐、背垫需内置T≥12mm高强背板，外覆皮套需采用双针车缝；</w:t>
            </w:r>
          </w:p>
          <w:p>
            <w:pPr>
              <w:pStyle w:val="49"/>
              <w:numPr>
                <w:ilvl w:val="0"/>
                <w:numId w:val="20"/>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机架需采用≥130*75mm面包形钢管和≥100*50mm扁圆管；</w:t>
            </w:r>
          </w:p>
          <w:p>
            <w:pPr>
              <w:pStyle w:val="49"/>
              <w:numPr>
                <w:ilvl w:val="0"/>
                <w:numId w:val="20"/>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轴套需采用高分子耐磨工艺，配重导杆需采用不锈钢材质；</w:t>
            </w:r>
          </w:p>
          <w:p>
            <w:pPr>
              <w:pStyle w:val="49"/>
              <w:numPr>
                <w:ilvl w:val="0"/>
                <w:numId w:val="20"/>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把手采用非吸附材料和铝合金端盖，可多档位调节，调节位置采用304级或以上级别不锈钢；</w:t>
            </w:r>
          </w:p>
          <w:p>
            <w:pPr>
              <w:pStyle w:val="49"/>
              <w:numPr>
                <w:ilvl w:val="0"/>
                <w:numId w:val="20"/>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需带橡胶材质脚垫≥4个，减震防滑，脚垫尺寸≥100*150mm；</w:t>
            </w:r>
          </w:p>
          <w:p>
            <w:pPr>
              <w:pStyle w:val="49"/>
              <w:numPr>
                <w:ilvl w:val="0"/>
                <w:numId w:val="20"/>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产品需配备运动示意图以及安全警示标识；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助力单双杠训练器</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49"/>
              <w:numPr>
                <w:ilvl w:val="0"/>
                <w:numId w:val="21"/>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需可提供多样的训练方式，可训练到胸大肌，肱三头肌， 三角肌，肱二头肌；</w:t>
            </w:r>
          </w:p>
          <w:p>
            <w:pPr>
              <w:pStyle w:val="49"/>
              <w:numPr>
                <w:ilvl w:val="0"/>
                <w:numId w:val="21"/>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轴套需采用高分子耐磨工艺，配重导杆需采用不锈钢材质；</w:t>
            </w:r>
          </w:p>
          <w:p>
            <w:pPr>
              <w:pStyle w:val="49"/>
              <w:numPr>
                <w:ilvl w:val="0"/>
                <w:numId w:val="21"/>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配重≥70kg，配重块插销需采用φ≥10磁性插销，调节位置采用304级或以上级别不锈钢，标示磅/千克两种重量单位；</w:t>
            </w:r>
          </w:p>
          <w:p>
            <w:pPr>
              <w:pStyle w:val="49"/>
              <w:numPr>
                <w:ilvl w:val="0"/>
                <w:numId w:val="21"/>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拉索需采用φ≥5高强度柔性不锈钢索，运动顺畅，安全</w:t>
            </w:r>
            <w:r>
              <w:rPr>
                <w:rFonts w:hint="eastAsia" w:ascii="宋体" w:hAnsi="宋体" w:eastAsia="宋体" w:cs="宋体"/>
                <w:color w:val="000000"/>
                <w:sz w:val="18"/>
                <w:szCs w:val="18"/>
                <w:lang w:eastAsia="zh-CN"/>
              </w:rPr>
              <w:t>无噪声</w:t>
            </w:r>
            <w:r>
              <w:rPr>
                <w:rFonts w:hint="eastAsia" w:ascii="宋体" w:hAnsi="宋体" w:eastAsia="宋体" w:cs="宋体"/>
                <w:color w:val="000000"/>
                <w:sz w:val="18"/>
                <w:szCs w:val="18"/>
              </w:rPr>
              <w:t>；</w:t>
            </w:r>
          </w:p>
          <w:p>
            <w:pPr>
              <w:pStyle w:val="49"/>
              <w:numPr>
                <w:ilvl w:val="0"/>
                <w:numId w:val="21"/>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把手需采用非吸附材料和铝合金端盖；</w:t>
            </w:r>
          </w:p>
          <w:p>
            <w:pPr>
              <w:pStyle w:val="49"/>
              <w:numPr>
                <w:ilvl w:val="0"/>
                <w:numId w:val="21"/>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导轨需采用滚轮式设计，减少噪音；</w:t>
            </w:r>
          </w:p>
          <w:p>
            <w:pPr>
              <w:pStyle w:val="49"/>
              <w:numPr>
                <w:ilvl w:val="0"/>
                <w:numId w:val="21"/>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橡胶材质脚垫≥6个，脚垫尺寸≥100*150mm；</w:t>
            </w:r>
          </w:p>
          <w:p>
            <w:pPr>
              <w:pStyle w:val="49"/>
              <w:numPr>
                <w:ilvl w:val="0"/>
                <w:numId w:val="21"/>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产品配备运动示意图以及安全警示标识，调节部位有颜色</w:t>
            </w:r>
            <w:r>
              <w:rPr>
                <w:rFonts w:hint="eastAsia" w:ascii="宋体" w:hAnsi="宋体" w:eastAsia="宋体" w:cs="宋体"/>
                <w:color w:val="000000"/>
                <w:sz w:val="18"/>
                <w:szCs w:val="18"/>
                <w:lang w:eastAsia="zh-CN"/>
              </w:rPr>
              <w:t>做</w:t>
            </w:r>
            <w:r>
              <w:rPr>
                <w:rFonts w:hint="eastAsia" w:ascii="宋体" w:hAnsi="宋体" w:eastAsia="宋体" w:cs="宋体"/>
                <w:color w:val="000000"/>
                <w:sz w:val="18"/>
                <w:szCs w:val="18"/>
              </w:rPr>
              <w:t>标识；</w:t>
            </w:r>
          </w:p>
          <w:p>
            <w:pPr>
              <w:pStyle w:val="49"/>
              <w:numPr>
                <w:ilvl w:val="0"/>
                <w:numId w:val="21"/>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管身表面需采用耐磨工艺，如静电热固化粉末涂层工艺，有除锈除油处理，如不锈钢砂抛丸处理，更耐用；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17</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背腹肌</w:t>
            </w:r>
          </w:p>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训练器</w:t>
            </w:r>
          </w:p>
        </w:tc>
        <w:tc>
          <w:tcPr>
            <w:tcW w:w="5024" w:type="dxa"/>
            <w:tcBorders>
              <w:top w:val="single" w:color="000000" w:sz="4" w:space="0"/>
              <w:left w:val="single" w:color="000000" w:sz="4" w:space="0"/>
              <w:bottom w:val="single" w:color="000000" w:sz="4" w:space="0"/>
              <w:right w:val="single" w:color="000000" w:sz="4" w:space="0"/>
            </w:tcBorders>
            <w:shd w:val="clear" w:color="auto" w:fill="FFFFFF"/>
          </w:tcPr>
          <w:p>
            <w:pPr>
              <w:pStyle w:val="49"/>
              <w:numPr>
                <w:ilvl w:val="0"/>
                <w:numId w:val="22"/>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机架需采用≥130*75mm面包形钢管和≥100*50mm扁圆管；</w:t>
            </w:r>
          </w:p>
          <w:p>
            <w:pPr>
              <w:pStyle w:val="49"/>
              <w:numPr>
                <w:ilvl w:val="0"/>
                <w:numId w:val="22"/>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轴套需采用高分子耐磨工艺，配重导杆需采用不锈钢材质；双功能设计，能满足腹肌背肌训练需求；</w:t>
            </w:r>
          </w:p>
          <w:p>
            <w:pPr>
              <w:pStyle w:val="49"/>
              <w:numPr>
                <w:ilvl w:val="0"/>
                <w:numId w:val="22"/>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坐垫需内置高强背板T≥12mm</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外覆皮套需采用双针车缝，座椅靠垫厚度≥70mm，座椅可按压式调节，可单手调节；</w:t>
            </w:r>
          </w:p>
          <w:p>
            <w:pPr>
              <w:pStyle w:val="49"/>
              <w:numPr>
                <w:ilvl w:val="0"/>
                <w:numId w:val="22"/>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拉索需采用φ≥5高强度柔性不锈钢索，运动顺畅，安全</w:t>
            </w:r>
            <w:r>
              <w:rPr>
                <w:rFonts w:hint="eastAsia" w:ascii="宋体" w:hAnsi="宋体" w:eastAsia="宋体" w:cs="宋体"/>
                <w:color w:val="000000"/>
                <w:sz w:val="18"/>
                <w:szCs w:val="18"/>
                <w:lang w:eastAsia="zh-CN"/>
              </w:rPr>
              <w:t>无噪声</w:t>
            </w:r>
            <w:r>
              <w:rPr>
                <w:rFonts w:hint="eastAsia" w:ascii="宋体" w:hAnsi="宋体" w:eastAsia="宋体" w:cs="宋体"/>
                <w:color w:val="000000"/>
                <w:sz w:val="18"/>
                <w:szCs w:val="18"/>
              </w:rPr>
              <w:t>；</w:t>
            </w:r>
          </w:p>
          <w:p>
            <w:pPr>
              <w:pStyle w:val="49"/>
              <w:numPr>
                <w:ilvl w:val="0"/>
                <w:numId w:val="22"/>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配重块：采用冷轧钢精密配重块，多档位调节，调节位置采用304级或以上级别不锈钢，标示磅/千克两种重量单位；</w:t>
            </w:r>
          </w:p>
          <w:p>
            <w:pPr>
              <w:pStyle w:val="49"/>
              <w:numPr>
                <w:ilvl w:val="0"/>
                <w:numId w:val="22"/>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胶材质脚垫≥4个，脚垫尺寸≥100*150mm；</w:t>
            </w:r>
          </w:p>
          <w:p>
            <w:pPr>
              <w:pStyle w:val="49"/>
              <w:numPr>
                <w:ilvl w:val="0"/>
                <w:numId w:val="22"/>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产品配备运动示意图以及安全警示标识；</w:t>
            </w:r>
          </w:p>
          <w:p>
            <w:pPr>
              <w:pStyle w:val="49"/>
              <w:numPr>
                <w:ilvl w:val="0"/>
                <w:numId w:val="22"/>
              </w:numPr>
              <w:spacing w:line="240" w:lineRule="auto"/>
              <w:ind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rPr>
              <w:t>静管身表面需采用耐磨工艺，如静电热固化粉末涂层工艺，有除锈除油处理，如不锈钢砂抛丸处理，更耐用。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倒蹬机</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5"/>
              <w:numPr>
                <w:ilvl w:val="0"/>
                <w:numId w:val="2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全封闭护罩，采用高分子耐磨材料滚轮设计；</w:t>
            </w:r>
          </w:p>
          <w:p>
            <w:pPr>
              <w:pStyle w:val="5"/>
              <w:numPr>
                <w:ilvl w:val="0"/>
                <w:numId w:val="2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eastAsia="zh-CN"/>
              </w:rPr>
              <w:t>聚氨酯</w:t>
            </w:r>
            <w:r>
              <w:rPr>
                <w:rFonts w:hint="eastAsia" w:ascii="宋体" w:hAnsi="宋体" w:eastAsia="宋体" w:cs="宋体"/>
                <w:b w:val="0"/>
                <w:bCs w:val="0"/>
                <w:color w:val="000000"/>
                <w:sz w:val="18"/>
                <w:szCs w:val="18"/>
              </w:rPr>
              <w:t>一体发泡座椅靠垫，内置高强背板≥12mm</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sz w:val="18"/>
                <w:szCs w:val="18"/>
              </w:rPr>
              <w:t>外覆PVC皮革材质皮套采用双针车缝；座椅靠垫厚度≥70mm，座椅按压式调节，单手可调；</w:t>
            </w:r>
          </w:p>
          <w:p>
            <w:pPr>
              <w:pStyle w:val="5"/>
              <w:numPr>
                <w:ilvl w:val="0"/>
                <w:numId w:val="2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蹬腿板防滑纹路设计；</w:t>
            </w:r>
          </w:p>
          <w:p>
            <w:pPr>
              <w:pStyle w:val="5"/>
              <w:numPr>
                <w:ilvl w:val="0"/>
                <w:numId w:val="2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可调节部位以醒目颜色区分，产品配备运动示意图以及安全警示标识；</w:t>
            </w:r>
          </w:p>
          <w:p>
            <w:pPr>
              <w:pStyle w:val="5"/>
              <w:numPr>
                <w:ilvl w:val="0"/>
                <w:numId w:val="2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橡胶材质脚垫≥5个，脚垫尺寸≥10*15cm；</w:t>
            </w:r>
          </w:p>
          <w:p>
            <w:pPr>
              <w:pStyle w:val="5"/>
              <w:numPr>
                <w:ilvl w:val="0"/>
                <w:numId w:val="2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把手采用非吸附材料和铝合金端盖；滚轮采用高分子耐磨材料；</w:t>
            </w:r>
          </w:p>
          <w:p>
            <w:pPr>
              <w:pStyle w:val="5"/>
              <w:numPr>
                <w:ilvl w:val="0"/>
                <w:numId w:val="2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电热固化粉末涂层用于管身表面，更耐用耐磨，采用不锈钢砂抛丸处理达到除锈除油效果，使表面烤漆附着力更高，更耐用；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平蹬训练器</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5"/>
              <w:numPr>
                <w:ilvl w:val="0"/>
                <w:numId w:val="24"/>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连杆式设计；</w:t>
            </w:r>
          </w:p>
          <w:p>
            <w:pPr>
              <w:pStyle w:val="5"/>
              <w:numPr>
                <w:ilvl w:val="0"/>
                <w:numId w:val="24"/>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采用轴套需采用高分子耐磨工艺，配重导杆需采用不锈钢材质；</w:t>
            </w:r>
          </w:p>
          <w:p>
            <w:pPr>
              <w:pStyle w:val="5"/>
              <w:numPr>
                <w:ilvl w:val="0"/>
                <w:numId w:val="24"/>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配重≥80kg，多档位调节，调节位置采用304级或以上级别不锈钢，标示磅/千克两种重量单位；</w:t>
            </w:r>
          </w:p>
          <w:p>
            <w:pPr>
              <w:pStyle w:val="5"/>
              <w:numPr>
                <w:ilvl w:val="0"/>
                <w:numId w:val="24"/>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拉索需采用φ≥5高强度柔性不锈钢索，运动顺畅，安全</w:t>
            </w:r>
            <w:r>
              <w:rPr>
                <w:rFonts w:hint="eastAsia" w:ascii="宋体" w:hAnsi="宋体" w:eastAsia="宋体" w:cs="宋体"/>
                <w:b w:val="0"/>
                <w:bCs w:val="0"/>
                <w:color w:val="000000"/>
                <w:sz w:val="18"/>
                <w:szCs w:val="18"/>
                <w:lang w:eastAsia="zh-CN"/>
              </w:rPr>
              <w:t>无噪声</w:t>
            </w:r>
            <w:r>
              <w:rPr>
                <w:rFonts w:hint="eastAsia" w:ascii="宋体" w:hAnsi="宋体" w:eastAsia="宋体" w:cs="宋体"/>
                <w:b w:val="0"/>
                <w:bCs w:val="0"/>
                <w:color w:val="000000"/>
                <w:sz w:val="18"/>
                <w:szCs w:val="18"/>
              </w:rPr>
              <w:t>；</w:t>
            </w:r>
          </w:p>
          <w:p>
            <w:pPr>
              <w:pStyle w:val="5"/>
              <w:numPr>
                <w:ilvl w:val="0"/>
                <w:numId w:val="24"/>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橡胶材质脚垫≥4个，脚垫尺寸≥100*150mm；</w:t>
            </w:r>
          </w:p>
          <w:p>
            <w:pPr>
              <w:pStyle w:val="5"/>
              <w:numPr>
                <w:ilvl w:val="0"/>
                <w:numId w:val="24"/>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产品配备运动示意图以及安全警示标识；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髋部训练器</w:t>
            </w:r>
          </w:p>
        </w:tc>
        <w:tc>
          <w:tcPr>
            <w:tcW w:w="5024" w:type="dxa"/>
            <w:tcBorders>
              <w:top w:val="single" w:color="000000" w:sz="4" w:space="0"/>
              <w:left w:val="single" w:color="000000" w:sz="4" w:space="0"/>
              <w:bottom w:val="single" w:color="000000" w:sz="4" w:space="0"/>
              <w:right w:val="single" w:color="000000" w:sz="4" w:space="0"/>
            </w:tcBorders>
            <w:shd w:val="clear" w:color="auto" w:fill="FFFFFF"/>
          </w:tcPr>
          <w:p>
            <w:pPr>
              <w:pStyle w:val="49"/>
              <w:widowControl/>
              <w:numPr>
                <w:ilvl w:val="0"/>
                <w:numId w:val="25"/>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K615 主框架材质：Q235 ，椭圆管≥120×60×2.5 mm</w:t>
            </w:r>
          </w:p>
          <w:p>
            <w:pPr>
              <w:pStyle w:val="49"/>
              <w:widowControl/>
              <w:numPr>
                <w:ilvl w:val="0"/>
                <w:numId w:val="25"/>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主转轴材质：Q235 ，直径Φ25</w:t>
            </w:r>
          </w:p>
          <w:p>
            <w:pPr>
              <w:pStyle w:val="49"/>
              <w:widowControl/>
              <w:numPr>
                <w:ilvl w:val="0"/>
                <w:numId w:val="25"/>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主轴轴承：人本轴承≥(6204) </w:t>
            </w:r>
          </w:p>
          <w:p>
            <w:pPr>
              <w:pStyle w:val="49"/>
              <w:widowControl/>
              <w:numPr>
                <w:ilvl w:val="0"/>
                <w:numId w:val="25"/>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导杆：实心镀硬铬  规格≥Φ20×1126</w:t>
            </w:r>
          </w:p>
          <w:p>
            <w:pPr>
              <w:pStyle w:val="49"/>
              <w:widowControl/>
              <w:numPr>
                <w:ilvl w:val="0"/>
                <w:numId w:val="25"/>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滑轮材质：尼龙+玻璃纤维≥Φ105 </w:t>
            </w:r>
          </w:p>
          <w:p>
            <w:pPr>
              <w:pStyle w:val="49"/>
              <w:widowControl/>
              <w:numPr>
                <w:ilvl w:val="0"/>
                <w:numId w:val="25"/>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防护罩材质：ABS  厚度δ=4</w:t>
            </w:r>
          </w:p>
          <w:p>
            <w:pPr>
              <w:pStyle w:val="49"/>
              <w:widowControl/>
              <w:numPr>
                <w:ilvl w:val="0"/>
                <w:numId w:val="25"/>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把套：PVC  浸塑把套</w:t>
            </w:r>
          </w:p>
          <w:p>
            <w:pPr>
              <w:pStyle w:val="49"/>
              <w:widowControl/>
              <w:numPr>
                <w:ilvl w:val="0"/>
                <w:numId w:val="25"/>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绳索规格：φ6钢丝绳 </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可承受力≥1000 KG</w:t>
            </w:r>
          </w:p>
          <w:p>
            <w:pPr>
              <w:pStyle w:val="49"/>
              <w:widowControl/>
              <w:numPr>
                <w:ilvl w:val="0"/>
                <w:numId w:val="25"/>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端盖材质：铝合金</w:t>
            </w:r>
          </w:p>
          <w:p>
            <w:pPr>
              <w:pStyle w:val="49"/>
              <w:widowControl/>
              <w:numPr>
                <w:ilvl w:val="0"/>
                <w:numId w:val="25"/>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配重块材质：钢板</w:t>
            </w:r>
          </w:p>
          <w:p>
            <w:pPr>
              <w:pStyle w:val="49"/>
              <w:widowControl/>
              <w:numPr>
                <w:ilvl w:val="0"/>
                <w:numId w:val="25"/>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最大配重≥100KG、最小配重≥5KG ；【5KG×19 + 5KG（导向块）×1】</w:t>
            </w:r>
          </w:p>
          <w:p>
            <w:pPr>
              <w:pStyle w:val="49"/>
              <w:widowControl/>
              <w:numPr>
                <w:ilvl w:val="0"/>
                <w:numId w:val="25"/>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最大承重≥150KG</w:t>
            </w:r>
          </w:p>
          <w:p>
            <w:pPr>
              <w:pStyle w:val="5"/>
              <w:numPr>
                <w:ilvl w:val="0"/>
                <w:numId w:val="25"/>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髋部训练器模拟压腿、踢腿运动过程中的肌肉形式，配有恒定的载荷曲线，用于增强四头肌、腿后肌、臀</w:t>
            </w:r>
            <w:r>
              <w:rPr>
                <w:rFonts w:hint="eastAsia" w:ascii="宋体" w:hAnsi="宋体" w:eastAsia="宋体" w:cs="宋体"/>
                <w:b w:val="0"/>
                <w:bCs w:val="0"/>
                <w:sz w:val="18"/>
                <w:szCs w:val="18"/>
                <w:lang w:eastAsia="zh-CN"/>
              </w:rPr>
              <w:t>肌肉</w:t>
            </w:r>
            <w:r>
              <w:rPr>
                <w:rFonts w:hint="eastAsia" w:ascii="宋体" w:hAnsi="宋体" w:eastAsia="宋体" w:cs="宋体"/>
                <w:b w:val="0"/>
                <w:bCs w:val="0"/>
                <w:sz w:val="18"/>
                <w:szCs w:val="18"/>
              </w:rPr>
              <w:t>。</w:t>
            </w:r>
          </w:p>
          <w:p>
            <w:pPr>
              <w:pStyle w:val="5"/>
              <w:numPr>
                <w:ilvl w:val="0"/>
                <w:numId w:val="25"/>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可调式插销设计，满足不同运动强度、不同身高人群的训练需求。</w:t>
            </w:r>
          </w:p>
          <w:p>
            <w:pPr>
              <w:pStyle w:val="5"/>
              <w:numPr>
                <w:ilvl w:val="0"/>
                <w:numId w:val="0"/>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15. 全自动激光切割机加工、机械手自动焊接，配以精致打磨，表面双层烤漆：灰闪银粉体喷涂+罩光。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3654"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21</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罗马椅</w:t>
            </w:r>
          </w:p>
        </w:tc>
        <w:tc>
          <w:tcPr>
            <w:tcW w:w="5024" w:type="dxa"/>
            <w:tcBorders>
              <w:top w:val="single" w:color="000000" w:sz="4" w:space="0"/>
              <w:left w:val="single" w:color="000000" w:sz="4" w:space="0"/>
              <w:bottom w:val="single" w:color="000000" w:sz="4" w:space="0"/>
              <w:right w:val="single" w:color="000000" w:sz="4" w:space="0"/>
            </w:tcBorders>
            <w:shd w:val="clear" w:color="auto" w:fill="FFFFFF"/>
          </w:tcPr>
          <w:p>
            <w:pPr>
              <w:pStyle w:val="49"/>
              <w:widowControl/>
              <w:numPr>
                <w:ilvl w:val="0"/>
                <w:numId w:val="26"/>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主框架材质：Q235 ，椭圆管≥120×60×2.5 mm</w:t>
            </w:r>
          </w:p>
          <w:p>
            <w:pPr>
              <w:pStyle w:val="49"/>
              <w:widowControl/>
              <w:numPr>
                <w:ilvl w:val="0"/>
                <w:numId w:val="26"/>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软包规格≥15mm高密度胶合板、PU发泡成型加硬海绵≥1.2mmPVC外包皮革</w:t>
            </w:r>
          </w:p>
          <w:p>
            <w:pPr>
              <w:pStyle w:val="49"/>
              <w:widowControl/>
              <w:numPr>
                <w:ilvl w:val="0"/>
                <w:numId w:val="26"/>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双层烤漆：灰闪银粉体喷涂+罩光</w:t>
            </w:r>
          </w:p>
          <w:p>
            <w:pPr>
              <w:pStyle w:val="49"/>
              <w:widowControl/>
              <w:numPr>
                <w:ilvl w:val="0"/>
                <w:numId w:val="26"/>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训练部位：腹直肌、腹外斜肌、竖脊肌</w:t>
            </w:r>
          </w:p>
          <w:p>
            <w:pPr>
              <w:pStyle w:val="49"/>
              <w:widowControl/>
              <w:numPr>
                <w:ilvl w:val="0"/>
                <w:numId w:val="26"/>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调节设计：可进行上、下7段调节</w:t>
            </w:r>
          </w:p>
          <w:p>
            <w:pPr>
              <w:pStyle w:val="49"/>
              <w:widowControl/>
              <w:numPr>
                <w:ilvl w:val="0"/>
                <w:numId w:val="26"/>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最大承重≥180KG</w:t>
            </w:r>
          </w:p>
          <w:p>
            <w:pPr>
              <w:pStyle w:val="49"/>
              <w:widowControl/>
              <w:numPr>
                <w:ilvl w:val="0"/>
                <w:numId w:val="26"/>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展开尺寸≥1268×690×880 mm</w:t>
            </w:r>
          </w:p>
          <w:p>
            <w:pPr>
              <w:pStyle w:val="49"/>
              <w:widowControl/>
              <w:numPr>
                <w:ilvl w:val="0"/>
                <w:numId w:val="26"/>
              </w:numPr>
              <w:spacing w:line="240" w:lineRule="auto"/>
              <w:ind w:firstLineChars="0"/>
              <w:jc w:val="left"/>
              <w:textAlignment w:val="top"/>
              <w:rPr>
                <w:rFonts w:hint="eastAsia" w:ascii="宋体" w:hAnsi="宋体" w:eastAsia="宋体" w:cs="宋体"/>
                <w:b/>
                <w:bCs/>
                <w:color w:val="000000"/>
                <w:sz w:val="18"/>
                <w:szCs w:val="18"/>
              </w:rPr>
            </w:pPr>
            <w:r>
              <w:rPr>
                <w:rFonts w:hint="eastAsia" w:ascii="宋体" w:hAnsi="宋体" w:eastAsia="宋体" w:cs="宋体"/>
                <w:color w:val="000000"/>
                <w:sz w:val="18"/>
                <w:szCs w:val="18"/>
              </w:rPr>
              <w:t>毛、净重≥55 KG 、41 KG</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可调式腹肌板</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5"/>
              <w:numPr>
                <w:ilvl w:val="0"/>
                <w:numId w:val="27"/>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椭圆钢管规格≥50*100mm，带Φ120</w:t>
            </w:r>
            <w:r>
              <w:rPr>
                <w:rFonts w:hint="eastAsia" w:ascii="宋体" w:hAnsi="宋体" w:eastAsia="宋体" w:cs="宋体"/>
                <w:b w:val="0"/>
                <w:bCs w:val="0"/>
                <w:color w:val="000000"/>
                <w:sz w:val="18"/>
                <w:szCs w:val="18"/>
                <w:lang w:eastAsia="zh-CN"/>
              </w:rPr>
              <w:t>聚氨酯</w:t>
            </w:r>
            <w:r>
              <w:rPr>
                <w:rFonts w:hint="eastAsia" w:ascii="宋体" w:hAnsi="宋体" w:eastAsia="宋体" w:cs="宋体"/>
                <w:b w:val="0"/>
                <w:bCs w:val="0"/>
                <w:color w:val="000000"/>
                <w:sz w:val="18"/>
                <w:szCs w:val="18"/>
              </w:rPr>
              <w:t>一体发泡和Φ90装饰罩的泡棉管；</w:t>
            </w:r>
          </w:p>
          <w:p>
            <w:pPr>
              <w:pStyle w:val="5"/>
              <w:numPr>
                <w:ilvl w:val="0"/>
                <w:numId w:val="27"/>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eastAsia="zh-CN"/>
              </w:rPr>
              <w:t>聚氨酯</w:t>
            </w:r>
            <w:r>
              <w:rPr>
                <w:rFonts w:hint="eastAsia" w:ascii="宋体" w:hAnsi="宋体" w:eastAsia="宋体" w:cs="宋体"/>
                <w:b w:val="0"/>
                <w:bCs w:val="0"/>
                <w:color w:val="000000"/>
                <w:sz w:val="18"/>
                <w:szCs w:val="18"/>
              </w:rPr>
              <w:t>一体发泡背垫，内置高强背板T≥12mm</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sz w:val="18"/>
                <w:szCs w:val="18"/>
              </w:rPr>
              <w:t>外覆PVC皮革材质皮套采用双针车缝；</w:t>
            </w:r>
          </w:p>
          <w:p>
            <w:pPr>
              <w:pStyle w:val="5"/>
              <w:numPr>
                <w:ilvl w:val="0"/>
                <w:numId w:val="27"/>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背垫弹性销≥7档0-30°调节，采用Φ≥50调节不锈钢圆管；</w:t>
            </w:r>
          </w:p>
          <w:p>
            <w:pPr>
              <w:pStyle w:val="5"/>
              <w:numPr>
                <w:ilvl w:val="0"/>
                <w:numId w:val="27"/>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防滑胶垫尺寸≥100*150mm；扶手采用撕不破扶手握套，带铝合金装饰件；</w:t>
            </w:r>
          </w:p>
          <w:p>
            <w:pPr>
              <w:pStyle w:val="5"/>
              <w:numPr>
                <w:ilvl w:val="0"/>
                <w:numId w:val="27"/>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承受人体质量（100kg）的2倍载荷，试验后应无永久变形；</w:t>
            </w:r>
          </w:p>
          <w:p>
            <w:pPr>
              <w:pStyle w:val="5"/>
              <w:numPr>
                <w:ilvl w:val="0"/>
                <w:numId w:val="27"/>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皮革座椅靠垫，厚度≥70mm；</w:t>
            </w:r>
          </w:p>
          <w:p>
            <w:pPr>
              <w:pStyle w:val="5"/>
              <w:numPr>
                <w:ilvl w:val="0"/>
                <w:numId w:val="27"/>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橡胶材质防滑减震脚垫≥3个；可移动滚轮≥2个，方便收纳搬移；</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豪华平卧推架</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5"/>
              <w:numPr>
                <w:ilvl w:val="0"/>
                <w:numId w:val="28"/>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椭圆钢管规格≥50*100mm，铃片管采用Φ≥50不锈钢圆管；</w:t>
            </w:r>
          </w:p>
          <w:p>
            <w:pPr>
              <w:pStyle w:val="5"/>
              <w:numPr>
                <w:ilvl w:val="0"/>
                <w:numId w:val="28"/>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杠铃支架外包胶内铸铁材质，支架前端顶部到杠铃杆间距≤38mm；</w:t>
            </w:r>
          </w:p>
          <w:p>
            <w:pPr>
              <w:pStyle w:val="5"/>
              <w:numPr>
                <w:ilvl w:val="0"/>
                <w:numId w:val="28"/>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杠铃支架前后端间距≥50mm，后端高出前端≥230mm；</w:t>
            </w:r>
          </w:p>
          <w:p>
            <w:pPr>
              <w:pStyle w:val="5"/>
              <w:numPr>
                <w:ilvl w:val="0"/>
                <w:numId w:val="28"/>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eastAsia="zh-CN"/>
              </w:rPr>
              <w:t>聚氨酯</w:t>
            </w:r>
            <w:r>
              <w:rPr>
                <w:rFonts w:hint="eastAsia" w:ascii="宋体" w:hAnsi="宋体" w:eastAsia="宋体" w:cs="宋体"/>
                <w:b w:val="0"/>
                <w:bCs w:val="0"/>
                <w:color w:val="000000"/>
                <w:sz w:val="18"/>
                <w:szCs w:val="18"/>
              </w:rPr>
              <w:t>一体发泡座垫，内置高强背板T≥12mm，外覆皮套需采用双针车缝；</w:t>
            </w:r>
          </w:p>
          <w:p>
            <w:pPr>
              <w:pStyle w:val="5"/>
              <w:numPr>
                <w:ilvl w:val="0"/>
                <w:numId w:val="28"/>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静管身表面需采用耐磨工艺，如静电热固化粉末涂层工艺，有除锈除油处理，如不锈钢砂抛丸处理，更耐用；</w:t>
            </w:r>
          </w:p>
          <w:p>
            <w:pPr>
              <w:pStyle w:val="5"/>
              <w:numPr>
                <w:ilvl w:val="0"/>
                <w:numId w:val="28"/>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双针缝制坐垫厚度≥70mm；</w:t>
            </w:r>
          </w:p>
          <w:p>
            <w:pPr>
              <w:pStyle w:val="5"/>
              <w:numPr>
                <w:ilvl w:val="0"/>
                <w:numId w:val="28"/>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机身配备杠铃片储存位，数量≥4组；</w:t>
            </w:r>
          </w:p>
          <w:p>
            <w:pPr>
              <w:pStyle w:val="5"/>
              <w:numPr>
                <w:ilvl w:val="0"/>
                <w:numId w:val="0"/>
              </w:numPr>
              <w:spacing w:line="240" w:lineRule="auto"/>
              <w:ind w:left="0" w:leftChars="0" w:firstLine="288" w:firstLineChars="0"/>
              <w:jc w:val="left"/>
              <w:rPr>
                <w:rFonts w:hint="eastAsia" w:ascii="宋体" w:hAnsi="宋体" w:eastAsia="宋体" w:cs="宋体"/>
                <w:sz w:val="18"/>
                <w:szCs w:val="18"/>
              </w:rPr>
            </w:pPr>
            <w:r>
              <w:rPr>
                <w:rFonts w:hint="eastAsia" w:ascii="宋体" w:hAnsi="宋体" w:eastAsia="宋体" w:cs="宋体"/>
                <w:b w:val="0"/>
                <w:bCs w:val="0"/>
                <w:color w:val="000000"/>
                <w:sz w:val="18"/>
                <w:szCs w:val="18"/>
              </w:rPr>
              <w:t>橡胶材质支撑点设计≥6个，脚垫尺寸≥100*150mm；</w:t>
            </w:r>
            <w:r>
              <w:rPr>
                <w:rFonts w:hint="eastAsia" w:ascii="宋体" w:hAnsi="宋体" w:eastAsia="宋体" w:cs="宋体"/>
                <w:sz w:val="18"/>
                <w:szCs w:val="18"/>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豪华下斜卧推架</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5"/>
              <w:numPr>
                <w:ilvl w:val="0"/>
                <w:numId w:val="2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机器主要采用规格≥100*50扁圆管；</w:t>
            </w:r>
          </w:p>
          <w:p>
            <w:pPr>
              <w:pStyle w:val="5"/>
              <w:numPr>
                <w:ilvl w:val="0"/>
                <w:numId w:val="2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有防脱安全设计，带2段钢芯杠铃杆托架；</w:t>
            </w:r>
          </w:p>
          <w:p>
            <w:pPr>
              <w:pStyle w:val="5"/>
              <w:numPr>
                <w:ilvl w:val="0"/>
                <w:numId w:val="2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不锈钢杠铃片架承重杆≥2根，可存放多种规格重量的杠铃片；</w:t>
            </w:r>
          </w:p>
          <w:p>
            <w:pPr>
              <w:pStyle w:val="5"/>
              <w:numPr>
                <w:ilvl w:val="0"/>
                <w:numId w:val="2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eastAsia="zh-CN"/>
              </w:rPr>
              <w:t>聚氨酯</w:t>
            </w:r>
            <w:r>
              <w:rPr>
                <w:rFonts w:hint="eastAsia" w:ascii="宋体" w:hAnsi="宋体" w:eastAsia="宋体" w:cs="宋体"/>
                <w:b w:val="0"/>
                <w:bCs w:val="0"/>
                <w:color w:val="000000"/>
                <w:sz w:val="18"/>
                <w:szCs w:val="18"/>
              </w:rPr>
              <w:t>一体发泡背垫、座垫，内置高强背板T≥12mm，外覆PVC皮革材质皮套采用双针车缝；</w:t>
            </w:r>
          </w:p>
          <w:p>
            <w:pPr>
              <w:pStyle w:val="5"/>
              <w:numPr>
                <w:ilvl w:val="0"/>
                <w:numId w:val="2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多档位调节，调节位置采用304级或以上级别不锈钢；</w:t>
            </w:r>
          </w:p>
          <w:p>
            <w:pPr>
              <w:pStyle w:val="5"/>
              <w:numPr>
                <w:ilvl w:val="0"/>
                <w:numId w:val="29"/>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橡胶材质脚垫≥6个，脚垫尺寸≥100*150mm；</w:t>
            </w:r>
          </w:p>
          <w:p>
            <w:pPr>
              <w:pStyle w:val="5"/>
              <w:numPr>
                <w:ilvl w:val="0"/>
                <w:numId w:val="29"/>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color w:val="000000"/>
                <w:sz w:val="18"/>
                <w:szCs w:val="18"/>
              </w:rPr>
              <w:t>静管身表面需采用耐磨工艺，如静电热固化粉末涂层工艺，有除锈除油处理，如不锈钢砂抛丸处理，更耐用。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豪华上斜卧推架</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5"/>
              <w:numPr>
                <w:ilvl w:val="0"/>
                <w:numId w:val="3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机器主要采用规格≥100*50扁圆管；</w:t>
            </w:r>
          </w:p>
          <w:p>
            <w:pPr>
              <w:pStyle w:val="5"/>
              <w:numPr>
                <w:ilvl w:val="0"/>
                <w:numId w:val="3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eastAsia="zh-CN"/>
              </w:rPr>
              <w:t>聚氨酯</w:t>
            </w:r>
            <w:r>
              <w:rPr>
                <w:rFonts w:hint="eastAsia" w:ascii="宋体" w:hAnsi="宋体" w:eastAsia="宋体" w:cs="宋体"/>
                <w:b w:val="0"/>
                <w:bCs w:val="0"/>
                <w:color w:val="000000"/>
                <w:sz w:val="18"/>
                <w:szCs w:val="18"/>
              </w:rPr>
              <w:t>一体发泡背垫、座垫，内置高强背板T≥12mm，外覆PVC皮革材质皮套采用双针车缝；</w:t>
            </w:r>
          </w:p>
          <w:p>
            <w:pPr>
              <w:pStyle w:val="5"/>
              <w:numPr>
                <w:ilvl w:val="0"/>
                <w:numId w:val="3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多档位调节，调节位置采用304级或以上级别不锈钢；</w:t>
            </w:r>
          </w:p>
          <w:p>
            <w:pPr>
              <w:pStyle w:val="5"/>
              <w:numPr>
                <w:ilvl w:val="0"/>
                <w:numId w:val="30"/>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橡胶材质脚垫≥6个，脚垫尺寸≥100*150mm；</w:t>
            </w:r>
          </w:p>
          <w:p>
            <w:pPr>
              <w:pStyle w:val="5"/>
              <w:numPr>
                <w:ilvl w:val="0"/>
                <w:numId w:val="30"/>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color w:val="000000"/>
                <w:sz w:val="18"/>
                <w:szCs w:val="18"/>
              </w:rPr>
              <w:t>静管身表面需采用耐磨工艺，如静电热固化粉末涂层工艺，有除锈除油处理，如不锈钢砂抛丸处理，更耐用；</w:t>
            </w:r>
            <w:r>
              <w:rPr>
                <w:rFonts w:hint="eastAsia" w:ascii="宋体" w:hAnsi="宋体" w:eastAsia="宋体" w:cs="宋体"/>
                <w:b w:val="0"/>
                <w:bCs w:val="0"/>
                <w:sz w:val="18"/>
                <w:szCs w:val="18"/>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杠铃架</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5"/>
              <w:numPr>
                <w:ilvl w:val="0"/>
                <w:numId w:val="31"/>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管身采用椭圆钢管规格≥50*100mm；</w:t>
            </w:r>
          </w:p>
          <w:p>
            <w:pPr>
              <w:pStyle w:val="5"/>
              <w:numPr>
                <w:ilvl w:val="0"/>
                <w:numId w:val="31"/>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管材厚度≥2.5mm；</w:t>
            </w:r>
          </w:p>
          <w:p>
            <w:pPr>
              <w:pStyle w:val="5"/>
              <w:numPr>
                <w:ilvl w:val="0"/>
                <w:numId w:val="31"/>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静管身表面需采用耐磨工艺，如静电热固化粉末涂层工艺，有除锈除油处理，如不锈钢砂抛丸处理，更耐用；</w:t>
            </w:r>
          </w:p>
          <w:p>
            <w:pPr>
              <w:pStyle w:val="5"/>
              <w:numPr>
                <w:ilvl w:val="0"/>
                <w:numId w:val="31"/>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杠铃片储存位≥10组，金属托架，杠铃放置口凹陷形设计；</w:t>
            </w:r>
          </w:p>
          <w:p>
            <w:pPr>
              <w:pStyle w:val="5"/>
              <w:numPr>
                <w:ilvl w:val="0"/>
                <w:numId w:val="31"/>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color w:val="000000"/>
                <w:sz w:val="18"/>
                <w:szCs w:val="18"/>
              </w:rPr>
              <w:t>橡胶材质防滑减震脚垫≥4个，尺寸≥100*150mm。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史密斯训练器</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5"/>
              <w:numPr>
                <w:ilvl w:val="0"/>
                <w:numId w:val="0"/>
              </w:numPr>
              <w:spacing w:line="240" w:lineRule="auto"/>
              <w:ind w:left="648" w:leftChars="0"/>
              <w:jc w:val="left"/>
              <w:rPr>
                <w:rFonts w:hint="eastAsia" w:ascii="宋体" w:hAnsi="宋体" w:eastAsia="宋体" w:cs="宋体"/>
                <w:b w:val="0"/>
                <w:bCs w:val="0"/>
                <w:color w:val="000000"/>
                <w:sz w:val="18"/>
                <w:szCs w:val="18"/>
              </w:rPr>
            </w:pPr>
          </w:p>
          <w:p>
            <w:pPr>
              <w:pStyle w:val="5"/>
              <w:numPr>
                <w:ilvl w:val="0"/>
                <w:numId w:val="32"/>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机身采用轴承钢导轨优质直线轴承和高分子耐磨轴套，</w:t>
            </w:r>
          </w:p>
          <w:p>
            <w:pPr>
              <w:pStyle w:val="5"/>
              <w:numPr>
                <w:ilvl w:val="0"/>
                <w:numId w:val="32"/>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拉索需采用φ≥5高强度柔性不锈钢索，运动顺畅，安全</w:t>
            </w:r>
            <w:r>
              <w:rPr>
                <w:rFonts w:hint="eastAsia" w:ascii="宋体" w:hAnsi="宋体" w:eastAsia="宋体" w:cs="宋体"/>
                <w:b w:val="0"/>
                <w:bCs w:val="0"/>
                <w:color w:val="000000"/>
                <w:sz w:val="18"/>
                <w:szCs w:val="18"/>
                <w:lang w:eastAsia="zh-CN"/>
              </w:rPr>
              <w:t>无噪声</w:t>
            </w:r>
            <w:r>
              <w:rPr>
                <w:rFonts w:hint="eastAsia" w:ascii="宋体" w:hAnsi="宋体" w:eastAsia="宋体" w:cs="宋体"/>
                <w:b w:val="0"/>
                <w:bCs w:val="0"/>
                <w:color w:val="000000"/>
                <w:sz w:val="18"/>
                <w:szCs w:val="18"/>
              </w:rPr>
              <w:t>；</w:t>
            </w:r>
          </w:p>
          <w:p>
            <w:pPr>
              <w:pStyle w:val="5"/>
              <w:numPr>
                <w:ilvl w:val="0"/>
                <w:numId w:val="32"/>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轴承导轨需采用不锈钢，PU耐磨钢索；</w:t>
            </w:r>
          </w:p>
          <w:p>
            <w:pPr>
              <w:pStyle w:val="5"/>
              <w:numPr>
                <w:ilvl w:val="0"/>
                <w:numId w:val="32"/>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静管身表面需采用耐磨工艺，如静电热固化粉末涂层工艺，有除锈除油处理，如不锈钢砂抛丸处理，更耐用；</w:t>
            </w:r>
          </w:p>
          <w:p>
            <w:pPr>
              <w:pStyle w:val="5"/>
              <w:numPr>
                <w:ilvl w:val="0"/>
                <w:numId w:val="32"/>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带平衡块，获得更流畅的运动和更小的初始重量；</w:t>
            </w:r>
          </w:p>
          <w:p>
            <w:pPr>
              <w:pStyle w:val="5"/>
              <w:numPr>
                <w:ilvl w:val="0"/>
                <w:numId w:val="32"/>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开放式设计，方便使用者进出；</w:t>
            </w:r>
          </w:p>
          <w:p>
            <w:pPr>
              <w:pStyle w:val="5"/>
              <w:numPr>
                <w:ilvl w:val="0"/>
                <w:numId w:val="32"/>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倾斜7°设计，适合深蹲推举，可训练到三角肌，臀大肌，肱三头肌，腓肠肌，胸大肌，股四头肌，股直肌；</w:t>
            </w:r>
          </w:p>
          <w:p>
            <w:pPr>
              <w:pStyle w:val="5"/>
              <w:numPr>
                <w:ilvl w:val="0"/>
                <w:numId w:val="32"/>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多档位调节，调节位置采用304级或以上级别不锈钢；</w:t>
            </w:r>
          </w:p>
          <w:p>
            <w:pPr>
              <w:pStyle w:val="5"/>
              <w:numPr>
                <w:ilvl w:val="0"/>
                <w:numId w:val="32"/>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橡胶材质脚垫≥4个，脚垫尺寸≥10*15cm；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大飞鸟</w:t>
            </w:r>
          </w:p>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训练器</w:t>
            </w:r>
          </w:p>
        </w:tc>
        <w:tc>
          <w:tcPr>
            <w:tcW w:w="5024" w:type="dxa"/>
            <w:tcBorders>
              <w:top w:val="single" w:color="000000" w:sz="4" w:space="0"/>
              <w:left w:val="single" w:color="000000" w:sz="4" w:space="0"/>
              <w:bottom w:val="single" w:color="000000" w:sz="4" w:space="0"/>
              <w:right w:val="single" w:color="000000" w:sz="4" w:space="0"/>
            </w:tcBorders>
            <w:shd w:val="clear" w:color="auto" w:fill="FFFFFF"/>
          </w:tcPr>
          <w:p>
            <w:pPr>
              <w:pStyle w:val="5"/>
              <w:numPr>
                <w:ilvl w:val="0"/>
                <w:numId w:val="3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钢管采用≥75*130mm面包管，≥50*100mm椭圆管；</w:t>
            </w:r>
          </w:p>
          <w:p>
            <w:pPr>
              <w:pStyle w:val="5"/>
              <w:numPr>
                <w:ilvl w:val="0"/>
                <w:numId w:val="3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滑杆采用φ≥20不锈钢圆管，选择杆采用φ≥22实心杆；</w:t>
            </w:r>
          </w:p>
          <w:p>
            <w:pPr>
              <w:pStyle w:val="5"/>
              <w:numPr>
                <w:ilvl w:val="0"/>
                <w:numId w:val="3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滑轮：φ≥106高精度滑轮，滑轮槽d/2⊆</w:t>
            </w: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rPr>
              <w:t>2.65，2.70</w:t>
            </w: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rPr>
              <w:t>mm；</w:t>
            </w:r>
          </w:p>
          <w:p>
            <w:pPr>
              <w:pStyle w:val="5"/>
              <w:numPr>
                <w:ilvl w:val="0"/>
                <w:numId w:val="3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不锈钢矩形管作为调节管，尺寸规格≥30*70mm，弹性销调节方式≥13档调节；</w:t>
            </w:r>
          </w:p>
          <w:p>
            <w:pPr>
              <w:pStyle w:val="5"/>
              <w:numPr>
                <w:ilvl w:val="0"/>
                <w:numId w:val="3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器材需明确标识配重支撑的最大承载能力，为防止配重盘跌落需配备锁定装置；</w:t>
            </w:r>
          </w:p>
          <w:p>
            <w:pPr>
              <w:pStyle w:val="5"/>
              <w:numPr>
                <w:ilvl w:val="0"/>
                <w:numId w:val="3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插销采用φ≥10磁性插销；活动钢丝绳采用φ≥5包胶钢丝绳；</w:t>
            </w:r>
          </w:p>
          <w:p>
            <w:pPr>
              <w:pStyle w:val="5"/>
              <w:numPr>
                <w:ilvl w:val="0"/>
                <w:numId w:val="3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带防滑胶垫，尺寸规格≥100*150mm；带70*M12水平调整圆垫，保持机器水平不倾斜；</w:t>
            </w:r>
          </w:p>
          <w:p>
            <w:pPr>
              <w:pStyle w:val="5"/>
              <w:numPr>
                <w:ilvl w:val="0"/>
                <w:numId w:val="3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承受固有载荷（S类，2*150kg），试验后应无永久变形；</w:t>
            </w:r>
            <w:r>
              <w:rPr>
                <w:rFonts w:hint="eastAsia" w:ascii="宋体" w:hAnsi="宋体" w:eastAsia="宋体" w:cs="宋体"/>
                <w:b w:val="0"/>
                <w:bCs w:val="0"/>
                <w:sz w:val="18"/>
                <w:szCs w:val="18"/>
                <w:lang w:val="zh-CN"/>
              </w:rPr>
              <w:t>须</w:t>
            </w:r>
            <w:r>
              <w:rPr>
                <w:rFonts w:hint="eastAsia" w:ascii="宋体" w:hAnsi="宋体" w:eastAsia="宋体" w:cs="宋体"/>
                <w:b w:val="0"/>
                <w:bCs w:val="0"/>
                <w:kern w:val="0"/>
                <w:sz w:val="18"/>
                <w:szCs w:val="18"/>
                <w:lang w:val="zh-CN"/>
              </w:rPr>
              <w:t>承诺质保期后终身提供优惠的技术支持和维修服务，保证采购人能及时购买所需的备品备件和易损件</w:t>
            </w:r>
            <w:r>
              <w:rPr>
                <w:rFonts w:hint="eastAsia" w:ascii="宋体" w:hAnsi="宋体" w:eastAsia="宋体" w:cs="宋体"/>
                <w:b w:val="0"/>
                <w:bCs w:val="0"/>
                <w:color w:val="000000"/>
                <w:sz w:val="18"/>
                <w:szCs w:val="18"/>
              </w:rPr>
              <w:t>；</w:t>
            </w:r>
          </w:p>
          <w:p>
            <w:pPr>
              <w:pStyle w:val="5"/>
              <w:numPr>
                <w:ilvl w:val="0"/>
                <w:numId w:val="3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1轴套需采用高分子耐磨工艺，配重导杆需采用不锈钢材质；拉索需采用φ≥5高强度柔性不锈钢索，运动顺畅，安全</w:t>
            </w:r>
            <w:r>
              <w:rPr>
                <w:rFonts w:hint="eastAsia" w:ascii="宋体" w:hAnsi="宋体" w:eastAsia="宋体" w:cs="宋体"/>
                <w:b w:val="0"/>
                <w:bCs w:val="0"/>
                <w:color w:val="000000"/>
                <w:sz w:val="18"/>
                <w:szCs w:val="18"/>
                <w:lang w:eastAsia="zh-CN"/>
              </w:rPr>
              <w:t>无噪声</w:t>
            </w:r>
            <w:r>
              <w:rPr>
                <w:rFonts w:hint="eastAsia" w:ascii="宋体" w:hAnsi="宋体" w:eastAsia="宋体" w:cs="宋体"/>
                <w:b w:val="0"/>
                <w:bCs w:val="0"/>
                <w:color w:val="000000"/>
                <w:sz w:val="18"/>
                <w:szCs w:val="18"/>
              </w:rPr>
              <w:t>；</w:t>
            </w:r>
          </w:p>
          <w:p>
            <w:pPr>
              <w:pStyle w:val="5"/>
              <w:numPr>
                <w:ilvl w:val="0"/>
                <w:numId w:val="3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1带天梯和双位引体向上手把，训练方式多样，可做天梯</w:t>
            </w:r>
            <w:r>
              <w:rPr>
                <w:rFonts w:hint="eastAsia" w:ascii="宋体" w:hAnsi="宋体" w:eastAsia="宋体" w:cs="宋体"/>
                <w:b w:val="0"/>
                <w:bCs w:val="0"/>
                <w:color w:val="000000"/>
                <w:sz w:val="18"/>
                <w:szCs w:val="18"/>
                <w:lang w:eastAsia="zh-CN"/>
              </w:rPr>
              <w:t>攀登运动</w:t>
            </w:r>
            <w:r>
              <w:rPr>
                <w:rFonts w:hint="eastAsia" w:ascii="宋体" w:hAnsi="宋体" w:eastAsia="宋体" w:cs="宋体"/>
                <w:b w:val="0"/>
                <w:bCs w:val="0"/>
                <w:color w:val="000000"/>
                <w:sz w:val="18"/>
                <w:szCs w:val="18"/>
              </w:rPr>
              <w:t>，全封闭护罩，保证安全又增加稳固性；</w:t>
            </w:r>
          </w:p>
          <w:p>
            <w:pPr>
              <w:pStyle w:val="5"/>
              <w:numPr>
                <w:ilvl w:val="0"/>
                <w:numId w:val="3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1配置两组配重块，单组配置配重≥70kg，多档位调节，调节位置采用304级或以上级别不锈钢，标示磅/千克两种重量单位；</w:t>
            </w:r>
          </w:p>
          <w:p>
            <w:pPr>
              <w:pStyle w:val="5"/>
              <w:numPr>
                <w:ilvl w:val="0"/>
                <w:numId w:val="3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静管身表面需采用耐磨工艺，如静电热固化粉末涂层工艺，有除锈除油处理，如不锈钢砂抛丸处理，更耐用。</w:t>
            </w:r>
          </w:p>
          <w:p>
            <w:pPr>
              <w:pStyle w:val="5"/>
              <w:numPr>
                <w:ilvl w:val="0"/>
                <w:numId w:val="33"/>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产品配备运动示意图以及安全警示标识；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哑铃架</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49"/>
              <w:widowControl/>
              <w:numPr>
                <w:ilvl w:val="0"/>
                <w:numId w:val="34"/>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管身采用规格≥50*100mm的不锈钢扁圆管和Φ50*2.5mm角铁；</w:t>
            </w:r>
          </w:p>
          <w:p>
            <w:pPr>
              <w:pStyle w:val="49"/>
              <w:widowControl/>
              <w:numPr>
                <w:ilvl w:val="0"/>
                <w:numId w:val="34"/>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静管身表面需采用耐磨工艺，如静电热固化粉末涂层工艺，有除锈除油处理，如不锈钢砂抛丸处理，更耐用；</w:t>
            </w:r>
          </w:p>
          <w:p>
            <w:pPr>
              <w:pStyle w:val="49"/>
              <w:widowControl/>
              <w:numPr>
                <w:ilvl w:val="0"/>
                <w:numId w:val="34"/>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可根据锻炼者不同的需求配不同重量的哑铃；</w:t>
            </w:r>
          </w:p>
          <w:p>
            <w:pPr>
              <w:pStyle w:val="49"/>
              <w:widowControl/>
              <w:numPr>
                <w:ilvl w:val="0"/>
                <w:numId w:val="34"/>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30度倾角的</w:t>
            </w:r>
            <w:r>
              <w:rPr>
                <w:rFonts w:hint="eastAsia" w:ascii="宋体" w:hAnsi="宋体" w:eastAsia="宋体" w:cs="宋体"/>
                <w:color w:val="000000"/>
                <w:sz w:val="18"/>
                <w:szCs w:val="18"/>
                <w:lang w:eastAsia="zh-CN"/>
              </w:rPr>
              <w:t>月牙形</w:t>
            </w:r>
            <w:r>
              <w:rPr>
                <w:rFonts w:hint="eastAsia" w:ascii="宋体" w:hAnsi="宋体" w:eastAsia="宋体" w:cs="宋体"/>
                <w:color w:val="000000"/>
                <w:sz w:val="18"/>
                <w:szCs w:val="18"/>
              </w:rPr>
              <w:t>架托设计；</w:t>
            </w:r>
          </w:p>
          <w:p>
            <w:pPr>
              <w:pStyle w:val="49"/>
              <w:widowControl/>
              <w:numPr>
                <w:ilvl w:val="0"/>
                <w:numId w:val="34"/>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橡胶材质防滑减震脚垫≥4个，脚垫尺寸≥100*150mm；</w:t>
            </w:r>
          </w:p>
          <w:p>
            <w:pPr>
              <w:pStyle w:val="49"/>
              <w:widowControl/>
              <w:numPr>
                <w:ilvl w:val="0"/>
                <w:numId w:val="34"/>
              </w:numPr>
              <w:spacing w:line="240" w:lineRule="auto"/>
              <w:ind w:firstLineChars="0"/>
              <w:jc w:val="left"/>
              <w:textAlignment w:val="top"/>
              <w:rPr>
                <w:rFonts w:hint="eastAsia" w:ascii="宋体" w:hAnsi="宋体" w:eastAsia="宋体" w:cs="宋体"/>
                <w:color w:val="000000"/>
                <w:sz w:val="18"/>
                <w:szCs w:val="18"/>
              </w:rPr>
            </w:pPr>
            <w:r>
              <w:rPr>
                <w:rFonts w:hint="eastAsia" w:ascii="宋体" w:hAnsi="宋体" w:eastAsia="宋体" w:cs="宋体"/>
                <w:color w:val="000000"/>
                <w:sz w:val="18"/>
                <w:szCs w:val="18"/>
              </w:rPr>
              <w:t>二十个哑铃储存位，可放置十对哑铃；</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可调哑铃椅</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5"/>
              <w:numPr>
                <w:ilvl w:val="0"/>
                <w:numId w:val="35"/>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椭圆钢管规格≥50*100mm；调节管采用φ≥50不锈钢圆管；</w:t>
            </w:r>
          </w:p>
          <w:p>
            <w:pPr>
              <w:pStyle w:val="5"/>
              <w:numPr>
                <w:ilvl w:val="0"/>
                <w:numId w:val="35"/>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eastAsia="zh-CN"/>
              </w:rPr>
              <w:t>聚氨酯</w:t>
            </w:r>
            <w:r>
              <w:rPr>
                <w:rFonts w:hint="eastAsia" w:ascii="宋体" w:hAnsi="宋体" w:eastAsia="宋体" w:cs="宋体"/>
                <w:b w:val="0"/>
                <w:bCs w:val="0"/>
                <w:color w:val="000000"/>
                <w:sz w:val="18"/>
                <w:szCs w:val="18"/>
              </w:rPr>
              <w:t>一体发泡背垫、座垫，内置高强背板T≥12mm</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sz w:val="18"/>
                <w:szCs w:val="18"/>
              </w:rPr>
              <w:t>外覆PVC皮革材质皮套采用双针车缝；</w:t>
            </w:r>
          </w:p>
          <w:p>
            <w:pPr>
              <w:pStyle w:val="5"/>
              <w:numPr>
                <w:ilvl w:val="0"/>
                <w:numId w:val="35"/>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背垫可调节，弹性销≥7档0-90°调节；座垫可调节，弹性销≥5档0-22°调节；</w:t>
            </w:r>
          </w:p>
          <w:p>
            <w:pPr>
              <w:pStyle w:val="5"/>
              <w:numPr>
                <w:ilvl w:val="0"/>
                <w:numId w:val="35"/>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防滑胶垫尺寸≥100*150mm，φ≥60脚轮，材质采用高强度塑胶；</w:t>
            </w:r>
          </w:p>
          <w:p>
            <w:pPr>
              <w:pStyle w:val="5"/>
              <w:numPr>
                <w:ilvl w:val="0"/>
                <w:numId w:val="35"/>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承受人体质量（150kg）的2倍载荷，试验后应无永久变形；</w:t>
            </w:r>
          </w:p>
          <w:p>
            <w:pPr>
              <w:pStyle w:val="5"/>
              <w:numPr>
                <w:ilvl w:val="0"/>
                <w:numId w:val="35"/>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橡胶材质防滑减震脚垫≥3个；可移动滚轮≥2个；</w:t>
            </w:r>
          </w:p>
          <w:p>
            <w:pPr>
              <w:pStyle w:val="5"/>
              <w:numPr>
                <w:ilvl w:val="0"/>
                <w:numId w:val="35"/>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具有多种训练功能</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sz w:val="18"/>
                <w:szCs w:val="18"/>
              </w:rPr>
              <w:t>可以配合哑铃、深蹲架、史密斯机等使用；</w:t>
            </w:r>
          </w:p>
          <w:p>
            <w:pPr>
              <w:pStyle w:val="5"/>
              <w:numPr>
                <w:ilvl w:val="0"/>
                <w:numId w:val="35"/>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把手需采用非吸附材料和铝合金端盖，多档位调节，调节位置采用304级或以上级别不锈钢；</w:t>
            </w:r>
          </w:p>
          <w:p>
            <w:pPr>
              <w:pStyle w:val="5"/>
              <w:numPr>
                <w:ilvl w:val="0"/>
                <w:numId w:val="35"/>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静管身表面需采用耐磨工艺，如静电热固化粉末涂层工艺，有除锈除油处理，如不锈钢砂抛丸处理，更耐用；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哑铃平凳</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5"/>
              <w:numPr>
                <w:ilvl w:val="0"/>
                <w:numId w:val="3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机器主要采用规格≥100*50扁圆管；</w:t>
            </w:r>
          </w:p>
          <w:p>
            <w:pPr>
              <w:pStyle w:val="5"/>
              <w:numPr>
                <w:ilvl w:val="0"/>
                <w:numId w:val="3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座垫厚度≥70mm，内置高强背板t≥12mm，外覆高档加厚汽车级PVC皮革材质皮套采用双针车缝；</w:t>
            </w:r>
          </w:p>
          <w:p>
            <w:pPr>
              <w:pStyle w:val="5"/>
              <w:numPr>
                <w:ilvl w:val="0"/>
                <w:numId w:val="3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电热固化粉末涂层用于管身表面，更耐用耐磨，采用不锈钢砂抛丸处理达到除锈除油效果，使表面烤漆附着力更高，更耐用；</w:t>
            </w:r>
          </w:p>
          <w:p>
            <w:pPr>
              <w:pStyle w:val="5"/>
              <w:numPr>
                <w:ilvl w:val="0"/>
                <w:numId w:val="3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把手采用非吸附材料和铝合金端盖；</w:t>
            </w:r>
          </w:p>
          <w:p>
            <w:pPr>
              <w:pStyle w:val="5"/>
              <w:numPr>
                <w:ilvl w:val="0"/>
                <w:numId w:val="3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可移动滚轮≥2个可自由搬移方便收纳；</w:t>
            </w:r>
          </w:p>
          <w:p>
            <w:pPr>
              <w:pStyle w:val="5"/>
              <w:numPr>
                <w:ilvl w:val="0"/>
                <w:numId w:val="36"/>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带减震保护地面设计，橡胶材质脚垫≥3个，脚垫尺寸≥100*150mm；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小飞鸟</w:t>
            </w:r>
          </w:p>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训练器</w:t>
            </w:r>
          </w:p>
        </w:tc>
        <w:tc>
          <w:tcPr>
            <w:tcW w:w="5024" w:type="dxa"/>
            <w:tcBorders>
              <w:top w:val="single" w:color="000000" w:sz="4" w:space="0"/>
              <w:left w:val="single" w:color="000000" w:sz="4" w:space="0"/>
              <w:bottom w:val="single" w:color="000000" w:sz="4" w:space="0"/>
              <w:right w:val="single" w:color="000000" w:sz="4" w:space="0"/>
            </w:tcBorders>
            <w:shd w:val="clear" w:color="auto" w:fill="auto"/>
          </w:tcPr>
          <w:p>
            <w:pPr>
              <w:pStyle w:val="5"/>
              <w:numPr>
                <w:ilvl w:val="0"/>
                <w:numId w:val="37"/>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机身钢管主要采用≥100*50mm扁圆管；</w:t>
            </w:r>
          </w:p>
          <w:p>
            <w:pPr>
              <w:pStyle w:val="5"/>
              <w:numPr>
                <w:ilvl w:val="0"/>
                <w:numId w:val="37"/>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两组配重，每组配重≥70kg，多档位调节，调节位置采用304级或以上级别不锈钢，标示磅/千克两种重量单位；</w:t>
            </w:r>
          </w:p>
          <w:p>
            <w:pPr>
              <w:pStyle w:val="5"/>
              <w:numPr>
                <w:ilvl w:val="0"/>
                <w:numId w:val="37"/>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采用轴套需采用高分子耐磨工艺，配重导杆需采用不锈钢材质；</w:t>
            </w:r>
          </w:p>
          <w:p>
            <w:pPr>
              <w:pStyle w:val="5"/>
              <w:numPr>
                <w:ilvl w:val="0"/>
                <w:numId w:val="37"/>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拉索需采用φ≥5高强度柔性不锈钢索，运动顺畅，安全</w:t>
            </w:r>
            <w:r>
              <w:rPr>
                <w:rFonts w:hint="eastAsia" w:ascii="宋体" w:hAnsi="宋体" w:eastAsia="宋体" w:cs="宋体"/>
                <w:b w:val="0"/>
                <w:bCs w:val="0"/>
                <w:color w:val="000000"/>
                <w:sz w:val="18"/>
                <w:szCs w:val="18"/>
                <w:lang w:eastAsia="zh-CN"/>
              </w:rPr>
              <w:t>无噪声</w:t>
            </w:r>
            <w:r>
              <w:rPr>
                <w:rFonts w:hint="eastAsia" w:ascii="宋体" w:hAnsi="宋体" w:eastAsia="宋体" w:cs="宋体"/>
                <w:b w:val="0"/>
                <w:bCs w:val="0"/>
                <w:color w:val="000000"/>
                <w:sz w:val="18"/>
                <w:szCs w:val="18"/>
              </w:rPr>
              <w:t>；</w:t>
            </w:r>
          </w:p>
          <w:p>
            <w:pPr>
              <w:pStyle w:val="5"/>
              <w:numPr>
                <w:ilvl w:val="0"/>
                <w:numId w:val="37"/>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把手采用非吸附材料和铝合金端盖；</w:t>
            </w:r>
          </w:p>
          <w:p>
            <w:pPr>
              <w:pStyle w:val="5"/>
              <w:numPr>
                <w:ilvl w:val="0"/>
                <w:numId w:val="37"/>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橡胶材质脚垫≥4个，脚垫尺寸≥100*150mm；</w:t>
            </w:r>
          </w:p>
          <w:p>
            <w:pPr>
              <w:pStyle w:val="5"/>
              <w:numPr>
                <w:ilvl w:val="0"/>
                <w:numId w:val="37"/>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产品配备运动示意图以及安全警示标识；</w:t>
            </w:r>
            <w:r>
              <w:rPr>
                <w:rFonts w:hint="eastAsia" w:ascii="宋体" w:hAnsi="宋体" w:eastAsia="宋体" w:cs="宋体"/>
                <w:b w:val="0"/>
                <w:bCs w:val="0"/>
                <w:sz w:val="18"/>
                <w:szCs w:val="18"/>
                <w:lang w:val="zh-CN"/>
              </w:rPr>
              <w:t>须</w:t>
            </w:r>
            <w:r>
              <w:rPr>
                <w:rFonts w:hint="eastAsia" w:ascii="宋体" w:hAnsi="宋体" w:eastAsia="宋体" w:cs="宋体"/>
                <w:b w:val="0"/>
                <w:bCs w:val="0"/>
                <w:kern w:val="0"/>
                <w:sz w:val="18"/>
                <w:szCs w:val="18"/>
                <w:lang w:val="zh-CN"/>
              </w:rPr>
              <w:t>承诺质保期后终身提供优惠的技术支持和维修服务，保证采购人能及时购买所需的备品备件和易损件</w:t>
            </w:r>
            <w:r>
              <w:rPr>
                <w:rFonts w:hint="eastAsia" w:ascii="宋体" w:hAnsi="宋体" w:eastAsia="宋体" w:cs="宋体"/>
                <w:b w:val="0"/>
                <w:bCs w:val="0"/>
                <w:color w:val="000000"/>
                <w:sz w:val="18"/>
                <w:szCs w:val="18"/>
              </w:rPr>
              <w:t>；</w:t>
            </w:r>
          </w:p>
          <w:p>
            <w:pPr>
              <w:pStyle w:val="5"/>
              <w:numPr>
                <w:ilvl w:val="0"/>
                <w:numId w:val="37"/>
              </w:numPr>
              <w:spacing w:line="240" w:lineRule="auto"/>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电热固化粉末涂层用于管身表面，更耐用耐磨，采用不锈钢砂抛丸处理达到除锈除油效果，使表面烤漆附着力更高，更耐用；</w:t>
            </w:r>
          </w:p>
          <w:p>
            <w:pPr>
              <w:pStyle w:val="5"/>
              <w:numPr>
                <w:ilvl w:val="0"/>
                <w:numId w:val="37"/>
              </w:numPr>
              <w:spacing w:line="240" w:lineRule="auto"/>
              <w:jc w:val="left"/>
              <w:rPr>
                <w:rFonts w:hint="eastAsia" w:ascii="宋体" w:hAnsi="宋体" w:eastAsia="宋体" w:cs="宋体"/>
                <w:b w:val="0"/>
                <w:bCs w:val="0"/>
                <w:sz w:val="18"/>
                <w:szCs w:val="18"/>
              </w:rPr>
            </w:pPr>
            <w:r>
              <w:rPr>
                <w:rFonts w:hint="eastAsia" w:ascii="宋体" w:hAnsi="宋体" w:eastAsia="宋体" w:cs="宋体"/>
                <w:b w:val="0"/>
                <w:bCs w:val="0"/>
                <w:color w:val="000000"/>
                <w:sz w:val="18"/>
                <w:szCs w:val="18"/>
              </w:rPr>
              <w:t>带引体向上手把提供了多样的训练方式，可训练到以胸大肌为主的胸部诸肌、背部肌肉、手臂诸肌等；</w:t>
            </w:r>
            <w:r>
              <w:rPr>
                <w:rFonts w:hint="eastAsia" w:ascii="宋体" w:hAnsi="宋体" w:eastAsia="宋体" w:cs="宋体"/>
                <w:b w:val="0"/>
                <w:bCs w:val="0"/>
                <w:sz w:val="18"/>
                <w:szCs w:val="18"/>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81"/>
              </w:tabs>
              <w:spacing w:line="240" w:lineRule="auto"/>
              <w:jc w:val="left"/>
              <w:textAlignment w:val="center"/>
              <w:rPr>
                <w:rFonts w:hint="eastAsia" w:ascii="宋体" w:hAnsi="宋体" w:eastAsia="宋体" w:cs="宋体"/>
                <w:color w:val="000000"/>
                <w:sz w:val="18"/>
                <w:szCs w:val="18"/>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宋体" w:hAnsi="宋体" w:eastAsia="宋体" w:cs="宋体"/>
                <w:color w:val="000000"/>
                <w:sz w:val="18"/>
                <w:szCs w:val="18"/>
              </w:rPr>
            </w:pPr>
          </w:p>
        </w:tc>
      </w:tr>
    </w:tbl>
    <w:p>
      <w:pPr>
        <w:spacing w:line="360" w:lineRule="auto"/>
        <w:rPr>
          <w:rFonts w:hint="eastAsia" w:ascii="宋体" w:hAnsi="宋体" w:eastAsia="宋体" w:cs="宋体"/>
          <w:b/>
          <w:bCs/>
          <w:color w:val="000000"/>
          <w:kern w:val="0"/>
          <w:sz w:val="21"/>
          <w:szCs w:val="21"/>
        </w:rPr>
      </w:pPr>
    </w:p>
    <w:p>
      <w:pPr>
        <w:spacing w:line="360" w:lineRule="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备注：1、以上要求为最低要求，投标商不能低于此要求，否则为无效响应文件。</w:t>
      </w:r>
    </w:p>
    <w:p>
      <w:pPr>
        <w:spacing w:line="360" w:lineRule="auto"/>
        <w:ind w:firstLine="632" w:firstLineChars="300"/>
        <w:rPr>
          <w:rFonts w:hint="eastAsia" w:ascii="宋体" w:hAnsi="宋体" w:eastAsia="宋体" w:cs="黑体"/>
          <w:b/>
          <w:bCs/>
          <w:sz w:val="24"/>
          <w:szCs w:val="24"/>
          <w:shd w:val="clear" w:color="auto" w:fill="FFFFFF"/>
        </w:rPr>
      </w:pPr>
      <w:r>
        <w:rPr>
          <w:rFonts w:hint="eastAsia" w:ascii="宋体" w:hAnsi="宋体" w:eastAsia="宋体" w:cs="宋体"/>
          <w:b/>
          <w:bCs/>
          <w:color w:val="000000"/>
          <w:kern w:val="0"/>
          <w:sz w:val="21"/>
          <w:szCs w:val="21"/>
        </w:rPr>
        <w:t>2、中标企业于中标后第三日上午09:00向禹州市中等专业学校提供招标文件中厂家的相关资质原件及检测报告原件。相关资质及检测报告原件不符合或不能提供，取消其中标资格，并列入不良记录及信用中国。</w:t>
      </w:r>
    </w:p>
    <w:p>
      <w:pPr>
        <w:widowControl/>
        <w:numPr>
          <w:ilvl w:val="0"/>
          <w:numId w:val="5"/>
        </w:numPr>
        <w:shd w:val="clear" w:color="auto" w:fill="FFFFFF"/>
        <w:spacing w:line="440" w:lineRule="exact"/>
        <w:ind w:left="0" w:leftChars="0" w:firstLine="0" w:firstLineChars="0"/>
        <w:jc w:val="left"/>
        <w:rPr>
          <w:rFonts w:hint="eastAsia"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采购标的执行标准：</w:t>
      </w:r>
    </w:p>
    <w:p>
      <w:pPr>
        <w:topLinePunct/>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1、国家标准：</w:t>
      </w:r>
    </w:p>
    <w:p>
      <w:pPr>
        <w:topLinePunct/>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（1）强制性产品认证</w:t>
      </w:r>
    </w:p>
    <w:p>
      <w:pPr>
        <w:topLinePunct/>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topLinePunct/>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（2）信息安全产品强制性认证</w:t>
      </w:r>
    </w:p>
    <w:p>
      <w:pPr>
        <w:topLinePunct/>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如供应商所投产品属于《信息安全产品强制性认证目录》，供应商不能提供超出此目录范畴外的替代品并须在响应文件中提供：</w:t>
      </w:r>
    </w:p>
    <w:p>
      <w:pPr>
        <w:topLinePunct/>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①中国信息安全认证中心官网（http://www.isccc.gov.cn/index.shtml）产品查询结果截图并加盖供应商公章；</w:t>
      </w:r>
    </w:p>
    <w:p>
      <w:pPr>
        <w:topLinePunct/>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②中国信息安全认证中心颁发的《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"http://www.cnca.gov.cn/cnca/zwxx/ggxx/images/2010/07/19/A6C32D2A507AC2A38326896013A67542.doc" \t "_blank"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中国国家信息安全产品认证证书</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》的原件扫描件（或图片）并加盖供应商公章。</w:t>
      </w:r>
    </w:p>
    <w:p>
      <w:pPr>
        <w:topLinePunct/>
        <w:snapToGrid w:val="0"/>
        <w:spacing w:line="360" w:lineRule="auto"/>
        <w:ind w:firstLine="420" w:firstLineChars="200"/>
      </w:pPr>
      <w:r>
        <w:rPr>
          <w:rFonts w:hint="eastAsia" w:ascii="宋体" w:hAnsi="宋体" w:eastAsia="宋体" w:cs="宋体"/>
          <w:sz w:val="21"/>
          <w:szCs w:val="21"/>
          <w:lang w:val="zh-CN"/>
        </w:rPr>
        <w:t>注：仅需提供序号①～②其中之一即可。</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四、服务标准、期限、效率等要求：</w:t>
      </w:r>
    </w:p>
    <w:p>
      <w:pPr>
        <w:topLinePunct/>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1、在合同期内，供应商接到通知后30分钟内进行响应，1小时到达，6小时内处理问题，否则需提供备用机直至原设备修好为止，否则为无效</w:t>
      </w:r>
      <w:r>
        <w:rPr>
          <w:rFonts w:hint="eastAsia" w:ascii="宋体" w:hAnsi="宋体" w:eastAsia="宋体" w:cs="宋体"/>
          <w:sz w:val="21"/>
          <w:szCs w:val="21"/>
        </w:rPr>
        <w:t>响应文件</w:t>
      </w:r>
      <w:r>
        <w:rPr>
          <w:rFonts w:hint="eastAsia" w:ascii="宋体" w:hAnsi="宋体" w:eastAsia="宋体" w:cs="宋体"/>
          <w:sz w:val="21"/>
          <w:szCs w:val="21"/>
          <w:lang w:val="zh-CN"/>
        </w:rPr>
        <w:t>。</w:t>
      </w:r>
    </w:p>
    <w:p>
      <w:pPr>
        <w:topLinePunct/>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2、所投产品必须符合国家质量检测标准和本招标文件规定的全新正品现货；本项目为交钥匙工程，采购方不再承担费用。</w:t>
      </w:r>
    </w:p>
    <w:p>
      <w:pPr>
        <w:topLinePunct/>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3、投标商所投产品须符合国家环保要求。</w:t>
      </w:r>
    </w:p>
    <w:p>
      <w:pPr>
        <w:topLinePunct/>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4、投标商应负责对买方操作人员进行使用培训，使其能够独立操作，并可以简单的维护和保养。</w:t>
      </w:r>
    </w:p>
    <w:p>
      <w:pPr>
        <w:tabs>
          <w:tab w:val="left" w:pos="7095"/>
        </w:tabs>
        <w:spacing w:line="360" w:lineRule="auto"/>
        <w:rPr>
          <w:rFonts w:hint="eastAsia" w:ascii="宋体" w:hAnsi="宋体" w:eastAsia="宋体" w:cs="宋体"/>
          <w:sz w:val="21"/>
          <w:szCs w:val="21"/>
          <w:lang w:val="zh-CN"/>
        </w:rPr>
      </w:pPr>
      <w:r>
        <w:rPr>
          <w:rFonts w:hint="eastAsia" w:ascii="宋体" w:hAnsi="宋体" w:eastAsia="宋体" w:cs="宋体"/>
          <w:sz w:val="21"/>
          <w:szCs w:val="21"/>
        </w:rPr>
        <w:t>5、</w:t>
      </w:r>
      <w:r>
        <w:rPr>
          <w:rFonts w:hint="eastAsia" w:ascii="宋体" w:hAnsi="宋体" w:eastAsia="宋体" w:cs="宋体"/>
          <w:sz w:val="21"/>
          <w:szCs w:val="21"/>
          <w:lang w:val="zh-CN"/>
        </w:rPr>
        <w:t>供应商须承诺有专业的技术服务人员，如果有故障问题能及时修复，确保设备正常稳定。</w:t>
      </w:r>
      <w:r>
        <w:rPr>
          <w:rFonts w:hint="eastAsia" w:ascii="宋体" w:hAnsi="宋体" w:eastAsia="宋体" w:cs="宋体"/>
          <w:kern w:val="0"/>
          <w:sz w:val="21"/>
          <w:szCs w:val="21"/>
          <w:lang w:val="zh-CN"/>
        </w:rPr>
        <w:t>货物的维修、部件更换只收取材料成本费用，维修工时费终身全免</w:t>
      </w:r>
      <w:r>
        <w:rPr>
          <w:rFonts w:hint="eastAsia" w:ascii="宋体" w:hAnsi="宋体" w:eastAsia="宋体" w:cs="宋体"/>
          <w:sz w:val="21"/>
          <w:szCs w:val="21"/>
          <w:lang w:val="zh-CN"/>
        </w:rPr>
        <w:t>，须明确负责人、联系人和联系电话，否则为无效</w:t>
      </w:r>
      <w:r>
        <w:rPr>
          <w:rFonts w:hint="eastAsia" w:ascii="宋体" w:hAnsi="宋体" w:eastAsia="宋体" w:cs="宋体"/>
          <w:sz w:val="21"/>
          <w:szCs w:val="21"/>
        </w:rPr>
        <w:t>响应文件</w:t>
      </w:r>
      <w:r>
        <w:rPr>
          <w:rFonts w:hint="eastAsia" w:ascii="宋体" w:hAnsi="宋体" w:eastAsia="宋体" w:cs="宋体"/>
          <w:sz w:val="21"/>
          <w:szCs w:val="21"/>
          <w:lang w:val="zh-CN"/>
        </w:rPr>
        <w:t>。</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五、采购标的的其他技术、服务等要求：</w:t>
      </w:r>
    </w:p>
    <w:p>
      <w:pPr>
        <w:topLinePunct/>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1、投标人须明确投标产品的厂家、产地、品牌、型号（辅材除外）等参数，否则为无效</w:t>
      </w:r>
      <w:r>
        <w:rPr>
          <w:rFonts w:hint="eastAsia" w:ascii="宋体" w:hAnsi="宋体" w:eastAsia="宋体" w:cs="宋体"/>
          <w:sz w:val="21"/>
          <w:szCs w:val="21"/>
        </w:rPr>
        <w:t>响应文件</w:t>
      </w:r>
      <w:r>
        <w:rPr>
          <w:rFonts w:hint="eastAsia" w:ascii="宋体" w:hAnsi="宋体" w:eastAsia="宋体" w:cs="宋体"/>
          <w:sz w:val="21"/>
          <w:szCs w:val="21"/>
          <w:lang w:val="zh-CN"/>
        </w:rPr>
        <w:t>。</w:t>
      </w:r>
    </w:p>
    <w:p>
      <w:pPr>
        <w:topLinePunct/>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2、投标人应就本项目完整投标，报价含税费、设备、材料、元件等购置、安装调试、验收、与其他施工单位协作所产生的费用等综合费用，否则为无效</w:t>
      </w:r>
      <w:r>
        <w:rPr>
          <w:rFonts w:hint="eastAsia" w:ascii="宋体" w:hAnsi="宋体" w:eastAsia="宋体" w:cs="宋体"/>
          <w:sz w:val="21"/>
          <w:szCs w:val="21"/>
        </w:rPr>
        <w:t>响应文件</w:t>
      </w:r>
      <w:r>
        <w:rPr>
          <w:rFonts w:hint="eastAsia" w:ascii="宋体" w:hAnsi="宋体" w:eastAsia="宋体" w:cs="宋体"/>
          <w:sz w:val="21"/>
          <w:szCs w:val="21"/>
          <w:lang w:val="zh-CN"/>
        </w:rPr>
        <w:t>。</w:t>
      </w:r>
    </w:p>
    <w:p>
      <w:pPr>
        <w:topLinePunct/>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3、投标人须有完整的技术方案，否则为无效</w:t>
      </w:r>
      <w:r>
        <w:rPr>
          <w:rFonts w:hint="eastAsia" w:ascii="宋体" w:hAnsi="宋体" w:eastAsia="宋体" w:cs="宋体"/>
          <w:sz w:val="21"/>
          <w:szCs w:val="21"/>
        </w:rPr>
        <w:t>响应文件</w:t>
      </w:r>
      <w:r>
        <w:rPr>
          <w:rFonts w:hint="eastAsia" w:ascii="宋体" w:hAnsi="宋体" w:eastAsia="宋体" w:cs="宋体"/>
          <w:sz w:val="21"/>
          <w:szCs w:val="21"/>
          <w:lang w:val="zh-CN"/>
        </w:rPr>
        <w:t>。</w:t>
      </w:r>
    </w:p>
    <w:p>
      <w:pPr>
        <w:tabs>
          <w:tab w:val="left" w:pos="7095"/>
        </w:tabs>
        <w:spacing w:line="360" w:lineRule="auto"/>
        <w:rPr>
          <w:rFonts w:hint="eastAsia" w:ascii="宋体" w:cs="宋体"/>
          <w:b/>
          <w:bCs/>
          <w:color w:val="FF0000"/>
          <w:sz w:val="21"/>
          <w:szCs w:val="21"/>
          <w:lang w:val="zh-CN"/>
        </w:rPr>
      </w:pPr>
      <w:r>
        <w:rPr>
          <w:rFonts w:hint="eastAsia" w:ascii="宋体" w:hAnsi="宋体" w:eastAsia="宋体" w:cs="宋体"/>
          <w:b/>
          <w:bCs/>
          <w:color w:val="auto"/>
          <w:sz w:val="21"/>
          <w:szCs w:val="21"/>
        </w:rPr>
        <w:t>注：</w:t>
      </w:r>
      <w:r>
        <w:rPr>
          <w:rFonts w:hint="eastAsia" w:ascii="宋体" w:hAnsi="宋体" w:eastAsia="宋体" w:cs="宋体"/>
          <w:b/>
          <w:bCs/>
          <w:color w:val="auto"/>
          <w:sz w:val="21"/>
          <w:szCs w:val="21"/>
          <w:lang w:val="zh-CN"/>
        </w:rPr>
        <w:t>采购人确定</w:t>
      </w:r>
      <w:r>
        <w:rPr>
          <w:rFonts w:hint="eastAsia" w:ascii="宋体" w:hAnsi="宋体" w:eastAsia="宋体" w:cs="宋体"/>
          <w:b/>
          <w:bCs/>
          <w:color w:val="auto"/>
          <w:sz w:val="21"/>
          <w:szCs w:val="21"/>
        </w:rPr>
        <w:t>中标</w:t>
      </w:r>
      <w:r>
        <w:rPr>
          <w:rFonts w:hint="eastAsia" w:ascii="宋体" w:hAnsi="宋体" w:eastAsia="宋体" w:cs="宋体"/>
          <w:b/>
          <w:bCs/>
          <w:color w:val="auto"/>
          <w:sz w:val="21"/>
          <w:szCs w:val="21"/>
          <w:lang w:val="zh-CN"/>
        </w:rPr>
        <w:t>人后，中标人须向</w:t>
      </w:r>
      <w:r>
        <w:rPr>
          <w:rFonts w:hint="eastAsia" w:ascii="宋体" w:hAnsi="宋体" w:eastAsia="宋体" w:cs="宋体"/>
          <w:b/>
          <w:bCs/>
          <w:color w:val="auto"/>
          <w:sz w:val="21"/>
          <w:szCs w:val="21"/>
          <w:lang w:val="zh-CN" w:eastAsia="zh-CN"/>
        </w:rPr>
        <w:t>代理机构</w:t>
      </w:r>
      <w:r>
        <w:rPr>
          <w:rFonts w:hint="eastAsia" w:ascii="宋体" w:hAnsi="宋体" w:eastAsia="宋体" w:cs="宋体"/>
          <w:b/>
          <w:bCs/>
          <w:color w:val="auto"/>
          <w:sz w:val="21"/>
          <w:szCs w:val="21"/>
          <w:lang w:val="zh-CN"/>
        </w:rPr>
        <w:t>发送投标报价及分项报价（如果货物需求中有分项的话）一览表电子档</w:t>
      </w:r>
      <w:r>
        <w:rPr>
          <w:rFonts w:hint="eastAsia" w:ascii="宋体" w:hAnsi="宋体" w:eastAsia="宋体" w:cs="宋体"/>
          <w:b/>
          <w:bCs/>
          <w:color w:val="auto"/>
          <w:sz w:val="21"/>
          <w:szCs w:val="21"/>
          <w:lang w:val="zh-CN" w:eastAsia="zh-CN"/>
        </w:rPr>
        <w:t>。</w:t>
      </w:r>
      <w:r>
        <w:rPr>
          <w:rFonts w:hint="eastAsia" w:ascii="宋体" w:hAnsi="宋体" w:eastAsia="宋体" w:cs="宋体"/>
          <w:b/>
          <w:bCs/>
          <w:color w:val="auto"/>
          <w:sz w:val="21"/>
          <w:szCs w:val="21"/>
          <w:lang w:val="zh-CN"/>
        </w:rPr>
        <w:t>邮箱：</w:t>
      </w:r>
      <w:r>
        <w:rPr>
          <w:rFonts w:hint="eastAsia" w:ascii="宋体" w:hAnsi="宋体" w:eastAsia="宋体" w:cs="宋体"/>
          <w:b/>
          <w:bCs/>
          <w:color w:val="auto"/>
          <w:sz w:val="21"/>
          <w:szCs w:val="21"/>
          <w:lang w:val="en-US" w:eastAsia="zh-CN"/>
        </w:rPr>
        <w:t>3177863</w:t>
      </w:r>
      <w:r>
        <w:rPr>
          <w:rFonts w:hint="eastAsia" w:ascii="宋体" w:hAnsi="宋体" w:eastAsia="宋体" w:cs="宋体"/>
          <w:b/>
          <w:bCs/>
          <w:color w:val="auto"/>
          <w:sz w:val="21"/>
          <w:szCs w:val="21"/>
          <w:lang w:val="zh-CN"/>
        </w:rPr>
        <w:t>@</w:t>
      </w:r>
      <w:r>
        <w:rPr>
          <w:rFonts w:hint="eastAsia" w:ascii="宋体" w:hAnsi="宋体" w:eastAsia="宋体" w:cs="宋体"/>
          <w:b/>
          <w:bCs/>
          <w:color w:val="auto"/>
          <w:sz w:val="21"/>
          <w:szCs w:val="21"/>
          <w:lang w:val="en-US" w:eastAsia="zh-CN"/>
        </w:rPr>
        <w:t>qq</w:t>
      </w:r>
      <w:r>
        <w:rPr>
          <w:rFonts w:hint="eastAsia" w:ascii="宋体" w:hAnsi="宋体" w:eastAsia="宋体" w:cs="宋体"/>
          <w:b/>
          <w:bCs/>
          <w:color w:val="auto"/>
          <w:sz w:val="21"/>
          <w:szCs w:val="21"/>
          <w:lang w:val="zh-CN"/>
        </w:rPr>
        <w:t>.com。</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1、按照国家相关标准、行业标准、地方标准或者其他标准、规范验收（与采购标的执行标准一致，选填）；</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2、按照谈判文件要求、响应文件响应和承诺验收；</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3、本项目验收如需要第三方验收，中标方将承担所有产生的费用。</w:t>
      </w:r>
    </w:p>
    <w:p>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（一）支付方式：双方签订合同约定。</w:t>
      </w:r>
    </w:p>
    <w:p>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（二）支付时间及条件：双方签订合同约定。</w:t>
      </w:r>
    </w:p>
    <w:p>
      <w:pPr>
        <w:pStyle w:val="27"/>
        <w:ind w:left="0" w:leftChars="0" w:firstLine="0" w:firstLineChars="0"/>
      </w:pPr>
    </w:p>
    <w:p>
      <w:pPr>
        <w:autoSpaceDE w:val="0"/>
        <w:autoSpaceDN w:val="0"/>
        <w:adjustRightInd w:val="0"/>
        <w:ind w:firstLine="2891" w:firstLineChars="900"/>
        <w:rPr>
          <w:rFonts w:ascii="宋体" w:hAnsi="宋体" w:eastAsia="宋体" w:cs="宋体"/>
          <w:b/>
          <w:kern w:val="0"/>
          <w:sz w:val="32"/>
          <w:szCs w:val="32"/>
        </w:rPr>
      </w:pPr>
    </w:p>
    <w:p>
      <w:pPr>
        <w:autoSpaceDE w:val="0"/>
        <w:autoSpaceDN w:val="0"/>
        <w:adjustRightInd w:val="0"/>
        <w:rPr>
          <w:rFonts w:ascii="宋体" w:hAnsi="宋体" w:eastAsia="宋体" w:cs="宋体"/>
          <w:b/>
          <w:kern w:val="0"/>
          <w:sz w:val="32"/>
          <w:szCs w:val="32"/>
        </w:rPr>
      </w:pPr>
    </w:p>
    <w:p>
      <w:pPr>
        <w:pStyle w:val="27"/>
      </w:pPr>
    </w:p>
    <w:p>
      <w:pPr>
        <w:pStyle w:val="17"/>
        <w:ind w:left="5250"/>
      </w:pPr>
    </w:p>
    <w:p>
      <w:pPr>
        <w:pStyle w:val="27"/>
        <w:ind w:left="0" w:leftChars="0" w:firstLine="0" w:firstLineChars="0"/>
      </w:pPr>
    </w:p>
    <w:p>
      <w:pPr>
        <w:autoSpaceDE w:val="0"/>
        <w:autoSpaceDN w:val="0"/>
        <w:adjustRightInd w:val="0"/>
        <w:ind w:firstLine="2891" w:firstLineChars="900"/>
        <w:rPr>
          <w:rFonts w:hint="eastAsia" w:ascii="宋体" w:hAnsi="宋体" w:eastAsia="宋体" w:cs="宋体"/>
          <w:b/>
          <w:kern w:val="0"/>
          <w:sz w:val="32"/>
          <w:szCs w:val="32"/>
        </w:rPr>
      </w:pPr>
    </w:p>
    <w:p>
      <w:pPr>
        <w:autoSpaceDE w:val="0"/>
        <w:autoSpaceDN w:val="0"/>
        <w:adjustRightInd w:val="0"/>
        <w:ind w:firstLine="2891" w:firstLineChars="900"/>
        <w:rPr>
          <w:rFonts w:hint="eastAsia" w:ascii="宋体" w:hAnsi="宋体" w:eastAsia="宋体" w:cs="宋体"/>
          <w:b/>
          <w:kern w:val="0"/>
          <w:sz w:val="32"/>
          <w:szCs w:val="32"/>
        </w:rPr>
      </w:pPr>
    </w:p>
    <w:p>
      <w:pPr>
        <w:autoSpaceDE w:val="0"/>
        <w:autoSpaceDN w:val="0"/>
        <w:adjustRightInd w:val="0"/>
        <w:ind w:firstLine="2891" w:firstLineChars="900"/>
        <w:rPr>
          <w:rFonts w:hint="eastAsia" w:ascii="宋体" w:hAnsi="宋体" w:eastAsia="宋体" w:cs="宋体"/>
          <w:b/>
          <w:kern w:val="0"/>
          <w:sz w:val="32"/>
          <w:szCs w:val="32"/>
        </w:rPr>
      </w:pPr>
    </w:p>
    <w:p>
      <w:pPr>
        <w:autoSpaceDE w:val="0"/>
        <w:autoSpaceDN w:val="0"/>
        <w:adjustRightInd w:val="0"/>
        <w:ind w:firstLine="2891" w:firstLineChars="900"/>
        <w:rPr>
          <w:rFonts w:hint="eastAsia" w:ascii="宋体" w:hAnsi="宋体" w:eastAsia="宋体" w:cs="宋体"/>
          <w:b/>
          <w:kern w:val="0"/>
          <w:sz w:val="32"/>
          <w:szCs w:val="32"/>
        </w:rPr>
      </w:pPr>
    </w:p>
    <w:p>
      <w:pPr>
        <w:autoSpaceDE w:val="0"/>
        <w:autoSpaceDN w:val="0"/>
        <w:adjustRightInd w:val="0"/>
        <w:ind w:firstLine="2891" w:firstLineChars="900"/>
        <w:rPr>
          <w:rFonts w:hint="eastAsia" w:ascii="宋体" w:hAnsi="宋体" w:eastAsia="宋体" w:cs="宋体"/>
          <w:b/>
          <w:kern w:val="0"/>
          <w:sz w:val="32"/>
          <w:szCs w:val="32"/>
        </w:rPr>
      </w:pPr>
    </w:p>
    <w:p>
      <w:pPr>
        <w:autoSpaceDE w:val="0"/>
        <w:autoSpaceDN w:val="0"/>
        <w:adjustRightInd w:val="0"/>
        <w:ind w:firstLine="2891" w:firstLineChars="900"/>
        <w:rPr>
          <w:rFonts w:hint="eastAsia" w:ascii="宋体" w:hAnsi="宋体" w:eastAsia="宋体" w:cs="宋体"/>
          <w:b/>
          <w:kern w:val="0"/>
          <w:sz w:val="32"/>
          <w:szCs w:val="32"/>
        </w:rPr>
      </w:pPr>
    </w:p>
    <w:p>
      <w:pPr>
        <w:autoSpaceDE w:val="0"/>
        <w:autoSpaceDN w:val="0"/>
        <w:adjustRightInd w:val="0"/>
        <w:ind w:firstLine="2891" w:firstLineChars="900"/>
        <w:rPr>
          <w:rFonts w:hint="eastAsia" w:ascii="宋体" w:hAnsi="宋体" w:eastAsia="宋体" w:cs="宋体"/>
          <w:b/>
          <w:kern w:val="0"/>
          <w:sz w:val="32"/>
          <w:szCs w:val="32"/>
        </w:rPr>
      </w:pPr>
    </w:p>
    <w:p>
      <w:pPr>
        <w:autoSpaceDE w:val="0"/>
        <w:autoSpaceDN w:val="0"/>
        <w:adjustRightInd w:val="0"/>
        <w:ind w:firstLine="2891" w:firstLineChars="900"/>
        <w:rPr>
          <w:rFonts w:hint="eastAsia" w:ascii="宋体" w:hAnsi="宋体" w:eastAsia="宋体" w:cs="宋体"/>
          <w:b/>
          <w:kern w:val="0"/>
          <w:sz w:val="32"/>
          <w:szCs w:val="32"/>
        </w:rPr>
      </w:pPr>
    </w:p>
    <w:p>
      <w:pPr>
        <w:autoSpaceDE w:val="0"/>
        <w:autoSpaceDN w:val="0"/>
        <w:adjustRightInd w:val="0"/>
        <w:ind w:firstLine="2891" w:firstLineChars="900"/>
        <w:rPr>
          <w:rFonts w:hint="eastAsia"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eastAsia="宋体" w:cs="宋体"/>
          <w:b/>
          <w:kern w:val="0"/>
          <w:szCs w:val="21"/>
        </w:rPr>
      </w:pPr>
      <w:r>
        <w:rPr>
          <w:rFonts w:hint="eastAsia" w:ascii="宋体" w:hAnsi="宋体" w:eastAsia="宋体" w:cs="微软雅黑"/>
          <w:b/>
          <w:szCs w:val="21"/>
        </w:rPr>
        <w:t>谈判文件中凡标有★条款均为实质性要求条款，响应文件须完全响应，未实质响应的，按照无效响应处理。</w:t>
      </w:r>
    </w:p>
    <w:tbl>
      <w:tblPr>
        <w:tblStyle w:val="28"/>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采购项目</w:t>
            </w:r>
          </w:p>
        </w:tc>
        <w:tc>
          <w:tcPr>
            <w:tcW w:w="696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11"/>
              <w:rPr>
                <w:rFonts w:ascii="宋体" w:hAnsi="宋体" w:eastAsia="宋体" w:cs="仿宋_GB2312"/>
                <w:szCs w:val="21"/>
              </w:rPr>
            </w:pPr>
            <w:r>
              <w:rPr>
                <w:rFonts w:hint="eastAsia" w:ascii="宋体" w:hAnsi="宋体" w:eastAsia="宋体" w:cs="仿宋_GB2312"/>
                <w:szCs w:val="21"/>
              </w:rPr>
              <w:t>项目名称：禹州市中等专业学校体能综合训练中心建设项目（不见面开标）</w:t>
            </w:r>
          </w:p>
          <w:p>
            <w:pPr>
              <w:autoSpaceDE w:val="0"/>
              <w:autoSpaceDN w:val="0"/>
              <w:adjustRightInd w:val="0"/>
              <w:spacing w:line="360" w:lineRule="auto"/>
              <w:ind w:right="-11"/>
              <w:rPr>
                <w:rFonts w:hint="default" w:ascii="宋体" w:hAnsi="宋体" w:eastAsia="宋体" w:cs="仿宋_GB2312"/>
                <w:szCs w:val="21"/>
                <w:lang w:val="en-US" w:eastAsia="zh-CN"/>
              </w:rPr>
            </w:pPr>
            <w:r>
              <w:rPr>
                <w:rFonts w:hint="eastAsia" w:ascii="宋体" w:hAnsi="宋体" w:eastAsia="宋体" w:cs="仿宋_GB2312"/>
                <w:szCs w:val="21"/>
              </w:rPr>
              <w:t>采购编号：Y</w:t>
            </w:r>
            <w:r>
              <w:rPr>
                <w:rFonts w:hint="eastAsia" w:ascii="宋体" w:hAnsi="宋体" w:eastAsia="宋体" w:cs="仿宋_GB2312"/>
                <w:szCs w:val="21"/>
                <w:lang w:val="zh-CN"/>
              </w:rPr>
              <w:t>ZCG-DLT2023</w:t>
            </w:r>
            <w:r>
              <w:rPr>
                <w:rFonts w:hint="eastAsia" w:ascii="宋体" w:hAnsi="宋体" w:eastAsia="宋体" w:cs="仿宋_GB2312"/>
                <w:szCs w:val="21"/>
                <w:lang w:val="en-US" w:eastAsia="zh-CN"/>
              </w:rPr>
              <w:t>142</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交付（服务、完工）时间：合同签订后</w:t>
            </w:r>
            <w:r>
              <w:rPr>
                <w:rFonts w:hint="eastAsia" w:ascii="宋体" w:hAnsi="宋体" w:eastAsia="宋体" w:cs="仿宋_GB2312"/>
                <w:szCs w:val="21"/>
                <w:lang w:val="en-US" w:eastAsia="zh-CN"/>
              </w:rPr>
              <w:t>30</w:t>
            </w:r>
            <w:r>
              <w:rPr>
                <w:rFonts w:ascii="宋体" w:hAnsi="宋体" w:eastAsia="宋体" w:cs="仿宋_GB2312"/>
                <w:szCs w:val="21"/>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采购人</w:t>
            </w:r>
          </w:p>
        </w:tc>
        <w:tc>
          <w:tcPr>
            <w:tcW w:w="696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ascii="宋体" w:hAnsi="宋体" w:eastAsia="宋体" w:cs="仿宋_GB2312"/>
                <w:szCs w:val="21"/>
                <w:shd w:val="clear" w:color="auto" w:fill="FFFFFF"/>
                <w:lang w:val="zh-CN"/>
              </w:rPr>
            </w:pPr>
            <w:r>
              <w:rPr>
                <w:rFonts w:hint="eastAsia" w:ascii="宋体" w:hAnsi="宋体" w:eastAsia="宋体" w:cs="仿宋_GB2312"/>
                <w:szCs w:val="21"/>
                <w:shd w:val="clear" w:color="auto" w:fill="FFFFFF"/>
                <w:lang w:val="zh-CN"/>
              </w:rPr>
              <w:t>采购单位：禹州市中等专业学校</w:t>
            </w:r>
          </w:p>
          <w:p>
            <w:pPr>
              <w:widowControl/>
              <w:shd w:val="clear" w:color="auto" w:fill="FFFFFF"/>
              <w:spacing w:line="440" w:lineRule="exact"/>
              <w:jc w:val="left"/>
              <w:rPr>
                <w:rFonts w:ascii="宋体" w:hAnsi="宋体" w:eastAsia="宋体" w:cs="仿宋_GB2312"/>
                <w:szCs w:val="21"/>
                <w:shd w:val="clear" w:color="auto" w:fill="FFFFFF"/>
                <w:lang w:val="zh-CN"/>
              </w:rPr>
            </w:pPr>
            <w:r>
              <w:rPr>
                <w:rFonts w:hint="eastAsia" w:ascii="宋体" w:hAnsi="宋体" w:eastAsia="宋体" w:cs="仿宋_GB2312"/>
                <w:szCs w:val="21"/>
                <w:shd w:val="clear" w:color="auto" w:fill="FFFFFF"/>
                <w:lang w:val="zh-CN"/>
              </w:rPr>
              <w:t>地 址：禹州市药城路北段</w:t>
            </w:r>
          </w:p>
          <w:p>
            <w:pPr>
              <w:widowControl/>
              <w:shd w:val="clear" w:color="auto" w:fill="FFFFFF"/>
              <w:spacing w:line="440" w:lineRule="exact"/>
              <w:jc w:val="left"/>
              <w:rPr>
                <w:rFonts w:hint="eastAsia" w:ascii="宋体" w:hAnsi="宋体" w:eastAsia="宋体" w:cs="仿宋_GB2312"/>
                <w:szCs w:val="21"/>
                <w:shd w:val="clear" w:color="auto" w:fill="FFFFFF"/>
                <w:lang w:val="zh-CN" w:eastAsia="zh-CN"/>
              </w:rPr>
            </w:pPr>
            <w:r>
              <w:rPr>
                <w:rFonts w:hint="eastAsia" w:ascii="宋体" w:hAnsi="宋体" w:eastAsia="宋体" w:cs="仿宋_GB2312"/>
                <w:szCs w:val="21"/>
                <w:shd w:val="clear" w:color="auto" w:fill="FFFFFF"/>
                <w:lang w:val="zh-CN"/>
              </w:rPr>
              <w:t>联系人：</w:t>
            </w:r>
            <w:r>
              <w:rPr>
                <w:rFonts w:hint="eastAsia" w:ascii="宋体" w:hAnsi="宋体" w:eastAsia="宋体" w:cs="仿宋_GB2312"/>
                <w:szCs w:val="21"/>
                <w:shd w:val="clear" w:color="auto" w:fill="FFFFFF"/>
                <w:lang w:eastAsia="zh-CN"/>
              </w:rPr>
              <w:t>王先生</w:t>
            </w:r>
          </w:p>
          <w:p>
            <w:pPr>
              <w:widowControl/>
              <w:shd w:val="clear" w:color="auto" w:fill="FFFFFF"/>
              <w:spacing w:line="440" w:lineRule="exact"/>
              <w:jc w:val="left"/>
              <w:rPr>
                <w:rFonts w:ascii="宋体" w:hAnsi="宋体" w:eastAsia="宋体" w:cs="仿宋_GB2312"/>
                <w:szCs w:val="21"/>
                <w:shd w:val="clear" w:color="auto" w:fill="FFFFFF"/>
              </w:rPr>
            </w:pPr>
            <w:r>
              <w:rPr>
                <w:rFonts w:hint="eastAsia" w:ascii="宋体" w:hAnsi="宋体" w:eastAsia="宋体" w:cs="仿宋_GB2312"/>
                <w:szCs w:val="21"/>
                <w:shd w:val="clear" w:color="auto" w:fill="FFFFFF"/>
                <w:lang w:val="zh-CN"/>
              </w:rPr>
              <w:t>联系电话：0374-8816982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采购机构</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仿宋_GB2312"/>
                <w:szCs w:val="21"/>
                <w:lang w:val="zh-CN"/>
              </w:rPr>
            </w:pPr>
            <w:r>
              <w:rPr>
                <w:rFonts w:hint="eastAsia" w:ascii="宋体" w:hAnsi="宋体" w:eastAsia="宋体" w:cs="仿宋_GB2312"/>
                <w:szCs w:val="21"/>
                <w:lang w:val="zh-CN"/>
              </w:rPr>
              <w:t>代理机构：中海域安项目管理咨询有限公司</w:t>
            </w:r>
          </w:p>
          <w:p>
            <w:pPr>
              <w:autoSpaceDE w:val="0"/>
              <w:autoSpaceDN w:val="0"/>
              <w:adjustRightInd w:val="0"/>
              <w:spacing w:line="360" w:lineRule="auto"/>
              <w:jc w:val="left"/>
              <w:rPr>
                <w:rFonts w:hint="eastAsia" w:ascii="宋体" w:hAnsi="宋体" w:eastAsia="宋体" w:cs="仿宋_GB2312"/>
                <w:szCs w:val="21"/>
                <w:lang w:val="en-US" w:eastAsia="zh-CN"/>
              </w:rPr>
            </w:pPr>
            <w:r>
              <w:rPr>
                <w:rFonts w:hint="eastAsia" w:ascii="宋体" w:hAnsi="宋体" w:eastAsia="宋体" w:cs="仿宋_GB2312"/>
                <w:szCs w:val="21"/>
                <w:lang w:val="zh-CN"/>
              </w:rPr>
              <w:t>地 址：禹州市柏山路</w:t>
            </w:r>
            <w:r>
              <w:rPr>
                <w:rFonts w:hint="eastAsia" w:ascii="宋体" w:hAnsi="宋体" w:eastAsia="宋体" w:cs="仿宋_GB2312"/>
                <w:szCs w:val="21"/>
                <w:lang w:val="en-US" w:eastAsia="zh-CN"/>
              </w:rPr>
              <w:t>7号</w:t>
            </w:r>
          </w:p>
          <w:p>
            <w:pPr>
              <w:autoSpaceDE w:val="0"/>
              <w:autoSpaceDN w:val="0"/>
              <w:adjustRightInd w:val="0"/>
              <w:spacing w:line="360" w:lineRule="auto"/>
              <w:jc w:val="left"/>
              <w:rPr>
                <w:rFonts w:ascii="宋体" w:hAnsi="宋体" w:eastAsia="宋体" w:cs="仿宋_GB2312"/>
                <w:szCs w:val="21"/>
                <w:lang w:val="zh-CN"/>
              </w:rPr>
            </w:pPr>
            <w:r>
              <w:rPr>
                <w:rFonts w:hint="eastAsia" w:ascii="宋体" w:hAnsi="宋体" w:eastAsia="宋体" w:cs="仿宋_GB2312"/>
                <w:szCs w:val="21"/>
                <w:lang w:val="zh-CN"/>
              </w:rPr>
              <w:t>联系人：杨先生</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lang w:val="zh-CN"/>
              </w:rPr>
              <w:t>联系电话：</w:t>
            </w:r>
            <w:r>
              <w:rPr>
                <w:rFonts w:hint="eastAsia" w:ascii="宋体" w:hAnsi="宋体" w:eastAsia="宋体" w:cs="仿宋_GB2312"/>
                <w:szCs w:val="21"/>
                <w:lang w:val="en-US" w:eastAsia="zh-CN"/>
              </w:rPr>
              <w:t>13383748781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112"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color w:val="FF0000"/>
                <w:szCs w:val="21"/>
              </w:rPr>
              <w:t>★</w:t>
            </w:r>
            <w:r>
              <w:rPr>
                <w:rFonts w:hint="eastAsia" w:ascii="宋体" w:hAnsi="宋体" w:eastAsia="宋体" w:cs="仿宋_GB2312"/>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符合《政府采购法》第二十二条规定</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1．具有独立承担民事责任的能力；</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2．具有良好的商业信誉和健全的财务会计制度；</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3．具有履行合同所必需的设备和专业技术能力；</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4．具有依法缴纳税收和社会保障资金的良好记录；</w:t>
            </w:r>
          </w:p>
          <w:p>
            <w:pPr>
              <w:spacing w:line="360" w:lineRule="auto"/>
              <w:rPr>
                <w:rFonts w:ascii="宋体" w:hAnsi="宋体" w:eastAsia="宋体"/>
                <w:lang w:val="zh-CN"/>
              </w:rPr>
            </w:pPr>
            <w:r>
              <w:rPr>
                <w:rFonts w:ascii="宋体" w:hAnsi="宋体" w:eastAsia="宋体"/>
                <w:lang w:val="zh-CN"/>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p>
        </w:tc>
        <w:tc>
          <w:tcPr>
            <w:tcW w:w="2112"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微软雅黑"/>
                <w:b/>
                <w:color w:val="FF0000"/>
                <w:szCs w:val="21"/>
              </w:rPr>
            </w:pP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注：</w:t>
            </w:r>
            <w:r>
              <w:rPr>
                <w:rFonts w:ascii="宋体" w:hAnsi="宋体" w:eastAsia="宋体"/>
                <w:lang w:val="zh-CN"/>
              </w:rPr>
              <w:t>1、供应商在投标时，提供《禹州市政府采购供应商信用承诺函》（详见谈判文件第八章3.5格式），无需再提交上述证明材料。</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2、采购人有权在签订合同前要求成交供应商提供相关证明材料以核实成交供应商承诺事项的真实性。</w:t>
            </w:r>
          </w:p>
          <w:p>
            <w:pPr>
              <w:autoSpaceDE w:val="0"/>
              <w:autoSpaceDN w:val="0"/>
              <w:adjustRightInd w:val="0"/>
              <w:spacing w:line="360" w:lineRule="auto"/>
              <w:ind w:right="-11"/>
              <w:rPr>
                <w:rFonts w:ascii="宋体" w:hAnsi="宋体" w:eastAsia="宋体"/>
                <w:lang w:val="zh-CN"/>
              </w:rPr>
            </w:pPr>
            <w:r>
              <w:rPr>
                <w:rFonts w:ascii="宋体" w:hAnsi="宋体" w:eastAsia="宋体"/>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color w:val="FF0000"/>
                <w:szCs w:val="21"/>
              </w:rPr>
              <w:t>★</w:t>
            </w:r>
            <w:r>
              <w:rPr>
                <w:rFonts w:hint="eastAsia" w:ascii="宋体" w:hAnsi="宋体" w:eastAsia="宋体" w:cs="宋体"/>
                <w:bCs/>
                <w:szCs w:val="21"/>
                <w:lang w:val="zh-CN"/>
              </w:rPr>
              <w:t>联合体响应</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color w:val="FF0000"/>
                <w:szCs w:val="21"/>
              </w:rPr>
              <w:t>★</w:t>
            </w:r>
            <w:r>
              <w:rPr>
                <w:rFonts w:hint="eastAsia" w:ascii="宋体" w:hAnsi="宋体" w:eastAsia="宋体" w:cs="宋体"/>
                <w:bCs/>
                <w:szCs w:val="21"/>
                <w:lang w:val="zh-CN"/>
              </w:rPr>
              <w:t>预算金额</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szCs w:val="21"/>
              </w:rPr>
            </w:pPr>
            <w:r>
              <w:rPr>
                <w:rFonts w:hint="eastAsia" w:ascii="宋体" w:hAnsi="宋体" w:eastAsia="宋体" w:cs="仿宋_GB2312"/>
                <w:szCs w:val="21"/>
                <w:lang w:val="en-US" w:eastAsia="zh-CN"/>
              </w:rPr>
              <w:t>569</w:t>
            </w:r>
            <w:r>
              <w:rPr>
                <w:rFonts w:hint="eastAsia" w:ascii="宋体" w:hAnsi="宋体" w:eastAsia="宋体" w:cs="仿宋_GB2312"/>
                <w:szCs w:val="21"/>
              </w:rPr>
              <w:t>000.00</w:t>
            </w:r>
            <w:r>
              <w:rPr>
                <w:rFonts w:ascii="宋体" w:hAnsi="宋体" w:eastAsia="宋体" w:cs="仿宋_GB2312"/>
                <w:szCs w:val="21"/>
              </w:rPr>
              <w:t>元；</w:t>
            </w:r>
            <w:r>
              <w:rPr>
                <w:rFonts w:hint="eastAsia" w:ascii="宋体" w:hAnsi="宋体" w:eastAsia="宋体" w:cs="宋体"/>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color w:val="FF0000"/>
                <w:szCs w:val="21"/>
              </w:rPr>
              <w:t>★</w:t>
            </w:r>
            <w:r>
              <w:rPr>
                <w:rFonts w:hint="eastAsia" w:ascii="宋体" w:hAnsi="宋体" w:eastAsia="宋体" w:cs="仿宋_GB2312"/>
                <w:szCs w:val="21"/>
              </w:rPr>
              <w:t>谈判有效期</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szCs w:val="21"/>
              </w:rPr>
            </w:pPr>
            <w:r>
              <w:rPr>
                <w:rFonts w:hint="eastAsia" w:ascii="宋体" w:hAnsi="宋体" w:eastAsia="宋体" w:cs="仿宋_GB2312"/>
                <w:szCs w:val="21"/>
              </w:rPr>
              <w:t>90天（自</w:t>
            </w:r>
            <w:r>
              <w:rPr>
                <w:rFonts w:hint="eastAsia" w:ascii="宋体" w:hAnsi="宋体" w:eastAsia="宋体" w:cs="宋体"/>
                <w:kern w:val="0"/>
                <w:szCs w:val="21"/>
              </w:rPr>
              <w:t>提交谈判响应文件的截止之日起算</w:t>
            </w:r>
            <w:r>
              <w:rPr>
                <w:rFonts w:hint="eastAsia" w:ascii="宋体" w:hAnsi="宋体" w:eastAsia="宋体" w:cs="仿宋_GB2312"/>
                <w:szCs w:val="21"/>
              </w:rPr>
              <w:t>）</w:t>
            </w:r>
          </w:p>
          <w:p>
            <w:pPr>
              <w:autoSpaceDE w:val="0"/>
              <w:autoSpaceDN w:val="0"/>
              <w:adjustRightInd w:val="0"/>
              <w:rPr>
                <w:rFonts w:ascii="宋体" w:hAnsi="宋体" w:eastAsia="宋体" w:cs="仿宋_GB2312"/>
                <w:szCs w:val="21"/>
              </w:rPr>
            </w:pPr>
            <w:r>
              <w:rPr>
                <w:rFonts w:hint="eastAsia" w:ascii="宋体" w:hAnsi="宋体" w:eastAsia="宋体" w:cs="仿宋_GB2312"/>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szCs w:val="21"/>
              </w:rPr>
            </w:pPr>
            <w:r>
              <w:rPr>
                <w:rFonts w:hint="eastAsia" w:ascii="宋体" w:hAnsi="宋体" w:eastAsia="宋体" w:cs="宋体"/>
                <w:bCs/>
                <w:szCs w:val="21"/>
                <w:lang w:val="zh-CN"/>
              </w:rPr>
              <w:t>成交供应商将本项目非主体、非关键性工作分包</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仿宋_GB2312"/>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仿宋_GB2312"/>
                <w:color w:val="000000"/>
                <w:szCs w:val="21"/>
                <w:shd w:val="clear" w:color="auto" w:fill="FFFFFF"/>
              </w:rPr>
              <w:t>响应文件提交截止、</w:t>
            </w:r>
            <w:r>
              <w:rPr>
                <w:rFonts w:hint="eastAsia" w:ascii="宋体" w:hAnsi="宋体" w:eastAsia="宋体" w:cs="宋体"/>
                <w:bCs/>
                <w:szCs w:val="21"/>
                <w:lang w:val="zh-CN"/>
              </w:rPr>
              <w:t>谈判响应截止及谈判时间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rPr>
                <w:rFonts w:ascii="宋体" w:hAnsi="宋体" w:eastAsia="宋体" w:cs="宋体"/>
                <w:bCs/>
                <w:szCs w:val="21"/>
                <w:lang w:val="zh-CN"/>
              </w:rPr>
            </w:pPr>
            <w:r>
              <w:rPr>
                <w:rFonts w:hint="eastAsia" w:ascii="宋体" w:hAnsi="宋体" w:eastAsia="宋体" w:cs="宋体"/>
                <w:bCs/>
                <w:szCs w:val="21"/>
              </w:rPr>
              <w:t>2023</w:t>
            </w:r>
            <w:r>
              <w:rPr>
                <w:rFonts w:hint="eastAsia" w:ascii="宋体" w:hAnsi="宋体" w:eastAsia="宋体" w:cs="宋体"/>
                <w:bCs/>
                <w:szCs w:val="21"/>
                <w:lang w:val="zh-CN"/>
              </w:rPr>
              <w:t>年</w:t>
            </w:r>
            <w:r>
              <w:rPr>
                <w:rFonts w:hint="eastAsia" w:ascii="宋体" w:hAnsi="宋体" w:eastAsia="宋体" w:cs="宋体"/>
                <w:bCs/>
                <w:szCs w:val="21"/>
                <w:lang w:val="en-US" w:eastAsia="zh-CN"/>
              </w:rPr>
              <w:t>12</w:t>
            </w:r>
            <w:r>
              <w:rPr>
                <w:rFonts w:hint="eastAsia" w:ascii="宋体" w:hAnsi="宋体" w:eastAsia="宋体" w:cs="宋体"/>
                <w:bCs/>
                <w:szCs w:val="21"/>
                <w:lang w:val="zh-CN"/>
              </w:rPr>
              <w:t>月</w:t>
            </w:r>
            <w:r>
              <w:rPr>
                <w:rFonts w:hint="eastAsia" w:ascii="宋体" w:hAnsi="宋体" w:eastAsia="宋体" w:cs="宋体"/>
                <w:bCs/>
                <w:szCs w:val="21"/>
                <w:lang w:val="en-US" w:eastAsia="zh-CN"/>
              </w:rPr>
              <w:t>25</w:t>
            </w:r>
            <w:r>
              <w:rPr>
                <w:rFonts w:hint="eastAsia" w:ascii="宋体" w:hAnsi="宋体" w:eastAsia="宋体" w:cs="宋体"/>
                <w:bCs/>
                <w:szCs w:val="21"/>
                <w:lang w:val="zh-CN"/>
              </w:rPr>
              <w:t>日</w:t>
            </w:r>
            <w:r>
              <w:rPr>
                <w:rFonts w:hint="eastAsia" w:ascii="宋体" w:hAnsi="宋体" w:eastAsia="宋体" w:cs="宋体"/>
                <w:bCs/>
                <w:szCs w:val="21"/>
                <w:lang w:val="en-US" w:eastAsia="zh-CN"/>
              </w:rPr>
              <w:t>8时30分</w:t>
            </w:r>
            <w:r>
              <w:rPr>
                <w:rFonts w:hint="eastAsia" w:ascii="宋体" w:hAnsi="宋体" w:eastAsia="宋体" w:cs="宋体"/>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开启地点</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rPr>
              <w:t>禹州市公共资源交易中心开标</w:t>
            </w:r>
            <w:r>
              <w:rPr>
                <w:rFonts w:hint="eastAsia" w:ascii="宋体" w:hAnsi="宋体" w:eastAsia="宋体" w:cs="仿宋_GB2312"/>
                <w:szCs w:val="21"/>
                <w:lang w:val="en-US" w:eastAsia="zh-CN"/>
              </w:rPr>
              <w:t>一</w:t>
            </w:r>
            <w:r>
              <w:rPr>
                <w:rFonts w:hint="eastAsia" w:ascii="宋体" w:hAnsi="宋体" w:eastAsia="宋体" w:cs="仿宋_GB2312"/>
                <w:szCs w:val="21"/>
              </w:rPr>
              <w:t>室（地址：禹州市行政服务中心楼九楼）（</w:t>
            </w:r>
            <w:r>
              <w:rPr>
                <w:rFonts w:hint="eastAsia" w:ascii="宋体" w:hAnsi="宋体" w:eastAsia="宋体" w:cs="Arial"/>
                <w:b/>
                <w:szCs w:val="21"/>
              </w:rPr>
              <w:t>本项目采用远程不见面谈判，供应商无须到达现场</w:t>
            </w: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69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adjustRightInd w:val="0"/>
              <w:spacing w:line="360" w:lineRule="auto"/>
              <w:rPr>
                <w:rFonts w:ascii="宋体" w:hAnsi="宋体" w:eastAsia="宋体" w:cs="仿宋_GB2312"/>
                <w:szCs w:val="21"/>
                <w:lang w:val="zh-CN"/>
              </w:rPr>
            </w:pPr>
            <w:r>
              <w:rPr>
                <w:rFonts w:hint="eastAsia" w:ascii="宋体" w:hAnsi="宋体" w:eastAsia="宋体" w:cs="仿宋_GB2312"/>
                <w:szCs w:val="21"/>
                <w:lang w:val="zh-CN"/>
              </w:rPr>
              <w:t>本项目不收取。</w:t>
            </w:r>
          </w:p>
          <w:p>
            <w:pPr>
              <w:tabs>
                <w:tab w:val="left" w:pos="1260"/>
              </w:tabs>
              <w:autoSpaceDE w:val="0"/>
              <w:autoSpaceDN w:val="0"/>
              <w:spacing w:line="360" w:lineRule="auto"/>
              <w:rPr>
                <w:rFonts w:ascii="宋体" w:hAnsi="宋体" w:eastAsia="宋体" w:cs="仿宋_GB2312"/>
                <w:szCs w:val="21"/>
                <w:lang w:val="zh-CN"/>
              </w:rPr>
            </w:pPr>
            <w:r>
              <w:rPr>
                <w:rFonts w:hint="eastAsia" w:ascii="宋体" w:hAnsi="宋体" w:eastAsia="宋体" w:cs="仿宋_GB2312"/>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公告发布</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color w:val="000000"/>
                <w:szCs w:val="21"/>
              </w:rPr>
              <w:t>谈判公告、成交公告、变更（更正）公告、现场勘察答复等相关信息同时在以下网站发布：</w:t>
            </w:r>
            <w:r>
              <w:rPr>
                <w:rFonts w:hint="eastAsia" w:ascii="宋体" w:hAnsi="宋体" w:eastAsia="宋体" w:cs="仿宋_GB2312"/>
                <w:szCs w:val="21"/>
                <w:lang w:val="zh-CN"/>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仿宋_GB2312"/>
                <w:szCs w:val="21"/>
              </w:rPr>
              <w:t>采购人澄清或修改</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仿宋_GB2312"/>
                <w:szCs w:val="21"/>
              </w:rPr>
              <w:t>谈判文件时间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仿宋_GB2312"/>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供应商对采购文件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质疑截止时间</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响应文件份数</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000000"/>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w:t>
            </w:r>
            <w:r>
              <w:rPr>
                <w:rFonts w:ascii="宋体" w:hAnsi="宋体" w:eastAsia="宋体" w:cs="宋体"/>
                <w:szCs w:val="21"/>
                <w:lang w:val="zh-CN"/>
              </w:rPr>
              <w:t xml:space="preserve"> XXX</w:t>
            </w:r>
            <w:r>
              <w:rPr>
                <w:rFonts w:hint="eastAsia" w:ascii="宋体" w:hAnsi="宋体" w:eastAsia="宋体" w:cs="宋体"/>
                <w:szCs w:val="21"/>
                <w:lang w:val="zh-CN"/>
              </w:rPr>
              <w:t>公司</w:t>
            </w:r>
            <w:r>
              <w:rPr>
                <w:rFonts w:ascii="宋体" w:hAnsi="宋体" w:eastAsia="宋体" w:cs="宋体"/>
                <w:szCs w:val="21"/>
                <w:lang w:val="zh-CN"/>
              </w:rPr>
              <w:t>XXX</w:t>
            </w:r>
            <w:r>
              <w:rPr>
                <w:rFonts w:hint="eastAsia" w:ascii="宋体" w:hAnsi="宋体" w:eastAsia="宋体" w:cs="宋体"/>
                <w:szCs w:val="21"/>
                <w:lang w:val="zh-CN"/>
              </w:rPr>
              <w:t>项目编号</w:t>
            </w:r>
            <w:r>
              <w:rPr>
                <w:rFonts w:ascii="宋体" w:hAnsi="宋体" w:eastAsia="宋体" w:cs="宋体"/>
                <w:szCs w:val="21"/>
                <w:lang w:val="zh-CN"/>
              </w:rPr>
              <w:t>.file</w:t>
            </w:r>
            <w:r>
              <w:rPr>
                <w:rFonts w:hint="eastAsia" w:ascii="宋体" w:hAnsi="宋体" w:eastAsia="宋体" w:cs="宋体"/>
                <w:szCs w:val="21"/>
                <w:lang w:val="zh-CN"/>
              </w:rPr>
              <w:t>）。</w:t>
            </w:r>
          </w:p>
          <w:p>
            <w:pPr>
              <w:autoSpaceDE w:val="0"/>
              <w:autoSpaceDN w:val="0"/>
              <w:adjustRightInd w:val="0"/>
              <w:spacing w:line="360" w:lineRule="auto"/>
              <w:rPr>
                <w:rFonts w:ascii="宋体" w:hAnsi="宋体" w:eastAsia="宋体"/>
                <w:szCs w:val="21"/>
              </w:rPr>
            </w:pPr>
            <w:r>
              <w:rPr>
                <w:rFonts w:hint="eastAsia" w:ascii="宋体" w:hAnsi="宋体" w:eastAsia="宋体" w:cs="宋体"/>
                <w:b/>
                <w:bCs/>
                <w:szCs w:val="21"/>
                <w:lang w:val="zh-CN"/>
              </w:rPr>
              <w:t>□</w:t>
            </w:r>
            <w:r>
              <w:rPr>
                <w:rFonts w:hint="eastAsia" w:ascii="宋体" w:hAnsi="宋体" w:eastAsia="宋体"/>
                <w:szCs w:val="21"/>
              </w:rPr>
              <w:t>纸质响应文件：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w:t>
            </w:r>
            <w:r>
              <w:rPr>
                <w:rFonts w:hint="eastAsia" w:ascii="宋体" w:hAnsi="宋体" w:eastAsia="宋体"/>
                <w:szCs w:val="21"/>
              </w:rPr>
              <w:t>副本一份</w:t>
            </w:r>
            <w:r>
              <w:rPr>
                <w:rFonts w:hint="eastAsia" w:ascii="宋体" w:hAnsi="宋体" w:eastAsia="宋体" w:cs="仿宋_GB2312"/>
                <w:szCs w:val="21"/>
              </w:rPr>
              <w:t>。使用</w:t>
            </w:r>
            <w:r>
              <w:rPr>
                <w:rFonts w:hint="eastAsia" w:ascii="宋体" w:hAnsi="宋体" w:eastAsia="宋体"/>
                <w:szCs w:val="21"/>
              </w:rPr>
              <w:t>格式为“投标文件（供打印）.PDF”的文件</w:t>
            </w:r>
          </w:p>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TimesNewRomanPSMT"/>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响应文件的</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签署盖章</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电子响应文件：按谈判文件要求加盖供应商电子印章和法人电子印章。</w:t>
            </w:r>
          </w:p>
          <w:p>
            <w:pPr>
              <w:autoSpaceDE w:val="0"/>
              <w:autoSpaceDN w:val="0"/>
              <w:adjustRightInd w:val="0"/>
              <w:spacing w:line="420" w:lineRule="exact"/>
              <w:rPr>
                <w:rFonts w:ascii="宋体" w:hAnsi="宋体" w:eastAsia="宋体" w:cs="仿宋_GB2312"/>
                <w:szCs w:val="21"/>
                <w:highlight w:val="lightGray"/>
              </w:rPr>
            </w:pPr>
            <w:r>
              <w:rPr>
                <w:rFonts w:hint="eastAsia" w:ascii="宋体" w:hAnsi="宋体" w:eastAsia="宋体" w:cs="宋体"/>
                <w:b/>
                <w:bCs/>
                <w:szCs w:val="21"/>
                <w:lang w:val="zh-CN"/>
              </w:rPr>
              <w:t>□</w:t>
            </w:r>
            <w:r>
              <w:rPr>
                <w:rFonts w:hint="eastAsia" w:ascii="宋体" w:hAnsi="宋体" w:eastAsia="宋体"/>
                <w:szCs w:val="21"/>
              </w:rPr>
              <w:t>纸质响应文件：响应文件封面加盖供应商公章（响应文件是指供应商电子响应文件制作完成后生成的后缀名为</w:t>
            </w:r>
            <w:r>
              <w:rPr>
                <w:rFonts w:hint="eastAsia" w:ascii="宋体" w:hAnsi="宋体" w:eastAsia="宋体"/>
                <w:color w:val="000000"/>
                <w:szCs w:val="21"/>
              </w:rPr>
              <w:t>“</w:t>
            </w:r>
            <w:r>
              <w:rPr>
                <w:rFonts w:ascii="宋体" w:hAnsi="宋体" w:eastAsia="宋体"/>
                <w:color w:val="000000"/>
                <w:szCs w:val="21"/>
              </w:rPr>
              <w:t>.PDF</w:t>
            </w:r>
            <w:r>
              <w:rPr>
                <w:rFonts w:hint="eastAsia" w:ascii="宋体" w:hAnsi="宋体" w:eastAsia="宋体"/>
                <w:color w:val="000000"/>
                <w:szCs w:val="21"/>
              </w:rPr>
              <w:t>”的文件</w:t>
            </w:r>
            <w:r>
              <w:rPr>
                <w:rFonts w:hint="eastAsia" w:ascii="宋体" w:hAnsi="宋体" w:eastAsia="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黑体"/>
                <w:szCs w:val="21"/>
              </w:rPr>
              <w:t>谈判小组组建</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黑体"/>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评审方法</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szCs w:val="21"/>
              </w:rPr>
            </w:pPr>
            <w:r>
              <w:rPr>
                <w:rFonts w:hint="eastAsia" w:ascii="宋体" w:hAnsi="宋体" w:eastAsia="宋体"/>
                <w:color w:val="000000"/>
              </w:rPr>
              <w:t>质量和服务均能满足谈判文件实质性响应要求且最后报价最低的原则确定成交供应商</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中小企业有关政策</w:t>
            </w:r>
          </w:p>
        </w:tc>
        <w:tc>
          <w:tcPr>
            <w:tcW w:w="6968" w:type="dxa"/>
            <w:tcBorders>
              <w:top w:val="single" w:color="auto" w:sz="4" w:space="0"/>
              <w:left w:val="single" w:color="auto" w:sz="4" w:space="0"/>
              <w:bottom w:val="single" w:color="auto" w:sz="4" w:space="0"/>
              <w:right w:val="single" w:color="auto" w:sz="4" w:space="0"/>
            </w:tcBorders>
            <w:vAlign w:val="center"/>
          </w:tcPr>
          <w:p>
            <w:pPr>
              <w:spacing w:line="450" w:lineRule="exact"/>
              <w:rPr>
                <w:rFonts w:ascii="宋体" w:hAnsi="宋体" w:eastAsia="宋体"/>
              </w:rPr>
            </w:pPr>
            <w:r>
              <w:rPr>
                <w:rFonts w:ascii="宋体" w:hAnsi="宋体" w:eastAsia="宋体"/>
              </w:rPr>
              <w:t>1、根据工信部等部委发布的《关于印发中小企业划型标准规定的通知》（工信部联企业〔2011〕300号），按照本次采购标的所属行业的划型标准</w:t>
            </w:r>
            <w:r>
              <w:rPr>
                <w:rFonts w:hint="eastAsia" w:ascii="宋体" w:hAnsi="宋体" w:eastAsia="宋体"/>
              </w:rPr>
              <w:t>，</w:t>
            </w:r>
            <w:r>
              <w:rPr>
                <w:rFonts w:ascii="宋体" w:hAnsi="宋体" w:eastAsia="宋体"/>
              </w:rPr>
              <w:t>本次采购标的所属行业</w:t>
            </w:r>
            <w:r>
              <w:rPr>
                <w:rFonts w:hint="eastAsia" w:ascii="宋体" w:hAnsi="宋体" w:eastAsia="宋体"/>
              </w:rPr>
              <w:t>：</w:t>
            </w:r>
            <w:r>
              <w:rPr>
                <w:rFonts w:ascii="宋体" w:hAnsi="宋体" w:eastAsia="宋体"/>
              </w:rPr>
              <w:t>制造业</w:t>
            </w:r>
            <w:r>
              <w:rPr>
                <w:rFonts w:hint="eastAsia" w:ascii="宋体" w:hAnsi="宋体" w:eastAsia="宋体"/>
              </w:rPr>
              <w:t>。</w:t>
            </w:r>
          </w:p>
          <w:p>
            <w:pPr>
              <w:spacing w:line="450" w:lineRule="exact"/>
              <w:rPr>
                <w:rFonts w:ascii="宋体" w:hAnsi="宋体" w:eastAsia="宋体"/>
              </w:rPr>
            </w:pPr>
            <w:r>
              <w:rPr>
                <w:rFonts w:hint="eastAsia" w:ascii="宋体" w:hAnsi="宋体" w:eastAsia="宋体"/>
              </w:rPr>
              <w:t>2</w:t>
            </w:r>
            <w:r>
              <w:rPr>
                <w:rFonts w:ascii="宋体" w:hAnsi="宋体" w:eastAsia="宋体"/>
              </w:rPr>
              <w:t>、根据财政部、工业和信息化部发布的《政府采购促进中小企业发展管理办法》（财库〔2020〕46号）、《关于进一步加大政府采购支持中小企业力度的通知》（财库〔2022〕19号）规定，对小型和微型企业投标价格给予20%（10%</w:t>
            </w:r>
            <w:r>
              <w:rPr>
                <w:rFonts w:hint="eastAsia" w:ascii="宋体" w:hAnsi="宋体" w:eastAsia="宋体"/>
              </w:rPr>
              <w:t>—</w:t>
            </w:r>
            <w:r>
              <w:rPr>
                <w:rFonts w:ascii="宋体" w:hAnsi="宋体" w:eastAsia="宋体"/>
              </w:rPr>
              <w:t>20%）的扣除，用扣除后的价格参与评审。</w:t>
            </w:r>
          </w:p>
          <w:p>
            <w:pPr>
              <w:spacing w:line="450" w:lineRule="exact"/>
              <w:rPr>
                <w:rFonts w:ascii="宋体" w:hAnsi="宋体" w:eastAsia="宋体"/>
              </w:rPr>
            </w:pPr>
            <w:r>
              <w:rPr>
                <w:rFonts w:hint="eastAsia" w:ascii="宋体" w:hAnsi="宋体" w:eastAsia="宋体"/>
              </w:rPr>
              <w:t>3</w:t>
            </w:r>
            <w:r>
              <w:rPr>
                <w:rFonts w:ascii="宋体" w:hAnsi="宋体" w:eastAsia="宋体"/>
              </w:rPr>
              <w:t>、以联合体形式参加政府采购活动，联合体各方均为中小企业的，联合体视同中小企业。其中，联合体各方均为小微企业的，联合体视同小微企业。</w:t>
            </w:r>
          </w:p>
          <w:p>
            <w:pPr>
              <w:spacing w:line="450" w:lineRule="exact"/>
              <w:rPr>
                <w:rFonts w:ascii="宋体" w:hAnsi="宋体" w:eastAsia="宋体"/>
              </w:rPr>
            </w:pPr>
            <w:r>
              <w:rPr>
                <w:rFonts w:hint="eastAsia" w:ascii="宋体" w:hAnsi="宋体" w:eastAsia="宋体"/>
              </w:rPr>
              <w:t>4</w:t>
            </w:r>
            <w:r>
              <w:rPr>
                <w:rFonts w:ascii="宋体" w:hAnsi="宋体" w:eastAsia="宋体"/>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w:t>
            </w:r>
            <w:r>
              <w:rPr>
                <w:rFonts w:hint="eastAsia" w:ascii="宋体" w:hAnsi="宋体" w:eastAsia="宋体"/>
              </w:rPr>
              <w:t>4%—6%</w:t>
            </w:r>
            <w:r>
              <w:rPr>
                <w:rFonts w:ascii="宋体" w:hAnsi="宋体" w:eastAsia="宋体"/>
              </w:rPr>
              <w:t>）的扣除，用扣除后的价格参加评审。组成联合体或者接受分包的小微企业与联合体内其他企业、分包企业之间存在直接控股、管理关系的，不享受价格扣除优惠政策。</w:t>
            </w:r>
          </w:p>
          <w:p>
            <w:pPr>
              <w:spacing w:line="450" w:lineRule="exact"/>
              <w:rPr>
                <w:rFonts w:ascii="宋体" w:hAnsi="宋体" w:eastAsia="宋体"/>
              </w:rPr>
            </w:pPr>
            <w:r>
              <w:rPr>
                <w:rFonts w:hint="eastAsia" w:ascii="宋体" w:hAnsi="宋体" w:eastAsia="宋体"/>
              </w:rPr>
              <w:t>5</w:t>
            </w:r>
            <w:r>
              <w:rPr>
                <w:rFonts w:ascii="宋体" w:hAnsi="宋体" w:eastAsia="宋体"/>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eastAsia="宋体" w:cs="宋体"/>
                <w:b/>
                <w:color w:val="000000"/>
                <w:kern w:val="0"/>
                <w:szCs w:val="21"/>
                <w:lang w:val="zh-CN"/>
              </w:rPr>
            </w:pPr>
            <w:r>
              <w:rPr>
                <w:rFonts w:hint="eastAsia" w:ascii="宋体" w:hAnsi="宋体" w:eastAsia="宋体"/>
              </w:rPr>
              <w:t>6</w:t>
            </w:r>
            <w:r>
              <w:rPr>
                <w:rFonts w:ascii="宋体" w:hAnsi="宋体" w:eastAsia="宋体"/>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节能环保要求</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rPr>
            </w:pPr>
            <w:r>
              <w:rPr>
                <w:rFonts w:hint="eastAsia" w:ascii="宋体" w:hAnsi="宋体" w:eastAsia="宋体" w:cs="宋体"/>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信息安全要求</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bCs/>
                <w:szCs w:val="21"/>
                <w:lang w:val="zh-CN"/>
              </w:rPr>
            </w:pPr>
            <w:r>
              <w:rPr>
                <w:rFonts w:hint="eastAsia" w:ascii="宋体" w:hAnsi="宋体" w:eastAsia="宋体" w:cs="宋体"/>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color w:val="000000"/>
                <w:kern w:val="0"/>
                <w:szCs w:val="21"/>
                <w:lang w:val="zh-CN"/>
              </w:rPr>
            </w:pPr>
            <w:r>
              <w:rPr>
                <w:rFonts w:ascii="Segoe UI Emoji" w:hAnsi="Segoe UI Emoji" w:eastAsia="宋体" w:cs="Segoe UI Emoji"/>
                <w:b/>
                <w:bCs/>
                <w:szCs w:val="21"/>
                <w:lang w:val="zh-CN"/>
              </w:rPr>
              <w:t>☑</w:t>
            </w:r>
            <w:r>
              <w:rPr>
                <w:rFonts w:hint="eastAsia" w:ascii="宋体" w:hAnsi="宋体" w:eastAsia="宋体" w:cs="宋体"/>
                <w:bCs/>
                <w:szCs w:val="21"/>
                <w:lang w:val="zh-CN"/>
              </w:rPr>
              <w:t>无要求</w:t>
            </w:r>
          </w:p>
          <w:p>
            <w:pPr>
              <w:autoSpaceDE w:val="0"/>
              <w:autoSpaceDN w:val="0"/>
              <w:adjustRightInd w:val="0"/>
              <w:spacing w:line="440" w:lineRule="atLeast"/>
              <w:rPr>
                <w:rFonts w:ascii="宋体" w:hAnsi="宋体" w:eastAsia="宋体" w:cs="宋体"/>
                <w:bCs/>
                <w:szCs w:val="21"/>
                <w:lang w:val="zh-CN"/>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szCs w:val="21"/>
                <w:lang w:val="zh-CN"/>
              </w:rPr>
              <w:fldChar w:fldCharType="end"/>
            </w:r>
            <w:r>
              <w:rPr>
                <w:rFonts w:hint="eastAsia" w:ascii="宋体" w:hAnsi="宋体" w:eastAsia="宋体" w:cs="宋体"/>
                <w:color w:val="333333"/>
                <w:szCs w:val="21"/>
              </w:rPr>
              <w:t>要求提交。履约保证金的数额为合同金额</w:t>
            </w:r>
            <w:r>
              <w:rPr>
                <w:rFonts w:hint="eastAsia" w:ascii="宋体" w:hAnsi="宋体" w:eastAsia="宋体"/>
                <w:szCs w:val="21"/>
              </w:rPr>
              <w:t>的%</w:t>
            </w:r>
            <w:r>
              <w:rPr>
                <w:rFonts w:hint="eastAsia" w:ascii="宋体" w:hAnsi="宋体" w:eastAsia="宋体" w:cs="宋体"/>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atLeast"/>
              <w:rPr>
                <w:rFonts w:ascii="宋体" w:hAnsi="宋体" w:eastAsia="宋体" w:cs="宋体"/>
                <w:bCs/>
                <w:szCs w:val="21"/>
                <w:lang w:val="zh-CN"/>
              </w:rPr>
            </w:pPr>
            <w:r>
              <w:rPr>
                <w:rFonts w:hint="eastAsia" w:ascii="宋体" w:hAnsi="宋体" w:eastAsia="宋体" w:cs="宋体"/>
                <w:bCs/>
                <w:szCs w:val="21"/>
                <w:lang w:val="zh-CN"/>
              </w:rPr>
              <w:t>收取标准：以中标（成交）金额为基数参照《河南省招标代理服务收费指导意见》（ 豫招协[2023]002号）文件中所属类别的收费标准按差额定率累进法计算，由中标人（成交供应商）支付。注：投标人的投标报价应当包含该代理费用。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color w:val="333333"/>
                <w:szCs w:val="21"/>
                <w:lang w:val="zh-CN"/>
              </w:rPr>
              <w:t>中标人在接到中标通知时，须向代理机构发送投标报价及分项报价一览表（包含主要中标标的的名称、规格型号、数量、单价、服务要求等）电子文档，并同时通知代理机构，联系电话：</w:t>
            </w:r>
            <w:r>
              <w:rPr>
                <w:rFonts w:hint="eastAsia" w:ascii="宋体" w:hAnsi="宋体" w:eastAsia="宋体" w:cs="宋体"/>
                <w:color w:val="333333"/>
                <w:szCs w:val="21"/>
                <w:lang w:val="en-US" w:eastAsia="zh-CN"/>
              </w:rPr>
              <w:t>13383748781</w:t>
            </w:r>
            <w:r>
              <w:rPr>
                <w:rFonts w:hint="eastAsia" w:ascii="宋体" w:hAnsi="宋体" w:eastAsia="宋体" w:cs="宋体"/>
                <w:color w:val="333333"/>
                <w:szCs w:val="21"/>
                <w:lang w:val="zh-CN"/>
              </w:rPr>
              <w:t>，邮箱：</w:t>
            </w:r>
            <w:r>
              <w:rPr>
                <w:rFonts w:hint="eastAsia" w:ascii="宋体" w:hAnsi="宋体" w:eastAsia="宋体" w:cs="宋体"/>
                <w:color w:val="333333"/>
                <w:szCs w:val="21"/>
                <w:lang w:val="en-US" w:eastAsia="zh-CN"/>
              </w:rPr>
              <w:t>3177863@qq.</w:t>
            </w:r>
            <w:r>
              <w:rPr>
                <w:rFonts w:hint="eastAsia" w:ascii="宋体" w:hAnsi="宋体" w:eastAsia="宋体" w:cs="宋体"/>
                <w:color w:val="333333"/>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color w:val="000000"/>
                <w:kern w:val="0"/>
                <w:szCs w:val="21"/>
                <w:lang w:val="zh-CN"/>
              </w:rPr>
              <w:fldChar w:fldCharType="begin"/>
            </w:r>
            <w:r>
              <w:rPr>
                <w:rFonts w:hint="eastAsia" w:ascii="宋体" w:hAnsi="宋体" w:eastAsia="宋体" w:cs="宋体"/>
                <w:b/>
                <w:color w:val="000000"/>
                <w:kern w:val="0"/>
                <w:szCs w:val="21"/>
                <w:lang w:val="zh-CN"/>
              </w:rPr>
              <w:instrText xml:space="preserve">eq \o\ac(□,</w:instrText>
            </w:r>
            <w:r>
              <w:rPr>
                <w:rFonts w:hint="eastAsia" w:ascii="宋体" w:hAnsi="宋体" w:eastAsia="宋体" w:cs="宋体"/>
                <w:b/>
                <w:color w:val="000000"/>
                <w:kern w:val="0"/>
                <w:position w:val="2"/>
                <w:szCs w:val="21"/>
                <w:lang w:val="zh-CN"/>
              </w:rPr>
              <w:instrText xml:space="preserve">√</w:instrText>
            </w:r>
            <w:r>
              <w:rPr>
                <w:rFonts w:hint="eastAsia" w:ascii="宋体" w:hAnsi="宋体" w:eastAsia="宋体" w:cs="宋体"/>
                <w:b/>
                <w:color w:val="000000"/>
                <w:kern w:val="0"/>
                <w:szCs w:val="21"/>
                <w:lang w:val="zh-CN"/>
              </w:rPr>
              <w:instrText xml:space="preserve">)</w:instrText>
            </w:r>
            <w:r>
              <w:rPr>
                <w:rFonts w:hint="eastAsia" w:ascii="宋体" w:hAnsi="宋体" w:eastAsia="宋体" w:cs="宋体"/>
                <w:b/>
                <w:color w:val="000000"/>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6968"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rPr>
                <w:rFonts w:ascii="宋体" w:hAnsi="宋体" w:eastAsia="宋体"/>
              </w:rPr>
            </w:pPr>
            <w:r>
              <w:rPr>
                <w:rFonts w:hint="eastAsia" w:ascii="宋体" w:hAnsi="宋体" w:eastAsia="宋体"/>
              </w:rPr>
              <w:t>根据谈判小组要求，供应商须使用</w:t>
            </w:r>
            <w:r>
              <w:rPr>
                <w:rFonts w:ascii="宋体" w:hAnsi="宋体" w:eastAsia="宋体"/>
              </w:rPr>
              <w:t>CA</w:t>
            </w:r>
            <w:r>
              <w:rPr>
                <w:rFonts w:hint="eastAsia" w:ascii="宋体" w:hAnsi="宋体" w:eastAsia="宋体"/>
              </w:rPr>
              <w:t>数字证书登录</w:t>
            </w:r>
            <w:r>
              <w:rPr>
                <w:rFonts w:hint="eastAsia" w:ascii="宋体" w:hAnsi="宋体" w:eastAsia="宋体"/>
                <w:color w:val="000000"/>
                <w:szCs w:val="21"/>
              </w:rPr>
              <w:t>《全国公共资源交易平台（河南省</w:t>
            </w:r>
            <w:r>
              <w:rPr>
                <w:rFonts w:ascii="Segoe UI Emoji" w:hAnsi="Segoe UI Emoji" w:eastAsia="宋体" w:cs="Segoe UI Emoji"/>
                <w:color w:val="000000"/>
                <w:szCs w:val="21"/>
              </w:rPr>
              <w:t>▪</w:t>
            </w:r>
            <w:r>
              <w:rPr>
                <w:rFonts w:hint="eastAsia" w:ascii="宋体" w:hAnsi="宋体" w:eastAsia="宋体" w:cs="宋体"/>
                <w:color w:val="000000"/>
                <w:szCs w:val="21"/>
              </w:rPr>
              <w:t>许昌市）</w:t>
            </w:r>
            <w:r>
              <w:rPr>
                <w:rFonts w:hint="eastAsia" w:ascii="宋体" w:hAnsi="宋体" w:eastAsia="宋体"/>
                <w:color w:val="000000"/>
                <w:szCs w:val="21"/>
              </w:rPr>
              <w:t>》公共资源交易系统（</w:t>
            </w:r>
            <w:r>
              <w:rPr>
                <w:rFonts w:ascii="宋体" w:hAnsi="宋体" w:eastAsia="宋体"/>
              </w:rPr>
              <w:t>http://ggzy.xuchang.gov.cn:8088/ggzy/</w:t>
            </w:r>
            <w:r>
              <w:rPr>
                <w:rFonts w:hint="eastAsia" w:ascii="宋体" w:hAnsi="宋体" w:eastAsia="宋体"/>
                <w:color w:val="000000"/>
                <w:szCs w:val="21"/>
              </w:rPr>
              <w:t>）进行最后报价，</w:t>
            </w:r>
            <w:r>
              <w:rPr>
                <w:rFonts w:hint="eastAsia" w:ascii="宋体" w:hAnsi="宋体" w:eastAsia="宋体"/>
              </w:rPr>
              <w:t>最后报价应包括：①总报价②分项报价。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pPr>
              <w:wordWrap w:val="0"/>
              <w:autoSpaceDE w:val="0"/>
              <w:autoSpaceDN w:val="0"/>
              <w:adjustRightInd w:val="0"/>
              <w:spacing w:line="360" w:lineRule="auto"/>
              <w:rPr>
                <w:rFonts w:ascii="宋体" w:hAnsi="宋体" w:eastAsia="宋体"/>
                <w:color w:val="000000"/>
                <w:szCs w:val="21"/>
                <w:lang w:val="zh-CN"/>
              </w:rPr>
            </w:pPr>
            <w:r>
              <w:rPr>
                <w:rFonts w:hint="eastAsia" w:ascii="宋体" w:hAnsi="宋体" w:eastAsia="宋体"/>
                <w:color w:val="000000"/>
                <w:szCs w:val="21"/>
              </w:rPr>
              <w:t>①谈判小组要求供应商提交最后报价时，</w:t>
            </w:r>
            <w:r>
              <w:rPr>
                <w:rFonts w:hint="eastAsia" w:ascii="宋体" w:hAnsi="宋体" w:eastAsia="宋体"/>
                <w:color w:val="000000"/>
                <w:szCs w:val="21"/>
                <w:lang w:val="zh-CN"/>
              </w:rPr>
              <w:t>在谈判小组规定时间内，供应商未提交最后报价则以其初次提交响应文件报价为最后报价。</w:t>
            </w:r>
          </w:p>
          <w:p>
            <w:pPr>
              <w:wordWrap w:val="0"/>
              <w:autoSpaceDE w:val="0"/>
              <w:autoSpaceDN w:val="0"/>
              <w:adjustRightInd w:val="0"/>
              <w:spacing w:line="360" w:lineRule="auto"/>
              <w:rPr>
                <w:rFonts w:ascii="宋体" w:hAnsi="宋体" w:eastAsia="宋体"/>
                <w:color w:val="000000"/>
                <w:szCs w:val="21"/>
              </w:rPr>
            </w:pPr>
            <w:r>
              <w:rPr>
                <w:rFonts w:hint="eastAsia" w:ascii="宋体" w:hAnsi="宋体" w:eastAsia="宋体"/>
                <w:color w:val="000000"/>
                <w:szCs w:val="21"/>
              </w:rPr>
              <w:t>②采购文件第二章“采购需求”中“采购清单”以工程量清单提供的，供应商应以工程量清单方式提交最后报价。</w:t>
            </w:r>
          </w:p>
          <w:p>
            <w:pPr>
              <w:wordWrap w:val="0"/>
              <w:autoSpaceDE w:val="0"/>
              <w:autoSpaceDN w:val="0"/>
              <w:adjustRightInd w:val="0"/>
              <w:spacing w:line="360" w:lineRule="auto"/>
              <w:rPr>
                <w:rFonts w:ascii="宋体" w:hAnsi="宋体" w:eastAsia="宋体"/>
              </w:rPr>
            </w:pPr>
            <w:r>
              <w:rPr>
                <w:rFonts w:hint="eastAsia" w:ascii="宋体" w:hAnsi="宋体" w:eastAsia="宋体"/>
                <w:color w:val="000000"/>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解释权</w:t>
            </w:r>
          </w:p>
        </w:tc>
        <w:tc>
          <w:tcPr>
            <w:tcW w:w="69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构成要谈判文件的各个组成文件应互为解释，互为说明；</w:t>
            </w:r>
          </w:p>
          <w:p>
            <w:pPr>
              <w:spacing w:line="360" w:lineRule="auto"/>
              <w:rPr>
                <w:rFonts w:ascii="宋体" w:hAnsi="宋体" w:eastAsia="宋体" w:cs="宋体"/>
                <w:szCs w:val="21"/>
                <w:lang w:val="zh-CN"/>
              </w:rPr>
            </w:pPr>
            <w:r>
              <w:rPr>
                <w:rFonts w:hint="eastAsia" w:ascii="宋体" w:hAnsi="宋体" w:eastAsia="宋体" w:cs="宋体"/>
                <w:szCs w:val="21"/>
                <w:lang w:val="zh-CN"/>
              </w:rPr>
              <w:t>1、除谈判文件中有特别规定外，仅适用于谈判阶段的规定，按谈判公告（谈判邀请书）、谈判人须知、评标办法的先后顺序解释；</w:t>
            </w:r>
          </w:p>
          <w:p>
            <w:pPr>
              <w:spacing w:line="360" w:lineRule="auto"/>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、同一组成文件中就同一事项的规定或约定不一致的，以编排顺序在后者为准；</w:t>
            </w:r>
          </w:p>
          <w:p>
            <w:pPr>
              <w:spacing w:line="360" w:lineRule="auto"/>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、同一组成文件不同版本之间有不一致的，以形成时间在后者为准；</w:t>
            </w:r>
          </w:p>
          <w:p>
            <w:pPr>
              <w:wordWrap w:val="0"/>
              <w:autoSpaceDE w:val="0"/>
              <w:autoSpaceDN w:val="0"/>
              <w:adjustRightInd w:val="0"/>
              <w:spacing w:line="360" w:lineRule="auto"/>
              <w:rPr>
                <w:rFonts w:ascii="宋体" w:hAnsi="宋体" w:eastAsia="宋体"/>
              </w:rPr>
            </w:pPr>
            <w:r>
              <w:rPr>
                <w:rFonts w:hint="eastAsia" w:ascii="宋体" w:hAnsi="宋体" w:eastAsia="宋体" w:cs="宋体"/>
                <w:szCs w:val="21"/>
                <w:lang w:val="zh-CN"/>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知识产权</w:t>
            </w:r>
          </w:p>
        </w:tc>
        <w:tc>
          <w:tcPr>
            <w:tcW w:w="69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Cs w:val="21"/>
                <w:lang w:val="zh-CN"/>
              </w:rPr>
            </w:pPr>
            <w:r>
              <w:rPr>
                <w:rFonts w:hint="eastAsia" w:ascii="宋体" w:hAnsi="宋体" w:eastAsia="宋体" w:cs="宋体"/>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hAnsi="宋体" w:eastAsia="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lang w:val="zh-CN"/>
              </w:rPr>
              <w:t>投标文件的拒收</w:t>
            </w:r>
          </w:p>
        </w:tc>
        <w:tc>
          <w:tcPr>
            <w:tcW w:w="69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lang w:val="zh-CN"/>
              </w:rPr>
            </w:pPr>
            <w:r>
              <w:rPr>
                <w:rFonts w:hint="eastAsia" w:ascii="宋体" w:hAnsi="宋体" w:eastAsia="宋体" w:cs="宋体"/>
                <w:szCs w:val="21"/>
                <w:lang w:val="zh-CN"/>
              </w:rPr>
              <w:t>1、未成功上传的投标文件；</w:t>
            </w:r>
          </w:p>
          <w:p>
            <w:pPr>
              <w:rPr>
                <w:rFonts w:ascii="宋体" w:hAnsi="宋体" w:eastAsia="宋体" w:cs="宋体"/>
                <w:szCs w:val="21"/>
                <w:lang w:val="zh-CN"/>
              </w:rPr>
            </w:pPr>
            <w:r>
              <w:rPr>
                <w:rFonts w:hint="eastAsia" w:ascii="宋体" w:hAnsi="宋体" w:eastAsia="宋体" w:cs="宋体"/>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ascii="宋体" w:hAnsi="宋体" w:eastAsia="宋体" w:cs="宋体"/>
                <w:szCs w:val="21"/>
                <w:lang w:val="zh-CN"/>
              </w:rPr>
              <w:t>34</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Cs w:val="21"/>
                <w:lang w:val="zh-CN"/>
              </w:rPr>
            </w:pPr>
            <w:r>
              <w:rPr>
                <w:rFonts w:hint="eastAsia" w:ascii="宋体" w:hAnsi="宋体" w:eastAsia="宋体" w:cs="宋体"/>
                <w:szCs w:val="21"/>
                <w:lang w:val="zh-CN"/>
              </w:rPr>
              <w:t>特别提示</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rPr>
            </w:pPr>
            <w:r>
              <w:rPr>
                <w:rFonts w:ascii="宋体" w:hAnsi="宋体" w:eastAsia="宋体"/>
              </w:rPr>
              <w:t>1</w:t>
            </w:r>
            <w:r>
              <w:rPr>
                <w:rFonts w:hint="eastAsia" w:ascii="宋体" w:hAnsi="宋体" w:eastAsia="宋体"/>
              </w:rPr>
              <w:t>、按照《关于推进全流程电子化交易和在线监管工作有关问题的通知》（许公管办〔</w:t>
            </w:r>
            <w:r>
              <w:rPr>
                <w:rFonts w:ascii="宋体" w:hAnsi="宋体" w:eastAsia="宋体"/>
              </w:rPr>
              <w:t>2019</w:t>
            </w:r>
            <w:r>
              <w:rPr>
                <w:rFonts w:hint="eastAsia" w:ascii="宋体" w:hAnsi="宋体" w:eastAsia="宋体"/>
              </w:rPr>
              <w:t>〕</w:t>
            </w:r>
            <w:r>
              <w:rPr>
                <w:rFonts w:ascii="宋体" w:hAnsi="宋体" w:eastAsia="宋体"/>
              </w:rPr>
              <w:t>3</w:t>
            </w:r>
            <w:r>
              <w:rPr>
                <w:rFonts w:hint="eastAsia" w:ascii="宋体" w:hAnsi="宋体" w:eastAsia="宋体"/>
              </w:rPr>
              <w:t>号）规定：</w:t>
            </w:r>
          </w:p>
          <w:p>
            <w:pPr>
              <w:autoSpaceDE w:val="0"/>
              <w:autoSpaceDN w:val="0"/>
              <w:adjustRightInd w:val="0"/>
              <w:spacing w:line="360" w:lineRule="auto"/>
              <w:rPr>
                <w:rFonts w:ascii="宋体" w:hAnsi="宋体" w:eastAsia="宋体"/>
              </w:rPr>
            </w:pPr>
            <w:r>
              <w:rPr>
                <w:rFonts w:hint="eastAsia" w:ascii="宋体" w:hAnsi="宋体" w:eastAsia="宋体"/>
              </w:rPr>
              <w:t>不同供应商电子投标文件制作硬件特征码（网卡</w:t>
            </w:r>
            <w:r>
              <w:rPr>
                <w:rFonts w:ascii="宋体" w:hAnsi="宋体" w:eastAsia="宋体"/>
              </w:rPr>
              <w:t>MAC</w:t>
            </w:r>
            <w:r>
              <w:rPr>
                <w:rFonts w:hint="eastAsia" w:ascii="宋体" w:hAnsi="宋体" w:eastAsia="宋体"/>
              </w:rPr>
              <w:t>地址、</w:t>
            </w:r>
            <w:r>
              <w:rPr>
                <w:rFonts w:ascii="宋体" w:hAnsi="宋体" w:eastAsia="宋体"/>
              </w:rPr>
              <w:t>CPU</w:t>
            </w:r>
            <w:r>
              <w:rPr>
                <w:rFonts w:hint="eastAsia" w:ascii="宋体" w:hAnsi="宋体" w:eastAsia="宋体"/>
              </w:rPr>
              <w:t>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rPr>
                <w:rFonts w:ascii="宋体" w:hAnsi="宋体" w:eastAsia="宋体"/>
              </w:rPr>
            </w:pPr>
            <w:r>
              <w:rPr>
                <w:rFonts w:hint="eastAsia" w:ascii="宋体" w:hAnsi="宋体" w:eastAsia="宋体"/>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ascii="宋体" w:hAnsi="宋体" w:eastAsia="宋体"/>
              </w:rPr>
            </w:pPr>
            <w:r>
              <w:rPr>
                <w:rFonts w:ascii="宋体" w:hAnsi="宋体" w:eastAsia="宋体"/>
              </w:rPr>
              <w:t>2</w:t>
            </w:r>
            <w:r>
              <w:rPr>
                <w:rFonts w:hint="eastAsia" w:ascii="宋体" w:hAnsi="宋体" w:eastAsia="宋体"/>
              </w:rPr>
              <w:t>、项目编号以本谈判文件中的采购编号为准。</w:t>
            </w:r>
          </w:p>
          <w:p>
            <w:pPr>
              <w:spacing w:line="360" w:lineRule="auto"/>
              <w:rPr>
                <w:rFonts w:ascii="宋体" w:hAnsi="宋体" w:eastAsia="宋体" w:cs="宋体"/>
                <w:szCs w:val="21"/>
                <w:lang w:val="zh-CN"/>
              </w:rPr>
            </w:pPr>
            <w:r>
              <w:rPr>
                <w:rFonts w:ascii="宋体" w:hAnsi="宋体" w:eastAsia="宋体"/>
              </w:rPr>
              <w:t>3</w:t>
            </w:r>
            <w:r>
              <w:rPr>
                <w:rFonts w:hint="eastAsia" w:ascii="宋体" w:hAnsi="宋体" w:eastAsia="宋体"/>
              </w:rPr>
              <w:t>、谈判文件第八章响应文件有关格式的先后顺序不做无效响应。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35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FF0000"/>
                <w:szCs w:val="21"/>
              </w:rPr>
            </w:pPr>
            <w:r>
              <w:rPr>
                <w:rFonts w:hint="eastAsia" w:ascii="宋体" w:hAnsi="宋体" w:eastAsia="宋体"/>
                <w:color w:val="FF0000"/>
                <w:szCs w:val="21"/>
              </w:rPr>
              <w:t>供应商在成交后，应将由《禹州市政府采购供应商信用承诺函》替代的证明材料提交采购人核验，经核验无误后，发出成交通知书。</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w:t>
            </w:r>
            <w:r>
              <w:rPr>
                <w:rFonts w:ascii="宋体" w:hAnsi="宋体" w:eastAsia="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二、财务状况报告相关材料</w:t>
            </w:r>
          </w:p>
          <w:p>
            <w:pPr>
              <w:spacing w:line="360" w:lineRule="auto"/>
              <w:rPr>
                <w:rFonts w:ascii="宋体" w:hAnsi="宋体" w:eastAsia="宋体"/>
                <w:bCs/>
                <w:szCs w:val="21"/>
              </w:rPr>
            </w:pPr>
            <w:r>
              <w:rPr>
                <w:rFonts w:hint="eastAsia" w:ascii="宋体" w:hAnsi="宋体" w:eastAsia="宋体"/>
                <w:bCs/>
                <w:szCs w:val="21"/>
              </w:rPr>
              <w:t>（1）供应商是法人（法人包括企业法人、机关法人、事业单位法人和社会团体法人），提供本单位：</w:t>
            </w:r>
          </w:p>
          <w:p>
            <w:pPr>
              <w:spacing w:line="360" w:lineRule="auto"/>
              <w:rPr>
                <w:rFonts w:ascii="宋体" w:hAnsi="宋体" w:eastAsia="宋体"/>
                <w:bCs/>
                <w:szCs w:val="21"/>
              </w:rPr>
            </w:pPr>
            <w:r>
              <w:rPr>
                <w:rFonts w:hint="eastAsia" w:ascii="宋体" w:hAnsi="宋体" w:eastAsia="宋体"/>
                <w:bCs/>
                <w:szCs w:val="21"/>
              </w:rPr>
              <w:t>①2022年度经审计的财务报告，包括资产负债表、利润表、现金流量表、所有者权益变动表及其附注；</w:t>
            </w:r>
          </w:p>
          <w:p>
            <w:pPr>
              <w:spacing w:line="360" w:lineRule="auto"/>
              <w:rPr>
                <w:rFonts w:ascii="宋体" w:hAnsi="宋体" w:eastAsia="宋体"/>
                <w:bCs/>
                <w:szCs w:val="21"/>
              </w:rPr>
            </w:pPr>
            <w:r>
              <w:rPr>
                <w:rFonts w:hint="eastAsia" w:ascii="宋体" w:hAnsi="宋体" w:eastAsia="宋体"/>
                <w:bCs/>
                <w:szCs w:val="21"/>
              </w:rPr>
              <w:t>②基本开户银行出具的资信证明；</w:t>
            </w:r>
          </w:p>
          <w:p>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pPr>
              <w:spacing w:line="360" w:lineRule="auto"/>
              <w:rPr>
                <w:rFonts w:ascii="宋体" w:hAnsi="宋体" w:eastAsia="宋体"/>
                <w:bCs/>
                <w:szCs w:val="21"/>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pPr>
              <w:spacing w:line="360" w:lineRule="auto"/>
              <w:rPr>
                <w:rFonts w:ascii="宋体" w:hAnsi="宋体" w:eastAsia="宋体"/>
                <w:bCs/>
                <w:szCs w:val="21"/>
              </w:rPr>
            </w:pPr>
            <w:r>
              <w:rPr>
                <w:rFonts w:hint="eastAsia" w:ascii="宋体" w:hAnsi="宋体" w:eastAsia="宋体"/>
                <w:bCs/>
                <w:szCs w:val="21"/>
              </w:rPr>
              <w:t>（2）供应商（其他组织和自然人）提供本单位：</w:t>
            </w:r>
          </w:p>
          <w:p>
            <w:pPr>
              <w:spacing w:line="360" w:lineRule="auto"/>
              <w:rPr>
                <w:rFonts w:ascii="宋体" w:hAnsi="宋体" w:eastAsia="宋体"/>
                <w:bCs/>
                <w:szCs w:val="21"/>
              </w:rPr>
            </w:pPr>
            <w:r>
              <w:rPr>
                <w:rFonts w:hint="eastAsia" w:ascii="宋体" w:hAnsi="宋体" w:eastAsia="宋体"/>
                <w:bCs/>
                <w:szCs w:val="21"/>
              </w:rPr>
              <w:t>①2022年度经审计的财务报告，包括资产负债表、利润表、现金流量表、所有者权益变动表及其附注；</w:t>
            </w:r>
          </w:p>
          <w:p>
            <w:pPr>
              <w:spacing w:line="360" w:lineRule="auto"/>
              <w:rPr>
                <w:rFonts w:ascii="宋体" w:hAnsi="宋体" w:eastAsia="宋体"/>
                <w:bCs/>
                <w:szCs w:val="21"/>
              </w:rPr>
            </w:pPr>
            <w:r>
              <w:rPr>
                <w:rFonts w:hint="eastAsia" w:ascii="宋体" w:hAnsi="宋体" w:eastAsia="宋体"/>
                <w:bCs/>
                <w:szCs w:val="21"/>
              </w:rPr>
              <w:t>②银行出具的资信证明；</w:t>
            </w:r>
          </w:p>
          <w:p>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b/>
                <w:szCs w:val="21"/>
              </w:rPr>
              <w:t>三、依法缴纳税收相关材料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五、履行合同所必需的设备和专业技术能力的证明材料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bCs/>
                <w:szCs w:val="21"/>
              </w:rPr>
            </w:pPr>
            <w:r>
              <w:rPr>
                <w:rFonts w:hint="eastAsia" w:ascii="宋体" w:hAnsi="宋体" w:eastAsia="宋体"/>
                <w:bCs/>
                <w:szCs w:val="21"/>
              </w:rPr>
              <w:t>②供应商具备履行合同所必需的设备和专业技术能力承诺函或声明（承诺函或声明格式自拟）。</w:t>
            </w:r>
          </w:p>
          <w:p>
            <w:pPr>
              <w:autoSpaceDE w:val="0"/>
              <w:autoSpaceDN w:val="0"/>
              <w:adjustRightInd w:val="0"/>
              <w:spacing w:line="360" w:lineRule="auto"/>
              <w:ind w:right="-11"/>
              <w:rPr>
                <w:rFonts w:ascii="宋体" w:hAnsi="宋体" w:eastAsia="宋体"/>
                <w:szCs w:val="21"/>
              </w:rPr>
            </w:pPr>
            <w:r>
              <w:rPr>
                <w:rFonts w:hint="eastAsia" w:ascii="宋体" w:hAnsi="宋体" w:eastAsia="宋体" w:cs="仿宋_GB2312"/>
                <w:szCs w:val="21"/>
                <w:lang w:val="zh-CN"/>
              </w:rPr>
              <w:t>注：仅需提供序号</w:t>
            </w:r>
            <w:r>
              <w:rPr>
                <w:rFonts w:hint="eastAsia" w:ascii="宋体" w:hAnsi="宋体" w:eastAsia="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ascii="宋体" w:hAnsi="宋体" w:eastAsia="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供应商“</w:t>
            </w:r>
            <w:r>
              <w:rPr>
                <w:rFonts w:ascii="宋体" w:hAnsi="宋体" w:eastAsia="宋体" w:cs="宋体"/>
                <w:bCs/>
                <w:szCs w:val="21"/>
                <w:lang w:val="zh-CN"/>
              </w:rPr>
              <w:t>参加政府采购活动前3年内在经营活动中没有重大违法记录的书面声明</w:t>
            </w:r>
            <w:r>
              <w:rPr>
                <w:rFonts w:hint="eastAsia" w:ascii="宋体" w:hAnsi="宋体" w:eastAsia="宋体" w:cs="宋体"/>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七、</w:t>
            </w:r>
            <w:r>
              <w:rPr>
                <w:rFonts w:ascii="宋体" w:hAnsi="宋体" w:eastAsia="宋体" w:cs="仿宋_GB2312"/>
                <w:b/>
                <w:szCs w:val="21"/>
                <w:shd w:val="clear" w:color="auto" w:fill="FFFFFF"/>
              </w:rPr>
              <w:t>未被列入“信用中国”网站</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www.creditchina.gov.cn</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失信被执行人、</w:t>
            </w:r>
            <w:r>
              <w:rPr>
                <w:rFonts w:hint="eastAsia" w:ascii="宋体" w:hAnsi="宋体" w:eastAsia="宋体" w:cs="仿宋_GB2312"/>
                <w:b/>
                <w:szCs w:val="21"/>
                <w:shd w:val="clear" w:color="auto" w:fill="FFFFFF"/>
              </w:rPr>
              <w:t>重大税收违法失信主体</w:t>
            </w:r>
            <w:r>
              <w:rPr>
                <w:rFonts w:ascii="宋体" w:hAnsi="宋体" w:eastAsia="宋体" w:cs="仿宋_GB2312"/>
                <w:b/>
                <w:szCs w:val="21"/>
                <w:shd w:val="clear" w:color="auto" w:fill="FFFFFF"/>
              </w:rPr>
              <w:t>的</w:t>
            </w:r>
            <w:r>
              <w:rPr>
                <w:rFonts w:hint="eastAsia" w:ascii="宋体" w:hAnsi="宋体" w:eastAsia="宋体" w:cs="仿宋_GB2312"/>
                <w:b/>
                <w:szCs w:val="21"/>
                <w:shd w:val="clear" w:color="auto" w:fill="FFFFFF"/>
              </w:rPr>
              <w:t>供应商</w:t>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中国政府采购网</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www.ccgp.gov.cn</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政府采购严重违法失信行为记录名单的</w:t>
            </w:r>
            <w:r>
              <w:rPr>
                <w:rFonts w:hint="eastAsia" w:ascii="宋体" w:hAnsi="宋体" w:eastAsia="宋体" w:cs="仿宋_GB2312"/>
                <w:b/>
                <w:szCs w:val="21"/>
                <w:shd w:val="clear" w:color="auto" w:fill="FFFFFF"/>
              </w:rPr>
              <w:t>供应商</w:t>
            </w:r>
            <w:r>
              <w:rPr>
                <w:rFonts w:hint="eastAsia" w:ascii="宋体" w:hAnsi="宋体" w:eastAsia="宋体" w:cs="宋体"/>
                <w:b/>
                <w:bCs/>
                <w:szCs w:val="21"/>
                <w:lang w:val="zh-CN"/>
              </w:rPr>
              <w:t>；</w:t>
            </w:r>
            <w:r>
              <w:rPr>
                <w:rFonts w:hint="eastAsia" w:ascii="宋体" w:hAnsi="宋体" w:eastAsia="宋体" w:cs="仿宋_GB2312"/>
                <w:b/>
                <w:szCs w:val="21"/>
                <w:shd w:val="clear" w:color="auto" w:fill="FFFFFF"/>
              </w:rPr>
              <w:t xml:space="preserve"> “中国社会组织政务服务平台”网站（</w:t>
            </w:r>
            <w:r>
              <w:rPr>
                <w:rFonts w:ascii="宋体" w:hAnsi="宋体" w:eastAsia="宋体" w:cs="仿宋_GB2312"/>
                <w:b/>
                <w:szCs w:val="21"/>
                <w:shd w:val="clear" w:color="auto" w:fill="FFFFFF"/>
              </w:rPr>
              <w:t>https://chinanpo.mca.gov.cn</w:t>
            </w:r>
            <w:r>
              <w:rPr>
                <w:rFonts w:hint="eastAsia" w:ascii="宋体" w:hAnsi="宋体" w:eastAsia="宋体" w:cs="仿宋_GB2312"/>
                <w:b/>
                <w:szCs w:val="21"/>
                <w:shd w:val="clear" w:color="auto" w:fill="FFFFFF"/>
              </w:rPr>
              <w:t>）严重违法失信社会组织名单的供应商（</w:t>
            </w:r>
            <w:r>
              <w:rPr>
                <w:rFonts w:hint="eastAsia" w:ascii="宋体" w:hAnsi="宋体" w:eastAsia="宋体" w:cs="宋体"/>
                <w:kern w:val="0"/>
                <w:szCs w:val="21"/>
              </w:rPr>
              <w:t>联合体形式投标的，联合体成员存在不良信用记录，视同联合体存在不良信用记录）。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pPr>
              <w:spacing w:line="360" w:lineRule="auto"/>
              <w:rPr>
                <w:rFonts w:ascii="宋体" w:hAnsi="宋体" w:eastAsia="宋体" w:cs="宋体"/>
                <w:kern w:val="0"/>
                <w:szCs w:val="21"/>
              </w:rPr>
            </w:pPr>
            <w:r>
              <w:rPr>
                <w:rFonts w:hint="eastAsia" w:ascii="宋体" w:hAnsi="宋体" w:eastAsia="宋体" w:cs="宋体"/>
                <w:kern w:val="0"/>
                <w:szCs w:val="21"/>
              </w:rPr>
              <w:t>③“中国社会组织政务服务平台”网站（</w:t>
            </w:r>
            <w:r>
              <w:rPr>
                <w:rFonts w:ascii="宋体" w:hAnsi="宋体" w:eastAsia="宋体" w:cs="宋体"/>
                <w:kern w:val="0"/>
                <w:szCs w:val="21"/>
              </w:rPr>
              <w:t>https://chinanpo.mca.gov.cn</w:t>
            </w:r>
            <w:r>
              <w:rPr>
                <w:rFonts w:hint="eastAsia" w:ascii="宋体" w:hAnsi="宋体" w:eastAsia="宋体" w:cs="宋体"/>
                <w:kern w:val="0"/>
                <w:szCs w:val="21"/>
              </w:rPr>
              <w:t>）（仅查询社会组织）；</w:t>
            </w:r>
          </w:p>
          <w:p>
            <w:pPr>
              <w:pStyle w:val="27"/>
              <w:ind w:left="0" w:leftChars="0" w:firstLine="0" w:firstLineChars="0"/>
            </w:pPr>
            <w:r>
              <w:rPr>
                <w:rFonts w:hint="eastAsia" w:ascii="宋体" w:hAnsi="宋体" w:eastAsia="宋体" w:cs="宋体"/>
                <w:bCs/>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36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kern w:val="0"/>
                <w:szCs w:val="21"/>
              </w:rPr>
            </w:pPr>
            <w:r>
              <w:rPr>
                <w:rFonts w:hint="eastAsia" w:ascii="宋体" w:hAnsi="宋体" w:eastAsia="宋体" w:cs="宋体"/>
                <w:kern w:val="0"/>
                <w:szCs w:val="21"/>
              </w:rPr>
              <w:t>投诉渠道</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受理部门：禹州市财政局政府采购监督管理办公室</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受理电话：0374-8112523   </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电子邮箱：yzscgb8112523@163.com</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37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政府采购合同</w:t>
            </w:r>
          </w:p>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 xml:space="preserve">融资 </w:t>
            </w:r>
          </w:p>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政策告知函</w:t>
            </w:r>
          </w:p>
        </w:tc>
        <w:tc>
          <w:tcPr>
            <w:tcW w:w="6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lang w:val="zh-CN"/>
              </w:rPr>
            </w:pPr>
            <w:r>
              <w:rPr>
                <w:rFonts w:hint="eastAsia" w:ascii="宋体" w:hAnsi="宋体" w:eastAsia="宋体" w:cs="宋体"/>
                <w:szCs w:val="21"/>
                <w:lang w:val="zh-CN"/>
              </w:rPr>
              <w:t>未尽事宜，按国家有关规定执行。</w:t>
            </w:r>
          </w:p>
        </w:tc>
      </w:tr>
    </w:tbl>
    <w:p>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p>
    <w:p>
      <w:pPr>
        <w:pStyle w:val="27"/>
      </w:pPr>
    </w:p>
    <w:p>
      <w:pPr>
        <w:pStyle w:val="17"/>
        <w:ind w:left="5250"/>
      </w:pPr>
    </w:p>
    <w:p/>
    <w:p>
      <w:pPr>
        <w:pStyle w:val="27"/>
      </w:pPr>
    </w:p>
    <w:p>
      <w:pPr>
        <w:pStyle w:val="17"/>
        <w:ind w:left="5250"/>
      </w:pPr>
    </w:p>
    <w:p/>
    <w:p>
      <w:pPr>
        <w:pStyle w:val="27"/>
      </w:pPr>
    </w:p>
    <w:p>
      <w:pPr>
        <w:pStyle w:val="27"/>
        <w:ind w:left="0" w:leftChars="0" w:firstLine="0" w:firstLineChars="0"/>
      </w:pPr>
    </w:p>
    <w:p>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1.适用范围</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2.定义</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2.1“采购项目”：系指“供应商须知前附表”中所述的采购项目。</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2.2“采购人、采购机构”：系指“供应商须知前附表”中所述的组织本次采购的代理机构和采购人。</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2.4“成交供应商”系指成交的供应商。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2.5“甲方”系指采购人。</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2.7“服务”系指</w:t>
      </w:r>
      <w:r>
        <w:rPr>
          <w:rFonts w:hint="eastAsia" w:ascii="宋体" w:hAnsi="宋体" w:eastAsia="宋体"/>
        </w:rPr>
        <w:t>谈判</w:t>
      </w:r>
      <w:r>
        <w:rPr>
          <w:rFonts w:hint="eastAsia" w:ascii="宋体" w:hAnsi="宋体" w:eastAsia="宋体" w:cs="宋体"/>
          <w:kern w:val="0"/>
          <w:szCs w:val="21"/>
        </w:rPr>
        <w:t>文件规定的供应商为完成采购项目所需承担的全部义务。</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2.9谈判文件中凡标有“★”的条款均系实质性要求条款。</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3.合格的供应商</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3.2符合本项目“投标邀请”和“供应商须知前附表”中规定的合格供应商所必须具备的条件。</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w:t>
      </w:r>
      <w:r>
        <w:rPr>
          <w:rFonts w:ascii="宋体" w:hAnsi="宋体" w:eastAsia="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kern w:val="0"/>
          <w:szCs w:val="21"/>
        </w:rPr>
        <w:t>重大税收违法失信主体</w:t>
      </w:r>
      <w:r>
        <w:rPr>
          <w:rFonts w:ascii="宋体" w:hAnsi="宋体" w:eastAsia="宋体" w:cs="宋体"/>
          <w:kern w:val="0"/>
          <w:szCs w:val="21"/>
        </w:rPr>
        <w:t>、政府采购严重违法失信行为记录名单、严重违法失信社会组织名单（联合体形式投标的，联合体成员存在不良信用记录，视同联合体存在不良信用记录）。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rPr>
          <w:rFonts w:ascii="宋体" w:hAnsi="宋体" w:eastAsia="宋体" w:cs="宋体"/>
          <w:kern w:val="0"/>
          <w:szCs w:val="21"/>
        </w:rPr>
      </w:pPr>
      <w:r>
        <w:rPr>
          <w:rFonts w:ascii="宋体" w:hAnsi="宋体" w:eastAsia="宋体" w:cs="宋体"/>
          <w:kern w:val="0"/>
          <w:szCs w:val="21"/>
        </w:rPr>
        <w:t>3.3.1</w:t>
      </w:r>
      <w:r>
        <w:rPr>
          <w:rFonts w:ascii="宋体" w:hAnsi="宋体" w:eastAsia="宋体" w:cs="宋体"/>
          <w:kern w:val="0"/>
          <w:szCs w:val="21"/>
        </w:rPr>
        <w:tab/>
      </w:r>
      <w:r>
        <w:rPr>
          <w:rFonts w:ascii="宋体" w:hAnsi="宋体" w:eastAsia="宋体" w:cs="宋体"/>
          <w:kern w:val="0"/>
          <w:szCs w:val="21"/>
        </w:rPr>
        <w:t>查询渠道：“信用中国”网站（www.creditchina.gov.cn）、“中国政府采购网”（www.ccgp.gov.cn）、“中国社会组织政务服务平台”网站（</w:t>
      </w:r>
      <w:r>
        <w:fldChar w:fldCharType="begin"/>
      </w:r>
      <w:r>
        <w:instrText xml:space="preserve"> HYPERLINK "https://chinanpo.mca.gov.cn" </w:instrText>
      </w:r>
      <w:r>
        <w:fldChar w:fldCharType="separate"/>
      </w:r>
      <w:r>
        <w:rPr>
          <w:rStyle w:val="32"/>
          <w:rFonts w:ascii="宋体" w:hAnsi="宋体" w:eastAsia="宋体" w:cs="宋体"/>
          <w:kern w:val="0"/>
          <w:szCs w:val="21"/>
        </w:rPr>
        <w:t>https://chinanpo.mca.gov.cn</w:t>
      </w:r>
      <w:r>
        <w:rPr>
          <w:rStyle w:val="32"/>
          <w:rFonts w:ascii="宋体" w:hAnsi="宋体" w:eastAsia="宋体" w:cs="宋体"/>
          <w:kern w:val="0"/>
          <w:szCs w:val="21"/>
        </w:rPr>
        <w:fldChar w:fldCharType="end"/>
      </w:r>
      <w:r>
        <w:rPr>
          <w:rFonts w:ascii="宋体" w:hAnsi="宋体" w:eastAsia="宋体" w:cs="宋体"/>
          <w:kern w:val="0"/>
          <w:szCs w:val="21"/>
        </w:rPr>
        <w:t>）；</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3.6“投标邀请”和“供应商须知前附表”规定接受联合体投标的，除应符合本章第3.1项和3.2项要求外，还应遵守以下规定：</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3.6.1在响应文件中向采购人提交联合体协议书，明确联合体各方承担的工作和义务；</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3.6.5联合体各方应当共同与采购人签订采购合同，就采购合同约定的事项对采购人承担连带责任。</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3.7法律、行政法规规定的其他条件。</w:t>
      </w:r>
    </w:p>
    <w:p>
      <w:pPr>
        <w:autoSpaceDE w:val="0"/>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4.合格的货物和服务</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4.2供应商所提供的服务应当没有侵犯任何第三方的知识产权、技术秘密等合法权利。</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w:t>
      </w:r>
      <w:r>
        <w:rPr>
          <w:rFonts w:hint="eastAsia" w:ascii="Times New Roman" w:hAnsi="Times New Roman" w:eastAsia="宋体" w:cs="Times New Roman"/>
          <w:szCs w:val="21"/>
          <w:shd w:val="clear" w:color="auto" w:fill="FFFFFF"/>
        </w:rPr>
        <w:t>根据《强制性产品认证管理规定》（质检总局第</w:t>
      </w:r>
      <w:r>
        <w:rPr>
          <w:rFonts w:ascii="Times New Roman" w:hAnsi="Times New Roman" w:eastAsia="宋体" w:cs="Times New Roman"/>
          <w:szCs w:val="21"/>
          <w:shd w:val="clear" w:color="auto" w:fill="FFFFFF"/>
        </w:rPr>
        <w:t>117</w:t>
      </w:r>
      <w:r>
        <w:rPr>
          <w:rFonts w:hint="eastAsia" w:ascii="Times New Roman" w:hAnsi="Times New Roman" w:eastAsia="宋体" w:cs="Times New Roman"/>
          <w:szCs w:val="21"/>
          <w:shd w:val="clear" w:color="auto" w:fill="FFFFFF"/>
        </w:rPr>
        <w:t>号令）要求，</w:t>
      </w:r>
      <w:r>
        <w:rPr>
          <w:rFonts w:hint="eastAsia" w:ascii="宋体" w:hAnsi="宋体" w:eastAsia="宋体" w:cs="宋体"/>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4.5根据财政部、工业和信息化部、国家质检总局、国家认监委联合发布</w:t>
      </w:r>
      <w:bookmarkStart w:id="1" w:name="baidusnap0"/>
      <w:bookmarkEnd w:id="1"/>
      <w:r>
        <w:rPr>
          <w:rFonts w:hint="eastAsia" w:ascii="宋体" w:hAnsi="宋体" w:eastAsia="宋体" w:cs="宋体"/>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5.谈判费用</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6.信息发布</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szCs w:val="21"/>
          <w:lang w:val="zh-CN"/>
        </w:rPr>
        <w:t>《河南省政府采购网》《许昌市政府采购网》《全国公共资源交易平台（河南省•许昌市）》公开发布</w:t>
      </w:r>
      <w:r>
        <w:rPr>
          <w:rFonts w:hint="eastAsia" w:ascii="宋体" w:hAnsi="宋体" w:eastAsia="宋体" w:cs="宋体"/>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7.采购代理机构代理费用收取标准和方式</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详见供应商须知前附表</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8.其他</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jc w:val="center"/>
        <w:rPr>
          <w:rFonts w:hint="eastAsia" w:ascii="宋体" w:hAnsi="宋体" w:eastAsia="宋体" w:cs="宋体"/>
          <w:b/>
          <w:kern w:val="0"/>
          <w:szCs w:val="21"/>
        </w:rPr>
      </w:pPr>
    </w:p>
    <w:p>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二、谈判文件说明</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9.谈判文件构成</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9.1谈判文件由以下部分组成：</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（1）采购邀请（竞争性谈判公告）</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（2）采购需求</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（3）供应商须知前附表</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（4）供应商须知</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（5）政府采购政策功能</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（6）资格审查与评审</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（7）合同书格式及合同条款</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（8）响应文件有关格式</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供应商需提供此项承诺函，否则将否决其投标。</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10.谈判文件的澄清或修改</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三、响应文件的编制</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11.响应文件的语言及计量单位</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12.报价</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12.7最低报价不能作为成交的保证。</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13.响应文件有效期</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14.响应文件构成</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14.3响应文件由资格证明材料、符合性证明材料、其他材料等组成。</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9"/>
        <w:autoSpaceDE w:val="0"/>
        <w:autoSpaceDN w:val="0"/>
        <w:spacing w:line="360" w:lineRule="auto"/>
        <w:ind w:firstLine="422"/>
        <w:rPr>
          <w:rFonts w:ascii="宋体" w:hAnsi="宋体" w:eastAsia="宋体" w:cs="宋体"/>
          <w:b/>
          <w:bCs/>
          <w:kern w:val="0"/>
          <w:szCs w:val="21"/>
        </w:rPr>
      </w:pPr>
      <w:r>
        <w:rPr>
          <w:rFonts w:hint="eastAsia" w:ascii="宋体" w:hAnsi="宋体" w:eastAsia="宋体" w:cs="宋体"/>
          <w:b/>
          <w:bCs/>
          <w:kern w:val="0"/>
          <w:szCs w:val="21"/>
        </w:rPr>
        <w:t>电子响应文件制作技术咨询：0374-2961598。</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15.响应文件格式</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法人或授权委托人签字、日期等字样。</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 xml:space="preserve">16.谈判保证金  </w:t>
      </w:r>
    </w:p>
    <w:p>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16.1本项目不收取谈判保证金。</w:t>
      </w:r>
    </w:p>
    <w:p>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16.2供应商应提供谈判承诺函。</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17.谈判文件的数量和签署盖章</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pPr>
        <w:pStyle w:val="49"/>
        <w:autoSpaceDE w:val="0"/>
        <w:autoSpaceDN w:val="0"/>
        <w:spacing w:line="360" w:lineRule="auto"/>
        <w:rPr>
          <w:rFonts w:ascii="宋体" w:hAnsi="宋体" w:eastAsia="宋体" w:cs="宋体"/>
          <w:szCs w:val="21"/>
          <w:lang w:val="zh-CN"/>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四、响应文件的递交</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18.谈判响应截止时间</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18.1供应商必须在“采购邀请”和“供应商须知前附表”中规定的响应截止时间前，将加密电子响应文件（.file格式）通过《全国公共资源交易平台（河南省</w:t>
      </w:r>
      <w:r>
        <w:rPr>
          <w:rFonts w:ascii="Segoe UI Emoji" w:hAnsi="Segoe UI Emoji" w:eastAsia="宋体" w:cs="Segoe UI Emoji"/>
          <w:kern w:val="0"/>
          <w:szCs w:val="21"/>
        </w:rPr>
        <w:t>▪</w:t>
      </w:r>
      <w:r>
        <w:rPr>
          <w:rFonts w:hint="eastAsia" w:ascii="宋体" w:hAnsi="宋体" w:eastAsia="宋体" w:cs="宋体"/>
          <w:kern w:val="0"/>
          <w:szCs w:val="21"/>
        </w:rPr>
        <w:t>许昌市）》公共资源交易系统成功上传。在提交截止时间以后上传的响应文件，采购人、采购代理机构将予以拒绝。</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19.迟交的响应文件</w:t>
      </w:r>
    </w:p>
    <w:p>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谈判响应文件截止时间之后送达/上传的响应文件，采购人、采购代理机构将拒绝接收。</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20.响应文件的修改和撤回</w:t>
      </w:r>
    </w:p>
    <w:p>
      <w:pPr>
        <w:autoSpaceDE w:val="0"/>
        <w:autoSpaceDN w:val="0"/>
        <w:spacing w:line="360" w:lineRule="auto"/>
        <w:ind w:firstLine="420" w:firstLineChars="200"/>
        <w:rPr>
          <w:rFonts w:ascii="宋体" w:hAnsi="Calibri" w:eastAsia="宋体" w:cs="宋体"/>
          <w:szCs w:val="21"/>
        </w:rPr>
      </w:pPr>
      <w:r>
        <w:rPr>
          <w:rFonts w:hint="eastAsia" w:ascii="宋体" w:hAnsi="宋体" w:eastAsia="宋体" w:cs="宋体"/>
          <w:kern w:val="0"/>
          <w:szCs w:val="21"/>
        </w:rPr>
        <w:t>20.1</w:t>
      </w:r>
      <w:r>
        <w:rPr>
          <w:rFonts w:hint="eastAsia" w:ascii="宋体" w:hAnsi="宋体" w:eastAsia="宋体" w:cs="宋体"/>
          <w:szCs w:val="21"/>
        </w:rPr>
        <w:t>供应商在谈判响应截止时间前，对所提交的响应文件进行补充、修改或者撤回的，须书面通知采购人和代理机构。</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pPr>
        <w:pStyle w:val="49"/>
        <w:autoSpaceDE w:val="0"/>
        <w:autoSpaceDN w:val="0"/>
        <w:spacing w:line="360" w:lineRule="auto"/>
        <w:ind w:firstLine="0" w:firstLineChars="0"/>
        <w:rPr>
          <w:rFonts w:ascii="宋体" w:hAnsi="宋体" w:eastAsia="宋体" w:cs="宋体"/>
          <w:kern w:val="0"/>
          <w:szCs w:val="21"/>
        </w:rPr>
      </w:pPr>
      <w:r>
        <w:rPr>
          <w:rFonts w:hint="eastAsia" w:ascii="宋体" w:hAnsi="宋体" w:eastAsia="宋体" w:cs="宋体"/>
          <w:b/>
          <w:kern w:val="0"/>
          <w:szCs w:val="21"/>
        </w:rPr>
        <w:t>21.除供应商须知前附表另有规定外，供应商所提交的电子响应文件不予退还。</w:t>
      </w:r>
    </w:p>
    <w:p>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五、谈判和评审</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22.响应文件密封情况检查及解密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22.1采购人将按谈判文件规定的谈判响应截止时间和地点解密电子响应文件。由代理机构主持，供应商无需到现场。</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22.2.1.1供应商解密：供应商使用本单位CA数字证书进行远程解密。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22.2.1.2采购代理机构解密：采购代理机构按电子响应文件到达交易系统的先后顺序，使用本单位CA数字证书进行再次解密。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22.1.3供应商未在规定时间内解密或因供应商原因解密失败的，其响应文件将被拒绝。</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22.3供应商不足3家的，本项目谈判活动终止。（如符合《政府采购非招标采购方式管理办法》（财政部令第74号）第二十七条第二款中的情形的，供应商最低数量可以为两家）</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22.4响应文件解密过程由采购代理机构负责记录。</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22.6响应文件解密活动结束时，供应商应在《开标记录表》上进行电子签章。供应商未签章的，视同认可解密结果。</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23.谈判小组组成</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23.3.1参加采购活动前三年内，与供应商存在劳动关系，或者担任过供应商的董事、监事，或者是供应商的控股股东或实际控制人；</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23.3.2与供应商的法定代表人或者负责人有夫妻、直系血亲、三代以内旁系血亲或者近姻亲关系；</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23.3.3与供应商有其他可能影响政府采购活动公平、公正进行的关系。</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23.5采购人不得担任谈判小组组长。</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24.资格审查和符合性审查</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pPr>
        <w:pStyle w:val="49"/>
        <w:autoSpaceDE w:val="0"/>
        <w:autoSpaceDN w:val="0"/>
        <w:spacing w:line="360" w:lineRule="auto"/>
        <w:ind w:firstLine="422"/>
        <w:rPr>
          <w:rFonts w:ascii="宋体" w:hAnsi="宋体" w:eastAsia="宋体" w:cs="宋体"/>
          <w:b/>
          <w:kern w:val="0"/>
          <w:szCs w:val="21"/>
        </w:rPr>
      </w:pPr>
      <w:r>
        <w:rPr>
          <w:rFonts w:hint="eastAsia" w:ascii="宋体" w:hAnsi="宋体" w:eastAsia="宋体" w:cs="宋体"/>
          <w:b/>
          <w:kern w:val="0"/>
          <w:szCs w:val="21"/>
        </w:rPr>
        <w:t>25.响应文件的澄清</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9"/>
        <w:numPr>
          <w:ilvl w:val="1"/>
          <w:numId w:val="38"/>
        </w:numPr>
        <w:autoSpaceDE w:val="0"/>
        <w:autoSpaceDN w:val="0"/>
        <w:spacing w:line="360" w:lineRule="auto"/>
        <w:ind w:firstLineChars="0"/>
        <w:contextualSpacing/>
        <w:rPr>
          <w:rFonts w:ascii="宋体" w:hAnsi="宋体" w:eastAsia="宋体" w:cs="宋体"/>
          <w:vanish/>
          <w:kern w:val="0"/>
          <w:szCs w:val="21"/>
        </w:rPr>
      </w:pP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27.响应无效情形</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w:t>
      </w:r>
      <w:r>
        <w:rPr>
          <w:rFonts w:ascii="宋体" w:hAnsi="宋体" w:eastAsia="宋体" w:cs="宋体"/>
          <w:kern w:val="0"/>
          <w:szCs w:val="21"/>
        </w:rPr>
        <w:t>.1.1</w:t>
      </w:r>
      <w:r>
        <w:rPr>
          <w:rFonts w:ascii="宋体" w:hAnsi="宋体" w:eastAsia="宋体" w:cs="宋体"/>
          <w:kern w:val="0"/>
          <w:szCs w:val="21"/>
        </w:rPr>
        <w:tab/>
      </w:r>
      <w:r>
        <w:rPr>
          <w:rFonts w:ascii="宋体" w:hAnsi="宋体" w:eastAsia="宋体" w:cs="宋体"/>
          <w:kern w:val="0"/>
          <w:szCs w:val="21"/>
        </w:rPr>
        <w:t>未按照招标文件的规定提交《禹州市政府采购供应商信用承诺函》的；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27.1.2未按照谈判文件的规定提交谈判承诺函的；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27.1.3响应文件未按谈判文件要求签署、盖章的；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27.1.4不具备谈判文件中规定的资格要求的；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27.1.5报价超过谈判文件中规定的预算金额的；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27.1.6响应文件内容模糊不清，无法辨认的；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27.1.7响应文件含有采购人不能接受的附加条件的。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28.响应文件评审与谈判</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29.评审方法与提出成交候选人</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pPr>
        <w:numPr>
          <w:ilvl w:val="0"/>
          <w:numId w:val="39"/>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30.确定成交供应商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中标公告发布后1个工作日（有特殊原因的，须提前向采购人和招标代理机构书面说明情况）内到招标代理机构领取中标通知书，供应商需对此项进行承诺，否则为无效响应。</w:t>
      </w:r>
    </w:p>
    <w:p>
      <w:pPr>
        <w:pStyle w:val="49"/>
        <w:autoSpaceDE w:val="0"/>
        <w:autoSpaceDN w:val="0"/>
        <w:spacing w:line="360" w:lineRule="auto"/>
        <w:ind w:firstLine="0" w:firstLineChars="0"/>
        <w:rPr>
          <w:rFonts w:ascii="宋体" w:hAnsi="宋体" w:eastAsia="宋体" w:cs="宋体"/>
          <w:b/>
          <w:bCs/>
          <w:szCs w:val="21"/>
        </w:rPr>
      </w:pPr>
      <w:r>
        <w:rPr>
          <w:rFonts w:hint="eastAsia" w:ascii="宋体" w:hAnsi="宋体" w:eastAsia="宋体" w:cs="宋体"/>
          <w:b/>
          <w:bCs/>
          <w:szCs w:val="21"/>
        </w:rPr>
        <w:t>31.终止采购活动的情形</w:t>
      </w:r>
    </w:p>
    <w:p>
      <w:pPr>
        <w:pStyle w:val="49"/>
        <w:autoSpaceDE w:val="0"/>
        <w:autoSpaceDN w:val="0"/>
        <w:spacing w:line="360" w:lineRule="auto"/>
        <w:ind w:firstLine="211" w:firstLineChars="100"/>
        <w:rPr>
          <w:rFonts w:ascii="宋体" w:hAnsi="宋体" w:eastAsia="宋体" w:cs="宋体"/>
          <w:b/>
          <w:bCs/>
          <w:kern w:val="0"/>
          <w:szCs w:val="21"/>
        </w:rPr>
      </w:pPr>
      <w:r>
        <w:rPr>
          <w:rFonts w:hint="eastAsia" w:ascii="宋体" w:hAnsi="宋体" w:eastAsia="宋体" w:cs="宋体"/>
          <w:b/>
          <w:bCs/>
          <w:szCs w:val="21"/>
        </w:rPr>
        <w:t>在谈判采购中，出现下列情形之一的，采购人应当终止竞争性谈判采购活动，发布</w:t>
      </w:r>
      <w:bookmarkStart w:id="9" w:name="_GoBack"/>
      <w:bookmarkEnd w:id="9"/>
      <w:r>
        <w:rPr>
          <w:rFonts w:hint="eastAsia" w:ascii="宋体" w:hAnsi="宋体" w:eastAsia="宋体" w:cs="宋体"/>
          <w:b/>
          <w:bCs/>
          <w:szCs w:val="21"/>
        </w:rPr>
        <w:t>项目终止公告并说明原因，重新开展采购活动：</w:t>
      </w:r>
    </w:p>
    <w:p>
      <w:pPr>
        <w:pStyle w:val="49"/>
        <w:numPr>
          <w:ilvl w:val="0"/>
          <w:numId w:val="38"/>
        </w:numPr>
        <w:autoSpaceDE w:val="0"/>
        <w:autoSpaceDN w:val="0"/>
        <w:spacing w:line="360" w:lineRule="auto"/>
        <w:ind w:firstLineChars="0"/>
        <w:contextualSpacing/>
        <w:rPr>
          <w:rFonts w:ascii="宋体" w:hAnsi="宋体" w:eastAsia="宋体" w:cs="宋体"/>
          <w:vanish/>
          <w:kern w:val="0"/>
          <w:szCs w:val="21"/>
        </w:rPr>
      </w:pP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31.2出现影响采购公正的违法、违规行为的；</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32.成交公告、发出成交通知书</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33.质疑提出与答复</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33.1供应商认为谈判文件、采购过程和成交结果使自己的权益受到损害的，可以按照《政府采购质疑和投诉办法》（财政部令第94号）质疑。提出质疑的供应商应当是参与本项目采购活动的供应商。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33.1.2 对采购过程提出质疑的，为各采购程序环节结束之日起七个工作日内，以书面形式向采购人和采购代理机构一次性提出；</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34.1.3 对成交结果提出质疑的，为成交结果公告期限届满之日起七个工作日内，以书面形式向采购人和采购代理机构一次性提出，提质疑的供应商须为参加本项目谈判开评标的供应商。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34.签订合同</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9"/>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9"/>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35、履约保证金</w:t>
      </w:r>
    </w:p>
    <w:p>
      <w:pPr>
        <w:autoSpaceDE w:val="0"/>
        <w:autoSpaceDN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jc w:val="left"/>
        <w:rPr>
          <w:rFonts w:ascii="宋体" w:hAnsi="宋体" w:eastAsia="宋体" w:cs="宋体"/>
          <w:b/>
          <w:kern w:val="0"/>
          <w:szCs w:val="21"/>
        </w:rPr>
      </w:pPr>
      <w:r>
        <w:rPr>
          <w:rFonts w:hint="eastAsia" w:ascii="宋体" w:hAnsi="宋体" w:eastAsia="宋体" w:cs="宋体"/>
          <w:b/>
          <w:kern w:val="0"/>
          <w:szCs w:val="21"/>
        </w:rPr>
        <w:t>36、其他</w:t>
      </w:r>
    </w:p>
    <w:p>
      <w:pPr>
        <w:autoSpaceDE w:val="0"/>
        <w:autoSpaceDN w:val="0"/>
        <w:spacing w:line="360" w:lineRule="auto"/>
        <w:ind w:left="964"/>
        <w:contextualSpacing/>
        <w:rPr>
          <w:rFonts w:ascii="宋体" w:hAnsi="宋体" w:eastAsia="宋体" w:cs="宋体"/>
          <w:kern w:val="0"/>
          <w:szCs w:val="21"/>
        </w:rPr>
      </w:pPr>
      <w:r>
        <w:rPr>
          <w:rFonts w:hint="eastAsia" w:ascii="宋体" w:hAnsi="宋体" w:eastAsia="宋体" w:cs="宋体"/>
          <w:kern w:val="0"/>
          <w:szCs w:val="21"/>
        </w:rPr>
        <w:t>本次谈判文件未尽事项，以法律法规规定的为准。</w:t>
      </w:r>
    </w:p>
    <w:p>
      <w:pPr>
        <w:pStyle w:val="49"/>
        <w:autoSpaceDE w:val="0"/>
        <w:autoSpaceDN w:val="0"/>
        <w:spacing w:line="360" w:lineRule="auto"/>
        <w:ind w:firstLine="0" w:firstLineChars="0"/>
        <w:contextualSpacing/>
        <w:rPr>
          <w:rFonts w:ascii="宋体" w:hAnsi="宋体" w:eastAsia="宋体" w:cs="宋体"/>
          <w:kern w:val="0"/>
          <w:szCs w:val="21"/>
        </w:rPr>
      </w:pPr>
      <w:r>
        <w:rPr>
          <w:rFonts w:hint="eastAsia" w:ascii="宋体" w:hAnsi="宋体" w:eastAsia="宋体" w:cs="宋体"/>
          <w:b/>
          <w:kern w:val="0"/>
          <w:szCs w:val="21"/>
        </w:rPr>
        <w:t>37、政府采购合同融资</w:t>
      </w:r>
    </w:p>
    <w:p>
      <w:pPr>
        <w:pStyle w:val="49"/>
        <w:wordWrap w:val="0"/>
        <w:topLinePunct/>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37.1缓解中小企业融资难题</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37.2合作金融机构（排名不分先后）</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合作金融机构名称：中原银行许昌分行（小微金融部）</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联系人及电话：陈阳 13137407575   方金龙  15836539901</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地址：许昌市建安大道与紫云路交汇处中原银行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合作金融机构名称：浦发银行许昌分行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联系人及电话：赵勇  0374-7313569、7313502 18937459920</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地址：许昌市许继大道1163号许继花园</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合作金融机构名称：交通银行许昌分行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联系人：宋纪刚  0374-2369912  13733951305</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地址：许昌市莲城大道114号</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合作金融机构名称：光大银行许昌分行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联系人：李东磊  0374-2928168 18569936868</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地址：许昌市魏都区八一路文峰路交叉口西北角</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合作金融机构名称：招商银行许昌分行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联系人及电话：崔星迪  0374-5376058  18839983051</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地址：许昌市建安大道中段新天下AB座</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合作金融机构名称：邮储银行许昌市分行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联系人及电话：张彦峰13839001972 武松涛18839902679</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徐亚爽15038297574</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地址：许昌市莲城大道邮储银行莲城支行二楼</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合作金融机构名称：中国银行许昌分行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联系人及电话：白炜 13938772680   刘晓飞  0374-3338596</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地址：许昌市魏都区建设路1488号</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合作金融机构名称：中信银行郑州红专路支行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联系人：韩晨  13253490679</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地址：郑州市金水区经三路北26号中信银行郑州红专路支行</w:t>
      </w:r>
    </w:p>
    <w:p>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36.3 “许昌市政府采购合同融资金融产品推介名录”链接</w:t>
      </w:r>
    </w:p>
    <w:p>
      <w:pPr>
        <w:autoSpaceDE w:val="0"/>
        <w:autoSpaceDN w:val="0"/>
        <w:spacing w:line="360" w:lineRule="auto"/>
        <w:ind w:left="964"/>
        <w:contextualSpacing/>
        <w:jc w:val="left"/>
        <w:rPr>
          <w:rFonts w:ascii="宋体" w:hAnsi="宋体" w:eastAsia="宋体" w:cs="宋体"/>
          <w:kern w:val="0"/>
          <w:szCs w:val="21"/>
        </w:rPr>
      </w:pPr>
      <w:r>
        <w:rPr>
          <w:rFonts w:hint="eastAsia" w:ascii="宋体" w:hAnsi="宋体" w:eastAsia="宋体" w:cs="宋体"/>
          <w:kern w:val="0"/>
          <w:szCs w:val="21"/>
        </w:rPr>
        <w:t>http://xuchang.hngp.gov.cn/xuchang/content?infoId=1606365368231095&amp;channelCode=H711001</w:t>
      </w:r>
    </w:p>
    <w:p>
      <w:pPr>
        <w:autoSpaceDE w:val="0"/>
        <w:autoSpaceDN w:val="0"/>
        <w:spacing w:line="360" w:lineRule="auto"/>
        <w:ind w:left="964"/>
        <w:contextualSpacing/>
        <w:rPr>
          <w:rFonts w:ascii="宋体" w:hAnsi="宋体" w:eastAsia="宋体" w:cs="宋体"/>
          <w:b/>
          <w:kern w:val="0"/>
          <w:sz w:val="32"/>
          <w:szCs w:val="32"/>
        </w:rPr>
      </w:pPr>
      <w:r>
        <w:rPr>
          <w:rFonts w:hint="eastAsia" w:ascii="宋体" w:hAnsi="宋体" w:eastAsia="宋体" w:cs="宋体"/>
          <w:szCs w:val="21"/>
        </w:rPr>
        <w:br w:type="textWrapping"/>
      </w:r>
      <w:r>
        <w:rPr>
          <w:rFonts w:hint="eastAsia" w:ascii="宋体" w:hAnsi="宋体" w:eastAsia="宋体" w:cs="宋体"/>
          <w:color w:val="333333"/>
          <w:sz w:val="24"/>
          <w:szCs w:val="24"/>
        </w:rPr>
        <w:br w:type="textWrapping"/>
      </w:r>
    </w:p>
    <w:p>
      <w:pPr>
        <w:autoSpaceDE w:val="0"/>
        <w:autoSpaceDN w:val="0"/>
        <w:spacing w:line="360" w:lineRule="auto"/>
        <w:ind w:left="964" w:firstLine="1446" w:firstLineChars="450"/>
        <w:contextualSpacing/>
        <w:jc w:val="left"/>
        <w:rPr>
          <w:rFonts w:ascii="宋体" w:hAnsi="宋体" w:eastAsia="宋体" w:cs="宋体"/>
          <w:b/>
          <w:kern w:val="0"/>
          <w:sz w:val="32"/>
          <w:szCs w:val="32"/>
        </w:rPr>
      </w:pPr>
    </w:p>
    <w:p>
      <w:pPr>
        <w:autoSpaceDE w:val="0"/>
        <w:autoSpaceDN w:val="0"/>
        <w:spacing w:line="360" w:lineRule="auto"/>
        <w:ind w:left="964" w:firstLine="1446" w:firstLineChars="450"/>
        <w:contextualSpacing/>
        <w:jc w:val="left"/>
        <w:rPr>
          <w:rFonts w:ascii="宋体" w:hAnsi="宋体" w:eastAsia="宋体" w:cs="宋体"/>
          <w:b/>
          <w:kern w:val="0"/>
          <w:sz w:val="32"/>
          <w:szCs w:val="32"/>
        </w:rPr>
      </w:pPr>
    </w:p>
    <w:p/>
    <w:p>
      <w:pPr>
        <w:autoSpaceDE w:val="0"/>
        <w:autoSpaceDN w:val="0"/>
        <w:spacing w:line="360" w:lineRule="auto"/>
        <w:ind w:left="964" w:firstLine="1446" w:firstLineChars="450"/>
        <w:contextualSpacing/>
        <w:jc w:val="left"/>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pStyle w:val="51"/>
        <w:rPr>
          <w:rFonts w:ascii="宋体" w:hAnsi="宋体" w:eastAsia="宋体"/>
        </w:rPr>
      </w:pPr>
    </w:p>
    <w:p>
      <w:pPr>
        <w:pStyle w:val="16"/>
        <w:spacing w:line="360" w:lineRule="auto"/>
        <w:ind w:firstLine="420" w:firstLineChars="200"/>
        <w:contextualSpacing/>
        <w:rPr>
          <w:rFonts w:ascii="宋体" w:hAnsi="宋体" w:cs="仿宋_GB2312"/>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6"/>
        <w:spacing w:line="360" w:lineRule="auto"/>
        <w:ind w:firstLine="632" w:firstLineChars="300"/>
        <w:contextualSpacing/>
        <w:rPr>
          <w:rFonts w:ascii="宋体" w:hAnsi="宋体" w:cs="仿宋_GB2312"/>
          <w:b/>
          <w:sz w:val="21"/>
          <w:szCs w:val="21"/>
          <w:lang w:val="zh-CN"/>
        </w:rPr>
      </w:pPr>
      <w:r>
        <w:rPr>
          <w:rFonts w:hint="eastAsia" w:ascii="宋体" w:hAnsi="宋体" w:cs="仿宋_GB2312"/>
          <w:b/>
          <w:sz w:val="21"/>
          <w:szCs w:val="21"/>
          <w:lang w:val="zh-CN"/>
        </w:rPr>
        <w:t>一、节能能源、保护环境</w:t>
      </w:r>
    </w:p>
    <w:p>
      <w:pPr>
        <w:pStyle w:val="16"/>
        <w:spacing w:line="360" w:lineRule="auto"/>
        <w:ind w:firstLine="630" w:firstLineChars="3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（财库[2019]18号）以及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《关于印发节能产品政府采购品目清单的通知》（财库[2019]19号）</w:t>
      </w:r>
      <w:r>
        <w:rPr>
          <w:rFonts w:hint="eastAsia" w:ascii="宋体" w:hAnsi="宋体" w:cs="仿宋_GB2312"/>
          <w:sz w:val="21"/>
          <w:szCs w:val="21"/>
          <w:lang w:val="zh-CN"/>
        </w:rPr>
        <w:t>，</w:t>
      </w:r>
      <w:r>
        <w:rPr>
          <w:rFonts w:hint="eastAsia" w:ascii="宋体" w:hAnsi="宋体" w:cs="仿宋_GB2312"/>
          <w:sz w:val="21"/>
          <w:szCs w:val="21"/>
        </w:rPr>
        <w:t>采购政府强</w:t>
      </w:r>
      <w:r>
        <w:rPr>
          <w:rFonts w:hint="eastAsia" w:ascii="宋体" w:hAnsi="宋体" w:cs="仿宋_GB2312"/>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hAnsi="宋体" w:eastAsia="宋体" w:cs="仿宋_GB2312"/>
          <w:szCs w:val="21"/>
        </w:rPr>
      </w:pPr>
      <w:r>
        <w:rPr>
          <w:rFonts w:hint="eastAsia" w:ascii="宋体" w:hAnsi="宋体" w:eastAsia="宋体"/>
        </w:rPr>
        <w:t>（一）</w:t>
      </w:r>
      <w:r>
        <w:rPr>
          <w:rFonts w:hint="eastAsia" w:ascii="宋体" w:hAnsi="宋体" w:eastAsia="宋体" w:cs="仿宋_GB2312"/>
          <w:szCs w:val="21"/>
        </w:rPr>
        <w:t>专门面向中小企业采购</w:t>
      </w:r>
    </w:p>
    <w:p>
      <w:pPr>
        <w:topLinePunct/>
        <w:spacing w:line="360" w:lineRule="auto"/>
        <w:ind w:firstLine="420" w:firstLineChars="200"/>
        <w:contextualSpacing/>
        <w:rPr>
          <w:rFonts w:ascii="宋体" w:hAnsi="宋体" w:eastAsia="宋体"/>
        </w:rPr>
      </w:pPr>
      <w:r>
        <w:rPr>
          <w:rFonts w:hint="eastAsia" w:ascii="宋体" w:hAnsi="宋体" w:eastAsia="宋体"/>
        </w:rPr>
        <w:t>（二）非</w:t>
      </w:r>
      <w:r>
        <w:rPr>
          <w:rFonts w:hint="eastAsia" w:ascii="宋体" w:hAnsi="宋体" w:eastAsia="宋体" w:cs="仿宋_GB2312"/>
          <w:szCs w:val="21"/>
          <w:lang w:val="zh-CN"/>
        </w:rPr>
        <w:t>专门面向中小企业预留采购份额</w:t>
      </w:r>
    </w:p>
    <w:p>
      <w:pPr>
        <w:topLinePunct/>
        <w:spacing w:line="360" w:lineRule="auto"/>
        <w:ind w:firstLine="420" w:firstLineChars="200"/>
        <w:contextualSpacing/>
        <w:rPr>
          <w:rFonts w:ascii="宋体" w:hAnsi="宋体" w:eastAsia="宋体" w:cs="仿宋_GB2312"/>
          <w:szCs w:val="21"/>
          <w:lang w:val="zh-CN"/>
        </w:rPr>
      </w:pPr>
      <w:r>
        <w:rPr>
          <w:rFonts w:hint="eastAsia" w:ascii="宋体" w:hAnsi="宋体" w:eastAsia="宋体"/>
        </w:rPr>
        <w:t>1、</w:t>
      </w:r>
      <w:r>
        <w:rPr>
          <w:rFonts w:hint="eastAsia" w:ascii="宋体" w:hAnsi="宋体" w:eastAsia="宋体" w:cs="仿宋_GB2312"/>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宋体" w:hAnsi="宋体" w:eastAsia="宋体"/>
        </w:rPr>
      </w:pPr>
      <w:r>
        <w:rPr>
          <w:rFonts w:hint="eastAsia" w:ascii="宋体" w:hAnsi="宋体" w:eastAsia="宋体"/>
        </w:rPr>
        <w:t>2、</w:t>
      </w:r>
      <w:r>
        <w:rPr>
          <w:rFonts w:ascii="宋体" w:hAnsi="宋体" w:eastAsia="宋体"/>
        </w:rPr>
        <w:t>在货物采购项目中，供应商提供的货物既有中小企业制造货物，也有大型企业制造货物的，不享受</w:t>
      </w:r>
      <w:r>
        <w:rPr>
          <w:rFonts w:hint="eastAsia" w:ascii="宋体" w:hAnsi="宋体" w:eastAsia="宋体" w:cs="仿宋_GB2312"/>
          <w:szCs w:val="21"/>
          <w:lang w:val="zh-CN"/>
        </w:rPr>
        <w:t>《政府采购促进中小企业发展管理办法》（财库[2020]46号）</w:t>
      </w:r>
      <w:r>
        <w:rPr>
          <w:rFonts w:ascii="宋体" w:hAnsi="宋体" w:eastAsia="宋体"/>
        </w:rPr>
        <w:t>规定的中小企业扶持政策。</w:t>
      </w:r>
    </w:p>
    <w:p>
      <w:pPr>
        <w:spacing w:line="360" w:lineRule="auto"/>
        <w:ind w:firstLine="420" w:firstLineChars="200"/>
        <w:contextualSpacing/>
        <w:rPr>
          <w:rFonts w:ascii="宋体" w:hAnsi="宋体" w:eastAsia="宋体"/>
        </w:rPr>
      </w:pPr>
      <w:r>
        <w:rPr>
          <w:rFonts w:hint="eastAsia" w:ascii="宋体" w:hAnsi="宋体" w:eastAsia="宋体"/>
        </w:rPr>
        <w:t>3、</w:t>
      </w:r>
      <w:r>
        <w:rPr>
          <w:rFonts w:ascii="宋体" w:hAnsi="宋体" w:eastAsia="宋体"/>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eastAsia="宋体"/>
        </w:rPr>
      </w:pPr>
      <w:r>
        <w:rPr>
          <w:rFonts w:hint="eastAsia" w:ascii="宋体" w:hAnsi="宋体" w:eastAsia="宋体"/>
        </w:rPr>
        <w:t>4、</w:t>
      </w:r>
      <w:r>
        <w:rPr>
          <w:rFonts w:ascii="宋体" w:hAnsi="宋体" w:eastAsia="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rPr>
        <w:t>4%—6%</w:t>
      </w:r>
      <w:r>
        <w:rPr>
          <w:rFonts w:ascii="宋体" w:hAnsi="宋体" w:eastAsia="宋体"/>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eastAsia="宋体"/>
        </w:rPr>
      </w:pPr>
      <w:r>
        <w:rPr>
          <w:rFonts w:hint="eastAsia" w:ascii="宋体" w:hAnsi="宋体" w:eastAsia="宋体"/>
        </w:rPr>
        <w:t>5、按照本次采购标的所属行业的划型标准，符合条件的中小企业应按照采购文件格式要求提供《中小企业声明函》，</w:t>
      </w:r>
      <w:r>
        <w:rPr>
          <w:rFonts w:ascii="宋体" w:hAnsi="宋体" w:eastAsia="宋体"/>
        </w:rPr>
        <w:t>否则不得享受相关中小企业扶持政策。</w:t>
      </w:r>
    </w:p>
    <w:p>
      <w:pPr>
        <w:topLinePunct/>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按照财政部、司法部发布的《关于政府采购支持监狱企业发展有关问题的通知》（</w:t>
      </w:r>
      <w:bookmarkStart w:id="2" w:name="OLE_LINK6"/>
      <w:r>
        <w:rPr>
          <w:rFonts w:hint="eastAsia" w:ascii="宋体" w:hAnsi="宋体" w:eastAsia="宋体" w:cs="仿宋_GB2312"/>
          <w:szCs w:val="21"/>
          <w:lang w:val="zh-CN"/>
        </w:rPr>
        <w:t>财库[2014]68号</w:t>
      </w:r>
      <w:bookmarkEnd w:id="2"/>
      <w:r>
        <w:rPr>
          <w:rFonts w:hint="eastAsia" w:ascii="宋体" w:hAnsi="宋体" w:eastAsia="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pPr>
        <w:pStyle w:val="16"/>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pPr>
        <w:pStyle w:val="16"/>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ascii="宋体" w:hAnsi="宋体" w:cs="宋体"/>
          <w:b/>
          <w:kern w:val="0"/>
          <w:sz w:val="36"/>
          <w:szCs w:val="36"/>
        </w:rPr>
      </w:pPr>
    </w:p>
    <w:p>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p>
    <w:p>
      <w:pPr>
        <w:pStyle w:val="27"/>
      </w:pPr>
    </w:p>
    <w:p>
      <w:pPr>
        <w:pStyle w:val="17"/>
        <w:ind w:left="5250"/>
      </w:pPr>
    </w:p>
    <w:p/>
    <w:p/>
    <w:p>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r>
        <w:rPr>
          <w:rFonts w:hint="eastAsia" w:ascii="宋体" w:hAnsi="宋体" w:eastAsia="宋体" w:cs="宋体"/>
          <w:b/>
          <w:kern w:val="0"/>
          <w:sz w:val="32"/>
          <w:szCs w:val="32"/>
        </w:rPr>
        <w:t>第六章    响应文件审查与评审</w:t>
      </w:r>
    </w:p>
    <w:p>
      <w:pPr>
        <w:pStyle w:val="16"/>
        <w:spacing w:line="360" w:lineRule="auto"/>
        <w:contextualSpacing/>
        <w:rPr>
          <w:rFonts w:ascii="宋体" w:hAnsi="宋体"/>
          <w:bCs/>
          <w:sz w:val="21"/>
          <w:szCs w:val="21"/>
        </w:rPr>
      </w:pPr>
      <w:r>
        <w:rPr>
          <w:rFonts w:ascii="宋体" w:hAnsi="宋体" w:cs="仿宋_GB2312"/>
          <w:b/>
          <w:sz w:val="21"/>
          <w:szCs w:val="21"/>
          <w:lang w:val="zh-CN"/>
        </w:rPr>
        <w:t>一、资格审查</w:t>
      </w:r>
    </w:p>
    <w:p>
      <w:pPr>
        <w:spacing w:line="360" w:lineRule="auto"/>
        <w:ind w:right="420" w:rightChars="200" w:firstLine="420" w:firstLineChars="200"/>
        <w:contextualSpacing/>
        <w:rPr>
          <w:rFonts w:ascii="宋体" w:hAnsi="宋体" w:eastAsia="宋体" w:cs="仿宋_GB2312"/>
          <w:szCs w:val="21"/>
          <w:lang w:val="zh-CN"/>
        </w:rPr>
      </w:pPr>
      <w:r>
        <w:rPr>
          <w:rFonts w:hint="eastAsia" w:ascii="宋体" w:hAnsi="宋体" w:eastAsia="宋体"/>
          <w:bCs/>
          <w:szCs w:val="21"/>
        </w:rPr>
        <w:t>谈判小组依法对供应商资格进行审查</w:t>
      </w:r>
      <w:r>
        <w:rPr>
          <w:rFonts w:ascii="宋体" w:hAnsi="宋体" w:eastAsia="宋体" w:cs="仿宋_GB2312"/>
          <w:szCs w:val="21"/>
          <w:lang w:val="zh-CN"/>
        </w:rPr>
        <w:t>。</w:t>
      </w:r>
      <w:r>
        <w:rPr>
          <w:rFonts w:hint="eastAsia" w:ascii="宋体" w:hAnsi="宋体" w:eastAsia="宋体" w:cs="仿宋_GB2312"/>
          <w:szCs w:val="21"/>
          <w:lang w:val="zh-CN"/>
        </w:rPr>
        <w:t>确定符合资格的供应商不少于3家，将</w:t>
      </w:r>
      <w:r>
        <w:rPr>
          <w:rFonts w:ascii="宋体" w:hAnsi="宋体" w:eastAsia="宋体"/>
          <w:szCs w:val="21"/>
        </w:rPr>
        <w:t>对响应文件的有效性、完整性和响应程度进行审查</w:t>
      </w:r>
      <w:r>
        <w:rPr>
          <w:rFonts w:hint="eastAsia" w:ascii="宋体" w:hAnsi="宋体" w:eastAsia="宋体"/>
          <w:szCs w:val="21"/>
        </w:rPr>
        <w:t>并对响应文件进行评审</w:t>
      </w:r>
      <w:r>
        <w:rPr>
          <w:rFonts w:hint="eastAsia" w:ascii="宋体" w:hAnsi="宋体" w:eastAsia="宋体" w:cs="仿宋_GB2312"/>
          <w:szCs w:val="21"/>
          <w:lang w:val="zh-CN"/>
        </w:rPr>
        <w:t>。</w:t>
      </w:r>
      <w:r>
        <w:rPr>
          <w:rFonts w:hint="eastAsia" w:ascii="宋体" w:hAnsi="宋体" w:eastAsia="宋体" w:cs="宋体"/>
          <w:kern w:val="0"/>
          <w:szCs w:val="21"/>
        </w:rPr>
        <w:t>（如符合《政府采购非招标采购方式管理办法》（财政部令第74号）第二十七条第二款中的</w:t>
      </w:r>
      <w:r>
        <w:rPr>
          <w:rFonts w:hint="eastAsia" w:ascii="宋体" w:hAnsi="宋体" w:eastAsia="宋体" w:cs="Arial"/>
          <w:szCs w:val="21"/>
          <w:shd w:val="clear" w:color="auto" w:fill="FFFFFF"/>
        </w:rPr>
        <w:t>情形的，</w:t>
      </w:r>
      <w:r>
        <w:rPr>
          <w:rFonts w:hint="eastAsia" w:ascii="宋体" w:hAnsi="宋体" w:eastAsia="宋体" w:cs="宋体"/>
          <w:kern w:val="0"/>
          <w:szCs w:val="21"/>
        </w:rPr>
        <w:t>供应商最低数量可以为两家）</w:t>
      </w:r>
    </w:p>
    <w:p>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（2）资格审查中所涉及的证书及材料，均须在电子投标文件中提供原件扫描件（或图片）。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2410" w:type="dxa"/>
            <w:vAlign w:val="center"/>
          </w:tcPr>
          <w:p>
            <w:pPr>
              <w:spacing w:line="360" w:lineRule="auto"/>
              <w:jc w:val="center"/>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c>
          <w:tcPr>
            <w:tcW w:w="5954" w:type="dxa"/>
            <w:vAlign w:val="center"/>
          </w:tcPr>
          <w:p>
            <w:pPr>
              <w:spacing w:line="360" w:lineRule="auto"/>
              <w:jc w:val="center"/>
              <w:rPr>
                <w:rFonts w:ascii="宋体" w:hAnsi="宋体" w:eastAsia="宋体"/>
                <w:b/>
                <w:szCs w:val="21"/>
              </w:rPr>
            </w:pPr>
            <w:r>
              <w:rPr>
                <w:rFonts w:hint="eastAsia" w:ascii="宋体" w:hAnsi="宋体" w:eastAsia="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1</w:t>
            </w:r>
          </w:p>
        </w:tc>
        <w:tc>
          <w:tcPr>
            <w:tcW w:w="2410" w:type="dxa"/>
            <w:vAlign w:val="center"/>
          </w:tcPr>
          <w:p>
            <w:pPr>
              <w:spacing w:line="360" w:lineRule="auto"/>
              <w:jc w:val="center"/>
              <w:rPr>
                <w:rFonts w:ascii="宋体" w:hAnsi="宋体" w:eastAsia="宋体"/>
                <w:b/>
                <w:szCs w:val="21"/>
              </w:rPr>
            </w:pPr>
            <w:r>
              <w:rPr>
                <w:rFonts w:hint="eastAsia" w:ascii="宋体" w:hAnsi="宋体" w:eastAsia="宋体"/>
                <w:b/>
                <w:szCs w:val="21"/>
              </w:rPr>
              <w:t>报价函</w:t>
            </w:r>
          </w:p>
        </w:tc>
        <w:tc>
          <w:tcPr>
            <w:tcW w:w="5954" w:type="dxa"/>
            <w:vAlign w:val="center"/>
          </w:tcPr>
          <w:p>
            <w:pPr>
              <w:spacing w:line="360" w:lineRule="auto"/>
              <w:rPr>
                <w:rFonts w:ascii="宋体" w:hAnsi="宋体" w:eastAsia="宋体"/>
                <w:b/>
                <w:szCs w:val="21"/>
              </w:rPr>
            </w:pPr>
            <w:r>
              <w:rPr>
                <w:rFonts w:hint="eastAsia" w:ascii="宋体" w:hAnsi="宋体" w:eastAsia="宋体" w:cs="微软雅黑"/>
                <w:bCs/>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2</w:t>
            </w:r>
          </w:p>
        </w:tc>
        <w:tc>
          <w:tcPr>
            <w:tcW w:w="2410" w:type="dxa"/>
            <w:vAlign w:val="center"/>
          </w:tcPr>
          <w:p>
            <w:pPr>
              <w:spacing w:line="360" w:lineRule="auto"/>
              <w:jc w:val="center"/>
              <w:rPr>
                <w:rFonts w:ascii="宋体" w:hAnsi="宋体" w:eastAsia="宋体" w:cs="宋体"/>
                <w:b/>
                <w:szCs w:val="21"/>
                <w:lang w:val="zh-CN"/>
              </w:rPr>
            </w:pPr>
            <w:r>
              <w:rPr>
                <w:rFonts w:hint="eastAsia" w:ascii="宋体" w:hAnsi="宋体" w:eastAsia="宋体" w:cs="宋体"/>
                <w:b/>
                <w:szCs w:val="21"/>
                <w:lang w:val="zh-CN"/>
              </w:rPr>
              <w:t>禹州</w:t>
            </w:r>
            <w:r>
              <w:rPr>
                <w:rFonts w:ascii="宋体" w:hAnsi="宋体" w:eastAsia="宋体" w:cs="宋体"/>
                <w:b/>
                <w:szCs w:val="21"/>
                <w:lang w:val="zh-CN"/>
              </w:rPr>
              <w:t>市政府采购</w:t>
            </w:r>
          </w:p>
          <w:p>
            <w:pPr>
              <w:spacing w:line="360" w:lineRule="auto"/>
              <w:jc w:val="center"/>
              <w:rPr>
                <w:rFonts w:ascii="宋体" w:hAnsi="宋体" w:eastAsia="宋体" w:cs="宋体"/>
                <w:bCs/>
                <w:szCs w:val="21"/>
                <w:lang w:val="zh-CN"/>
              </w:rPr>
            </w:pPr>
            <w:r>
              <w:rPr>
                <w:rFonts w:ascii="宋体" w:hAnsi="宋体" w:eastAsia="宋体" w:cs="宋体"/>
                <w:b/>
                <w:szCs w:val="21"/>
                <w:lang w:val="zh-CN"/>
              </w:rPr>
              <w:t>供应商信用承诺函</w:t>
            </w:r>
          </w:p>
        </w:tc>
        <w:tc>
          <w:tcPr>
            <w:tcW w:w="5954" w:type="dxa"/>
            <w:vAlign w:val="center"/>
          </w:tcPr>
          <w:p>
            <w:pPr>
              <w:spacing w:line="360" w:lineRule="auto"/>
              <w:jc w:val="left"/>
              <w:rPr>
                <w:rFonts w:ascii="宋体" w:hAnsi="宋体" w:eastAsia="宋体" w:cs="宋体"/>
                <w:bCs/>
                <w:szCs w:val="21"/>
                <w:lang w:val="zh-CN"/>
              </w:rPr>
            </w:pPr>
            <w:r>
              <w:rPr>
                <w:rFonts w:hint="eastAsia" w:ascii="宋体" w:hAnsi="宋体" w:eastAsia="宋体" w:cs="宋体"/>
                <w:bCs/>
                <w:szCs w:val="21"/>
                <w:lang w:val="zh-CN"/>
              </w:rPr>
              <w:t>按照</w:t>
            </w:r>
            <w:r>
              <w:rPr>
                <w:rFonts w:hint="eastAsia" w:ascii="宋体" w:hAnsi="宋体" w:eastAsia="宋体" w:cs="微软雅黑"/>
                <w:bCs/>
                <w:szCs w:val="21"/>
              </w:rPr>
              <w:t>谈判文件</w:t>
            </w:r>
            <w:r>
              <w:rPr>
                <w:rFonts w:hint="eastAsia" w:ascii="宋体" w:hAnsi="宋体" w:eastAsia="宋体" w:cs="宋体"/>
                <w:bCs/>
                <w:szCs w:val="21"/>
                <w:lang w:val="zh-CN"/>
              </w:rPr>
              <w:t>第八章3.</w:t>
            </w:r>
            <w:r>
              <w:rPr>
                <w:rFonts w:hint="eastAsia" w:ascii="宋体" w:hAnsi="宋体" w:eastAsia="宋体" w:cs="宋体"/>
                <w:bCs/>
                <w:szCs w:val="21"/>
              </w:rPr>
              <w:t>5</w:t>
            </w:r>
            <w:r>
              <w:rPr>
                <w:rFonts w:hint="eastAsia" w:ascii="宋体" w:hAnsi="宋体" w:eastAsia="宋体" w:cs="宋体"/>
                <w:bCs/>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3</w:t>
            </w:r>
          </w:p>
        </w:tc>
        <w:tc>
          <w:tcPr>
            <w:tcW w:w="2410" w:type="dxa"/>
            <w:vAlign w:val="center"/>
          </w:tcPr>
          <w:p>
            <w:pPr>
              <w:spacing w:line="360" w:lineRule="auto"/>
              <w:jc w:val="center"/>
              <w:rPr>
                <w:rFonts w:ascii="宋体" w:hAnsi="宋体" w:eastAsia="宋体"/>
                <w:b/>
                <w:szCs w:val="21"/>
              </w:rPr>
            </w:pPr>
            <w:r>
              <w:rPr>
                <w:rFonts w:hint="eastAsia" w:ascii="宋体" w:hAnsi="宋体" w:eastAsia="宋体"/>
                <w:b/>
                <w:szCs w:val="21"/>
              </w:rPr>
              <w:t>供应商须具备的特殊</w:t>
            </w:r>
          </w:p>
          <w:p>
            <w:pPr>
              <w:spacing w:line="360" w:lineRule="auto"/>
              <w:jc w:val="center"/>
              <w:rPr>
                <w:rFonts w:ascii="宋体" w:hAnsi="宋体" w:eastAsia="宋体"/>
                <w:b/>
                <w:bCs/>
                <w:szCs w:val="21"/>
              </w:rPr>
            </w:pPr>
            <w:r>
              <w:rPr>
                <w:rFonts w:hint="eastAsia" w:ascii="宋体" w:hAnsi="宋体" w:eastAsia="宋体"/>
                <w:b/>
                <w:szCs w:val="21"/>
              </w:rPr>
              <w:t>资质证书</w:t>
            </w:r>
          </w:p>
        </w:tc>
        <w:tc>
          <w:tcPr>
            <w:tcW w:w="5954" w:type="dxa"/>
            <w:vAlign w:val="center"/>
          </w:tcPr>
          <w:p>
            <w:pPr>
              <w:spacing w:line="360" w:lineRule="auto"/>
              <w:rPr>
                <w:rFonts w:ascii="宋体" w:hAnsi="宋体" w:eastAsia="宋体"/>
                <w:b/>
                <w:bCs/>
                <w:szCs w:val="21"/>
              </w:rPr>
            </w:pPr>
            <w:r>
              <w:rPr>
                <w:rFonts w:hint="eastAsia" w:ascii="宋体" w:hAnsi="宋体" w:eastAsia="宋体"/>
                <w:bCs/>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4</w:t>
            </w:r>
          </w:p>
        </w:tc>
        <w:tc>
          <w:tcPr>
            <w:tcW w:w="2410" w:type="dxa"/>
            <w:vAlign w:val="center"/>
          </w:tcPr>
          <w:p>
            <w:pPr>
              <w:spacing w:line="360" w:lineRule="auto"/>
              <w:jc w:val="center"/>
              <w:rPr>
                <w:rFonts w:ascii="宋体" w:hAnsi="宋体" w:eastAsia="宋体"/>
                <w:b/>
                <w:bCs/>
                <w:szCs w:val="21"/>
              </w:rPr>
            </w:pPr>
            <w:r>
              <w:rPr>
                <w:rFonts w:hint="eastAsia" w:ascii="宋体" w:hAnsi="宋体" w:eastAsia="宋体"/>
                <w:b/>
                <w:bCs/>
                <w:szCs w:val="21"/>
              </w:rPr>
              <w:t>谈判</w:t>
            </w:r>
            <w:r>
              <w:rPr>
                <w:rFonts w:hint="eastAsia" w:ascii="宋体" w:hAnsi="宋体" w:eastAsia="宋体" w:cs="仿宋_GB2312"/>
                <w:b/>
                <w:szCs w:val="21"/>
                <w:lang w:val="zh-CN"/>
              </w:rPr>
              <w:t>报价</w:t>
            </w:r>
          </w:p>
        </w:tc>
        <w:tc>
          <w:tcPr>
            <w:tcW w:w="5954" w:type="dxa"/>
          </w:tcPr>
          <w:p>
            <w:pPr>
              <w:spacing w:line="360" w:lineRule="auto"/>
              <w:rPr>
                <w:rFonts w:ascii="宋体" w:hAnsi="宋体" w:eastAsia="宋体"/>
                <w:b/>
                <w:bCs/>
                <w:szCs w:val="21"/>
              </w:rPr>
            </w:pPr>
            <w:r>
              <w:rPr>
                <w:rFonts w:hint="eastAsia" w:ascii="宋体" w:hAnsi="宋体" w:eastAsia="宋体" w:cs="仿宋_GB2312"/>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5</w:t>
            </w:r>
          </w:p>
        </w:tc>
        <w:tc>
          <w:tcPr>
            <w:tcW w:w="2410" w:type="dxa"/>
            <w:vAlign w:val="center"/>
          </w:tcPr>
          <w:p>
            <w:pPr>
              <w:spacing w:line="360" w:lineRule="auto"/>
              <w:jc w:val="center"/>
              <w:rPr>
                <w:rFonts w:ascii="宋体" w:hAnsi="宋体" w:eastAsia="宋体"/>
                <w:szCs w:val="21"/>
              </w:rPr>
            </w:pPr>
            <w:r>
              <w:rPr>
                <w:rFonts w:hint="eastAsia" w:ascii="宋体" w:hAnsi="宋体" w:eastAsia="宋体"/>
                <w:b/>
                <w:szCs w:val="21"/>
              </w:rPr>
              <w:t>响应承诺函</w:t>
            </w:r>
          </w:p>
        </w:tc>
        <w:tc>
          <w:tcPr>
            <w:tcW w:w="5954" w:type="dxa"/>
            <w:vAlign w:val="center"/>
          </w:tcPr>
          <w:p>
            <w:pPr>
              <w:spacing w:line="360" w:lineRule="auto"/>
              <w:rPr>
                <w:rFonts w:ascii="宋体" w:hAnsi="宋体" w:eastAsia="宋体"/>
                <w:b/>
                <w:szCs w:val="21"/>
              </w:rPr>
            </w:pPr>
            <w:r>
              <w:rPr>
                <w:rFonts w:hint="eastAsia" w:ascii="宋体" w:hAnsi="宋体" w:eastAsia="宋体"/>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6</w:t>
            </w:r>
          </w:p>
        </w:tc>
        <w:tc>
          <w:tcPr>
            <w:tcW w:w="2410" w:type="dxa"/>
            <w:vAlign w:val="center"/>
          </w:tcPr>
          <w:p>
            <w:pPr>
              <w:spacing w:line="360" w:lineRule="auto"/>
              <w:jc w:val="center"/>
              <w:rPr>
                <w:rFonts w:ascii="宋体" w:hAnsi="宋体" w:eastAsia="宋体"/>
                <w:b/>
                <w:bCs/>
                <w:szCs w:val="21"/>
              </w:rPr>
            </w:pPr>
            <w:r>
              <w:rPr>
                <w:rFonts w:hint="eastAsia" w:ascii="宋体" w:hAnsi="宋体" w:eastAsia="宋体"/>
                <w:b/>
                <w:bCs/>
                <w:szCs w:val="21"/>
              </w:rPr>
              <w:t>联合体协议</w:t>
            </w:r>
          </w:p>
        </w:tc>
        <w:tc>
          <w:tcPr>
            <w:tcW w:w="5954" w:type="dxa"/>
          </w:tcPr>
          <w:p>
            <w:pPr>
              <w:spacing w:line="360" w:lineRule="auto"/>
              <w:rPr>
                <w:rFonts w:ascii="宋体" w:hAnsi="宋体" w:eastAsia="宋体"/>
                <w:b/>
                <w:bCs/>
                <w:szCs w:val="21"/>
              </w:rPr>
            </w:pPr>
            <w:r>
              <w:rPr>
                <w:rFonts w:hint="eastAsia" w:ascii="宋体" w:hAnsi="宋体" w:eastAsia="宋体"/>
                <w:bCs/>
                <w:szCs w:val="21"/>
              </w:rPr>
              <w:t>谈判文件接收联合体响应且供应商为联合体的，供应商应提供本协议；否则无须提供。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7</w:t>
            </w:r>
          </w:p>
        </w:tc>
        <w:tc>
          <w:tcPr>
            <w:tcW w:w="2410"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供应商身份证明及授权</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（1）法定代表人身份证明或提供法定代表人授权委托书及被授权人身份证明。（法人提供）</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（2）单位负责人身份证明或提供单位负责人授权委托书及被授权人身份证明。（非法人提供）</w:t>
            </w:r>
          </w:p>
          <w:p>
            <w:pPr>
              <w:spacing w:line="360" w:lineRule="auto"/>
              <w:rPr>
                <w:rFonts w:ascii="宋体" w:hAnsi="宋体" w:eastAsia="宋体" w:cs="仿宋_GB2312"/>
                <w:b/>
                <w:bCs/>
                <w:szCs w:val="21"/>
                <w:lang w:val="zh-CN"/>
              </w:rPr>
            </w:pPr>
            <w:r>
              <w:rPr>
                <w:rFonts w:hint="eastAsia" w:ascii="宋体" w:hAnsi="宋体" w:eastAsia="宋体" w:cs="仿宋_GB2312"/>
                <w:b/>
                <w:bCs/>
                <w:szCs w:val="21"/>
                <w:lang w:val="zh-CN"/>
              </w:rPr>
              <w:t>注：</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仿宋_GB2312"/>
                <w:szCs w:val="21"/>
                <w:lang w:val="zh-CN"/>
              </w:rPr>
            </w:pPr>
            <w:r>
              <w:rPr>
                <w:rFonts w:hint="eastAsia" w:ascii="宋体" w:hAnsi="宋体" w:eastAsia="宋体" w:cs="仿宋_GB2312"/>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szCs w:val="21"/>
              </w:rPr>
            </w:pPr>
            <w:r>
              <w:rPr>
                <w:rFonts w:hint="eastAsia" w:ascii="宋体" w:hAnsi="宋体" w:eastAsia="宋体" w:cs="仿宋_GB2312"/>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8</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szCs w:val="21"/>
              </w:rPr>
            </w:pPr>
            <w:r>
              <w:rPr>
                <w:rFonts w:hint="eastAsia" w:ascii="宋体" w:hAnsi="宋体" w:eastAsia="宋体"/>
                <w:b/>
                <w:szCs w:val="21"/>
              </w:rPr>
              <w:t>9</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供应商提供未为本项目提供整体设计、规范编制或者项目管理、监理、检测等服务承诺函（承诺函格式自拟）。</w:t>
            </w:r>
          </w:p>
          <w:p>
            <w:pPr>
              <w:spacing w:line="360" w:lineRule="auto"/>
              <w:rPr>
                <w:rFonts w:ascii="宋体" w:hAnsi="宋体" w:eastAsia="宋体"/>
                <w:bCs/>
                <w:szCs w:val="21"/>
              </w:rPr>
            </w:pPr>
          </w:p>
        </w:tc>
      </w:tr>
    </w:tbl>
    <w:p>
      <w:pPr>
        <w:pStyle w:val="16"/>
        <w:spacing w:line="360" w:lineRule="auto"/>
        <w:ind w:firstLine="422" w:firstLineChars="200"/>
        <w:contextualSpacing/>
        <w:rPr>
          <w:rFonts w:ascii="宋体" w:hAnsi="宋体" w:cs="仿宋_GB2312"/>
          <w:b/>
          <w:sz w:val="21"/>
          <w:szCs w:val="21"/>
          <w:lang w:val="zh-CN"/>
        </w:rPr>
      </w:pP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二、对响应文件评审</w:t>
      </w:r>
    </w:p>
    <w:p>
      <w:pPr>
        <w:pStyle w:val="16"/>
        <w:spacing w:line="360" w:lineRule="auto"/>
        <w:ind w:firstLine="422" w:firstLineChars="200"/>
        <w:contextualSpacing/>
        <w:rPr>
          <w:rFonts w:ascii="宋体" w:hAnsi="宋体"/>
          <w:bCs/>
          <w:sz w:val="21"/>
          <w:szCs w:val="21"/>
        </w:rPr>
      </w:pPr>
      <w:r>
        <w:rPr>
          <w:rFonts w:hint="eastAsia" w:ascii="宋体" w:hAnsi="宋体" w:cs="仿宋_GB2312"/>
          <w:b/>
          <w:sz w:val="21"/>
          <w:szCs w:val="21"/>
          <w:lang w:val="zh-CN"/>
        </w:rPr>
        <w:t>（一）审查响应文件</w:t>
      </w:r>
    </w:p>
    <w:p>
      <w:pPr>
        <w:pStyle w:val="16"/>
        <w:spacing w:line="360" w:lineRule="auto"/>
        <w:ind w:firstLine="422" w:firstLineChars="200"/>
        <w:contextualSpacing/>
        <w:jc w:val="left"/>
        <w:rPr>
          <w:rFonts w:ascii="宋体" w:hAnsi="宋体" w:cs="仿宋_GB2312"/>
          <w:b/>
          <w:sz w:val="21"/>
          <w:szCs w:val="21"/>
          <w:lang w:val="zh-CN"/>
        </w:rPr>
      </w:pPr>
      <w:r>
        <w:rPr>
          <w:rFonts w:hint="eastAsia" w:ascii="宋体" w:hAnsi="宋体" w:cs="仿宋_GB2312"/>
          <w:b/>
          <w:sz w:val="21"/>
          <w:szCs w:val="21"/>
          <w:lang w:val="zh-CN"/>
        </w:rPr>
        <w:t>1、</w:t>
      </w:r>
      <w:r>
        <w:rPr>
          <w:rFonts w:ascii="宋体" w:hAnsi="宋体" w:cs="仿宋_GB2312"/>
          <w:b/>
          <w:sz w:val="21"/>
          <w:szCs w:val="21"/>
          <w:lang w:val="zh-CN"/>
        </w:rPr>
        <w:t>审查</w:t>
      </w:r>
      <w:r>
        <w:rPr>
          <w:rFonts w:hint="eastAsia" w:ascii="宋体" w:hAnsi="宋体" w:cs="仿宋_GB2312"/>
          <w:b/>
          <w:sz w:val="21"/>
          <w:szCs w:val="21"/>
          <w:lang w:val="zh-CN"/>
        </w:rPr>
        <w:t>响应</w:t>
      </w:r>
      <w:r>
        <w:rPr>
          <w:rFonts w:ascii="宋体" w:hAnsi="宋体" w:cs="仿宋_GB2312"/>
          <w:b/>
          <w:sz w:val="21"/>
          <w:szCs w:val="21"/>
          <w:lang w:val="zh-CN"/>
        </w:rPr>
        <w:t>文件是否符合</w:t>
      </w:r>
      <w:r>
        <w:rPr>
          <w:rFonts w:hint="eastAsia" w:ascii="宋体" w:hAnsi="宋体" w:cs="仿宋_GB2312"/>
          <w:b/>
          <w:sz w:val="21"/>
          <w:szCs w:val="21"/>
          <w:lang w:val="zh-CN"/>
        </w:rPr>
        <w:t>谈判</w:t>
      </w:r>
      <w:r>
        <w:rPr>
          <w:rFonts w:ascii="宋体" w:hAnsi="宋体" w:cs="仿宋_GB2312"/>
          <w:b/>
          <w:sz w:val="21"/>
          <w:szCs w:val="21"/>
          <w:lang w:val="zh-CN"/>
        </w:rPr>
        <w:t>文件的商务、技术等实质性要求；</w:t>
      </w:r>
    </w:p>
    <w:p>
      <w:pPr>
        <w:pStyle w:val="16"/>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谈判小组对符合资格的投标人的响应文件进行审查，以确定其是否满足谈判文件的商务、技术等实质性要求。</w:t>
      </w:r>
    </w:p>
    <w:p>
      <w:pPr>
        <w:pStyle w:val="16"/>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注：审查中所涉及的证书及材料，均应在电子响应文件中提供原件扫描件（或图片）。</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2、</w:t>
      </w:r>
      <w:r>
        <w:rPr>
          <w:rFonts w:ascii="宋体" w:hAnsi="宋体" w:cs="仿宋_GB2312"/>
          <w:b/>
          <w:sz w:val="21"/>
          <w:szCs w:val="21"/>
          <w:lang w:val="zh-CN"/>
        </w:rPr>
        <w:t>要求</w:t>
      </w:r>
      <w:r>
        <w:rPr>
          <w:rFonts w:hint="eastAsia" w:ascii="宋体" w:hAnsi="宋体" w:cs="仿宋_GB2312"/>
          <w:b/>
          <w:sz w:val="21"/>
          <w:szCs w:val="21"/>
          <w:lang w:val="zh-CN"/>
        </w:rPr>
        <w:t>供应商</w:t>
      </w:r>
      <w:r>
        <w:rPr>
          <w:rFonts w:ascii="宋体" w:hAnsi="宋体" w:cs="仿宋_GB2312"/>
          <w:b/>
          <w:sz w:val="21"/>
          <w:szCs w:val="21"/>
          <w:lang w:val="zh-CN"/>
        </w:rPr>
        <w:t>对</w:t>
      </w:r>
      <w:r>
        <w:rPr>
          <w:rFonts w:hint="eastAsia" w:ascii="宋体" w:hAnsi="宋体" w:cs="仿宋_GB2312"/>
          <w:b/>
          <w:sz w:val="21"/>
          <w:szCs w:val="21"/>
          <w:lang w:val="zh-CN"/>
        </w:rPr>
        <w:t>响应</w:t>
      </w:r>
      <w:r>
        <w:rPr>
          <w:rFonts w:ascii="宋体" w:hAnsi="宋体" w:cs="仿宋_GB2312"/>
          <w:b/>
          <w:sz w:val="21"/>
          <w:szCs w:val="21"/>
          <w:lang w:val="zh-CN"/>
        </w:rPr>
        <w:t>文件有关事项作出澄清或者说明；</w:t>
      </w:r>
    </w:p>
    <w:p>
      <w:pPr>
        <w:pStyle w:val="16"/>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（二）落实政府采购政策及强制性认证</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b/>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1</w:t>
      </w:r>
      <w:r>
        <w:rPr>
          <w:rFonts w:hint="eastAsia" w:ascii="宋体" w:hAnsi="宋体" w:eastAsia="宋体" w:cs="仿宋_GB2312"/>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2</w:t>
      </w:r>
      <w:r>
        <w:rPr>
          <w:rFonts w:hint="eastAsia" w:ascii="宋体" w:hAnsi="宋体" w:eastAsia="宋体" w:cs="仿宋_GB2312"/>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3</w:t>
      </w:r>
      <w:r>
        <w:rPr>
          <w:rFonts w:hint="eastAsia" w:ascii="宋体" w:hAnsi="宋体" w:eastAsia="宋体" w:cs="仿宋_GB2312"/>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b/>
          <w:sz w:val="21"/>
          <w:szCs w:val="21"/>
        </w:rPr>
        <w:t>2、</w:t>
      </w:r>
      <w:r>
        <w:rPr>
          <w:rFonts w:hint="eastAsia" w:ascii="宋体" w:hAnsi="宋体" w:cs="仿宋_GB2312"/>
          <w:b/>
          <w:sz w:val="21"/>
          <w:szCs w:val="21"/>
          <w:lang w:val="zh-CN"/>
        </w:rPr>
        <w:t>关于强制性产品认证</w:t>
      </w:r>
    </w:p>
    <w:p>
      <w:pPr>
        <w:spacing w:line="360" w:lineRule="auto"/>
        <w:ind w:firstLine="420" w:firstLineChars="200"/>
        <w:contextualSpacing/>
        <w:rPr>
          <w:rFonts w:ascii="宋体" w:hAnsi="宋体" w:eastAsia="宋体" w:cs="宋体"/>
          <w:kern w:val="0"/>
          <w:szCs w:val="21"/>
        </w:rPr>
      </w:pPr>
      <w:r>
        <w:rPr>
          <w:rFonts w:hint="eastAsia" w:ascii="宋体" w:hAnsi="宋体" w:eastAsia="宋体" w:cs="仿宋_GB2312"/>
          <w:szCs w:val="21"/>
          <w:lang w:val="zh-CN"/>
        </w:rPr>
        <w:t>（1）如供应商所响应产品属于“中国强制性产品认证”（3C认证）范围内，则必须承诺采用</w:t>
      </w:r>
      <w:r>
        <w:rPr>
          <w:rFonts w:ascii="宋体" w:hAnsi="宋体" w:eastAsia="宋体" w:cs="仿宋_GB2312"/>
          <w:szCs w:val="21"/>
          <w:lang w:val="zh-CN"/>
        </w:rPr>
        <w:t>《中华人民共和国实施强制性产品认证的产品目录》</w:t>
      </w:r>
      <w:r>
        <w:rPr>
          <w:rFonts w:hint="eastAsia" w:ascii="宋体" w:hAnsi="宋体" w:eastAsia="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宋体"/>
          <w:kern w:val="0"/>
          <w:szCs w:val="21"/>
        </w:rPr>
        <w:t>（2）供应商所响应产品如被列入</w:t>
      </w:r>
      <w:r>
        <w:rPr>
          <w:rFonts w:ascii="宋体" w:hAnsi="宋体" w:eastAsia="宋体" w:cs="宋体"/>
          <w:kern w:val="0"/>
          <w:szCs w:val="21"/>
        </w:rPr>
        <w:t>《信息安全产品强制性认证目录》，</w:t>
      </w:r>
      <w:r>
        <w:rPr>
          <w:rFonts w:hint="eastAsia" w:ascii="宋体" w:hAnsi="宋体" w:eastAsia="宋体" w:cs="仿宋_GB2312"/>
          <w:szCs w:val="21"/>
          <w:lang w:val="zh-CN"/>
        </w:rPr>
        <w:t>则响应文件中应根据本项目谈判文件“第二章 采购需求”</w:t>
      </w:r>
      <w:r>
        <w:rPr>
          <w:rFonts w:ascii="宋体" w:hAnsi="宋体" w:eastAsia="宋体" w:cs="仿宋_GB2312"/>
          <w:szCs w:val="21"/>
          <w:lang w:val="zh-CN"/>
        </w:rPr>
        <w:t>提供</w:t>
      </w:r>
      <w:r>
        <w:rPr>
          <w:rFonts w:hint="eastAsia" w:ascii="宋体" w:hAnsi="宋体" w:eastAsia="宋体" w:cs="仿宋_GB2312"/>
          <w:szCs w:val="21"/>
          <w:lang w:val="zh-CN"/>
        </w:rPr>
        <w:t>：</w:t>
      </w:r>
    </w:p>
    <w:p>
      <w:pPr>
        <w:wordWrap w:val="0"/>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①中国信息安全认证中心官网（</w:t>
      </w:r>
      <w:r>
        <w:rPr>
          <w:rFonts w:ascii="宋体" w:hAnsi="宋体" w:eastAsia="宋体" w:cs="宋体"/>
          <w:kern w:val="0"/>
          <w:szCs w:val="21"/>
        </w:rPr>
        <w:t>http://www.isccc.gov.cn/index.shtml</w:t>
      </w:r>
      <w:r>
        <w:rPr>
          <w:rFonts w:hint="eastAsia" w:ascii="宋体" w:hAnsi="宋体" w:eastAsia="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宋体"/>
          <w:kern w:val="0"/>
          <w:szCs w:val="21"/>
        </w:rPr>
        <w:t>②中国信息安全认证中心</w:t>
      </w:r>
      <w:r>
        <w:rPr>
          <w:rFonts w:hint="eastAsia" w:ascii="宋体" w:hAnsi="宋体" w:eastAsia="宋体" w:cs="仿宋_GB2312"/>
          <w:szCs w:val="21"/>
          <w:lang w:val="zh-CN"/>
        </w:rPr>
        <w:t>颁发的《中国国家信息安全产品认证证书》加盖供应商公章的原件扫描件（或图片）。</w:t>
      </w:r>
    </w:p>
    <w:p>
      <w:pPr>
        <w:wordWrap w:val="0"/>
        <w:spacing w:line="360" w:lineRule="auto"/>
        <w:ind w:firstLine="420" w:firstLineChars="200"/>
        <w:contextualSpacing/>
        <w:rPr>
          <w:rFonts w:ascii="宋体" w:hAnsi="宋体" w:eastAsia="宋体" w:cs="宋体"/>
          <w:kern w:val="0"/>
          <w:szCs w:val="21"/>
        </w:rPr>
      </w:pPr>
      <w:r>
        <w:rPr>
          <w:rFonts w:hint="eastAsia" w:ascii="宋体" w:hAnsi="宋体" w:eastAsia="宋体" w:cs="仿宋_GB2312"/>
          <w:szCs w:val="21"/>
          <w:lang w:val="zh-CN"/>
        </w:rPr>
        <w:t>注：仅需提供序号</w:t>
      </w:r>
      <w:r>
        <w:rPr>
          <w:rFonts w:hint="eastAsia" w:ascii="宋体" w:hAnsi="宋体" w:eastAsia="宋体"/>
          <w:szCs w:val="21"/>
        </w:rPr>
        <w:t>①～②其中之一即可。</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三、评审方法</w:t>
      </w:r>
    </w:p>
    <w:p>
      <w:pPr>
        <w:pStyle w:val="16"/>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从质量和服务均能满足采购文件实质性响应要求的供应商中，按照报价由低到高的顺序提出</w:t>
      </w:r>
      <w:r>
        <w:rPr>
          <w:rFonts w:ascii="宋体" w:hAnsi="宋体" w:cs="仿宋_GB2312"/>
          <w:sz w:val="21"/>
          <w:szCs w:val="21"/>
          <w:lang w:val="zh-CN"/>
        </w:rPr>
        <w:t>3</w:t>
      </w:r>
      <w:r>
        <w:rPr>
          <w:rFonts w:hint="eastAsia" w:ascii="宋体" w:hAnsi="宋体" w:cs="仿宋_GB2312"/>
          <w:sz w:val="21"/>
          <w:szCs w:val="21"/>
          <w:lang w:val="zh-CN"/>
        </w:rPr>
        <w:t>名成交候选人。根据规定，采购人按照成交候选人排名顺序确定成交供应商。</w:t>
      </w:r>
    </w:p>
    <w:p>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四、谈判小组编写评审报告。</w:t>
      </w:r>
    </w:p>
    <w:p>
      <w:pPr>
        <w:pStyle w:val="16"/>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eastAsia="宋体" w:cs="Courier New"/>
          <w:szCs w:val="21"/>
        </w:rPr>
      </w:pPr>
    </w:p>
    <w:p>
      <w:pPr>
        <w:adjustRightInd w:val="0"/>
        <w:snapToGrid w:val="0"/>
        <w:spacing w:line="360" w:lineRule="auto"/>
        <w:ind w:firstLine="420" w:firstLineChars="200"/>
        <w:rPr>
          <w:rFonts w:ascii="宋体" w:hAnsi="宋体" w:eastAsia="宋体" w:cs="Courier New"/>
          <w:szCs w:val="21"/>
        </w:rPr>
      </w:pPr>
    </w:p>
    <w:p>
      <w:pPr>
        <w:adjustRightInd w:val="0"/>
        <w:snapToGrid w:val="0"/>
        <w:spacing w:line="360" w:lineRule="auto"/>
        <w:ind w:firstLine="420" w:firstLineChars="200"/>
        <w:rPr>
          <w:rFonts w:ascii="宋体" w:hAnsi="宋体" w:eastAsia="宋体" w:cs="Courier New"/>
          <w:szCs w:val="21"/>
        </w:rPr>
      </w:pPr>
    </w:p>
    <w:p>
      <w:pPr>
        <w:adjustRightInd w:val="0"/>
        <w:snapToGrid w:val="0"/>
        <w:spacing w:line="360" w:lineRule="auto"/>
        <w:ind w:firstLine="420" w:firstLineChars="200"/>
        <w:rPr>
          <w:rFonts w:ascii="宋体" w:hAnsi="宋体" w:eastAsia="宋体" w:cs="Courier New"/>
          <w:szCs w:val="21"/>
        </w:rPr>
      </w:pPr>
    </w:p>
    <w:p>
      <w:pPr>
        <w:adjustRightInd w:val="0"/>
        <w:snapToGrid w:val="0"/>
        <w:spacing w:line="360" w:lineRule="auto"/>
        <w:ind w:firstLine="420" w:firstLineChars="200"/>
        <w:rPr>
          <w:rFonts w:ascii="宋体" w:hAnsi="宋体" w:eastAsia="宋体" w:cs="Courier New"/>
          <w:szCs w:val="21"/>
        </w:rPr>
      </w:pPr>
    </w:p>
    <w:p>
      <w:pPr>
        <w:pStyle w:val="27"/>
      </w:pPr>
    </w:p>
    <w:p>
      <w:pPr>
        <w:pStyle w:val="17"/>
        <w:ind w:left="5250"/>
      </w:pPr>
    </w:p>
    <w:p/>
    <w:p>
      <w:pPr>
        <w:pStyle w:val="27"/>
      </w:pPr>
    </w:p>
    <w:p>
      <w:pPr>
        <w:pStyle w:val="17"/>
        <w:ind w:left="5250"/>
      </w:pPr>
    </w:p>
    <w:p/>
    <w:p>
      <w:pPr>
        <w:pStyle w:val="27"/>
      </w:pPr>
    </w:p>
    <w:p>
      <w:pPr>
        <w:pStyle w:val="17"/>
        <w:ind w:left="5250"/>
      </w:pPr>
    </w:p>
    <w:p/>
    <w:p>
      <w:pPr>
        <w:pStyle w:val="27"/>
      </w:pPr>
    </w:p>
    <w:p/>
    <w:p>
      <w:pPr>
        <w:tabs>
          <w:tab w:val="left" w:pos="1260"/>
        </w:tabs>
        <w:autoSpaceDE w:val="0"/>
        <w:autoSpaceDN w:val="0"/>
        <w:adjustRightInd w:val="0"/>
        <w:spacing w:line="360" w:lineRule="auto"/>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第七章 拟签订的合同文本</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（此合同仅供参考。以最终采购人与中标人签订的合同条款为准进行公示，</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最终签订合同的主要条款不能与招标文件有冲突）</w:t>
      </w:r>
    </w:p>
    <w:p>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pPr>
        <w:spacing w:line="360" w:lineRule="auto"/>
        <w:rPr>
          <w:rFonts w:ascii="宋体" w:hAnsi="宋体" w:eastAsia="宋体"/>
          <w:szCs w:val="21"/>
          <w:u w:val="single"/>
        </w:rPr>
      </w:pPr>
      <w:r>
        <w:rPr>
          <w:rFonts w:hint="eastAsia" w:ascii="宋体" w:hAnsi="宋体" w:eastAsia="宋体"/>
          <w:szCs w:val="21"/>
        </w:rPr>
        <w:t>合同编号：</w:t>
      </w:r>
    </w:p>
    <w:p>
      <w:pPr>
        <w:spacing w:line="360" w:lineRule="auto"/>
        <w:rPr>
          <w:rFonts w:ascii="宋体" w:hAnsi="宋体" w:eastAsia="宋体"/>
          <w:szCs w:val="21"/>
          <w:u w:val="single"/>
        </w:rPr>
      </w:pPr>
      <w:r>
        <w:rPr>
          <w:rFonts w:hint="eastAsia" w:ascii="宋体" w:hAnsi="宋体" w:eastAsia="宋体"/>
          <w:szCs w:val="21"/>
        </w:rPr>
        <w:t>签 订 地：</w:t>
      </w:r>
    </w:p>
    <w:p>
      <w:pPr>
        <w:spacing w:line="360" w:lineRule="auto"/>
        <w:rPr>
          <w:rFonts w:ascii="宋体" w:hAnsi="宋体" w:eastAsia="宋体"/>
          <w:szCs w:val="21"/>
          <w:u w:val="single"/>
        </w:rPr>
      </w:pPr>
      <w:r>
        <w:rPr>
          <w:rFonts w:hint="eastAsia" w:ascii="宋体" w:hAnsi="宋体" w:eastAsia="宋体"/>
          <w:szCs w:val="21"/>
        </w:rPr>
        <w:t>甲方（采购人）：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乙方（中标人）：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pPr>
        <w:pStyle w:val="49"/>
        <w:numPr>
          <w:ilvl w:val="0"/>
          <w:numId w:val="40"/>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pPr>
        <w:spacing w:line="360" w:lineRule="auto"/>
        <w:rPr>
          <w:rFonts w:ascii="宋体" w:hAnsi="宋体" w:eastAsia="宋体"/>
          <w:szCs w:val="21"/>
        </w:rPr>
      </w:pPr>
      <w:r>
        <w:rPr>
          <w:rFonts w:hint="eastAsia" w:ascii="宋体" w:hAnsi="宋体" w:eastAsia="宋体"/>
          <w:szCs w:val="21"/>
        </w:rPr>
        <w:t>乙方向甲方提供以下货物</w:t>
      </w:r>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r>
              <w:rPr>
                <w:rFonts w:hint="eastAsia" w:ascii="宋体" w:hAnsi="宋体" w:eastAsia="宋体"/>
                <w:szCs w:val="21"/>
              </w:rPr>
              <w:t>货物名称</w:t>
            </w:r>
          </w:p>
        </w:tc>
        <w:tc>
          <w:tcPr>
            <w:tcW w:w="4253" w:type="dxa"/>
          </w:tcPr>
          <w:p>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pPr>
              <w:spacing w:line="360" w:lineRule="auto"/>
              <w:rPr>
                <w:rFonts w:ascii="宋体" w:hAnsi="宋体" w:eastAsia="宋体"/>
                <w:szCs w:val="21"/>
              </w:rPr>
            </w:pPr>
          </w:p>
        </w:tc>
      </w:tr>
    </w:tbl>
    <w:p>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pPr>
        <w:spacing w:line="360" w:lineRule="auto"/>
        <w:rPr>
          <w:rFonts w:ascii="宋体" w:hAnsi="宋体" w:eastAsia="宋体"/>
          <w:szCs w:val="21"/>
        </w:rPr>
      </w:pPr>
      <w:r>
        <w:rPr>
          <w:rFonts w:hint="eastAsia" w:ascii="宋体" w:hAnsi="宋体" w:eastAsia="宋体"/>
          <w:szCs w:val="21"/>
        </w:rPr>
        <w:t>第二条  合同总金额</w:t>
      </w:r>
    </w:p>
    <w:p>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szCs w:val="21"/>
        </w:rPr>
      </w:pPr>
      <w:r>
        <w:rPr>
          <w:rFonts w:hint="eastAsia" w:ascii="宋体" w:hAnsi="宋体" w:eastAsia="宋体"/>
          <w:szCs w:val="21"/>
        </w:rPr>
        <w:t>第三条   质量要求及技术标准</w:t>
      </w:r>
    </w:p>
    <w:p>
      <w:pPr>
        <w:spacing w:line="360" w:lineRule="auto"/>
        <w:ind w:firstLine="315" w:firstLineChars="150"/>
        <w:rPr>
          <w:rFonts w:ascii="宋体" w:hAnsi="宋体" w:eastAsia="宋体"/>
          <w:szCs w:val="21"/>
        </w:rPr>
      </w:pPr>
      <w:r>
        <w:rPr>
          <w:rFonts w:hint="eastAsia" w:ascii="宋体" w:hAnsi="宋体" w:eastAsia="宋体"/>
          <w:szCs w:val="21"/>
        </w:rPr>
        <w:t>1.货物原产地：</w:t>
      </w:r>
    </w:p>
    <w:p>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pPr>
        <w:spacing w:line="360" w:lineRule="auto"/>
        <w:rPr>
          <w:rFonts w:ascii="宋体" w:hAnsi="宋体" w:eastAsia="宋体"/>
          <w:szCs w:val="21"/>
        </w:rPr>
      </w:pPr>
      <w:r>
        <w:rPr>
          <w:rFonts w:hint="eastAsia" w:ascii="宋体" w:hAnsi="宋体" w:eastAsia="宋体"/>
          <w:szCs w:val="21"/>
        </w:rPr>
        <w:t>第四条   交货</w:t>
      </w:r>
    </w:p>
    <w:p>
      <w:pPr>
        <w:spacing w:line="360" w:lineRule="auto"/>
        <w:ind w:firstLine="315" w:firstLineChars="150"/>
        <w:rPr>
          <w:rFonts w:ascii="宋体" w:hAnsi="宋体" w:eastAsia="宋体"/>
          <w:szCs w:val="21"/>
        </w:rPr>
      </w:pPr>
      <w:r>
        <w:rPr>
          <w:rFonts w:hint="eastAsia" w:ascii="宋体" w:hAnsi="宋体" w:eastAsia="宋体"/>
          <w:szCs w:val="21"/>
        </w:rPr>
        <w:t>1.交货日期：</w:t>
      </w:r>
    </w:p>
    <w:p>
      <w:pPr>
        <w:spacing w:line="360" w:lineRule="auto"/>
        <w:ind w:firstLine="315" w:firstLineChars="150"/>
        <w:rPr>
          <w:rFonts w:ascii="宋体" w:hAnsi="宋体" w:eastAsia="宋体"/>
          <w:szCs w:val="21"/>
        </w:rPr>
      </w:pPr>
      <w:r>
        <w:rPr>
          <w:rFonts w:hint="eastAsia" w:ascii="宋体" w:hAnsi="宋体" w:eastAsia="宋体"/>
          <w:szCs w:val="21"/>
        </w:rPr>
        <w:t>2.交货地点：</w:t>
      </w:r>
    </w:p>
    <w:p>
      <w:pPr>
        <w:spacing w:line="360" w:lineRule="auto"/>
        <w:rPr>
          <w:rFonts w:ascii="宋体" w:hAnsi="宋体" w:eastAsia="宋体"/>
          <w:szCs w:val="21"/>
        </w:rPr>
      </w:pPr>
      <w:r>
        <w:rPr>
          <w:rFonts w:hint="eastAsia" w:ascii="宋体" w:hAnsi="宋体" w:eastAsia="宋体"/>
          <w:szCs w:val="21"/>
        </w:rPr>
        <w:t>第五条   包装、 装运及运输</w:t>
      </w:r>
    </w:p>
    <w:p>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szCs w:val="21"/>
        </w:rPr>
      </w:pPr>
      <w:r>
        <w:rPr>
          <w:rFonts w:hint="eastAsia" w:ascii="宋体" w:hAnsi="宋体" w:eastAsia="宋体"/>
          <w:szCs w:val="21"/>
        </w:rPr>
        <w:t>第六条    货款支付</w:t>
      </w:r>
    </w:p>
    <w:p>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szCs w:val="21"/>
        </w:rPr>
      </w:pPr>
      <w:r>
        <w:rPr>
          <w:rFonts w:hint="eastAsia" w:ascii="宋体" w:hAnsi="宋体" w:eastAsia="宋体"/>
          <w:szCs w:val="21"/>
        </w:rPr>
        <w:t>3.付款方式</w:t>
      </w:r>
    </w:p>
    <w:p>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pPr>
        <w:spacing w:line="360" w:lineRule="auto"/>
        <w:rPr>
          <w:rFonts w:ascii="宋体" w:hAnsi="宋体" w:eastAsia="宋体"/>
          <w:szCs w:val="21"/>
        </w:rPr>
      </w:pPr>
      <w:r>
        <w:rPr>
          <w:rFonts w:hint="eastAsia" w:ascii="宋体" w:hAnsi="宋体" w:eastAsia="宋体"/>
          <w:szCs w:val="21"/>
        </w:rPr>
        <w:t>第七条   履约保证金</w:t>
      </w:r>
    </w:p>
    <w:p>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pPr>
        <w:spacing w:line="360" w:lineRule="auto"/>
        <w:rPr>
          <w:rFonts w:ascii="宋体" w:hAnsi="宋体" w:eastAsia="宋体"/>
          <w:szCs w:val="21"/>
        </w:rPr>
      </w:pPr>
      <w:r>
        <w:rPr>
          <w:rFonts w:hint="eastAsia" w:ascii="宋体" w:hAnsi="宋体" w:eastAsia="宋体"/>
          <w:szCs w:val="21"/>
        </w:rPr>
        <w:t>第八条   售后服务及承诺</w:t>
      </w:r>
    </w:p>
    <w:p>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pPr>
        <w:spacing w:line="360" w:lineRule="auto"/>
        <w:rPr>
          <w:rFonts w:ascii="宋体" w:hAnsi="宋体" w:eastAsia="宋体"/>
          <w:szCs w:val="21"/>
        </w:rPr>
      </w:pPr>
      <w:r>
        <w:rPr>
          <w:rFonts w:hint="eastAsia" w:ascii="宋体" w:hAnsi="宋体" w:eastAsia="宋体"/>
          <w:szCs w:val="21"/>
        </w:rPr>
        <w:t>第九条   验收</w:t>
      </w:r>
    </w:p>
    <w:p>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4.货物由中标人进行安装。完毕后，采购人应对货物的数量、质量、规格、性能等进行详细全面的检验。在收到乙方项目验收建议之日起7个工作日内，对采购项目进行实质性验收（验收建议有明显不当的除外）。</w:t>
      </w:r>
    </w:p>
    <w:p>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szCs w:val="21"/>
        </w:rPr>
      </w:pPr>
      <w:r>
        <w:rPr>
          <w:rFonts w:hint="eastAsia" w:ascii="宋体" w:hAnsi="宋体" w:eastAsia="宋体"/>
          <w:szCs w:val="21"/>
        </w:rPr>
        <w:t>第十条   权利瑕疵担当</w:t>
      </w:r>
    </w:p>
    <w:p>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pPr>
        <w:spacing w:line="360" w:lineRule="auto"/>
        <w:rPr>
          <w:rFonts w:ascii="宋体" w:hAnsi="宋体" w:eastAsia="宋体"/>
          <w:szCs w:val="21"/>
        </w:rPr>
      </w:pPr>
      <w:r>
        <w:rPr>
          <w:rFonts w:hint="eastAsia" w:ascii="宋体" w:hAnsi="宋体" w:eastAsia="宋体"/>
          <w:szCs w:val="21"/>
        </w:rPr>
        <w:t>第十一条   知识产权</w:t>
      </w:r>
    </w:p>
    <w:p>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pPr>
        <w:spacing w:line="360" w:lineRule="auto"/>
        <w:rPr>
          <w:rFonts w:ascii="宋体" w:hAnsi="宋体" w:eastAsia="宋体"/>
          <w:szCs w:val="21"/>
        </w:rPr>
      </w:pPr>
      <w:r>
        <w:rPr>
          <w:rFonts w:hint="eastAsia" w:ascii="宋体" w:hAnsi="宋体" w:eastAsia="宋体"/>
          <w:szCs w:val="21"/>
        </w:rPr>
        <w:t>第十二条    甲方责任</w:t>
      </w:r>
    </w:p>
    <w:p>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pPr>
        <w:spacing w:line="360" w:lineRule="auto"/>
        <w:rPr>
          <w:rFonts w:ascii="宋体" w:hAnsi="宋体" w:eastAsia="宋体"/>
          <w:szCs w:val="21"/>
        </w:rPr>
      </w:pPr>
      <w:r>
        <w:rPr>
          <w:rFonts w:hint="eastAsia" w:ascii="宋体" w:hAnsi="宋体" w:eastAsia="宋体"/>
          <w:szCs w:val="21"/>
        </w:rPr>
        <w:t>第十三条    乙方责任</w:t>
      </w:r>
    </w:p>
    <w:p>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pPr>
        <w:spacing w:line="360" w:lineRule="auto"/>
        <w:rPr>
          <w:rFonts w:ascii="宋体" w:hAnsi="宋体" w:eastAsia="宋体"/>
          <w:szCs w:val="21"/>
        </w:rPr>
      </w:pPr>
      <w:r>
        <w:rPr>
          <w:rFonts w:hint="eastAsia" w:ascii="宋体" w:hAnsi="宋体" w:eastAsia="宋体"/>
          <w:szCs w:val="21"/>
        </w:rPr>
        <w:t>第十四条   违约责任</w:t>
      </w:r>
    </w:p>
    <w:p>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pPr>
        <w:spacing w:line="360" w:lineRule="auto"/>
        <w:ind w:firstLine="315" w:firstLineChars="150"/>
        <w:rPr>
          <w:rFonts w:ascii="宋体" w:hAnsi="宋体" w:eastAsia="宋体"/>
          <w:szCs w:val="21"/>
        </w:rPr>
      </w:pPr>
      <w:r>
        <w:rPr>
          <w:rFonts w:hint="eastAsia" w:ascii="宋体" w:hAnsi="宋体" w:eastAsia="宋体"/>
          <w:szCs w:val="21"/>
        </w:rPr>
        <w:t>7.甲乙双方违背其他合间条款。违约方赔偿对方损失。</w:t>
      </w:r>
    </w:p>
    <w:p>
      <w:pPr>
        <w:spacing w:line="360" w:lineRule="auto"/>
        <w:rPr>
          <w:rFonts w:ascii="宋体" w:hAnsi="宋体" w:eastAsia="宋体"/>
          <w:szCs w:val="21"/>
        </w:rPr>
      </w:pPr>
      <w:r>
        <w:rPr>
          <w:rFonts w:hint="eastAsia" w:ascii="宋体" w:hAnsi="宋体" w:eastAsia="宋体"/>
          <w:szCs w:val="21"/>
        </w:rPr>
        <w:t>第十五条   不可抗力</w:t>
      </w:r>
    </w:p>
    <w:p>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szCs w:val="21"/>
        </w:rPr>
      </w:pPr>
      <w:r>
        <w:rPr>
          <w:rFonts w:hint="eastAsia" w:ascii="宋体" w:hAnsi="宋体" w:eastAsia="宋体"/>
          <w:szCs w:val="21"/>
        </w:rPr>
        <w:t>第十六条   保密</w:t>
      </w:r>
    </w:p>
    <w:p>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pPr>
        <w:spacing w:line="360" w:lineRule="auto"/>
        <w:rPr>
          <w:rFonts w:ascii="宋体" w:hAnsi="宋体" w:eastAsia="宋体"/>
          <w:szCs w:val="21"/>
        </w:rPr>
      </w:pPr>
      <w:r>
        <w:rPr>
          <w:rFonts w:hint="eastAsia" w:ascii="宋体" w:hAnsi="宋体" w:eastAsia="宋体"/>
          <w:szCs w:val="21"/>
        </w:rPr>
        <w:t>第十七条   争议解决</w:t>
      </w:r>
    </w:p>
    <w:p>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pPr>
        <w:spacing w:line="360" w:lineRule="auto"/>
        <w:rPr>
          <w:rFonts w:ascii="宋体" w:hAnsi="宋体" w:eastAsia="宋体"/>
          <w:szCs w:val="21"/>
        </w:rPr>
      </w:pPr>
      <w:r>
        <w:rPr>
          <w:rFonts w:hint="eastAsia" w:ascii="宋体" w:hAnsi="宋体" w:eastAsia="宋体"/>
          <w:szCs w:val="21"/>
        </w:rPr>
        <w:t>第十八条   合同生效及其他</w:t>
      </w:r>
    </w:p>
    <w:p>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pPr>
        <w:spacing w:line="360" w:lineRule="auto"/>
        <w:rPr>
          <w:rFonts w:ascii="宋体" w:hAnsi="宋体" w:eastAsia="宋体"/>
          <w:szCs w:val="21"/>
        </w:rPr>
      </w:pPr>
      <w:r>
        <w:rPr>
          <w:rFonts w:hint="eastAsia" w:ascii="宋体" w:hAnsi="宋体" w:eastAsia="宋体"/>
          <w:szCs w:val="21"/>
        </w:rPr>
        <w:t>第十九条   政府采购合间融资</w:t>
      </w:r>
    </w:p>
    <w:p>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szCs w:val="21"/>
        </w:rPr>
      </w:pPr>
      <w:r>
        <w:rPr>
          <w:rFonts w:hint="eastAsia" w:ascii="宋体" w:hAnsi="宋体" w:eastAsia="宋体"/>
          <w:szCs w:val="21"/>
        </w:rPr>
        <w:t>第二十条        本合同附件</w:t>
      </w:r>
    </w:p>
    <w:p>
      <w:pPr>
        <w:spacing w:line="360" w:lineRule="auto"/>
        <w:ind w:firstLine="315" w:firstLineChars="150"/>
        <w:rPr>
          <w:rFonts w:ascii="宋体" w:hAnsi="宋体" w:eastAsia="宋体"/>
          <w:szCs w:val="21"/>
        </w:rPr>
      </w:pPr>
      <w:r>
        <w:rPr>
          <w:rFonts w:hint="eastAsia" w:ascii="宋体" w:hAnsi="宋体" w:eastAsia="宋体"/>
          <w:szCs w:val="21"/>
        </w:rPr>
        <w:t>1.中标通知书：</w:t>
      </w:r>
    </w:p>
    <w:p>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pPr>
        <w:spacing w:line="360" w:lineRule="auto"/>
        <w:ind w:firstLine="315" w:firstLineChars="150"/>
        <w:rPr>
          <w:rFonts w:ascii="宋体" w:hAnsi="宋体" w:eastAsia="宋体"/>
          <w:szCs w:val="21"/>
        </w:rPr>
      </w:pPr>
      <w:r>
        <w:rPr>
          <w:rFonts w:hint="eastAsia" w:ascii="宋体" w:hAnsi="宋体" w:eastAsia="宋体"/>
          <w:szCs w:val="21"/>
        </w:rPr>
        <w:t>3.乙方投标文件：</w:t>
      </w:r>
    </w:p>
    <w:p>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pPr>
        <w:spacing w:line="360" w:lineRule="auto"/>
        <w:rPr>
          <w:rFonts w:ascii="宋体" w:hAnsi="宋体" w:eastAsia="宋体"/>
          <w:szCs w:val="21"/>
        </w:rPr>
      </w:pPr>
      <w:r>
        <w:rPr>
          <w:rFonts w:hint="eastAsia" w:ascii="宋体" w:hAnsi="宋体" w:eastAsia="宋体"/>
          <w:szCs w:val="21"/>
        </w:rPr>
        <w:t>甲  方：                                      乙  方：</w:t>
      </w:r>
    </w:p>
    <w:p>
      <w:pPr>
        <w:spacing w:line="360" w:lineRule="auto"/>
        <w:rPr>
          <w:rFonts w:ascii="宋体" w:hAnsi="宋体" w:eastAsia="宋体"/>
          <w:szCs w:val="21"/>
        </w:rPr>
      </w:pPr>
      <w:r>
        <w:rPr>
          <w:rFonts w:hint="eastAsia" w:ascii="宋体" w:hAnsi="宋体" w:eastAsia="宋体"/>
          <w:szCs w:val="21"/>
        </w:rPr>
        <w:t>单位名称（公章）：                              单位名称（公章）：</w:t>
      </w:r>
    </w:p>
    <w:p>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pPr>
        <w:spacing w:line="360" w:lineRule="auto"/>
        <w:rPr>
          <w:rFonts w:ascii="宋体" w:hAnsi="宋体" w:eastAsia="宋体"/>
          <w:szCs w:val="21"/>
        </w:rPr>
      </w:pPr>
      <w:r>
        <w:rPr>
          <w:rFonts w:hint="eastAsia" w:ascii="宋体" w:hAnsi="宋体" w:eastAsia="宋体"/>
          <w:szCs w:val="21"/>
        </w:rPr>
        <w:t>年     月    日                                年   月   日</w:t>
      </w:r>
    </w:p>
    <w:p>
      <w:pPr>
        <w:tabs>
          <w:tab w:val="left" w:pos="1260"/>
        </w:tabs>
        <w:autoSpaceDE w:val="0"/>
        <w:autoSpaceDN w:val="0"/>
        <w:adjustRightInd w:val="0"/>
        <w:spacing w:line="360" w:lineRule="auto"/>
        <w:rPr>
          <w:rFonts w:ascii="宋体" w:hAnsi="宋体" w:eastAsia="宋体" w:cs="宋体"/>
          <w:b/>
          <w:kern w:val="0"/>
          <w:sz w:val="32"/>
          <w:szCs w:val="32"/>
        </w:rPr>
      </w:pPr>
    </w:p>
    <w:p>
      <w:pPr>
        <w:pStyle w:val="27"/>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jc w:val="center"/>
        <w:rPr>
          <w:rFonts w:ascii="宋体" w:hAnsi="宋体" w:eastAsia="宋体" w:cs="宋体"/>
          <w:b/>
          <w:kern w:val="0"/>
          <w:sz w:val="32"/>
          <w:szCs w:val="32"/>
        </w:rPr>
      </w:pPr>
    </w:p>
    <w:p>
      <w:pPr>
        <w:tabs>
          <w:tab w:val="left" w:pos="1260"/>
        </w:tabs>
        <w:autoSpaceDE w:val="0"/>
        <w:autoSpaceDN w:val="0"/>
        <w:adjustRightInd w:val="0"/>
        <w:spacing w:line="360" w:lineRule="auto"/>
        <w:rPr>
          <w:rFonts w:ascii="宋体" w:hAnsi="宋体" w:eastAsia="宋体" w:cs="宋体"/>
          <w:b/>
          <w:kern w:val="0"/>
          <w:sz w:val="32"/>
          <w:szCs w:val="32"/>
        </w:rPr>
      </w:pPr>
    </w:p>
    <w:p>
      <w:pPr>
        <w:pStyle w:val="27"/>
        <w:ind w:left="0" w:leftChars="0" w:firstLine="0" w:firstLineChars="0"/>
      </w:pPr>
    </w:p>
    <w:p>
      <w:pPr>
        <w:numPr>
          <w:ilvl w:val="0"/>
          <w:numId w:val="41"/>
        </w:numPr>
        <w:tabs>
          <w:tab w:val="left" w:pos="1260"/>
        </w:tabs>
        <w:autoSpaceDE w:val="0"/>
        <w:autoSpaceDN w:val="0"/>
        <w:adjustRightIn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响应文件有关格式</w:t>
      </w:r>
    </w:p>
    <w:p>
      <w:pPr>
        <w:spacing w:line="480" w:lineRule="exact"/>
        <w:ind w:firstLine="463" w:firstLineChars="192"/>
        <w:rPr>
          <w:rFonts w:hint="eastAsia" w:ascii="宋体" w:hAnsi="宋体" w:eastAsia="宋体" w:cs="宋体"/>
          <w:b/>
          <w:kern w:val="0"/>
          <w:sz w:val="24"/>
          <w:szCs w:val="24"/>
        </w:rPr>
      </w:pPr>
      <w:r>
        <w:rPr>
          <w:rFonts w:hint="eastAsia" w:ascii="宋体" w:hAnsi="宋体" w:eastAsia="宋体" w:cs="宋体"/>
          <w:b/>
          <w:kern w:val="0"/>
          <w:sz w:val="24"/>
          <w:szCs w:val="24"/>
        </w:rPr>
        <w:t>注：</w:t>
      </w:r>
    </w:p>
    <w:p>
      <w:pPr>
        <w:spacing w:line="480" w:lineRule="exact"/>
        <w:ind w:firstLine="463" w:firstLineChars="192"/>
        <w:rPr>
          <w:rFonts w:hint="eastAsia" w:ascii="宋体" w:hAnsi="宋体" w:eastAsia="宋体" w:cs="宋体"/>
          <w:b/>
          <w:kern w:val="0"/>
          <w:sz w:val="24"/>
          <w:szCs w:val="24"/>
        </w:rPr>
      </w:pPr>
      <w:r>
        <w:rPr>
          <w:rFonts w:hint="eastAsia" w:ascii="宋体" w:hAnsi="宋体" w:eastAsia="宋体" w:cs="宋体"/>
          <w:b/>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hint="eastAsia" w:ascii="宋体" w:hAnsi="宋体" w:eastAsia="宋体" w:cs="宋体"/>
          <w:b/>
          <w:kern w:val="0"/>
          <w:sz w:val="24"/>
          <w:szCs w:val="24"/>
        </w:rPr>
      </w:pPr>
      <w:r>
        <w:rPr>
          <w:rFonts w:hint="eastAsia" w:ascii="宋体" w:hAnsi="宋体" w:eastAsia="宋体" w:cs="宋体"/>
          <w:b/>
          <w:kern w:val="0"/>
          <w:sz w:val="24"/>
          <w:szCs w:val="24"/>
        </w:rPr>
        <w:t>2.没有给定格式的，投标人可以自行设计。</w:t>
      </w:r>
    </w:p>
    <w:p>
      <w:pPr>
        <w:pStyle w:val="25"/>
        <w:ind w:firstLine="340"/>
      </w:pPr>
    </w:p>
    <w:p>
      <w:pPr>
        <w:pStyle w:val="51"/>
        <w:ind w:firstLine="0" w:firstLineChars="0"/>
        <w:jc w:val="center"/>
        <w:rPr>
          <w:rFonts w:hint="eastAsia" w:ascii="宋体" w:hAnsi="宋体" w:eastAsia="宋体" w:cs="宋体"/>
          <w:sz w:val="24"/>
        </w:rPr>
      </w:pPr>
      <w:r>
        <w:rPr>
          <w:rFonts w:hint="eastAsia" w:ascii="宋体" w:hAnsi="宋体" w:cs="宋体"/>
          <w:sz w:val="36"/>
          <w:szCs w:val="36"/>
          <w:u w:val="single"/>
        </w:rPr>
        <w:br w:type="page"/>
      </w:r>
      <w:r>
        <w:rPr>
          <w:rFonts w:hint="eastAsia" w:ascii="宋体" w:hAnsi="宋体" w:eastAsia="宋体" w:cs="宋体"/>
          <w:sz w:val="36"/>
          <w:szCs w:val="36"/>
          <w:u w:val="single"/>
        </w:rPr>
        <w:t xml:space="preserve">                    （项目名称）</w:t>
      </w:r>
    </w:p>
    <w:p>
      <w:pPr>
        <w:spacing w:line="380" w:lineRule="exact"/>
        <w:rPr>
          <w:rFonts w:hint="eastAsia" w:ascii="宋体" w:hAnsi="宋体" w:eastAsia="宋体" w:cs="宋体"/>
          <w:sz w:val="24"/>
        </w:rPr>
      </w:pPr>
    </w:p>
    <w:p>
      <w:pPr>
        <w:spacing w:line="380" w:lineRule="exact"/>
        <w:rPr>
          <w:rFonts w:hint="eastAsia" w:ascii="宋体" w:hAnsi="宋体" w:eastAsia="宋体" w:cs="宋体"/>
          <w:sz w:val="24"/>
        </w:rPr>
      </w:pPr>
    </w:p>
    <w:p>
      <w:pPr>
        <w:spacing w:line="380" w:lineRule="exact"/>
        <w:rPr>
          <w:rFonts w:hint="eastAsia" w:ascii="宋体" w:hAnsi="宋体" w:eastAsia="宋体" w:cs="宋体"/>
          <w:sz w:val="24"/>
        </w:rPr>
      </w:pPr>
    </w:p>
    <w:p>
      <w:pPr>
        <w:spacing w:line="380" w:lineRule="exact"/>
        <w:rPr>
          <w:rFonts w:hint="eastAsia" w:ascii="宋体" w:hAnsi="宋体" w:eastAsia="宋体" w:cs="宋体"/>
          <w:sz w:val="24"/>
        </w:rPr>
      </w:pPr>
    </w:p>
    <w:p>
      <w:pPr>
        <w:spacing w:line="380" w:lineRule="exact"/>
        <w:jc w:val="center"/>
        <w:rPr>
          <w:rFonts w:hint="eastAsia" w:ascii="宋体" w:hAnsi="宋体" w:eastAsia="宋体" w:cs="宋体"/>
          <w:b/>
          <w:bCs/>
          <w:sz w:val="48"/>
          <w:szCs w:val="48"/>
        </w:rPr>
      </w:pPr>
    </w:p>
    <w:p>
      <w:pPr>
        <w:spacing w:line="380" w:lineRule="exact"/>
        <w:rPr>
          <w:rFonts w:hint="eastAsia" w:ascii="宋体" w:hAnsi="宋体" w:eastAsia="宋体" w:cs="宋体"/>
          <w:b/>
          <w:bCs/>
          <w:sz w:val="48"/>
          <w:szCs w:val="48"/>
        </w:rPr>
      </w:pPr>
    </w:p>
    <w:p>
      <w:pPr>
        <w:spacing w:line="380" w:lineRule="exact"/>
        <w:jc w:val="center"/>
        <w:rPr>
          <w:rFonts w:hint="eastAsia" w:ascii="宋体" w:hAnsi="宋体" w:eastAsia="宋体" w:cs="宋体"/>
          <w:b/>
          <w:bCs/>
          <w:sz w:val="48"/>
          <w:szCs w:val="48"/>
        </w:rPr>
      </w:pPr>
    </w:p>
    <w:p>
      <w:pPr>
        <w:spacing w:line="480" w:lineRule="auto"/>
        <w:jc w:val="center"/>
        <w:rPr>
          <w:rFonts w:hint="eastAsia" w:ascii="宋体" w:hAnsi="宋体" w:eastAsia="宋体" w:cs="宋体"/>
          <w:b/>
          <w:bCs/>
          <w:sz w:val="72"/>
          <w:szCs w:val="72"/>
        </w:rPr>
      </w:pPr>
      <w:r>
        <w:rPr>
          <w:rFonts w:hint="eastAsia" w:ascii="宋体" w:hAnsi="宋体" w:eastAsia="宋体" w:cs="宋体"/>
          <w:b/>
          <w:bCs/>
          <w:sz w:val="72"/>
          <w:szCs w:val="72"/>
        </w:rPr>
        <w:t>响 应 文 件</w:t>
      </w:r>
    </w:p>
    <w:p>
      <w:pPr>
        <w:spacing w:line="380" w:lineRule="exact"/>
        <w:rPr>
          <w:rFonts w:hint="eastAsia" w:ascii="宋体" w:hAnsi="宋体" w:eastAsia="宋体" w:cs="宋体"/>
          <w:sz w:val="24"/>
        </w:rPr>
      </w:pPr>
    </w:p>
    <w:p>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bCs/>
          <w:sz w:val="28"/>
          <w:szCs w:val="28"/>
        </w:rPr>
        <w:t>：</w:t>
      </w:r>
    </w:p>
    <w:p>
      <w:pPr>
        <w:pStyle w:val="25"/>
        <w:ind w:firstLine="340"/>
        <w:rPr>
          <w:rFonts w:hint="eastAsia" w:ascii="宋体" w:hAnsi="宋体" w:eastAsia="宋体" w:cs="宋体"/>
        </w:rPr>
      </w:pPr>
    </w:p>
    <w:p>
      <w:pPr>
        <w:spacing w:line="380" w:lineRule="exact"/>
        <w:rPr>
          <w:rFonts w:hint="eastAsia" w:ascii="宋体" w:hAnsi="宋体" w:eastAsia="宋体" w:cs="宋体"/>
          <w:sz w:val="24"/>
        </w:rPr>
      </w:pPr>
    </w:p>
    <w:p>
      <w:pPr>
        <w:pStyle w:val="2"/>
        <w:rPr>
          <w:rFonts w:hint="eastAsia" w:ascii="宋体" w:hAnsi="宋体" w:eastAsia="宋体" w:cs="宋体"/>
          <w:sz w:val="24"/>
        </w:rPr>
      </w:pPr>
    </w:p>
    <w:p>
      <w:pPr>
        <w:pStyle w:val="22"/>
        <w:rPr>
          <w:rFonts w:hint="eastAsia" w:ascii="宋体" w:hAnsi="宋体" w:eastAsia="宋体" w:cs="宋体"/>
        </w:rPr>
      </w:pPr>
    </w:p>
    <w:p>
      <w:pPr>
        <w:spacing w:line="380" w:lineRule="exact"/>
        <w:rPr>
          <w:rFonts w:hint="eastAsia" w:ascii="宋体" w:hAnsi="宋体" w:eastAsia="宋体" w:cs="宋体"/>
          <w:sz w:val="24"/>
        </w:rPr>
      </w:pPr>
    </w:p>
    <w:p>
      <w:pPr>
        <w:spacing w:line="380" w:lineRule="exact"/>
        <w:rPr>
          <w:rFonts w:hint="eastAsia" w:ascii="宋体" w:hAnsi="宋体" w:eastAsia="宋体" w:cs="宋体"/>
          <w:sz w:val="24"/>
        </w:rPr>
      </w:pPr>
    </w:p>
    <w:p>
      <w:pPr>
        <w:spacing w:line="480" w:lineRule="auto"/>
        <w:ind w:firstLine="1205" w:firstLineChars="500"/>
        <w:rPr>
          <w:rFonts w:hint="eastAsia" w:ascii="宋体" w:hAnsi="宋体" w:eastAsia="宋体" w:cs="宋体"/>
          <w:b/>
          <w:bCs/>
          <w:sz w:val="24"/>
          <w:szCs w:val="24"/>
        </w:rPr>
      </w:pPr>
      <w:bookmarkStart w:id="3" w:name="_Toc7428_WPSOffice_Level1"/>
      <w:bookmarkStart w:id="4" w:name="_Toc27760_WPSOffice_Level1"/>
      <w:r>
        <w:rPr>
          <w:rFonts w:hint="eastAsia" w:ascii="宋体" w:hAnsi="宋体" w:eastAsia="宋体" w:cs="宋体"/>
          <w:b/>
          <w:bCs/>
          <w:sz w:val="24"/>
          <w:szCs w:val="24"/>
        </w:rPr>
        <w:t>供应商：（全称并加盖公章）</w:t>
      </w:r>
      <w:bookmarkEnd w:id="3"/>
      <w:bookmarkEnd w:id="4"/>
    </w:p>
    <w:p>
      <w:pPr>
        <w:spacing w:line="480" w:lineRule="auto"/>
        <w:ind w:firstLine="1205" w:firstLineChars="500"/>
        <w:rPr>
          <w:rFonts w:hint="eastAsia" w:ascii="宋体" w:hAnsi="宋体" w:eastAsia="宋体" w:cs="宋体"/>
          <w:b/>
          <w:bCs/>
          <w:sz w:val="24"/>
          <w:szCs w:val="24"/>
        </w:rPr>
      </w:pPr>
      <w:bookmarkStart w:id="5" w:name="_Toc28157_WPSOffice_Level1"/>
      <w:bookmarkStart w:id="6" w:name="_Toc4840_WPSOffice_Level1"/>
      <w:r>
        <w:rPr>
          <w:rFonts w:hint="eastAsia" w:ascii="宋体" w:hAnsi="宋体" w:eastAsia="宋体" w:cs="宋体"/>
          <w:b/>
          <w:bCs/>
          <w:sz w:val="24"/>
          <w:szCs w:val="24"/>
        </w:rPr>
        <w:t>法定代表人或委托代理人（签字）：</w:t>
      </w:r>
      <w:bookmarkEnd w:id="5"/>
      <w:bookmarkEnd w:id="6"/>
    </w:p>
    <w:p>
      <w:pPr>
        <w:spacing w:line="480" w:lineRule="auto"/>
        <w:ind w:firstLine="1205" w:firstLineChars="500"/>
        <w:rPr>
          <w:rFonts w:hint="eastAsia" w:ascii="宋体" w:hAnsi="宋体" w:eastAsia="宋体" w:cs="宋体"/>
          <w:b/>
          <w:bCs/>
          <w:sz w:val="24"/>
          <w:szCs w:val="24"/>
        </w:rPr>
      </w:pPr>
      <w:bookmarkStart w:id="7" w:name="_Toc15640_WPSOffice_Level1"/>
      <w:bookmarkStart w:id="8" w:name="_Toc2311_WPSOffice_Level1"/>
      <w:r>
        <w:rPr>
          <w:rFonts w:hint="eastAsia" w:ascii="宋体" w:hAnsi="宋体" w:eastAsia="宋体" w:cs="宋体"/>
          <w:b/>
          <w:bCs/>
          <w:sz w:val="24"/>
          <w:szCs w:val="24"/>
        </w:rPr>
        <w:t>日    期：      年     月     日</w:t>
      </w:r>
      <w:bookmarkEnd w:id="7"/>
      <w:bookmarkEnd w:id="8"/>
    </w:p>
    <w:p>
      <w:pPr>
        <w:pStyle w:val="27"/>
        <w:numPr>
          <w:ilvl w:val="0"/>
          <w:numId w:val="0"/>
        </w:numPr>
      </w:pPr>
    </w:p>
    <w:p/>
    <w:p>
      <w:pPr>
        <w:pStyle w:val="2"/>
      </w:pPr>
    </w:p>
    <w:p>
      <w:pPr>
        <w:pStyle w:val="3"/>
      </w:pPr>
    </w:p>
    <w:p>
      <w:pPr>
        <w:pStyle w:val="4"/>
      </w:pPr>
    </w:p>
    <w:p/>
    <w:p>
      <w:pPr>
        <w:keepNext/>
        <w:keepLines/>
        <w:tabs>
          <w:tab w:val="left" w:pos="660"/>
        </w:tabs>
        <w:adjustRightInd w:val="0"/>
        <w:snapToGrid w:val="0"/>
        <w:spacing w:line="360" w:lineRule="auto"/>
        <w:ind w:firstLine="1325" w:firstLineChars="300"/>
        <w:jc w:val="center"/>
        <w:textAlignment w:val="baseline"/>
        <w:rPr>
          <w:rFonts w:hint="eastAsia" w:ascii="宋体" w:hAnsi="宋体" w:eastAsia="宋体" w:cs="宋体"/>
          <w:b/>
          <w:bCs/>
          <w:sz w:val="44"/>
          <w:szCs w:val="44"/>
          <w:lang w:val="zh-CN"/>
        </w:rPr>
      </w:pPr>
      <w:r>
        <w:rPr>
          <w:rFonts w:hint="eastAsia" w:ascii="宋体" w:hAnsi="宋体" w:eastAsia="宋体" w:cs="宋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hint="eastAsia" w:ascii="宋体" w:hAnsi="宋体" w:eastAsia="宋体" w:cs="宋体"/>
          <w:b/>
          <w:bCs/>
          <w:sz w:val="32"/>
          <w:szCs w:val="32"/>
          <w:lang w:val="zh-CN"/>
        </w:rPr>
      </w:pPr>
    </w:p>
    <w:p>
      <w:pPr>
        <w:autoSpaceDE w:val="0"/>
        <w:autoSpaceDN w:val="0"/>
        <w:adjustRightInd w:val="0"/>
        <w:spacing w:line="360" w:lineRule="auto"/>
        <w:ind w:firstLine="643" w:firstLineChars="200"/>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一、供应商应答索引表</w:t>
      </w:r>
    </w:p>
    <w:p>
      <w:pPr>
        <w:autoSpaceDE w:val="0"/>
        <w:autoSpaceDN w:val="0"/>
        <w:adjustRightInd w:val="0"/>
        <w:spacing w:line="360" w:lineRule="auto"/>
        <w:ind w:firstLine="643" w:firstLineChars="200"/>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二、开标一览表</w:t>
      </w:r>
    </w:p>
    <w:p>
      <w:pPr>
        <w:autoSpaceDE w:val="0"/>
        <w:autoSpaceDN w:val="0"/>
        <w:adjustRightInd w:val="0"/>
        <w:spacing w:line="360" w:lineRule="auto"/>
        <w:ind w:firstLine="643" w:firstLineChars="200"/>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三、资格审查证明材料</w:t>
      </w:r>
    </w:p>
    <w:p>
      <w:pPr>
        <w:autoSpaceDE w:val="0"/>
        <w:autoSpaceDN w:val="0"/>
        <w:adjustRightInd w:val="0"/>
        <w:spacing w:line="360" w:lineRule="auto"/>
        <w:ind w:firstLine="643" w:firstLineChars="200"/>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四、符合性审查证明材料</w:t>
      </w:r>
    </w:p>
    <w:p>
      <w:pPr>
        <w:autoSpaceDE w:val="0"/>
        <w:autoSpaceDN w:val="0"/>
        <w:adjustRightInd w:val="0"/>
        <w:spacing w:line="360" w:lineRule="auto"/>
        <w:ind w:firstLine="643" w:firstLineChars="200"/>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五、其他资料（若有）</w:t>
      </w:r>
    </w:p>
    <w:p>
      <w:pPr>
        <w:pStyle w:val="2"/>
      </w:pPr>
    </w:p>
    <w:p>
      <w:pPr>
        <w:pStyle w:val="27"/>
        <w:ind w:left="0" w:leftChars="0" w:firstLine="0" w:firstLineChars="0"/>
      </w:pPr>
    </w:p>
    <w:p/>
    <w:p>
      <w:pPr>
        <w:pStyle w:val="2"/>
      </w:pPr>
    </w:p>
    <w:p>
      <w:pPr>
        <w:pStyle w:val="3"/>
      </w:pPr>
    </w:p>
    <w:p>
      <w:pPr>
        <w:pStyle w:val="4"/>
      </w:pPr>
    </w:p>
    <w:p/>
    <w:p>
      <w:pPr>
        <w:pStyle w:val="2"/>
      </w:pPr>
    </w:p>
    <w:p>
      <w:pPr>
        <w:pStyle w:val="3"/>
      </w:pPr>
    </w:p>
    <w:p>
      <w:pPr>
        <w:pStyle w:val="4"/>
      </w:pPr>
    </w:p>
    <w:p/>
    <w:p>
      <w:pPr>
        <w:pStyle w:val="2"/>
      </w:pPr>
    </w:p>
    <w:p>
      <w:pPr>
        <w:pStyle w:val="3"/>
      </w:pPr>
    </w:p>
    <w:p>
      <w:pPr>
        <w:pStyle w:val="4"/>
      </w:pPr>
    </w:p>
    <w:p>
      <w:pPr>
        <w:pStyle w:val="2"/>
      </w:pPr>
    </w:p>
    <w:p>
      <w:pPr>
        <w:pStyle w:val="62"/>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685"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w:t>
            </w:r>
            <w:r>
              <w:rPr>
                <w:rFonts w:hAnsi="宋体"/>
                <w:kern w:val="0"/>
                <w:sz w:val="21"/>
                <w:szCs w:val="21"/>
              </w:rPr>
              <w:t>资</w:t>
            </w:r>
            <w:r>
              <w:rPr>
                <w:rFonts w:hint="eastAsia" w:hAnsi="宋体"/>
                <w:kern w:val="0"/>
                <w:sz w:val="21"/>
                <w:szCs w:val="21"/>
              </w:rPr>
              <w:t>格</w:t>
            </w:r>
            <w:r>
              <w:rPr>
                <w:rFonts w:hAnsi="宋体"/>
                <w:kern w:val="0"/>
                <w:sz w:val="21"/>
                <w:szCs w:val="21"/>
              </w:rPr>
              <w:t>证</w:t>
            </w:r>
            <w:r>
              <w:rPr>
                <w:rFonts w:hint="eastAsia" w:hAnsi="宋体"/>
                <w:kern w:val="0"/>
                <w:sz w:val="21"/>
                <w:szCs w:val="21"/>
              </w:rPr>
              <w:t>明</w:t>
            </w:r>
            <w:r>
              <w:rPr>
                <w:rFonts w:hAnsi="宋体"/>
                <w:kern w:val="0"/>
                <w:sz w:val="21"/>
                <w:szCs w:val="21"/>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685" w:type="dxa"/>
            <w:gridSpan w:val="2"/>
            <w:tcBorders>
              <w:top w:val="double" w:color="auto" w:sz="4" w:space="0"/>
            </w:tcBorders>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685" w:type="dxa"/>
            <w:gridSpan w:val="2"/>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992" w:type="dxa"/>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tcBorders>
              <w:left w:val="single" w:color="auto" w:sz="4" w:space="0"/>
            </w:tcBorders>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992" w:type="dxa"/>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tcBorders>
              <w:left w:val="single" w:color="auto" w:sz="4" w:space="0"/>
            </w:tcBorders>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992" w:type="dxa"/>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tcBorders>
              <w:left w:val="single" w:color="auto" w:sz="4" w:space="0"/>
            </w:tcBorders>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992" w:type="dxa"/>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hAnsi="宋体" w:cs="微软雅黑"/>
                <w:bCs/>
                <w:kern w:val="0"/>
                <w:sz w:val="21"/>
                <w:szCs w:val="21"/>
              </w:rPr>
              <w:t>其它资料</w:t>
            </w:r>
          </w:p>
        </w:tc>
        <w:tc>
          <w:tcPr>
            <w:tcW w:w="2693" w:type="dxa"/>
            <w:tcBorders>
              <w:left w:val="single" w:color="auto" w:sz="4" w:space="0"/>
            </w:tcBorders>
            <w:vAlign w:val="center"/>
          </w:tcPr>
          <w:p>
            <w:pPr>
              <w:pStyle w:val="16"/>
              <w:kinsoku w:val="0"/>
              <w:overflowPunct w:val="0"/>
              <w:autoSpaceDE w:val="0"/>
              <w:autoSpaceDN w:val="0"/>
              <w:spacing w:line="320" w:lineRule="exact"/>
              <w:rPr>
                <w:rFonts w:hAnsi="宋体"/>
                <w:kern w:val="0"/>
                <w:sz w:val="21"/>
                <w:szCs w:val="21"/>
              </w:rPr>
            </w:pP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both"/>
        <w:rPr>
          <w:rFonts w:ascii="宋体" w:hAnsi="宋体" w:cs="微软雅黑"/>
          <w:bCs/>
          <w:kern w:val="0"/>
          <w:sz w:val="21"/>
          <w:szCs w:val="21"/>
        </w:rPr>
      </w:pPr>
    </w:p>
    <w:p>
      <w:pPr>
        <w:pStyle w:val="16"/>
        <w:spacing w:line="360" w:lineRule="auto"/>
        <w:jc w:val="center"/>
        <w:rPr>
          <w:rFonts w:ascii="宋体" w:hAnsi="宋体" w:cs="微软雅黑"/>
          <w:bCs/>
          <w:kern w:val="0"/>
          <w:sz w:val="21"/>
          <w:szCs w:val="21"/>
        </w:rPr>
      </w:pPr>
    </w:p>
    <w:p>
      <w:pPr>
        <w:pStyle w:val="16"/>
        <w:spacing w:line="360" w:lineRule="auto"/>
        <w:jc w:val="center"/>
        <w:rPr>
          <w:rFonts w:hint="eastAsia" w:ascii="宋体" w:hAnsi="宋体"/>
          <w:b/>
          <w:snapToGrid w:val="0"/>
          <w:kern w:val="0"/>
          <w:sz w:val="28"/>
          <w:szCs w:val="28"/>
        </w:rPr>
      </w:pPr>
    </w:p>
    <w:p>
      <w:pPr>
        <w:pStyle w:val="16"/>
        <w:spacing w:line="360" w:lineRule="auto"/>
        <w:jc w:val="center"/>
        <w:rPr>
          <w:rFonts w:ascii="宋体" w:hAnsi="宋体"/>
          <w:b/>
          <w:snapToGrid w:val="0"/>
          <w:kern w:val="0"/>
          <w:sz w:val="28"/>
          <w:szCs w:val="28"/>
        </w:rPr>
      </w:pPr>
      <w:r>
        <w:rPr>
          <w:rFonts w:hint="eastAsia" w:ascii="宋体" w:hAnsi="宋体"/>
          <w:b/>
          <w:snapToGrid w:val="0"/>
          <w:kern w:val="0"/>
          <w:sz w:val="28"/>
          <w:szCs w:val="28"/>
        </w:rPr>
        <w:t>二、报价一览表</w:t>
      </w:r>
    </w:p>
    <w:p>
      <w:pPr>
        <w:pStyle w:val="16"/>
        <w:spacing w:line="360" w:lineRule="auto"/>
        <w:jc w:val="center"/>
        <w:rPr>
          <w:rFonts w:ascii="宋体" w:hAnsi="宋体"/>
          <w:b/>
          <w:snapToGrid w:val="0"/>
          <w:kern w:val="0"/>
          <w:sz w:val="28"/>
          <w:szCs w:val="28"/>
        </w:rPr>
      </w:pPr>
    </w:p>
    <w:p>
      <w:pPr>
        <w:spacing w:afterLines="50" w:line="360" w:lineRule="auto"/>
        <w:contextualSpacing/>
        <w:jc w:val="left"/>
        <w:rPr>
          <w:rFonts w:ascii="宋体" w:hAnsi="宋体" w:eastAsia="宋体"/>
          <w:szCs w:val="21"/>
        </w:rPr>
      </w:pPr>
      <w:r>
        <w:rPr>
          <w:rFonts w:hint="eastAsia" w:ascii="宋体" w:hAnsi="宋体" w:eastAsia="宋体"/>
          <w:szCs w:val="21"/>
        </w:rPr>
        <w:t>项目编号：</w:t>
      </w:r>
    </w:p>
    <w:p>
      <w:pPr>
        <w:spacing w:line="360" w:lineRule="auto"/>
        <w:rPr>
          <w:rFonts w:ascii="宋体" w:hAnsi="宋体" w:eastAsia="宋体"/>
          <w:szCs w:val="21"/>
        </w:rPr>
      </w:pPr>
      <w:r>
        <w:rPr>
          <w:rFonts w:hint="eastAsia" w:ascii="宋体" w:hAnsi="宋体" w:eastAsia="宋体"/>
          <w:szCs w:val="21"/>
        </w:rPr>
        <w:t xml:space="preserve">项目名称：                                                   </w:t>
      </w:r>
      <w:r>
        <w:rPr>
          <w:rFonts w:hint="eastAsia" w:ascii="宋体" w:hAnsi="宋体" w:eastAsia="宋体" w:cs="Arial"/>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     年    月     日</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注：1、交付日期指完成该项目的最终时间。</w:t>
      </w:r>
    </w:p>
    <w:p>
      <w:pPr>
        <w:autoSpaceDE w:val="0"/>
        <w:autoSpaceDN w:val="0"/>
        <w:adjustRightInd w:val="0"/>
        <w:spacing w:line="480" w:lineRule="auto"/>
        <w:ind w:firstLine="420" w:firstLineChars="200"/>
        <w:rPr>
          <w:rFonts w:ascii="宋体" w:hAnsi="宋体" w:eastAsia="宋体" w:cs="宋体"/>
          <w:szCs w:val="21"/>
          <w:lang w:val="zh-CN"/>
        </w:rPr>
      </w:pPr>
      <w:r>
        <w:rPr>
          <w:rFonts w:hint="eastAsia" w:ascii="宋体" w:hAnsi="宋体" w:eastAsia="宋体" w:cs="宋体"/>
          <w:szCs w:val="21"/>
          <w:lang w:val="zh-CN"/>
        </w:rPr>
        <w:t>2、如谈判公告明确项目交付日期以年为单位，本表应填写完成该项目的年限。</w:t>
      </w: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pStyle w:val="27"/>
        <w:rPr>
          <w:lang w:val="zh-CN"/>
        </w:rPr>
      </w:pPr>
    </w:p>
    <w:p>
      <w:pPr>
        <w:pStyle w:val="17"/>
        <w:ind w:left="0" w:leftChars="0"/>
        <w:rPr>
          <w:lang w:val="zh-CN"/>
        </w:rPr>
      </w:pPr>
    </w:p>
    <w:p>
      <w:pPr>
        <w:autoSpaceDE w:val="0"/>
        <w:autoSpaceDN w:val="0"/>
        <w:adjustRightInd w:val="0"/>
        <w:spacing w:line="360" w:lineRule="auto"/>
        <w:jc w:val="center"/>
        <w:rPr>
          <w:rFonts w:hint="eastAsia"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eastAsia="宋体" w:cs="黑体"/>
          <w:b/>
          <w:bCs/>
          <w:sz w:val="28"/>
          <w:szCs w:val="28"/>
          <w:lang w:val="zh-CN"/>
        </w:rPr>
        <w:t>三、资格审查相关材料</w:t>
      </w:r>
    </w:p>
    <w:p>
      <w:pPr>
        <w:pStyle w:val="16"/>
        <w:spacing w:line="360" w:lineRule="auto"/>
        <w:jc w:val="center"/>
        <w:rPr>
          <w:rFonts w:ascii="宋体" w:hAnsi="宋体"/>
          <w:b/>
          <w:snapToGrid w:val="0"/>
          <w:kern w:val="0"/>
          <w:szCs w:val="24"/>
        </w:rPr>
      </w:pPr>
      <w:r>
        <w:rPr>
          <w:rFonts w:hint="eastAsia" w:ascii="宋体" w:hAnsi="宋体"/>
          <w:b/>
          <w:snapToGrid w:val="0"/>
          <w:kern w:val="0"/>
          <w:szCs w:val="24"/>
        </w:rPr>
        <w:t>3.1 报 价 函</w:t>
      </w:r>
    </w:p>
    <w:p>
      <w:pPr>
        <w:pStyle w:val="16"/>
        <w:spacing w:line="360" w:lineRule="auto"/>
        <w:jc w:val="center"/>
        <w:rPr>
          <w:rFonts w:ascii="宋体" w:hAnsi="宋体"/>
          <w:b/>
          <w:snapToGrid w:val="0"/>
          <w:kern w:val="0"/>
          <w:sz w:val="28"/>
          <w:szCs w:val="28"/>
        </w:rPr>
      </w:pPr>
    </w:p>
    <w:p>
      <w:pPr>
        <w:adjustRightInd w:val="0"/>
        <w:spacing w:line="360" w:lineRule="auto"/>
        <w:rPr>
          <w:rFonts w:ascii="宋体" w:hAnsi="宋体" w:eastAsia="宋体"/>
          <w:b/>
          <w:snapToGrid w:val="0"/>
          <w:kern w:val="0"/>
          <w:szCs w:val="21"/>
        </w:rPr>
      </w:pPr>
      <w:r>
        <w:rPr>
          <w:rFonts w:hint="eastAsia" w:ascii="宋体" w:hAnsi="宋体" w:eastAsia="宋体"/>
          <w:snapToGrid w:val="0"/>
          <w:kern w:val="0"/>
          <w:szCs w:val="21"/>
        </w:rPr>
        <w:t>致：</w:t>
      </w:r>
      <w:r>
        <w:rPr>
          <w:rFonts w:hint="eastAsia" w:asciiTheme="minorEastAsia" w:hAnsiTheme="minorEastAsia"/>
          <w:snapToGrid w:val="0"/>
          <w:kern w:val="0"/>
          <w:szCs w:val="21"/>
          <w:u w:val="single"/>
        </w:rPr>
        <w:t xml:space="preserve">              （采购人名称）</w:t>
      </w:r>
    </w:p>
    <w:p>
      <w:pPr>
        <w:adjustRightInd w:val="0"/>
        <w:spacing w:line="360" w:lineRule="auto"/>
        <w:ind w:firstLine="420" w:firstLineChars="200"/>
        <w:outlineLvl w:val="0"/>
        <w:rPr>
          <w:rFonts w:ascii="宋体" w:hAnsi="宋体" w:eastAsia="宋体"/>
          <w:snapToGrid w:val="0"/>
          <w:kern w:val="0"/>
          <w:szCs w:val="21"/>
        </w:rPr>
      </w:pPr>
      <w:r>
        <w:rPr>
          <w:rFonts w:hint="eastAsia" w:ascii="宋体" w:hAnsi="宋体" w:eastAsia="宋体"/>
          <w:snapToGrid w:val="0"/>
          <w:kern w:val="0"/>
          <w:szCs w:val="21"/>
        </w:rPr>
        <w:t>根据贵方（项目名称、标段、项目编号）采购的竞争性谈判公告及谈判邀请，_______（姓名和职务）被正式授权并代表供应商（供应商名称、地址）提交。</w:t>
      </w:r>
    </w:p>
    <w:p>
      <w:pPr>
        <w:pStyle w:val="16"/>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我方确认收到贵方提供的（项目名称、标段、项目编号）谈判文件的全部内容。</w:t>
      </w:r>
    </w:p>
    <w:p>
      <w:pPr>
        <w:pStyle w:val="16"/>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sz w:val="21"/>
          <w:szCs w:val="21"/>
        </w:rPr>
        <w:t>已完全理解并接受谈判文件的各项规定和要求及资金支付规定，对谈判文件的合理性、合法性不再有异议。</w:t>
      </w:r>
    </w:p>
    <w:p>
      <w:pPr>
        <w:adjustRightInd w:val="0"/>
        <w:spacing w:line="360" w:lineRule="auto"/>
        <w:ind w:firstLine="525" w:firstLineChars="250"/>
        <w:rPr>
          <w:rFonts w:ascii="宋体" w:hAnsi="宋体" w:eastAsia="宋体" w:cs="Courier New"/>
          <w:szCs w:val="21"/>
        </w:rPr>
      </w:pPr>
      <w:r>
        <w:rPr>
          <w:rFonts w:hint="eastAsia" w:ascii="宋体" w:hAnsi="宋体" w:eastAsia="宋体" w:cs="Courier New"/>
          <w:szCs w:val="21"/>
        </w:rPr>
        <w:t>我方已完全明白谈判文件的所有条款要求，并申明如下：</w:t>
      </w:r>
    </w:p>
    <w:p>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一、按谈判文件提供的全部货物与相关服务的响应总价详见《报价一览表》。</w:t>
      </w:r>
    </w:p>
    <w:p>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二、</w:t>
      </w:r>
      <w:r>
        <w:rPr>
          <w:rFonts w:hint="eastAsia" w:ascii="宋体" w:hAnsi="宋体" w:eastAsia="宋体"/>
          <w:szCs w:val="21"/>
        </w:rPr>
        <w:t>我方同意在本项目谈判文件中规定的开标日起90天内遵守本谈判文件中的承诺且在此期限期满之前均具有约束力。我方同意并遵守本谈判文件“</w:t>
      </w:r>
      <w:r>
        <w:rPr>
          <w:rFonts w:hint="eastAsia" w:ascii="宋体" w:hAnsi="宋体" w:cs="仿宋_GB2312"/>
          <w:szCs w:val="21"/>
          <w:lang w:val="zh-CN"/>
        </w:rPr>
        <w:t>供应商</w:t>
      </w:r>
      <w:r>
        <w:rPr>
          <w:rFonts w:hint="eastAsia" w:ascii="宋体" w:hAnsi="宋体" w:eastAsia="宋体"/>
          <w:szCs w:val="21"/>
        </w:rPr>
        <w:t>须知”中第十四条第三款关于延长投标有效期的规定。</w:t>
      </w:r>
      <w:r>
        <w:rPr>
          <w:rFonts w:hint="eastAsia" w:ascii="宋体" w:hAnsi="宋体" w:eastAsia="宋体" w:cs="Courier New"/>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4"/>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三、我方明白并同意，在规定的谈判响应时间截止之后，响应有效期之内撤销谈判响应的，则我方承担违背响应承诺的责任追究。</w:t>
      </w:r>
    </w:p>
    <w:p>
      <w:pPr>
        <w:pStyle w:val="24"/>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四、我方同意按照贵方可能提出的要求而提供与谈判响应有关的任何其他数据、信息或资料。</w:t>
      </w:r>
    </w:p>
    <w:p>
      <w:pPr>
        <w:pStyle w:val="24"/>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五、我方理解贵方不一定接受最低响应报价。</w:t>
      </w:r>
    </w:p>
    <w:p>
      <w:pPr>
        <w:pStyle w:val="24"/>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20" w:firstLineChars="200"/>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pPr>
        <w:pStyle w:val="16"/>
        <w:adjustRightInd w:val="0"/>
        <w:spacing w:line="360" w:lineRule="auto"/>
        <w:ind w:firstLine="420" w:firstLineChars="200"/>
        <w:rPr>
          <w:rFonts w:ascii="宋体" w:hAnsi="宋体"/>
          <w:sz w:val="21"/>
          <w:szCs w:val="21"/>
        </w:rPr>
      </w:pPr>
      <w:r>
        <w:rPr>
          <w:rFonts w:hint="eastAsia" w:ascii="宋体" w:hAnsi="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rPr>
          <w:rFonts w:ascii="宋体" w:hAnsi="宋体" w:cs="Arial"/>
          <w:sz w:val="21"/>
          <w:szCs w:val="21"/>
        </w:rPr>
      </w:pPr>
      <w:r>
        <w:rPr>
          <w:rFonts w:hint="eastAsia" w:ascii="宋体" w:hAnsi="宋体" w:cs="Arial"/>
          <w:sz w:val="21"/>
          <w:szCs w:val="21"/>
        </w:rPr>
        <w:t>九、我方具备《政府采购法》第二十二条规定的条件；承诺如下：</w:t>
      </w:r>
    </w:p>
    <w:p>
      <w:pPr>
        <w:pStyle w:val="16"/>
        <w:adjustRightInd w:val="0"/>
        <w:spacing w:line="360" w:lineRule="auto"/>
        <w:ind w:firstLine="420" w:firstLineChars="200"/>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4. 参加政府采购活动前三年内，在经营活动中没有重大违法记录。</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5. 符合法律、行政法规规定的其他条件。</w:t>
      </w:r>
    </w:p>
    <w:p>
      <w:pPr>
        <w:adjustRightInd w:val="0"/>
        <w:spacing w:line="360" w:lineRule="auto"/>
        <w:ind w:firstLine="441" w:firstLineChars="210"/>
        <w:rPr>
          <w:rFonts w:ascii="宋体" w:hAnsi="宋体" w:eastAsia="宋体" w:cs="Arial"/>
          <w:szCs w:val="21"/>
        </w:rPr>
      </w:pPr>
      <w:r>
        <w:rPr>
          <w:rFonts w:hint="eastAsia" w:ascii="宋体" w:hAnsi="宋体" w:eastAsia="宋体" w:cs="宋体"/>
          <w:szCs w:val="21"/>
        </w:rPr>
        <w:t>以上内容如有虚假或与事实不符的，谈判小组可将</w:t>
      </w:r>
      <w:r>
        <w:rPr>
          <w:rFonts w:hint="eastAsia" w:ascii="宋体" w:hAnsi="宋体" w:eastAsia="宋体" w:cs="Arial"/>
          <w:szCs w:val="21"/>
        </w:rPr>
        <w:t>我方作无效投标处理，我方愿意承担相应的法律责任。</w:t>
      </w:r>
    </w:p>
    <w:p>
      <w:pPr>
        <w:pStyle w:val="16"/>
        <w:adjustRightInd w:val="0"/>
        <w:spacing w:line="360" w:lineRule="auto"/>
        <w:ind w:firstLine="420" w:firstLineChars="200"/>
        <w:rPr>
          <w:rFonts w:ascii="宋体" w:hAnsi="宋体"/>
          <w:sz w:val="21"/>
          <w:szCs w:val="21"/>
        </w:rPr>
      </w:pPr>
      <w:r>
        <w:rPr>
          <w:rFonts w:hint="eastAsia" w:ascii="宋体" w:hAnsi="宋体"/>
          <w:sz w:val="21"/>
          <w:szCs w:val="21"/>
        </w:rPr>
        <w:t>十、我方具备履行合同所必需的设备和专业技术能力。</w:t>
      </w:r>
    </w:p>
    <w:p>
      <w:pPr>
        <w:pStyle w:val="16"/>
        <w:adjustRightInd w:val="0"/>
        <w:spacing w:line="360" w:lineRule="auto"/>
        <w:ind w:firstLine="420" w:firstLineChars="200"/>
        <w:rPr>
          <w:rFonts w:ascii="宋体" w:hAnsi="宋体"/>
          <w:sz w:val="21"/>
          <w:szCs w:val="21"/>
        </w:rPr>
      </w:pPr>
      <w:r>
        <w:rPr>
          <w:rFonts w:hint="eastAsia" w:ascii="宋体" w:hAnsi="宋体"/>
          <w:snapToGrid w:val="0"/>
          <w:kern w:val="0"/>
          <w:sz w:val="21"/>
          <w:szCs w:val="21"/>
        </w:rPr>
        <w:t>十一、</w:t>
      </w:r>
      <w:r>
        <w:rPr>
          <w:rFonts w:hint="eastAsia" w:ascii="宋体" w:hAnsi="宋体"/>
          <w:sz w:val="21"/>
          <w:szCs w:val="21"/>
        </w:rPr>
        <w:t>我方对在本函及响应文件中所作的所有承诺承担法律责任。</w:t>
      </w:r>
    </w:p>
    <w:p>
      <w:pPr>
        <w:pStyle w:val="16"/>
        <w:adjustRightInd w:val="0"/>
        <w:snapToGrid w:val="0"/>
        <w:spacing w:line="360" w:lineRule="auto"/>
        <w:rPr>
          <w:rFonts w:ascii="宋体" w:hAnsi="宋体"/>
          <w:sz w:val="21"/>
          <w:szCs w:val="21"/>
        </w:rPr>
      </w:pPr>
    </w:p>
    <w:p>
      <w:pPr>
        <w:pStyle w:val="16"/>
        <w:adjustRightInd w:val="0"/>
        <w:snapToGrid w:val="0"/>
        <w:spacing w:line="360" w:lineRule="auto"/>
        <w:rPr>
          <w:rFonts w:ascii="宋体" w:hAnsi="宋体"/>
          <w:sz w:val="21"/>
          <w:szCs w:val="21"/>
        </w:rPr>
      </w:pPr>
    </w:p>
    <w:p>
      <w:pPr>
        <w:pStyle w:val="16"/>
        <w:adjustRightInd w:val="0"/>
        <w:snapToGrid w:val="0"/>
        <w:spacing w:line="360" w:lineRule="auto"/>
        <w:rPr>
          <w:rFonts w:ascii="宋体" w:hAnsi="宋体"/>
          <w:sz w:val="21"/>
          <w:szCs w:val="21"/>
        </w:rPr>
      </w:pPr>
      <w:r>
        <w:rPr>
          <w:rFonts w:hint="eastAsia" w:ascii="宋体" w:hAnsi="宋体"/>
          <w:sz w:val="21"/>
          <w:szCs w:val="21"/>
        </w:rPr>
        <w:t>所有与本项目谈判有关的一切正式往来请寄：</w:t>
      </w:r>
    </w:p>
    <w:p>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地    址： 邮政编码：</w:t>
      </w:r>
    </w:p>
    <w:p>
      <w:pPr>
        <w:adjustRightInd w:val="0"/>
        <w:snapToGrid w:val="0"/>
        <w:spacing w:line="360" w:lineRule="auto"/>
        <w:rPr>
          <w:rFonts w:ascii="宋体" w:hAnsi="宋体" w:eastAsia="宋体" w:cs="宋体"/>
          <w:szCs w:val="21"/>
        </w:rPr>
      </w:pPr>
      <w:r>
        <w:rPr>
          <w:rFonts w:hint="eastAsia" w:ascii="宋体" w:hAnsi="宋体" w:eastAsia="宋体" w:cs="宋体"/>
          <w:szCs w:val="21"/>
        </w:rPr>
        <w:t>电    话： 传    真：</w:t>
      </w:r>
    </w:p>
    <w:p>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供应商代表姓名： 职    务：</w:t>
      </w: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日期：      年     月     日</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pStyle w:val="27"/>
        <w:ind w:left="0" w:leftChars="0" w:firstLine="0" w:firstLineChars="0"/>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eastAsia="宋体"/>
          <w:sz w:val="24"/>
          <w:szCs w:val="24"/>
        </w:rPr>
      </w:pPr>
    </w:p>
    <w:p>
      <w:pPr>
        <w:pStyle w:val="55"/>
        <w:spacing w:line="480" w:lineRule="auto"/>
        <w:ind w:firstLine="472" w:firstLineChars="225"/>
        <w:jc w:val="left"/>
        <w:rPr>
          <w:sz w:val="21"/>
          <w:szCs w:val="21"/>
        </w:rPr>
      </w:pPr>
      <w:r>
        <w:rPr>
          <w:rFonts w:hint="eastAsia"/>
          <w:sz w:val="21"/>
          <w:szCs w:val="21"/>
        </w:rPr>
        <w:t>单位名称：</w:t>
      </w:r>
    </w:p>
    <w:p>
      <w:pPr>
        <w:pStyle w:val="55"/>
        <w:spacing w:line="480" w:lineRule="auto"/>
        <w:ind w:firstLine="472" w:firstLineChars="225"/>
        <w:jc w:val="left"/>
        <w:rPr>
          <w:sz w:val="21"/>
          <w:szCs w:val="21"/>
        </w:rPr>
      </w:pPr>
      <w:r>
        <w:rPr>
          <w:rFonts w:hint="eastAsia"/>
          <w:sz w:val="21"/>
          <w:szCs w:val="21"/>
        </w:rPr>
        <w:t>地址：</w:t>
      </w:r>
    </w:p>
    <w:p>
      <w:pPr>
        <w:pStyle w:val="55"/>
        <w:spacing w:line="480" w:lineRule="auto"/>
        <w:ind w:firstLine="472" w:firstLineChars="225"/>
        <w:jc w:val="left"/>
        <w:rPr>
          <w:sz w:val="21"/>
          <w:szCs w:val="21"/>
        </w:rPr>
      </w:pPr>
      <w:r>
        <w:rPr>
          <w:rFonts w:hint="eastAsia"/>
          <w:sz w:val="21"/>
          <w:szCs w:val="21"/>
        </w:rPr>
        <w:t xml:space="preserve">姓名：       性别：     年龄：     职务：        </w:t>
      </w:r>
    </w:p>
    <w:p>
      <w:pPr>
        <w:pStyle w:val="55"/>
        <w:spacing w:line="480" w:lineRule="auto"/>
        <w:ind w:firstLine="472" w:firstLineChars="225"/>
        <w:jc w:val="left"/>
        <w:rPr>
          <w:sz w:val="21"/>
          <w:szCs w:val="21"/>
        </w:rPr>
      </w:pPr>
      <w:r>
        <w:rPr>
          <w:rFonts w:hint="eastAsia"/>
          <w:sz w:val="21"/>
          <w:szCs w:val="21"/>
        </w:rPr>
        <w:t>本人系</w:t>
      </w:r>
      <w:r>
        <w:rPr>
          <w:rFonts w:hint="eastAsia"/>
          <w:i/>
          <w:snapToGrid w:val="0"/>
          <w:sz w:val="21"/>
          <w:szCs w:val="21"/>
          <w:u w:val="single"/>
        </w:rPr>
        <w:t>供应商名称</w:t>
      </w:r>
      <w:r>
        <w:rPr>
          <w:rFonts w:hint="eastAsia"/>
          <w:sz w:val="21"/>
          <w:szCs w:val="21"/>
        </w:rPr>
        <w:t>的法定代表人（单位负责人）。就参加贵方项目编号为</w:t>
      </w:r>
      <w:r>
        <w:rPr>
          <w:rFonts w:hint="eastAsia"/>
          <w:i/>
          <w:sz w:val="21"/>
          <w:szCs w:val="21"/>
          <w:u w:val="single"/>
        </w:rPr>
        <w:t>项目编号</w:t>
      </w:r>
      <w:r>
        <w:rPr>
          <w:rFonts w:hint="eastAsia"/>
          <w:sz w:val="21"/>
          <w:szCs w:val="21"/>
        </w:rPr>
        <w:t>的</w:t>
      </w:r>
      <w:r>
        <w:rPr>
          <w:rFonts w:hint="eastAsia"/>
          <w:i/>
          <w:sz w:val="21"/>
          <w:szCs w:val="21"/>
          <w:u w:val="single"/>
        </w:rPr>
        <w:t>项目名称、标段</w:t>
      </w:r>
      <w:r>
        <w:rPr>
          <w:rFonts w:hint="eastAsia"/>
          <w:sz w:val="21"/>
          <w:szCs w:val="21"/>
        </w:rPr>
        <w:t>竞争性谈判项目的响应报价，签署上述项目的响应文件及合同的执行、完成、服务和保修，签署合同和处理与之有关的一切事务。</w:t>
      </w:r>
    </w:p>
    <w:p>
      <w:pPr>
        <w:pStyle w:val="55"/>
        <w:spacing w:line="480" w:lineRule="auto"/>
        <w:ind w:firstLine="472" w:firstLineChars="225"/>
        <w:jc w:val="left"/>
        <w:rPr>
          <w:sz w:val="21"/>
          <w:szCs w:val="21"/>
        </w:rPr>
      </w:pPr>
      <w:r>
        <w:rPr>
          <w:rFonts w:hint="eastAsia"/>
          <w:sz w:val="21"/>
          <w:szCs w:val="21"/>
        </w:rPr>
        <w:t>特此证明。</w:t>
      </w:r>
    </w:p>
    <w:p>
      <w:pPr>
        <w:pStyle w:val="55"/>
        <w:spacing w:line="480" w:lineRule="auto"/>
        <w:ind w:firstLine="472" w:firstLineChars="225"/>
        <w:jc w:val="left"/>
        <w:rPr>
          <w:sz w:val="21"/>
          <w:szCs w:val="21"/>
        </w:rPr>
      </w:pPr>
      <w:r>
        <w:rPr>
          <w:rFonts w:hint="eastAsia"/>
          <w:sz w:val="21"/>
          <w:szCs w:val="21"/>
        </w:rPr>
        <w:t>法定代表人（单位负责人）联系电话（手机）：</w:t>
      </w:r>
    </w:p>
    <w:p>
      <w:pPr>
        <w:pStyle w:val="55"/>
        <w:spacing w:line="480" w:lineRule="auto"/>
        <w:ind w:firstLine="472" w:firstLineChars="225"/>
        <w:jc w:val="left"/>
        <w:rPr>
          <w:sz w:val="21"/>
          <w:szCs w:val="21"/>
        </w:rPr>
      </w:pPr>
    </w:p>
    <w:p>
      <w:pPr>
        <w:pStyle w:val="55"/>
        <w:spacing w:line="480" w:lineRule="auto"/>
        <w:ind w:firstLine="472" w:firstLineChars="225"/>
        <w:jc w:val="left"/>
        <w:rPr>
          <w:sz w:val="21"/>
          <w:szCs w:val="21"/>
        </w:rPr>
      </w:pPr>
    </w:p>
    <w:p>
      <w:pPr>
        <w:pStyle w:val="55"/>
        <w:spacing w:line="480" w:lineRule="auto"/>
        <w:ind w:left="-538" w:leftChars="-256" w:firstLine="539" w:firstLineChars="257"/>
        <w:jc w:val="center"/>
        <w:rPr>
          <w:bCs/>
          <w:sz w:val="21"/>
          <w:szCs w:val="21"/>
        </w:rPr>
      </w:pPr>
      <w:r>
        <w:rPr>
          <w:rFonts w:hint="eastAsia"/>
          <w:bCs/>
          <w:sz w:val="21"/>
          <w:szCs w:val="21"/>
        </w:rPr>
        <w:t>【此处请粘贴法定代表人（单位负责人）身份证复印件，需清晰反映身份证有效期限】</w:t>
      </w:r>
    </w:p>
    <w:p>
      <w:pPr>
        <w:pStyle w:val="55"/>
        <w:spacing w:line="480" w:lineRule="auto"/>
        <w:ind w:left="-538" w:leftChars="-256" w:firstLine="539" w:firstLineChars="257"/>
        <w:jc w:val="center"/>
        <w:rPr>
          <w:bCs/>
          <w:sz w:val="21"/>
          <w:szCs w:val="21"/>
        </w:rPr>
      </w:pP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adjustRightInd w:val="0"/>
        <w:snapToGrid w:val="0"/>
        <w:spacing w:line="360" w:lineRule="auto"/>
        <w:ind w:firstLine="3885" w:firstLineChars="18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pPr>
        <w:pStyle w:val="58"/>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57"/>
        <w:spacing w:line="480" w:lineRule="auto"/>
        <w:rPr>
          <w:rFonts w:ascii="宋体" w:hAnsi="宋体" w:eastAsia="宋体" w:cs="Arial"/>
          <w:sz w:val="21"/>
          <w:szCs w:val="21"/>
        </w:rPr>
      </w:pPr>
    </w:p>
    <w:p>
      <w:pPr>
        <w:rPr>
          <w:rFonts w:ascii="宋体" w:hAnsi="宋体" w:eastAsia="宋体"/>
          <w:szCs w:val="21"/>
        </w:rPr>
      </w:pPr>
    </w:p>
    <w:p>
      <w:pPr>
        <w:spacing w:line="320" w:lineRule="exact"/>
        <w:ind w:firstLine="420" w:firstLineChars="200"/>
        <w:rPr>
          <w:rFonts w:ascii="宋体" w:hAnsi="宋体" w:eastAsia="宋体"/>
          <w:bCs/>
          <w:kern w:val="12"/>
          <w:szCs w:val="21"/>
        </w:rPr>
      </w:pPr>
      <w:r>
        <w:rPr>
          <w:rFonts w:hint="eastAsia" w:ascii="宋体" w:hAnsi="宋体" w:eastAsia="宋体"/>
          <w:bCs/>
          <w:kern w:val="12"/>
          <w:szCs w:val="21"/>
        </w:rPr>
        <w:t>说明：法定代表人（单位负责人）参加本竞争性谈判项目响应的，仅须出具此证明书。</w:t>
      </w:r>
    </w:p>
    <w:p>
      <w:pPr>
        <w:spacing w:line="320" w:lineRule="exact"/>
        <w:ind w:firstLine="420" w:firstLineChars="200"/>
        <w:rPr>
          <w:rFonts w:ascii="宋体" w:hAnsi="宋体" w:eastAsia="宋体"/>
          <w:bCs/>
          <w:kern w:val="12"/>
          <w:szCs w:val="21"/>
        </w:rPr>
      </w:pPr>
    </w:p>
    <w:p>
      <w:pPr>
        <w:spacing w:line="480" w:lineRule="exact"/>
        <w:jc w:val="center"/>
        <w:rPr>
          <w:rFonts w:ascii="宋体" w:hAnsi="宋体" w:eastAsia="宋体"/>
          <w:b/>
          <w:bCs/>
          <w:sz w:val="24"/>
          <w:szCs w:val="24"/>
        </w:rPr>
      </w:pPr>
    </w:p>
    <w:p>
      <w:pPr>
        <w:pStyle w:val="27"/>
        <w:ind w:left="0" w:leftChars="0" w:firstLine="0" w:firstLineChars="0"/>
      </w:pPr>
    </w:p>
    <w:p>
      <w:pPr>
        <w:spacing w:line="480" w:lineRule="exact"/>
        <w:jc w:val="center"/>
        <w:rPr>
          <w:rFonts w:ascii="宋体" w:hAnsi="宋体" w:eastAsia="宋体"/>
          <w:b/>
          <w:bCs/>
          <w:sz w:val="24"/>
          <w:szCs w:val="24"/>
        </w:rPr>
      </w:pPr>
      <w:r>
        <w:rPr>
          <w:rFonts w:hint="eastAsia" w:ascii="宋体" w:hAnsi="宋体" w:eastAsia="宋体"/>
          <w:b/>
          <w:bCs/>
          <w:sz w:val="24"/>
          <w:szCs w:val="24"/>
        </w:rPr>
        <w:t>3.3 法定代表人（单位负责人）授权书</w:t>
      </w:r>
    </w:p>
    <w:p>
      <w:pPr>
        <w:spacing w:line="480" w:lineRule="exact"/>
        <w:jc w:val="center"/>
        <w:rPr>
          <w:rFonts w:ascii="宋体" w:hAnsi="宋体" w:eastAsia="宋体"/>
          <w:b/>
          <w:bCs/>
          <w:sz w:val="36"/>
          <w:szCs w:val="36"/>
        </w:rPr>
      </w:pP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本人</w:t>
      </w:r>
      <w:r>
        <w:rPr>
          <w:rFonts w:hint="eastAsia" w:ascii="宋体" w:hAnsi="宋体" w:eastAsia="宋体" w:cs="Arial"/>
          <w:szCs w:val="21"/>
          <w:u w:val="single"/>
        </w:rPr>
        <w:t xml:space="preserve">　 </w:t>
      </w:r>
      <w:r>
        <w:rPr>
          <w:rFonts w:hint="eastAsia" w:ascii="宋体" w:hAnsi="宋体" w:eastAsia="宋体"/>
          <w:i/>
          <w:snapToGrid w:val="0"/>
          <w:szCs w:val="21"/>
          <w:u w:val="single"/>
        </w:rPr>
        <w:t>法人姓名</w:t>
      </w:r>
      <w:r>
        <w:rPr>
          <w:rFonts w:hint="eastAsia" w:ascii="宋体" w:hAnsi="宋体" w:eastAsia="宋体" w:cs="Arial"/>
          <w:szCs w:val="21"/>
        </w:rPr>
        <w:t>系</w:t>
      </w:r>
      <w:r>
        <w:rPr>
          <w:rFonts w:hint="eastAsia" w:ascii="宋体" w:hAnsi="宋体" w:eastAsia="宋体" w:cs="Arial"/>
          <w:szCs w:val="21"/>
          <w:u w:val="single"/>
        </w:rPr>
        <w:t>　</w:t>
      </w:r>
      <w:r>
        <w:rPr>
          <w:rFonts w:hint="eastAsia" w:ascii="宋体" w:hAnsi="宋体" w:eastAsia="宋体"/>
          <w:i/>
          <w:snapToGrid w:val="0"/>
          <w:szCs w:val="21"/>
          <w:u w:val="single"/>
        </w:rPr>
        <w:t xml:space="preserve">供应商名称  </w:t>
      </w:r>
      <w:r>
        <w:rPr>
          <w:rFonts w:hint="eastAsia" w:ascii="宋体" w:hAnsi="宋体" w:eastAsia="宋体" w:cs="Arial"/>
          <w:szCs w:val="21"/>
        </w:rPr>
        <w:t>的法定代表人（单位负责人），现委托</w:t>
      </w:r>
      <w:r>
        <w:rPr>
          <w:rFonts w:hint="eastAsia" w:ascii="宋体" w:hAnsi="宋体" w:eastAsia="宋体" w:cs="Arial"/>
          <w:szCs w:val="21"/>
          <w:u w:val="single"/>
        </w:rPr>
        <w:t xml:space="preserve">　 </w:t>
      </w:r>
      <w:r>
        <w:rPr>
          <w:rFonts w:hint="eastAsia" w:ascii="宋体" w:hAnsi="宋体" w:eastAsia="宋体"/>
          <w:i/>
          <w:snapToGrid w:val="0"/>
          <w:szCs w:val="21"/>
          <w:u w:val="single"/>
        </w:rPr>
        <w:t>姓名，职务</w:t>
      </w:r>
      <w:r>
        <w:rPr>
          <w:rFonts w:hint="eastAsia" w:ascii="宋体" w:hAnsi="宋体" w:eastAsia="宋体" w:cs="Arial"/>
          <w:szCs w:val="21"/>
        </w:rPr>
        <w:t>以我方的名义参加贵方______________________（项目名称、标段）的谈判响应活动，并代表我方全权办理针对上述项目的谈判、响应文件澄清、签约等一切具体事务和签署相关文件。</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我方对被授权人的签名事项负全部责任。</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被授权人无转委托权，特此委托。</w:t>
      </w:r>
    </w:p>
    <w:p>
      <w:pPr>
        <w:spacing w:line="480" w:lineRule="auto"/>
        <w:ind w:firstLine="420" w:firstLineChars="200"/>
        <w:rPr>
          <w:rFonts w:ascii="宋体" w:hAnsi="宋体" w:eastAsia="宋体"/>
          <w:szCs w:val="21"/>
        </w:rPr>
      </w:pPr>
      <w:r>
        <w:rPr>
          <w:rFonts w:hint="eastAsia" w:ascii="宋体" w:hAnsi="宋体" w:eastAsia="宋体"/>
          <w:szCs w:val="21"/>
        </w:rPr>
        <w:t xml:space="preserve">供应商名称： </w:t>
      </w:r>
      <w:r>
        <w:rPr>
          <w:rFonts w:hint="eastAsia" w:ascii="宋体" w:hAnsi="宋体" w:eastAsia="宋体"/>
          <w:szCs w:val="21"/>
          <w:u w:val="single"/>
        </w:rPr>
        <w:t xml:space="preserve">       （全称）       </w:t>
      </w:r>
      <w:r>
        <w:rPr>
          <w:rFonts w:hint="eastAsia" w:ascii="宋体" w:hAnsi="宋体" w:eastAsia="宋体"/>
          <w:szCs w:val="21"/>
        </w:rPr>
        <w:t xml:space="preserve"> （并加盖单位公章）</w:t>
      </w:r>
    </w:p>
    <w:p>
      <w:pPr>
        <w:spacing w:line="480" w:lineRule="auto"/>
        <w:ind w:firstLine="420" w:firstLineChars="200"/>
        <w:rPr>
          <w:rFonts w:ascii="宋体" w:hAnsi="宋体" w:eastAsia="宋体" w:cs="Arial"/>
          <w:szCs w:val="21"/>
        </w:rPr>
      </w:pPr>
      <w:r>
        <w:rPr>
          <w:rFonts w:hint="eastAsia" w:ascii="宋体" w:hAnsi="宋体" w:eastAsia="宋体" w:cs="Arial"/>
          <w:szCs w:val="21"/>
        </w:rPr>
        <w:t>法定代表人（单位负责人）：（签字或加盖名章）</w:t>
      </w:r>
    </w:p>
    <w:p>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授权代表：（签字或加盖名章）</w:t>
      </w:r>
    </w:p>
    <w:p>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授权代表联系电话（手机）：</w:t>
      </w:r>
    </w:p>
    <w:tbl>
      <w:tblPr>
        <w:tblStyle w:val="28"/>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法定代表人（单位负责人）授权代表身份证</w:t>
            </w:r>
          </w:p>
          <w:p>
            <w:pPr>
              <w:jc w:val="center"/>
              <w:rPr>
                <w:rFonts w:ascii="宋体" w:hAnsi="宋体" w:eastAsia="宋体"/>
                <w:szCs w:val="21"/>
              </w:rPr>
            </w:pPr>
            <w:r>
              <w:rPr>
                <w:rFonts w:hint="eastAsia" w:ascii="宋体" w:hAnsi="宋体" w:eastAsia="宋体"/>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法定代表人（单位负责人）授权代表身份证</w:t>
            </w:r>
          </w:p>
          <w:p>
            <w:pPr>
              <w:jc w:val="center"/>
              <w:rPr>
                <w:rFonts w:ascii="宋体" w:hAnsi="宋体" w:eastAsia="宋体"/>
                <w:szCs w:val="21"/>
              </w:rPr>
            </w:pPr>
            <w:r>
              <w:rPr>
                <w:rFonts w:hint="eastAsia" w:ascii="宋体" w:hAnsi="宋体" w:eastAsia="宋体"/>
                <w:szCs w:val="21"/>
              </w:rPr>
              <w:t>（反面）</w:t>
            </w:r>
          </w:p>
        </w:tc>
      </w:tr>
    </w:tbl>
    <w:p>
      <w:pPr>
        <w:autoSpaceDE w:val="0"/>
        <w:autoSpaceDN w:val="0"/>
        <w:adjustRightInd w:val="0"/>
        <w:spacing w:line="360" w:lineRule="auto"/>
        <w:outlineLvl w:val="0"/>
        <w:rPr>
          <w:rFonts w:ascii="宋体" w:hAnsi="宋体" w:eastAsia="宋体"/>
          <w:b/>
          <w:bCs/>
          <w:sz w:val="24"/>
          <w:szCs w:val="24"/>
        </w:rPr>
      </w:pPr>
    </w:p>
    <w:p>
      <w:pPr>
        <w:pStyle w:val="17"/>
        <w:ind w:left="0" w:leftChars="0"/>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3.4 谈判承诺函</w:t>
      </w:r>
    </w:p>
    <w:p>
      <w:pPr>
        <w:autoSpaceDE w:val="0"/>
        <w:autoSpaceDN w:val="0"/>
        <w:snapToGrid w:val="0"/>
        <w:spacing w:line="360" w:lineRule="auto"/>
        <w:jc w:val="center"/>
        <w:rPr>
          <w:rFonts w:ascii="宋体" w:hAnsi="宋体" w:eastAsia="宋体"/>
          <w:b/>
          <w:bCs/>
          <w:sz w:val="24"/>
          <w:szCs w:val="24"/>
        </w:rPr>
      </w:pPr>
    </w:p>
    <w:p>
      <w:pPr>
        <w:spacing w:beforeLines="50" w:line="360" w:lineRule="auto"/>
        <w:contextualSpacing/>
        <w:rPr>
          <w:rFonts w:ascii="宋体" w:hAnsi="宋体" w:eastAsia="宋体" w:cs="宋体"/>
          <w:szCs w:val="21"/>
          <w:lang w:val="zh-CN"/>
        </w:rPr>
      </w:pPr>
      <w:r>
        <w:rPr>
          <w:rFonts w:hint="eastAsia" w:ascii="宋体" w:hAnsi="宋体" w:eastAsia="宋体" w:cs="宋体"/>
          <w:szCs w:val="21"/>
          <w:u w:val="single"/>
          <w:lang w:val="zh-CN"/>
        </w:rPr>
        <w:t xml:space="preserve">（采购人名称） </w:t>
      </w:r>
      <w:r>
        <w:rPr>
          <w:rFonts w:hint="eastAsia" w:ascii="宋体" w:hAnsi="宋体" w:eastAsia="宋体" w:cs="宋体"/>
          <w:szCs w:val="21"/>
          <w:lang w:val="zh-CN"/>
        </w:rPr>
        <w:t>：</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经研究，我方自愿参与贵方____年____月____日____（项目编号、项目名称、标段）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一、在响应有效期内撤销响应文件；</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二、在响应文件中提供虚假材料；</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三、除因不可抗力或谈判文件认可的情形以外，成交后不与采购人签订合同；</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四、与采购人、其他供应商或者采购代理机构恶意串通；</w:t>
      </w:r>
    </w:p>
    <w:p>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五、法律法规及本谈判文件规定的其他严重违法行为。</w:t>
      </w:r>
    </w:p>
    <w:p>
      <w:pPr>
        <w:rPr>
          <w:rFonts w:ascii="宋体" w:hAnsi="宋体" w:eastAsia="宋体"/>
          <w:sz w:val="28"/>
          <w:szCs w:val="28"/>
          <w:u w:val="single"/>
        </w:rPr>
      </w:pPr>
    </w:p>
    <w:p>
      <w:pPr>
        <w:rPr>
          <w:rFonts w:ascii="宋体" w:hAnsi="宋体" w:eastAsia="宋体"/>
          <w:sz w:val="28"/>
          <w:szCs w:val="28"/>
          <w:u w:val="single"/>
        </w:rPr>
      </w:pPr>
    </w:p>
    <w:p>
      <w:pPr>
        <w:spacing w:line="480" w:lineRule="auto"/>
        <w:ind w:firstLine="4357" w:firstLineChars="2075"/>
        <w:rPr>
          <w:rFonts w:ascii="宋体" w:hAnsi="宋体" w:eastAsia="宋体" w:cs="Arial"/>
          <w:szCs w:val="21"/>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r>
        <w:rPr>
          <w:rFonts w:hint="eastAsia" w:ascii="宋体" w:hAnsi="宋体" w:eastAsia="宋体" w:cs="Arial"/>
          <w:szCs w:val="21"/>
        </w:rPr>
        <w:t>　　　　　　　　　</w:t>
      </w:r>
    </w:p>
    <w:p>
      <w:pPr>
        <w:spacing w:line="480" w:lineRule="auto"/>
        <w:ind w:firstLine="4357" w:firstLineChars="2075"/>
        <w:rPr>
          <w:rFonts w:ascii="宋体" w:hAnsi="宋体" w:eastAsia="宋体" w:cs="Arial"/>
          <w:szCs w:val="21"/>
        </w:rPr>
      </w:pPr>
      <w:r>
        <w:rPr>
          <w:rFonts w:hint="eastAsia" w:ascii="宋体" w:hAnsi="宋体" w:eastAsia="宋体" w:cs="Arial"/>
          <w:szCs w:val="21"/>
        </w:rPr>
        <w:t>日　  期：      年    月    日</w:t>
      </w:r>
    </w:p>
    <w:p>
      <w:pPr>
        <w:autoSpaceDE w:val="0"/>
        <w:autoSpaceDN w:val="0"/>
        <w:adjustRightInd w:val="0"/>
        <w:spacing w:line="360" w:lineRule="auto"/>
        <w:jc w:val="center"/>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pStyle w:val="50"/>
        <w:rPr>
          <w:rFonts w:ascii="宋体" w:hAnsi="宋体" w:eastAsia="宋体" w:cs="宋体"/>
          <w:szCs w:val="21"/>
          <w:lang w:val="zh-CN"/>
        </w:rPr>
      </w:pPr>
    </w:p>
    <w:p>
      <w:pPr>
        <w:pStyle w:val="50"/>
        <w:rPr>
          <w:rFonts w:ascii="宋体" w:hAnsi="宋体" w:eastAsia="宋体" w:cs="宋体"/>
          <w:szCs w:val="21"/>
          <w:lang w:val="zh-CN"/>
        </w:rPr>
      </w:pPr>
    </w:p>
    <w:p>
      <w:pPr>
        <w:pStyle w:val="50"/>
        <w:rPr>
          <w:rFonts w:ascii="宋体" w:hAnsi="宋体" w:eastAsia="宋体" w:cs="宋体"/>
          <w:szCs w:val="21"/>
          <w:lang w:val="zh-CN"/>
        </w:rPr>
      </w:pPr>
    </w:p>
    <w:p>
      <w:pPr>
        <w:pStyle w:val="50"/>
        <w:rPr>
          <w:rFonts w:ascii="宋体" w:hAnsi="宋体" w:eastAsia="宋体" w:cs="宋体"/>
          <w:szCs w:val="21"/>
          <w:lang w:val="zh-CN"/>
        </w:rPr>
      </w:pPr>
    </w:p>
    <w:p>
      <w:pPr>
        <w:pStyle w:val="2"/>
        <w:rPr>
          <w:rFonts w:ascii="宋体" w:hAnsi="宋体" w:eastAsia="宋体"/>
          <w:lang w:val="zh-CN"/>
        </w:rPr>
      </w:pPr>
    </w:p>
    <w:p>
      <w:pPr>
        <w:spacing w:line="360" w:lineRule="auto"/>
        <w:jc w:val="center"/>
        <w:rPr>
          <w:rFonts w:ascii="宋体" w:hAnsi="宋体" w:eastAsia="宋体"/>
          <w:b/>
          <w:bCs/>
          <w:sz w:val="24"/>
          <w:szCs w:val="24"/>
        </w:rPr>
      </w:pPr>
    </w:p>
    <w:p>
      <w:pPr>
        <w:spacing w:line="360" w:lineRule="auto"/>
        <w:jc w:val="center"/>
        <w:rPr>
          <w:rFonts w:ascii="宋体" w:hAnsi="宋体" w:eastAsia="宋体"/>
          <w:b/>
          <w:bCs/>
          <w:sz w:val="24"/>
          <w:szCs w:val="24"/>
        </w:rPr>
      </w:pPr>
    </w:p>
    <w:p>
      <w:pPr>
        <w:pStyle w:val="27"/>
      </w:pPr>
    </w:p>
    <w:p>
      <w:pPr>
        <w:pStyle w:val="27"/>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3.5 禹州市政府采购供应商信用承诺函</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致（采购人或采购代理机构）：</w:t>
      </w:r>
    </w:p>
    <w:p>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单位名称（自然人姓名）：</w:t>
      </w:r>
    </w:p>
    <w:p>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统一社会信用代码（身份证号码）：</w:t>
      </w:r>
    </w:p>
    <w:p>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法定代表人（负责人）：</w:t>
      </w:r>
    </w:p>
    <w:p>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联系地址和电话：</w:t>
      </w:r>
    </w:p>
    <w:p>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为维护公平、公正、公开的政府采购市场秩序，树立诚实守信的政府采购供应商形象，我单位（本人）自愿作出以下承诺：</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（一）具有独立承担民事责任的能力；</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（二）具有良好的商业信誉和健全的财务会计制度；</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（三）具有履行合同所必需的设备和专业技术能力；</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（四）有依法缴纳税收和社会保障资金的良好记录；</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（五）参加政府采购活动前三年内，在经营活动中没有重大违法记录；</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（六）未被列入经营异常名录或者严重违法失信名单、失信被执行人，重大税收违法失信主体、政府采购严重违法失信行为记录名单；</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（七）未被相关监管部门作出行政处罚且尚在处罚有效期的；</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（八）未曾作出虚假采购承诺；</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（九）符合法律、行政法规规定的其他条件。</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jc w:val="left"/>
        <w:rPr>
          <w:rFonts w:ascii="宋体" w:hAnsi="宋体" w:eastAsia="宋体" w:cs="宋体"/>
          <w:szCs w:val="21"/>
          <w:lang w:val="zh-CN"/>
        </w:rPr>
      </w:pPr>
    </w:p>
    <w:p>
      <w:pPr>
        <w:spacing w:line="360" w:lineRule="auto"/>
        <w:jc w:val="left"/>
        <w:rPr>
          <w:rFonts w:ascii="宋体" w:hAnsi="宋体" w:eastAsia="宋体" w:cs="宋体"/>
          <w:szCs w:val="21"/>
          <w:lang w:val="zh-CN"/>
        </w:rPr>
      </w:pPr>
      <w:r>
        <w:rPr>
          <w:rFonts w:hint="eastAsia" w:ascii="宋体" w:hAnsi="宋体" w:eastAsia="宋体" w:cs="宋体"/>
          <w:szCs w:val="21"/>
          <w:lang w:val="zh-CN"/>
        </w:rPr>
        <w:t>供应商（电子章）：</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法定代表人、负责人、本人或授权代表（签字或电子印章）：</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日期：</w:t>
      </w:r>
      <w:r>
        <w:rPr>
          <w:rFonts w:ascii="宋体" w:hAnsi="宋体" w:eastAsia="宋体" w:cs="宋体"/>
          <w:szCs w:val="21"/>
          <w:lang w:val="zh-CN"/>
        </w:rPr>
        <w:t xml:space="preserve">    年    月      日</w:t>
      </w:r>
    </w:p>
    <w:p>
      <w:pPr>
        <w:spacing w:line="360" w:lineRule="auto"/>
        <w:jc w:val="left"/>
        <w:rPr>
          <w:rFonts w:ascii="宋体" w:hAnsi="宋体" w:eastAsia="宋体" w:cs="宋体"/>
          <w:szCs w:val="21"/>
          <w:lang w:val="zh-CN"/>
        </w:rPr>
      </w:pPr>
    </w:p>
    <w:p>
      <w:pPr>
        <w:spacing w:line="360" w:lineRule="auto"/>
        <w:jc w:val="left"/>
        <w:rPr>
          <w:rFonts w:ascii="宋体" w:hAnsi="宋体" w:eastAsia="宋体" w:cs="宋体"/>
          <w:szCs w:val="21"/>
          <w:lang w:val="zh-CN"/>
        </w:rPr>
      </w:pPr>
    </w:p>
    <w:p>
      <w:pPr>
        <w:spacing w:line="360" w:lineRule="auto"/>
        <w:jc w:val="left"/>
        <w:rPr>
          <w:rFonts w:ascii="宋体" w:hAnsi="宋体" w:eastAsia="宋体" w:cs="宋体"/>
          <w:sz w:val="18"/>
          <w:szCs w:val="18"/>
          <w:lang w:val="zh-CN"/>
        </w:rPr>
      </w:pPr>
      <w:r>
        <w:rPr>
          <w:rFonts w:hint="eastAsia" w:ascii="宋体" w:hAnsi="宋体" w:eastAsia="宋体" w:cs="宋体"/>
          <w:sz w:val="18"/>
          <w:szCs w:val="18"/>
          <w:lang w:val="zh-CN"/>
        </w:rPr>
        <w:t>注：</w:t>
      </w:r>
      <w:r>
        <w:rPr>
          <w:rFonts w:ascii="宋体" w:hAnsi="宋体" w:eastAsia="宋体" w:cs="宋体"/>
          <w:sz w:val="18"/>
          <w:szCs w:val="18"/>
          <w:lang w:val="zh-CN"/>
        </w:rPr>
        <w:t>1.供应商须在响应文件中按此模板提供承诺函，未提供视为未实质性响应谈判文件要求，按无效投标处理。</w:t>
      </w:r>
    </w:p>
    <w:p>
      <w:pPr>
        <w:spacing w:line="360" w:lineRule="auto"/>
        <w:jc w:val="left"/>
        <w:rPr>
          <w:rFonts w:ascii="宋体" w:hAnsi="宋体" w:eastAsia="宋体" w:cs="宋体"/>
          <w:sz w:val="18"/>
          <w:szCs w:val="18"/>
          <w:lang w:val="zh-CN"/>
        </w:rPr>
      </w:pPr>
      <w:r>
        <w:rPr>
          <w:rFonts w:ascii="宋体" w:hAnsi="宋体" w:eastAsia="宋体" w:cs="宋体"/>
          <w:sz w:val="18"/>
          <w:szCs w:val="18"/>
          <w:lang w:val="zh-CN"/>
        </w:rPr>
        <w:t>2.供应商的法定代表人或者授权代表的签字或盖章应真实、有效，如由授权代表签字或盖章的，应提供“法定代表人授权书”。</w:t>
      </w:r>
    </w:p>
    <w:p>
      <w:pPr>
        <w:spacing w:line="360" w:lineRule="auto"/>
        <w:jc w:val="left"/>
        <w:rPr>
          <w:rFonts w:ascii="宋体" w:hAnsi="宋体" w:eastAsia="宋体" w:cs="宋体"/>
          <w:szCs w:val="21"/>
          <w:lang w:val="zh-CN"/>
        </w:rPr>
      </w:pPr>
    </w:p>
    <w:p>
      <w:pPr>
        <w:pStyle w:val="17"/>
        <w:ind w:left="5250"/>
      </w:pPr>
    </w:p>
    <w:p/>
    <w:p>
      <w:pPr>
        <w:pStyle w:val="27"/>
      </w:pPr>
    </w:p>
    <w:p/>
    <w:p>
      <w:pPr>
        <w:pStyle w:val="27"/>
      </w:pPr>
    </w:p>
    <w:p/>
    <w:p>
      <w:pPr>
        <w:pStyle w:val="27"/>
      </w:pPr>
    </w:p>
    <w:p/>
    <w:p>
      <w:pPr>
        <w:pStyle w:val="27"/>
      </w:pPr>
    </w:p>
    <w:p/>
    <w:p>
      <w:pPr>
        <w:pStyle w:val="27"/>
      </w:pPr>
    </w:p>
    <w:p/>
    <w:p>
      <w:pPr>
        <w:pStyle w:val="27"/>
      </w:pPr>
    </w:p>
    <w:p>
      <w:pPr>
        <w:autoSpaceDE w:val="0"/>
        <w:autoSpaceDN w:val="0"/>
        <w:adjustRightInd w:val="0"/>
        <w:spacing w:line="360" w:lineRule="auto"/>
        <w:jc w:val="center"/>
        <w:outlineLvl w:val="0"/>
        <w:rPr>
          <w:rFonts w:hint="eastAsia" w:ascii="宋体" w:hAnsi="宋体" w:eastAsia="宋体"/>
          <w:b/>
          <w:bCs/>
          <w:sz w:val="24"/>
          <w:szCs w:val="24"/>
          <w:lang w:val="en-US" w:eastAsia="zh-CN"/>
        </w:rPr>
      </w:pPr>
    </w:p>
    <w:p>
      <w:pPr>
        <w:autoSpaceDE w:val="0"/>
        <w:autoSpaceDN w:val="0"/>
        <w:adjustRightInd w:val="0"/>
        <w:spacing w:line="360" w:lineRule="auto"/>
        <w:jc w:val="center"/>
        <w:outlineLvl w:val="0"/>
        <w:rPr>
          <w:rFonts w:hint="eastAsia" w:ascii="宋体" w:hAnsi="宋体" w:eastAsia="宋体"/>
          <w:b/>
          <w:bCs/>
          <w:sz w:val="24"/>
          <w:szCs w:val="24"/>
          <w:lang w:val="en-US" w:eastAsia="zh-CN"/>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lang w:val="en-US" w:eastAsia="zh-CN"/>
        </w:rPr>
        <w:t>3.6</w:t>
      </w:r>
      <w:r>
        <w:rPr>
          <w:rFonts w:hint="eastAsia" w:ascii="宋体" w:hAnsi="宋体" w:eastAsia="宋体"/>
          <w:b/>
          <w:bCs/>
          <w:sz w:val="24"/>
          <w:szCs w:val="24"/>
        </w:rPr>
        <w:t xml:space="preserve"> 中小企业声明函（货物）</w:t>
      </w:r>
    </w:p>
    <w:p>
      <w:pPr>
        <w:spacing w:line="360" w:lineRule="auto"/>
        <w:jc w:val="center"/>
        <w:rPr>
          <w:rFonts w:ascii="宋体" w:hAnsi="宋体" w:eastAsia="宋体"/>
          <w:b/>
          <w:bCs/>
          <w:szCs w:val="21"/>
        </w:rPr>
      </w:pPr>
    </w:p>
    <w:p>
      <w:pPr>
        <w:spacing w:line="360" w:lineRule="auto"/>
        <w:ind w:firstLine="707" w:firstLineChars="337"/>
        <w:jc w:val="left"/>
        <w:rPr>
          <w:rFonts w:ascii="宋体" w:hAnsi="宋体" w:eastAsia="宋体"/>
        </w:rPr>
      </w:pPr>
      <w:r>
        <w:rPr>
          <w:rFonts w:hint="eastAsia" w:ascii="宋体" w:hAnsi="宋体" w:eastAsia="宋体"/>
        </w:rPr>
        <w:t>本公司（联合体）郑重声明，根据《政府采购促进中小企业发展管理办法》（财库﹝</w:t>
      </w:r>
      <w:r>
        <w:rPr>
          <w:rFonts w:ascii="宋体" w:hAnsi="宋体" w:eastAsia="宋体"/>
        </w:rPr>
        <w:t>2020</w:t>
      </w:r>
      <w:r>
        <w:rPr>
          <w:rFonts w:hint="eastAsia" w:ascii="宋体" w:hAnsi="宋体" w:eastAsia="宋体"/>
        </w:rPr>
        <w:t>﹞</w:t>
      </w:r>
      <w:r>
        <w:rPr>
          <w:rFonts w:ascii="宋体" w:hAnsi="宋体" w:eastAsia="宋体"/>
        </w:rPr>
        <w:t xml:space="preserve">46 </w:t>
      </w:r>
      <w:r>
        <w:rPr>
          <w:rFonts w:hint="eastAsia" w:ascii="宋体" w:hAnsi="宋体" w:eastAsia="宋体"/>
        </w:rPr>
        <w:t>号）的规定，本公司（联合体）参加</w:t>
      </w:r>
      <w:r>
        <w:rPr>
          <w:rFonts w:hint="eastAsia" w:ascii="宋体" w:hAnsi="宋体" w:eastAsia="宋体"/>
          <w:i/>
          <w:u w:val="single"/>
        </w:rPr>
        <w:t>（单位名称）</w:t>
      </w:r>
      <w:r>
        <w:rPr>
          <w:rFonts w:hint="eastAsia" w:ascii="宋体" w:hAnsi="宋体" w:eastAsia="宋体"/>
        </w:rPr>
        <w:t>的</w:t>
      </w:r>
      <w:r>
        <w:rPr>
          <w:rFonts w:hint="eastAsia" w:ascii="宋体" w:hAnsi="宋体" w:eastAsia="宋体"/>
          <w:i/>
          <w:u w:val="single"/>
        </w:rPr>
        <w:t>（项目名称、标段）</w:t>
      </w:r>
      <w:r>
        <w:rPr>
          <w:rFonts w:hint="eastAsia" w:ascii="宋体" w:hAnsi="宋体" w:eastAsia="宋体"/>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rFonts w:ascii="宋体" w:hAnsi="宋体" w:eastAsia="宋体"/>
        </w:rPr>
      </w:pPr>
      <w:r>
        <w:rPr>
          <w:rFonts w:ascii="宋体" w:hAnsi="宋体" w:eastAsia="宋体"/>
        </w:rPr>
        <w:t xml:space="preserve">1.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pPr>
        <w:spacing w:line="360" w:lineRule="auto"/>
        <w:ind w:firstLine="707" w:firstLineChars="337"/>
        <w:jc w:val="left"/>
        <w:rPr>
          <w:rFonts w:ascii="宋体" w:hAnsi="宋体" w:eastAsia="宋体"/>
        </w:rPr>
      </w:pPr>
      <w:r>
        <w:rPr>
          <w:rFonts w:ascii="宋体" w:hAnsi="宋体" w:eastAsia="宋体"/>
        </w:rPr>
        <w:t xml:space="preserve">2.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pPr>
        <w:spacing w:line="360" w:lineRule="auto"/>
        <w:ind w:firstLine="707" w:firstLineChars="337"/>
        <w:jc w:val="left"/>
        <w:rPr>
          <w:rFonts w:ascii="宋体" w:hAnsi="宋体" w:eastAsia="宋体"/>
        </w:rPr>
      </w:pPr>
      <w:r>
        <w:rPr>
          <w:rFonts w:ascii="宋体" w:hAnsi="宋体" w:eastAsia="宋体"/>
        </w:rPr>
        <w:t xml:space="preserve">…… </w:t>
      </w:r>
    </w:p>
    <w:p>
      <w:pPr>
        <w:spacing w:line="360" w:lineRule="auto"/>
        <w:ind w:firstLine="707" w:firstLineChars="337"/>
        <w:jc w:val="left"/>
        <w:rPr>
          <w:rFonts w:ascii="宋体" w:hAnsi="宋体" w:eastAsia="宋体"/>
        </w:rPr>
      </w:pPr>
      <w:r>
        <w:rPr>
          <w:rFonts w:hint="eastAsia" w:ascii="宋体" w:hAnsi="宋体" w:eastAsia="宋体"/>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rPr>
      </w:pPr>
    </w:p>
    <w:p>
      <w:pPr>
        <w:spacing w:line="360" w:lineRule="auto"/>
        <w:ind w:firstLine="707" w:firstLineChars="337"/>
        <w:jc w:val="left"/>
        <w:rPr>
          <w:rFonts w:ascii="宋体" w:hAnsi="宋体" w:eastAsia="宋体"/>
        </w:rPr>
      </w:pPr>
    </w:p>
    <w:p>
      <w:pPr>
        <w:spacing w:line="480" w:lineRule="auto"/>
        <w:jc w:val="left"/>
        <w:rPr>
          <w:rFonts w:ascii="宋体" w:hAnsi="宋体" w:eastAsia="宋体"/>
        </w:rPr>
      </w:pPr>
      <w:r>
        <w:rPr>
          <w:rFonts w:hint="eastAsia" w:ascii="宋体" w:hAnsi="宋体" w:eastAsia="宋体"/>
        </w:rPr>
        <w:t>企业名称（盖章）：</w:t>
      </w:r>
    </w:p>
    <w:p>
      <w:pPr>
        <w:spacing w:line="480" w:lineRule="auto"/>
        <w:jc w:val="left"/>
        <w:rPr>
          <w:rFonts w:ascii="宋体" w:hAnsi="宋体" w:eastAsia="宋体" w:cs="Arial"/>
          <w:szCs w:val="21"/>
        </w:rPr>
      </w:pPr>
      <w:r>
        <w:rPr>
          <w:rFonts w:hint="eastAsia" w:ascii="宋体" w:hAnsi="宋体" w:eastAsia="宋体"/>
        </w:rPr>
        <w:t>日期：</w:t>
      </w:r>
    </w:p>
    <w:p>
      <w:pPr>
        <w:spacing w:line="480" w:lineRule="auto"/>
        <w:ind w:left="4358" w:leftChars="2075"/>
        <w:rPr>
          <w:rFonts w:ascii="宋体" w:hAnsi="宋体" w:eastAsia="宋体" w:cs="Arial"/>
          <w:szCs w:val="21"/>
        </w:rPr>
      </w:pPr>
    </w:p>
    <w:p>
      <w:pPr>
        <w:widowControl/>
        <w:spacing w:before="100" w:beforeAutospacing="1" w:after="100" w:afterAutospacing="1" w:line="360" w:lineRule="auto"/>
        <w:contextualSpacing/>
        <w:jc w:val="left"/>
        <w:rPr>
          <w:rFonts w:ascii="宋体" w:hAnsi="宋体" w:eastAsia="宋体"/>
          <w:szCs w:val="21"/>
        </w:rPr>
      </w:pPr>
      <w:r>
        <w:rPr>
          <w:rFonts w:hint="eastAsia" w:ascii="宋体" w:hAnsi="宋体" w:eastAsia="宋体"/>
          <w:szCs w:val="21"/>
        </w:rPr>
        <w:t>说明：</w:t>
      </w:r>
    </w:p>
    <w:p>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1、</w:t>
      </w:r>
      <w:r>
        <w:rPr>
          <w:rFonts w:hint="eastAsia" w:ascii="宋体" w:hAnsi="宋体" w:eastAsia="宋体"/>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2、中小企业参加政府采购活动，应当出具</w:t>
      </w:r>
      <w:r>
        <w:rPr>
          <w:rFonts w:hint="eastAsia" w:ascii="宋体" w:hAnsi="宋体" w:eastAsia="宋体"/>
        </w:rPr>
        <w:t>《中小企业声明函》，否则不得享受相关中小企业扶持政</w:t>
      </w:r>
      <w:r>
        <w:rPr>
          <w:rFonts w:hint="eastAsia" w:ascii="宋体" w:hAnsi="宋体" w:eastAsia="宋体" w:cs="Arial"/>
          <w:kern w:val="0"/>
          <w:szCs w:val="21"/>
        </w:rPr>
        <w:t>策。</w:t>
      </w:r>
    </w:p>
    <w:p>
      <w:pPr>
        <w:rPr>
          <w:rFonts w:ascii="宋体" w:hAnsi="宋体" w:eastAsia="宋体"/>
        </w:rPr>
      </w:pPr>
    </w:p>
    <w:p>
      <w:pPr>
        <w:autoSpaceDE w:val="0"/>
        <w:autoSpaceDN w:val="0"/>
        <w:adjustRightInd w:val="0"/>
        <w:spacing w:line="360" w:lineRule="auto"/>
        <w:outlineLvl w:val="0"/>
        <w:rPr>
          <w:rFonts w:ascii="宋体" w:hAnsi="宋体" w:eastAsia="宋体"/>
          <w:b/>
          <w:bCs/>
          <w:sz w:val="24"/>
          <w:szCs w:val="24"/>
        </w:rPr>
      </w:pPr>
    </w:p>
    <w:p>
      <w:pPr>
        <w:pStyle w:val="51"/>
        <w:ind w:firstLine="0" w:firstLineChars="0"/>
        <w:rPr>
          <w:rFonts w:ascii="宋体" w:hAnsi="宋体" w:eastAsia="宋体"/>
        </w:rPr>
      </w:pPr>
    </w:p>
    <w:p>
      <w:pPr>
        <w:pStyle w:val="51"/>
        <w:ind w:firstLine="0" w:firstLineChars="0"/>
        <w:rPr>
          <w:rFonts w:ascii="宋体" w:hAnsi="宋体" w:eastAsia="宋体"/>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lang w:val="en-US" w:eastAsia="zh-CN"/>
        </w:rPr>
        <w:t>3.7</w:t>
      </w:r>
      <w:r>
        <w:rPr>
          <w:rFonts w:hint="eastAsia" w:ascii="宋体" w:hAnsi="宋体" w:eastAsia="宋体"/>
          <w:b/>
          <w:bCs/>
          <w:sz w:val="24"/>
          <w:szCs w:val="24"/>
        </w:rPr>
        <w:t xml:space="preserve">  残疾人福利性单位声明函</w:t>
      </w:r>
    </w:p>
    <w:p>
      <w:pPr>
        <w:spacing w:line="360" w:lineRule="auto"/>
        <w:rPr>
          <w:rFonts w:ascii="宋体" w:hAnsi="宋体" w:eastAsia="宋体"/>
          <w:szCs w:val="21"/>
        </w:rPr>
      </w:pPr>
    </w:p>
    <w:p>
      <w:pPr>
        <w:spacing w:line="360" w:lineRule="auto"/>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ind w:firstLine="3780" w:firstLineChars="1800"/>
        <w:rPr>
          <w:rFonts w:ascii="宋体" w:hAnsi="宋体" w:eastAsia="宋体"/>
          <w:szCs w:val="21"/>
        </w:rPr>
      </w:pPr>
      <w:r>
        <w:rPr>
          <w:rFonts w:hint="eastAsia" w:ascii="宋体" w:hAnsi="宋体" w:eastAsia="宋体" w:cs="宋体"/>
          <w:szCs w:val="21"/>
          <w:lang w:val="zh-CN"/>
        </w:rPr>
        <w:t>单位名称（盖章）：</w:t>
      </w:r>
    </w:p>
    <w:p>
      <w:pPr>
        <w:spacing w:line="360" w:lineRule="auto"/>
        <w:rPr>
          <w:rFonts w:ascii="宋体" w:hAnsi="宋体" w:eastAsia="宋体"/>
          <w:szCs w:val="21"/>
        </w:rPr>
      </w:pPr>
      <w:r>
        <w:rPr>
          <w:rFonts w:hint="eastAsia" w:ascii="宋体" w:hAnsi="宋体" w:eastAsia="宋体"/>
          <w:szCs w:val="21"/>
        </w:rPr>
        <w:t xml:space="preserve">                                    日    期：      </w:t>
      </w:r>
      <w:r>
        <w:rPr>
          <w:rFonts w:hint="eastAsia" w:ascii="宋体" w:hAnsi="宋体" w:eastAsia="宋体" w:cs="宋体"/>
          <w:szCs w:val="21"/>
        </w:rPr>
        <w:t>年    月    日</w:t>
      </w:r>
    </w:p>
    <w:p>
      <w:pPr>
        <w:pStyle w:val="27"/>
        <w:ind w:left="0" w:leftChars="0" w:firstLine="0" w:firstLineChars="0"/>
      </w:pPr>
    </w:p>
    <w:p/>
    <w:p>
      <w:pPr>
        <w:pStyle w:val="27"/>
      </w:pPr>
    </w:p>
    <w:p/>
    <w:p>
      <w:pPr>
        <w:pStyle w:val="27"/>
      </w:pPr>
    </w:p>
    <w:p/>
    <w:p>
      <w:pPr>
        <w:pStyle w:val="27"/>
      </w:pPr>
    </w:p>
    <w:p/>
    <w:p>
      <w:pPr>
        <w:pStyle w:val="27"/>
      </w:pPr>
    </w:p>
    <w:p/>
    <w:p>
      <w:pPr>
        <w:pStyle w:val="27"/>
      </w:pPr>
    </w:p>
    <w:p>
      <w:pPr>
        <w:pStyle w:val="27"/>
        <w:ind w:left="0" w:leftChars="0" w:firstLine="0" w:firstLineChars="0"/>
      </w:pPr>
    </w:p>
    <w:p/>
    <w:p>
      <w:pPr>
        <w:spacing w:line="360" w:lineRule="auto"/>
        <w:jc w:val="center"/>
        <w:rPr>
          <w:rFonts w:ascii="宋体" w:hAnsi="宋体" w:eastAsia="宋体"/>
          <w:b/>
          <w:bCs/>
          <w:sz w:val="24"/>
          <w:szCs w:val="24"/>
        </w:rPr>
      </w:pPr>
      <w:r>
        <w:rPr>
          <w:rFonts w:hint="eastAsia" w:ascii="宋体" w:hAnsi="宋体" w:eastAsia="宋体"/>
          <w:b/>
          <w:bCs/>
          <w:sz w:val="24"/>
          <w:szCs w:val="24"/>
        </w:rPr>
        <w:t>3.</w:t>
      </w:r>
      <w:r>
        <w:rPr>
          <w:rFonts w:hint="eastAsia" w:ascii="宋体" w:hAnsi="宋体" w:eastAsia="宋体"/>
          <w:b/>
          <w:bCs/>
          <w:sz w:val="24"/>
          <w:szCs w:val="24"/>
          <w:lang w:val="en-US" w:eastAsia="zh-CN"/>
        </w:rPr>
        <w:t>8</w:t>
      </w:r>
      <w:r>
        <w:rPr>
          <w:rFonts w:hint="eastAsia" w:ascii="宋体" w:hAnsi="宋体" w:eastAsia="宋体"/>
          <w:b/>
          <w:bCs/>
          <w:sz w:val="24"/>
          <w:szCs w:val="24"/>
        </w:rPr>
        <w:t xml:space="preserve"> 投标人提供与参加本项目投标的其他供应商之间，单位负责人不为同一人并且不存在直接控股、管理关系承诺函</w:t>
      </w:r>
    </w:p>
    <w:p>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ind w:firstLine="2891" w:firstLineChars="1200"/>
        <w:rPr>
          <w:rFonts w:ascii="宋体" w:hAnsi="宋体" w:eastAsia="宋体"/>
          <w:b/>
          <w:bCs/>
          <w:sz w:val="24"/>
          <w:szCs w:val="24"/>
        </w:rPr>
      </w:pPr>
    </w:p>
    <w:p>
      <w:pPr>
        <w:autoSpaceDE w:val="0"/>
        <w:autoSpaceDN w:val="0"/>
        <w:adjustRightInd w:val="0"/>
        <w:spacing w:line="360" w:lineRule="auto"/>
        <w:ind w:firstLine="2891" w:firstLineChars="1200"/>
        <w:rPr>
          <w:rFonts w:ascii="宋体" w:hAnsi="宋体" w:eastAsia="宋体"/>
          <w:b/>
          <w:bCs/>
          <w:sz w:val="24"/>
          <w:szCs w:val="24"/>
        </w:rPr>
      </w:pPr>
    </w:p>
    <w:p>
      <w:pPr>
        <w:autoSpaceDE w:val="0"/>
        <w:autoSpaceDN w:val="0"/>
        <w:adjustRightInd w:val="0"/>
        <w:spacing w:line="360" w:lineRule="auto"/>
        <w:ind w:firstLine="2891" w:firstLineChars="1200"/>
        <w:rPr>
          <w:rFonts w:ascii="宋体" w:hAnsi="宋体" w:eastAsia="宋体"/>
          <w:b/>
          <w:bCs/>
          <w:sz w:val="24"/>
          <w:szCs w:val="24"/>
        </w:rPr>
      </w:pPr>
    </w:p>
    <w:p>
      <w:pPr>
        <w:autoSpaceDE w:val="0"/>
        <w:autoSpaceDN w:val="0"/>
        <w:adjustRightInd w:val="0"/>
        <w:spacing w:line="360" w:lineRule="auto"/>
        <w:ind w:firstLine="2891" w:firstLineChars="1200"/>
        <w:rPr>
          <w:rFonts w:ascii="宋体" w:hAnsi="宋体" w:eastAsia="宋体"/>
          <w:b/>
          <w:bCs/>
          <w:sz w:val="24"/>
          <w:szCs w:val="24"/>
        </w:rPr>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宋体"/>
          <w:sz w:val="24"/>
          <w:szCs w:val="24"/>
          <w:lang w:val="zh-CN"/>
        </w:rPr>
      </w:pPr>
    </w:p>
    <w:p>
      <w:pPr>
        <w:spacing w:line="360" w:lineRule="auto"/>
        <w:jc w:val="center"/>
        <w:rPr>
          <w:rFonts w:ascii="宋体" w:hAnsi="宋体" w:eastAsia="宋体"/>
          <w:b/>
          <w:bCs/>
          <w:sz w:val="24"/>
          <w:szCs w:val="24"/>
        </w:rPr>
      </w:pPr>
      <w:r>
        <w:rPr>
          <w:rFonts w:hint="eastAsia" w:ascii="宋体" w:hAnsi="宋体" w:eastAsia="宋体"/>
          <w:b/>
          <w:bCs/>
          <w:sz w:val="24"/>
          <w:szCs w:val="24"/>
        </w:rPr>
        <w:t>3.</w:t>
      </w:r>
      <w:r>
        <w:rPr>
          <w:rFonts w:hint="eastAsia" w:ascii="宋体" w:hAnsi="宋体" w:eastAsia="宋体"/>
          <w:b/>
          <w:bCs/>
          <w:sz w:val="24"/>
          <w:szCs w:val="24"/>
          <w:lang w:val="en-US" w:eastAsia="zh-CN"/>
        </w:rPr>
        <w:t xml:space="preserve">9 </w:t>
      </w:r>
      <w:r>
        <w:rPr>
          <w:rFonts w:hint="eastAsia" w:ascii="宋体" w:hAnsi="宋体" w:eastAsia="宋体"/>
          <w:b/>
          <w:bCs/>
          <w:sz w:val="24"/>
          <w:szCs w:val="24"/>
        </w:rPr>
        <w:t>投标人提供未为本项目提供整体设计、规范编制或者项目管理、监理、检测等服务承诺函</w:t>
      </w:r>
    </w:p>
    <w:p>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pPr>
        <w:autoSpaceDE w:val="0"/>
        <w:autoSpaceDN w:val="0"/>
        <w:adjustRightInd w:val="0"/>
        <w:spacing w:line="360" w:lineRule="auto"/>
        <w:jc w:val="center"/>
        <w:outlineLvl w:val="0"/>
        <w:rPr>
          <w:rFonts w:ascii="宋体" w:hAnsi="宋体" w:eastAsia="宋体"/>
          <w:b/>
          <w:bCs/>
          <w:sz w:val="24"/>
          <w:szCs w:val="24"/>
        </w:rPr>
      </w:pPr>
    </w:p>
    <w:p>
      <w:pPr>
        <w:pStyle w:val="2"/>
        <w:rPr>
          <w:rFonts w:ascii="宋体" w:hAnsi="宋体" w:eastAsia="宋体" w:cs="宋体"/>
          <w:sz w:val="24"/>
          <w:lang w:val="zh-CN"/>
        </w:rPr>
      </w:pPr>
    </w:p>
    <w:p>
      <w:pPr>
        <w:pStyle w:val="2"/>
        <w:rPr>
          <w:rFonts w:ascii="宋体" w:hAnsi="宋体" w:eastAsia="宋体" w:cs="宋体"/>
          <w:sz w:val="24"/>
          <w:lang w:val="zh-CN"/>
        </w:rPr>
      </w:pPr>
    </w:p>
    <w:p>
      <w:pPr>
        <w:pStyle w:val="2"/>
        <w:rPr>
          <w:rFonts w:ascii="宋体" w:hAnsi="宋体" w:eastAsia="宋体" w:cs="宋体"/>
          <w:sz w:val="24"/>
          <w:lang w:val="zh-CN"/>
        </w:rPr>
      </w:pPr>
    </w:p>
    <w:p>
      <w:pPr>
        <w:rPr>
          <w:rFonts w:ascii="宋体" w:hAnsi="宋体" w:eastAsia="宋体"/>
        </w:rPr>
      </w:pPr>
    </w:p>
    <w:p>
      <w:pPr>
        <w:rPr>
          <w:rFonts w:ascii="宋体" w:hAnsi="宋体" w:eastAsia="宋体"/>
        </w:rPr>
      </w:pPr>
    </w:p>
    <w:p>
      <w:pPr>
        <w:pStyle w:val="2"/>
        <w:rPr>
          <w:rFonts w:ascii="宋体" w:hAnsi="宋体" w:eastAsia="宋体" w:cs="宋体"/>
          <w:sz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lang w:val="en-US" w:eastAsia="zh-CN"/>
        </w:rPr>
        <w:t xml:space="preserve">3.10 </w:t>
      </w:r>
      <w:r>
        <w:rPr>
          <w:rFonts w:hint="eastAsia" w:ascii="宋体" w:hAnsi="宋体" w:eastAsia="宋体"/>
          <w:b/>
          <w:bCs/>
          <w:sz w:val="24"/>
          <w:szCs w:val="24"/>
        </w:rPr>
        <w:t xml:space="preserve">其他资格证书或材料 </w:t>
      </w:r>
    </w:p>
    <w:p>
      <w:pPr>
        <w:autoSpaceDE w:val="0"/>
        <w:autoSpaceDN w:val="0"/>
        <w:adjustRightInd w:val="0"/>
        <w:spacing w:line="360" w:lineRule="auto"/>
        <w:jc w:val="center"/>
        <w:outlineLvl w:val="0"/>
        <w:rPr>
          <w:rFonts w:ascii="宋体" w:hAnsi="宋体" w:eastAsia="宋体"/>
          <w:b/>
          <w:snapToGrid w:val="0"/>
          <w:kern w:val="0"/>
          <w:sz w:val="36"/>
          <w:szCs w:val="36"/>
        </w:rPr>
      </w:pPr>
    </w:p>
    <w:p>
      <w:pPr>
        <w:autoSpaceDE w:val="0"/>
        <w:autoSpaceDN w:val="0"/>
        <w:adjustRightInd w:val="0"/>
        <w:spacing w:line="360" w:lineRule="auto"/>
        <w:jc w:val="center"/>
        <w:outlineLvl w:val="0"/>
        <w:rPr>
          <w:rFonts w:ascii="宋体" w:hAnsi="宋体" w:eastAsia="宋体"/>
          <w:b/>
          <w:snapToGrid w:val="0"/>
          <w:kern w:val="0"/>
          <w:sz w:val="36"/>
          <w:szCs w:val="36"/>
        </w:rPr>
      </w:pPr>
    </w:p>
    <w:p>
      <w:pPr>
        <w:autoSpaceDE w:val="0"/>
        <w:autoSpaceDN w:val="0"/>
        <w:adjustRightInd w:val="0"/>
        <w:spacing w:line="360" w:lineRule="auto"/>
        <w:jc w:val="center"/>
        <w:outlineLvl w:val="0"/>
        <w:rPr>
          <w:rFonts w:ascii="宋体" w:hAnsi="宋体" w:eastAsia="宋体"/>
          <w:b/>
          <w:snapToGrid w:val="0"/>
          <w:kern w:val="0"/>
          <w:sz w:val="36"/>
          <w:szCs w:val="36"/>
        </w:rPr>
      </w:pPr>
    </w:p>
    <w:p>
      <w:pPr>
        <w:autoSpaceDE w:val="0"/>
        <w:autoSpaceDN w:val="0"/>
        <w:adjustRightInd w:val="0"/>
        <w:spacing w:line="360" w:lineRule="auto"/>
        <w:jc w:val="center"/>
        <w:rPr>
          <w:rFonts w:hint="eastAsia"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四、符合性审查相关材料</w:t>
      </w:r>
    </w:p>
    <w:p>
      <w:pPr>
        <w:autoSpaceDE w:val="0"/>
        <w:autoSpaceDN w:val="0"/>
        <w:adjustRightInd w:val="0"/>
        <w:spacing w:line="360" w:lineRule="auto"/>
        <w:jc w:val="center"/>
        <w:rPr>
          <w:rFonts w:ascii="宋体" w:hAnsi="宋体" w:eastAsia="宋体" w:cs="黑体"/>
          <w:b/>
          <w:bCs/>
          <w:sz w:val="28"/>
          <w:szCs w:val="28"/>
          <w:lang w:val="zh-CN"/>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4.1分项报价表</w:t>
      </w:r>
    </w:p>
    <w:p>
      <w:pPr>
        <w:spacing w:line="360" w:lineRule="auto"/>
        <w:contextualSpacing/>
        <w:jc w:val="left"/>
        <w:rPr>
          <w:rFonts w:ascii="宋体" w:hAnsi="宋体" w:eastAsia="宋体"/>
          <w:szCs w:val="21"/>
        </w:rPr>
      </w:pPr>
      <w:r>
        <w:rPr>
          <w:rFonts w:hint="eastAsia" w:ascii="宋体" w:hAnsi="宋体" w:eastAsia="宋体"/>
          <w:szCs w:val="21"/>
        </w:rPr>
        <w:t>项目编号：</w:t>
      </w:r>
    </w:p>
    <w:p>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8"/>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autoSpaceDE w:val="0"/>
        <w:autoSpaceDN w:val="0"/>
        <w:adjustRightInd w:val="0"/>
        <w:spacing w:line="360" w:lineRule="auto"/>
        <w:outlineLvl w:val="0"/>
        <w:rPr>
          <w:rFonts w:ascii="宋体" w:hAnsi="宋体" w:eastAsia="宋体"/>
          <w:b/>
          <w:bCs/>
          <w:sz w:val="24"/>
          <w:szCs w:val="24"/>
        </w:rPr>
      </w:pPr>
    </w:p>
    <w:p>
      <w:pPr>
        <w:pStyle w:val="27"/>
      </w:pPr>
    </w:p>
    <w:p>
      <w:pPr>
        <w:pStyle w:val="17"/>
        <w:ind w:left="5250"/>
      </w:pPr>
    </w:p>
    <w:p/>
    <w:p>
      <w:pPr>
        <w:autoSpaceDE w:val="0"/>
        <w:autoSpaceDN w:val="0"/>
        <w:adjustRightInd w:val="0"/>
        <w:spacing w:line="360" w:lineRule="auto"/>
        <w:jc w:val="center"/>
        <w:outlineLvl w:val="0"/>
        <w:rPr>
          <w:rFonts w:hint="eastAsia" w:ascii="宋体" w:hAnsi="宋体" w:eastAsia="宋体"/>
          <w:b/>
          <w:bCs/>
          <w:sz w:val="24"/>
          <w:szCs w:val="24"/>
        </w:rPr>
      </w:pPr>
    </w:p>
    <w:p>
      <w:pPr>
        <w:autoSpaceDE w:val="0"/>
        <w:autoSpaceDN w:val="0"/>
        <w:adjustRightInd w:val="0"/>
        <w:spacing w:line="360" w:lineRule="auto"/>
        <w:jc w:val="center"/>
        <w:outlineLvl w:val="0"/>
        <w:rPr>
          <w:rFonts w:hint="eastAsia" w:ascii="宋体" w:hAnsi="宋体" w:eastAsia="宋体"/>
          <w:b/>
          <w:bCs/>
          <w:sz w:val="24"/>
          <w:szCs w:val="24"/>
        </w:rPr>
      </w:pPr>
    </w:p>
    <w:p>
      <w:pPr>
        <w:autoSpaceDE w:val="0"/>
        <w:autoSpaceDN w:val="0"/>
        <w:adjustRightInd w:val="0"/>
        <w:spacing w:line="360" w:lineRule="auto"/>
        <w:jc w:val="center"/>
        <w:outlineLvl w:val="0"/>
        <w:rPr>
          <w:rFonts w:hint="eastAsia" w:ascii="宋体" w:hAnsi="宋体" w:eastAsia="宋体"/>
          <w:b/>
          <w:bCs/>
          <w:sz w:val="24"/>
          <w:szCs w:val="24"/>
        </w:rPr>
      </w:pPr>
    </w:p>
    <w:p>
      <w:pPr>
        <w:autoSpaceDE w:val="0"/>
        <w:autoSpaceDN w:val="0"/>
        <w:adjustRightInd w:val="0"/>
        <w:spacing w:line="360" w:lineRule="auto"/>
        <w:jc w:val="center"/>
        <w:outlineLvl w:val="0"/>
        <w:rPr>
          <w:rFonts w:hint="eastAsia" w:ascii="宋体" w:hAnsi="宋体" w:eastAsia="宋体"/>
          <w:b/>
          <w:bCs/>
          <w:sz w:val="24"/>
          <w:szCs w:val="24"/>
        </w:rPr>
      </w:pPr>
    </w:p>
    <w:p>
      <w:pPr>
        <w:autoSpaceDE w:val="0"/>
        <w:autoSpaceDN w:val="0"/>
        <w:adjustRightInd w:val="0"/>
        <w:spacing w:line="360" w:lineRule="auto"/>
        <w:jc w:val="center"/>
        <w:outlineLvl w:val="0"/>
        <w:rPr>
          <w:rFonts w:hint="eastAsia" w:ascii="宋体" w:hAnsi="宋体" w:eastAsia="宋体"/>
          <w:b/>
          <w:bCs/>
          <w:sz w:val="24"/>
          <w:szCs w:val="24"/>
        </w:rPr>
      </w:pPr>
    </w:p>
    <w:p>
      <w:pPr>
        <w:autoSpaceDE w:val="0"/>
        <w:autoSpaceDN w:val="0"/>
        <w:adjustRightInd w:val="0"/>
        <w:spacing w:line="360" w:lineRule="auto"/>
        <w:jc w:val="center"/>
        <w:outlineLvl w:val="0"/>
        <w:rPr>
          <w:rFonts w:hint="eastAsia" w:ascii="宋体" w:hAnsi="宋体" w:eastAsia="宋体"/>
          <w:b/>
          <w:bCs/>
          <w:sz w:val="24"/>
          <w:szCs w:val="24"/>
        </w:rPr>
      </w:pPr>
    </w:p>
    <w:p>
      <w:pPr>
        <w:autoSpaceDE w:val="0"/>
        <w:autoSpaceDN w:val="0"/>
        <w:adjustRightInd w:val="0"/>
        <w:spacing w:line="360" w:lineRule="auto"/>
        <w:jc w:val="center"/>
        <w:outlineLvl w:val="0"/>
        <w:rPr>
          <w:rFonts w:hint="eastAsia" w:ascii="宋体" w:hAnsi="宋体" w:eastAsia="宋体"/>
          <w:b/>
          <w:bCs/>
          <w:sz w:val="24"/>
          <w:szCs w:val="24"/>
        </w:rPr>
      </w:pPr>
    </w:p>
    <w:p>
      <w:pPr>
        <w:autoSpaceDE w:val="0"/>
        <w:autoSpaceDN w:val="0"/>
        <w:adjustRightInd w:val="0"/>
        <w:spacing w:line="360" w:lineRule="auto"/>
        <w:jc w:val="center"/>
        <w:outlineLvl w:val="0"/>
        <w:rPr>
          <w:rFonts w:hint="eastAsia"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4.2 技术规格偏离表</w:t>
      </w:r>
    </w:p>
    <w:p>
      <w:pPr>
        <w:spacing w:line="360" w:lineRule="auto"/>
        <w:contextualSpacing/>
        <w:jc w:val="left"/>
        <w:rPr>
          <w:rFonts w:ascii="宋体" w:hAnsi="宋体" w:eastAsia="宋体"/>
          <w:szCs w:val="21"/>
        </w:rPr>
      </w:pPr>
      <w:r>
        <w:rPr>
          <w:rFonts w:hint="eastAsia" w:ascii="宋体" w:hAnsi="宋体" w:eastAsia="宋体"/>
          <w:szCs w:val="21"/>
        </w:rPr>
        <w:t>项目编号：</w:t>
      </w:r>
    </w:p>
    <w:p>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8"/>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响应文件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1"/>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szCs w:val="21"/>
              </w:rPr>
            </w:pPr>
            <w:r>
              <w:rPr>
                <w:rFonts w:hint="eastAsia" w:ascii="宋体" w:hAnsi="宋体" w:eastAsia="宋体"/>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szCs w:val="21"/>
              </w:rPr>
            </w:pPr>
            <w:r>
              <w:rPr>
                <w:rFonts w:hint="eastAsia" w:ascii="宋体" w:hAnsi="宋体" w:eastAsia="宋体"/>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szCs w:val="21"/>
              </w:rPr>
            </w:pP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360" w:lineRule="auto"/>
        <w:jc w:val="center"/>
        <w:outlineLvl w:val="0"/>
        <w:rPr>
          <w:rFonts w:ascii="宋体" w:hAnsi="宋体" w:eastAsia="宋体"/>
          <w:b/>
          <w:bCs/>
          <w:sz w:val="24"/>
          <w:szCs w:val="24"/>
        </w:rPr>
      </w:pPr>
    </w:p>
    <w:p>
      <w:pPr>
        <w:pStyle w:val="27"/>
      </w:pPr>
    </w:p>
    <w:p>
      <w:pPr>
        <w:pStyle w:val="17"/>
        <w:ind w:left="5250"/>
      </w:pPr>
    </w:p>
    <w:p/>
    <w:p>
      <w:pPr>
        <w:pStyle w:val="27"/>
      </w:pPr>
    </w:p>
    <w:p>
      <w:pPr>
        <w:pStyle w:val="17"/>
        <w:ind w:left="5250"/>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4.3 技术方案（实施方案）</w:t>
      </w:r>
    </w:p>
    <w:p>
      <w:pPr>
        <w:snapToGri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b/>
          <w:snapToGrid w:val="0"/>
          <w:kern w:val="0"/>
          <w:sz w:val="36"/>
          <w:szCs w:val="36"/>
        </w:rPr>
      </w:pPr>
    </w:p>
    <w:p>
      <w:pPr>
        <w:snapToGrid w:val="0"/>
        <w:spacing w:line="360" w:lineRule="auto"/>
        <w:jc w:val="center"/>
        <w:rPr>
          <w:rFonts w:ascii="宋体" w:hAnsi="宋体" w:eastAsia="宋体"/>
          <w:b/>
          <w:snapToGrid w:val="0"/>
          <w:kern w:val="0"/>
          <w:sz w:val="36"/>
          <w:szCs w:val="36"/>
        </w:rPr>
      </w:pPr>
    </w:p>
    <w:p>
      <w:pPr>
        <w:pStyle w:val="27"/>
      </w:pPr>
    </w:p>
    <w:p>
      <w:pPr>
        <w:pStyle w:val="17"/>
        <w:ind w:left="5250"/>
      </w:pPr>
    </w:p>
    <w:p/>
    <w:p>
      <w:pPr>
        <w:pStyle w:val="27"/>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4.4 业绩情况表</w:t>
      </w:r>
    </w:p>
    <w:p>
      <w:pPr>
        <w:autoSpaceDE w:val="0"/>
        <w:autoSpaceDN w:val="0"/>
        <w:adjustRightInd w:val="0"/>
        <w:spacing w:line="360" w:lineRule="auto"/>
        <w:jc w:val="center"/>
        <w:outlineLvl w:val="0"/>
        <w:rPr>
          <w:rFonts w:ascii="宋体" w:hAnsi="宋体" w:eastAsia="宋体"/>
          <w:b/>
          <w:bCs/>
          <w:sz w:val="28"/>
          <w:szCs w:val="28"/>
        </w:rPr>
      </w:pPr>
    </w:p>
    <w:p>
      <w:pPr>
        <w:spacing w:line="360" w:lineRule="auto"/>
        <w:contextualSpacing/>
        <w:jc w:val="left"/>
        <w:rPr>
          <w:rFonts w:ascii="宋体" w:hAnsi="宋体" w:eastAsia="宋体"/>
          <w:szCs w:val="21"/>
        </w:rPr>
      </w:pPr>
      <w:r>
        <w:rPr>
          <w:rFonts w:hint="eastAsia" w:ascii="宋体" w:hAnsi="宋体" w:eastAsia="宋体"/>
          <w:szCs w:val="21"/>
        </w:rPr>
        <w:t>项目编号：</w:t>
      </w:r>
    </w:p>
    <w:p>
      <w:pPr>
        <w:snapToGrid w:val="0"/>
        <w:spacing w:line="360" w:lineRule="auto"/>
        <w:rPr>
          <w:rFonts w:ascii="宋体" w:hAnsi="宋体" w:eastAsia="宋体"/>
          <w:b/>
          <w:snapToGrid w:val="0"/>
          <w:kern w:val="0"/>
          <w:szCs w:val="21"/>
        </w:rPr>
      </w:pPr>
      <w:r>
        <w:rPr>
          <w:rFonts w:hint="eastAsia" w:ascii="宋体" w:hAnsi="宋体" w:eastAsia="宋体"/>
          <w:szCs w:val="21"/>
        </w:rPr>
        <w:t xml:space="preserve">项目名称：   </w:t>
      </w:r>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bl>
    <w:p>
      <w:pPr>
        <w:autoSpaceDE w:val="0"/>
        <w:autoSpaceDN w:val="0"/>
        <w:adjustRightInd w:val="0"/>
        <w:spacing w:line="480" w:lineRule="auto"/>
        <w:rPr>
          <w:rFonts w:ascii="宋体" w:hAnsi="宋体" w:eastAsia="宋体" w:cs="宋体"/>
          <w:szCs w:val="21"/>
          <w:lang w:val="zh-CN"/>
        </w:rPr>
      </w:pP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4.5 售后服务方案</w:t>
      </w:r>
    </w:p>
    <w:p>
      <w:pPr>
        <w:autoSpaceDE w:val="0"/>
        <w:autoSpaceDN w:val="0"/>
        <w:adjustRightInd w:val="0"/>
        <w:spacing w:line="360" w:lineRule="auto"/>
        <w:jc w:val="center"/>
        <w:outlineLvl w:val="0"/>
        <w:rPr>
          <w:rFonts w:ascii="宋体" w:hAnsi="宋体" w:eastAsia="宋体"/>
          <w:b/>
          <w:bCs/>
          <w:sz w:val="36"/>
          <w:szCs w:val="36"/>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b/>
          <w:bCs/>
          <w:sz w:val="36"/>
          <w:szCs w:val="36"/>
        </w:rPr>
      </w:pPr>
    </w:p>
    <w:p>
      <w:pPr>
        <w:autoSpaceDE w:val="0"/>
        <w:autoSpaceDN w:val="0"/>
        <w:adjustRightInd w:val="0"/>
        <w:spacing w:line="360" w:lineRule="auto"/>
        <w:jc w:val="center"/>
        <w:outlineLvl w:val="0"/>
        <w:rPr>
          <w:rFonts w:ascii="宋体" w:hAnsi="宋体" w:eastAsia="宋体"/>
          <w:b/>
          <w:bCs/>
          <w:sz w:val="36"/>
          <w:szCs w:val="36"/>
        </w:rPr>
      </w:pPr>
    </w:p>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eastAsia="宋体"/>
          <w:b/>
          <w:bCs/>
          <w:sz w:val="28"/>
          <w:szCs w:val="28"/>
        </w:rPr>
      </w:pPr>
    </w:p>
    <w:p>
      <w:pPr>
        <w:spacing w:line="360" w:lineRule="auto"/>
        <w:contextualSpacing/>
        <w:jc w:val="left"/>
        <w:rPr>
          <w:rFonts w:ascii="宋体" w:hAnsi="宋体" w:eastAsia="宋体"/>
          <w:szCs w:val="21"/>
        </w:rPr>
      </w:pPr>
      <w:r>
        <w:rPr>
          <w:rFonts w:hint="eastAsia" w:ascii="宋体" w:hAnsi="宋体" w:eastAsia="宋体"/>
          <w:szCs w:val="21"/>
        </w:rPr>
        <w:t>项目编号：</w:t>
      </w:r>
    </w:p>
    <w:p>
      <w:pPr>
        <w:tabs>
          <w:tab w:val="left" w:pos="1800"/>
          <w:tab w:val="left" w:pos="5580"/>
        </w:tabs>
        <w:spacing w:line="360" w:lineRule="auto"/>
        <w:rPr>
          <w:rFonts w:ascii="宋体" w:hAnsi="宋体" w:eastAsia="宋体"/>
          <w:szCs w:val="21"/>
        </w:rPr>
      </w:pPr>
      <w:r>
        <w:rPr>
          <w:rFonts w:hint="eastAsia" w:ascii="宋体" w:hAnsi="宋体" w:eastAsia="宋体"/>
          <w:szCs w:val="21"/>
        </w:rPr>
        <w:t>项目名称：</w:t>
      </w:r>
    </w:p>
    <w:p>
      <w:pPr>
        <w:tabs>
          <w:tab w:val="left" w:pos="1800"/>
          <w:tab w:val="left" w:pos="5580"/>
        </w:tabs>
        <w:spacing w:line="360" w:lineRule="auto"/>
        <w:rPr>
          <w:rFonts w:ascii="宋体" w:hAnsi="宋体" w:eastAsia="宋体"/>
          <w:szCs w:val="21"/>
        </w:rPr>
      </w:pPr>
    </w:p>
    <w:tbl>
      <w:tblPr>
        <w:tblStyle w:val="28"/>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snapToGrid w:val="0"/>
        <w:spacing w:line="500" w:lineRule="exact"/>
        <w:rPr>
          <w:rFonts w:ascii="宋体" w:hAnsi="宋体" w:eastAsia="宋体" w:cs="宋体"/>
          <w:szCs w:val="21"/>
          <w:lang w:val="zh-CN"/>
        </w:rPr>
      </w:pPr>
    </w:p>
    <w:p>
      <w:pPr>
        <w:rPr>
          <w:rFonts w:ascii="宋体" w:hAnsi="宋体" w:eastAsia="宋体" w:cs="宋体"/>
          <w:szCs w:val="21"/>
          <w:lang w:val="zh-CN"/>
        </w:rPr>
      </w:pPr>
      <w:r>
        <w:rPr>
          <w:rFonts w:hint="eastAsia" w:ascii="宋体" w:hAnsi="宋体" w:eastAsia="宋体" w:cs="宋体"/>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pStyle w:val="17"/>
        <w:ind w:left="5250"/>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hint="eastAsia" w:ascii="宋体" w:hAnsi="宋体" w:eastAsia="宋体"/>
          <w:b/>
          <w:bCs/>
          <w:sz w:val="24"/>
          <w:szCs w:val="24"/>
        </w:rPr>
      </w:pPr>
    </w:p>
    <w:p>
      <w:pPr>
        <w:autoSpaceDE w:val="0"/>
        <w:autoSpaceDN w:val="0"/>
        <w:adjustRightInd w:val="0"/>
        <w:spacing w:line="360" w:lineRule="auto"/>
        <w:jc w:val="center"/>
        <w:outlineLvl w:val="0"/>
        <w:rPr>
          <w:rFonts w:hint="eastAsia" w:ascii="宋体" w:hAnsi="宋体" w:eastAsia="宋体"/>
          <w:b/>
          <w:bCs/>
          <w:sz w:val="24"/>
          <w:szCs w:val="24"/>
        </w:rPr>
      </w:pPr>
    </w:p>
    <w:p>
      <w:pPr>
        <w:autoSpaceDE w:val="0"/>
        <w:autoSpaceDN w:val="0"/>
        <w:adjustRightInd w:val="0"/>
        <w:spacing w:line="360" w:lineRule="auto"/>
        <w:jc w:val="center"/>
        <w:outlineLvl w:val="0"/>
        <w:rPr>
          <w:rFonts w:hint="eastAsia" w:ascii="宋体" w:hAnsi="宋体" w:eastAsia="宋体"/>
          <w:b/>
          <w:bCs/>
          <w:sz w:val="24"/>
          <w:szCs w:val="24"/>
        </w:rPr>
      </w:pPr>
    </w:p>
    <w:p>
      <w:pPr>
        <w:autoSpaceDE w:val="0"/>
        <w:autoSpaceDN w:val="0"/>
        <w:adjustRightInd w:val="0"/>
        <w:spacing w:line="360" w:lineRule="auto"/>
        <w:jc w:val="center"/>
        <w:outlineLvl w:val="0"/>
        <w:rPr>
          <w:rFonts w:hint="eastAsia"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eastAsia="宋体"/>
          <w:b/>
          <w:bCs/>
          <w:sz w:val="28"/>
          <w:szCs w:val="28"/>
        </w:rPr>
      </w:pPr>
    </w:p>
    <w:p>
      <w:pPr>
        <w:spacing w:line="360" w:lineRule="auto"/>
        <w:contextualSpacing/>
        <w:jc w:val="left"/>
        <w:rPr>
          <w:rFonts w:ascii="宋体" w:hAnsi="宋体" w:eastAsia="宋体"/>
          <w:szCs w:val="21"/>
        </w:rPr>
      </w:pPr>
      <w:r>
        <w:rPr>
          <w:rFonts w:hint="eastAsia" w:ascii="宋体" w:hAnsi="宋体" w:eastAsia="宋体"/>
          <w:szCs w:val="21"/>
        </w:rPr>
        <w:t>项目编号：</w:t>
      </w:r>
    </w:p>
    <w:p>
      <w:pPr>
        <w:tabs>
          <w:tab w:val="left" w:pos="1800"/>
          <w:tab w:val="left" w:pos="5580"/>
        </w:tabs>
        <w:spacing w:line="360" w:lineRule="auto"/>
        <w:rPr>
          <w:rFonts w:ascii="宋体" w:hAnsi="宋体" w:eastAsia="宋体"/>
          <w:szCs w:val="21"/>
        </w:rPr>
      </w:pPr>
      <w:r>
        <w:rPr>
          <w:rFonts w:hint="eastAsia" w:ascii="宋体" w:hAnsi="宋体" w:eastAsia="宋体"/>
          <w:szCs w:val="21"/>
        </w:rPr>
        <w:t>项目名称：</w:t>
      </w:r>
    </w:p>
    <w:p>
      <w:pPr>
        <w:tabs>
          <w:tab w:val="left" w:pos="1800"/>
          <w:tab w:val="left" w:pos="5580"/>
        </w:tabs>
        <w:spacing w:line="360" w:lineRule="auto"/>
        <w:rPr>
          <w:rFonts w:ascii="宋体" w:hAnsi="宋体" w:eastAsia="宋体"/>
          <w:szCs w:val="21"/>
        </w:rPr>
      </w:pPr>
    </w:p>
    <w:tbl>
      <w:tblPr>
        <w:tblStyle w:val="28"/>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snapToGrid w:val="0"/>
        <w:spacing w:line="500" w:lineRule="exact"/>
        <w:rPr>
          <w:rFonts w:ascii="宋体" w:hAnsi="宋体" w:eastAsia="宋体" w:cs="宋体"/>
          <w:szCs w:val="21"/>
          <w:lang w:val="zh-CN"/>
        </w:rPr>
      </w:pPr>
    </w:p>
    <w:p>
      <w:pPr>
        <w:rPr>
          <w:rFonts w:ascii="宋体" w:hAnsi="宋体" w:eastAsia="宋体" w:cs="宋体"/>
          <w:szCs w:val="21"/>
          <w:lang w:val="zh-CN"/>
        </w:rPr>
      </w:pPr>
      <w:r>
        <w:rPr>
          <w:rFonts w:hint="eastAsia" w:ascii="宋体" w:hAnsi="宋体" w:eastAsia="宋体" w:cs="宋体"/>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eastAsia="宋体"/>
          <w:b/>
          <w:bCs/>
          <w:sz w:val="28"/>
          <w:szCs w:val="28"/>
        </w:rPr>
      </w:pPr>
    </w:p>
    <w:p>
      <w:pPr>
        <w:spacing w:line="360" w:lineRule="auto"/>
        <w:contextualSpacing/>
        <w:jc w:val="left"/>
        <w:rPr>
          <w:rFonts w:ascii="宋体" w:hAnsi="宋体" w:eastAsia="宋体"/>
          <w:szCs w:val="21"/>
        </w:rPr>
      </w:pPr>
      <w:r>
        <w:rPr>
          <w:rFonts w:hint="eastAsia" w:ascii="宋体" w:hAnsi="宋体" w:eastAsia="宋体"/>
          <w:szCs w:val="21"/>
        </w:rPr>
        <w:t>项目编号：</w:t>
      </w:r>
    </w:p>
    <w:p>
      <w:pPr>
        <w:tabs>
          <w:tab w:val="left" w:pos="1800"/>
          <w:tab w:val="left" w:pos="5580"/>
        </w:tabs>
        <w:spacing w:line="360" w:lineRule="auto"/>
        <w:rPr>
          <w:rFonts w:ascii="宋体" w:hAnsi="宋体" w:eastAsia="宋体"/>
          <w:szCs w:val="21"/>
        </w:rPr>
      </w:pPr>
      <w:r>
        <w:rPr>
          <w:rFonts w:hint="eastAsia" w:ascii="宋体" w:hAnsi="宋体" w:eastAsia="宋体"/>
          <w:szCs w:val="21"/>
        </w:rPr>
        <w:t>项目名称：</w:t>
      </w:r>
    </w:p>
    <w:p>
      <w:pPr>
        <w:tabs>
          <w:tab w:val="left" w:pos="1800"/>
          <w:tab w:val="left" w:pos="5580"/>
        </w:tabs>
        <w:spacing w:line="360" w:lineRule="auto"/>
        <w:rPr>
          <w:rFonts w:ascii="宋体" w:hAnsi="宋体" w:eastAsia="宋体"/>
          <w:szCs w:val="21"/>
        </w:rPr>
      </w:pPr>
    </w:p>
    <w:tbl>
      <w:tblPr>
        <w:tblStyle w:val="28"/>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pPr>
        <w:snapToGrid w:val="0"/>
        <w:spacing w:line="500" w:lineRule="exact"/>
        <w:rPr>
          <w:rFonts w:ascii="宋体" w:hAnsi="宋体" w:eastAsia="宋体" w:cs="宋体"/>
          <w:szCs w:val="21"/>
          <w:lang w:val="zh-CN"/>
        </w:rPr>
      </w:pPr>
    </w:p>
    <w:p>
      <w:pPr>
        <w:ind w:left="630" w:hanging="630" w:hangingChars="300"/>
        <w:rPr>
          <w:rFonts w:ascii="宋体" w:hAnsi="宋体" w:eastAsia="宋体" w:cs="宋体"/>
          <w:szCs w:val="21"/>
          <w:lang w:val="zh-CN"/>
        </w:rPr>
      </w:pPr>
      <w:r>
        <w:rPr>
          <w:rFonts w:hint="eastAsia" w:ascii="宋体" w:hAnsi="宋体" w:eastAsia="宋体" w:cs="宋体"/>
          <w:szCs w:val="21"/>
          <w:lang w:val="zh-CN"/>
        </w:rPr>
        <w:t>说明：所投产品环境标志产品认证证书须附后。</w:t>
      </w: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jc w:val="center"/>
        <w:outlineLvl w:val="0"/>
        <w:rPr>
          <w:rFonts w:ascii="宋体" w:hAnsi="宋体" w:eastAsia="宋体"/>
          <w:b/>
          <w:bCs/>
          <w:sz w:val="24"/>
          <w:szCs w:val="24"/>
        </w:rPr>
      </w:pPr>
    </w:p>
    <w:p>
      <w:pPr>
        <w:pStyle w:val="27"/>
      </w:pPr>
    </w:p>
    <w:p>
      <w:pPr>
        <w:pStyle w:val="17"/>
        <w:ind w:left="5250"/>
      </w:pPr>
    </w:p>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 xml:space="preserve"> 所投产品符合国家强制性要求承诺函 </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line="360" w:lineRule="auto"/>
        <w:jc w:val="center"/>
        <w:rPr>
          <w:rFonts w:hint="eastAsia" w:ascii="宋体" w:hAnsi="宋体" w:eastAsia="宋体" w:cs="宋体"/>
          <w:b/>
          <w:bCs/>
          <w:color w:val="auto"/>
          <w:sz w:val="44"/>
          <w:szCs w:val="44"/>
          <w:lang w:val="zh-CN"/>
        </w:rPr>
      </w:pPr>
      <w:r>
        <w:rPr>
          <w:rFonts w:hint="eastAsia" w:ascii="宋体" w:hAnsi="宋体" w:eastAsia="宋体" w:cs="宋体"/>
          <w:color w:val="auto"/>
          <w:kern w:val="0"/>
          <w:szCs w:val="21"/>
        </w:rPr>
        <w:t>供应商所投产品涉及国家有属强制性规定的，须承诺其所投产品符合国家强制性要求（如CCC认证，格式自拟）</w:t>
      </w:r>
    </w:p>
    <w:p/>
    <w:p>
      <w:pPr>
        <w:pStyle w:val="27"/>
      </w:pPr>
    </w:p>
    <w:p>
      <w:pPr>
        <w:rPr>
          <w:rFonts w:ascii="宋体" w:hAnsi="宋体" w:eastAsia="宋体"/>
        </w:rPr>
      </w:pPr>
    </w:p>
    <w:p>
      <w:pPr>
        <w:rPr>
          <w:rFonts w:ascii="宋体" w:hAnsi="宋体" w:eastAsia="宋体"/>
        </w:rPr>
      </w:pPr>
    </w:p>
    <w:p>
      <w:pPr>
        <w:rPr>
          <w:rFonts w:ascii="宋体" w:hAnsi="宋体" w:eastAsia="宋体"/>
        </w:rPr>
      </w:pPr>
    </w:p>
    <w:p>
      <w:pPr>
        <w:autoSpaceDE w:val="0"/>
        <w:autoSpaceDN w:val="0"/>
        <w:adjustRightInd w:val="0"/>
        <w:spacing w:line="360" w:lineRule="auto"/>
        <w:jc w:val="center"/>
        <w:outlineLvl w:val="0"/>
        <w:rPr>
          <w:rFonts w:ascii="宋体" w:hAnsi="宋体" w:eastAsia="宋体"/>
          <w:b/>
          <w:bCs/>
          <w:sz w:val="24"/>
          <w:szCs w:val="24"/>
        </w:rPr>
      </w:pPr>
    </w:p>
    <w:p>
      <w:pPr>
        <w:autoSpaceDE w:val="0"/>
        <w:autoSpaceDN w:val="0"/>
        <w:adjustRightInd w:val="0"/>
        <w:spacing w:line="360" w:lineRule="auto"/>
        <w:rPr>
          <w:rFonts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五、其他资料（若有）</w:t>
      </w:r>
    </w:p>
    <w:p>
      <w:pPr>
        <w:rPr>
          <w:rFonts w:ascii="宋体" w:hAnsi="宋体" w:eastAsia="宋体"/>
        </w:rPr>
      </w:pPr>
    </w:p>
    <w:p>
      <w:pPr>
        <w:rPr>
          <w:rFonts w:ascii="宋体" w:hAnsi="宋体" w:eastAsia="宋体"/>
        </w:rPr>
      </w:pPr>
    </w:p>
    <w:p>
      <w:pPr>
        <w:rPr>
          <w:rFonts w:ascii="宋体" w:hAnsi="宋体" w:eastAsia="宋体"/>
        </w:rPr>
      </w:pPr>
    </w:p>
    <w:p>
      <w:pPr>
        <w:spacing w:line="360" w:lineRule="auto"/>
        <w:jc w:val="center"/>
        <w:rPr>
          <w:rFonts w:ascii="宋体" w:hAnsi="宋体" w:eastAsia="宋体"/>
          <w:b/>
          <w:bCs/>
          <w:sz w:val="28"/>
          <w:szCs w:val="28"/>
        </w:rPr>
      </w:pPr>
      <w:r>
        <w:rPr>
          <w:rFonts w:hint="eastAsia" w:ascii="宋体" w:hAnsi="宋体" w:eastAsia="宋体"/>
          <w:b/>
          <w:bCs/>
          <w:sz w:val="28"/>
          <w:szCs w:val="28"/>
        </w:rPr>
        <w:t>除谈判文件另有规定外，供应商认为需要提交的其他证明材料或资料加盖供应商公章后应在此项下提交。</w:t>
      </w:r>
    </w:p>
    <w:p>
      <w:pPr>
        <w:spacing w:line="360" w:lineRule="auto"/>
        <w:jc w:val="center"/>
        <w:rPr>
          <w:rFonts w:ascii="宋体" w:hAnsi="宋体" w:eastAsia="宋体"/>
          <w:b/>
          <w:bCs/>
          <w:sz w:val="28"/>
          <w:szCs w:val="28"/>
        </w:rPr>
      </w:pPr>
      <w:r>
        <w:rPr>
          <w:rFonts w:hint="eastAsia" w:ascii="宋体" w:hAnsi="宋体" w:eastAsia="宋体"/>
          <w:b/>
          <w:bCs/>
          <w:sz w:val="28"/>
          <w:szCs w:val="28"/>
        </w:rPr>
        <w:t> </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17"/>
        <w:ind w:left="99" w:leftChars="47"/>
        <w:jc w:val="left"/>
        <w:rPr>
          <w:b/>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5"/>
      <w:suff w:val="nothing"/>
      <w:lvlText w:val="第%1部分"/>
      <w:lvlJc w:val="center"/>
      <w:pPr>
        <w:ind w:left="-288" w:firstLine="288"/>
      </w:pPr>
      <w:rPr>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8"/>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01B3C32"/>
    <w:multiLevelType w:val="multilevel"/>
    <w:tmpl w:val="001B3C32"/>
    <w:lvl w:ilvl="0" w:tentative="0">
      <w:start w:val="1"/>
      <w:numFmt w:val="decimal"/>
      <w:lvlText w:val="%1."/>
      <w:lvlJc w:val="left"/>
      <w:pPr>
        <w:ind w:left="865" w:hanging="440"/>
      </w:p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3">
    <w:nsid w:val="02325B75"/>
    <w:multiLevelType w:val="multilevel"/>
    <w:tmpl w:val="02325B7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31E52BD"/>
    <w:multiLevelType w:val="multilevel"/>
    <w:tmpl w:val="031E52B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5EFCDC2"/>
    <w:multiLevelType w:val="singleLevel"/>
    <w:tmpl w:val="05EFCDC2"/>
    <w:lvl w:ilvl="0" w:tentative="0">
      <w:start w:val="6"/>
      <w:numFmt w:val="chineseCounting"/>
      <w:suff w:val="nothing"/>
      <w:lvlText w:val="%1、"/>
      <w:lvlJc w:val="left"/>
      <w:pPr>
        <w:ind w:left="0" w:firstLine="0"/>
      </w:pPr>
    </w:lvl>
  </w:abstractNum>
  <w:abstractNum w:abstractNumId="6">
    <w:nsid w:val="0B2F2BB3"/>
    <w:multiLevelType w:val="multilevel"/>
    <w:tmpl w:val="0B2F2BB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0BE75A04"/>
    <w:multiLevelType w:val="multilevel"/>
    <w:tmpl w:val="0BE75A0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0D2E5949"/>
    <w:multiLevelType w:val="multilevel"/>
    <w:tmpl w:val="0D2E594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122244BA"/>
    <w:multiLevelType w:val="multilevel"/>
    <w:tmpl w:val="122244B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16C11AE3"/>
    <w:multiLevelType w:val="multilevel"/>
    <w:tmpl w:val="16C11AE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18FF21B4"/>
    <w:multiLevelType w:val="multilevel"/>
    <w:tmpl w:val="18FF21B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1CBCD138"/>
    <w:multiLevelType w:val="singleLevel"/>
    <w:tmpl w:val="1CBCD138"/>
    <w:lvl w:ilvl="0" w:tentative="0">
      <w:start w:val="2"/>
      <w:numFmt w:val="chineseCounting"/>
      <w:suff w:val="nothing"/>
      <w:lvlText w:val="%1、"/>
      <w:lvlJc w:val="left"/>
      <w:rPr>
        <w:rFonts w:hint="eastAsia"/>
      </w:rPr>
    </w:lvl>
  </w:abstractNum>
  <w:abstractNum w:abstractNumId="13">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14">
    <w:nsid w:val="29E62A48"/>
    <w:multiLevelType w:val="multilevel"/>
    <w:tmpl w:val="29E62A4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2EEB3052"/>
    <w:multiLevelType w:val="multilevel"/>
    <w:tmpl w:val="2EEB305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31C91EE2"/>
    <w:multiLevelType w:val="multilevel"/>
    <w:tmpl w:val="31C91EE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36786385"/>
    <w:multiLevelType w:val="multilevel"/>
    <w:tmpl w:val="3678638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38525952"/>
    <w:multiLevelType w:val="multilevel"/>
    <w:tmpl w:val="3852595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42836C2D"/>
    <w:multiLevelType w:val="multilevel"/>
    <w:tmpl w:val="42836C2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D1444D5"/>
    <w:multiLevelType w:val="multilevel"/>
    <w:tmpl w:val="4D1444D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56745BEB"/>
    <w:multiLevelType w:val="multilevel"/>
    <w:tmpl w:val="56745BE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59F55DEA"/>
    <w:multiLevelType w:val="multilevel"/>
    <w:tmpl w:val="59F55DE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59F817E8"/>
    <w:multiLevelType w:val="singleLevel"/>
    <w:tmpl w:val="59F817E8"/>
    <w:lvl w:ilvl="0" w:tentative="0">
      <w:start w:val="1"/>
      <w:numFmt w:val="chineseCounting"/>
      <w:pStyle w:val="62"/>
      <w:suff w:val="nothing"/>
      <w:lvlText w:val="%1、"/>
      <w:lvlJc w:val="left"/>
      <w:pPr>
        <w:ind w:left="0" w:firstLine="0"/>
      </w:pPr>
    </w:lvl>
  </w:abstractNum>
  <w:abstractNum w:abstractNumId="25">
    <w:nsid w:val="5AF1289C"/>
    <w:multiLevelType w:val="multilevel"/>
    <w:tmpl w:val="5AF1289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5E2574A0"/>
    <w:multiLevelType w:val="multilevel"/>
    <w:tmpl w:val="5E2574A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5F144DAA"/>
    <w:multiLevelType w:val="multilevel"/>
    <w:tmpl w:val="5F144DA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61A22829"/>
    <w:multiLevelType w:val="singleLevel"/>
    <w:tmpl w:val="61A22829"/>
    <w:lvl w:ilvl="0" w:tentative="0">
      <w:start w:val="8"/>
      <w:numFmt w:val="chineseCounting"/>
      <w:suff w:val="space"/>
      <w:lvlText w:val="第%1章"/>
      <w:lvlJc w:val="left"/>
      <w:rPr>
        <w:rFonts w:hint="eastAsia"/>
      </w:rPr>
    </w:lvl>
  </w:abstractNum>
  <w:abstractNum w:abstractNumId="29">
    <w:nsid w:val="61D56A4A"/>
    <w:multiLevelType w:val="multilevel"/>
    <w:tmpl w:val="61D56A4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62EC4678"/>
    <w:multiLevelType w:val="multilevel"/>
    <w:tmpl w:val="62EC467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1">
    <w:nsid w:val="6497372F"/>
    <w:multiLevelType w:val="multilevel"/>
    <w:tmpl w:val="6497372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666E622B"/>
    <w:multiLevelType w:val="multilevel"/>
    <w:tmpl w:val="666E622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F6A7D71"/>
    <w:multiLevelType w:val="multilevel"/>
    <w:tmpl w:val="6F6A7D7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5">
    <w:nsid w:val="6FF426BB"/>
    <w:multiLevelType w:val="multilevel"/>
    <w:tmpl w:val="6FF426B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78AB10F5"/>
    <w:multiLevelType w:val="multilevel"/>
    <w:tmpl w:val="78AB10F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7">
    <w:nsid w:val="793C50EB"/>
    <w:multiLevelType w:val="multilevel"/>
    <w:tmpl w:val="793C50E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7BDE59C7"/>
    <w:multiLevelType w:val="multilevel"/>
    <w:tmpl w:val="7BDE59C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9">
    <w:nsid w:val="7C5D5A5F"/>
    <w:multiLevelType w:val="multilevel"/>
    <w:tmpl w:val="7C5D5A5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7E3C3CB1"/>
    <w:multiLevelType w:val="singleLevel"/>
    <w:tmpl w:val="7E3C3CB1"/>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4"/>
  </w:num>
  <w:num w:numId="4">
    <w:abstractNumId w:val="33"/>
  </w:num>
  <w:num w:numId="5">
    <w:abstractNumId w:val="12"/>
  </w:num>
  <w:num w:numId="6">
    <w:abstractNumId w:val="40"/>
  </w:num>
  <w:num w:numId="7">
    <w:abstractNumId w:val="3"/>
  </w:num>
  <w:num w:numId="8">
    <w:abstractNumId w:val="10"/>
  </w:num>
  <w:num w:numId="9">
    <w:abstractNumId w:val="2"/>
  </w:num>
  <w:num w:numId="10">
    <w:abstractNumId w:val="14"/>
  </w:num>
  <w:num w:numId="11">
    <w:abstractNumId w:val="15"/>
  </w:num>
  <w:num w:numId="12">
    <w:abstractNumId w:val="36"/>
  </w:num>
  <w:num w:numId="13">
    <w:abstractNumId w:val="23"/>
  </w:num>
  <w:num w:numId="14">
    <w:abstractNumId w:val="18"/>
  </w:num>
  <w:num w:numId="15">
    <w:abstractNumId w:val="8"/>
  </w:num>
  <w:num w:numId="16">
    <w:abstractNumId w:val="19"/>
  </w:num>
  <w:num w:numId="17">
    <w:abstractNumId w:val="7"/>
  </w:num>
  <w:num w:numId="18">
    <w:abstractNumId w:val="35"/>
  </w:num>
  <w:num w:numId="19">
    <w:abstractNumId w:val="37"/>
  </w:num>
  <w:num w:numId="20">
    <w:abstractNumId w:val="26"/>
  </w:num>
  <w:num w:numId="21">
    <w:abstractNumId w:val="22"/>
  </w:num>
  <w:num w:numId="22">
    <w:abstractNumId w:val="34"/>
  </w:num>
  <w:num w:numId="23">
    <w:abstractNumId w:val="39"/>
  </w:num>
  <w:num w:numId="24">
    <w:abstractNumId w:val="17"/>
  </w:num>
  <w:num w:numId="25">
    <w:abstractNumId w:val="30"/>
  </w:num>
  <w:num w:numId="26">
    <w:abstractNumId w:val="38"/>
  </w:num>
  <w:num w:numId="27">
    <w:abstractNumId w:val="31"/>
  </w:num>
  <w:num w:numId="28">
    <w:abstractNumId w:val="9"/>
  </w:num>
  <w:num w:numId="29">
    <w:abstractNumId w:val="29"/>
  </w:num>
  <w:num w:numId="30">
    <w:abstractNumId w:val="21"/>
  </w:num>
  <w:num w:numId="31">
    <w:abstractNumId w:val="16"/>
  </w:num>
  <w:num w:numId="32">
    <w:abstractNumId w:val="6"/>
  </w:num>
  <w:num w:numId="33">
    <w:abstractNumId w:val="11"/>
  </w:num>
  <w:num w:numId="34">
    <w:abstractNumId w:val="27"/>
  </w:num>
  <w:num w:numId="35">
    <w:abstractNumId w:val="4"/>
  </w:num>
  <w:num w:numId="36">
    <w:abstractNumId w:val="32"/>
  </w:num>
  <w:num w:numId="37">
    <w:abstractNumId w:val="25"/>
  </w:num>
  <w:num w:numId="38">
    <w:abstractNumId w:val="1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6"/>
    </w:lvlOverride>
  </w:num>
  <w:num w:numId="40">
    <w:abstractNumId w:val="2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A3YzYzYjMwN2U3N2Y2Nzk0ZTA3ODY0YWY2ZjQ0YTEifQ=="/>
  </w:docVars>
  <w:rsids>
    <w:rsidRoot w:val="00555E17"/>
    <w:rsid w:val="00004CBF"/>
    <w:rsid w:val="00010FC6"/>
    <w:rsid w:val="00017605"/>
    <w:rsid w:val="00022DCA"/>
    <w:rsid w:val="0003565C"/>
    <w:rsid w:val="00037320"/>
    <w:rsid w:val="00052B5E"/>
    <w:rsid w:val="000659FA"/>
    <w:rsid w:val="00066069"/>
    <w:rsid w:val="000745D2"/>
    <w:rsid w:val="000777A1"/>
    <w:rsid w:val="00090BB0"/>
    <w:rsid w:val="000A4283"/>
    <w:rsid w:val="000B01C2"/>
    <w:rsid w:val="000B5153"/>
    <w:rsid w:val="000C7887"/>
    <w:rsid w:val="000D1232"/>
    <w:rsid w:val="000D3517"/>
    <w:rsid w:val="000E2094"/>
    <w:rsid w:val="000E288E"/>
    <w:rsid w:val="000E575B"/>
    <w:rsid w:val="000E7F3B"/>
    <w:rsid w:val="000F4EBB"/>
    <w:rsid w:val="00106688"/>
    <w:rsid w:val="00113BB2"/>
    <w:rsid w:val="001213E2"/>
    <w:rsid w:val="00131F7F"/>
    <w:rsid w:val="00134531"/>
    <w:rsid w:val="00142A5F"/>
    <w:rsid w:val="001525F8"/>
    <w:rsid w:val="001676F8"/>
    <w:rsid w:val="00174C95"/>
    <w:rsid w:val="001910BE"/>
    <w:rsid w:val="001930C6"/>
    <w:rsid w:val="001958E7"/>
    <w:rsid w:val="001A74A9"/>
    <w:rsid w:val="001B2636"/>
    <w:rsid w:val="001C12F2"/>
    <w:rsid w:val="001D2B31"/>
    <w:rsid w:val="001E4CCF"/>
    <w:rsid w:val="001F058E"/>
    <w:rsid w:val="001F27AF"/>
    <w:rsid w:val="0020566E"/>
    <w:rsid w:val="00226967"/>
    <w:rsid w:val="002270EA"/>
    <w:rsid w:val="002314BC"/>
    <w:rsid w:val="0023452C"/>
    <w:rsid w:val="00235238"/>
    <w:rsid w:val="002375B7"/>
    <w:rsid w:val="002438B2"/>
    <w:rsid w:val="0025255D"/>
    <w:rsid w:val="00273C67"/>
    <w:rsid w:val="00280399"/>
    <w:rsid w:val="00284AE6"/>
    <w:rsid w:val="002906FC"/>
    <w:rsid w:val="0029269F"/>
    <w:rsid w:val="0029570C"/>
    <w:rsid w:val="002A2357"/>
    <w:rsid w:val="002A253C"/>
    <w:rsid w:val="002A26E7"/>
    <w:rsid w:val="002B22A6"/>
    <w:rsid w:val="002B2C7D"/>
    <w:rsid w:val="002B6060"/>
    <w:rsid w:val="002C2AD5"/>
    <w:rsid w:val="002C2EB0"/>
    <w:rsid w:val="002C4CAE"/>
    <w:rsid w:val="002C5DB8"/>
    <w:rsid w:val="002D2703"/>
    <w:rsid w:val="002D3384"/>
    <w:rsid w:val="002D7F76"/>
    <w:rsid w:val="002E1F0E"/>
    <w:rsid w:val="002F53B0"/>
    <w:rsid w:val="002F6B59"/>
    <w:rsid w:val="00300BDF"/>
    <w:rsid w:val="0030425D"/>
    <w:rsid w:val="00305C84"/>
    <w:rsid w:val="003240F5"/>
    <w:rsid w:val="0032681D"/>
    <w:rsid w:val="00330EB2"/>
    <w:rsid w:val="00331634"/>
    <w:rsid w:val="00340071"/>
    <w:rsid w:val="00340620"/>
    <w:rsid w:val="00342857"/>
    <w:rsid w:val="00350BA1"/>
    <w:rsid w:val="00351DB1"/>
    <w:rsid w:val="00352120"/>
    <w:rsid w:val="0035243A"/>
    <w:rsid w:val="003551BE"/>
    <w:rsid w:val="003709AF"/>
    <w:rsid w:val="00382096"/>
    <w:rsid w:val="003A20B0"/>
    <w:rsid w:val="003A4AC7"/>
    <w:rsid w:val="003A7A75"/>
    <w:rsid w:val="003B3035"/>
    <w:rsid w:val="003B639E"/>
    <w:rsid w:val="003B7CE5"/>
    <w:rsid w:val="003C02CE"/>
    <w:rsid w:val="003C1D2B"/>
    <w:rsid w:val="003C4548"/>
    <w:rsid w:val="003E37D1"/>
    <w:rsid w:val="003F1680"/>
    <w:rsid w:val="00403592"/>
    <w:rsid w:val="00413B0A"/>
    <w:rsid w:val="004243F0"/>
    <w:rsid w:val="004354DC"/>
    <w:rsid w:val="004429FE"/>
    <w:rsid w:val="004432E8"/>
    <w:rsid w:val="004475D8"/>
    <w:rsid w:val="004661CA"/>
    <w:rsid w:val="00467B5F"/>
    <w:rsid w:val="00471181"/>
    <w:rsid w:val="0047176B"/>
    <w:rsid w:val="00473126"/>
    <w:rsid w:val="00473175"/>
    <w:rsid w:val="00477BF8"/>
    <w:rsid w:val="00483D2C"/>
    <w:rsid w:val="004904CD"/>
    <w:rsid w:val="00493DEC"/>
    <w:rsid w:val="004957E8"/>
    <w:rsid w:val="004960C8"/>
    <w:rsid w:val="004B63F4"/>
    <w:rsid w:val="004C0C78"/>
    <w:rsid w:val="004C70D9"/>
    <w:rsid w:val="004D55A5"/>
    <w:rsid w:val="004D76BD"/>
    <w:rsid w:val="004E3DC3"/>
    <w:rsid w:val="004F5275"/>
    <w:rsid w:val="00502713"/>
    <w:rsid w:val="005065B5"/>
    <w:rsid w:val="005106AD"/>
    <w:rsid w:val="00520D3F"/>
    <w:rsid w:val="00521111"/>
    <w:rsid w:val="00543BB8"/>
    <w:rsid w:val="00555E17"/>
    <w:rsid w:val="00570AD8"/>
    <w:rsid w:val="00576402"/>
    <w:rsid w:val="00581225"/>
    <w:rsid w:val="00581375"/>
    <w:rsid w:val="005860F2"/>
    <w:rsid w:val="00592346"/>
    <w:rsid w:val="0059352C"/>
    <w:rsid w:val="005B3CDE"/>
    <w:rsid w:val="005B53F0"/>
    <w:rsid w:val="005B5B75"/>
    <w:rsid w:val="005C0ABF"/>
    <w:rsid w:val="005C3925"/>
    <w:rsid w:val="005D0E21"/>
    <w:rsid w:val="005D3D52"/>
    <w:rsid w:val="005E033A"/>
    <w:rsid w:val="005F01DC"/>
    <w:rsid w:val="005F0535"/>
    <w:rsid w:val="005F46D4"/>
    <w:rsid w:val="005F53AA"/>
    <w:rsid w:val="005F59E5"/>
    <w:rsid w:val="0060526D"/>
    <w:rsid w:val="00610D2F"/>
    <w:rsid w:val="006253DD"/>
    <w:rsid w:val="0063161F"/>
    <w:rsid w:val="006420AB"/>
    <w:rsid w:val="0064233A"/>
    <w:rsid w:val="0065251A"/>
    <w:rsid w:val="0066095B"/>
    <w:rsid w:val="00667B4A"/>
    <w:rsid w:val="00674E9D"/>
    <w:rsid w:val="006A0F7A"/>
    <w:rsid w:val="006A1332"/>
    <w:rsid w:val="006A25A5"/>
    <w:rsid w:val="006A4C65"/>
    <w:rsid w:val="006A6C34"/>
    <w:rsid w:val="006B111F"/>
    <w:rsid w:val="006B50B9"/>
    <w:rsid w:val="006C22D8"/>
    <w:rsid w:val="006C40FB"/>
    <w:rsid w:val="006C538C"/>
    <w:rsid w:val="006D0BBD"/>
    <w:rsid w:val="006D2E33"/>
    <w:rsid w:val="006D4E30"/>
    <w:rsid w:val="006D6A50"/>
    <w:rsid w:val="006E359C"/>
    <w:rsid w:val="006F3F9D"/>
    <w:rsid w:val="006F5A57"/>
    <w:rsid w:val="007016C2"/>
    <w:rsid w:val="00715A2F"/>
    <w:rsid w:val="0071677F"/>
    <w:rsid w:val="007422A4"/>
    <w:rsid w:val="00746C3D"/>
    <w:rsid w:val="00753770"/>
    <w:rsid w:val="007571D3"/>
    <w:rsid w:val="0076315F"/>
    <w:rsid w:val="00766ADF"/>
    <w:rsid w:val="00775A04"/>
    <w:rsid w:val="007762AC"/>
    <w:rsid w:val="00776709"/>
    <w:rsid w:val="0078086F"/>
    <w:rsid w:val="00780BF9"/>
    <w:rsid w:val="00783DBA"/>
    <w:rsid w:val="00784563"/>
    <w:rsid w:val="0078467D"/>
    <w:rsid w:val="007849DA"/>
    <w:rsid w:val="007926FA"/>
    <w:rsid w:val="007A0913"/>
    <w:rsid w:val="007A2EA6"/>
    <w:rsid w:val="007A583B"/>
    <w:rsid w:val="007A7637"/>
    <w:rsid w:val="007C4B92"/>
    <w:rsid w:val="007D7566"/>
    <w:rsid w:val="007E4397"/>
    <w:rsid w:val="007F6508"/>
    <w:rsid w:val="00800B6A"/>
    <w:rsid w:val="0080373A"/>
    <w:rsid w:val="00813540"/>
    <w:rsid w:val="00817306"/>
    <w:rsid w:val="00825D31"/>
    <w:rsid w:val="00842367"/>
    <w:rsid w:val="00855BC4"/>
    <w:rsid w:val="008632FE"/>
    <w:rsid w:val="008638EC"/>
    <w:rsid w:val="00866FD2"/>
    <w:rsid w:val="008718FB"/>
    <w:rsid w:val="00871F54"/>
    <w:rsid w:val="00875502"/>
    <w:rsid w:val="008759F1"/>
    <w:rsid w:val="00876D9C"/>
    <w:rsid w:val="00880A1F"/>
    <w:rsid w:val="00885636"/>
    <w:rsid w:val="008A03C1"/>
    <w:rsid w:val="008A20E1"/>
    <w:rsid w:val="008A7B1E"/>
    <w:rsid w:val="008B3E78"/>
    <w:rsid w:val="008B6177"/>
    <w:rsid w:val="008D3046"/>
    <w:rsid w:val="008F622E"/>
    <w:rsid w:val="008F695A"/>
    <w:rsid w:val="009149A5"/>
    <w:rsid w:val="0093103C"/>
    <w:rsid w:val="00934650"/>
    <w:rsid w:val="00937996"/>
    <w:rsid w:val="00941553"/>
    <w:rsid w:val="009517F9"/>
    <w:rsid w:val="009526F4"/>
    <w:rsid w:val="00991234"/>
    <w:rsid w:val="009A0062"/>
    <w:rsid w:val="009A0E4A"/>
    <w:rsid w:val="009A51AF"/>
    <w:rsid w:val="009F34A9"/>
    <w:rsid w:val="009F4A94"/>
    <w:rsid w:val="009F7467"/>
    <w:rsid w:val="00A04C7C"/>
    <w:rsid w:val="00A246B6"/>
    <w:rsid w:val="00A264B4"/>
    <w:rsid w:val="00A35770"/>
    <w:rsid w:val="00A36E0E"/>
    <w:rsid w:val="00A42ED9"/>
    <w:rsid w:val="00A43794"/>
    <w:rsid w:val="00A43DB5"/>
    <w:rsid w:val="00A45138"/>
    <w:rsid w:val="00A4554E"/>
    <w:rsid w:val="00A50B34"/>
    <w:rsid w:val="00A5148C"/>
    <w:rsid w:val="00A7012B"/>
    <w:rsid w:val="00A734F1"/>
    <w:rsid w:val="00A7519F"/>
    <w:rsid w:val="00A77163"/>
    <w:rsid w:val="00A83908"/>
    <w:rsid w:val="00AA3825"/>
    <w:rsid w:val="00AA6C22"/>
    <w:rsid w:val="00AC1A1F"/>
    <w:rsid w:val="00AC231A"/>
    <w:rsid w:val="00AC3532"/>
    <w:rsid w:val="00AE0D4A"/>
    <w:rsid w:val="00AE5AC4"/>
    <w:rsid w:val="00AF11C2"/>
    <w:rsid w:val="00AF3D55"/>
    <w:rsid w:val="00AF5BCD"/>
    <w:rsid w:val="00B00592"/>
    <w:rsid w:val="00B1232B"/>
    <w:rsid w:val="00B23A1A"/>
    <w:rsid w:val="00B24DB7"/>
    <w:rsid w:val="00B30E47"/>
    <w:rsid w:val="00B34B47"/>
    <w:rsid w:val="00B35E51"/>
    <w:rsid w:val="00B40B3A"/>
    <w:rsid w:val="00B4149D"/>
    <w:rsid w:val="00B4786F"/>
    <w:rsid w:val="00B5299A"/>
    <w:rsid w:val="00B53102"/>
    <w:rsid w:val="00B6257E"/>
    <w:rsid w:val="00B6596C"/>
    <w:rsid w:val="00B67F13"/>
    <w:rsid w:val="00B74CDB"/>
    <w:rsid w:val="00B764CC"/>
    <w:rsid w:val="00B833EF"/>
    <w:rsid w:val="00B83618"/>
    <w:rsid w:val="00BA31C7"/>
    <w:rsid w:val="00BB11D9"/>
    <w:rsid w:val="00BB15D1"/>
    <w:rsid w:val="00BC6952"/>
    <w:rsid w:val="00BC6A97"/>
    <w:rsid w:val="00BC77B9"/>
    <w:rsid w:val="00BD2A30"/>
    <w:rsid w:val="00BD2A59"/>
    <w:rsid w:val="00BE5035"/>
    <w:rsid w:val="00BE73C9"/>
    <w:rsid w:val="00C023D6"/>
    <w:rsid w:val="00C12447"/>
    <w:rsid w:val="00C257F0"/>
    <w:rsid w:val="00C302AD"/>
    <w:rsid w:val="00C31153"/>
    <w:rsid w:val="00C32D38"/>
    <w:rsid w:val="00C36C78"/>
    <w:rsid w:val="00C3710B"/>
    <w:rsid w:val="00C42EA6"/>
    <w:rsid w:val="00C454A1"/>
    <w:rsid w:val="00C46874"/>
    <w:rsid w:val="00C5226B"/>
    <w:rsid w:val="00C667E0"/>
    <w:rsid w:val="00C7083D"/>
    <w:rsid w:val="00C734D3"/>
    <w:rsid w:val="00C76569"/>
    <w:rsid w:val="00C769DF"/>
    <w:rsid w:val="00C80D0F"/>
    <w:rsid w:val="00C86C94"/>
    <w:rsid w:val="00C9266F"/>
    <w:rsid w:val="00CA2C70"/>
    <w:rsid w:val="00CB164B"/>
    <w:rsid w:val="00CB66CF"/>
    <w:rsid w:val="00CD3515"/>
    <w:rsid w:val="00CD684D"/>
    <w:rsid w:val="00CE221C"/>
    <w:rsid w:val="00CE283C"/>
    <w:rsid w:val="00CE2CB7"/>
    <w:rsid w:val="00CE6110"/>
    <w:rsid w:val="00CF08B9"/>
    <w:rsid w:val="00D000A3"/>
    <w:rsid w:val="00D04854"/>
    <w:rsid w:val="00D04DA8"/>
    <w:rsid w:val="00D16756"/>
    <w:rsid w:val="00D223AA"/>
    <w:rsid w:val="00D22F18"/>
    <w:rsid w:val="00D240F5"/>
    <w:rsid w:val="00D2450E"/>
    <w:rsid w:val="00D356CF"/>
    <w:rsid w:val="00D409A3"/>
    <w:rsid w:val="00D50697"/>
    <w:rsid w:val="00D5099B"/>
    <w:rsid w:val="00D61692"/>
    <w:rsid w:val="00D63ADC"/>
    <w:rsid w:val="00D73BFF"/>
    <w:rsid w:val="00D75007"/>
    <w:rsid w:val="00D81874"/>
    <w:rsid w:val="00D84D81"/>
    <w:rsid w:val="00DA2664"/>
    <w:rsid w:val="00DA68B3"/>
    <w:rsid w:val="00DA7EA2"/>
    <w:rsid w:val="00DB4869"/>
    <w:rsid w:val="00DB6BA6"/>
    <w:rsid w:val="00DC03FB"/>
    <w:rsid w:val="00DC2141"/>
    <w:rsid w:val="00DD3E4F"/>
    <w:rsid w:val="00DE7189"/>
    <w:rsid w:val="00DF3F7B"/>
    <w:rsid w:val="00DF6437"/>
    <w:rsid w:val="00DF7C95"/>
    <w:rsid w:val="00E0282F"/>
    <w:rsid w:val="00E177A1"/>
    <w:rsid w:val="00E211F0"/>
    <w:rsid w:val="00E30D7E"/>
    <w:rsid w:val="00E31973"/>
    <w:rsid w:val="00E32DF4"/>
    <w:rsid w:val="00E44068"/>
    <w:rsid w:val="00E44726"/>
    <w:rsid w:val="00E47583"/>
    <w:rsid w:val="00E5328A"/>
    <w:rsid w:val="00E567CE"/>
    <w:rsid w:val="00E8683F"/>
    <w:rsid w:val="00E92F31"/>
    <w:rsid w:val="00E93800"/>
    <w:rsid w:val="00EA7C75"/>
    <w:rsid w:val="00EC27AA"/>
    <w:rsid w:val="00EC7C13"/>
    <w:rsid w:val="00ED6BDB"/>
    <w:rsid w:val="00ED755E"/>
    <w:rsid w:val="00EE03EC"/>
    <w:rsid w:val="00EE2F69"/>
    <w:rsid w:val="00EE4B30"/>
    <w:rsid w:val="00EF3208"/>
    <w:rsid w:val="00EF57A6"/>
    <w:rsid w:val="00F023BE"/>
    <w:rsid w:val="00F20ADD"/>
    <w:rsid w:val="00F21C0C"/>
    <w:rsid w:val="00F313F6"/>
    <w:rsid w:val="00F338AF"/>
    <w:rsid w:val="00F341A1"/>
    <w:rsid w:val="00F36AC1"/>
    <w:rsid w:val="00F37F7B"/>
    <w:rsid w:val="00F42BF8"/>
    <w:rsid w:val="00F43752"/>
    <w:rsid w:val="00F438D5"/>
    <w:rsid w:val="00F51B67"/>
    <w:rsid w:val="00F54187"/>
    <w:rsid w:val="00F621B8"/>
    <w:rsid w:val="00F6345E"/>
    <w:rsid w:val="00F66C94"/>
    <w:rsid w:val="00F70899"/>
    <w:rsid w:val="00F77A02"/>
    <w:rsid w:val="00F97004"/>
    <w:rsid w:val="00FA7466"/>
    <w:rsid w:val="00FB4FDC"/>
    <w:rsid w:val="00FB5454"/>
    <w:rsid w:val="00FC00DD"/>
    <w:rsid w:val="00FC6C1C"/>
    <w:rsid w:val="00FC6E26"/>
    <w:rsid w:val="00FD0553"/>
    <w:rsid w:val="00FD0828"/>
    <w:rsid w:val="00FD6ABB"/>
    <w:rsid w:val="00FD7527"/>
    <w:rsid w:val="00FE177C"/>
    <w:rsid w:val="00FE48E1"/>
    <w:rsid w:val="00FF09CB"/>
    <w:rsid w:val="00FF1F23"/>
    <w:rsid w:val="00FF3D03"/>
    <w:rsid w:val="00FF488B"/>
    <w:rsid w:val="00FF65E3"/>
    <w:rsid w:val="01D408F4"/>
    <w:rsid w:val="0AC92FC0"/>
    <w:rsid w:val="0CA10415"/>
    <w:rsid w:val="13785584"/>
    <w:rsid w:val="1A634A7F"/>
    <w:rsid w:val="1B3714FE"/>
    <w:rsid w:val="1EBA24FA"/>
    <w:rsid w:val="293735BB"/>
    <w:rsid w:val="2D522164"/>
    <w:rsid w:val="2DBD2EA6"/>
    <w:rsid w:val="2E271B5C"/>
    <w:rsid w:val="2E8D1134"/>
    <w:rsid w:val="2EC456C9"/>
    <w:rsid w:val="2EF064BE"/>
    <w:rsid w:val="3D4C44EB"/>
    <w:rsid w:val="3F467CFD"/>
    <w:rsid w:val="40DE6B16"/>
    <w:rsid w:val="41DB1D22"/>
    <w:rsid w:val="491B67CF"/>
    <w:rsid w:val="49723ED3"/>
    <w:rsid w:val="4BAF6173"/>
    <w:rsid w:val="4E950123"/>
    <w:rsid w:val="5A226614"/>
    <w:rsid w:val="61A36997"/>
    <w:rsid w:val="62132597"/>
    <w:rsid w:val="623E51B7"/>
    <w:rsid w:val="633417DE"/>
    <w:rsid w:val="6D632590"/>
    <w:rsid w:val="716C7E6F"/>
    <w:rsid w:val="73671EFF"/>
    <w:rsid w:val="747D1B6F"/>
    <w:rsid w:val="78FC5E56"/>
    <w:rsid w:val="79617847"/>
    <w:rsid w:val="7C2345D9"/>
    <w:rsid w:val="7CC66546"/>
    <w:rsid w:val="7E436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6">
    <w:name w:val="heading 2"/>
    <w:basedOn w:val="1"/>
    <w:next w:val="1"/>
    <w:link w:val="34"/>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7">
    <w:name w:val="heading 3"/>
    <w:basedOn w:val="1"/>
    <w:next w:val="1"/>
    <w:link w:val="35"/>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8">
    <w:name w:val="heading 4"/>
    <w:basedOn w:val="1"/>
    <w:next w:val="1"/>
    <w:link w:val="36"/>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unhideWhenUsed/>
    <w:qFormat/>
    <w:uiPriority w:val="99"/>
    <w:pPr>
      <w:spacing w:after="120"/>
    </w:pPr>
  </w:style>
  <w:style w:type="paragraph" w:customStyle="1" w:styleId="3">
    <w:name w:val="style4"/>
    <w:basedOn w:val="1"/>
    <w:next w:val="4"/>
    <w:qFormat/>
    <w:uiPriority w:val="99"/>
    <w:pPr>
      <w:widowControl/>
      <w:spacing w:before="280" w:after="280"/>
    </w:pPr>
    <w:rPr>
      <w:rFonts w:ascii="宋体" w:hAnsi="Times New Roman" w:eastAsia="宋体" w:cs="Times New Roman"/>
      <w:sz w:val="18"/>
    </w:rPr>
  </w:style>
  <w:style w:type="paragraph" w:customStyle="1" w:styleId="4">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next w:val="10"/>
    <w:semiHidden/>
    <w:unhideWhenUsed/>
    <w:qFormat/>
    <w:uiPriority w:val="99"/>
    <w:pPr>
      <w:ind w:firstLine="425"/>
    </w:pPr>
    <w:rPr>
      <w:rFonts w:ascii="Times New Roman" w:hAnsi="Times New Roman" w:eastAsia="宋体" w:cs="Times New Roman"/>
      <w:szCs w:val="20"/>
    </w:rPr>
  </w:style>
  <w:style w:type="paragraph" w:customStyle="1" w:styleId="10">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1">
    <w:name w:val="caption"/>
    <w:basedOn w:val="1"/>
    <w:next w:val="1"/>
    <w:semiHidden/>
    <w:unhideWhenUsed/>
    <w:qFormat/>
    <w:uiPriority w:val="99"/>
    <w:rPr>
      <w:rFonts w:ascii="Arial" w:hAnsi="Arial" w:eastAsia="黑体" w:cs="Arial"/>
      <w:sz w:val="20"/>
      <w:szCs w:val="20"/>
    </w:rPr>
  </w:style>
  <w:style w:type="paragraph" w:styleId="12">
    <w:name w:val="Body Text 3"/>
    <w:basedOn w:val="1"/>
    <w:link w:val="46"/>
    <w:semiHidden/>
    <w:unhideWhenUsed/>
    <w:qFormat/>
    <w:uiPriority w:val="99"/>
    <w:rPr>
      <w:rFonts w:ascii="Times New Roman" w:hAnsi="Times New Roman" w:eastAsia="宋体" w:cs="Times New Roman"/>
      <w:color w:val="FF0000"/>
      <w:sz w:val="24"/>
      <w:szCs w:val="24"/>
    </w:rPr>
  </w:style>
  <w:style w:type="paragraph" w:styleId="13">
    <w:name w:val="Body Text Indent"/>
    <w:basedOn w:val="1"/>
    <w:link w:val="42"/>
    <w:unhideWhenUsed/>
    <w:qFormat/>
    <w:uiPriority w:val="0"/>
    <w:pPr>
      <w:adjustRightInd w:val="0"/>
      <w:spacing w:after="120" w:line="360" w:lineRule="atLeast"/>
      <w:ind w:left="420" w:leftChars="200"/>
      <w:jc w:val="left"/>
    </w:pPr>
    <w:rPr>
      <w:kern w:val="0"/>
      <w:sz w:val="24"/>
      <w:szCs w:val="20"/>
    </w:rPr>
  </w:style>
  <w:style w:type="paragraph" w:styleId="14">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7"/>
    <w:unhideWhenUsed/>
    <w:qFormat/>
    <w:uiPriority w:val="0"/>
    <w:rPr>
      <w:rFonts w:eastAsia="宋体"/>
      <w:sz w:val="24"/>
    </w:rPr>
  </w:style>
  <w:style w:type="paragraph" w:styleId="17">
    <w:name w:val="Date"/>
    <w:basedOn w:val="1"/>
    <w:next w:val="1"/>
    <w:link w:val="44"/>
    <w:semiHidden/>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link w:val="40"/>
    <w:unhideWhenUsed/>
    <w:qFormat/>
    <w:uiPriority w:val="0"/>
    <w:pPr>
      <w:tabs>
        <w:tab w:val="center" w:pos="4153"/>
        <w:tab w:val="right" w:pos="8306"/>
      </w:tabs>
      <w:snapToGrid w:val="0"/>
      <w:jc w:val="left"/>
    </w:pPr>
    <w:rPr>
      <w:sz w:val="18"/>
      <w:szCs w:val="18"/>
    </w:rPr>
  </w:style>
  <w:style w:type="paragraph" w:styleId="20">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Body Text 2"/>
    <w:basedOn w:val="1"/>
    <w:qFormat/>
    <w:uiPriority w:val="0"/>
    <w:pPr>
      <w:spacing w:after="120" w:line="480" w:lineRule="auto"/>
    </w:pPr>
  </w:style>
  <w:style w:type="paragraph" w:styleId="23">
    <w:name w:val="HTML Preformatted"/>
    <w:basedOn w:val="1"/>
    <w:link w:val="3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semiHidden/>
    <w:unhideWhenUsed/>
    <w:qFormat/>
    <w:uiPriority w:val="99"/>
    <w:rPr>
      <w:rFonts w:ascii="Calibri" w:hAnsi="Calibri" w:eastAsia="宋体" w:cs="Times New Roman"/>
      <w:sz w:val="24"/>
      <w:szCs w:val="24"/>
    </w:rPr>
  </w:style>
  <w:style w:type="paragraph" w:styleId="25">
    <w:name w:val="Body Text First Indent"/>
    <w:basedOn w:val="2"/>
    <w:next w:val="26"/>
    <w:link w:val="45"/>
    <w:semiHidden/>
    <w:unhideWhenUsed/>
    <w:qFormat/>
    <w:uiPriority w:val="99"/>
    <w:pPr>
      <w:ind w:firstLine="420" w:firstLineChars="100"/>
    </w:pPr>
    <w:rPr>
      <w:rFonts w:ascii="宋体" w:hAnsi="Times New Roman" w:eastAsia="宋体" w:cs="Times New Roman"/>
      <w:kern w:val="0"/>
      <w:sz w:val="34"/>
      <w:szCs w:val="20"/>
    </w:rPr>
  </w:style>
  <w:style w:type="paragraph" w:customStyle="1" w:styleId="26">
    <w:name w:val="List Paragraph1"/>
    <w:basedOn w:val="1"/>
    <w:next w:val="1"/>
    <w:qFormat/>
    <w:uiPriority w:val="99"/>
    <w:pPr>
      <w:ind w:firstLine="420" w:firstLineChars="200"/>
    </w:pPr>
    <w:rPr>
      <w:rFonts w:ascii="Calibri" w:hAnsi="Calibri" w:cs="宋体"/>
    </w:rPr>
  </w:style>
  <w:style w:type="paragraph" w:styleId="27">
    <w:name w:val="Body Text First Indent 2"/>
    <w:basedOn w:val="13"/>
    <w:link w:val="43"/>
    <w:unhideWhenUsed/>
    <w:qFormat/>
    <w:uiPriority w:val="99"/>
    <w:pPr>
      <w:adjustRightInd/>
      <w:spacing w:line="240" w:lineRule="auto"/>
      <w:ind w:firstLine="420" w:firstLineChars="200"/>
      <w:jc w:val="both"/>
    </w:pPr>
    <w:rPr>
      <w:kern w:val="2"/>
      <w:sz w:val="21"/>
      <w:szCs w:val="22"/>
    </w:rPr>
  </w:style>
  <w:style w:type="table" w:styleId="29">
    <w:name w:val="Table Grid"/>
    <w:basedOn w:val="28"/>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FollowedHyperlink"/>
    <w:basedOn w:val="30"/>
    <w:semiHidden/>
    <w:unhideWhenUsed/>
    <w:qFormat/>
    <w:uiPriority w:val="99"/>
    <w:rPr>
      <w:color w:val="954F72" w:themeColor="followedHyperlink"/>
      <w:u w:val="single"/>
    </w:rPr>
  </w:style>
  <w:style w:type="character" w:styleId="32">
    <w:name w:val="Hyperlink"/>
    <w:basedOn w:val="30"/>
    <w:unhideWhenUsed/>
    <w:qFormat/>
    <w:uiPriority w:val="0"/>
    <w:rPr>
      <w:color w:val="0000FF"/>
      <w:u w:val="single"/>
    </w:rPr>
  </w:style>
  <w:style w:type="character" w:customStyle="1" w:styleId="33">
    <w:name w:val="标题 1 Char"/>
    <w:basedOn w:val="30"/>
    <w:link w:val="5"/>
    <w:qFormat/>
    <w:uiPriority w:val="0"/>
    <w:rPr>
      <w:rFonts w:ascii="Calibri" w:hAnsi="Calibri" w:eastAsia="宋体" w:cs="Times New Roman"/>
      <w:b/>
      <w:bCs/>
      <w:kern w:val="44"/>
      <w:sz w:val="44"/>
      <w:szCs w:val="44"/>
    </w:rPr>
  </w:style>
  <w:style w:type="character" w:customStyle="1" w:styleId="34">
    <w:name w:val="标题 2 Char"/>
    <w:basedOn w:val="30"/>
    <w:link w:val="6"/>
    <w:semiHidden/>
    <w:qFormat/>
    <w:uiPriority w:val="0"/>
    <w:rPr>
      <w:rFonts w:ascii="Arial" w:hAnsi="Arial" w:eastAsia="黑体" w:cs="Times New Roman"/>
      <w:b/>
      <w:bCs/>
      <w:kern w:val="0"/>
      <w:sz w:val="32"/>
      <w:szCs w:val="32"/>
    </w:rPr>
  </w:style>
  <w:style w:type="character" w:customStyle="1" w:styleId="35">
    <w:name w:val="标题 3 Char"/>
    <w:basedOn w:val="30"/>
    <w:link w:val="7"/>
    <w:semiHidden/>
    <w:qFormat/>
    <w:uiPriority w:val="0"/>
    <w:rPr>
      <w:rFonts w:ascii="宋体" w:hAnsi="宋体" w:eastAsia="宋体" w:cs="宋体"/>
      <w:b/>
      <w:color w:val="000000"/>
      <w:kern w:val="0"/>
      <w:sz w:val="24"/>
      <w:szCs w:val="20"/>
      <w:lang w:val="en-GB"/>
    </w:rPr>
  </w:style>
  <w:style w:type="character" w:customStyle="1" w:styleId="36">
    <w:name w:val="标题 4 Char"/>
    <w:basedOn w:val="30"/>
    <w:link w:val="8"/>
    <w:semiHidden/>
    <w:qFormat/>
    <w:uiPriority w:val="0"/>
    <w:rPr>
      <w:rFonts w:ascii="Arial" w:hAnsi="Arial" w:eastAsia="黑体" w:cs="Times New Roman"/>
      <w:b/>
      <w:bCs/>
      <w:kern w:val="0"/>
      <w:sz w:val="28"/>
      <w:szCs w:val="28"/>
    </w:rPr>
  </w:style>
  <w:style w:type="character" w:customStyle="1" w:styleId="37">
    <w:name w:val="HTML 预设格式 Char1"/>
    <w:basedOn w:val="30"/>
    <w:link w:val="23"/>
    <w:semiHidden/>
    <w:qFormat/>
    <w:uiPriority w:val="99"/>
    <w:rPr>
      <w:rFonts w:ascii="宋体" w:hAnsi="宋体" w:eastAsia="宋体" w:cs="宋体"/>
      <w:kern w:val="0"/>
      <w:sz w:val="24"/>
      <w:szCs w:val="24"/>
    </w:rPr>
  </w:style>
  <w:style w:type="paragraph" w:customStyle="1" w:styleId="38">
    <w:name w:val="msonormal"/>
    <w:basedOn w:val="1"/>
    <w:qFormat/>
    <w:uiPriority w:val="99"/>
    <w:rPr>
      <w:rFonts w:ascii="Calibri" w:hAnsi="Calibri" w:eastAsia="宋体" w:cs="Times New Roman"/>
      <w:sz w:val="24"/>
      <w:szCs w:val="24"/>
    </w:rPr>
  </w:style>
  <w:style w:type="character" w:customStyle="1" w:styleId="39">
    <w:name w:val="页眉 Char"/>
    <w:basedOn w:val="30"/>
    <w:link w:val="20"/>
    <w:qFormat/>
    <w:uiPriority w:val="0"/>
    <w:rPr>
      <w:sz w:val="18"/>
      <w:szCs w:val="18"/>
    </w:rPr>
  </w:style>
  <w:style w:type="character" w:customStyle="1" w:styleId="40">
    <w:name w:val="页脚 Char"/>
    <w:basedOn w:val="30"/>
    <w:link w:val="19"/>
    <w:qFormat/>
    <w:uiPriority w:val="0"/>
    <w:rPr>
      <w:sz w:val="18"/>
      <w:szCs w:val="18"/>
    </w:rPr>
  </w:style>
  <w:style w:type="character" w:customStyle="1" w:styleId="41">
    <w:name w:val="正文文本 Char"/>
    <w:basedOn w:val="30"/>
    <w:link w:val="2"/>
    <w:qFormat/>
    <w:uiPriority w:val="99"/>
  </w:style>
  <w:style w:type="character" w:customStyle="1" w:styleId="42">
    <w:name w:val="正文文本缩进 Char1"/>
    <w:basedOn w:val="30"/>
    <w:link w:val="13"/>
    <w:semiHidden/>
    <w:qFormat/>
    <w:uiPriority w:val="99"/>
    <w:rPr>
      <w:kern w:val="0"/>
      <w:sz w:val="24"/>
      <w:szCs w:val="20"/>
    </w:rPr>
  </w:style>
  <w:style w:type="character" w:customStyle="1" w:styleId="43">
    <w:name w:val="正文首行缩进 2 Char"/>
    <w:basedOn w:val="42"/>
    <w:link w:val="27"/>
    <w:qFormat/>
    <w:uiPriority w:val="99"/>
    <w:rPr>
      <w:kern w:val="0"/>
      <w:sz w:val="24"/>
      <w:szCs w:val="20"/>
    </w:rPr>
  </w:style>
  <w:style w:type="character" w:customStyle="1" w:styleId="44">
    <w:name w:val="日期 Char"/>
    <w:basedOn w:val="30"/>
    <w:link w:val="17"/>
    <w:semiHidden/>
    <w:qFormat/>
    <w:uiPriority w:val="99"/>
  </w:style>
  <w:style w:type="character" w:customStyle="1" w:styleId="45">
    <w:name w:val="正文首行缩进 Char"/>
    <w:basedOn w:val="41"/>
    <w:link w:val="25"/>
    <w:semiHidden/>
    <w:qFormat/>
    <w:uiPriority w:val="99"/>
    <w:rPr>
      <w:rFonts w:ascii="宋体" w:hAnsi="Times New Roman" w:eastAsia="宋体" w:cs="Times New Roman"/>
      <w:kern w:val="0"/>
      <w:sz w:val="34"/>
      <w:szCs w:val="20"/>
    </w:rPr>
  </w:style>
  <w:style w:type="character" w:customStyle="1" w:styleId="46">
    <w:name w:val="正文文本 3 Char"/>
    <w:basedOn w:val="30"/>
    <w:link w:val="12"/>
    <w:semiHidden/>
    <w:qFormat/>
    <w:uiPriority w:val="99"/>
    <w:rPr>
      <w:rFonts w:ascii="Times New Roman" w:hAnsi="Times New Roman" w:eastAsia="宋体" w:cs="Times New Roman"/>
      <w:color w:val="FF0000"/>
      <w:sz w:val="24"/>
      <w:szCs w:val="24"/>
    </w:rPr>
  </w:style>
  <w:style w:type="character" w:customStyle="1" w:styleId="47">
    <w:name w:val="纯文本 Char"/>
    <w:basedOn w:val="30"/>
    <w:link w:val="16"/>
    <w:qFormat/>
    <w:uiPriority w:val="0"/>
    <w:rPr>
      <w:rFonts w:eastAsia="宋体"/>
      <w:sz w:val="24"/>
    </w:rPr>
  </w:style>
  <w:style w:type="character" w:customStyle="1" w:styleId="48">
    <w:name w:val="批注框文本 Char1"/>
    <w:basedOn w:val="30"/>
    <w:link w:val="18"/>
    <w:semiHidden/>
    <w:qFormat/>
    <w:uiPriority w:val="99"/>
    <w:rPr>
      <w:sz w:val="18"/>
      <w:szCs w:val="18"/>
    </w:rPr>
  </w:style>
  <w:style w:type="paragraph" w:styleId="49">
    <w:name w:val="List Paragraph"/>
    <w:basedOn w:val="1"/>
    <w:qFormat/>
    <w:uiPriority w:val="34"/>
    <w:pPr>
      <w:ind w:firstLine="420" w:firstLineChars="200"/>
    </w:pPr>
  </w:style>
  <w:style w:type="paragraph" w:customStyle="1" w:styleId="50">
    <w:name w:val="无间隔1"/>
    <w:basedOn w:val="1"/>
    <w:qFormat/>
    <w:uiPriority w:val="99"/>
    <w:pPr>
      <w:spacing w:line="400" w:lineRule="exact"/>
    </w:pPr>
    <w:rPr>
      <w:sz w:val="24"/>
    </w:rPr>
  </w:style>
  <w:style w:type="paragraph" w:customStyle="1" w:styleId="51">
    <w:name w:val="列出段落1"/>
    <w:basedOn w:val="1"/>
    <w:qFormat/>
    <w:uiPriority w:val="99"/>
    <w:pPr>
      <w:ind w:firstLine="420" w:firstLineChars="200"/>
    </w:pPr>
  </w:style>
  <w:style w:type="paragraph" w:customStyle="1" w:styleId="52">
    <w:name w:val="*正文"/>
    <w:basedOn w:val="1"/>
    <w:qFormat/>
    <w:uiPriority w:val="99"/>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4">
    <w:name w:val="正文文本缩进 Char Char"/>
    <w:link w:val="55"/>
    <w:qFormat/>
    <w:locked/>
    <w:uiPriority w:val="0"/>
    <w:rPr>
      <w:rFonts w:ascii="宋体" w:hAnsi="宋体" w:eastAsia="宋体"/>
      <w:sz w:val="24"/>
    </w:rPr>
  </w:style>
  <w:style w:type="paragraph" w:customStyle="1" w:styleId="55">
    <w:name w:val="正文文本缩进1"/>
    <w:basedOn w:val="1"/>
    <w:link w:val="54"/>
    <w:qFormat/>
    <w:uiPriority w:val="0"/>
    <w:pPr>
      <w:spacing w:line="360" w:lineRule="auto"/>
      <w:ind w:firstLine="480" w:firstLineChars="200"/>
    </w:pPr>
    <w:rPr>
      <w:rFonts w:ascii="宋体" w:hAnsi="宋体" w:eastAsia="宋体"/>
      <w:sz w:val="24"/>
    </w:rPr>
  </w:style>
  <w:style w:type="character" w:customStyle="1" w:styleId="56">
    <w:name w:val="日期 Char Char"/>
    <w:link w:val="57"/>
    <w:qFormat/>
    <w:locked/>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9">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60">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1">
    <w:name w:val="样式 标题 1 + 四号 居中 段前: 12 磅 段后: 12 磅 行距: 单倍行距"/>
    <w:basedOn w:val="5"/>
    <w:qFormat/>
    <w:uiPriority w:val="99"/>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3">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4">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5">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6">
    <w:name w:val="表格样式 2"/>
    <w:qFormat/>
    <w:uiPriority w:val="99"/>
    <w:rPr>
      <w:rFonts w:ascii="Arial Unicode MS" w:hAnsi="Arial Unicode MS" w:eastAsia="Helvetica Neue" w:cs="宋体"/>
      <w:color w:val="000000"/>
      <w:lang w:val="zh-CN" w:eastAsia="zh-CN" w:bidi="ar-SA"/>
    </w:rPr>
  </w:style>
  <w:style w:type="paragraph" w:customStyle="1" w:styleId="67">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8">
    <w:name w:val="正文文本缩进 Char"/>
    <w:basedOn w:val="30"/>
    <w:qFormat/>
    <w:uiPriority w:val="0"/>
  </w:style>
  <w:style w:type="character" w:customStyle="1" w:styleId="69">
    <w:name w:val="批注框文本 Char"/>
    <w:basedOn w:val="30"/>
    <w:semiHidden/>
    <w:qFormat/>
    <w:uiPriority w:val="99"/>
    <w:rPr>
      <w:sz w:val="18"/>
      <w:szCs w:val="18"/>
    </w:rPr>
  </w:style>
  <w:style w:type="character" w:customStyle="1" w:styleId="70">
    <w:name w:val="HTML 预设格式 Char"/>
    <w:basedOn w:val="30"/>
    <w:semiHidden/>
    <w:qFormat/>
    <w:uiPriority w:val="99"/>
    <w:rPr>
      <w:rFonts w:hint="eastAsia" w:ascii="宋体" w:hAnsi="宋体" w:eastAsia="宋体" w:cs="宋体"/>
      <w:kern w:val="0"/>
      <w:sz w:val="24"/>
      <w:szCs w:val="24"/>
    </w:rPr>
  </w:style>
  <w:style w:type="character" w:customStyle="1" w:styleId="71">
    <w:name w:val="纯文本 Char1"/>
    <w:qFormat/>
    <w:uiPriority w:val="0"/>
    <w:rPr>
      <w:rFonts w:hint="eastAsia" w:ascii="宋体" w:hAnsi="宋体" w:eastAsia="宋体"/>
      <w:sz w:val="24"/>
    </w:rPr>
  </w:style>
  <w:style w:type="character" w:customStyle="1" w:styleId="72">
    <w:name w:val="edittexttarea"/>
    <w:basedOn w:val="30"/>
    <w:qFormat/>
    <w:uiPriority w:val="0"/>
  </w:style>
  <w:style w:type="character" w:customStyle="1" w:styleId="73">
    <w:name w:val="font01"/>
    <w:basedOn w:val="30"/>
    <w:qFormat/>
    <w:uiPriority w:val="0"/>
    <w:rPr>
      <w:rFonts w:hint="eastAsia" w:ascii="宋体" w:hAnsi="宋体" w:eastAsia="宋体" w:cs="宋体"/>
      <w:color w:val="000000"/>
      <w:sz w:val="22"/>
      <w:szCs w:val="22"/>
      <w:u w:val="none"/>
    </w:rPr>
  </w:style>
  <w:style w:type="character" w:customStyle="1" w:styleId="74">
    <w:name w:val="font31"/>
    <w:basedOn w:val="30"/>
    <w:qFormat/>
    <w:uiPriority w:val="0"/>
    <w:rPr>
      <w:rFonts w:hint="default" w:ascii="Calibri" w:hAnsi="Calibri" w:cs="Calibri"/>
      <w:b/>
      <w:color w:val="000000"/>
      <w:sz w:val="18"/>
      <w:szCs w:val="18"/>
      <w:u w:val="none"/>
    </w:rPr>
  </w:style>
  <w:style w:type="character" w:customStyle="1" w:styleId="75">
    <w:name w:val="font121"/>
    <w:basedOn w:val="30"/>
    <w:qFormat/>
    <w:uiPriority w:val="0"/>
    <w:rPr>
      <w:rFonts w:hint="eastAsia" w:ascii="宋体" w:hAnsi="宋体" w:eastAsia="宋体" w:cs="宋体"/>
      <w:color w:val="000000"/>
      <w:sz w:val="18"/>
      <w:szCs w:val="18"/>
      <w:u w:val="none"/>
    </w:rPr>
  </w:style>
  <w:style w:type="character" w:customStyle="1" w:styleId="76">
    <w:name w:val="font91"/>
    <w:basedOn w:val="30"/>
    <w:qFormat/>
    <w:uiPriority w:val="0"/>
    <w:rPr>
      <w:rFonts w:hint="eastAsia" w:ascii="宋体" w:hAnsi="宋体" w:eastAsia="宋体" w:cs="宋体"/>
      <w:color w:val="000000"/>
      <w:sz w:val="18"/>
      <w:szCs w:val="18"/>
      <w:u w:val="none"/>
    </w:rPr>
  </w:style>
  <w:style w:type="character" w:customStyle="1" w:styleId="77">
    <w:name w:val="font112"/>
    <w:basedOn w:val="30"/>
    <w:qFormat/>
    <w:uiPriority w:val="0"/>
    <w:rPr>
      <w:rFonts w:hint="eastAsia" w:ascii="宋体" w:hAnsi="宋体" w:eastAsia="宋体" w:cs="宋体"/>
      <w:color w:val="FF0000"/>
      <w:sz w:val="18"/>
      <w:szCs w:val="18"/>
      <w:u w:val="none"/>
    </w:rPr>
  </w:style>
  <w:style w:type="character" w:customStyle="1" w:styleId="78">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79">
    <w:name w:val="UserStyle_1"/>
    <w:basedOn w:val="78"/>
    <w:qFormat/>
    <w:uiPriority w:val="0"/>
    <w:rPr>
      <w:rFonts w:hint="eastAsia" w:ascii="宋体" w:hAnsi="宋体" w:eastAsia="宋体" w:cstheme="minorBidi"/>
      <w:color w:val="000000"/>
      <w:kern w:val="2"/>
      <w:sz w:val="24"/>
      <w:szCs w:val="24"/>
      <w:lang w:val="en-US" w:eastAsia="zh-CN" w:bidi="ar-SA"/>
    </w:rPr>
  </w:style>
  <w:style w:type="character" w:customStyle="1" w:styleId="80">
    <w:name w:val="UserStyle_0"/>
    <w:basedOn w:val="78"/>
    <w:qFormat/>
    <w:uiPriority w:val="0"/>
    <w:rPr>
      <w:rFonts w:hint="eastAsia" w:ascii="MS Gothic" w:hAnsi="MS Gothic" w:eastAsia="MS Gothic" w:cstheme="minorBidi"/>
      <w:color w:val="000000"/>
      <w:kern w:val="2"/>
      <w:sz w:val="24"/>
      <w:szCs w:val="24"/>
      <w:lang w:val="en-US" w:eastAsia="zh-CN" w:bidi="ar-SA"/>
    </w:rPr>
  </w:style>
  <w:style w:type="character" w:customStyle="1" w:styleId="81">
    <w:name w:val="font41"/>
    <w:basedOn w:val="30"/>
    <w:qFormat/>
    <w:uiPriority w:val="0"/>
    <w:rPr>
      <w:rFonts w:ascii="Arial" w:hAnsi="Arial" w:cs="Arial"/>
      <w:color w:val="000000"/>
      <w:sz w:val="24"/>
      <w:szCs w:val="24"/>
      <w:u w:val="none"/>
    </w:rPr>
  </w:style>
  <w:style w:type="paragraph" w:customStyle="1" w:styleId="82">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83">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84">
    <w:name w:val="font61"/>
    <w:basedOn w:val="30"/>
    <w:qFormat/>
    <w:uiPriority w:val="0"/>
    <w:rPr>
      <w:rFonts w:ascii="Tahoma" w:hAnsi="Tahoma" w:eastAsia="Tahoma" w:cs="Tahoma"/>
      <w:color w:val="000000"/>
      <w:sz w:val="22"/>
      <w:szCs w:val="22"/>
      <w:u w:val="none"/>
    </w:rPr>
  </w:style>
  <w:style w:type="character" w:customStyle="1" w:styleId="85">
    <w:name w:val="font71"/>
    <w:basedOn w:val="30"/>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77</Pages>
  <Words>8259</Words>
  <Characters>47080</Characters>
  <Lines>392</Lines>
  <Paragraphs>110</Paragraphs>
  <TotalTime>2</TotalTime>
  <ScaleCrop>false</ScaleCrop>
  <LinksUpToDate>false</LinksUpToDate>
  <CharactersWithSpaces>55229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Administrator</dc:creator>
  <cp:lastModifiedBy>风的季节。</cp:lastModifiedBy>
  <cp:lastPrinted>2023-12-13T07:59:00Z</cp:lastPrinted>
  <dcterms:modified xsi:type="dcterms:W3CDTF">2023-12-19T07:32:18Z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333EF6E9EDD4414BBF4D136E0424FEDF</vt:lpwstr>
  </property>
</Properties>
</file>