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YZCG-DLT2023125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禹州市市场监督管理局创建国家食品安全示范城市宣传专项项目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（不见面开标）</w:t>
      </w:r>
      <w:r>
        <w:rPr>
          <w:rFonts w:hint="eastAsia" w:ascii="宋体" w:hAnsi="宋体" w:cs="宋体"/>
          <w:b/>
          <w:bCs/>
          <w:sz w:val="28"/>
          <w:szCs w:val="28"/>
        </w:rPr>
        <w:t>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1、采购项目编号：禹财竞谈-2023-101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2、采购项目名称：禹州市市场监督管理局创建国家食品安全示</w:t>
      </w:r>
      <w:bookmarkStart w:id="0" w:name="_GoBack"/>
      <w:bookmarkEnd w:id="0"/>
      <w:r>
        <w:rPr>
          <w:rFonts w:hint="eastAsia"/>
        </w:rPr>
        <w:t>范城市宣传专项项目（不见面开标）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27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3"/>
        <w:tblW w:w="499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820"/>
        <w:gridCol w:w="1546"/>
        <w:gridCol w:w="1413"/>
        <w:gridCol w:w="1544"/>
        <w:gridCol w:w="1325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YZCG-DLT2023125 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禹州市市场监督管理局创建国家食品安全示范城市宣传专项项目</w:t>
            </w:r>
            <w:r>
              <w:rPr>
                <w:rFonts w:hint="eastAsia"/>
                <w:lang w:val="en-US" w:eastAsia="zh-CN"/>
              </w:rPr>
              <w:t>第一标段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禹州市奥兴广告装饰有限公司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禹州市夏都街道颍河大街58号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541157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禹州市市场监督管理局创建国家食品安全示范城市宣传专项项目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>YZCG-DLT2023125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禹州市市场监督管理局创建国家食品安全示范城市宣传专项项目</w:t>
            </w:r>
            <w:r>
              <w:rPr>
                <w:rFonts w:hint="eastAsia"/>
                <w:lang w:val="en-US" w:eastAsia="zh-CN"/>
              </w:rPr>
              <w:t>第二标段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京航建设有限公司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林州市龙泉山路保健西巷 35-2号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145319.9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禹州市市场监督管理局创建国家食品安全示范城市宣传专项项目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程超锋（采购人代表）、岳电欣（主任）、张国民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收费金额：</w:t>
      </w:r>
      <w:r>
        <w:rPr>
          <w:rFonts w:hint="eastAsia"/>
          <w:lang w:val="en-US" w:eastAsia="zh-CN"/>
        </w:rPr>
        <w:t>11600</w:t>
      </w:r>
      <w:r>
        <w:rPr>
          <w:rFonts w:hint="eastAsia"/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受理部门：禹州市财政局政府采购监督管理办公室 受理电话：0374-8112523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电子邮箱：yzscgb8112523@163.com 通讯地址：禹州市行政北路2号禹州市财政局1305房间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采购单位：禹州市市场监督管理局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址：禹州市行政南路70号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联系人：李先生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联系电话：13937460878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代理机构：建基工程咨询有限公司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址：河南省郑州市管城回族区正商向阳广场a座1401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联系人：刘女士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联系电话：15303996356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zY5MzllNGI2MDAzMmJlODBkZDJmYWFjYTM3ODA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A36F5B"/>
    <w:rsid w:val="05B727A5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9C013D1"/>
    <w:rsid w:val="1ADA02D8"/>
    <w:rsid w:val="1CED6FE2"/>
    <w:rsid w:val="1F3233D2"/>
    <w:rsid w:val="20B30B3E"/>
    <w:rsid w:val="22AC4010"/>
    <w:rsid w:val="23443FCE"/>
    <w:rsid w:val="236A5949"/>
    <w:rsid w:val="23DA7B95"/>
    <w:rsid w:val="24A4269D"/>
    <w:rsid w:val="25F30EB4"/>
    <w:rsid w:val="26410E6E"/>
    <w:rsid w:val="26B446CD"/>
    <w:rsid w:val="27B32BD6"/>
    <w:rsid w:val="285C326E"/>
    <w:rsid w:val="28D623C9"/>
    <w:rsid w:val="298D42FE"/>
    <w:rsid w:val="2B05384F"/>
    <w:rsid w:val="2BD63337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775EF4"/>
    <w:rsid w:val="40A1724E"/>
    <w:rsid w:val="41926B13"/>
    <w:rsid w:val="421F610D"/>
    <w:rsid w:val="44922AC2"/>
    <w:rsid w:val="44BD15A4"/>
    <w:rsid w:val="45356CB8"/>
    <w:rsid w:val="458E5671"/>
    <w:rsid w:val="47BB27CB"/>
    <w:rsid w:val="47FB6FC1"/>
    <w:rsid w:val="48B13A68"/>
    <w:rsid w:val="4B1C4B8C"/>
    <w:rsid w:val="4D73058E"/>
    <w:rsid w:val="4DC813D8"/>
    <w:rsid w:val="4EC570E5"/>
    <w:rsid w:val="4FEE214E"/>
    <w:rsid w:val="50F90AAD"/>
    <w:rsid w:val="51861ACE"/>
    <w:rsid w:val="544710D7"/>
    <w:rsid w:val="55817685"/>
    <w:rsid w:val="55A35789"/>
    <w:rsid w:val="575B74ED"/>
    <w:rsid w:val="58085F89"/>
    <w:rsid w:val="58CD6AD3"/>
    <w:rsid w:val="594D3DC8"/>
    <w:rsid w:val="59C94EF3"/>
    <w:rsid w:val="5CC76201"/>
    <w:rsid w:val="5DA03565"/>
    <w:rsid w:val="5F530220"/>
    <w:rsid w:val="62EE3135"/>
    <w:rsid w:val="63954464"/>
    <w:rsid w:val="66856E25"/>
    <w:rsid w:val="69CA434C"/>
    <w:rsid w:val="6ACF058B"/>
    <w:rsid w:val="6BF54F73"/>
    <w:rsid w:val="6CB06CB1"/>
    <w:rsid w:val="6D5338E5"/>
    <w:rsid w:val="6D9F6078"/>
    <w:rsid w:val="6E623FDB"/>
    <w:rsid w:val="70891CF3"/>
    <w:rsid w:val="70BC6AB9"/>
    <w:rsid w:val="71DA0B5A"/>
    <w:rsid w:val="740D49E9"/>
    <w:rsid w:val="74412AB4"/>
    <w:rsid w:val="745D0C66"/>
    <w:rsid w:val="78107FB9"/>
    <w:rsid w:val="78626662"/>
    <w:rsid w:val="78C149FA"/>
    <w:rsid w:val="793F7BCE"/>
    <w:rsid w:val="799B1C8A"/>
    <w:rsid w:val="7E134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681</Words>
  <Characters>808</Characters>
  <Lines>1</Lines>
  <Paragraphs>1</Paragraphs>
  <TotalTime>1</TotalTime>
  <ScaleCrop>false</ScaleCrop>
  <LinksUpToDate>false</LinksUpToDate>
  <CharactersWithSpaces>834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.唯一 D.se彩</cp:lastModifiedBy>
  <cp:lastPrinted>2022-09-18T23:19:00Z</cp:lastPrinted>
  <dcterms:modified xsi:type="dcterms:W3CDTF">2023-12-04T09:39:54Z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9E82F0D9ED7044C79B51D92F6872CD56</vt:lpwstr>
  </property>
</Properties>
</file>