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auto"/>
          <w:sz w:val="44"/>
          <w:szCs w:val="44"/>
          <w:highlight w:val="none"/>
        </w:rPr>
      </w:pPr>
    </w:p>
    <w:p>
      <w:pPr>
        <w:jc w:val="center"/>
        <w:rPr>
          <w:rFonts w:hint="eastAsia" w:ascii="黑体" w:hAnsi="黑体" w:eastAsia="黑体" w:cs="黑体"/>
          <w:bCs/>
          <w:color w:val="auto"/>
          <w:sz w:val="44"/>
          <w:szCs w:val="44"/>
          <w:highlight w:val="none"/>
          <w:lang w:eastAsia="zh-CN"/>
        </w:rPr>
      </w:pPr>
      <w:r>
        <w:rPr>
          <w:rFonts w:hint="eastAsia" w:ascii="黑体" w:hAnsi="黑体" w:eastAsia="黑体" w:cs="黑体"/>
          <w:bCs/>
          <w:color w:val="auto"/>
          <w:sz w:val="44"/>
          <w:szCs w:val="44"/>
          <w:highlight w:val="none"/>
          <w:lang w:eastAsia="zh-CN"/>
        </w:rPr>
        <w:t>禹州市文化广电和旅游局禹州城隍庙维修保护工程（三期）项目</w:t>
      </w:r>
    </w:p>
    <w:p>
      <w:pP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rPr>
        <w:t>（不见面开标）</w:t>
      </w:r>
    </w:p>
    <w:p>
      <w:pPr>
        <w:pStyle w:val="33"/>
        <w:ind w:firstLine="1724"/>
        <w:rPr>
          <w:rFonts w:ascii="华文隶书" w:eastAsia="华文隶书"/>
          <w:bCs/>
          <w:color w:val="auto"/>
          <w:w w:val="90"/>
          <w:sz w:val="96"/>
          <w:highlight w:val="none"/>
        </w:rPr>
      </w:pPr>
      <w:bookmarkStart w:id="7" w:name="_GoBack"/>
      <w:bookmarkEnd w:id="7"/>
    </w:p>
    <w:p>
      <w:pPr>
        <w:pStyle w:val="33"/>
        <w:ind w:firstLine="1724"/>
        <w:rPr>
          <w:rFonts w:ascii="华文隶书" w:eastAsia="华文隶书"/>
          <w:bCs/>
          <w:color w:val="auto"/>
          <w:w w:val="90"/>
          <w:sz w:val="96"/>
          <w:highlight w:val="none"/>
        </w:rPr>
      </w:pPr>
    </w:p>
    <w:p>
      <w:pPr>
        <w:pStyle w:val="33"/>
        <w:rPr>
          <w:color w:val="auto"/>
          <w:highlight w:val="none"/>
        </w:rPr>
      </w:pPr>
    </w:p>
    <w:p>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tabs>
          <w:tab w:val="left" w:pos="3506"/>
        </w:tabs>
        <w:rPr>
          <w:rFonts w:ascii="微软简隶书" w:eastAsia="微软简隶书"/>
          <w:color w:val="auto"/>
          <w:highlight w:val="none"/>
        </w:rPr>
      </w:pPr>
      <w:r>
        <w:rPr>
          <w:rFonts w:hint="eastAsia" w:ascii="微软简隶书" w:eastAsia="微软简隶书"/>
          <w:color w:val="auto"/>
          <w:highlight w:val="none"/>
        </w:rPr>
        <w:tab/>
      </w:r>
    </w:p>
    <w:p>
      <w:pPr>
        <w:pStyle w:val="33"/>
        <w:ind w:firstLine="0" w:firstLineChars="0"/>
        <w:rPr>
          <w:rFonts w:ascii="微软简隶书" w:eastAsia="微软简隶书"/>
          <w:color w:val="auto"/>
          <w:highlight w:val="none"/>
        </w:rPr>
      </w:pPr>
    </w:p>
    <w:p>
      <w:pPr>
        <w:pStyle w:val="33"/>
        <w:rPr>
          <w:rFonts w:ascii="微软简隶书" w:eastAsia="微软简隶书"/>
          <w:color w:val="auto"/>
          <w:highlight w:val="none"/>
        </w:rPr>
      </w:pPr>
    </w:p>
    <w:p>
      <w:pPr>
        <w:rPr>
          <w:rFonts w:ascii="微软简隶书" w:eastAsia="微软简隶书"/>
          <w:color w:val="auto"/>
          <w:highlight w:val="none"/>
        </w:rPr>
      </w:pPr>
    </w:p>
    <w:p>
      <w:pPr>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YZCG-DLT2023111</w:t>
      </w:r>
      <w:r>
        <w:rPr>
          <w:rFonts w:hint="eastAsia" w:asciiTheme="majorEastAsia" w:hAnsiTheme="majorEastAsia" w:eastAsiaTheme="majorEastAsia" w:cstheme="majorEastAsia"/>
          <w:b/>
          <w:bCs/>
          <w:color w:val="auto"/>
          <w:sz w:val="36"/>
          <w:szCs w:val="36"/>
          <w:highlight w:val="none"/>
          <w:lang w:val="en-US" w:eastAsia="zh-CN"/>
        </w:rPr>
        <w:t xml:space="preserve"> </w:t>
      </w:r>
    </w:p>
    <w:p>
      <w:pPr>
        <w:ind w:firstLine="1084" w:firstLineChars="3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禹州市文化广电和旅游局</w:t>
      </w:r>
    </w:p>
    <w:p>
      <w:pPr>
        <w:ind w:firstLine="1084" w:firstLineChars="300"/>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 xml:space="preserve">河南苍柏工程管理服务有限公司 </w:t>
      </w:r>
    </w:p>
    <w:p>
      <w:pP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二〇二三年</w:t>
      </w:r>
      <w:r>
        <w:rPr>
          <w:rFonts w:hint="eastAsia" w:asciiTheme="majorEastAsia" w:hAnsiTheme="majorEastAsia" w:eastAsiaTheme="majorEastAsia" w:cstheme="majorEastAsia"/>
          <w:b/>
          <w:bCs/>
          <w:color w:val="auto"/>
          <w:sz w:val="36"/>
          <w:szCs w:val="36"/>
          <w:highlight w:val="none"/>
          <w:lang w:val="en-US" w:eastAsia="zh-CN"/>
        </w:rPr>
        <w:t>十</w:t>
      </w:r>
      <w:r>
        <w:rPr>
          <w:rFonts w:hint="eastAsia" w:asciiTheme="majorEastAsia" w:hAnsiTheme="majorEastAsia" w:eastAsiaTheme="majorEastAsia" w:cstheme="majorEastAsia"/>
          <w:b/>
          <w:bCs/>
          <w:color w:val="auto"/>
          <w:sz w:val="36"/>
          <w:szCs w:val="36"/>
          <w:highlight w:val="none"/>
        </w:rPr>
        <w:t>月</w:t>
      </w:r>
    </w:p>
    <w:p>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pPr>
        <w:pStyle w:val="25"/>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lang w:eastAsia="zh-CN"/>
        </w:rPr>
        <w:t>禹州市文化广电和旅游局禹州城隍庙维修保护工程（三期）项目</w:t>
      </w:r>
      <w:r>
        <w:rPr>
          <w:rFonts w:hint="eastAsia" w:cs="微软雅黑" w:asciiTheme="majorEastAsia" w:hAnsiTheme="majorEastAsia" w:eastAsiaTheme="majorEastAsia"/>
          <w:b/>
          <w:color w:val="auto"/>
          <w:sz w:val="28"/>
          <w:szCs w:val="28"/>
          <w:highlight w:val="none"/>
        </w:rPr>
        <w:t>（不见面开标）竞争性谈判公告</w:t>
      </w:r>
    </w:p>
    <w:p>
      <w:pPr>
        <w:wordWrap w:val="0"/>
        <w:spacing w:line="360" w:lineRule="auto"/>
        <w:ind w:firstLine="420" w:firstLineChars="200"/>
        <w:rPr>
          <w:rFonts w:ascii="宋体" w:hAnsi="宋体" w:eastAsia="宋体" w:cs="仿宋_GB2312"/>
          <w:color w:val="auto"/>
          <w:sz w:val="28"/>
          <w:szCs w:val="28"/>
          <w:highlight w:val="none"/>
          <w:lang w:val="zh-CN"/>
        </w:rPr>
      </w:pPr>
      <w:r>
        <w:rPr>
          <w:rFonts w:hint="eastAsia" w:ascii="宋体" w:hAnsi="宋体" w:eastAsia="宋体" w:cs="仿宋_GB2312"/>
          <w:color w:val="auto"/>
          <w:szCs w:val="21"/>
          <w:highlight w:val="none"/>
          <w:lang w:val="zh-CN"/>
        </w:rPr>
        <w:t>河南苍柏工程管理服务有限公司受禹州市文化广电和旅游局的委托，就“禹州市文化广电和旅游局禹州城隍庙维修保护工程（三期）项目（不见面开标）”进行竞争性谈判，欢迎合格的投标商前来投标。</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一、项目基本情况</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1、采 购 人：禹州市文化广电和旅游局</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2、项目名称：禹州市文化广电和旅游局禹州城隍庙维修保护工程（三期）项目（不见面开标）</w:t>
      </w:r>
    </w:p>
    <w:p>
      <w:pPr>
        <w:wordWrap w:val="0"/>
        <w:spacing w:line="360" w:lineRule="auto"/>
        <w:ind w:firstLine="420" w:firstLineChars="200"/>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val="zh-CN"/>
        </w:rPr>
        <w:t>3、采购编号：YZCG-DLT2023111</w:t>
      </w:r>
      <w:r>
        <w:rPr>
          <w:rFonts w:hint="eastAsia" w:ascii="宋体" w:hAnsi="宋体" w:eastAsia="宋体" w:cs="仿宋_GB2312"/>
          <w:color w:val="auto"/>
          <w:szCs w:val="21"/>
          <w:highlight w:val="none"/>
          <w:lang w:val="en-US" w:eastAsia="zh-CN"/>
        </w:rPr>
        <w:t xml:space="preserve"> </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4、项目需求：禹州市文化广电和旅游局禹州城隍庙维修保护工程（三期）项目，</w:t>
      </w:r>
      <w:r>
        <w:rPr>
          <w:rFonts w:hint="eastAsia" w:ascii="宋体" w:hAnsi="宋体" w:eastAsia="宋体" w:cs="仿宋_GB2312"/>
          <w:color w:val="auto"/>
          <w:szCs w:val="21"/>
          <w:highlight w:val="none"/>
        </w:rPr>
        <w:t>共划分一个标段（详见谈判文件第二章项目需求）；</w:t>
      </w:r>
    </w:p>
    <w:p>
      <w:pPr>
        <w:wordWrap w:val="0"/>
        <w:spacing w:line="360" w:lineRule="auto"/>
        <w:ind w:firstLine="420" w:firstLineChars="200"/>
        <w:rPr>
          <w:rFonts w:ascii="宋体" w:hAnsi="宋体" w:eastAsia="宋体" w:cs="仿宋_GB2312"/>
          <w:color w:val="auto"/>
          <w:szCs w:val="21"/>
          <w:highlight w:val="none"/>
        </w:rPr>
      </w:pPr>
      <w:r>
        <w:rPr>
          <w:rFonts w:ascii="宋体" w:hAnsi="宋体" w:eastAsia="宋体" w:cs="仿宋_GB2312"/>
          <w:color w:val="auto"/>
          <w:szCs w:val="21"/>
          <w:highlight w:val="none"/>
          <w:lang w:val="zh-CN"/>
        </w:rPr>
        <w:t>5</w:t>
      </w:r>
      <w:r>
        <w:rPr>
          <w:rFonts w:hint="eastAsia" w:ascii="宋体" w:hAnsi="宋体" w:eastAsia="宋体" w:cs="仿宋_GB2312"/>
          <w:color w:val="auto"/>
          <w:szCs w:val="21"/>
          <w:highlight w:val="none"/>
          <w:lang w:val="zh-CN"/>
        </w:rPr>
        <w:t>、采购预算：</w:t>
      </w:r>
      <w:r>
        <w:rPr>
          <w:rFonts w:hint="eastAsia" w:ascii="宋体" w:hAnsi="宋体" w:eastAsia="宋体" w:cs="仿宋_GB2312"/>
          <w:color w:val="auto"/>
          <w:szCs w:val="21"/>
          <w:highlight w:val="none"/>
          <w:lang w:val="zh-CN" w:eastAsia="zh-CN"/>
        </w:rPr>
        <w:t>631472.05</w:t>
      </w:r>
      <w:r>
        <w:rPr>
          <w:rFonts w:hint="eastAsia" w:ascii="宋体" w:hAnsi="宋体" w:eastAsia="宋体" w:cs="仿宋_GB2312"/>
          <w:color w:val="auto"/>
          <w:szCs w:val="21"/>
          <w:highlight w:val="none"/>
          <w:lang w:val="zh-CN"/>
        </w:rPr>
        <w:t>元</w:t>
      </w:r>
      <w:r>
        <w:rPr>
          <w:rFonts w:hint="eastAsia" w:ascii="宋体" w:hAnsi="宋体" w:eastAsia="宋体" w:cs="仿宋_GB2312"/>
          <w:color w:val="auto"/>
          <w:szCs w:val="21"/>
          <w:highlight w:val="none"/>
        </w:rPr>
        <w:t>；</w:t>
      </w:r>
      <w:r>
        <w:rPr>
          <w:rFonts w:ascii="宋体" w:hAnsi="宋体" w:eastAsia="宋体" w:cs="仿宋_GB2312"/>
          <w:color w:val="auto"/>
          <w:szCs w:val="21"/>
          <w:highlight w:val="none"/>
        </w:rPr>
        <w:t xml:space="preserve"> </w:t>
      </w:r>
    </w:p>
    <w:p>
      <w:pPr>
        <w:wordWrap w:val="0"/>
        <w:spacing w:line="360" w:lineRule="auto"/>
        <w:ind w:firstLine="420" w:firstLineChars="200"/>
        <w:rPr>
          <w:rFonts w:ascii="宋体" w:hAnsi="宋体" w:eastAsia="宋体" w:cs="仿宋_GB2312"/>
          <w:color w:val="auto"/>
          <w:szCs w:val="21"/>
          <w:highlight w:val="none"/>
          <w:lang w:val="zh-CN"/>
        </w:rPr>
      </w:pPr>
      <w:r>
        <w:rPr>
          <w:rFonts w:ascii="宋体" w:hAnsi="宋体" w:eastAsia="宋体" w:cs="仿宋_GB2312"/>
          <w:color w:val="auto"/>
          <w:szCs w:val="21"/>
          <w:highlight w:val="none"/>
          <w:lang w:val="zh-CN"/>
        </w:rPr>
        <w:t>6</w:t>
      </w:r>
      <w:r>
        <w:rPr>
          <w:rFonts w:hint="eastAsia" w:ascii="宋体" w:hAnsi="宋体" w:eastAsia="宋体" w:cs="仿宋_GB2312"/>
          <w:color w:val="auto"/>
          <w:szCs w:val="21"/>
          <w:highlight w:val="none"/>
          <w:lang w:val="zh-CN"/>
        </w:rPr>
        <w:t>、合同履行期限：合同签订后60日历天。</w:t>
      </w:r>
      <w:r>
        <w:rPr>
          <w:rFonts w:ascii="宋体" w:hAnsi="宋体" w:eastAsia="宋体" w:cs="仿宋_GB2312"/>
          <w:color w:val="auto"/>
          <w:szCs w:val="21"/>
          <w:highlight w:val="none"/>
          <w:lang w:val="zh-CN"/>
        </w:rPr>
        <w:tab/>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二、需要落实的政府采购政策</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三、供应商资格要求</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2</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本项目的特定资格要求</w:t>
      </w:r>
      <w:r>
        <w:rPr>
          <w:rFonts w:hint="eastAsia" w:ascii="宋体" w:hAnsi="宋体" w:eastAsia="宋体" w:cs="仿宋_GB2312"/>
          <w:color w:val="auto"/>
          <w:szCs w:val="21"/>
          <w:highlight w:val="none"/>
          <w:lang w:eastAsia="zh-CN"/>
        </w:rPr>
        <w:t>：投标人</w:t>
      </w:r>
      <w:r>
        <w:rPr>
          <w:rFonts w:hint="eastAsia" w:ascii="宋体" w:hAnsi="宋体" w:eastAsia="宋体" w:cs="仿宋_GB2312"/>
          <w:color w:val="auto"/>
          <w:szCs w:val="21"/>
          <w:highlight w:val="none"/>
          <w:lang w:val="en-US" w:eastAsia="zh-CN"/>
        </w:rPr>
        <w:t>须具备省级及以上文物主管部门颁发的文物保护工程施工二级及以上资质</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拟派项目负责人必须具有省级及以上文物行政部门颁发的文物保护工程资格证书或岗位培训证书</w:t>
      </w:r>
      <w:r>
        <w:rPr>
          <w:rFonts w:hint="eastAsia" w:ascii="宋体" w:hAnsi="宋体" w:eastAsia="宋体" w:cs="仿宋_GB2312"/>
          <w:color w:val="auto"/>
          <w:szCs w:val="21"/>
          <w:highlight w:val="none"/>
          <w:lang w:eastAsia="zh-CN"/>
        </w:rPr>
        <w:t>。</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3、本项目不接受联合体投标。</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四、获取谈判文件的方式</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（一）持CA数字认证证书，登录《全国公共资源交易平台（河南省·许昌市）》“系统用户注册”入口</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http://ggzy.xuchang.gov.cn:8088/ggzy/eps/public/RegistAllJcxx.html）</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（二）在谈判响应截止时间前均可登录《全国公共资源交易平台（河南省·许昌市）》“投标人/供应商登录”入口</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1、响应文件提交截止时间及谈判响应截止时间、谈判时间：</w:t>
      </w:r>
      <w:r>
        <w:rPr>
          <w:rFonts w:hint="eastAsia" w:ascii="宋体" w:hAnsi="宋体" w:eastAsia="宋体" w:cs="仿宋_GB2312"/>
          <w:color w:val="auto"/>
          <w:szCs w:val="21"/>
          <w:highlight w:val="none"/>
          <w:lang w:val="zh-CN"/>
        </w:rPr>
        <w:t>2023年</w:t>
      </w:r>
      <w:r>
        <w:rPr>
          <w:rFonts w:hint="eastAsia" w:ascii="宋体" w:hAnsi="宋体" w:eastAsia="宋体" w:cs="仿宋_GB2312"/>
          <w:color w:val="auto"/>
          <w:szCs w:val="21"/>
          <w:highlight w:val="none"/>
          <w:lang w:val="en-US" w:eastAsia="zh-CN"/>
        </w:rPr>
        <w:t>10</w:t>
      </w:r>
      <w:r>
        <w:rPr>
          <w:rFonts w:hint="eastAsia" w:ascii="宋体" w:hAnsi="宋体" w:eastAsia="宋体" w:cs="仿宋_GB2312"/>
          <w:color w:val="auto"/>
          <w:szCs w:val="21"/>
          <w:highlight w:val="none"/>
          <w:lang w:val="zh-CN"/>
        </w:rPr>
        <w:t>月</w:t>
      </w:r>
      <w:r>
        <w:rPr>
          <w:rFonts w:hint="eastAsia" w:ascii="宋体" w:hAnsi="宋体" w:eastAsia="宋体" w:cs="仿宋_GB2312"/>
          <w:color w:val="auto"/>
          <w:szCs w:val="21"/>
          <w:highlight w:val="none"/>
          <w:lang w:val="en-US" w:eastAsia="zh-CN"/>
        </w:rPr>
        <w:t>20</w:t>
      </w:r>
      <w:r>
        <w:rPr>
          <w:rFonts w:hint="eastAsia" w:ascii="宋体" w:hAnsi="宋体" w:eastAsia="宋体" w:cs="仿宋_GB2312"/>
          <w:color w:val="auto"/>
          <w:szCs w:val="21"/>
          <w:highlight w:val="none"/>
          <w:lang w:val="zh-CN"/>
        </w:rPr>
        <w:t>日</w:t>
      </w:r>
      <w:r>
        <w:rPr>
          <w:rFonts w:hint="eastAsia" w:ascii="宋体" w:hAnsi="宋体" w:eastAsia="宋体" w:cs="仿宋_GB2312"/>
          <w:color w:val="auto"/>
          <w:szCs w:val="21"/>
          <w:highlight w:val="none"/>
          <w:lang w:val="en-US" w:eastAsia="zh-CN"/>
        </w:rPr>
        <w:t>08</w:t>
      </w: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30</w:t>
      </w:r>
      <w:r>
        <w:rPr>
          <w:rFonts w:hint="eastAsia" w:ascii="宋体" w:hAnsi="宋体" w:eastAsia="宋体" w:cs="仿宋_GB2312"/>
          <w:color w:val="auto"/>
          <w:szCs w:val="21"/>
          <w:highlight w:val="none"/>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2、响应文件开启时间：同响应文件提交截止时间。</w:t>
      </w:r>
      <w:r>
        <w:rPr>
          <w:rFonts w:ascii="宋体" w:hAnsi="宋体" w:eastAsia="宋体" w:cs="仿宋_GB2312"/>
          <w:color w:val="auto"/>
          <w:szCs w:val="21"/>
          <w:highlight w:val="none"/>
          <w:lang w:val="zh-CN"/>
        </w:rPr>
        <w:tab/>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六、谈判响应文件开启</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（一）谈判响应文件开启地点：禹州市公共资源交易中心九楼</w:t>
      </w:r>
      <w:r>
        <w:rPr>
          <w:rFonts w:hint="eastAsia" w:ascii="宋体" w:hAnsi="宋体" w:eastAsia="宋体" w:cs="仿宋_GB2312"/>
          <w:color w:val="auto"/>
          <w:szCs w:val="21"/>
          <w:highlight w:val="none"/>
          <w:lang w:val="zh-CN"/>
        </w:rPr>
        <w:t>第</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rPr>
        <w:t>开</w:t>
      </w:r>
      <w:r>
        <w:rPr>
          <w:rFonts w:hint="eastAsia" w:ascii="宋体" w:hAnsi="宋体" w:eastAsia="宋体" w:cs="仿宋_GB2312"/>
          <w:color w:val="auto"/>
          <w:szCs w:val="21"/>
          <w:highlight w:val="none"/>
          <w:lang w:val="zh-CN"/>
        </w:rPr>
        <w:t>标室。（本项目采用远程不见面谈判，供应商无须到达现场）。</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highlight w:val="none"/>
          <w:lang w:val="zh-CN"/>
        </w:rPr>
        <w:t>▪</w:t>
      </w:r>
      <w:r>
        <w:rPr>
          <w:rFonts w:hint="eastAsia" w:ascii="宋体" w:hAnsi="宋体" w:eastAsia="宋体" w:cs="仿宋_GB2312"/>
          <w:color w:val="auto"/>
          <w:szCs w:val="21"/>
          <w:highlight w:val="none"/>
          <w:lang w:val="zh-CN"/>
        </w:rPr>
        <w:t>许昌市)》公共资源交易系统成功上传。</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3、不见面开标大厅登录：供应商使用CA数字证书登录全国公共资源交易平台（河南省·许昌市）——进入公共资源交易系统</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八、代理机构及采购单位地址、联系人、联系电话</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采购单位：</w:t>
      </w:r>
      <w:r>
        <w:rPr>
          <w:rFonts w:hint="eastAsia" w:ascii="宋体" w:hAnsi="宋体"/>
          <w:color w:val="auto"/>
          <w:szCs w:val="21"/>
          <w:highlight w:val="none"/>
          <w:lang w:eastAsia="zh-CN"/>
        </w:rPr>
        <w:t>禹州市文化广电和旅游局</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地址：禹州市禹王大道东段170号</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王</w:t>
      </w:r>
      <w:r>
        <w:rPr>
          <w:rFonts w:hint="eastAsia" w:ascii="宋体" w:hAnsi="宋体"/>
          <w:color w:val="auto"/>
          <w:szCs w:val="21"/>
          <w:highlight w:val="none"/>
        </w:rPr>
        <w:t xml:space="preserve">先生 </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联系电话：0374-</w:t>
      </w:r>
      <w:r>
        <w:rPr>
          <w:rFonts w:hint="eastAsia" w:ascii="宋体" w:hAnsi="宋体"/>
          <w:color w:val="auto"/>
          <w:szCs w:val="21"/>
          <w:highlight w:val="none"/>
          <w:lang w:val="en-US" w:eastAsia="zh-CN"/>
        </w:rPr>
        <w:t>8184780</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 xml:space="preserve">河南苍柏工程管理服务有限公司 </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禹州市颍川办恒达.御园南园公寓楼4层407室</w:t>
      </w:r>
    </w:p>
    <w:p>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联系人：李先生</w:t>
      </w:r>
    </w:p>
    <w:p>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联系电话：0374-8335656</w:t>
      </w:r>
    </w:p>
    <w:p>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pPr>
        <w:widowControl/>
        <w:jc w:val="left"/>
        <w:rPr>
          <w:rFonts w:ascii="宋体" w:hAnsi="宋体" w:eastAsia="宋体" w:cs="宋体"/>
          <w:b/>
          <w:color w:val="auto"/>
          <w:szCs w:val="21"/>
          <w:highlight w:val="none"/>
        </w:rPr>
      </w:pPr>
    </w:p>
    <w:p>
      <w:pPr>
        <w:widowControl/>
        <w:jc w:val="left"/>
        <w:rPr>
          <w:rFonts w:ascii="宋体" w:hAnsi="宋体" w:eastAsia="宋体" w:cs="宋体"/>
          <w:b/>
          <w:color w:val="auto"/>
          <w:szCs w:val="21"/>
          <w:highlight w:val="none"/>
        </w:rPr>
      </w:pPr>
    </w:p>
    <w:p>
      <w:pPr>
        <w:pStyle w:val="2"/>
        <w:rPr>
          <w:color w:val="auto"/>
          <w:highlight w:val="none"/>
        </w:rPr>
      </w:pPr>
    </w:p>
    <w:p>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温馨提示：</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本项目为全流程电子化交易项目，请注意以下事项。</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1.供应商参加本项目投标，需提前自行联系CA服务机构办理数字认证证书并进行电子签章。</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2</w:t>
      </w:r>
      <w:r>
        <w:rPr>
          <w:rFonts w:ascii="宋体" w:hAnsi="宋体" w:eastAsia="宋体" w:cs="Times New Roman"/>
          <w:b/>
          <w:bCs/>
          <w:color w:val="auto"/>
          <w:highlight w:val="none"/>
        </w:rPr>
        <w:t>.</w:t>
      </w:r>
      <w:r>
        <w:rPr>
          <w:rFonts w:hint="eastAsia" w:ascii="宋体" w:hAnsi="宋体" w:eastAsia="宋体" w:cs="Times New Roman"/>
          <w:b/>
          <w:bCs/>
          <w:color w:val="auto"/>
          <w:highlight w:val="none"/>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auto"/>
          <w:highlight w:val="none"/>
        </w:rPr>
      </w:pPr>
      <w:r>
        <w:rPr>
          <w:rFonts w:ascii="宋体" w:hAnsi="宋体" w:eastAsia="宋体" w:cs="Times New Roman"/>
          <w:b/>
          <w:bCs/>
          <w:color w:val="auto"/>
          <w:highlight w:val="none"/>
        </w:rPr>
        <w:t>3</w:t>
      </w:r>
      <w:r>
        <w:rPr>
          <w:rFonts w:hint="eastAsia" w:ascii="宋体" w:hAnsi="宋体" w:eastAsia="宋体" w:cs="Times New Roman"/>
          <w:b/>
          <w:bCs/>
          <w:color w:val="auto"/>
          <w:highlight w:val="none"/>
        </w:rPr>
        <w:t>.电子响应文件的制作</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3</w:t>
      </w:r>
      <w:r>
        <w:rPr>
          <w:rFonts w:hint="eastAsia" w:ascii="宋体" w:hAnsi="宋体" w:eastAsia="宋体" w:cs="Times New Roman"/>
          <w:color w:val="auto"/>
          <w:highlight w:val="none"/>
        </w:rPr>
        <w:t>.1供应商登录《全国公共资源交易平台(河南省</w:t>
      </w:r>
      <w:r>
        <w:rPr>
          <w:rFonts w:ascii="宋体" w:hAnsi="宋体" w:eastAsia="宋体" w:cs="Times New Roman"/>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）下载“许昌投标文件制作系统SEARUN 最新版本”，按谈判文件要求制作电子响应文件。</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3.2</w:t>
      </w:r>
      <w:r>
        <w:rPr>
          <w:rFonts w:hint="eastAsia" w:ascii="宋体" w:hAnsi="宋体" w:eastAsia="宋体" w:cs="Times New Roman"/>
          <w:color w:val="auto"/>
          <w:highlight w:val="none"/>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auto"/>
          <w:highlight w:val="none"/>
        </w:rPr>
      </w:pPr>
      <w:r>
        <w:rPr>
          <w:rFonts w:ascii="宋体" w:hAnsi="宋体" w:eastAsia="宋体" w:cs="Times New Roman"/>
          <w:b/>
          <w:bCs/>
          <w:color w:val="auto"/>
          <w:highlight w:val="none"/>
        </w:rPr>
        <w:t>4</w:t>
      </w:r>
      <w:r>
        <w:rPr>
          <w:rFonts w:hint="eastAsia" w:ascii="宋体" w:hAnsi="宋体" w:eastAsia="宋体" w:cs="Times New Roman"/>
          <w:b/>
          <w:bCs/>
          <w:color w:val="auto"/>
          <w:highlight w:val="none"/>
        </w:rPr>
        <w:t>.加密电子响应文件的提交</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.1加密电子响应文件应按规定在谈判响应截止时间（谈判时间）之前成功提交至《全国公共资源交易平台(河南省</w:t>
      </w:r>
      <w:r>
        <w:rPr>
          <w:rFonts w:hint="eastAsia"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供应商应充分考虑并预留技术处理和上传数据所需时间。</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2 供应商对同一项目多个标段进行响应的，加密电子响应文件应按标段分别提交。</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w:t>
      </w:r>
      <w:r>
        <w:rPr>
          <w:rFonts w:ascii="宋体" w:hAnsi="宋体" w:eastAsia="宋体" w:cs="Times New Roman"/>
          <w:color w:val="auto"/>
          <w:highlight w:val="none"/>
        </w:rPr>
        <w:t>3</w:t>
      </w:r>
      <w:r>
        <w:rPr>
          <w:rFonts w:hint="eastAsia" w:ascii="宋体" w:hAnsi="宋体" w:eastAsia="宋体" w:cs="Times New Roman"/>
          <w:color w:val="auto"/>
          <w:highlight w:val="none"/>
        </w:rPr>
        <w:t xml:space="preserve"> 加密电子响应文件成功提交后，《全国公共资源交易平台(河南省</w:t>
      </w:r>
      <w:r>
        <w:rPr>
          <w:rFonts w:hint="eastAsia"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）生成“投标文件提交回执单”。</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5.远程不见面谈判（电子响应文件的解密）</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.1</w:t>
      </w:r>
      <w:r>
        <w:rPr>
          <w:rFonts w:hint="eastAsia" w:ascii="宋体" w:hAnsi="宋体" w:eastAsia="宋体" w:cs="Times New Roman"/>
          <w:color w:val="auto"/>
          <w:highlight w:val="none"/>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5.2</w:t>
      </w:r>
      <w:r>
        <w:rPr>
          <w:rFonts w:hint="eastAsia" w:ascii="宋体" w:hAnsi="宋体" w:eastAsia="宋体" w:cs="Times New Roman"/>
          <w:color w:val="auto"/>
          <w:highlight w:val="none"/>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5.3</w:t>
      </w:r>
      <w:r>
        <w:rPr>
          <w:rFonts w:hint="eastAsia" w:ascii="宋体" w:hAnsi="宋体" w:eastAsia="宋体" w:cs="Times New Roman"/>
          <w:color w:val="auto"/>
          <w:highlight w:val="none"/>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auto"/>
          <w:highlight w:val="none"/>
        </w:rPr>
        <w:t>120</w:t>
      </w:r>
      <w:r>
        <w:rPr>
          <w:rFonts w:hint="eastAsia" w:ascii="宋体" w:hAnsi="宋体" w:eastAsia="宋体" w:cs="Times New Roman"/>
          <w:color w:val="auto"/>
          <w:highlight w:val="none"/>
        </w:rPr>
        <w:t>分钟内完成）。供应商未解密或因供应商原因解密失败的，其响应文件将被拒绝。</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.4</w:t>
      </w:r>
      <w:r>
        <w:rPr>
          <w:rFonts w:hint="eastAsia" w:ascii="宋体" w:hAnsi="宋体" w:eastAsia="宋体" w:cs="Times New Roman"/>
          <w:color w:val="auto"/>
          <w:highlight w:val="none"/>
        </w:rPr>
        <w:t>开标活动结束时，供应商应在《开标记录表》上进行电子签章。供应商未签章的，视同认可开标结果。</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.5</w:t>
      </w:r>
      <w:r>
        <w:rPr>
          <w:rFonts w:hint="eastAsia" w:ascii="宋体" w:hAnsi="宋体" w:eastAsia="宋体" w:cs="Times New Roman"/>
          <w:color w:val="auto"/>
          <w:highlight w:val="none"/>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6.评审依据</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6.1全流程电子化交易（不见面谈判）项目，谈判小组以成功上传、解密的电子响应文件为依据评审。</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（1）最后报价（加盖公章，或者由法定代表人或其授权的代表签字）；</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提交方式：供应商须使用</w:t>
      </w:r>
      <w:r>
        <w:rPr>
          <w:rFonts w:ascii="宋体" w:hAnsi="宋体" w:eastAsia="宋体" w:cs="Times New Roman"/>
          <w:color w:val="auto"/>
          <w:highlight w:val="none"/>
        </w:rPr>
        <w:t>CA数字证书</w:t>
      </w:r>
      <w:r>
        <w:rPr>
          <w:rFonts w:hint="eastAsia" w:ascii="宋体" w:hAnsi="宋体" w:eastAsia="宋体" w:cs="Times New Roman"/>
          <w:color w:val="auto"/>
          <w:highlight w:val="none"/>
        </w:rPr>
        <w:t>登录《全国公共资源交易平台(河南省</w:t>
      </w:r>
      <w:r>
        <w:rPr>
          <w:rFonts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http://ggzy.xuchang.gov.cn:8088/ggzy/</w:t>
      </w:r>
      <w:r>
        <w:rPr>
          <w:rFonts w:hint="eastAsia" w:ascii="宋体" w:hAnsi="宋体" w:eastAsia="宋体" w:cs="Times New Roman"/>
          <w:color w:val="auto"/>
          <w:highlight w:val="none"/>
        </w:rPr>
        <w:t>）进行最后报价，最后报价应包括：①总报价②分项报价。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②谈判文件第二章“采购需求”中“采购清单”以工程量清单提供的，供应商应以工程量清单方式提交最后报价。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③请供应商根据项目情况，可提前准备分项报价。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（2）谈判小组如要求供应商提供“澄清、说明或者更正”；“按照谈判文件的变动情况和谈判小组的要求重新提交响应文件”；“</w:t>
      </w:r>
      <w:r>
        <w:rPr>
          <w:rFonts w:ascii="宋体" w:hAnsi="宋体" w:eastAsia="宋体" w:cs="Times New Roman"/>
          <w:color w:val="auto"/>
          <w:highlight w:val="none"/>
        </w:rPr>
        <w:t>最终设计方案或解决方案</w:t>
      </w:r>
      <w:r>
        <w:rPr>
          <w:rFonts w:hint="eastAsia" w:ascii="宋体" w:hAnsi="宋体" w:eastAsia="宋体" w:cs="Times New Roman"/>
          <w:color w:val="auto"/>
          <w:highlight w:val="none"/>
        </w:rPr>
        <w:t>”的，供应商提供的书面材料应加盖公章，或者由法定代表人或其授权的代表签字后通过电子邮件形式提供。</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auto"/>
          <w:highlight w:val="none"/>
        </w:rPr>
      </w:pPr>
    </w:p>
    <w:p>
      <w:pPr>
        <w:spacing w:line="360" w:lineRule="auto"/>
        <w:rPr>
          <w:rFonts w:ascii="宋体" w:hAnsi="宋体" w:eastAsia="宋体" w:cs="Times New Roman"/>
          <w:color w:val="auto"/>
          <w:highlight w:val="none"/>
        </w:rPr>
      </w:pPr>
    </w:p>
    <w:p>
      <w:pPr>
        <w:pStyle w:val="33"/>
        <w:rPr>
          <w:color w:val="auto"/>
          <w:highlight w:val="none"/>
        </w:rPr>
      </w:pPr>
      <w:r>
        <w:rPr>
          <w:color w:val="auto"/>
          <w:highlight w:val="none"/>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本项目需实现的功能或者目标</w:t>
      </w:r>
    </w:p>
    <w:p>
      <w:pPr>
        <w:widowControl/>
        <w:spacing w:line="360" w:lineRule="auto"/>
        <w:ind w:firstLine="420" w:firstLineChars="200"/>
        <w:contextualSpacing/>
        <w:jc w:val="left"/>
        <w:rPr>
          <w:rFonts w:hint="eastAsia" w:asciiTheme="majorEastAsia" w:hAnsiTheme="majorEastAsia" w:eastAsiaTheme="majorEastAsia" w:cstheme="majorEastAsia"/>
          <w:color w:val="auto"/>
          <w:szCs w:val="21"/>
          <w:highlight w:val="none"/>
          <w:lang w:eastAsia="zh-CN"/>
        </w:rPr>
      </w:pPr>
      <w:r>
        <w:rPr>
          <w:rFonts w:hint="eastAsia" w:ascii="宋体" w:hAnsi="宋体" w:eastAsia="宋体" w:cs="仿宋_GB2312"/>
          <w:color w:val="auto"/>
          <w:szCs w:val="21"/>
          <w:highlight w:val="none"/>
          <w:lang w:val="zh-CN"/>
        </w:rPr>
        <w:t>禹州市文化广电和旅游局禹州城隍庙维修保护工程（三期）项目</w:t>
      </w:r>
      <w:r>
        <w:rPr>
          <w:rFonts w:hint="eastAsia" w:asciiTheme="majorEastAsia" w:hAnsiTheme="majorEastAsia" w:eastAsiaTheme="majorEastAsia" w:cstheme="majorEastAsia"/>
          <w:color w:val="auto"/>
          <w:szCs w:val="21"/>
          <w:highlight w:val="none"/>
          <w:lang w:eastAsia="zh-CN"/>
        </w:rPr>
        <w:t>，主要施工内容有：屋面拆除与维修；大木构件制作和安装；屋面木基层维修；墙体挖补和砌筑；内墙面抹灰；重做室内外地面；更换木装修等项目。</w:t>
      </w:r>
    </w:p>
    <w:p>
      <w:pPr>
        <w:widowControl/>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二、工程量清单及施工图纸：（详见附件电子版）</w:t>
      </w:r>
    </w:p>
    <w:p>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按照国家相关标准执行（合格）。</w:t>
      </w:r>
    </w:p>
    <w:p>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质量要求：合格；</w:t>
      </w:r>
    </w:p>
    <w:p>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合同履行期限：合同签订后60日历天。</w:t>
      </w:r>
    </w:p>
    <w:p>
      <w:pPr>
        <w:wordWrap w:val="0"/>
        <w:topLinePunct/>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auto"/>
          <w:szCs w:val="21"/>
          <w:highlight w:val="none"/>
        </w:rPr>
        <w:t>应此要</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auto"/>
          <w:szCs w:val="21"/>
          <w:highlight w:val="none"/>
        </w:rPr>
        <w:t>求</w:t>
      </w:r>
      <w:r>
        <w:rPr>
          <w:rFonts w:hint="eastAsia" w:ascii="宋体" w:cs="宋体"/>
          <w:color w:val="auto"/>
          <w:szCs w:val="21"/>
          <w:highlight w:val="none"/>
        </w:rPr>
        <w:t>。</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响应文件中须有详细合理的实施（技术）方案，否则为无效响应文件。</w:t>
      </w:r>
    </w:p>
    <w:p>
      <w:pPr>
        <w:wordWrap w:val="0"/>
        <w:topLinePunct/>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lang w:val="zh-CN"/>
        </w:rPr>
        <w:t>投标人应就该项目完整投标（报价含运输费、税费等综合费用），否则为无效响应文件。</w:t>
      </w:r>
    </w:p>
    <w:p>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五、验收标准</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 xml:space="preserve">采购人根据禹州市财政局（禹财购〔2022〕8号文件）有关规定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 </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 xml:space="preserve">1、按照国家相关标准、行业标准、地方标准或者其他标准、规范验收。 </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pPr>
        <w:wordWrap w:val="0"/>
        <w:topLinePunct/>
        <w:spacing w:line="360" w:lineRule="auto"/>
        <w:ind w:firstLine="422" w:firstLineChars="200"/>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六、特别提示：</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1</w:t>
      </w:r>
      <w:r>
        <w:rPr>
          <w:rFonts w:hint="eastAsia" w:ascii="宋体" w:cs="宋体"/>
          <w:color w:val="auto"/>
          <w:szCs w:val="21"/>
          <w:highlight w:val="none"/>
          <w:lang w:val="zh-CN"/>
        </w:rPr>
        <w:t>、投标人应就该项目完整投标（报价含运输费、税费等综合费用），否则为无效响应文件。</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2</w:t>
      </w:r>
      <w:r>
        <w:rPr>
          <w:rFonts w:hint="eastAsia" w:ascii="宋体" w:cs="宋体"/>
          <w:color w:val="auto"/>
          <w:szCs w:val="21"/>
          <w:highlight w:val="none"/>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3</w:t>
      </w:r>
      <w:r>
        <w:rPr>
          <w:rFonts w:hint="eastAsia" w:ascii="宋体" w:cs="宋体"/>
          <w:color w:val="auto"/>
          <w:szCs w:val="21"/>
          <w:highlight w:val="none"/>
          <w:lang w:val="zh-CN"/>
        </w:rPr>
        <w:t>、采购人确定成交人后，中标人须向代理机构发送投标报价及分项报价一览表电子档，并同时通知代理机构。邮箱：</w:t>
      </w:r>
      <w:r>
        <w:rPr>
          <w:rFonts w:hint="eastAsia" w:ascii="宋体" w:cs="宋体"/>
          <w:color w:val="auto"/>
          <w:szCs w:val="21"/>
          <w:highlight w:val="none"/>
          <w:lang w:val="en-US" w:eastAsia="zh-CN"/>
        </w:rPr>
        <w:t>609117053@qq</w:t>
      </w:r>
      <w:r>
        <w:rPr>
          <w:rFonts w:hint="eastAsia" w:ascii="宋体" w:cs="宋体"/>
          <w:color w:val="auto"/>
          <w:szCs w:val="21"/>
          <w:highlight w:val="none"/>
          <w:lang w:val="zh-CN"/>
        </w:rPr>
        <w:t>.com。</w:t>
      </w:r>
    </w:p>
    <w:p>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zh-CN"/>
        </w:rPr>
        <w:t>七、采购资金支付</w:t>
      </w:r>
    </w:p>
    <w:p>
      <w:pPr>
        <w:autoSpaceDE w:val="0"/>
        <w:adjustRightInd w:val="0"/>
        <w:snapToGrid w:val="0"/>
        <w:spacing w:line="560" w:lineRule="exact"/>
        <w:ind w:firstLine="420" w:firstLineChars="200"/>
        <w:rPr>
          <w:color w:val="auto"/>
          <w:szCs w:val="21"/>
          <w:highlight w:val="none"/>
        </w:rPr>
      </w:pPr>
      <w:r>
        <w:rPr>
          <w:rFonts w:hint="eastAsia"/>
          <w:color w:val="auto"/>
          <w:szCs w:val="21"/>
          <w:highlight w:val="none"/>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autoSpaceDE w:val="0"/>
        <w:adjustRightInd w:val="0"/>
        <w:snapToGrid w:val="0"/>
        <w:spacing w:line="560" w:lineRule="exact"/>
        <w:ind w:firstLine="420" w:firstLineChars="200"/>
        <w:rPr>
          <w:color w:val="auto"/>
          <w:szCs w:val="21"/>
          <w:highlight w:val="none"/>
        </w:rPr>
      </w:pPr>
      <w:r>
        <w:rPr>
          <w:rFonts w:hint="eastAsia"/>
          <w:color w:val="auto"/>
          <w:szCs w:val="21"/>
          <w:highlight w:val="none"/>
        </w:rPr>
        <w:t>（一）支付方式：按照合同约定，经验收合格后申请支付。</w:t>
      </w:r>
    </w:p>
    <w:p>
      <w:pPr>
        <w:autoSpaceDE w:val="0"/>
        <w:adjustRightInd w:val="0"/>
        <w:snapToGrid w:val="0"/>
        <w:spacing w:line="560" w:lineRule="exact"/>
        <w:ind w:firstLine="420" w:firstLineChars="200"/>
        <w:rPr>
          <w:rFonts w:hint="eastAsia"/>
          <w:color w:val="auto"/>
          <w:szCs w:val="21"/>
          <w:highlight w:val="none"/>
        </w:rPr>
      </w:pPr>
      <w:r>
        <w:rPr>
          <w:rFonts w:hint="eastAsia"/>
          <w:color w:val="auto"/>
          <w:szCs w:val="21"/>
          <w:highlight w:val="none"/>
        </w:rPr>
        <w:t>（二）支付时间及条件：双方签订合同约定。</w:t>
      </w: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 w:val="21"/>
          <w:szCs w:val="21"/>
          <w:highlight w:val="none"/>
        </w:rPr>
      </w:pPr>
      <w:r>
        <w:rPr>
          <w:rFonts w:hint="eastAsia" w:cs="微软雅黑"/>
          <w:b/>
          <w:color w:val="auto"/>
          <w:sz w:val="21"/>
          <w:szCs w:val="21"/>
          <w:highlight w:val="none"/>
        </w:rPr>
        <w:t>谈判文件中凡标有</w:t>
      </w:r>
      <w:r>
        <w:rPr>
          <w:rFonts w:hint="eastAsia" w:cs="微软雅黑" w:asciiTheme="minorEastAsia" w:hAnsiTheme="minorEastAsia"/>
          <w:b/>
          <w:color w:val="auto"/>
          <w:sz w:val="21"/>
          <w:szCs w:val="21"/>
          <w:highlight w:val="none"/>
        </w:rPr>
        <w:t>★</w:t>
      </w:r>
      <w:r>
        <w:rPr>
          <w:rFonts w:hint="eastAsia" w:cs="微软雅黑"/>
          <w:b/>
          <w:color w:val="auto"/>
          <w:sz w:val="21"/>
          <w:szCs w:val="21"/>
          <w:highlight w:val="none"/>
        </w:rPr>
        <w:t>条款均为实质性要求条款，响应文件须完全响应，未实质响应的，按照无效响应处理。</w:t>
      </w:r>
    </w:p>
    <w:tbl>
      <w:tblPr>
        <w:tblStyle w:val="27"/>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采购</w:t>
            </w:r>
            <w:r>
              <w:rPr>
                <w:rFonts w:hint="eastAsia" w:cs="仿宋_GB2312" w:asciiTheme="minorEastAsia" w:hAnsiTheme="minorEastAsia"/>
                <w:color w:val="auto"/>
                <w:szCs w:val="21"/>
                <w:highlight w:val="none"/>
                <w:lang w:val="en-US" w:eastAsia="zh-CN"/>
              </w:rPr>
              <w:t>名称</w:t>
            </w:r>
          </w:p>
        </w:tc>
        <w:tc>
          <w:tcPr>
            <w:tcW w:w="6825" w:type="dxa"/>
          </w:tcPr>
          <w:p>
            <w:pPr>
              <w:widowControl/>
              <w:spacing w:line="360" w:lineRule="auto"/>
              <w:contextualSpacing/>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禹州市文化广电和旅游局禹州城隍庙维修保护工程（三期）项目</w:t>
            </w:r>
          </w:p>
          <w:p>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rPr>
              <w:t>目编号：</w:t>
            </w:r>
            <w:r>
              <w:rPr>
                <w:rFonts w:hint="eastAsia" w:ascii="宋体" w:hAnsi="宋体" w:eastAsia="宋体" w:cs="仿宋_GB2312"/>
                <w:color w:val="auto"/>
                <w:szCs w:val="21"/>
                <w:highlight w:val="none"/>
                <w:lang w:val="zh-CN"/>
              </w:rPr>
              <w:t>YZCG-DLT2023111</w:t>
            </w:r>
            <w:r>
              <w:rPr>
                <w:rFonts w:hint="eastAsia" w:ascii="宋体" w:hAnsi="宋体" w:eastAsia="宋体" w:cs="仿宋_GB2312"/>
                <w:color w:val="auto"/>
                <w:szCs w:val="21"/>
                <w:highlight w:val="none"/>
                <w:lang w:val="en-US" w:eastAsia="zh-CN"/>
              </w:rPr>
              <w:t xml:space="preserve"> </w:t>
            </w:r>
            <w:r>
              <w:rPr>
                <w:rFonts w:hint="eastAsia" w:ascii="宋体" w:hAnsi="宋体" w:eastAsia="宋体" w:cs="宋体"/>
                <w:color w:val="auto"/>
                <w:sz w:val="21"/>
                <w:szCs w:val="21"/>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highlight w:val="none"/>
                <w:lang w:eastAsia="zh-CN"/>
              </w:rPr>
            </w:pPr>
            <w:r>
              <w:rPr>
                <w:rFonts w:hint="eastAsia" w:ascii="宋体" w:hAnsi="宋体" w:eastAsia="宋体" w:cs="宋体"/>
                <w:b/>
                <w:bCs/>
                <w:color w:val="auto"/>
                <w:sz w:val="21"/>
                <w:szCs w:val="21"/>
                <w:highlight w:val="none"/>
              </w:rPr>
              <w:t>投标人制作投标文件时项目编号以该项目编号为准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采购单位：禹州市文化广电和旅游局</w:t>
            </w:r>
          </w:p>
          <w:p>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地址：禹州市禹王大道东段170号</w:t>
            </w:r>
          </w:p>
          <w:p>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联系人：王先生 </w:t>
            </w:r>
          </w:p>
          <w:p>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联系电话：0374-</w:t>
            </w:r>
            <w:r>
              <w:rPr>
                <w:rFonts w:hint="eastAsia" w:cs="仿宋_GB2312" w:asciiTheme="minorEastAsia" w:hAnsiTheme="minorEastAsia"/>
                <w:color w:val="auto"/>
                <w:szCs w:val="21"/>
                <w:highlight w:val="none"/>
                <w:lang w:val="en-US" w:eastAsia="zh-CN"/>
              </w:rPr>
              <w:t>8184780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代理机构：河南苍柏工程管理服务有限公司</w:t>
            </w:r>
          </w:p>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地址：禹州市颍川办恒达.御园南园公寓楼4层407室</w:t>
            </w:r>
          </w:p>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联系人：李先生   </w:t>
            </w:r>
          </w:p>
          <w:p>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联系电话：0374-8335656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二、特定资格要求：</w:t>
            </w:r>
          </w:p>
          <w:p>
            <w:pPr>
              <w:autoSpaceDE w:val="0"/>
              <w:autoSpaceDN w:val="0"/>
              <w:spacing w:line="360" w:lineRule="auto"/>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b w:val="0"/>
                <w:bCs w:val="0"/>
                <w:color w:val="auto"/>
                <w:szCs w:val="21"/>
                <w:highlight w:val="none"/>
                <w:lang w:eastAsia="zh-CN"/>
              </w:rPr>
              <w:t>投标人须具备省级及以上文物主管部门颁发的文物保护工程施工二级及以上资质；拟派项目负责人必须具有省级及以上文物行政部门颁发的文物保护工程资格证书或岗位培训证书</w:t>
            </w:r>
            <w:r>
              <w:rPr>
                <w:rFonts w:hint="eastAsia" w:cs="宋体"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仿宋_GB2312" w:asciiTheme="minorEastAsia" w:hAnsiTheme="minorEastAsia"/>
                <w:b/>
                <w:color w:val="auto"/>
                <w:szCs w:val="21"/>
                <w:highlight w:val="none"/>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1．具有独立承担民事责任的能力；</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2．具有良好的商业信誉和健全的财务会计制度；</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3．具有履行合同所必需的设备和专业技术能力；</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4．具有依法缴纳税收和社会保障资金的良好记录；</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预算金额</w:t>
            </w:r>
          </w:p>
        </w:tc>
        <w:tc>
          <w:tcPr>
            <w:tcW w:w="6825"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en-US" w:eastAsia="zh-CN"/>
              </w:rPr>
              <w:t>631472.05元</w:t>
            </w:r>
            <w:r>
              <w:rPr>
                <w:rFonts w:hint="eastAsia" w:cs="宋体" w:asciiTheme="minorEastAsia" w:hAnsiTheme="minorEastAsia"/>
                <w:bCs/>
                <w:color w:val="auto"/>
                <w:szCs w:val="21"/>
                <w:highlight w:val="none"/>
                <w:lang w:val="zh-CN"/>
              </w:rPr>
              <w:t>，超出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pPr>
              <w:autoSpaceDE w:val="0"/>
              <w:autoSpaceDN w:val="0"/>
              <w:adjustRightInd w:val="0"/>
              <w:spacing w:line="360" w:lineRule="auto"/>
              <w:jc w:val="center"/>
              <w:rPr>
                <w:rFonts w:cs="宋体" w:asciiTheme="minorEastAsia" w:hAnsiTheme="minorEastAsia"/>
                <w:b w:val="0"/>
                <w:bCs w:val="0"/>
                <w:color w:val="auto"/>
                <w:szCs w:val="21"/>
                <w:highlight w:val="none"/>
                <w:lang w:val="zh-CN"/>
              </w:rPr>
            </w:pPr>
            <w:r>
              <w:rPr>
                <w:rFonts w:hint="eastAsia" w:cs="仿宋_GB2312" w:asciiTheme="minorEastAsia" w:hAnsiTheme="minorEastAsia"/>
                <w:b w:val="0"/>
                <w:bCs w:val="0"/>
                <w:color w:val="auto"/>
                <w:szCs w:val="21"/>
                <w:highlight w:val="none"/>
                <w:shd w:val="clear" w:color="auto" w:fill="FFFFFF"/>
              </w:rPr>
              <w:t>响应文件提交截止、</w:t>
            </w:r>
            <w:r>
              <w:rPr>
                <w:rFonts w:hint="eastAsia" w:cs="宋体" w:asciiTheme="minorEastAsia" w:hAnsiTheme="minorEastAsia"/>
                <w:b w:val="0"/>
                <w:bCs w:val="0"/>
                <w:color w:val="auto"/>
                <w:szCs w:val="21"/>
                <w:highlight w:val="none"/>
                <w:lang w:val="zh-CN"/>
              </w:rPr>
              <w:t>谈判响应截止及谈判时间</w:t>
            </w:r>
          </w:p>
        </w:tc>
        <w:tc>
          <w:tcPr>
            <w:tcW w:w="6825" w:type="dxa"/>
            <w:vAlign w:val="center"/>
          </w:tcPr>
          <w:p>
            <w:pPr>
              <w:autoSpaceDE w:val="0"/>
              <w:autoSpaceDN w:val="0"/>
              <w:adjustRightInd w:val="0"/>
              <w:spacing w:line="360" w:lineRule="auto"/>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2023年</w:t>
            </w:r>
            <w:r>
              <w:rPr>
                <w:rFonts w:hint="eastAsia" w:cs="宋体" w:asciiTheme="minorEastAsia" w:hAnsiTheme="minorEastAsia"/>
                <w:b/>
                <w:bCs/>
                <w:color w:val="auto"/>
                <w:szCs w:val="21"/>
                <w:highlight w:val="none"/>
                <w:lang w:val="zh-CN" w:eastAsia="zh-CN"/>
              </w:rPr>
              <w:t>10</w:t>
            </w:r>
            <w:r>
              <w:rPr>
                <w:rFonts w:hint="eastAsia" w:cs="宋体" w:asciiTheme="minorEastAsia" w:hAnsiTheme="minorEastAsia"/>
                <w:b/>
                <w:bCs/>
                <w:color w:val="auto"/>
                <w:szCs w:val="21"/>
                <w:highlight w:val="none"/>
                <w:lang w:val="zh-CN"/>
              </w:rPr>
              <w:t>月</w:t>
            </w:r>
            <w:r>
              <w:rPr>
                <w:rFonts w:hint="eastAsia" w:cs="宋体" w:asciiTheme="minorEastAsia" w:hAnsiTheme="minorEastAsia"/>
                <w:b/>
                <w:bCs/>
                <w:color w:val="auto"/>
                <w:szCs w:val="21"/>
                <w:highlight w:val="none"/>
                <w:lang w:val="zh-CN" w:eastAsia="zh-CN"/>
              </w:rPr>
              <w:t>20</w:t>
            </w:r>
            <w:r>
              <w:rPr>
                <w:rFonts w:hint="eastAsia" w:cs="宋体" w:asciiTheme="minorEastAsia" w:hAnsiTheme="minorEastAsia"/>
                <w:b/>
                <w:bCs/>
                <w:color w:val="auto"/>
                <w:szCs w:val="21"/>
                <w:highlight w:val="none"/>
                <w:lang w:val="zh-CN"/>
              </w:rPr>
              <w:t>日</w:t>
            </w:r>
            <w:r>
              <w:rPr>
                <w:rFonts w:hint="eastAsia" w:cs="宋体" w:asciiTheme="minorEastAsia" w:hAnsiTheme="minorEastAsia"/>
                <w:b/>
                <w:bCs/>
                <w:color w:val="auto"/>
                <w:szCs w:val="21"/>
                <w:highlight w:val="none"/>
                <w:lang w:val="zh-CN" w:eastAsia="zh-CN"/>
              </w:rPr>
              <w:t>08</w:t>
            </w:r>
            <w:r>
              <w:rPr>
                <w:rFonts w:hint="eastAsia" w:cs="宋体" w:asciiTheme="minorEastAsia" w:hAnsiTheme="minorEastAsia"/>
                <w:b/>
                <w:bCs/>
                <w:color w:val="auto"/>
                <w:szCs w:val="21"/>
                <w:highlight w:val="none"/>
                <w:lang w:val="zh-CN"/>
              </w:rPr>
              <w:t>：</w:t>
            </w:r>
            <w:r>
              <w:rPr>
                <w:rFonts w:hint="eastAsia" w:cs="宋体" w:asciiTheme="minorEastAsia" w:hAnsiTheme="minorEastAsia"/>
                <w:b/>
                <w:bCs/>
                <w:color w:val="auto"/>
                <w:szCs w:val="21"/>
                <w:highlight w:val="none"/>
                <w:lang w:val="zh-CN" w:eastAsia="zh-CN"/>
              </w:rPr>
              <w:t>30</w:t>
            </w:r>
            <w:r>
              <w:rPr>
                <w:rFonts w:hint="eastAsia" w:cs="宋体" w:asciiTheme="minorEastAsia" w:hAnsiTheme="minorEastAsia"/>
                <w:b/>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pPr>
              <w:pStyle w:val="2"/>
              <w:spacing w:line="360" w:lineRule="auto"/>
              <w:rPr>
                <w:rFonts w:hint="default" w:eastAsiaTheme="minorEastAsia"/>
                <w:color w:val="auto"/>
                <w:highlight w:val="none"/>
                <w:lang w:val="en-US" w:eastAsia="zh-CN"/>
              </w:rPr>
            </w:pPr>
            <w:r>
              <w:rPr>
                <w:rFonts w:hint="eastAsia"/>
                <w:color w:val="auto"/>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《许昌市政府采购网》</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25"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r>
              <w:rPr>
                <w:rFonts w:hint="eastAsia"/>
                <w:b/>
                <w:color w:val="auto"/>
                <w:highlight w:val="none"/>
              </w:rPr>
              <w:t>本项目属于专门面向中小企业采购的项目（不再执行价格评审优惠的扶持政策）。</w:t>
            </w:r>
          </w:p>
          <w:p>
            <w:pPr>
              <w:autoSpaceDE w:val="0"/>
              <w:autoSpaceDN w:val="0"/>
              <w:adjustRightInd w:val="0"/>
              <w:spacing w:line="360" w:lineRule="auto"/>
              <w:contextualSpacing/>
              <w:rPr>
                <w:rFonts w:ascii="ˎ̥" w:hAnsi="ˎ̥"/>
                <w:b/>
                <w:color w:val="auto"/>
                <w:highlight w:val="none"/>
              </w:rPr>
            </w:pPr>
            <w:r>
              <w:rPr>
                <w:rFonts w:hint="eastAsia" w:ascii="ˎ̥" w:hAnsi="ˎ̥"/>
                <w:b/>
                <w:color w:val="auto"/>
                <w:highlight w:val="none"/>
              </w:rPr>
              <w:t>2、本次</w:t>
            </w:r>
            <w:r>
              <w:rPr>
                <w:b/>
                <w:color w:val="auto"/>
                <w:highlight w:val="none"/>
              </w:rPr>
              <w:t>采购标的对应的中小企业划分标准所属行业</w:t>
            </w:r>
            <w:r>
              <w:rPr>
                <w:rFonts w:hint="eastAsia"/>
                <w:b/>
                <w:color w:val="auto"/>
                <w:highlight w:val="none"/>
              </w:rPr>
              <w:t>：建筑业</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431"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收取标准:以中标(成交) 金额为基数</w:t>
            </w:r>
            <w:r>
              <w:rPr>
                <w:rFonts w:hint="eastAsia" w:ascii="宋体" w:hAnsi="宋体" w:eastAsia="宋体" w:cs="宋体"/>
                <w:color w:val="auto"/>
                <w:kern w:val="0"/>
                <w:szCs w:val="21"/>
                <w:highlight w:val="none"/>
                <w:lang w:val="en-US" w:eastAsia="zh-CN"/>
              </w:rPr>
              <w:t>按</w:t>
            </w:r>
            <w:r>
              <w:rPr>
                <w:rFonts w:hint="eastAsia" w:ascii="宋体" w:hAnsi="宋体" w:eastAsia="宋体" w:cs="宋体"/>
                <w:color w:val="auto"/>
                <w:kern w:val="0"/>
                <w:szCs w:val="21"/>
                <w:highlight w:val="none"/>
              </w:rPr>
              <w:t>照《河南省招标代理服务收费指导意见》( 豫招协[2023]002号)文件中所属类别的收费标准按差额定率累进法计算，</w:t>
            </w:r>
            <w:r>
              <w:rPr>
                <w:rFonts w:hint="eastAsia" w:ascii="宋体" w:hAnsi="宋体" w:eastAsia="宋体" w:cs="宋体"/>
                <w:color w:val="auto"/>
                <w:szCs w:val="21"/>
                <w:highlight w:val="none"/>
                <w:lang w:eastAsia="zh-CN"/>
              </w:rPr>
              <w:t>由中标单位在领取中标通知书时一次性支付给代理机构</w:t>
            </w:r>
            <w:r>
              <w:rPr>
                <w:rFonts w:hint="eastAsia" w:ascii="宋体" w:hAnsi="宋体" w:eastAsia="宋体" w:cs="宋体"/>
                <w:color w:val="auto"/>
                <w:kern w:val="0"/>
                <w:szCs w:val="21"/>
                <w:highlight w:val="none"/>
              </w:rPr>
              <w:t>。</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招标代理服务收费按差额定率累计法计算：</w:t>
            </w:r>
          </w:p>
          <w:p>
            <w:pPr>
              <w:pStyle w:val="2"/>
              <w:rPr>
                <w:color w:val="auto"/>
                <w:highlight w:val="none"/>
                <w:lang w:val="zh-CN"/>
              </w:rPr>
            </w:pPr>
            <w:r>
              <w:rPr>
                <w:rFonts w:hint="eastAsia"/>
                <w:color w:val="auto"/>
                <w:highlight w:val="none"/>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pP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注：</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highlight w:val="none"/>
              </w:rPr>
            </w:pPr>
            <w:r>
              <w:rPr>
                <w:rFonts w:hint="eastAsia" w:ascii="楷体" w:hAnsi="楷体" w:eastAsia="楷体" w:cs="仿宋_GB2312"/>
                <w:color w:val="auto"/>
                <w:sz w:val="24"/>
                <w:szCs w:val="24"/>
                <w:highlight w:val="none"/>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b/>
                <w:bCs/>
                <w:color w:val="auto"/>
                <w:szCs w:val="21"/>
                <w:highlight w:val="none"/>
              </w:rPr>
            </w:pPr>
            <w:r>
              <w:rPr>
                <w:rFonts w:hint="eastAsia" w:ascii="ˎ̥" w:hAnsi="ˎ̥"/>
                <w:b/>
                <w:bCs/>
                <w:color w:val="auto"/>
                <w:szCs w:val="21"/>
                <w:highlight w:val="none"/>
              </w:rPr>
              <w:t>2、项目编号以本谈判文件中的采购编号为准。</w:t>
            </w:r>
          </w:p>
          <w:p>
            <w:pPr>
              <w:autoSpaceDE w:val="0"/>
              <w:autoSpaceDN w:val="0"/>
              <w:adjustRightInd w:val="0"/>
              <w:spacing w:line="360" w:lineRule="auto"/>
              <w:contextualSpacing/>
              <w:rPr>
                <w:color w:val="auto"/>
                <w:szCs w:val="21"/>
                <w:highlight w:val="none"/>
              </w:rPr>
            </w:pPr>
            <w:r>
              <w:rPr>
                <w:rFonts w:hint="eastAsia" w:ascii="ˎ̥" w:hAnsi="ˎ̥"/>
                <w:color w:val="auto"/>
                <w:szCs w:val="21"/>
                <w:highlight w:val="none"/>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p>
        </w:tc>
        <w:tc>
          <w:tcPr>
            <w:tcW w:w="2431"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w:t>
            </w:r>
          </w:p>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融资政策告知函</w:t>
            </w:r>
          </w:p>
        </w:tc>
        <w:tc>
          <w:tcPr>
            <w:tcW w:w="6825" w:type="dxa"/>
            <w:vAlign w:val="center"/>
          </w:tcPr>
          <w:p>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8" w:hRule="atLeast"/>
          <w:jc w:val="center"/>
        </w:trPr>
        <w:tc>
          <w:tcPr>
            <w:tcW w:w="806" w:type="dxa"/>
            <w:vAlign w:val="center"/>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w:t>
            </w:r>
          </w:p>
        </w:tc>
        <w:tc>
          <w:tcPr>
            <w:tcW w:w="2431"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cs="仿宋_GB2312" w:asciiTheme="minorEastAsia" w:hAnsiTheme="minorEastAsia"/>
                <w:color w:val="auto"/>
                <w:szCs w:val="21"/>
                <w:highlight w:val="none"/>
              </w:rPr>
              <w:t>供应商资格</w:t>
            </w:r>
          </w:p>
        </w:tc>
        <w:tc>
          <w:tcPr>
            <w:tcW w:w="6825" w:type="dxa"/>
            <w:vAlign w:val="center"/>
          </w:tcPr>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1、企业法人营业执照或营业执照。（企业提供）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2、事业单位法人证书。（事业单位提供）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3、执业许可证。（非企业专业服务机构提供）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4、个体工商户营业执照。（个体工商户提供）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5、自然人身份证明。（自然人提供）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6、民办非企业单位登记证书。（民办非企业单位提供）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rPr>
            </w:pPr>
            <w:r>
              <w:rPr>
                <w:rFonts w:hint="eastAsia"/>
                <w:color w:val="auto"/>
                <w:highlight w:val="none"/>
              </w:rPr>
              <w:t>二、财务状况报告相关材料</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（1）供应商是法人（法人包括企业法人、机关法人、事业单位法人和社会团体法人），提供本单位：</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①2022年度经审计的财务报告；</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②基本开户银行出具的资信证明；</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③财政部门认可的政府采购专业担保机构的证明文件和担保机构出具的投标担保函。</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（2）供应商（其他组织和自然人）提供本单位：</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①2022年度经审计的财务报告；</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②银行出具的资信证明；</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③财政部门认可的政府采购专业担保机构的证明文件和担保机构出具的投标担保函。</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rPr>
              <w:t>三、依法缴纳税收相关材料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参加本次政府采购项目谈判响应截止时间前一年内任意一个月缴纳税收凭据。（依法免税的供应商，应提供相应文件证明依法免税）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四、依法缴纳社会保障资金的证明材料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五、履行合同所必须的设备和专业技术能力的证明材料</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①相关设备的购置发票、专业技术人员职称证书、用工合同等；</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②供应商具备履行合同所必须的设备和专业技术能力承诺函或声明（承诺函或声明格式自拟）。</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keepNext w:val="0"/>
              <w:keepLines w:val="0"/>
              <w:pageBreakBefore w:val="0"/>
              <w:widowControl w:val="0"/>
              <w:kinsoku/>
              <w:overflowPunct/>
              <w:topLinePunct w:val="0"/>
              <w:autoSpaceDE w:val="0"/>
              <w:autoSpaceDN w:val="0"/>
              <w:bidi w:val="0"/>
              <w:snapToGrid/>
              <w:spacing w:line="400" w:lineRule="exact"/>
              <w:contextualSpacing/>
              <w:jc w:val="left"/>
              <w:textAlignment w:val="auto"/>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keepNext w:val="0"/>
              <w:keepLines w:val="0"/>
              <w:pageBreakBefore w:val="0"/>
              <w:widowControl w:val="0"/>
              <w:kinsoku/>
              <w:wordWrap w:val="0"/>
              <w:overflowPunct/>
              <w:topLinePunct w:val="0"/>
              <w:autoSpaceDE w:val="0"/>
              <w:autoSpaceDN w:val="0"/>
              <w:bidi w:val="0"/>
              <w:snapToGrid/>
              <w:spacing w:line="40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w:t>
            </w:r>
            <w:r>
              <w:rPr>
                <w:rFonts w:hint="eastAsia" w:cs="仿宋_GB2312" w:asciiTheme="minorEastAsia" w:hAnsiTheme="minorEastAsia"/>
                <w:b/>
                <w:color w:val="auto"/>
                <w:szCs w:val="21"/>
                <w:highlight w:val="none"/>
                <w:shd w:val="clear" w:color="auto" w:fill="FFFFFF"/>
              </w:rPr>
              <w:t>重大税收违法失信主体</w:t>
            </w:r>
            <w:r>
              <w:rPr>
                <w:rFonts w:cs="仿宋_GB2312" w:asciiTheme="minorEastAsia" w:hAnsiTheme="minorEastAsia"/>
                <w:b/>
                <w:color w:val="auto"/>
                <w:szCs w:val="21"/>
                <w:highlight w:val="none"/>
                <w:shd w:val="clear" w:color="auto" w:fill="FFFFFF"/>
              </w:rPr>
              <w:t>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查询渠道：</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pPr>
              <w:keepNext w:val="0"/>
              <w:keepLines w:val="0"/>
              <w:pageBreakBefore w:val="0"/>
              <w:widowControl w:val="0"/>
              <w:kinsoku/>
              <w:overflowPunct/>
              <w:topLinePunct w:val="0"/>
              <w:bidi w:val="0"/>
              <w:snapToGrid/>
              <w:spacing w:line="400" w:lineRule="exact"/>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八、特定资格要</w:t>
            </w:r>
            <w:r>
              <w:rPr>
                <w:rFonts w:hint="eastAsia" w:asciiTheme="majorEastAsia" w:hAnsiTheme="majorEastAsia" w:eastAsiaTheme="majorEastAsia" w:cstheme="majorEastAsia"/>
                <w:color w:val="auto"/>
                <w:szCs w:val="21"/>
                <w:highlight w:val="none"/>
              </w:rPr>
              <w:t>求：</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本项目的特定资格要求：</w:t>
            </w:r>
            <w:r>
              <w:rPr>
                <w:rFonts w:hint="eastAsia" w:cs="宋体" w:asciiTheme="minorEastAsia" w:hAnsiTheme="minorEastAsia"/>
                <w:b w:val="0"/>
                <w:bCs w:val="0"/>
                <w:color w:val="auto"/>
                <w:szCs w:val="21"/>
                <w:highlight w:val="none"/>
                <w:lang w:eastAsia="zh-CN"/>
              </w:rPr>
              <w:t>投标人须具备省级及以上文物主管部门颁发的文物保护工程施工二级及以上资质；拟派项目负责人必须具有省级及以上文物行政部门颁发的文物保护工程资格证书或岗位培训证书</w:t>
            </w:r>
            <w:r>
              <w:rPr>
                <w:rFonts w:hint="eastAsia" w:cs="宋体" w:asciiTheme="minorEastAsia" w:hAnsiTheme="minorEastAsia"/>
                <w:color w:val="auto"/>
                <w:szCs w:val="21"/>
                <w:highlight w:val="none"/>
              </w:rPr>
              <w:t>。</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ascii="宋体" w:hAnsi="宋体" w:eastAsia="宋体" w:cs="宋体"/>
                <w:color w:val="auto"/>
                <w:kern w:val="0"/>
                <w:szCs w:val="21"/>
                <w:highlight w:val="none"/>
              </w:rPr>
            </w:pPr>
            <w:r>
              <w:rPr>
                <w:rFonts w:hint="eastAsia" w:cs="宋体" w:asciiTheme="minorEastAsia" w:hAnsiTheme="minorEastAsia"/>
                <w:b/>
                <w:bCs/>
                <w:color w:val="auto"/>
                <w:szCs w:val="21"/>
                <w:highlight w:val="none"/>
              </w:rPr>
              <w:t>注：供应商在投标时，</w:t>
            </w:r>
            <w:r>
              <w:rPr>
                <w:rFonts w:hint="eastAsia"/>
                <w:b/>
                <w:bCs/>
                <w:color w:val="auto"/>
                <w:highlight w:val="none"/>
              </w:rPr>
              <w:t>第一至七项可用</w:t>
            </w: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市政府采购供应商信用承诺函</w:t>
            </w:r>
            <w:r>
              <w:rPr>
                <w:rFonts w:hint="eastAsia" w:cs="宋体" w:asciiTheme="minorEastAsia" w:hAnsiTheme="minorEastAsia"/>
                <w:b/>
                <w:color w:val="auto"/>
                <w:szCs w:val="21"/>
                <w:highlight w:val="none"/>
                <w:lang w:val="zh-CN"/>
              </w:rPr>
              <w:t>替代</w:t>
            </w:r>
            <w:r>
              <w:rPr>
                <w:rFonts w:hint="eastAsia"/>
                <w:b/>
                <w:bCs/>
                <w:color w:val="auto"/>
                <w:highlight w:val="none"/>
              </w:rPr>
              <w:t>（格式详见附件），采购人有权在签订合同前要求中标供应商提供相关证明材料以核实中标供应商承诺事项的真实性。供应</w:t>
            </w:r>
            <w:r>
              <w:rPr>
                <w:rFonts w:hint="eastAsia"/>
                <w:b/>
                <w:bCs/>
                <w:color w:val="auto"/>
                <w:highlight w:val="none"/>
              </w:rPr>
              <w:t>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2431" w:type="dxa"/>
            <w:vAlign w:val="center"/>
          </w:tcPr>
          <w:p>
            <w:pPr>
              <w:autoSpaceDE w:val="0"/>
              <w:autoSpaceDN w:val="0"/>
              <w:adjustRightInd w:val="0"/>
              <w:spacing w:line="360"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加快推广绿色建材发展应用</w:t>
            </w:r>
          </w:p>
        </w:tc>
        <w:tc>
          <w:tcPr>
            <w:tcW w:w="6825" w:type="dxa"/>
            <w:vAlign w:val="center"/>
          </w:tcPr>
          <w:p>
            <w:pPr>
              <w:autoSpaceDE w:val="0"/>
              <w:autoSpaceDN w:val="0"/>
              <w:adjustRightInd w:val="0"/>
              <w:spacing w:line="360" w:lineRule="auto"/>
              <w:ind w:right="-11"/>
              <w:rPr>
                <w:rFonts w:hint="eastAsia" w:cs="宋体" w:asciiTheme="minorEastAsia" w:hAnsiTheme="minorEastAsia"/>
                <w:b/>
                <w:bCs/>
                <w:color w:val="auto"/>
                <w:szCs w:val="21"/>
                <w:highlight w:val="none"/>
              </w:rPr>
            </w:pPr>
            <w:r>
              <w:rPr>
                <w:rFonts w:ascii="宋体" w:hAnsi="宋体" w:eastAsia="宋体" w:cs="宋体"/>
                <w:color w:val="auto"/>
                <w:sz w:val="21"/>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bl>
    <w:p>
      <w:pPr>
        <w:pStyle w:val="23"/>
        <w:rPr>
          <w:rFonts w:cs="宋体" w:asciiTheme="majorEastAsia" w:hAnsiTheme="majorEastAsia" w:eastAsiaTheme="majorEastAsia"/>
          <w:b/>
          <w:color w:val="auto"/>
          <w:kern w:val="0"/>
          <w:sz w:val="32"/>
          <w:szCs w:val="32"/>
          <w:highlight w:val="none"/>
        </w:rPr>
      </w:pPr>
    </w:p>
    <w:p>
      <w:pPr>
        <w:pStyle w:val="23"/>
        <w:rPr>
          <w:rFonts w:cs="宋体" w:asciiTheme="majorEastAsia" w:hAnsiTheme="majorEastAsia" w:eastAsiaTheme="majorEastAsia"/>
          <w:b/>
          <w:color w:val="auto"/>
          <w:kern w:val="0"/>
          <w:sz w:val="32"/>
          <w:szCs w:val="32"/>
          <w:highlight w:val="none"/>
        </w:rPr>
      </w:pPr>
    </w:p>
    <w:p>
      <w:pPr>
        <w:pStyle w:val="23"/>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1.1本谈判文件仅适用于本次“采购邀请”</w:t>
      </w:r>
      <w:r>
        <w:rPr>
          <w:rFonts w:hint="eastAsia" w:ascii="宋体" w:hAnsi="宋体"/>
          <w:color w:val="auto"/>
          <w:szCs w:val="21"/>
          <w:highlight w:val="none"/>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3.3.1查询渠道：“信用中国”网站（www.creditchina.gov.cn）、“中国政府采购网”（www.ccgp.gov.cn）、“中国社会组织政务服务平台”网站（</w:t>
      </w:r>
      <w:r>
        <w:rPr>
          <w:rFonts w:cs="宋体" w:asciiTheme="minorEastAsia" w:hAnsiTheme="minorEastAsia"/>
          <w:color w:val="auto"/>
          <w:kern w:val="0"/>
          <w:szCs w:val="21"/>
          <w:highlight w:val="none"/>
        </w:rPr>
        <w:t>chinanpo.mca.gov.cn</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4.合格的货物和服务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lang w:val="zh-CN"/>
        </w:rPr>
        <w:t>为了确保项目按时按质完成，实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施</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案应由项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字，否则无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效投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标。</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pPr>
        <w:pStyle w:val="53"/>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以中标(成交)金额为基数</w:t>
      </w:r>
      <w:r>
        <w:rPr>
          <w:rFonts w:hint="eastAsia" w:ascii="宋体" w:hAnsi="宋体" w:eastAsia="宋体" w:cs="宋体"/>
          <w:color w:val="auto"/>
          <w:kern w:val="0"/>
          <w:szCs w:val="21"/>
          <w:highlight w:val="none"/>
          <w:lang w:val="en-US" w:eastAsia="zh-CN"/>
        </w:rPr>
        <w:t>按照</w:t>
      </w:r>
      <w:r>
        <w:rPr>
          <w:rFonts w:hint="eastAsia" w:ascii="宋体" w:hAnsi="宋体" w:eastAsia="宋体" w:cs="宋体"/>
          <w:color w:val="auto"/>
          <w:kern w:val="0"/>
          <w:szCs w:val="21"/>
          <w:highlight w:val="none"/>
        </w:rPr>
        <w:t>《河南省招标代理服务收费指导意见》( 豫招协[2023]002号)文件中所属类别的收费标准按差额定率累进法计算，由中标人(成交供应商)支付</w:t>
      </w:r>
      <w:r>
        <w:rPr>
          <w:rFonts w:hint="eastAsia" w:ascii="宋体" w:hAnsi="宋体" w:eastAsia="宋体" w:cs="宋体"/>
          <w:color w:val="auto"/>
          <w:kern w:val="0"/>
          <w:szCs w:val="21"/>
          <w:highlight w:val="none"/>
          <w:lang w:eastAsia="zh-CN"/>
        </w:rPr>
        <w:t>，</w:t>
      </w:r>
      <w:r>
        <w:rPr>
          <w:rFonts w:hint="eastAsia" w:cs="宋体" w:asciiTheme="minorEastAsia" w:hAnsiTheme="minorEastAsia"/>
          <w:color w:val="auto"/>
          <w:kern w:val="0"/>
          <w:szCs w:val="21"/>
          <w:highlight w:val="none"/>
        </w:rPr>
        <w:t>响应文件</w:t>
      </w:r>
      <w:r>
        <w:rPr>
          <w:rFonts w:hint="eastAsia" w:cs="宋体" w:asciiTheme="minorEastAsia" w:hAnsiTheme="minorEastAsia"/>
          <w:color w:val="auto"/>
          <w:kern w:val="0"/>
          <w:szCs w:val="21"/>
          <w:highlight w:val="none"/>
          <w:lang w:val="en-US" w:eastAsia="zh-CN"/>
        </w:rPr>
        <w:t>对此项内容作出承</w:t>
      </w:r>
      <w:r>
        <w:rPr>
          <w:rFonts w:hint="eastAsia" w:ascii="宋体" w:cs="宋体"/>
          <w:color w:val="auto"/>
          <w:sz w:val="10"/>
          <w:szCs w:val="10"/>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rPr>
        <w:t>，否则将否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r>
        <w:rPr>
          <w:rFonts w:hint="eastAsia" w:ascii="宋体" w:hAnsi="宋体" w:eastAsia="宋体" w:cs="宋体"/>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8.其他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9.谈判文件构成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响应文件须提供承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诺函并由单位法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10.谈判文件的澄清或修改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11.响应文件的语言及计量单位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12.5采购人不得向供应商索要或者接受其给予的赠品、回扣或者与采购无关的其他商品、服务。供应商须就此方面内容做出反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13.响应文件有效期</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14.响应文件构成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15.响应文件格式</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17.谈判文件的数量和签署盖章</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18.谈判响应截止时间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18.1供应商必须在“采购邀请”和“供应商须知前附表”中规定的响应截止时间前，将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采购人、采购代理机构</w:t>
      </w:r>
      <w:r>
        <w:rPr>
          <w:rFonts w:hint="eastAsia" w:cs="微软雅黑"/>
          <w:color w:val="auto"/>
          <w:highlight w:val="none"/>
        </w:rPr>
        <w:t>将予以拒绝。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19.迟交的响应文件</w:t>
      </w:r>
    </w:p>
    <w:p>
      <w:pPr>
        <w:autoSpaceDE w:val="0"/>
        <w:autoSpaceDN w:val="0"/>
        <w:spacing w:line="360" w:lineRule="auto"/>
        <w:ind w:left="42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20.响应文件的修改和撤回</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22.1采购人将按谈判文件规定的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22.2谈判响应截止时间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22.2.1.2采购代理机构解密：采购代理机构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22.2.1.3供应商未在规定时间内解密或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22.3 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22.6 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6"/>
        </w:numPr>
        <w:autoSpaceDE w:val="0"/>
        <w:autoSpaceDN w:val="0"/>
        <w:spacing w:line="360" w:lineRule="auto"/>
        <w:ind w:firstLineChars="0"/>
        <w:contextualSpacing/>
        <w:rPr>
          <w:rFonts w:ascii="ˎ̥" w:hAnsi="ˎ̥"/>
          <w:vanish/>
          <w:color w:val="auto"/>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24.2符合性审查：依据谈判文件的规定，从响应文件的有效性、完整性和对谈判文件的响应程度进行审查，以确定是否对谈判文件的全部实质性要求作出响应。为确保后期项目的实施，</w:t>
      </w:r>
      <w:r>
        <w:rPr>
          <w:rFonts w:hint="eastAsia" w:cs="宋体" w:asciiTheme="minorEastAsia" w:hAnsiTheme="minorEastAsia"/>
          <w:color w:val="auto"/>
          <w:kern w:val="0"/>
          <w:szCs w:val="21"/>
          <w:highlight w:val="none"/>
        </w:rPr>
        <w:t>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其它涉嫌串通的情形。</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color w:val="auto"/>
          <w:highlight w:val="none"/>
        </w:rPr>
      </w:pPr>
      <w:r>
        <w:rPr>
          <w:rFonts w:hint="eastAsia" w:cs="宋体" w:asciiTheme="minorEastAsia" w:hAnsiTheme="minorEastAsia"/>
          <w:color w:val="auto"/>
          <w:kern w:val="0"/>
          <w:szCs w:val="21"/>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法律、法规和响应文件规定的其他无效情形。</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30.确定成交供应商</w:t>
      </w:r>
    </w:p>
    <w:p>
      <w:pPr>
        <w:pStyle w:val="53"/>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highlight w:val="none"/>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31.终止采购活动的情形</w:t>
      </w:r>
    </w:p>
    <w:p>
      <w:pPr>
        <w:pStyle w:val="53"/>
        <w:autoSpaceDE w:val="0"/>
        <w:autoSpaceDN w:val="0"/>
        <w:spacing w:line="360" w:lineRule="auto"/>
        <w:contextualSpacing/>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autoSpaceDE w:val="0"/>
        <w:autoSpaceDN w:val="0"/>
        <w:spacing w:line="360" w:lineRule="auto"/>
        <w:contextualSpacing/>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采购人自采购合同签订之日起，2个</w:t>
      </w:r>
      <w:r>
        <w:rPr>
          <w:rFonts w:ascii="宋体" w:hAnsi="宋体" w:cs="宋体"/>
          <w:color w:val="auto"/>
          <w:kern w:val="0"/>
          <w:szCs w:val="21"/>
          <w:highlight w:val="none"/>
        </w:rPr>
        <w:t>工作日内</w:t>
      </w:r>
      <w:r>
        <w:rPr>
          <w:rFonts w:hint="eastAsia" w:ascii="宋体" w:hAnsi="宋体" w:cs="宋体"/>
          <w:color w:val="auto"/>
          <w:kern w:val="0"/>
          <w:szCs w:val="21"/>
          <w:highlight w:val="none"/>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highlight w:val="none"/>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合作金融机构（排名不分先后）</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0374-7313551  18937425515</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地址：禹州市禹王大道与府东路交叉口</w:t>
      </w:r>
    </w:p>
    <w:p>
      <w:pP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6"/>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ascii="宋体" w:hAnsi="宋体" w:eastAsia="宋体"/>
          <w:bCs/>
          <w:color w:val="auto"/>
          <w:szCs w:val="21"/>
          <w:highlight w:val="none"/>
        </w:rPr>
      </w:pPr>
      <w:r>
        <w:rPr>
          <w:rFonts w:hint="eastAsia" w:ascii="ˎ̥" w:hAnsi="ˎ̥"/>
          <w:color w:val="auto"/>
          <w:highlight w:val="none"/>
        </w:rPr>
        <w:t>（一）</w:t>
      </w:r>
      <w:r>
        <w:rPr>
          <w:rFonts w:hint="eastAsia" w:cs="仿宋_GB2312" w:asciiTheme="minorEastAsia" w:hAnsiTheme="minorEastAsia"/>
          <w:color w:val="auto"/>
          <w:szCs w:val="21"/>
          <w:highlight w:val="none"/>
          <w:lang w:val="zh-CN"/>
        </w:rPr>
        <w:t>专门面向中小企业预留采购份额</w:t>
      </w:r>
      <w:r>
        <w:rPr>
          <w:rFonts w:hint="eastAsia" w:ascii="宋体" w:hAnsi="宋体" w:eastAsia="宋体"/>
          <w:bCs/>
          <w:color w:val="auto"/>
          <w:szCs w:val="21"/>
          <w:highlight w:val="none"/>
        </w:rPr>
        <w:t>（不再执行价格评审优惠的扶持政策）</w:t>
      </w:r>
    </w:p>
    <w:p>
      <w:pPr>
        <w:topLinePunct/>
        <w:spacing w:line="360" w:lineRule="auto"/>
        <w:ind w:firstLine="420" w:firstLineChars="200"/>
        <w:contextualSpacing/>
        <w:rPr>
          <w:rFonts w:ascii="ˎ̥" w:hAnsi="ˎ̥"/>
          <w:color w:val="auto"/>
          <w:highlight w:val="none"/>
        </w:rPr>
      </w:pPr>
      <w:r>
        <w:rPr>
          <w:rFonts w:hint="eastAsia" w:ascii="ˎ̥" w:hAnsi="ˎ̥"/>
          <w:color w:val="auto"/>
          <w:highlight w:val="none"/>
        </w:rPr>
        <w:t>（二）非</w:t>
      </w:r>
      <w:r>
        <w:rPr>
          <w:rFonts w:hint="eastAsia" w:cs="仿宋_GB2312" w:asciiTheme="minorEastAsia" w:hAnsiTheme="minorEastAsia"/>
          <w:color w:val="auto"/>
          <w:szCs w:val="21"/>
          <w:highlight w:val="none"/>
          <w:lang w:val="zh-CN"/>
        </w:rPr>
        <w:t>专门面向中小企业预留采购份额</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ascii="ˎ̥" w:hAnsi="ˎ̥"/>
          <w:color w:val="auto"/>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ascii="ˎ̥" w:hAnsi="ˎ̥"/>
          <w:color w:val="auto"/>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规定，对符合该办法规定的小型和微型企业报价给予10%-20%的扣除，用扣除后的价格参与评审。</w:t>
      </w:r>
    </w:p>
    <w:p>
      <w:pPr>
        <w:spacing w:line="360"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60"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pStyle w:val="33"/>
        <w:spacing w:line="360" w:lineRule="auto"/>
        <w:rPr>
          <w:rFonts w:ascii="ˎ̥" w:hAnsi="ˎ̥"/>
          <w:color w:val="auto"/>
          <w:highlight w:val="none"/>
        </w:rPr>
      </w:pPr>
      <w:r>
        <w:rPr>
          <w:rFonts w:hint="eastAsia" w:ascii="ˎ̥" w:hAnsi="ˎ̥"/>
          <w:color w:val="auto"/>
          <w:highlight w:val="none"/>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3"/>
        <w:spacing w:line="360" w:lineRule="auto"/>
        <w:rPr>
          <w:rFonts w:ascii="ˎ̥" w:hAnsi="ˎ̥"/>
          <w:color w:val="auto"/>
          <w:highlight w:val="none"/>
        </w:rPr>
      </w:pPr>
      <w:r>
        <w:rPr>
          <w:rFonts w:hint="eastAsia" w:ascii="ˎ̥" w:hAnsi="ˎ̥"/>
          <w:color w:val="auto"/>
          <w:highlight w:val="none"/>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5、按照本次采购标的所属行业的划型标准，符合条件的中小企业应按照采购文件格式要求提供《中小企业声明函》，</w:t>
      </w:r>
      <w:r>
        <w:rPr>
          <w:rFonts w:ascii="ˎ̥" w:hAnsi="ˎ̥"/>
          <w:color w:val="auto"/>
          <w:highlight w:val="none"/>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二、支持监狱企业发展</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6"/>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pPr>
        <w:pStyle w:val="16"/>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3、中标人为残疾人福利性单位的，招标人应当随中标结果同时公告其《残疾人福利性单位声明函》，接受社会监督。</w:t>
      </w:r>
    </w:p>
    <w:p>
      <w:pPr>
        <w:pStyle w:val="16"/>
        <w:spacing w:line="360" w:lineRule="auto"/>
        <w:ind w:firstLine="420" w:firstLineChars="200"/>
        <w:contextualSpacing/>
        <w:rPr>
          <w:rFonts w:hint="eastAsia" w:cs="仿宋_GB2312" w:asciiTheme="minorEastAsia" w:hAnsiTheme="minorEastAsia" w:eastAsiaTheme="minorEastAsia"/>
          <w:color w:val="auto"/>
          <w:sz w:val="21"/>
          <w:szCs w:val="21"/>
          <w:highlight w:val="none"/>
          <w:lang w:val="zh-CN"/>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6"/>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供应商须具备的特殊</w:t>
            </w:r>
          </w:p>
          <w:p>
            <w:pPr>
              <w:widowControl/>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资质证书</w:t>
            </w:r>
          </w:p>
        </w:tc>
        <w:tc>
          <w:tcPr>
            <w:tcW w:w="5954"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954" w:type="dxa"/>
          </w:tcPr>
          <w:p>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highlight w:val="none"/>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jc w:val="left"/>
        <w:rPr>
          <w:rFonts w:cs="宋体" w:asciiTheme="minorEastAsia" w:hAnsiTheme="minorEastAsia"/>
          <w:b/>
          <w:color w:val="auto"/>
          <w:kern w:val="0"/>
          <w:szCs w:val="24"/>
          <w:highlight w:val="none"/>
        </w:rPr>
      </w:pPr>
      <w:r>
        <w:rPr>
          <w:rFonts w:hint="eastAsia" w:cs="仿宋_GB2312" w:asciiTheme="minorEastAsia" w:hAnsiTheme="minorEastAsia" w:eastAsiaTheme="minorEastAsia"/>
          <w:b/>
          <w:color w:val="auto"/>
          <w:sz w:val="21"/>
          <w:szCs w:val="21"/>
          <w:highlight w:val="none"/>
          <w:lang w:val="zh-CN"/>
        </w:rPr>
        <w:t>3、投标无效情形</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2）符合性审查资料未按采购文件要求签署、盖章的；</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3）有下列情形之一的，视为投标人串通投标，其投标无效：</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a.不同供应商的投标文件由同一单位或者个人编制；</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b.不同供应商委托同一单位或者个人办理投标事宜；</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c.不同供应商的投标文件载明的项目管理成员或者联系人员为同一人；</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d.不同供应商的投标文件异常一致或者投标报价呈规律性差异；</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e.不同供应商的投标文件相互混装；</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5）</w:t>
      </w:r>
      <w:r>
        <w:rPr>
          <w:rFonts w:ascii="Arial" w:hAnsi="Arial" w:cs="Arial"/>
          <w:color w:val="auto"/>
          <w:sz w:val="21"/>
          <w:szCs w:val="21"/>
          <w:highlight w:val="none"/>
          <w:shd w:val="clear" w:color="auto" w:fill="FFFFFF"/>
        </w:rPr>
        <w:t>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highlight w:val="none"/>
          <w:lang w:val="zh-CN"/>
        </w:rPr>
      </w:pPr>
    </w:p>
    <w:p>
      <w:pPr>
        <w:adjustRightInd w:val="0"/>
        <w:snapToGrid w:val="0"/>
        <w:spacing w:line="360" w:lineRule="auto"/>
        <w:ind w:firstLine="420" w:firstLineChars="200"/>
        <w:rPr>
          <w:rFonts w:ascii="宋体" w:hAnsi="宋体" w:cs="Courier New"/>
          <w:color w:val="auto"/>
          <w:szCs w:val="21"/>
          <w:highlight w:val="none"/>
        </w:rPr>
      </w:pPr>
    </w:p>
    <w:p>
      <w:pPr>
        <w:pStyle w:val="33"/>
        <w:ind w:firstLine="0" w:firstLineChars="0"/>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合同书格式及合同条款</w:t>
      </w:r>
    </w:p>
    <w:p>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spacing w:line="400" w:lineRule="exact"/>
        <w:ind w:firstLine="560" w:firstLineChars="200"/>
        <w:jc w:val="right"/>
        <w:rPr>
          <w:rFonts w:ascii="黑体" w:hAnsi="黑体" w:eastAsia="黑体" w:cs="仿宋"/>
          <w:color w:val="auto"/>
          <w:sz w:val="28"/>
          <w:szCs w:val="28"/>
          <w:highlight w:val="none"/>
          <w:lang w:val="zh-CN"/>
        </w:rPr>
      </w:pPr>
      <w:r>
        <w:rPr>
          <w:rFonts w:hint="eastAsia" w:ascii="黑体" w:hAnsi="黑体" w:eastAsia="黑体" w:cs="仿宋"/>
          <w:color w:val="auto"/>
          <w:sz w:val="28"/>
          <w:szCs w:val="28"/>
          <w:highlight w:val="none"/>
          <w:lang w:val="zh-CN"/>
        </w:rPr>
        <w:t>本合同</w:t>
      </w:r>
      <w:r>
        <w:rPr>
          <w:rFonts w:hint="eastAsia" w:ascii="黑体" w:hAnsi="黑体" w:eastAsia="黑体"/>
          <w:color w:val="auto"/>
          <w:szCs w:val="21"/>
          <w:highlight w:val="none"/>
        </w:rPr>
        <w:t>□</w:t>
      </w:r>
      <w:r>
        <w:rPr>
          <w:rFonts w:hint="eastAsia" w:ascii="黑体" w:hAnsi="黑体" w:eastAsia="黑体"/>
          <w:color w:val="auto"/>
          <w:sz w:val="28"/>
          <w:szCs w:val="28"/>
          <w:highlight w:val="none"/>
        </w:rPr>
        <w:t>是</w:t>
      </w:r>
      <w:r>
        <w:rPr>
          <w:rFonts w:ascii="黑体" w:hAnsi="黑体" w:eastAsia="黑体"/>
          <w:color w:val="auto"/>
          <w:sz w:val="28"/>
          <w:szCs w:val="28"/>
          <w:highlight w:val="none"/>
        </w:rPr>
        <w:t>/</w:t>
      </w:r>
      <w:r>
        <w:rPr>
          <w:rFonts w:hint="eastAsia" w:ascii="黑体" w:hAnsi="黑体" w:eastAsia="黑体"/>
          <w:color w:val="auto"/>
          <w:szCs w:val="21"/>
          <w:highlight w:val="none"/>
        </w:rPr>
        <w:t>□</w:t>
      </w:r>
      <w:r>
        <w:rPr>
          <w:rFonts w:hint="eastAsia" w:ascii="黑体" w:hAnsi="黑体" w:eastAsia="黑体"/>
          <w:color w:val="auto"/>
          <w:sz w:val="28"/>
          <w:szCs w:val="28"/>
          <w:highlight w:val="none"/>
        </w:rPr>
        <w:t>否中小企业预留合同</w:t>
      </w:r>
    </w:p>
    <w:p>
      <w:pPr>
        <w:ind w:firstLine="480" w:firstLineChars="200"/>
        <w:jc w:val="center"/>
        <w:rPr>
          <w:rFonts w:ascii="仿宋" w:hAnsi="仿宋" w:eastAsia="仿宋" w:cs="仿宋"/>
          <w:color w:val="auto"/>
          <w:sz w:val="24"/>
          <w:highlight w:val="none"/>
          <w:lang w:val="zh-CN"/>
        </w:rPr>
      </w:pPr>
    </w:p>
    <w:p>
      <w:pPr>
        <w:jc w:val="center"/>
        <w:rPr>
          <w:rFonts w:hint="eastAsia" w:ascii="方正小标宋_GBK" w:hAnsi="仿宋" w:eastAsia="方正小标宋_GBK" w:cs="仿宋"/>
          <w:color w:val="auto"/>
          <w:sz w:val="44"/>
          <w:szCs w:val="44"/>
          <w:highlight w:val="none"/>
          <w:lang w:val="zh-CN"/>
        </w:rPr>
      </w:pPr>
      <w:r>
        <w:rPr>
          <w:rFonts w:hint="eastAsia" w:ascii="方正小标宋_GBK" w:hAnsi="仿宋" w:eastAsia="方正小标宋_GBK" w:cs="仿宋"/>
          <w:color w:val="auto"/>
          <w:sz w:val="44"/>
          <w:szCs w:val="44"/>
          <w:highlight w:val="none"/>
          <w:lang w:val="zh-CN"/>
        </w:rPr>
        <w:t>政府采购工程合同（范本）</w:t>
      </w:r>
    </w:p>
    <w:p>
      <w:pPr>
        <w:spacing w:line="400" w:lineRule="exact"/>
        <w:ind w:firstLine="480" w:firstLineChars="200"/>
        <w:rPr>
          <w:rFonts w:ascii="仿宋" w:hAnsi="仿宋" w:eastAsia="仿宋" w:cs="仿宋"/>
          <w:color w:val="auto"/>
          <w:sz w:val="24"/>
          <w:highlight w:val="none"/>
          <w:lang w:val="zh-CN"/>
        </w:rPr>
      </w:pPr>
    </w:p>
    <w:p>
      <w:pPr>
        <w:spacing w:line="400" w:lineRule="exact"/>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560" w:firstLineChars="200"/>
        <w:rPr>
          <w:rFonts w:ascii="仿宋" w:hAnsi="仿宋" w:eastAsia="仿宋" w:cs="仿宋"/>
          <w:color w:val="auto"/>
          <w:sz w:val="28"/>
          <w:szCs w:val="28"/>
          <w:highlight w:val="none"/>
          <w:lang w:val="zh-CN"/>
        </w:rPr>
      </w:pPr>
    </w:p>
    <w:p>
      <w:pPr>
        <w:spacing w:line="500" w:lineRule="exact"/>
        <w:rPr>
          <w:rFonts w:ascii="仿宋" w:hAnsi="仿宋" w:eastAsia="仿宋" w:cs="仿宋"/>
          <w:color w:val="auto"/>
          <w:sz w:val="24"/>
          <w:highlight w:val="none"/>
          <w:u w:val="single"/>
        </w:rPr>
      </w:pPr>
      <w:r>
        <w:rPr>
          <w:rFonts w:ascii="仿宋" w:hAnsi="仿宋" w:eastAsia="仿宋" w:cs="仿宋"/>
          <w:color w:val="auto"/>
          <w:sz w:val="28"/>
          <w:szCs w:val="28"/>
          <w:highlight w:val="none"/>
        </w:rPr>
        <w:t xml:space="preserve">        </w:t>
      </w:r>
      <w:r>
        <w:rPr>
          <w:rFonts w:hint="eastAsia" w:ascii="仿宋" w:hAnsi="仿宋" w:eastAsia="仿宋" w:cs="仿宋"/>
          <w:color w:val="auto"/>
          <w:sz w:val="24"/>
          <w:highlight w:val="none"/>
        </w:rPr>
        <w:t>项目名称：</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ascii="仿宋" w:hAnsi="仿宋" w:eastAsia="仿宋" w:cs="仿宋"/>
          <w:color w:val="auto"/>
          <w:sz w:val="24"/>
          <w:highlight w:val="none"/>
          <w:u w:val="single"/>
        </w:rPr>
        <w:t xml:space="preserve">                            </w:t>
      </w:r>
    </w:p>
    <w:p>
      <w:pPr>
        <w:spacing w:line="5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hint="eastAsia" w:ascii="仿宋" w:hAnsi="仿宋" w:eastAsia="仿宋" w:cs="仿宋"/>
          <w:color w:val="auto"/>
          <w:sz w:val="24"/>
          <w:highlight w:val="none"/>
          <w:u w:val="singl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r>
        <w:rPr>
          <w:rFonts w:hint="eastAsia" w:ascii="CESI黑体-GB2312" w:hAnsi="CESI黑体-GB2312" w:eastAsia="CESI黑体-GB2312" w:cs="CESI黑体-GB2312"/>
          <w:color w:val="auto"/>
          <w:sz w:val="24"/>
          <w:highlight w:val="none"/>
          <w:lang w:val="zh-CN"/>
        </w:rPr>
        <w:t>第一部分合同协议书</w:t>
      </w: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（发包人）所需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（项目名称）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经以</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采购文件以</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方式进行采购，确定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（承包人）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为成交供应商。发包人、承包人双方根据《中华人民共和国民法典》《中华人民共和国政府采购法》等相关法律以及本项目采购文件的规定，经平等协商达成合同如下：</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一、合同文件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本合同所附下列文件是构成本合同不可分割的部分：</w:t>
      </w:r>
    </w:p>
    <w:p>
      <w:pPr>
        <w:numPr>
          <w:ilvl w:val="0"/>
          <w:numId w:val="30"/>
        </w:num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政府采购文件（含采购文件的澄清、修改等）；</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（二）成交供应商响应文件；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（三）合同格式、合同条款</w:t>
      </w:r>
      <w:r>
        <w:rPr>
          <w:rFonts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（四）成交供应商在评标过程中做出的有关澄清、说明或者补正文件；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（五）中标（成交）通知书；</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（六）技术标准和要求；</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（七）图纸；</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（八）已标价工程量清单或预算书；</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（九）其他合同文件。</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二、合同的范围和条件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本合同的范围和条件应与上述合同文件的规定相一致。</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三、工程概况</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工程地点：</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工程内容：</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工程立项批准文号：</w:t>
      </w:r>
      <w:r>
        <w:rPr>
          <w:rFonts w:ascii="仿宋" w:hAnsi="仿宋" w:eastAsia="仿宋" w:cs="仿宋"/>
          <w:color w:val="auto"/>
          <w:sz w:val="24"/>
          <w:highlight w:val="none"/>
          <w:u w:val="single"/>
        </w:rPr>
        <w:t xml:space="preserve">               </w:t>
      </w:r>
    </w:p>
    <w:p>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四、工程质量标准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工程质量符合合格及以上标准</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五、合同金额</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签约合同价与合同价格形式</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签约合同价为：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工程造价：</w:t>
      </w:r>
      <w:r>
        <w:rPr>
          <w:rFonts w:hint="eastAsia" w:ascii="仿宋" w:hAnsi="仿宋" w:eastAsia="仿宋" w:cs="仿宋"/>
          <w:color w:val="auto"/>
          <w:sz w:val="24"/>
          <w:highlight w:val="none"/>
          <w:u w:val="single"/>
        </w:rPr>
        <w:t>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其中：</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）安全文明施工费：</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）材料和工程设备暂估价金额：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）专业工程暂估价金额：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r>
        <w:rPr>
          <w:rFonts w:hint="eastAsia"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）暂列金额：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合同价格形式：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六、付款方式</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七、缺陷责任期</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个月，缺陷责任期自工程通过竣工验收之日起计算。单位工程先于全部工程进行验收，单位工程缺陷责任期自单位工程验收合格之日起算。</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八、施工日期、地点</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开工日期：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竣工日期：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合同工期日历日。</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九、合同生效</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本合同自经双方法定代表人或其授权代表签字并加盖双方合同章后生效。</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十、合同保存</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份，均具有同等法律效力，发包人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份，代理机构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十一、关于政府采购合同融资</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十二、权利瑕疵担保</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乙方保证对其出售的标的物享有合法的权利；</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乙方应保证在其出售的标的物上不存在任何未曾向甲方透露的担保物杈，如抵押权、质押权、留置权等；</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乙方应保证其所出售的标的物没有侵犯任何第三人的知识产权和商业秘密等权利；</w:t>
      </w:r>
    </w:p>
    <w:p>
      <w:pPr>
        <w:spacing w:line="400" w:lineRule="exact"/>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如甲方使用该标的物构成上述侵权的，则由乙方承担全部责任。</w:t>
      </w:r>
    </w:p>
    <w:p>
      <w:pPr>
        <w:autoSpaceDE w:val="0"/>
        <w:autoSpaceDN w:val="0"/>
        <w:adjustRightInd w:val="0"/>
        <w:spacing w:line="4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（公章）</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发包人：</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（公章）</w:t>
      </w:r>
    </w:p>
    <w:p>
      <w:pPr>
        <w:autoSpaceDE w:val="0"/>
        <w:autoSpaceDN w:val="0"/>
        <w:adjustRightInd w:val="0"/>
        <w:spacing w:line="400" w:lineRule="exact"/>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法定代表人或其委托代理人：</w:t>
      </w:r>
      <w:r>
        <w:rPr>
          <w:rFonts w:ascii="仿宋" w:hAnsi="仿宋" w:eastAsia="仿宋" w:cs="仿宋"/>
          <w:color w:val="auto"/>
          <w:sz w:val="24"/>
          <w:highlight w:val="none"/>
          <w:lang w:val="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法定代表人或其委托代理人：</w:t>
      </w:r>
      <w:r>
        <w:rPr>
          <w:rFonts w:ascii="仿宋" w:hAnsi="仿宋" w:eastAsia="仿宋" w:cs="仿宋"/>
          <w:color w:val="auto"/>
          <w:sz w:val="24"/>
          <w:highlight w:val="none"/>
          <w:lang w:val="zh-CN"/>
        </w:rPr>
        <w:t xml:space="preserve">                 </w:t>
      </w:r>
    </w:p>
    <w:p>
      <w:pPr>
        <w:autoSpaceDE w:val="0"/>
        <w:autoSpaceDN w:val="0"/>
        <w:adjustRightInd w:val="0"/>
        <w:spacing w:line="4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（签字）</w:t>
      </w:r>
    </w:p>
    <w:p>
      <w:pPr>
        <w:autoSpaceDE w:val="0"/>
        <w:autoSpaceDN w:val="0"/>
        <w:adjustRightInd w:val="0"/>
        <w:spacing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组织机构代码：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组织机构代码：</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地址：</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邮政编码：</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传真：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电子信箱：</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开户银行：</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开户银行：</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账号：</w:t>
      </w:r>
      <w:r>
        <w:rPr>
          <w:rFonts w:ascii="仿宋" w:hAnsi="仿宋" w:eastAsia="仿宋" w:cs="仿宋"/>
          <w:color w:val="auto"/>
          <w:sz w:val="24"/>
          <w:highlight w:val="none"/>
          <w:u w:val="single"/>
        </w:rPr>
        <w:t xml:space="preserve">                        </w:t>
      </w:r>
    </w:p>
    <w:p>
      <w:pPr>
        <w:autoSpaceDE w:val="0"/>
        <w:autoSpaceDN w:val="0"/>
        <w:adjustRightInd w:val="0"/>
        <w:spacing w:line="400" w:lineRule="exact"/>
        <w:rPr>
          <w:rFonts w:ascii="仿宋" w:hAnsi="仿宋" w:eastAsia="仿宋" w:cs="仿宋"/>
          <w:color w:val="auto"/>
          <w:sz w:val="24"/>
          <w:highlight w:val="none"/>
          <w:u w:val="single"/>
        </w:rPr>
      </w:pPr>
    </w:p>
    <w:p>
      <w:pPr>
        <w:spacing w:line="400" w:lineRule="exact"/>
        <w:jc w:val="center"/>
        <w:rPr>
          <w:rFonts w:hint="eastAsia" w:ascii="仿宋" w:hAnsi="仿宋" w:eastAsia="仿宋" w:cs="仿宋"/>
          <w:color w:val="auto"/>
          <w:sz w:val="24"/>
          <w:highlight w:val="none"/>
          <w:lang w:val="zh-CN"/>
        </w:rPr>
      </w:pPr>
      <w:r>
        <w:rPr>
          <w:rFonts w:hint="eastAsia" w:ascii="CESI黑体-GB2312" w:hAnsi="CESI黑体-GB2312" w:eastAsia="CESI黑体-GB2312" w:cs="CESI黑体-GB2312"/>
          <w:color w:val="auto"/>
          <w:sz w:val="24"/>
          <w:highlight w:val="none"/>
          <w:lang w:val="zh-CN"/>
        </w:rPr>
        <w:t>第二部分</w:t>
      </w:r>
      <w:r>
        <w:rPr>
          <w:rFonts w:ascii="CESI黑体-GB2312" w:hAnsi="CESI黑体-GB2312" w:eastAsia="CESI黑体-GB2312" w:cs="CESI黑体-GB2312"/>
          <w:color w:val="auto"/>
          <w:sz w:val="24"/>
          <w:highlight w:val="none"/>
        </w:rPr>
        <w:t xml:space="preserve"> </w:t>
      </w:r>
      <w:r>
        <w:rPr>
          <w:rFonts w:hint="eastAsia" w:ascii="CESI黑体-GB2312" w:hAnsi="CESI黑体-GB2312" w:eastAsia="CESI黑体-GB2312" w:cs="CESI黑体-GB2312"/>
          <w:color w:val="auto"/>
          <w:sz w:val="24"/>
          <w:highlight w:val="none"/>
        </w:rPr>
        <w:t>通用条款</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参照住房城乡建设部、国家工商行政管理总局制订的《建设工程施工合同》示范文本（</w:t>
      </w:r>
      <w:r>
        <w:rPr>
          <w:rFonts w:ascii="仿宋" w:hAnsi="仿宋" w:eastAsia="仿宋" w:cs="仿宋"/>
          <w:color w:val="auto"/>
          <w:sz w:val="24"/>
          <w:highlight w:val="none"/>
        </w:rPr>
        <w:t>GF-2017-0201</w:t>
      </w:r>
      <w:r>
        <w:rPr>
          <w:rFonts w:hint="eastAsia" w:ascii="仿宋" w:hAnsi="仿宋" w:eastAsia="仿宋" w:cs="仿宋"/>
          <w:color w:val="auto"/>
          <w:sz w:val="24"/>
          <w:highlight w:val="none"/>
          <w:lang w:val="zh-CN"/>
        </w:rPr>
        <w:t>）。</w:t>
      </w:r>
    </w:p>
    <w:p>
      <w:pPr>
        <w:spacing w:line="400" w:lineRule="exact"/>
        <w:jc w:val="center"/>
        <w:rPr>
          <w:rFonts w:hint="eastAsia" w:ascii="CESI黑体-GB2312" w:hAnsi="CESI黑体-GB2312" w:eastAsia="CESI黑体-GB2312" w:cs="CESI黑体-GB2312"/>
          <w:color w:val="auto"/>
          <w:sz w:val="24"/>
          <w:highlight w:val="none"/>
        </w:rPr>
      </w:pPr>
    </w:p>
    <w:p>
      <w:pPr>
        <w:spacing w:line="400" w:lineRule="exact"/>
        <w:jc w:val="center"/>
        <w:rPr>
          <w:rFonts w:hint="eastAsia" w:ascii="CESI黑体-GB2312" w:hAnsi="CESI黑体-GB2312" w:eastAsia="CESI黑体-GB2312" w:cs="CESI黑体-GB2312"/>
          <w:color w:val="auto"/>
          <w:sz w:val="24"/>
          <w:highlight w:val="none"/>
        </w:rPr>
      </w:pPr>
      <w:r>
        <w:rPr>
          <w:rFonts w:hint="eastAsia" w:ascii="CESI黑体-GB2312" w:hAnsi="CESI黑体-GB2312" w:eastAsia="CESI黑体-GB2312" w:cs="CESI黑体-GB2312"/>
          <w:color w:val="auto"/>
          <w:sz w:val="24"/>
          <w:highlight w:val="none"/>
        </w:rPr>
        <w:t>第三部分</w:t>
      </w:r>
      <w:r>
        <w:rPr>
          <w:rFonts w:ascii="CESI黑体-GB2312" w:hAnsi="CESI黑体-GB2312" w:eastAsia="CESI黑体-GB2312" w:cs="CESI黑体-GB2312"/>
          <w:color w:val="auto"/>
          <w:sz w:val="24"/>
          <w:highlight w:val="none"/>
        </w:rPr>
        <w:t xml:space="preserve"> </w:t>
      </w:r>
      <w:r>
        <w:rPr>
          <w:rFonts w:hint="eastAsia" w:ascii="CESI黑体-GB2312" w:hAnsi="CESI黑体-GB2312" w:eastAsia="CESI黑体-GB2312" w:cs="CESI黑体-GB2312"/>
          <w:color w:val="auto"/>
          <w:sz w:val="24"/>
          <w:highlight w:val="none"/>
        </w:rPr>
        <w:t>专用条款</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一般约定</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1.1 </w:t>
      </w:r>
      <w:r>
        <w:rPr>
          <w:rFonts w:hint="eastAsia" w:ascii="仿宋" w:hAnsi="仿宋" w:eastAsia="仿宋" w:cs="仿宋"/>
          <w:b/>
          <w:bCs/>
          <w:color w:val="auto"/>
          <w:sz w:val="24"/>
          <w:highlight w:val="none"/>
          <w:lang w:val="zh-CN"/>
        </w:rPr>
        <w:t>词语定义</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合同</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其他合同文件包括：合同履行过程中经发包人、承包人共同书面确认的，与工程有关的补充协议、设计变更、工程签证等资料。</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1.1.2 </w:t>
      </w:r>
      <w:r>
        <w:rPr>
          <w:rFonts w:hint="eastAsia" w:ascii="仿宋" w:hAnsi="仿宋" w:eastAsia="仿宋" w:cs="仿宋"/>
          <w:color w:val="auto"/>
          <w:sz w:val="24"/>
          <w:highlight w:val="none"/>
          <w:lang w:val="zh-CN"/>
        </w:rPr>
        <w:t>合同当事人及其他相关方</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1.1.2.</w:t>
      </w:r>
      <w:r>
        <w:rPr>
          <w:rFonts w:ascii="仿宋" w:hAnsi="仿宋" w:eastAsia="仿宋" w:cs="仿宋"/>
          <w:color w:val="auto"/>
          <w:sz w:val="24"/>
          <w:highlight w:val="none"/>
        </w:rPr>
        <w:t>1</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监理人：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名</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资质类别和等级：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1.1.2.</w:t>
      </w:r>
      <w:r>
        <w:rPr>
          <w:rFonts w:ascii="仿宋" w:hAnsi="仿宋" w:eastAsia="仿宋" w:cs="仿宋"/>
          <w:color w:val="auto"/>
          <w:sz w:val="24"/>
          <w:highlight w:val="none"/>
        </w:rPr>
        <w:t xml:space="preserve">2 </w:t>
      </w:r>
      <w:r>
        <w:rPr>
          <w:rFonts w:hint="eastAsia" w:ascii="仿宋" w:hAnsi="仿宋" w:eastAsia="仿宋" w:cs="仿宋"/>
          <w:color w:val="auto"/>
          <w:sz w:val="24"/>
          <w:highlight w:val="none"/>
          <w:lang w:val="zh-CN"/>
        </w:rPr>
        <w:t>设计人：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名</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资质类别和等级：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1.1.3 </w:t>
      </w:r>
      <w:r>
        <w:rPr>
          <w:rFonts w:hint="eastAsia" w:ascii="仿宋" w:hAnsi="仿宋" w:eastAsia="仿宋" w:cs="仿宋"/>
          <w:color w:val="auto"/>
          <w:sz w:val="24"/>
          <w:highlight w:val="none"/>
          <w:lang w:val="zh-CN"/>
        </w:rPr>
        <w:t>工程和设备</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1.1.3.</w:t>
      </w:r>
      <w:r>
        <w:rPr>
          <w:rFonts w:ascii="仿宋" w:hAnsi="仿宋" w:eastAsia="仿宋" w:cs="仿宋"/>
          <w:color w:val="auto"/>
          <w:sz w:val="24"/>
          <w:highlight w:val="none"/>
        </w:rPr>
        <w:t>1</w:t>
      </w:r>
      <w:r>
        <w:rPr>
          <w:rFonts w:hint="eastAsia" w:ascii="仿宋" w:hAnsi="仿宋" w:eastAsia="仿宋" w:cs="仿宋"/>
          <w:color w:val="auto"/>
          <w:sz w:val="24"/>
          <w:highlight w:val="none"/>
          <w:lang w:val="zh-CN"/>
        </w:rPr>
        <w:t>作为施工现场组成部分的其他场所包括：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1.</w:t>
      </w:r>
      <w:r>
        <w:rPr>
          <w:rFonts w:ascii="仿宋" w:hAnsi="仿宋" w:eastAsia="仿宋" w:cs="仿宋"/>
          <w:color w:val="auto"/>
          <w:sz w:val="24"/>
          <w:highlight w:val="none"/>
          <w:lang w:val="zh-CN"/>
        </w:rPr>
        <w:t>3.</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作永久占地包括：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1.</w:t>
      </w:r>
      <w:r>
        <w:rPr>
          <w:rFonts w:ascii="仿宋" w:hAnsi="仿宋" w:eastAsia="仿宋" w:cs="仿宋"/>
          <w:color w:val="auto"/>
          <w:sz w:val="24"/>
          <w:highlight w:val="none"/>
        </w:rPr>
        <w:t>1.</w:t>
      </w:r>
      <w:r>
        <w:rPr>
          <w:rFonts w:ascii="仿宋" w:hAnsi="仿宋" w:eastAsia="仿宋" w:cs="仿宋"/>
          <w:color w:val="auto"/>
          <w:sz w:val="24"/>
          <w:highlight w:val="none"/>
          <w:lang w:val="zh-CN"/>
        </w:rPr>
        <w:t>3.</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作永久占地包括：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1.3 </w:t>
      </w:r>
      <w:r>
        <w:rPr>
          <w:rFonts w:hint="eastAsia" w:ascii="仿宋" w:hAnsi="仿宋" w:eastAsia="仿宋" w:cs="仿宋"/>
          <w:b/>
          <w:bCs/>
          <w:color w:val="auto"/>
          <w:sz w:val="24"/>
          <w:highlight w:val="none"/>
          <w:lang w:val="zh-CN"/>
        </w:rPr>
        <w:t>法律</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适用于合同的其他规范性文件：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1.4 </w:t>
      </w:r>
      <w:r>
        <w:rPr>
          <w:rFonts w:hint="eastAsia" w:ascii="仿宋" w:hAnsi="仿宋" w:eastAsia="仿宋" w:cs="仿宋"/>
          <w:b/>
          <w:bCs/>
          <w:color w:val="auto"/>
          <w:sz w:val="24"/>
          <w:highlight w:val="none"/>
          <w:lang w:val="zh-CN"/>
        </w:rPr>
        <w:t>标准和规范</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1.4.1</w:t>
      </w:r>
      <w:r>
        <w:rPr>
          <w:rFonts w:hint="eastAsia" w:ascii="仿宋" w:hAnsi="仿宋" w:eastAsia="仿宋" w:cs="仿宋"/>
          <w:color w:val="auto"/>
          <w:sz w:val="24"/>
          <w:highlight w:val="none"/>
          <w:lang w:val="zh-CN"/>
        </w:rPr>
        <w:t>适用于工程的标准规范包括：</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w:t>
      </w:r>
      <w:r>
        <w:rPr>
          <w:rFonts w:ascii="仿宋" w:hAnsi="仿宋" w:eastAsia="仿宋" w:cs="仿宋"/>
          <w:color w:val="auto"/>
          <w:sz w:val="24"/>
          <w:highlight w:val="none"/>
          <w:lang w:val="zh-CN"/>
        </w:rPr>
        <w:t xml:space="preserve">4.2 </w:t>
      </w:r>
      <w:r>
        <w:rPr>
          <w:rFonts w:hint="eastAsia" w:ascii="仿宋" w:hAnsi="仿宋" w:eastAsia="仿宋" w:cs="仿宋"/>
          <w:color w:val="auto"/>
          <w:sz w:val="24"/>
          <w:highlight w:val="none"/>
          <w:lang w:val="zh-CN"/>
        </w:rPr>
        <w:t>发包人提供国外标准、规范的名称：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发包人提供国外标准、规范的份数：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发包人提供国外标准、规范的名称：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1.4.3 </w:t>
      </w:r>
      <w:r>
        <w:rPr>
          <w:rFonts w:hint="eastAsia" w:ascii="仿宋" w:hAnsi="仿宋" w:eastAsia="仿宋" w:cs="仿宋"/>
          <w:color w:val="auto"/>
          <w:sz w:val="24"/>
          <w:highlight w:val="none"/>
          <w:lang w:val="zh-CN"/>
        </w:rPr>
        <w:t>发包人对工程的技术标准和功能要求的特殊要求：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1.5 </w:t>
      </w:r>
      <w:r>
        <w:rPr>
          <w:rFonts w:hint="eastAsia" w:ascii="仿宋" w:hAnsi="仿宋" w:eastAsia="仿宋" w:cs="仿宋"/>
          <w:b/>
          <w:bCs/>
          <w:color w:val="auto"/>
          <w:sz w:val="24"/>
          <w:highlight w:val="none"/>
          <w:lang w:val="zh-CN"/>
        </w:rPr>
        <w:t>合同文件的优先顺序</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合同文件组成及优先顺序为：</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1.6 </w:t>
      </w:r>
      <w:r>
        <w:rPr>
          <w:rFonts w:hint="eastAsia" w:ascii="仿宋" w:hAnsi="仿宋" w:eastAsia="仿宋" w:cs="仿宋"/>
          <w:b/>
          <w:bCs/>
          <w:color w:val="auto"/>
          <w:sz w:val="24"/>
          <w:highlight w:val="none"/>
          <w:lang w:val="zh-CN"/>
        </w:rPr>
        <w:t>图纸和承包人文件</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1.6.1 </w:t>
      </w:r>
      <w:r>
        <w:rPr>
          <w:rFonts w:hint="eastAsia" w:ascii="仿宋" w:hAnsi="仿宋" w:eastAsia="仿宋" w:cs="仿宋"/>
          <w:color w:val="auto"/>
          <w:sz w:val="24"/>
          <w:highlight w:val="none"/>
          <w:lang w:val="zh-CN"/>
        </w:rPr>
        <w:t>图纸的提供</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发包人向承包人提供图纸的期限：</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发包人向承包人提供图纸的数量：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发包人向承包人提供图纸的内容：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1.6.4 </w:t>
      </w:r>
      <w:r>
        <w:rPr>
          <w:rFonts w:hint="eastAsia" w:ascii="仿宋" w:hAnsi="仿宋" w:eastAsia="仿宋" w:cs="仿宋"/>
          <w:color w:val="auto"/>
          <w:sz w:val="24"/>
          <w:highlight w:val="none"/>
          <w:lang w:val="zh-CN"/>
        </w:rPr>
        <w:t>承包人文件</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需要由承包人提供的文件，包括：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承包人提供的文件的期限为：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承包人提供的文件的数量为：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承包人提供的文件的形式为：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发包人审批承包人文件的期限：</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6</w:t>
      </w:r>
      <w:r>
        <w:rPr>
          <w:rFonts w:ascii="仿宋" w:hAnsi="仿宋" w:eastAsia="仿宋" w:cs="仿宋"/>
          <w:color w:val="auto"/>
          <w:sz w:val="24"/>
          <w:highlight w:val="none"/>
          <w:lang w:val="zh-CN"/>
        </w:rPr>
        <w:t xml:space="preserve">.5 </w:t>
      </w:r>
      <w:r>
        <w:rPr>
          <w:rFonts w:hint="eastAsia" w:ascii="仿宋" w:hAnsi="仿宋" w:eastAsia="仿宋" w:cs="仿宋"/>
          <w:color w:val="auto"/>
          <w:sz w:val="24"/>
          <w:highlight w:val="none"/>
          <w:lang w:val="zh-CN"/>
        </w:rPr>
        <w:t>现场图纸准备</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关于现场图纸准备的约定：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 </w:t>
      </w:r>
      <w:r>
        <w:rPr>
          <w:rFonts w:hint="eastAsia" w:ascii="仿宋" w:hAnsi="仿宋" w:eastAsia="仿宋" w:cs="仿宋"/>
          <w:b/>
          <w:bCs/>
          <w:color w:val="auto"/>
          <w:sz w:val="24"/>
          <w:highlight w:val="none"/>
          <w:lang w:val="zh-CN"/>
        </w:rPr>
        <w:t>联络</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1.7.1 </w:t>
      </w:r>
      <w:r>
        <w:rPr>
          <w:rFonts w:hint="eastAsia" w:ascii="仿宋" w:hAnsi="仿宋" w:eastAsia="仿宋" w:cs="仿宋"/>
          <w:color w:val="auto"/>
          <w:sz w:val="24"/>
          <w:highlight w:val="none"/>
          <w:lang w:val="zh-CN"/>
        </w:rPr>
        <w:t>发包人和承包人应当在</w:t>
      </w:r>
      <w:r>
        <w:rPr>
          <w:rFonts w:ascii="仿宋" w:hAnsi="仿宋" w:eastAsia="仿宋" w:cs="仿宋"/>
          <w:color w:val="auto"/>
          <w:sz w:val="24"/>
          <w:highlight w:val="none"/>
          <w:lang w:val="zh-CN"/>
        </w:rPr>
        <w:t>7</w:t>
      </w:r>
      <w:r>
        <w:rPr>
          <w:rFonts w:hint="eastAsia" w:ascii="仿宋" w:hAnsi="仿宋" w:eastAsia="仿宋" w:cs="仿宋"/>
          <w:color w:val="auto"/>
          <w:sz w:val="24"/>
          <w:highlight w:val="none"/>
          <w:lang w:val="zh-CN"/>
        </w:rPr>
        <w:t>天内将与合同有关的通知、批准、证明、证书、指示、指令、要求、请求、同意、意见、确定和决定等书面函件送达对方当事人。</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1.7.2 </w:t>
      </w:r>
      <w:r>
        <w:rPr>
          <w:rFonts w:hint="eastAsia" w:ascii="仿宋" w:hAnsi="仿宋" w:eastAsia="仿宋" w:cs="仿宋"/>
          <w:color w:val="auto"/>
          <w:sz w:val="24"/>
          <w:highlight w:val="none"/>
          <w:lang w:val="zh-CN"/>
        </w:rPr>
        <w:t>发包人接收文件的地点：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监理人接收文件的地点：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监理人指定的接收人为：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w:t>
      </w:r>
      <w:r>
        <w:rPr>
          <w:rFonts w:ascii="仿宋" w:hAnsi="仿宋" w:eastAsia="仿宋" w:cs="仿宋"/>
          <w:b/>
          <w:bCs/>
          <w:color w:val="auto"/>
          <w:sz w:val="24"/>
          <w:highlight w:val="none"/>
        </w:rPr>
        <w:t>8</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交通运输</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出入现场的权利</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关于出入现场的权利的约定：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场内交通</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关于场外交通和场内交通的边界的约定：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关于发包人向承包人免费提供满足工程施工需要的场内道路和交通设施的约定：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超大件和超重件的运输</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运输超大件或超重件所需的道路和桥梁临时加固改造费用和其他有关费用由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w:t>
      </w:r>
      <w:r>
        <w:rPr>
          <w:rFonts w:ascii="仿宋" w:hAnsi="仿宋" w:eastAsia="仿宋" w:cs="仿宋"/>
          <w:b/>
          <w:bCs/>
          <w:color w:val="auto"/>
          <w:sz w:val="24"/>
          <w:highlight w:val="none"/>
        </w:rPr>
        <w:t>9</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知识产权</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关于发包人提供给承包人的图纸、发包人为实施工程自行编制或委托编制的技术规范以及反映发包人关于合同要求或其他类似性质的文件的著作权的归属：</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关于发包人提供的上述文件的使用限制的要求：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 xml:space="preserve">.2 </w:t>
      </w:r>
      <w:r>
        <w:rPr>
          <w:rFonts w:hint="eastAsia" w:ascii="仿宋" w:hAnsi="仿宋" w:eastAsia="仿宋" w:cs="仿宋"/>
          <w:color w:val="auto"/>
          <w:sz w:val="24"/>
          <w:highlight w:val="none"/>
          <w:lang w:val="zh-CN"/>
        </w:rPr>
        <w:t>关于承包人为实施工程所编制文件的著作权的归属：</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关于承包人提供的上述文件的使用限制的要求：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承包人在施工过程中所采用的专利、专有技术、技术</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秘密的使用费的承担方式：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1.1</w:t>
      </w:r>
      <w:r>
        <w:rPr>
          <w:rFonts w:ascii="仿宋" w:hAnsi="仿宋" w:eastAsia="仿宋" w:cs="仿宋"/>
          <w:b/>
          <w:bCs/>
          <w:color w:val="auto"/>
          <w:sz w:val="24"/>
          <w:highlight w:val="none"/>
        </w:rPr>
        <w:t>0</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工程量清单错误的修正</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出现工程量清单错误时，是否调整合同价格：</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允许调整合同价格的工程量偏差范围：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hint="eastAsia" w:ascii="仿宋" w:hAnsi="仿宋" w:eastAsia="仿宋" w:cs="仿宋"/>
          <w:b/>
          <w:bCs/>
          <w:color w:val="auto"/>
          <w:sz w:val="24"/>
          <w:highlight w:val="none"/>
          <w:lang w:val="zh-CN"/>
        </w:rPr>
        <w:t>发包人</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1</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发包人代表</w:t>
      </w:r>
    </w:p>
    <w:p>
      <w:pPr>
        <w:spacing w:line="400" w:lineRule="exact"/>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发包人代表：</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姓</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名：</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身份证号：</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电子邮箱：</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发包人对发包人代表的授权范围如下：</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2</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施工现场、施工条件和基础资料的提供</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提供施工现场</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关于发包人移交施工现场的期限要求：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.2 </w:t>
      </w:r>
      <w:r>
        <w:rPr>
          <w:rFonts w:hint="eastAsia" w:ascii="仿宋" w:hAnsi="仿宋" w:eastAsia="仿宋" w:cs="仿宋"/>
          <w:color w:val="auto"/>
          <w:sz w:val="24"/>
          <w:highlight w:val="none"/>
          <w:lang w:val="zh-CN"/>
        </w:rPr>
        <w:t>提供施工条件</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关于发包人应负责提供施工所需要的条件，包括：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3</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资金来源证明及支付担保</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发包人提供资金来源证明的期限要求：</w:t>
      </w:r>
      <w:r>
        <w:rPr>
          <w:rFonts w:ascii="仿宋" w:hAnsi="仿宋" w:eastAsia="仿宋" w:cs="仿宋"/>
          <w:color w:val="auto"/>
          <w:sz w:val="24"/>
          <w:highlight w:val="none"/>
        </w:rPr>
        <w:t>/</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发包人是否提供支付担保：</w:t>
      </w:r>
      <w:r>
        <w:rPr>
          <w:rFonts w:ascii="仿宋" w:hAnsi="仿宋" w:eastAsia="仿宋" w:cs="仿宋"/>
          <w:color w:val="auto"/>
          <w:sz w:val="24"/>
          <w:highlight w:val="none"/>
        </w:rPr>
        <w:t>/</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发包人提供支付担保的形式：</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3. </w:t>
      </w:r>
      <w:r>
        <w:rPr>
          <w:rFonts w:hint="eastAsia" w:ascii="仿宋" w:hAnsi="仿宋" w:eastAsia="仿宋" w:cs="仿宋"/>
          <w:b/>
          <w:bCs/>
          <w:color w:val="auto"/>
          <w:sz w:val="24"/>
          <w:highlight w:val="none"/>
          <w:lang w:val="zh-CN"/>
        </w:rPr>
        <w:t>承包人</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3.1 </w:t>
      </w:r>
      <w:r>
        <w:rPr>
          <w:rFonts w:hint="eastAsia" w:ascii="仿宋" w:hAnsi="仿宋" w:eastAsia="仿宋" w:cs="仿宋"/>
          <w:b/>
          <w:bCs/>
          <w:color w:val="auto"/>
          <w:sz w:val="24"/>
          <w:highlight w:val="none"/>
          <w:lang w:val="zh-CN"/>
        </w:rPr>
        <w:t>承包人的一般义务</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承包人提交的竣工资料的内容：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承包人需要提交的竣工资料套数：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承包人提交的竣工资料的费用承担：</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承包人提交的竣工资料移交时间：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承包人提交的竣工资料形式要求：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承包人应履行的其他义务：</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3.2</w:t>
      </w:r>
      <w:r>
        <w:rPr>
          <w:rFonts w:hint="eastAsia" w:ascii="仿宋" w:hAnsi="仿宋" w:eastAsia="仿宋" w:cs="仿宋"/>
          <w:b/>
          <w:bCs/>
          <w:color w:val="auto"/>
          <w:sz w:val="24"/>
          <w:highlight w:val="none"/>
          <w:lang w:val="zh-CN"/>
        </w:rPr>
        <w:t>项目经理</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3.2.1</w:t>
      </w:r>
      <w:r>
        <w:rPr>
          <w:rFonts w:hint="eastAsia" w:ascii="仿宋" w:hAnsi="仿宋" w:eastAsia="仿宋" w:cs="仿宋"/>
          <w:color w:val="auto"/>
          <w:sz w:val="24"/>
          <w:highlight w:val="none"/>
          <w:lang w:val="zh-CN"/>
        </w:rPr>
        <w:t>项目经理：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姓</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名：</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身份证号：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建造师执业资格等级：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建造师注册证书号：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建造师执业印章号：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安全生产考核合格证书号：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承包人对项目经理的授权范围如下：</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关于项目经理每月在施工现场的时间要求：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承包人未提交劳动合同，以及没有为项目经理缴纳社会保险证明的违约责任：</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承包人擅自更换项目经理的违约责任：</w:t>
      </w:r>
    </w:p>
    <w:p>
      <w:pPr>
        <w:spacing w:line="400" w:lineRule="exact"/>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发生一次扣减其合同价款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元，发生两次及以上，发包人有权单方面终止合同，因此造成的损失由承包人承担。</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承包人无正当理由拒绝更换项目经理的违约责任：</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发生一次性扣减其合同价款    元，发生两次及以上，发包人有权单方面终止合同，因此造成的损失由承包人承担</w:t>
      </w:r>
      <w:r>
        <w:rPr>
          <w:rFonts w:hint="eastAsia" w:ascii="仿宋" w:hAnsi="仿宋" w:eastAsia="仿宋" w:cs="仿宋"/>
          <w:color w:val="auto"/>
          <w:sz w:val="24"/>
          <w:highlight w:val="none"/>
          <w:lang w:val="zh-CN"/>
        </w:rPr>
        <w:t>。</w:t>
      </w:r>
    </w:p>
    <w:p>
      <w:pPr>
        <w:autoSpaceDE w:val="0"/>
        <w:autoSpaceDN w:val="0"/>
        <w:adjustRightInd w:val="0"/>
        <w:spacing w:line="400" w:lineRule="exact"/>
        <w:ind w:firstLine="48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3.3承包人人员</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3.3.1承包人提交项目管理机构及施工现场管理人员安排报告的期限：</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   </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3.3.2承包人无正当理由拒绝撤换主要施工管理人员的违约责任：</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3.3.3承包人主要施工管理人员离开施工现场的批准要求：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3.3.4承包人擅自更换主要施工管理人员的违约责任：</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发生一人次扣减其合同价款</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元，承包人应立即提供符合发包人要求的管理人员。发生两次及以上，发包人有权单方面解除合同，因此造成的损失由承包人承担。</w:t>
      </w:r>
    </w:p>
    <w:p>
      <w:pPr>
        <w:autoSpaceDE w:val="0"/>
        <w:autoSpaceDN w:val="0"/>
        <w:adjustRightInd w:val="0"/>
        <w:spacing w:line="400" w:lineRule="exact"/>
        <w:ind w:firstLine="482"/>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lang w:val="zh-CN"/>
        </w:rPr>
        <w:t>3.4分包</w:t>
      </w:r>
    </w:p>
    <w:p>
      <w:pPr>
        <w:autoSpaceDE w:val="0"/>
        <w:autoSpaceDN w:val="0"/>
        <w:adjustRightInd w:val="0"/>
        <w:spacing w:line="400" w:lineRule="exact"/>
        <w:ind w:firstLine="482"/>
        <w:rPr>
          <w:rFonts w:hint="eastAsia" w:ascii="仿宋" w:hAnsi="仿宋" w:eastAsia="仿宋" w:cs="仿宋"/>
          <w:color w:val="auto"/>
          <w:sz w:val="24"/>
          <w:highlight w:val="none"/>
          <w:u w:val="single"/>
          <w:lang w:val="zh-CN"/>
        </w:rPr>
      </w:pPr>
      <w:r>
        <w:rPr>
          <w:rFonts w:hint="eastAsia" w:ascii="仿宋" w:hAnsi="仿宋" w:eastAsia="仿宋" w:cs="CESI仿宋-GB2312"/>
          <w:color w:val="auto"/>
          <w:sz w:val="24"/>
          <w:highlight w:val="none"/>
        </w:rPr>
        <w:t>3.4.1分包的一般约定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禁止分包的工程包括：</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主体结构、关键性工作的范围：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3.4.2分包的确定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允许分包的专业工程包括：</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其他关于分包的约定：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3.4.3分包合同价款</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关于分包合同价款支付的约定：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3.5工程照管与成品、半成品保护</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承包人负责照管工程及工程相关的材料、工程设备的起始时间：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4监理人</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4.1监理人的一般规定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关于监理人的监理内容：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关于监理人的监理权限：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关于监理人在施工现场的办公场所、生活场所的提供和费用承担的约定：</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4.2商定或确定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在发包人和承包人不能通过协商达成一致意见时，发包人授权监理人对以下事项进行确定：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（2）</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5.工程质量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5.1质量要求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5.1.1特殊质量标准和要求：</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关于工程奖励的约定：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5.2隐蔽工程检查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5.2.1承包人提前通知监理人隐蔽工程检查的期限约定：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监理人不能按时进行检查时，应提前</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小时提交书面延期要求；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关于延期最长不得超过：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6安全文明施工与环境保护：</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6.1安全文明施工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6.1.1项目安全生产的达标目标及相应事项的约定：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6.1.2关于治安保卫的特别约定：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6.1.3关于编制施工场地治安管理计划的约定：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6.1.4文明施工</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合同当事人对文明施工的要求：</w:t>
      </w:r>
      <w:r>
        <w:rPr>
          <w:rFonts w:hint="eastAsia" w:ascii="仿宋" w:hAnsi="仿宋" w:eastAsia="仿宋" w:cs="CESI仿宋-GB2312"/>
          <w:color w:val="auto"/>
          <w:sz w:val="24"/>
          <w:highlight w:val="none"/>
          <w:u w:val="single"/>
        </w:rPr>
        <w:t xml:space="preserve">                  。</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6.1.5关于安全文明施工费支付比例和支付期限的约定：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7.工期和进度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7.1施工组织设计</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7.1.1合同当事人约定的施工组织设计应包括的其他内容：</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7.1.2施工组织设计的提交和修改</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承包人提交详细施工组织设计的期限约定：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发包人和监理人在收到详细的施工组织设计后确认或提出修改意见的期限。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7.2施工进度计划</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7.2.1施工进度计划的修订</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发包人和监理人在收到修订的施工进度计划后确认或提出修改意见的期限。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7.3开工</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7.3.1开工准备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关于承包人提交工程开工报审表的期限：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关于发包人应完成的其他开工准备工作及期限：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关于承包人应完成的其他开工准备工作及期限：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7.3.2开工通知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因发包人原因造成监理人未能在计划开工日期之日起</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天内发出开工通知的，承包人有权提出价格调整协商要求，协商不成的，双方均有权解除合同，双方互不追究违约责任。</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7.4测量放线</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7.4.1发包人通知监理人向承包人提供测量基准点、基准线和水准线及其书面资料的期限：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7.5工期延误</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7.5.1因发包人原因导致工期延误</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因发包人原因导致工期延误的其他情形：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7.5.2因承包人原因导致工期延期，逾期竣工违约金的技术方式为：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因承包人原因造成工期延误，逾期竣工违约金上限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7.6不利物质条件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不利物质条件的其他情形和有关约定：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7.7异常恶劣的气候条件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发包人和承包人同意以下情形视为异常恶劣的气候条件：</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7.8提前竣工的奖励：</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8.材料与设备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8.1材料与设备的保管与使用</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发包人供应的材料设备的保管费用的承担：</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8.2样品</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8.6.1样品的报送与封存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需要承包人报送样品的材料或工程设备，样品的种类、名称、规格、数量要求：</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8.6.2施工设备和临时设备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承包人提供的施工设备和临时设备，关于修建临时设备费用承担的约定：</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9.试验与检验</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9.1试验设备与试验人员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试验设备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施工现场需要配置的试验场所：</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施工现场需要配置的试验设备：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施工现场需要具备的其他试验条件：</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9.2现场工艺试验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现场工艺试验的有关约定：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10.变更</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10.1变更的范围约定：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10.2变更估价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关于变更估价的约定：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10.3承包人的合理化建议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监理人审查承包人合理化建议的期限：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发包人审批承包人合理化建议的期限：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承包人提出的合理化建议降低了合同价格或者提高了工程经济效益的奖励的方法和金额为：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10.4暂估价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暂估价材料和工程设备的明细详见附件《暂估价一览表》</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承包人直接实施的暂估价项目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承包人直接实施的暂估价项目的约定：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10.5暂列金额</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合同当事人关于暂列金额使用的约定：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11.价格调整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12.合同价格形式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1.单价合同：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综合单价包含的风险范围：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风险费用的计算方法：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风险范围以外合同价格的调整方法：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w:t>
      </w:r>
      <w:r>
        <w:rPr>
          <w:rFonts w:hint="eastAsia" w:ascii="仿宋" w:hAnsi="仿宋" w:eastAsia="仿宋" w:cs="CESI仿宋-GB2312"/>
          <w:color w:val="auto"/>
          <w:sz w:val="24"/>
          <w:highlight w:val="none"/>
          <w:u w:val="single"/>
        </w:rPr>
        <w:t>。</w:t>
      </w:r>
      <w:r>
        <w:rPr>
          <w:rFonts w:hint="eastAsia" w:ascii="仿宋" w:hAnsi="仿宋" w:eastAsia="仿宋" w:cs="CESI仿宋-GB2312"/>
          <w:color w:val="auto"/>
          <w:sz w:val="24"/>
          <w:highlight w:val="none"/>
        </w:rPr>
        <w:t xml:space="preserve">             </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2.总价合同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总价合同的风险范围：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风险费用的计算方法：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风险范围以外合同价格的调整方法：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color w:val="auto"/>
          <w:sz w:val="24"/>
          <w:highlight w:val="none"/>
        </w:rPr>
      </w:pPr>
      <w:r>
        <w:rPr>
          <w:rFonts w:hint="eastAsia" w:ascii="仿宋" w:hAnsi="仿宋" w:eastAsia="仿宋" w:cs="CESI仿宋-GB2312"/>
          <w:b/>
          <w:color w:val="auto"/>
          <w:sz w:val="24"/>
          <w:highlight w:val="none"/>
        </w:rPr>
        <w:t>3.其他价格方式</w:t>
      </w:r>
      <w:r>
        <w:rPr>
          <w:rFonts w:hint="eastAsia" w:ascii="仿宋" w:hAnsi="仿宋" w:eastAsia="仿宋" w:cs="CESI仿宋-GB2312"/>
          <w:color w:val="auto"/>
          <w:sz w:val="24"/>
          <w:highlight w:val="none"/>
        </w:rPr>
        <w:t>：</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             </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12.2预付款</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12.2.1预付款的支付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预付款支付比例或金额：</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预付款支付期限：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预付款扣回的方式：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计量原则</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工程量计算规则：</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计量周期</w:t>
      </w:r>
    </w:p>
    <w:p>
      <w:p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 xml:space="preserve">    关于计量周期的约定：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关于单价合同计量的约定：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关于总价合同计量的约定：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总价合同采用支付分解表计量支付的，是否适用项《总价合同的计量》约定：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其他价格形式的计量方式和程序：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12.3工程进度款支付</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付款周期</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12.3.1关于付款周期的约定：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12.3.2进度付款申请单的编制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关于付款进度申请单编制的约定：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12.3.3进度付款申请的提交</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单价合同进度付款申请单提交的约定：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总价合同进度付款申请单提交的约定：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其他价格形式合同进度付款单提交的约定：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12.4进度款审核和支付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监理人审查并报送发包人的期限：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 xml:space="preserve">发包人完成审批并签发进度款支付证书的期限： </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发包人支付进度款的期限：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12.4.1支付分解表的编制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总价合同支付分解表的编制与审批：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单价合同的总价项目支付分解表的编制与审批：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13.验收和工程试车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13.1分部分项工程验收</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13.1.2监理人不能按时进行验收时，应提前</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小时提交书面延期要求。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关于延期最长不得超过：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13.2竣工验收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13.2.1竣工验收程序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关于竣工验收程序的约定：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发包人不按照本项约定组织竣工验收、颁发工程接收证书的违约金的计算方法：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13.2.2移交、接收全部与部分工程</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承包人向发包人移交工期的期限：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发包人未按本合同约定接收全部或部分工程的，违约金计算方式：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承包人未按时移交工程的，违约金计算方式：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13.3工程试车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13.1.1试车程序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工程试车内容：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1单机无负荷试车费用由承担</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2无负荷联动试车费用由承担</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13.3.2投料试车</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关于投料试车相关事项的约定：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13.4竣工退场</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承包人完成竣工退场的期限：发包人在接收过程中所发生的建筑垃圾清运费、搬迁费等实际损失由承包人按照</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%承担。</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14.竣工结算</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14.1竣工结算申请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承包人提交竣工结算申请单的期限：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竣工结算申请单应包括的内容: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14.2竣工结算审核</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发包人审批竣工付款申请单的期限：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发包人完成竣工付款的期限：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关于竣工付款证书异议部分复核的方式和程序：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14.3最终结清</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14.3.1最终结清申请单</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承包人提交最终结清申请单的份数：</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承包人提交最终结束申请单的期限：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14.3.2最终结清证书和支付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发包人完成最终结清申请单的审批并颁发最终结清申请书的期限：</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发包人完成支付的期限：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15.缺陷责任期限与保修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15.1缺陷责任期的具体日期：</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15.2根据许昌优化政府采购营商环境要求，不能收取工程质量保证金。</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15.3保修</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15.3.1保修责任</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工程保修期为：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15.3.2修复通知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承包人收到保修通知并到达工程现场的合理时间：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16.违约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16.1发包人违约</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16.1.1发包人违约的情形：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发包人违约的其他情形：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16.1.2发包人违约的责任</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发包人违约责任的承担方式和计算方法：</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1因发包人原因未能在计划开工日期前7天内下达开工通知的违约责任：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因发包人原因未能按合同约定支付合同价款的违约责任：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发包人违法变更范围，自行实施被取消的工作或转由他人实施的违约责任：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发包人提供的材料、工程设备的规格、数量或质量不符合合同约定，或因发包人原因导致交货日期延误或交货地点变更等情况的违约责任：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因发包人违法合同约定造成暂停施工的违约责任：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发包人无正当理由没有在约定期限内发出复工指示，导致承包人无法复工的违约责任。</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16.2承包人违约</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16.2.1承包人违约的情形</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承包人违约的其他情形：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16.2.2 </w:t>
      </w:r>
      <w:r>
        <w:rPr>
          <w:rFonts w:hint="eastAsia" w:ascii="仿宋" w:hAnsi="仿宋" w:eastAsia="仿宋" w:cs="仿宋"/>
          <w:color w:val="auto"/>
          <w:sz w:val="24"/>
          <w:highlight w:val="none"/>
          <w:lang w:val="zh-CN"/>
        </w:rPr>
        <w:t>承包人违约的责任</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承包人违约责任的承担方式和计算方法：</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16.2.3 </w:t>
      </w:r>
      <w:r>
        <w:rPr>
          <w:rFonts w:hint="eastAsia" w:ascii="仿宋" w:hAnsi="仿宋" w:eastAsia="仿宋" w:cs="仿宋"/>
          <w:color w:val="auto"/>
          <w:sz w:val="24"/>
          <w:highlight w:val="none"/>
          <w:lang w:val="zh-CN"/>
        </w:rPr>
        <w:t>因承包人违约解除合同</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关于承包人违约解除合同的特别约定：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发包人继续使用承包人在施工现场的材料、设备、临时工程、承包人文件和由承包人或以其名义编制的其他文件的费用承担方式：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 </w:t>
      </w:r>
      <w:r>
        <w:rPr>
          <w:rFonts w:hint="eastAsia" w:ascii="仿宋" w:hAnsi="仿宋" w:eastAsia="仿宋" w:cs="仿宋"/>
          <w:b/>
          <w:bCs/>
          <w:color w:val="auto"/>
          <w:sz w:val="24"/>
          <w:highlight w:val="none"/>
          <w:lang w:val="zh-CN"/>
        </w:rPr>
        <w:t>不可抗力</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17.1 </w:t>
      </w:r>
      <w:r>
        <w:rPr>
          <w:rFonts w:hint="eastAsia" w:ascii="仿宋" w:hAnsi="仿宋" w:eastAsia="仿宋" w:cs="仿宋"/>
          <w:b/>
          <w:bCs/>
          <w:color w:val="auto"/>
          <w:sz w:val="24"/>
          <w:highlight w:val="none"/>
          <w:lang w:val="zh-CN"/>
        </w:rPr>
        <w:t>不可抗力的确认</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除通用合同条款约定的不可抗力事件之外，视为不可抗力的</w:t>
      </w:r>
    </w:p>
    <w:p>
      <w:pPr>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其他情形：</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17.2 </w:t>
      </w:r>
      <w:r>
        <w:rPr>
          <w:rFonts w:hint="eastAsia" w:ascii="仿宋" w:hAnsi="仿宋" w:eastAsia="仿宋" w:cs="仿宋"/>
          <w:b/>
          <w:bCs/>
          <w:color w:val="auto"/>
          <w:sz w:val="24"/>
          <w:highlight w:val="none"/>
          <w:lang w:val="zh-CN"/>
        </w:rPr>
        <w:t>因不可抗力解除合同</w:t>
      </w:r>
    </w:p>
    <w:p>
      <w:pPr>
        <w:spacing w:line="400" w:lineRule="exact"/>
        <w:ind w:left="319" w:leftChars="152" w:firstLine="310" w:firstLineChars="100"/>
        <w:rPr>
          <w:rFonts w:ascii="仿宋" w:hAnsi="仿宋" w:eastAsia="仿宋" w:cs="仿宋"/>
          <w:color w:val="auto"/>
          <w:sz w:val="24"/>
          <w:highlight w:val="none"/>
          <w:lang w:val="zh-CN"/>
        </w:rPr>
      </w:pPr>
      <w:r>
        <w:rPr>
          <w:rFonts w:hint="eastAsia" w:ascii="仿宋" w:hAnsi="仿宋" w:eastAsia="仿宋" w:cs="仿宋"/>
          <w:color w:val="auto"/>
          <w:spacing w:val="35"/>
          <w:w w:val="100"/>
          <w:kern w:val="0"/>
          <w:sz w:val="24"/>
          <w:highlight w:val="none"/>
          <w:fitText w:val="7680" w:id="2061464697"/>
          <w:lang w:val="zh-CN"/>
        </w:rPr>
        <w:t>合同解除后，发包人应在商定或确定发包人应支付款项</w:t>
      </w:r>
      <w:r>
        <w:rPr>
          <w:rFonts w:hint="eastAsia" w:ascii="仿宋" w:hAnsi="仿宋" w:eastAsia="仿宋" w:cs="仿宋"/>
          <w:color w:val="auto"/>
          <w:spacing w:val="0"/>
          <w:w w:val="100"/>
          <w:kern w:val="0"/>
          <w:sz w:val="24"/>
          <w:highlight w:val="none"/>
          <w:fitText w:val="7680" w:id="2061464697"/>
          <w:lang w:val="zh-CN"/>
        </w:rPr>
        <w:t>后</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lang w:val="zh-CN"/>
        </w:rPr>
        <w:t>天内完成款项的支付。</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18. </w:t>
      </w:r>
      <w:r>
        <w:rPr>
          <w:rFonts w:hint="eastAsia" w:ascii="仿宋" w:hAnsi="仿宋" w:eastAsia="仿宋" w:cs="仿宋"/>
          <w:b/>
          <w:bCs/>
          <w:color w:val="auto"/>
          <w:sz w:val="24"/>
          <w:highlight w:val="none"/>
          <w:lang w:val="zh-CN"/>
        </w:rPr>
        <w:t>保险</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18.1 </w:t>
      </w:r>
      <w:r>
        <w:rPr>
          <w:rFonts w:hint="eastAsia" w:ascii="仿宋" w:hAnsi="仿宋" w:eastAsia="仿宋" w:cs="仿宋"/>
          <w:color w:val="auto"/>
          <w:sz w:val="24"/>
          <w:highlight w:val="none"/>
          <w:lang w:val="zh-CN"/>
        </w:rPr>
        <w:t>工程保险</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关于工程保险的特别约定：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18.2 </w:t>
      </w:r>
      <w:r>
        <w:rPr>
          <w:rFonts w:hint="eastAsia" w:ascii="仿宋" w:hAnsi="仿宋" w:eastAsia="仿宋" w:cs="仿宋"/>
          <w:color w:val="auto"/>
          <w:sz w:val="24"/>
          <w:highlight w:val="none"/>
          <w:lang w:val="zh-CN"/>
        </w:rPr>
        <w:t>其他保险</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关于其他保险的约定：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承包人是否应为其施工设备等办理财产保险：</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18.3 </w:t>
      </w:r>
      <w:r>
        <w:rPr>
          <w:rFonts w:hint="eastAsia" w:ascii="仿宋" w:hAnsi="仿宋" w:eastAsia="仿宋" w:cs="仿宋"/>
          <w:color w:val="auto"/>
          <w:sz w:val="24"/>
          <w:highlight w:val="none"/>
          <w:lang w:val="zh-CN"/>
        </w:rPr>
        <w:t>通知义务</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关于变更保险合同时的通知义务的约定：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 </w:t>
      </w:r>
      <w:r>
        <w:rPr>
          <w:rFonts w:hint="eastAsia" w:ascii="仿宋" w:hAnsi="仿宋" w:eastAsia="仿宋" w:cs="仿宋"/>
          <w:b/>
          <w:bCs/>
          <w:color w:val="auto"/>
          <w:sz w:val="24"/>
          <w:highlight w:val="none"/>
          <w:lang w:val="zh-CN"/>
        </w:rPr>
        <w:t>争议解决</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19.1 </w:t>
      </w:r>
      <w:r>
        <w:rPr>
          <w:rFonts w:hint="eastAsia" w:ascii="仿宋" w:hAnsi="仿宋" w:eastAsia="仿宋" w:cs="仿宋"/>
          <w:b/>
          <w:bCs/>
          <w:color w:val="auto"/>
          <w:sz w:val="24"/>
          <w:highlight w:val="none"/>
          <w:lang w:val="zh-CN"/>
        </w:rPr>
        <w:t>争议评审</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合同当事人是否同意将工程争议提交争议评审小组决定：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19.1.1 </w:t>
      </w:r>
      <w:r>
        <w:rPr>
          <w:rFonts w:hint="eastAsia" w:ascii="仿宋" w:hAnsi="仿宋" w:eastAsia="仿宋" w:cs="仿宋"/>
          <w:color w:val="auto"/>
          <w:sz w:val="24"/>
          <w:highlight w:val="none"/>
          <w:lang w:val="zh-CN"/>
        </w:rPr>
        <w:t>争议评审小组的确定</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争议评审小组成员的确定：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选定争议评审员的期限：</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争议评审小组成员的报酬承担方式：</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其他事项的约定：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19.1.2 </w:t>
      </w:r>
      <w:r>
        <w:rPr>
          <w:rFonts w:hint="eastAsia" w:ascii="仿宋" w:hAnsi="仿宋" w:eastAsia="仿宋" w:cs="仿宋"/>
          <w:color w:val="auto"/>
          <w:sz w:val="24"/>
          <w:highlight w:val="none"/>
          <w:lang w:val="zh-CN"/>
        </w:rPr>
        <w:t>争议评审小组的决定</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合同当事人关于本项的约定：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19.2 </w:t>
      </w:r>
      <w:r>
        <w:rPr>
          <w:rFonts w:hint="eastAsia" w:ascii="仿宋" w:hAnsi="仿宋" w:eastAsia="仿宋" w:cs="仿宋"/>
          <w:b/>
          <w:bCs/>
          <w:color w:val="auto"/>
          <w:sz w:val="24"/>
          <w:highlight w:val="none"/>
          <w:lang w:val="zh-CN"/>
        </w:rPr>
        <w:t>仲裁或诉讼</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19.2.1 </w:t>
      </w:r>
      <w:r>
        <w:rPr>
          <w:rFonts w:hint="eastAsia" w:ascii="仿宋" w:hAnsi="仿宋" w:eastAsia="仿宋" w:cs="仿宋"/>
          <w:color w:val="auto"/>
          <w:sz w:val="24"/>
          <w:highlight w:val="none"/>
          <w:lang w:val="zh-CN"/>
        </w:rPr>
        <w:t>争议的解決程序</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在争议提交调解之日起</w:t>
      </w:r>
      <w:r>
        <w:rPr>
          <w:rFonts w:ascii="仿宋" w:hAnsi="仿宋" w:eastAsia="仿宋" w:cs="仿宋"/>
          <w:color w:val="auto"/>
          <w:sz w:val="24"/>
          <w:highlight w:val="none"/>
          <w:lang w:val="zh-CN"/>
        </w:rPr>
        <w:t>30</w:t>
      </w:r>
      <w:r>
        <w:rPr>
          <w:rFonts w:hint="eastAsia" w:ascii="仿宋" w:hAnsi="仿宋" w:eastAsia="仿宋" w:cs="仿宋"/>
          <w:color w:val="auto"/>
          <w:sz w:val="24"/>
          <w:highlight w:val="none"/>
          <w:lang w:val="zh-CN"/>
        </w:rPr>
        <w:t>日内，双方仍存有争议时，或合同任何一方不同意调解的，在以下方式中选择</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val="zh-CN"/>
        </w:rPr>
        <w:t>为双方解决争议事项的约定。</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rPr>
        <w:t>1</w:t>
      </w:r>
      <w:r>
        <w:rPr>
          <w:rFonts w:hint="eastAsia" w:ascii="仿宋" w:hAnsi="仿宋" w:eastAsia="仿宋" w:cs="仿宋"/>
          <w:color w:val="auto"/>
          <w:sz w:val="24"/>
          <w:highlight w:val="none"/>
          <w:lang w:val="zh-CN"/>
        </w:rPr>
        <w:t>）提交许昌市仲裁委员会，按照申请仲裁时该会有效的仲裁规则进行仲裁。仲裁裁决是终局的，对双方均有约束力。</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）向项目所在地的具有管辖权所在地人民法院提起诉讼。</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合同争议的最终解决方式，向项目所在地人民法院提起诉讼，作为双方解决争议事项的约定。</w:t>
      </w: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spacing w:line="480" w:lineRule="auto"/>
        <w:jc w:val="center"/>
        <w:rPr>
          <w:rFonts w:ascii="宋体" w:hAnsi="宋体" w:cs="宋体"/>
          <w:color w:val="auto"/>
          <w:sz w:val="24"/>
          <w:highlight w:val="none"/>
        </w:rPr>
      </w:pPr>
      <w:r>
        <w:rPr>
          <w:rFonts w:hint="eastAsia" w:ascii="宋体" w:hAnsi="宋体" w:cs="宋体"/>
          <w:color w:val="auto"/>
          <w:sz w:val="36"/>
          <w:szCs w:val="36"/>
          <w:highlight w:val="none"/>
          <w:u w:val="single"/>
        </w:rPr>
        <w:t xml:space="preserve">                        （项目名称）</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jc w:val="center"/>
        <w:rPr>
          <w:rFonts w:ascii="宋体" w:hAnsi="宋体" w:cs="宋体"/>
          <w:b/>
          <w:bCs/>
          <w:color w:val="auto"/>
          <w:sz w:val="48"/>
          <w:szCs w:val="48"/>
          <w:highlight w:val="none"/>
        </w:rPr>
      </w:pPr>
    </w:p>
    <w:p>
      <w:pPr>
        <w:pStyle w:val="26"/>
        <w:ind w:firstLine="340"/>
        <w:rPr>
          <w:color w:val="auto"/>
          <w:highlight w:val="none"/>
        </w:rPr>
      </w:pPr>
    </w:p>
    <w:p>
      <w:pPr>
        <w:pStyle w:val="13"/>
        <w:ind w:left="420" w:firstLine="480"/>
        <w:rPr>
          <w:rFonts w:hint="default"/>
          <w:color w:val="auto"/>
          <w:highlight w:val="none"/>
          <w:lang w:eastAsia="zh-CN"/>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pPr>
        <w:spacing w:line="380" w:lineRule="exact"/>
        <w:rPr>
          <w:rFonts w:ascii="宋体" w:hAnsi="宋体" w:cs="宋体"/>
          <w:color w:val="auto"/>
          <w:sz w:val="24"/>
          <w:highlight w:val="none"/>
        </w:rPr>
      </w:pPr>
    </w:p>
    <w:p>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pStyle w:val="26"/>
        <w:ind w:firstLine="340"/>
        <w:rPr>
          <w:color w:val="auto"/>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after="120"/>
        <w:ind w:left="63" w:right="63" w:firstLine="340" w:firstLineChars="100"/>
        <w:rPr>
          <w:rFonts w:ascii="宋体" w:hAnsi="Times New Roman" w:eastAsia="宋体" w:cs="Times New Roman"/>
          <w:color w:val="auto"/>
          <w:kern w:val="0"/>
          <w:sz w:val="34"/>
          <w:szCs w:val="20"/>
          <w:highlight w:val="none"/>
        </w:rPr>
      </w:pPr>
    </w:p>
    <w:p>
      <w:pPr>
        <w:pStyle w:val="26"/>
        <w:ind w:firstLine="340"/>
        <w:rPr>
          <w:color w:val="auto"/>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480" w:lineRule="auto"/>
        <w:ind w:firstLine="2100" w:firstLineChars="750"/>
        <w:rPr>
          <w:rFonts w:ascii="宋体" w:hAnsi="宋体" w:cs="宋体"/>
          <w:color w:val="auto"/>
          <w:sz w:val="24"/>
          <w:highlight w:val="none"/>
        </w:rPr>
      </w:pPr>
      <w:bookmarkStart w:id="1" w:name="_Toc27760_WPSOffice_Level1"/>
      <w:bookmarkStart w:id="2" w:name="_Toc7428_WPSOffice_Level1"/>
      <w:r>
        <w:rPr>
          <w:rFonts w:hint="eastAsia" w:ascii="宋体" w:hAnsi="宋体" w:cs="宋体"/>
          <w:color w:val="auto"/>
          <w:sz w:val="28"/>
          <w:szCs w:val="28"/>
          <w:highlight w:val="none"/>
        </w:rPr>
        <w:t>投 标 人：（全称并加盖公章）</w:t>
      </w:r>
      <w:bookmarkEnd w:id="1"/>
      <w:bookmarkEnd w:id="2"/>
    </w:p>
    <w:p>
      <w:pPr>
        <w:spacing w:line="480" w:lineRule="auto"/>
        <w:ind w:firstLine="1820" w:firstLineChars="650"/>
        <w:rPr>
          <w:rFonts w:ascii="宋体" w:hAnsi="宋体" w:cs="宋体"/>
          <w:b/>
          <w:bCs/>
          <w:color w:val="auto"/>
          <w:sz w:val="28"/>
          <w:szCs w:val="28"/>
          <w:highlight w:val="none"/>
        </w:rPr>
      </w:pPr>
      <w:bookmarkStart w:id="3" w:name="_Toc4840_WPSOffice_Level1"/>
      <w:bookmarkStart w:id="4" w:name="_Toc28157_WPSOffice_Level1"/>
      <w:r>
        <w:rPr>
          <w:rFonts w:hint="eastAsia" w:ascii="宋体" w:hAnsi="宋体" w:cs="宋体"/>
          <w:color w:val="auto"/>
          <w:sz w:val="28"/>
          <w:szCs w:val="28"/>
          <w:highlight w:val="none"/>
        </w:rPr>
        <w:t>法定代表人或委托代理人（签字）：</w:t>
      </w:r>
      <w:bookmarkEnd w:id="3"/>
      <w:bookmarkEnd w:id="4"/>
    </w:p>
    <w:p>
      <w:pPr>
        <w:spacing w:line="480" w:lineRule="auto"/>
        <w:ind w:firstLine="2100" w:firstLineChars="750"/>
        <w:rPr>
          <w:rFonts w:ascii="宋体" w:hAnsi="宋体" w:cs="宋体"/>
          <w:color w:val="auto"/>
          <w:sz w:val="28"/>
          <w:szCs w:val="28"/>
          <w:highlight w:val="none"/>
        </w:rPr>
      </w:pPr>
      <w:bookmarkStart w:id="5" w:name="_Toc15640_WPSOffice_Level1"/>
      <w:bookmarkStart w:id="6" w:name="_Toc2311_WPSOffice_Level1"/>
      <w:r>
        <w:rPr>
          <w:rFonts w:hint="eastAsia" w:ascii="宋体" w:hAnsi="宋体" w:cs="宋体"/>
          <w:color w:val="auto"/>
          <w:sz w:val="28"/>
          <w:szCs w:val="28"/>
          <w:highlight w:val="none"/>
        </w:rPr>
        <w:t>日    期：年 月 日</w:t>
      </w:r>
      <w:bookmarkEnd w:id="5"/>
      <w:bookmarkEnd w:id="6"/>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highlight w:val="none"/>
          <w:lang w:val="zh-CN"/>
        </w:rPr>
      </w:pPr>
      <w:r>
        <w:rPr>
          <w:rFonts w:hint="eastAsia" w:ascii="宋体" w:hAnsi="宋体" w:eastAsia="宋体" w:cs="黑体"/>
          <w:b/>
          <w:bCs/>
          <w:color w:val="auto"/>
          <w:sz w:val="44"/>
          <w:szCs w:val="44"/>
          <w:highlight w:val="none"/>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highlight w:val="none"/>
          <w:lang w:val="zh-CN"/>
        </w:rPr>
      </w:pP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一、</w:t>
      </w:r>
      <w:r>
        <w:rPr>
          <w:rFonts w:hint="eastAsia" w:ascii="宋体" w:hAnsi="宋体" w:cs="黑体"/>
          <w:b/>
          <w:bCs/>
          <w:color w:val="auto"/>
          <w:sz w:val="32"/>
          <w:szCs w:val="32"/>
          <w:highlight w:val="none"/>
          <w:lang w:val="en-US" w:eastAsia="zh-CN"/>
        </w:rPr>
        <w:t>供应商</w:t>
      </w:r>
      <w:r>
        <w:rPr>
          <w:rFonts w:hint="eastAsia" w:ascii="宋体" w:hAnsi="宋体" w:cs="黑体"/>
          <w:b/>
          <w:bCs/>
          <w:color w:val="auto"/>
          <w:sz w:val="32"/>
          <w:szCs w:val="32"/>
          <w:highlight w:val="none"/>
          <w:lang w:val="zh-CN"/>
        </w:rPr>
        <w:t>应答索引表</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二、报价一览表</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三、资格审查</w:t>
      </w:r>
      <w:r>
        <w:rPr>
          <w:rFonts w:hint="eastAsia" w:ascii="宋体" w:hAnsi="宋体" w:cs="黑体"/>
          <w:b/>
          <w:bCs/>
          <w:color w:val="auto"/>
          <w:sz w:val="32"/>
          <w:szCs w:val="32"/>
          <w:highlight w:val="none"/>
          <w:lang w:val="en-US" w:eastAsia="zh-CN"/>
        </w:rPr>
        <w:t>相关</w:t>
      </w:r>
      <w:r>
        <w:rPr>
          <w:rFonts w:hint="eastAsia" w:ascii="宋体" w:hAnsi="宋体" w:cs="黑体"/>
          <w:b/>
          <w:bCs/>
          <w:color w:val="auto"/>
          <w:sz w:val="32"/>
          <w:szCs w:val="32"/>
          <w:highlight w:val="none"/>
          <w:lang w:val="zh-CN"/>
        </w:rPr>
        <w:t>材料</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四、符合性审查证明材料</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五、</w:t>
      </w:r>
      <w:r>
        <w:rPr>
          <w:rFonts w:ascii="宋体" w:hAnsi="宋体" w:cs="黑体"/>
          <w:b/>
          <w:bCs/>
          <w:color w:val="auto"/>
          <w:sz w:val="32"/>
          <w:szCs w:val="32"/>
          <w:highlight w:val="none"/>
          <w:lang w:val="zh-CN"/>
        </w:rPr>
        <w:t>其他资料（若有）</w:t>
      </w:r>
    </w:p>
    <w:p>
      <w:pPr>
        <w:pStyle w:val="26"/>
        <w:ind w:firstLine="340"/>
        <w:rPr>
          <w:color w:val="auto"/>
          <w:highlight w:val="none"/>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1</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已标价工程量清单</w:t>
            </w:r>
          </w:p>
        </w:tc>
        <w:tc>
          <w:tcPr>
            <w:tcW w:w="1559" w:type="dxa"/>
            <w:tcBorders>
              <w:top w:val="double" w:color="auto" w:sz="4" w:space="0"/>
            </w:tcBorders>
            <w:vAlign w:val="center"/>
          </w:tcPr>
          <w:p>
            <w:pPr>
              <w:jc w:val="center"/>
              <w:rPr>
                <w:color w:val="auto"/>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widowControl/>
        <w:jc w:val="left"/>
        <w:rPr>
          <w:color w:val="auto"/>
          <w:highlight w:val="none"/>
          <w:lang w:val="zh-CN"/>
        </w:rPr>
      </w:pPr>
      <w:r>
        <w:rPr>
          <w:color w:val="auto"/>
          <w:highlight w:val="none"/>
          <w:lang w:val="zh-CN"/>
        </w:rPr>
        <w:br w:type="page"/>
      </w: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6"/>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报 价 函</w:t>
      </w:r>
    </w:p>
    <w:p>
      <w:pPr>
        <w:adjustRightInd w:val="0"/>
        <w:spacing w:line="360" w:lineRule="auto"/>
        <w:contextualSpacing/>
        <w:rPr>
          <w:rFonts w:asciiTheme="minorEastAsia" w:hAnsiTheme="minorEastAsia"/>
          <w:b/>
          <w:snapToGrid w:val="0"/>
          <w:color w:val="auto"/>
          <w:kern w:val="0"/>
          <w:szCs w:val="21"/>
          <w:highlight w:val="none"/>
          <w:u w:val="singl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根据贵方_______（项目名称、项目编号）采购的竞争性谈判公告及谈判邀请，_______（姓名和职务）被正式授权并代表供应商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u w:val="single"/>
        </w:rPr>
        <w:t>（供应商名称、地址</w:t>
      </w:r>
      <w:r>
        <w:rPr>
          <w:rFonts w:hint="eastAsia" w:asciiTheme="minorEastAsia" w:hAnsiTheme="minorEastAsia"/>
          <w:snapToGrid w:val="0"/>
          <w:color w:val="auto"/>
          <w:kern w:val="0"/>
          <w:szCs w:val="21"/>
          <w:highlight w:val="none"/>
        </w:rPr>
        <w:t>）提交。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single"/>
        </w:rPr>
        <w:t>（项目名称、招标编号）</w:t>
      </w:r>
      <w:r>
        <w:rPr>
          <w:rFonts w:hint="eastAsia" w:asciiTheme="minorEastAsia" w:hAnsiTheme="minorEastAsia" w:eastAsiaTheme="minorEastAsia"/>
          <w:snapToGrid w:val="0"/>
          <w:color w:val="auto"/>
          <w:kern w:val="0"/>
          <w:sz w:val="21"/>
          <w:szCs w:val="21"/>
          <w:highlight w:val="none"/>
        </w:rPr>
        <w:t>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十二、若我方中标，愿意按国家及行业有关规定向代理机构支付招标代理服务费。</w:t>
      </w:r>
    </w:p>
    <w:p>
      <w:pPr>
        <w:pStyle w:val="16"/>
        <w:adjustRightInd w:val="0"/>
        <w:snapToGrid w:val="0"/>
        <w:spacing w:line="360" w:lineRule="auto"/>
        <w:rPr>
          <w:rFonts w:asciiTheme="minorEastAsia" w:hAnsiTheme="minorEastAsia" w:eastAsiaTheme="minorEastAsia"/>
          <w:color w:val="auto"/>
          <w:sz w:val="21"/>
          <w:szCs w:val="21"/>
          <w:highlight w:val="none"/>
        </w:rPr>
      </w:pPr>
    </w:p>
    <w:p>
      <w:pPr>
        <w:pStyle w:val="16"/>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adjustRightInd w:val="0"/>
        <w:snapToGrid w:val="0"/>
        <w:spacing w:line="360" w:lineRule="auto"/>
        <w:ind w:firstLine="4305" w:firstLineChars="2050"/>
        <w:rPr>
          <w:rFonts w:cs="宋体" w:asciiTheme="minorEastAsia" w:hAnsiTheme="minorEastAsia"/>
          <w:color w:val="auto"/>
          <w:szCs w:val="21"/>
          <w:highlight w:val="none"/>
        </w:rPr>
      </w:pPr>
    </w:p>
    <w:p>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pPr>
        <w:adjustRightInd w:val="0"/>
        <w:snapToGrid w:val="0"/>
        <w:spacing w:line="360" w:lineRule="auto"/>
        <w:ind w:firstLine="4305" w:firstLineChars="2050"/>
        <w:rPr>
          <w:rFonts w:cs="宋体" w:asciiTheme="minorEastAsia" w:hAnsiTheme="minorEastAsia"/>
          <w:color w:val="auto"/>
          <w:szCs w:val="21"/>
          <w:highlight w:val="none"/>
        </w:rPr>
      </w:pPr>
    </w:p>
    <w:p>
      <w:pPr>
        <w:adjustRightInd w:val="0"/>
        <w:snapToGrid w:val="0"/>
        <w:spacing w:line="360" w:lineRule="auto"/>
        <w:rPr>
          <w:rFonts w:cs="宋体" w:asciiTheme="minorEastAsia" w:hAnsiTheme="minorEastAsia"/>
          <w:color w:val="auto"/>
          <w:szCs w:val="21"/>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pStyle w:val="2"/>
        <w:rPr>
          <w:color w:val="auto"/>
          <w:highlight w:val="none"/>
        </w:rPr>
      </w:pPr>
    </w:p>
    <w:p>
      <w:pPr>
        <w:pStyle w:val="23"/>
        <w:rPr>
          <w:color w:val="auto"/>
          <w:highlight w:val="none"/>
        </w:rPr>
      </w:pPr>
    </w:p>
    <w:p>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55"/>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8"/>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pacing w:before="60" w:line="480" w:lineRule="auto"/>
        <w:ind w:firstLine="3937" w:firstLineChars="1875"/>
        <w:rPr>
          <w:rFonts w:cs="Arial" w:asciiTheme="minorEastAsia" w:hAnsiTheme="minorEastAsia" w:eastAsia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320" w:lineRule="exact"/>
        <w:ind w:firstLine="420" w:firstLineChars="200"/>
        <w:rPr>
          <w:rFonts w:asciiTheme="minorEastAsia" w:hAnsiTheme="minorEastAsia"/>
          <w:bCs/>
          <w:color w:val="auto"/>
          <w:kern w:val="12"/>
          <w:szCs w:val="21"/>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pStyle w:val="23"/>
        <w:rPr>
          <w:color w:val="auto"/>
          <w:highlight w:val="none"/>
        </w:rPr>
      </w:pPr>
    </w:p>
    <w:p>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pPr>
        <w:rPr>
          <w:rFonts w:cs="宋体" w:asciiTheme="minorEastAsia" w:hAnsiTheme="minorEastAsia"/>
          <w:color w:val="auto"/>
          <w:szCs w:val="21"/>
          <w:highlight w:val="none"/>
          <w:lang w:val="zh-CN"/>
        </w:rPr>
      </w:pPr>
    </w:p>
    <w:p>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年</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月</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日</w:t>
      </w:r>
    </w:p>
    <w:p>
      <w:pPr>
        <w:rPr>
          <w:rFonts w:cs="宋体" w:asciiTheme="minorEastAsia" w:hAnsiTheme="minorEastAsia"/>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color w:val="auto"/>
          <w:sz w:val="24"/>
          <w:szCs w:val="24"/>
          <w:highlight w:val="none"/>
        </w:rPr>
      </w:pPr>
    </w:p>
    <w:p>
      <w:pPr>
        <w:pStyle w:val="33"/>
        <w:ind w:firstLine="0" w:firstLineChars="0"/>
        <w:rPr>
          <w:rFonts w:cs="宋体" w:asciiTheme="minorEastAsia" w:hAnsiTheme="minorEastAsia"/>
          <w:color w:val="auto"/>
          <w:sz w:val="24"/>
          <w:szCs w:val="24"/>
          <w:highlight w:val="none"/>
          <w:lang w:val="zh-CN"/>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jc w:val="center"/>
        <w:rPr>
          <w:rFonts w:ascii="宋体" w:hAnsi="宋体" w:cs="Arial"/>
          <w:color w:val="auto"/>
          <w:kern w:val="0"/>
          <w:szCs w:val="21"/>
          <w:highlight w:val="none"/>
        </w:rPr>
      </w:pPr>
    </w:p>
    <w:p>
      <w:pPr>
        <w:autoSpaceDE w:val="0"/>
        <w:autoSpaceDN w:val="0"/>
        <w:adjustRightInd w:val="0"/>
        <w:spacing w:line="360" w:lineRule="auto"/>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3.6 残疾人福利性单位声明函</w:t>
      </w: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本单位对上述声明的真实性负责。如有虚假，将依法承担相应责任。</w:t>
      </w: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p>
    <w:p>
      <w:pPr>
        <w:spacing w:line="360" w:lineRule="auto"/>
        <w:ind w:firstLine="4592" w:firstLineChars="2187"/>
        <w:jc w:val="left"/>
        <w:rPr>
          <w:rFonts w:ascii="Calibri" w:hAnsi="Calibri" w:eastAsia="宋体" w:cs="Times New Roman"/>
          <w:color w:val="auto"/>
          <w:highlight w:val="none"/>
        </w:rPr>
      </w:pPr>
      <w:r>
        <w:rPr>
          <w:rFonts w:hint="eastAsia" w:ascii="Calibri" w:hAnsi="Calibri" w:eastAsia="宋体" w:cs="Times New Roman"/>
          <w:color w:val="auto"/>
          <w:highlight w:val="none"/>
        </w:rPr>
        <w:t>单位名称（盖章）：</w:t>
      </w:r>
    </w:p>
    <w:p>
      <w:pPr>
        <w:spacing w:line="360" w:lineRule="auto"/>
        <w:ind w:firstLine="4907" w:firstLineChars="2337"/>
        <w:jc w:val="left"/>
        <w:rPr>
          <w:rFonts w:cs="Arial" w:asciiTheme="minorEastAsia" w:hAnsiTheme="minorEastAsia"/>
          <w:color w:val="auto"/>
          <w:szCs w:val="21"/>
          <w:highlight w:val="none"/>
        </w:rPr>
      </w:pPr>
      <w:r>
        <w:rPr>
          <w:rFonts w:hint="eastAsia" w:ascii="Calibri" w:hAnsi="Calibri" w:eastAsia="宋体" w:cs="Times New Roman"/>
          <w:color w:val="auto"/>
          <w:highlight w:val="none"/>
        </w:rPr>
        <w:t xml:space="preserve"> 日    期：      年    月    日</w:t>
      </w:r>
    </w:p>
    <w:p>
      <w:pPr>
        <w:autoSpaceDE w:val="0"/>
        <w:autoSpaceDN w:val="0"/>
        <w:adjustRightInd w:val="0"/>
        <w:spacing w:line="360" w:lineRule="auto"/>
        <w:jc w:val="center"/>
        <w:outlineLvl w:val="0"/>
        <w:rPr>
          <w:rFonts w:ascii="宋体" w:hAnsi="宋体"/>
          <w:b/>
          <w:bCs/>
          <w:color w:val="auto"/>
          <w:sz w:val="24"/>
          <w:szCs w:val="24"/>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3.7谈判承诺函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en-US" w:eastAsia="zh-CN"/>
        </w:rPr>
        <w:t xml:space="preserve">   </w:t>
      </w:r>
      <w:r>
        <w:rPr>
          <w:rFonts w:ascii="宋体" w:hAnsi="宋体" w:eastAsia="宋体" w:cs="宋体"/>
          <w:color w:val="auto"/>
          <w:szCs w:val="21"/>
          <w:highlight w:val="none"/>
          <w:u w:val="singl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lang w:val="zh-CN"/>
        </w:rPr>
        <w:t>日</w:t>
      </w:r>
      <w:r>
        <w:rPr>
          <w:rFonts w:hint="eastAsia" w:ascii="宋体" w:hAnsi="宋体" w:eastAsia="宋体" w:cs="宋体"/>
          <w:color w:val="auto"/>
          <w:szCs w:val="21"/>
          <w:highlight w:val="none"/>
          <w:u w:val="none"/>
          <w:lang w:val="en-US" w:eastAsia="zh-CN"/>
        </w:rPr>
        <w:t xml:space="preserve"> </w:t>
      </w:r>
      <w:r>
        <w:rPr>
          <w:rFonts w:hint="eastAsia" w:eastAsia="宋体" w:cs="宋体" w:asciiTheme="minorEastAsia" w:hAnsiTheme="minorEastAsia"/>
          <w:color w:val="auto"/>
          <w:szCs w:val="21"/>
          <w:highlight w:val="none"/>
          <w:u w:val="none"/>
          <w:lang w:val="en-US" w:eastAsia="zh-CN"/>
        </w:rPr>
        <w:t xml:space="preserve"> </w:t>
      </w:r>
      <w:r>
        <w:rPr>
          <w:rFonts w:hint="eastAsia" w:eastAsia="宋体" w:cs="宋体" w:asciiTheme="minorEastAsia" w:hAnsiTheme="minorEastAsia"/>
          <w:color w:val="auto"/>
          <w:szCs w:val="21"/>
          <w:highlight w:val="none"/>
          <w:u w:val="single"/>
          <w:lang w:val="en-US" w:eastAsia="zh-CN"/>
        </w:rPr>
        <w:t xml:space="preserve">        （</w:t>
      </w:r>
      <w:r>
        <w:rPr>
          <w:rFonts w:hint="eastAsia" w:cs="宋体" w:asciiTheme="minorEastAsia" w:hAnsiTheme="minorEastAsia"/>
          <w:color w:val="auto"/>
          <w:szCs w:val="21"/>
          <w:highlight w:val="none"/>
          <w:u w:val="single"/>
          <w:lang w:val="zh-CN"/>
        </w:rPr>
        <w:t>项目编号、项目名称</w:t>
      </w:r>
      <w:r>
        <w:rPr>
          <w:rFonts w:hint="eastAsia" w:cs="宋体" w:asciiTheme="minorEastAsia" w:hAnsiTheme="minorEastAsia"/>
          <w:color w:val="auto"/>
          <w:szCs w:val="21"/>
          <w:highlight w:val="none"/>
          <w:lang w:val="zh-CN"/>
        </w:rPr>
        <w:t>）的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widowControl/>
        <w:spacing w:before="100" w:beforeAutospacing="1" w:after="100" w:afterAutospacing="1" w:line="360" w:lineRule="auto"/>
        <w:jc w:val="center"/>
        <w:rPr>
          <w:rFonts w:ascii="宋体" w:cs="宋体"/>
          <w:color w:val="auto"/>
          <w:szCs w:val="21"/>
          <w:highlight w:val="none"/>
          <w:lang w:val="zh-CN"/>
        </w:rPr>
      </w:pPr>
    </w:p>
    <w:p>
      <w:pPr>
        <w:pStyle w:val="2"/>
        <w:rPr>
          <w:rFonts w:ascii="宋体" w:cs="宋体"/>
          <w:color w:val="auto"/>
          <w:szCs w:val="21"/>
          <w:highlight w:val="none"/>
          <w:lang w:val="zh-CN"/>
        </w:rPr>
      </w:pPr>
    </w:p>
    <w:p>
      <w:pPr>
        <w:widowControl/>
        <w:jc w:val="left"/>
        <w:rPr>
          <w:rFonts w:ascii="宋体" w:cs="宋体"/>
          <w:color w:val="auto"/>
          <w:sz w:val="24"/>
          <w:highlight w:val="none"/>
          <w:lang w:val="zh-CN"/>
        </w:rPr>
      </w:pPr>
      <w:r>
        <w:rPr>
          <w:rFonts w:ascii="宋体" w:cs="宋体"/>
          <w:color w:val="auto"/>
          <w:sz w:val="24"/>
          <w:highlight w:val="none"/>
          <w:lang w:val="zh-CN"/>
        </w:rPr>
        <w:br w:type="page"/>
      </w: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3.8供应商提供与参加本项目投标的其他供应商之间，单位负责人不为同一人并且不存在直接控股、管理关系承诺函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pPr>
        <w:autoSpaceDE w:val="0"/>
        <w:autoSpaceDN w:val="0"/>
        <w:adjustRightInd w:val="0"/>
        <w:spacing w:line="360" w:lineRule="auto"/>
        <w:outlineLvl w:val="0"/>
        <w:rPr>
          <w:rFonts w:ascii="宋体" w:cs="宋体"/>
          <w:color w:val="auto"/>
          <w:sz w:val="24"/>
          <w:highlight w:val="none"/>
          <w:lang w:val="zh-CN"/>
        </w:rPr>
      </w:pPr>
    </w:p>
    <w:p>
      <w:pPr>
        <w:pStyle w:val="9"/>
        <w:rPr>
          <w:color w:val="auto"/>
          <w:highlight w:val="none"/>
          <w:lang w:val="zh-CN"/>
        </w:rPr>
      </w:pPr>
    </w:p>
    <w:p>
      <w:pPr>
        <w:pStyle w:val="9"/>
        <w:rPr>
          <w:color w:val="auto"/>
          <w:highlight w:val="none"/>
          <w:lang w:val="zh-CN"/>
        </w:rPr>
      </w:pPr>
    </w:p>
    <w:p>
      <w:pPr>
        <w:pStyle w:val="9"/>
        <w:rPr>
          <w:color w:val="auto"/>
          <w:highlight w:val="none"/>
          <w:lang w:val="zh-CN"/>
        </w:rPr>
      </w:pPr>
    </w:p>
    <w:p>
      <w:pPr>
        <w:pStyle w:val="9"/>
        <w:rPr>
          <w:color w:val="auto"/>
          <w:highlight w:val="none"/>
          <w:lang w:val="zh-CN"/>
        </w:rPr>
      </w:pPr>
    </w:p>
    <w:p>
      <w:pPr>
        <w:autoSpaceDE w:val="0"/>
        <w:autoSpaceDN w:val="0"/>
        <w:adjustRightInd w:val="0"/>
        <w:spacing w:line="360" w:lineRule="auto"/>
        <w:jc w:val="center"/>
        <w:outlineLvl w:val="0"/>
        <w:rPr>
          <w:rFonts w:ascii="宋体" w:hAnsi="宋体" w:cs="宋体"/>
          <w:b/>
          <w:bCs/>
          <w:color w:val="auto"/>
          <w:sz w:val="24"/>
          <w:szCs w:val="24"/>
          <w:highlight w:val="none"/>
        </w:rPr>
      </w:pPr>
    </w:p>
    <w:p>
      <w:pPr>
        <w:pStyle w:val="33"/>
        <w:rPr>
          <w:color w:val="auto"/>
          <w:highlight w:val="none"/>
        </w:rPr>
      </w:pPr>
    </w:p>
    <w:p>
      <w:pPr>
        <w:pStyle w:val="33"/>
        <w:rPr>
          <w:color w:val="auto"/>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3.9供应商提供未为本项目提供整体设计、规范编制或者项目管理、监理、检测等服务承诺函</w:t>
      </w:r>
    </w:p>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widowControl/>
        <w:jc w:val="left"/>
        <w:rPr>
          <w:rFonts w:cs="黑体" w:asciiTheme="minorEastAsia" w:hAnsiTheme="minorEastAsia"/>
          <w:b/>
          <w:bCs/>
          <w:color w:val="auto"/>
          <w:sz w:val="28"/>
          <w:szCs w:val="28"/>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pPr>
        <w:widowControl/>
        <w:jc w:val="left"/>
        <w:rPr>
          <w:rFonts w:cs="黑体" w:asciiTheme="minorEastAsia" w:hAnsiTheme="minorEastAsia"/>
          <w:b/>
          <w:bCs/>
          <w:color w:val="auto"/>
          <w:sz w:val="28"/>
          <w:szCs w:val="28"/>
          <w:highlight w:val="none"/>
          <w:lang w:val="zh-CN"/>
        </w:rPr>
      </w:pPr>
      <w:r>
        <w:rPr>
          <w:rFonts w:cs="黑体" w:asciiTheme="minorEastAsia" w:hAnsiTheme="minorEastAsia"/>
          <w:b/>
          <w:bCs/>
          <w:color w:val="auto"/>
          <w:sz w:val="28"/>
          <w:szCs w:val="28"/>
          <w:highlight w:val="none"/>
          <w:lang w:val="zh-CN"/>
        </w:rPr>
        <w:br w:type="page"/>
      </w: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4.1   已标价的工程量清单</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r>
        <w:rPr>
          <w:rFonts w:hint="eastAsia" w:ascii="宋体" w:hAnsi="宋体" w:cs="宋体"/>
          <w:color w:val="auto"/>
          <w:sz w:val="24"/>
          <w:szCs w:val="24"/>
          <w:highlight w:val="none"/>
          <w:lang w:val="zh-CN"/>
        </w:rPr>
        <w:t>（请按</w:t>
      </w:r>
      <w:r>
        <w:rPr>
          <w:rFonts w:hint="eastAsia" w:ascii="宋体" w:hAnsi="宋体" w:cs="仿宋_GB2312"/>
          <w:color w:val="auto"/>
          <w:sz w:val="24"/>
          <w:szCs w:val="24"/>
          <w:highlight w:val="none"/>
          <w:lang w:val="zh-CN"/>
        </w:rPr>
        <w:t>招标工程量清单</w:t>
      </w:r>
      <w:r>
        <w:rPr>
          <w:rFonts w:hint="eastAsia" w:ascii="宋体" w:hAnsi="宋体" w:cs="宋体"/>
          <w:color w:val="auto"/>
          <w:sz w:val="24"/>
          <w:szCs w:val="24"/>
          <w:highlight w:val="none"/>
          <w:lang w:val="zh-CN"/>
        </w:rPr>
        <w:t>填报，</w:t>
      </w:r>
      <w:r>
        <w:rPr>
          <w:rFonts w:hint="eastAsia" w:ascii="宋体" w:hAnsi="宋体" w:cs="宋体"/>
          <w:color w:val="auto"/>
          <w:sz w:val="24"/>
          <w:szCs w:val="24"/>
          <w:highlight w:val="none"/>
        </w:rPr>
        <w:t>附</w:t>
      </w:r>
      <w:r>
        <w:rPr>
          <w:rFonts w:hint="eastAsia" w:ascii="宋体" w:hAnsi="宋体"/>
          <w:color w:val="auto"/>
          <w:sz w:val="24"/>
          <w:szCs w:val="24"/>
          <w:highlight w:val="none"/>
        </w:rPr>
        <w:t>已标价的工程量清单</w:t>
      </w:r>
      <w:r>
        <w:rPr>
          <w:rFonts w:hint="eastAsia" w:ascii="宋体" w:hAnsi="宋体" w:cs="宋体"/>
          <w:color w:val="auto"/>
          <w:sz w:val="24"/>
          <w:szCs w:val="24"/>
          <w:highlight w:val="none"/>
          <w:lang w:val="zh-CN"/>
        </w:rPr>
        <w:t>）</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pStyle w:val="33"/>
        <w:rPr>
          <w:color w:val="auto"/>
          <w:highlight w:val="none"/>
        </w:rPr>
      </w:pPr>
    </w:p>
    <w:p>
      <w:pPr>
        <w:pStyle w:val="33"/>
        <w:rPr>
          <w:color w:val="auto"/>
          <w:highlight w:val="none"/>
        </w:rPr>
      </w:pPr>
    </w:p>
    <w:p>
      <w:pPr>
        <w:pStyle w:val="33"/>
        <w:rPr>
          <w:color w:val="auto"/>
          <w:highlight w:val="none"/>
        </w:rPr>
      </w:pPr>
    </w:p>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技术方案（施工方案）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（根据谈判文件规定及供应商自身条件编制）</w:t>
      </w: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4.3售后服务方案</w:t>
      </w:r>
    </w:p>
    <w:p>
      <w:pPr>
        <w:pStyle w:val="33"/>
        <w:rPr>
          <w:color w:val="auto"/>
          <w:highlight w:val="none"/>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olor w:val="auto"/>
          <w:highlight w:val="none"/>
        </w:rPr>
        <w:t>日期：  年  月  日</w:t>
      </w: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360" w:lineRule="auto"/>
        <w:outlineLvl w:val="0"/>
        <w:rPr>
          <w:rFonts w:cs="宋体" w:asciiTheme="minorEastAsia" w:hAnsiTheme="minorEastAsia"/>
          <w:color w:val="auto"/>
          <w:sz w:val="24"/>
          <w:szCs w:val="24"/>
          <w:highlight w:val="none"/>
          <w:lang w:val="zh-CN"/>
        </w:rPr>
      </w:pPr>
    </w:p>
    <w:p>
      <w:pPr>
        <w:pStyle w:val="26"/>
        <w:ind w:firstLine="240"/>
        <w:rPr>
          <w:rFonts w:cs="宋体" w:asciiTheme="minorEastAsia" w:hAnsiTheme="minorEastAsia"/>
          <w:color w:val="auto"/>
          <w:sz w:val="24"/>
          <w:szCs w:val="24"/>
          <w:highlight w:val="none"/>
          <w:lang w:val="zh-CN"/>
        </w:rPr>
      </w:pPr>
    </w:p>
    <w:p>
      <w:pPr>
        <w:pStyle w:val="13"/>
        <w:ind w:left="420" w:firstLine="480"/>
        <w:rPr>
          <w:rFonts w:hint="default"/>
          <w:color w:val="auto"/>
          <w:highlight w:val="none"/>
          <w:lang w:val="zh-CN" w:eastAsia="zh-CN"/>
        </w:rPr>
      </w:pPr>
    </w:p>
    <w:p>
      <w:pPr>
        <w:pStyle w:val="33"/>
        <w:rPr>
          <w:color w:val="auto"/>
          <w:highlight w:val="none"/>
          <w:lang w:val="zh-CN"/>
        </w:rPr>
      </w:pPr>
    </w:p>
    <w:p>
      <w:pPr>
        <w:rPr>
          <w:color w:val="auto"/>
          <w:highlight w:val="none"/>
        </w:rPr>
      </w:pPr>
    </w:p>
    <w:p>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w:t>
      </w:r>
      <w:r>
        <w:rPr>
          <w:rFonts w:hint="eastAsia" w:ascii="宋体" w:hAnsi="宋体"/>
          <w:b/>
          <w:bCs/>
          <w:color w:val="auto"/>
          <w:sz w:val="28"/>
          <w:szCs w:val="28"/>
          <w:highlight w:val="none"/>
        </w:rPr>
        <w:t>谈判</w:t>
      </w:r>
      <w:r>
        <w:rPr>
          <w:rFonts w:ascii="宋体" w:hAnsi="宋体"/>
          <w:b/>
          <w:bCs/>
          <w:color w:val="auto"/>
          <w:sz w:val="28"/>
          <w:szCs w:val="28"/>
          <w:highlight w:val="none"/>
        </w:rPr>
        <w:t>文件另有规定外，</w:t>
      </w:r>
      <w:r>
        <w:rPr>
          <w:rFonts w:hint="eastAsia" w:ascii="宋体" w:hAnsi="宋体"/>
          <w:b/>
          <w:bCs/>
          <w:color w:val="auto"/>
          <w:sz w:val="28"/>
          <w:szCs w:val="28"/>
          <w:highlight w:val="none"/>
        </w:rPr>
        <w:t>供应商</w:t>
      </w:r>
      <w:r>
        <w:rPr>
          <w:rFonts w:ascii="宋体" w:hAnsi="宋体"/>
          <w:b/>
          <w:bCs/>
          <w:color w:val="auto"/>
          <w:sz w:val="28"/>
          <w:szCs w:val="28"/>
          <w:highlight w:val="none"/>
        </w:rPr>
        <w:t>认为需要提交的其他证明材料或资料加盖</w:t>
      </w:r>
      <w:r>
        <w:rPr>
          <w:rFonts w:hint="eastAsia" w:ascii="宋体" w:hAnsi="宋体"/>
          <w:b/>
          <w:bCs/>
          <w:color w:val="auto"/>
          <w:sz w:val="28"/>
          <w:szCs w:val="28"/>
          <w:highlight w:val="none"/>
        </w:rPr>
        <w:t>供应商</w:t>
      </w:r>
      <w:r>
        <w:rPr>
          <w:rFonts w:ascii="宋体" w:hAnsi="宋体"/>
          <w:b/>
          <w:bCs/>
          <w:color w:val="auto"/>
          <w:sz w:val="28"/>
          <w:szCs w:val="28"/>
          <w:highlight w:val="none"/>
        </w:rPr>
        <w:t>公章后应在此项下提交。</w:t>
      </w:r>
    </w:p>
    <w:p>
      <w:pPr>
        <w:rPr>
          <w:color w:val="auto"/>
          <w:highlight w:val="none"/>
        </w:rPr>
      </w:pPr>
    </w:p>
    <w:sectPr>
      <w:footerReference r:id="rId3" w:type="default"/>
      <w:pgSz w:w="11906" w:h="16838"/>
      <w:pgMar w:top="1270" w:right="1253" w:bottom="1270" w:left="1253" w:header="851" w:footer="765"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0" w:usb3="00000000" w:csb0="00040000" w:csb1="00000000"/>
  </w:font>
  <w:font w:name="CESI仿宋-GB2312">
    <w:altName w:val="微软雅黑"/>
    <w:panose1 w:val="020005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7A7622"/>
    <w:multiLevelType w:val="singleLevel"/>
    <w:tmpl w:val="2C7A7622"/>
    <w:lvl w:ilvl="0" w:tentative="0">
      <w:start w:val="1"/>
      <w:numFmt w:val="chineseCounting"/>
      <w:suff w:val="space"/>
      <w:lvlText w:val="第%1章"/>
      <w:lvlJc w:val="left"/>
      <w:rPr>
        <w:rFonts w:hint="eastAsia"/>
      </w:rPr>
    </w:lvl>
  </w:abstractNum>
  <w:abstractNum w:abstractNumId="1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5">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9F817E8"/>
    <w:multiLevelType w:val="singleLevel"/>
    <w:tmpl w:val="59F817E8"/>
    <w:lvl w:ilvl="0" w:tentative="0">
      <w:start w:val="1"/>
      <w:numFmt w:val="chineseCounting"/>
      <w:pStyle w:val="63"/>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1"/>
  </w:num>
  <w:num w:numId="4">
    <w:abstractNumId w:val="12"/>
  </w:num>
  <w:num w:numId="5">
    <w:abstractNumId w:val="27"/>
  </w:num>
  <w:num w:numId="6">
    <w:abstractNumId w:val="26"/>
  </w:num>
  <w:num w:numId="7">
    <w:abstractNumId w:val="4"/>
  </w:num>
  <w:num w:numId="8">
    <w:abstractNumId w:val="2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15"/>
  </w:num>
  <w:num w:numId="29">
    <w:abstractNumId w:val="9"/>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mYzMWVjMWU5NTE5ZDYwMjQ3YzU0NGNhNGRhM2QifQ=="/>
    <w:docVar w:name="KSO_WPS_MARK_KEY" w:val="3cc1fadc-25b7-4955-8a92-f84f4b5cdee3"/>
  </w:docVars>
  <w:rsids>
    <w:rsidRoot w:val="00A57CA4"/>
    <w:rsid w:val="00051E7D"/>
    <w:rsid w:val="000D590A"/>
    <w:rsid w:val="0013070A"/>
    <w:rsid w:val="00145EAD"/>
    <w:rsid w:val="001746FA"/>
    <w:rsid w:val="0017502B"/>
    <w:rsid w:val="00191199"/>
    <w:rsid w:val="001A43AE"/>
    <w:rsid w:val="001B5C77"/>
    <w:rsid w:val="001C2E8D"/>
    <w:rsid w:val="001D1AF2"/>
    <w:rsid w:val="001D719C"/>
    <w:rsid w:val="002265E2"/>
    <w:rsid w:val="00234BDA"/>
    <w:rsid w:val="00250D03"/>
    <w:rsid w:val="00283685"/>
    <w:rsid w:val="00297A22"/>
    <w:rsid w:val="002C5556"/>
    <w:rsid w:val="003025E2"/>
    <w:rsid w:val="0032527A"/>
    <w:rsid w:val="00335298"/>
    <w:rsid w:val="00337428"/>
    <w:rsid w:val="00346A4C"/>
    <w:rsid w:val="0037149E"/>
    <w:rsid w:val="00374888"/>
    <w:rsid w:val="003D6AC5"/>
    <w:rsid w:val="003E3CB4"/>
    <w:rsid w:val="003E7B79"/>
    <w:rsid w:val="004071D5"/>
    <w:rsid w:val="0046073B"/>
    <w:rsid w:val="00461B87"/>
    <w:rsid w:val="00473ABB"/>
    <w:rsid w:val="00491FA9"/>
    <w:rsid w:val="00495D0F"/>
    <w:rsid w:val="00496BBE"/>
    <w:rsid w:val="004B37AE"/>
    <w:rsid w:val="00533F92"/>
    <w:rsid w:val="00552A04"/>
    <w:rsid w:val="00571ED4"/>
    <w:rsid w:val="005727CE"/>
    <w:rsid w:val="005B6DC4"/>
    <w:rsid w:val="005D3DDE"/>
    <w:rsid w:val="005D7E3D"/>
    <w:rsid w:val="005E5924"/>
    <w:rsid w:val="005F748B"/>
    <w:rsid w:val="0060055E"/>
    <w:rsid w:val="00610D73"/>
    <w:rsid w:val="00612F61"/>
    <w:rsid w:val="0062407E"/>
    <w:rsid w:val="00654C56"/>
    <w:rsid w:val="006708F5"/>
    <w:rsid w:val="0069330C"/>
    <w:rsid w:val="006A2357"/>
    <w:rsid w:val="006A60C6"/>
    <w:rsid w:val="007029B2"/>
    <w:rsid w:val="00727D28"/>
    <w:rsid w:val="00747907"/>
    <w:rsid w:val="007B5001"/>
    <w:rsid w:val="007D1DAB"/>
    <w:rsid w:val="007F3FA2"/>
    <w:rsid w:val="00807490"/>
    <w:rsid w:val="00835998"/>
    <w:rsid w:val="00891766"/>
    <w:rsid w:val="008A1A0D"/>
    <w:rsid w:val="008A6A3D"/>
    <w:rsid w:val="008F4766"/>
    <w:rsid w:val="00910946"/>
    <w:rsid w:val="009252E6"/>
    <w:rsid w:val="00925C33"/>
    <w:rsid w:val="00930D0D"/>
    <w:rsid w:val="009C1AE9"/>
    <w:rsid w:val="009D20AA"/>
    <w:rsid w:val="009F5679"/>
    <w:rsid w:val="00A23FED"/>
    <w:rsid w:val="00A57CA4"/>
    <w:rsid w:val="00A63222"/>
    <w:rsid w:val="00A80C8B"/>
    <w:rsid w:val="00A855C8"/>
    <w:rsid w:val="00AB701C"/>
    <w:rsid w:val="00AC33EC"/>
    <w:rsid w:val="00AC3AB9"/>
    <w:rsid w:val="00AD09C1"/>
    <w:rsid w:val="00AF7AB6"/>
    <w:rsid w:val="00B35798"/>
    <w:rsid w:val="00B36CF3"/>
    <w:rsid w:val="00B71F65"/>
    <w:rsid w:val="00BD04FB"/>
    <w:rsid w:val="00BD5138"/>
    <w:rsid w:val="00BF759C"/>
    <w:rsid w:val="00C20FB0"/>
    <w:rsid w:val="00C84558"/>
    <w:rsid w:val="00CC412E"/>
    <w:rsid w:val="00CD4860"/>
    <w:rsid w:val="00CE4F94"/>
    <w:rsid w:val="00CF5116"/>
    <w:rsid w:val="00CF655F"/>
    <w:rsid w:val="00D0721A"/>
    <w:rsid w:val="00D219E9"/>
    <w:rsid w:val="00D220A0"/>
    <w:rsid w:val="00D57839"/>
    <w:rsid w:val="00D90459"/>
    <w:rsid w:val="00D918A5"/>
    <w:rsid w:val="00DD64AD"/>
    <w:rsid w:val="00E0157A"/>
    <w:rsid w:val="00E3155C"/>
    <w:rsid w:val="00E41AB8"/>
    <w:rsid w:val="00E47326"/>
    <w:rsid w:val="00E51A36"/>
    <w:rsid w:val="00EC2B41"/>
    <w:rsid w:val="00EE7653"/>
    <w:rsid w:val="00EF3984"/>
    <w:rsid w:val="00F01431"/>
    <w:rsid w:val="00F170BD"/>
    <w:rsid w:val="00F65F95"/>
    <w:rsid w:val="00FA19DF"/>
    <w:rsid w:val="00FA47F5"/>
    <w:rsid w:val="00FB6365"/>
    <w:rsid w:val="00FD75D3"/>
    <w:rsid w:val="00FE78CF"/>
    <w:rsid w:val="015821CD"/>
    <w:rsid w:val="01DB2E0E"/>
    <w:rsid w:val="02007362"/>
    <w:rsid w:val="02150A22"/>
    <w:rsid w:val="02551A35"/>
    <w:rsid w:val="029D45D5"/>
    <w:rsid w:val="02C32B75"/>
    <w:rsid w:val="033E4BBF"/>
    <w:rsid w:val="036965FC"/>
    <w:rsid w:val="045F2874"/>
    <w:rsid w:val="04802032"/>
    <w:rsid w:val="04F33787"/>
    <w:rsid w:val="057C19CF"/>
    <w:rsid w:val="05987807"/>
    <w:rsid w:val="05B9052D"/>
    <w:rsid w:val="05DB66F5"/>
    <w:rsid w:val="05E05ABA"/>
    <w:rsid w:val="062B72A2"/>
    <w:rsid w:val="065B7727"/>
    <w:rsid w:val="066418E1"/>
    <w:rsid w:val="068B5CE3"/>
    <w:rsid w:val="074127B0"/>
    <w:rsid w:val="074F739B"/>
    <w:rsid w:val="07551270"/>
    <w:rsid w:val="078D7EC3"/>
    <w:rsid w:val="08252E8C"/>
    <w:rsid w:val="08515EAF"/>
    <w:rsid w:val="09554A11"/>
    <w:rsid w:val="0AB3379D"/>
    <w:rsid w:val="0ABB4D47"/>
    <w:rsid w:val="0B416FFB"/>
    <w:rsid w:val="0B4C51A5"/>
    <w:rsid w:val="0B582596"/>
    <w:rsid w:val="0C607954"/>
    <w:rsid w:val="0C811679"/>
    <w:rsid w:val="0CB8153E"/>
    <w:rsid w:val="0CC46FA3"/>
    <w:rsid w:val="0D3012BD"/>
    <w:rsid w:val="0EB75826"/>
    <w:rsid w:val="0F05765B"/>
    <w:rsid w:val="0F864741"/>
    <w:rsid w:val="0F9522E3"/>
    <w:rsid w:val="0FFF74D0"/>
    <w:rsid w:val="10686DD7"/>
    <w:rsid w:val="109B7D33"/>
    <w:rsid w:val="10AE4129"/>
    <w:rsid w:val="11160F29"/>
    <w:rsid w:val="11421D1E"/>
    <w:rsid w:val="1182454F"/>
    <w:rsid w:val="11B353A4"/>
    <w:rsid w:val="11D34C34"/>
    <w:rsid w:val="13233D76"/>
    <w:rsid w:val="13525C48"/>
    <w:rsid w:val="135A6245"/>
    <w:rsid w:val="13B16CE7"/>
    <w:rsid w:val="13C01D58"/>
    <w:rsid w:val="13E12C8B"/>
    <w:rsid w:val="13EA5A86"/>
    <w:rsid w:val="14595067"/>
    <w:rsid w:val="14A430C2"/>
    <w:rsid w:val="14A47BC5"/>
    <w:rsid w:val="14C035A4"/>
    <w:rsid w:val="1516608A"/>
    <w:rsid w:val="153B5B4F"/>
    <w:rsid w:val="15571ABE"/>
    <w:rsid w:val="15694931"/>
    <w:rsid w:val="15871545"/>
    <w:rsid w:val="15AC6FF2"/>
    <w:rsid w:val="15B1778A"/>
    <w:rsid w:val="15C13983"/>
    <w:rsid w:val="162D27B7"/>
    <w:rsid w:val="162F0F73"/>
    <w:rsid w:val="16774692"/>
    <w:rsid w:val="167D7355"/>
    <w:rsid w:val="174F6ACF"/>
    <w:rsid w:val="1760668E"/>
    <w:rsid w:val="178963E1"/>
    <w:rsid w:val="18237672"/>
    <w:rsid w:val="18C02D78"/>
    <w:rsid w:val="18D92F68"/>
    <w:rsid w:val="1941040C"/>
    <w:rsid w:val="19A769EE"/>
    <w:rsid w:val="19D92AF4"/>
    <w:rsid w:val="1A404921"/>
    <w:rsid w:val="1A77487F"/>
    <w:rsid w:val="1AB844B7"/>
    <w:rsid w:val="1B3C17AB"/>
    <w:rsid w:val="1B717AD2"/>
    <w:rsid w:val="1BB84AA8"/>
    <w:rsid w:val="1C36515C"/>
    <w:rsid w:val="1C4C3A51"/>
    <w:rsid w:val="1C9C7069"/>
    <w:rsid w:val="1CFA525B"/>
    <w:rsid w:val="1D1A58FD"/>
    <w:rsid w:val="1D3D48A7"/>
    <w:rsid w:val="1D6F0793"/>
    <w:rsid w:val="1DA710FC"/>
    <w:rsid w:val="1DDB508D"/>
    <w:rsid w:val="1DE97560"/>
    <w:rsid w:val="1E56051B"/>
    <w:rsid w:val="1EA27958"/>
    <w:rsid w:val="1EAD39CE"/>
    <w:rsid w:val="1ECB3486"/>
    <w:rsid w:val="1ED80607"/>
    <w:rsid w:val="1F0B2B54"/>
    <w:rsid w:val="1F4E25CE"/>
    <w:rsid w:val="20032C5B"/>
    <w:rsid w:val="20722233"/>
    <w:rsid w:val="20BE3578"/>
    <w:rsid w:val="20EC630A"/>
    <w:rsid w:val="21E62252"/>
    <w:rsid w:val="21E87D78"/>
    <w:rsid w:val="220940FB"/>
    <w:rsid w:val="22C64570"/>
    <w:rsid w:val="22FD4E56"/>
    <w:rsid w:val="234B13D4"/>
    <w:rsid w:val="23736DCC"/>
    <w:rsid w:val="23D762F6"/>
    <w:rsid w:val="23FE6B29"/>
    <w:rsid w:val="24341D04"/>
    <w:rsid w:val="25036FC4"/>
    <w:rsid w:val="253727C8"/>
    <w:rsid w:val="25F807A6"/>
    <w:rsid w:val="26B20955"/>
    <w:rsid w:val="27167136"/>
    <w:rsid w:val="27D03E77"/>
    <w:rsid w:val="280F7488"/>
    <w:rsid w:val="28986434"/>
    <w:rsid w:val="29007070"/>
    <w:rsid w:val="2966250A"/>
    <w:rsid w:val="29C25C3D"/>
    <w:rsid w:val="2A00446B"/>
    <w:rsid w:val="2A426494"/>
    <w:rsid w:val="2A483695"/>
    <w:rsid w:val="2A9036A3"/>
    <w:rsid w:val="2AC33130"/>
    <w:rsid w:val="2AC7353B"/>
    <w:rsid w:val="2B872D8F"/>
    <w:rsid w:val="2BBE3DB4"/>
    <w:rsid w:val="2BDF043E"/>
    <w:rsid w:val="2C034F6F"/>
    <w:rsid w:val="2C150C4F"/>
    <w:rsid w:val="2C1E7FA4"/>
    <w:rsid w:val="2CAD65E9"/>
    <w:rsid w:val="2CBF1C4A"/>
    <w:rsid w:val="2CED6B8B"/>
    <w:rsid w:val="2D340315"/>
    <w:rsid w:val="2D400007"/>
    <w:rsid w:val="2DA82C99"/>
    <w:rsid w:val="2E8D23D3"/>
    <w:rsid w:val="2E90270F"/>
    <w:rsid w:val="2FF23F63"/>
    <w:rsid w:val="306005F9"/>
    <w:rsid w:val="30A567B5"/>
    <w:rsid w:val="310C50EA"/>
    <w:rsid w:val="31304599"/>
    <w:rsid w:val="314330A8"/>
    <w:rsid w:val="320006CB"/>
    <w:rsid w:val="3229169D"/>
    <w:rsid w:val="32807B59"/>
    <w:rsid w:val="32E45C0F"/>
    <w:rsid w:val="32F817CE"/>
    <w:rsid w:val="33260700"/>
    <w:rsid w:val="332F2CAD"/>
    <w:rsid w:val="33914702"/>
    <w:rsid w:val="3442156A"/>
    <w:rsid w:val="345F4DBC"/>
    <w:rsid w:val="35847168"/>
    <w:rsid w:val="35AB13AA"/>
    <w:rsid w:val="35FD3A62"/>
    <w:rsid w:val="36914998"/>
    <w:rsid w:val="37CB1876"/>
    <w:rsid w:val="38092EE7"/>
    <w:rsid w:val="381274A5"/>
    <w:rsid w:val="382F068D"/>
    <w:rsid w:val="38302D4A"/>
    <w:rsid w:val="38855EDB"/>
    <w:rsid w:val="38B70982"/>
    <w:rsid w:val="390C7982"/>
    <w:rsid w:val="39102AA0"/>
    <w:rsid w:val="39123EA1"/>
    <w:rsid w:val="3968645D"/>
    <w:rsid w:val="3A7350DE"/>
    <w:rsid w:val="3A920D71"/>
    <w:rsid w:val="3AC5774B"/>
    <w:rsid w:val="3AD82AB0"/>
    <w:rsid w:val="3AFA4E3F"/>
    <w:rsid w:val="3B4E0552"/>
    <w:rsid w:val="3BBD1927"/>
    <w:rsid w:val="3BD5243D"/>
    <w:rsid w:val="3C0D7CB7"/>
    <w:rsid w:val="3C0F6D5B"/>
    <w:rsid w:val="3C443376"/>
    <w:rsid w:val="3C4F7233"/>
    <w:rsid w:val="3C9236A7"/>
    <w:rsid w:val="3E0E7BD8"/>
    <w:rsid w:val="3E7937F4"/>
    <w:rsid w:val="3EE0122E"/>
    <w:rsid w:val="3EF0564E"/>
    <w:rsid w:val="3F44662E"/>
    <w:rsid w:val="403919FB"/>
    <w:rsid w:val="40520D87"/>
    <w:rsid w:val="40AE2CD8"/>
    <w:rsid w:val="40D02864"/>
    <w:rsid w:val="41A27AEC"/>
    <w:rsid w:val="41B70342"/>
    <w:rsid w:val="41CE332F"/>
    <w:rsid w:val="42482ED2"/>
    <w:rsid w:val="42AB0C22"/>
    <w:rsid w:val="42EA41FA"/>
    <w:rsid w:val="43302ED5"/>
    <w:rsid w:val="442B773B"/>
    <w:rsid w:val="446948B9"/>
    <w:rsid w:val="44923CB7"/>
    <w:rsid w:val="44944F45"/>
    <w:rsid w:val="44B74D3D"/>
    <w:rsid w:val="458177E0"/>
    <w:rsid w:val="45F3794E"/>
    <w:rsid w:val="45F84D80"/>
    <w:rsid w:val="471168E0"/>
    <w:rsid w:val="475353E4"/>
    <w:rsid w:val="480C1846"/>
    <w:rsid w:val="4836447E"/>
    <w:rsid w:val="4871195C"/>
    <w:rsid w:val="48D93187"/>
    <w:rsid w:val="49402FC0"/>
    <w:rsid w:val="4A430580"/>
    <w:rsid w:val="4A7D6231"/>
    <w:rsid w:val="4BDF1207"/>
    <w:rsid w:val="4C106FFF"/>
    <w:rsid w:val="4C58602B"/>
    <w:rsid w:val="4C76404F"/>
    <w:rsid w:val="4C9D6CB9"/>
    <w:rsid w:val="4CAB5E27"/>
    <w:rsid w:val="4CB919EE"/>
    <w:rsid w:val="4D0349F6"/>
    <w:rsid w:val="4D275349"/>
    <w:rsid w:val="4D300ECA"/>
    <w:rsid w:val="4D8B037C"/>
    <w:rsid w:val="4DA266A7"/>
    <w:rsid w:val="4DF46FDA"/>
    <w:rsid w:val="4E1C620B"/>
    <w:rsid w:val="4F8431B7"/>
    <w:rsid w:val="4FDD43E5"/>
    <w:rsid w:val="500C0071"/>
    <w:rsid w:val="50D5753F"/>
    <w:rsid w:val="51611D81"/>
    <w:rsid w:val="52043EAB"/>
    <w:rsid w:val="520F24EE"/>
    <w:rsid w:val="52286498"/>
    <w:rsid w:val="527C7EE5"/>
    <w:rsid w:val="52B11D95"/>
    <w:rsid w:val="52C60B43"/>
    <w:rsid w:val="53254EE5"/>
    <w:rsid w:val="53937294"/>
    <w:rsid w:val="53B740A0"/>
    <w:rsid w:val="54112761"/>
    <w:rsid w:val="54294154"/>
    <w:rsid w:val="5461663C"/>
    <w:rsid w:val="54770964"/>
    <w:rsid w:val="54A24A18"/>
    <w:rsid w:val="54EE402A"/>
    <w:rsid w:val="55180399"/>
    <w:rsid w:val="555320CF"/>
    <w:rsid w:val="555927B5"/>
    <w:rsid w:val="558833E1"/>
    <w:rsid w:val="55E0043E"/>
    <w:rsid w:val="56415E2F"/>
    <w:rsid w:val="56460406"/>
    <w:rsid w:val="572B451F"/>
    <w:rsid w:val="579D4F00"/>
    <w:rsid w:val="57AF0E9E"/>
    <w:rsid w:val="58757F1B"/>
    <w:rsid w:val="587B7568"/>
    <w:rsid w:val="587F280E"/>
    <w:rsid w:val="58E62BC3"/>
    <w:rsid w:val="590B03C5"/>
    <w:rsid w:val="59507057"/>
    <w:rsid w:val="5999137D"/>
    <w:rsid w:val="59A14E6F"/>
    <w:rsid w:val="59AE24E7"/>
    <w:rsid w:val="59DD731B"/>
    <w:rsid w:val="5A0D59FE"/>
    <w:rsid w:val="5A3C696A"/>
    <w:rsid w:val="5A596C30"/>
    <w:rsid w:val="5A8A5E5E"/>
    <w:rsid w:val="5AC727D6"/>
    <w:rsid w:val="5AD15B34"/>
    <w:rsid w:val="5B0171D9"/>
    <w:rsid w:val="5B162D7D"/>
    <w:rsid w:val="5BDF1604"/>
    <w:rsid w:val="5C7B0D56"/>
    <w:rsid w:val="5C861130"/>
    <w:rsid w:val="5C9F6BCD"/>
    <w:rsid w:val="5CA47F1B"/>
    <w:rsid w:val="5D2F321C"/>
    <w:rsid w:val="5D494E68"/>
    <w:rsid w:val="5DC77EA6"/>
    <w:rsid w:val="5DE856F2"/>
    <w:rsid w:val="5E0E2A89"/>
    <w:rsid w:val="5E4341C8"/>
    <w:rsid w:val="5E6829AE"/>
    <w:rsid w:val="5E8B2BA0"/>
    <w:rsid w:val="5F094B10"/>
    <w:rsid w:val="5F785962"/>
    <w:rsid w:val="5F85487D"/>
    <w:rsid w:val="5FD41CEA"/>
    <w:rsid w:val="60BF3DBF"/>
    <w:rsid w:val="60F8107F"/>
    <w:rsid w:val="61C55C09"/>
    <w:rsid w:val="62645721"/>
    <w:rsid w:val="627526B6"/>
    <w:rsid w:val="628430EB"/>
    <w:rsid w:val="62BF187A"/>
    <w:rsid w:val="62CE0B28"/>
    <w:rsid w:val="63676257"/>
    <w:rsid w:val="63A86D8C"/>
    <w:rsid w:val="63C4349A"/>
    <w:rsid w:val="63F03AD6"/>
    <w:rsid w:val="65547A1D"/>
    <w:rsid w:val="65984BDE"/>
    <w:rsid w:val="65EC599E"/>
    <w:rsid w:val="660E7A4B"/>
    <w:rsid w:val="661C5107"/>
    <w:rsid w:val="666D1BC7"/>
    <w:rsid w:val="668F2364"/>
    <w:rsid w:val="66BF5C89"/>
    <w:rsid w:val="66F53DAB"/>
    <w:rsid w:val="67474629"/>
    <w:rsid w:val="67BA514F"/>
    <w:rsid w:val="69131AB9"/>
    <w:rsid w:val="694E2184"/>
    <w:rsid w:val="69574685"/>
    <w:rsid w:val="6A1D267D"/>
    <w:rsid w:val="6A317D67"/>
    <w:rsid w:val="6AE0227F"/>
    <w:rsid w:val="6AED1528"/>
    <w:rsid w:val="6B21102D"/>
    <w:rsid w:val="6B2313EE"/>
    <w:rsid w:val="6B2314FC"/>
    <w:rsid w:val="6B4942B9"/>
    <w:rsid w:val="6BB90FAB"/>
    <w:rsid w:val="6BC30A2F"/>
    <w:rsid w:val="6C60555C"/>
    <w:rsid w:val="6C8163CC"/>
    <w:rsid w:val="6CD01233"/>
    <w:rsid w:val="6CE757D2"/>
    <w:rsid w:val="6D684A95"/>
    <w:rsid w:val="6DA06F88"/>
    <w:rsid w:val="6DA76F0B"/>
    <w:rsid w:val="6DFB0400"/>
    <w:rsid w:val="6E3E62A8"/>
    <w:rsid w:val="6E904F96"/>
    <w:rsid w:val="6EAA1FFD"/>
    <w:rsid w:val="6EDB6E53"/>
    <w:rsid w:val="6FBF12FB"/>
    <w:rsid w:val="6FF873E2"/>
    <w:rsid w:val="70220DEC"/>
    <w:rsid w:val="7084648B"/>
    <w:rsid w:val="713E402F"/>
    <w:rsid w:val="714257AE"/>
    <w:rsid w:val="71710AC0"/>
    <w:rsid w:val="72DF209E"/>
    <w:rsid w:val="72E4055E"/>
    <w:rsid w:val="72E61148"/>
    <w:rsid w:val="733F2D51"/>
    <w:rsid w:val="73666701"/>
    <w:rsid w:val="73EB3D99"/>
    <w:rsid w:val="747C2521"/>
    <w:rsid w:val="7480258F"/>
    <w:rsid w:val="753366D1"/>
    <w:rsid w:val="756E2A19"/>
    <w:rsid w:val="75A650F5"/>
    <w:rsid w:val="75C56449"/>
    <w:rsid w:val="75F763EB"/>
    <w:rsid w:val="76387EEA"/>
    <w:rsid w:val="76465ABE"/>
    <w:rsid w:val="773226E3"/>
    <w:rsid w:val="778D3F3B"/>
    <w:rsid w:val="77CD76B1"/>
    <w:rsid w:val="77CE4490"/>
    <w:rsid w:val="7865051B"/>
    <w:rsid w:val="7870676D"/>
    <w:rsid w:val="78B44D6A"/>
    <w:rsid w:val="78EB7A9A"/>
    <w:rsid w:val="795E72F1"/>
    <w:rsid w:val="7967694A"/>
    <w:rsid w:val="797C0647"/>
    <w:rsid w:val="79DF0BD6"/>
    <w:rsid w:val="7AD30342"/>
    <w:rsid w:val="7ADC2AE9"/>
    <w:rsid w:val="7B5C1871"/>
    <w:rsid w:val="7BA767DA"/>
    <w:rsid w:val="7BDB201C"/>
    <w:rsid w:val="7BFE5C73"/>
    <w:rsid w:val="7C4B01F1"/>
    <w:rsid w:val="7D1714C6"/>
    <w:rsid w:val="7D405219"/>
    <w:rsid w:val="7D6531A0"/>
    <w:rsid w:val="7DA168CE"/>
    <w:rsid w:val="7E24305B"/>
    <w:rsid w:val="7E9059DF"/>
    <w:rsid w:val="7EA556AC"/>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paragraph" w:styleId="26">
    <w:name w:val="Body Text First Indent"/>
    <w:basedOn w:val="2"/>
    <w:next w:val="13"/>
    <w:link w:val="50"/>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列出段落1"/>
    <w:basedOn w:val="1"/>
    <w:qFormat/>
    <w:uiPriority w:val="99"/>
    <w:pPr>
      <w:ind w:firstLine="420" w:firstLineChars="200"/>
    </w:pPr>
  </w:style>
  <w:style w:type="character" w:customStyle="1" w:styleId="34">
    <w:name w:val="标题 1 Char"/>
    <w:basedOn w:val="28"/>
    <w:link w:val="5"/>
    <w:qFormat/>
    <w:uiPriority w:val="0"/>
    <w:rPr>
      <w:rFonts w:ascii="Calibri" w:hAnsi="Calibri" w:eastAsia="宋体" w:cs="Times New Roman"/>
      <w:b/>
      <w:bCs/>
      <w:kern w:val="44"/>
      <w:sz w:val="44"/>
      <w:szCs w:val="44"/>
    </w:rPr>
  </w:style>
  <w:style w:type="character" w:customStyle="1" w:styleId="35">
    <w:name w:val="标题 2 Char"/>
    <w:basedOn w:val="28"/>
    <w:link w:val="6"/>
    <w:qFormat/>
    <w:uiPriority w:val="0"/>
    <w:rPr>
      <w:rFonts w:ascii="Arial" w:hAnsi="Arial" w:eastAsia="黑体" w:cs="Times New Roman"/>
      <w:b/>
      <w:bCs/>
      <w:kern w:val="0"/>
      <w:sz w:val="32"/>
      <w:szCs w:val="32"/>
    </w:rPr>
  </w:style>
  <w:style w:type="character" w:customStyle="1" w:styleId="36">
    <w:name w:val="标题 3 Char"/>
    <w:basedOn w:val="28"/>
    <w:link w:val="7"/>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8"/>
    <w:qFormat/>
    <w:uiPriority w:val="0"/>
    <w:rPr>
      <w:rFonts w:ascii="Arial" w:hAnsi="Arial" w:eastAsia="黑体" w:cs="Times New Roman"/>
      <w:b/>
      <w:bCs/>
      <w:kern w:val="0"/>
      <w:sz w:val="28"/>
      <w:szCs w:val="28"/>
    </w:rPr>
  </w:style>
  <w:style w:type="character" w:customStyle="1" w:styleId="38">
    <w:name w:val="页眉 Char"/>
    <w:basedOn w:val="28"/>
    <w:link w:val="21"/>
    <w:qFormat/>
    <w:uiPriority w:val="99"/>
    <w:rPr>
      <w:sz w:val="18"/>
      <w:szCs w:val="18"/>
    </w:rPr>
  </w:style>
  <w:style w:type="character" w:customStyle="1" w:styleId="39">
    <w:name w:val="页脚 Char"/>
    <w:basedOn w:val="28"/>
    <w:link w:val="19"/>
    <w:qFormat/>
    <w:uiPriority w:val="99"/>
    <w:rPr>
      <w:sz w:val="18"/>
      <w:szCs w:val="1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2"/>
    <w:qFormat/>
    <w:uiPriority w:val="99"/>
  </w:style>
  <w:style w:type="character" w:customStyle="1" w:styleId="42">
    <w:name w:val="正文文本缩进 Char1"/>
    <w:basedOn w:val="28"/>
    <w:link w:val="12"/>
    <w:qFormat/>
    <w:uiPriority w:val="0"/>
    <w:rPr>
      <w:kern w:val="0"/>
      <w:sz w:val="24"/>
      <w:szCs w:val="20"/>
    </w:rPr>
  </w:style>
  <w:style w:type="character" w:customStyle="1" w:styleId="43">
    <w:name w:val="正文文本缩进 Char"/>
    <w:basedOn w:val="28"/>
    <w:link w:val="12"/>
    <w:qFormat/>
    <w:uiPriority w:val="0"/>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1"/>
    <w:basedOn w:val="28"/>
    <w:link w:val="18"/>
    <w:semiHidden/>
    <w:qFormat/>
    <w:uiPriority w:val="99"/>
    <w:rPr>
      <w:sz w:val="18"/>
      <w:szCs w:val="18"/>
    </w:rPr>
  </w:style>
  <w:style w:type="character" w:customStyle="1" w:styleId="47">
    <w:name w:val="批注框文本 Char"/>
    <w:basedOn w:val="28"/>
    <w:link w:val="18"/>
    <w:semiHidden/>
    <w:qFormat/>
    <w:uiPriority w:val="99"/>
    <w:rPr>
      <w:sz w:val="18"/>
      <w:szCs w:val="18"/>
    </w:rPr>
  </w:style>
  <w:style w:type="character" w:customStyle="1" w:styleId="48">
    <w:name w:val="HTML 预设格式 Char1"/>
    <w:basedOn w:val="28"/>
    <w:link w:val="24"/>
    <w:semiHidden/>
    <w:qFormat/>
    <w:uiPriority w:val="99"/>
    <w:rPr>
      <w:rFonts w:ascii="宋体" w:hAnsi="宋体" w:eastAsia="宋体" w:cs="宋体"/>
      <w:kern w:val="0"/>
      <w:sz w:val="24"/>
      <w:szCs w:val="24"/>
    </w:rPr>
  </w:style>
  <w:style w:type="character" w:customStyle="1" w:styleId="49">
    <w:name w:val="HTML 预设格式 Char"/>
    <w:basedOn w:val="28"/>
    <w:link w:val="24"/>
    <w:semiHidden/>
    <w:qFormat/>
    <w:uiPriority w:val="99"/>
    <w:rPr>
      <w:rFonts w:ascii="Courier New" w:hAnsi="Courier New" w:cs="Courier New"/>
      <w:sz w:val="20"/>
      <w:szCs w:val="20"/>
    </w:rPr>
  </w:style>
  <w:style w:type="character" w:customStyle="1" w:styleId="50">
    <w:name w:val="正文首行缩进 Char"/>
    <w:basedOn w:val="41"/>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8"/>
    <w:qFormat/>
    <w:uiPriority w:val="0"/>
  </w:style>
  <w:style w:type="character" w:customStyle="1" w:styleId="65">
    <w:name w:val="active"/>
    <w:basedOn w:val="28"/>
    <w:qFormat/>
    <w:uiPriority w:val="0"/>
    <w:rPr>
      <w:color w:val="FFFFFF"/>
      <w:shd w:val="clear" w:color="auto" w:fill="2B7AFC"/>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CC0000"/>
    </w:rPr>
  </w:style>
  <w:style w:type="character" w:customStyle="1" w:styleId="69">
    <w:name w:val="red3"/>
    <w:basedOn w:val="28"/>
    <w:qFormat/>
    <w:uiPriority w:val="0"/>
    <w:rPr>
      <w:color w:val="FF0000"/>
    </w:rPr>
  </w:style>
  <w:style w:type="character" w:customStyle="1" w:styleId="70">
    <w:name w:val="green"/>
    <w:basedOn w:val="28"/>
    <w:qFormat/>
    <w:uiPriority w:val="0"/>
    <w:rPr>
      <w:color w:val="66AE00"/>
      <w:sz w:val="18"/>
      <w:szCs w:val="18"/>
    </w:rPr>
  </w:style>
  <w:style w:type="character" w:customStyle="1" w:styleId="71">
    <w:name w:val="green1"/>
    <w:basedOn w:val="28"/>
    <w:qFormat/>
    <w:uiPriority w:val="0"/>
    <w:rPr>
      <w:color w:val="66AE00"/>
      <w:sz w:val="18"/>
      <w:szCs w:val="18"/>
    </w:rPr>
  </w:style>
  <w:style w:type="character" w:customStyle="1" w:styleId="72">
    <w:name w:val="gb-jt"/>
    <w:basedOn w:val="28"/>
    <w:qFormat/>
    <w:uiPriority w:val="0"/>
  </w:style>
  <w:style w:type="character" w:customStyle="1" w:styleId="73">
    <w:name w:val="blue"/>
    <w:basedOn w:val="28"/>
    <w:qFormat/>
    <w:uiPriority w:val="0"/>
    <w:rPr>
      <w:color w:val="0371C6"/>
      <w:sz w:val="21"/>
      <w:szCs w:val="21"/>
    </w:rPr>
  </w:style>
  <w:style w:type="character" w:customStyle="1" w:styleId="74">
    <w:name w:val="right"/>
    <w:basedOn w:val="28"/>
    <w:qFormat/>
    <w:uiPriority w:val="0"/>
    <w:rPr>
      <w:color w:val="999999"/>
      <w:sz w:val="18"/>
      <w:szCs w:val="18"/>
    </w:rPr>
  </w:style>
  <w:style w:type="character" w:customStyle="1" w:styleId="75">
    <w:name w:val="active4"/>
    <w:basedOn w:val="28"/>
    <w:qFormat/>
    <w:uiPriority w:val="0"/>
    <w:rPr>
      <w:color w:val="FFFFFF"/>
      <w:shd w:val="clear" w:color="auto" w:fill="2B7AFC"/>
    </w:rPr>
  </w:style>
  <w:style w:type="character" w:customStyle="1" w:styleId="76">
    <w:name w:val="hover"/>
    <w:basedOn w:val="28"/>
    <w:qFormat/>
    <w:uiPriority w:val="0"/>
  </w:style>
  <w:style w:type="character" w:customStyle="1" w:styleId="77">
    <w:name w:val="hover24"/>
    <w:basedOn w:val="28"/>
    <w:qFormat/>
    <w:uiPriority w:val="0"/>
  </w:style>
  <w:style w:type="character" w:customStyle="1" w:styleId="78">
    <w:name w:val="hover23"/>
    <w:basedOn w:val="2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34932</Words>
  <Characters>36994</Characters>
  <Lines>230</Lines>
  <Paragraphs>64</Paragraphs>
  <TotalTime>0</TotalTime>
  <ScaleCrop>false</ScaleCrop>
  <LinksUpToDate>false</LinksUpToDate>
  <CharactersWithSpaces>41671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河南苍柏工程管理服务有限公司:李永帅</cp:lastModifiedBy>
  <cp:lastPrinted>2023-10-10T09:40:00Z</cp:lastPrinted>
  <dcterms:modified xsi:type="dcterms:W3CDTF">2023-10-12T03:09:53Z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094C7096DB5D4525AE642FDAB4E6DFC0_13</vt:lpwstr>
  </property>
</Properties>
</file>