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                                                                                                                              </w:t>
      </w:r>
    </w:p>
    <w:p>
      <w:pPr>
        <w:jc w:val="center"/>
        <w:rPr>
          <w:rFonts w:ascii="黑体" w:hAnsi="黑体" w:eastAsia="黑体"/>
          <w:b/>
          <w:bCs/>
          <w:color w:val="auto"/>
          <w:sz w:val="36"/>
          <w:szCs w:val="36"/>
          <w:highlight w:val="none"/>
        </w:rPr>
      </w:pPr>
    </w:p>
    <w:p>
      <w:pPr>
        <w:jc w:val="center"/>
        <w:rPr>
          <w:rFonts w:ascii="宋体" w:hAnsi="宋体"/>
          <w:b/>
          <w:bCs/>
          <w:color w:val="auto"/>
          <w:spacing w:val="-17"/>
          <w:sz w:val="36"/>
          <w:szCs w:val="36"/>
          <w:highlight w:val="none"/>
        </w:rPr>
      </w:pPr>
      <w:r>
        <w:rPr>
          <w:rFonts w:hint="eastAsia" w:ascii="宋体" w:hAnsi="宋体"/>
          <w:b/>
          <w:bCs/>
          <w:color w:val="auto"/>
          <w:spacing w:val="-17"/>
          <w:sz w:val="36"/>
          <w:szCs w:val="36"/>
          <w:highlight w:val="none"/>
        </w:rPr>
        <w:t xml:space="preserve">  禹州市林业发展中心第二次森林资源工作经费项目</w:t>
      </w:r>
    </w:p>
    <w:p>
      <w:pPr>
        <w:jc w:val="center"/>
        <w:rPr>
          <w:rFonts w:ascii="宋体" w:hAnsi="宋体"/>
          <w:b/>
          <w:bCs/>
          <w:color w:val="auto"/>
          <w:spacing w:val="-17"/>
          <w:sz w:val="36"/>
          <w:szCs w:val="36"/>
          <w:highlight w:val="none"/>
        </w:rPr>
      </w:pPr>
      <w:r>
        <w:rPr>
          <w:rFonts w:hint="eastAsia" w:ascii="宋体" w:hAnsi="宋体"/>
          <w:b/>
          <w:bCs/>
          <w:color w:val="auto"/>
          <w:spacing w:val="-17"/>
          <w:sz w:val="36"/>
          <w:szCs w:val="36"/>
          <w:highlight w:val="none"/>
        </w:rPr>
        <w:t>（不见面开标）</w:t>
      </w:r>
    </w:p>
    <w:p>
      <w:pPr>
        <w:rPr>
          <w:rFonts w:ascii="微软简隶书" w:eastAsia="微软简隶书"/>
          <w:color w:val="auto"/>
          <w:sz w:val="36"/>
          <w:szCs w:val="36"/>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宋体" w:hAnsi="宋体"/>
          <w:bCs/>
          <w:color w:val="auto"/>
          <w:w w:val="90"/>
          <w:sz w:val="120"/>
          <w:szCs w:val="120"/>
          <w:highlight w:val="none"/>
        </w:rPr>
      </w:pPr>
    </w:p>
    <w:p>
      <w:pPr>
        <w:jc w:val="center"/>
        <w:rPr>
          <w:rFonts w:ascii="微软简隶书" w:eastAsia="微软简隶书"/>
          <w:color w:val="auto"/>
          <w:highlight w:val="none"/>
        </w:rPr>
      </w:pPr>
      <w:r>
        <w:rPr>
          <w:rFonts w:hint="eastAsia" w:ascii="宋体" w:hAnsi="宋体"/>
          <w:b/>
          <w:color w:val="auto"/>
          <w:w w:val="90"/>
          <w:sz w:val="96"/>
          <w:szCs w:val="96"/>
          <w:highlight w:val="none"/>
        </w:rPr>
        <w:t>招标文件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15"/>
        <w:rPr>
          <w:rFonts w:ascii="微软简隶书" w:eastAsia="微软简隶书"/>
          <w:color w:val="auto"/>
          <w:highlight w:val="none"/>
        </w:rPr>
      </w:pPr>
    </w:p>
    <w:p>
      <w:pPr>
        <w:pStyle w:val="15"/>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 xml:space="preserve">采购单位：禹州市林业发展中心 </w:t>
      </w: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采购编号：</w:t>
      </w:r>
      <w:r>
        <w:rPr>
          <w:rFonts w:hint="eastAsia" w:ascii="宋体" w:hAnsi="宋体"/>
          <w:b/>
          <w:bCs/>
          <w:color w:val="auto"/>
          <w:sz w:val="30"/>
          <w:szCs w:val="30"/>
          <w:highlight w:val="none"/>
          <w:lang w:eastAsia="zh-CN"/>
        </w:rPr>
        <w:t>YZCG-DLG2023096</w:t>
      </w:r>
      <w:r>
        <w:rPr>
          <w:rFonts w:ascii="宋体" w:hAnsi="宋体"/>
          <w:b/>
          <w:bCs/>
          <w:color w:val="auto"/>
          <w:sz w:val="30"/>
          <w:szCs w:val="30"/>
          <w:highlight w:val="none"/>
        </w:rPr>
        <w:t xml:space="preserve"> </w:t>
      </w:r>
    </w:p>
    <w:p>
      <w:pPr>
        <w:spacing w:line="360" w:lineRule="auto"/>
        <w:ind w:firstLine="2108" w:firstLineChars="700"/>
        <w:rPr>
          <w:rFonts w:ascii="宋体" w:hAnsi="宋体"/>
          <w:b/>
          <w:bCs/>
          <w:color w:val="auto"/>
          <w:sz w:val="30"/>
          <w:szCs w:val="30"/>
          <w:highlight w:val="none"/>
        </w:rPr>
      </w:pPr>
      <w:r>
        <w:rPr>
          <w:rFonts w:hint="eastAsia" w:ascii="宋体" w:hAnsi="宋体"/>
          <w:b/>
          <w:bCs/>
          <w:color w:val="auto"/>
          <w:sz w:val="30"/>
          <w:szCs w:val="30"/>
          <w:highlight w:val="none"/>
        </w:rPr>
        <w:t>代理机构：河南苍柏工程管理服务有限公司</w:t>
      </w:r>
    </w:p>
    <w:p>
      <w:pPr>
        <w:spacing w:line="360" w:lineRule="auto"/>
        <w:jc w:val="center"/>
        <w:rPr>
          <w:rFonts w:ascii="宋体"/>
          <w:b/>
          <w:bCs/>
          <w:color w:val="auto"/>
          <w:sz w:val="30"/>
          <w:szCs w:val="30"/>
          <w:highlight w:val="none"/>
        </w:rPr>
      </w:pPr>
      <w:r>
        <w:rPr>
          <w:rFonts w:hint="eastAsia" w:ascii="宋体" w:hAnsi="宋体"/>
          <w:b/>
          <w:bCs/>
          <w:color w:val="auto"/>
          <w:sz w:val="30"/>
          <w:szCs w:val="30"/>
          <w:highlight w:val="none"/>
        </w:rPr>
        <w:t>二〇二三年九月</w:t>
      </w:r>
    </w:p>
    <w:p>
      <w:pPr>
        <w:autoSpaceDE w:val="0"/>
        <w:autoSpaceDN w:val="0"/>
        <w:adjustRightInd w:val="0"/>
        <w:spacing w:line="700" w:lineRule="exact"/>
        <w:rPr>
          <w:rFonts w:ascii="宋体" w:hAnsi="宋体"/>
          <w:b/>
          <w:bCs/>
          <w:color w:val="auto"/>
          <w:sz w:val="44"/>
          <w:szCs w:val="44"/>
          <w:highlight w:val="none"/>
          <w:lang w:val="zh-CN"/>
        </w:rPr>
        <w:sectPr>
          <w:pgSz w:w="11906" w:h="16838"/>
          <w:pgMar w:top="1418" w:right="1474" w:bottom="1418" w:left="1474"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b/>
          <w:color w:val="auto"/>
          <w:kern w:val="0"/>
          <w:sz w:val="44"/>
          <w:szCs w:val="44"/>
          <w:highlight w:val="none"/>
        </w:rPr>
      </w:pPr>
      <w:r>
        <w:rPr>
          <w:rFonts w:hint="eastAsia" w:ascii="宋体" w:hAnsi="宋体"/>
          <w:b/>
          <w:color w:val="auto"/>
          <w:kern w:val="0"/>
          <w:sz w:val="44"/>
          <w:szCs w:val="44"/>
          <w:highlight w:val="none"/>
        </w:rPr>
        <w:t>招标文件目录</w:t>
      </w:r>
    </w:p>
    <w:p>
      <w:pPr>
        <w:autoSpaceDE w:val="0"/>
        <w:autoSpaceDN w:val="0"/>
        <w:adjustRightInd w:val="0"/>
        <w:spacing w:line="700" w:lineRule="exact"/>
        <w:ind w:firstLine="551"/>
        <w:rPr>
          <w:rFonts w:ascii="宋体" w:hAnsi="宋体"/>
          <w:b/>
          <w:bCs/>
          <w:color w:val="auto"/>
          <w:sz w:val="32"/>
          <w:szCs w:val="32"/>
          <w:highlight w:val="none"/>
          <w:lang w:val="zh-CN"/>
        </w:rPr>
      </w:pP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第一章 投标邀请</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第二章 项目需求</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第三章 </w:t>
      </w:r>
      <w:r>
        <w:rPr>
          <w:rFonts w:hint="eastAsia" w:ascii="宋体" w:hAnsi="宋体"/>
          <w:b/>
          <w:color w:val="auto"/>
          <w:kern w:val="0"/>
          <w:sz w:val="30"/>
          <w:szCs w:val="30"/>
          <w:highlight w:val="none"/>
        </w:rPr>
        <w:t>投标人须知前附表</w:t>
      </w:r>
    </w:p>
    <w:p>
      <w:pPr>
        <w:autoSpaceDE w:val="0"/>
        <w:autoSpaceDN w:val="0"/>
        <w:adjustRightInd w:val="0"/>
        <w:spacing w:line="700" w:lineRule="exact"/>
        <w:ind w:firstLine="560"/>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第四章 </w:t>
      </w:r>
      <w:r>
        <w:rPr>
          <w:rFonts w:hint="eastAsia" w:ascii="宋体" w:hAnsi="宋体"/>
          <w:b/>
          <w:color w:val="auto"/>
          <w:kern w:val="0"/>
          <w:sz w:val="30"/>
          <w:szCs w:val="30"/>
          <w:highlight w:val="none"/>
        </w:rPr>
        <w:t>投标人须知</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一、概念释义</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二、招标文件说明</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三、投标文件的编制</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四、投标文件的递交</w:t>
      </w:r>
    </w:p>
    <w:p>
      <w:pPr>
        <w:autoSpaceDE w:val="0"/>
        <w:autoSpaceDN w:val="0"/>
        <w:adjustRightInd w:val="0"/>
        <w:spacing w:line="700" w:lineRule="exact"/>
        <w:ind w:firstLine="560"/>
        <w:rPr>
          <w:rFonts w:ascii="宋体" w:hAnsi="宋体"/>
          <w:color w:val="auto"/>
          <w:sz w:val="30"/>
          <w:szCs w:val="30"/>
          <w:highlight w:val="none"/>
          <w:lang w:val="zh-CN"/>
        </w:rPr>
      </w:pPr>
      <w:r>
        <w:rPr>
          <w:rFonts w:hint="eastAsia" w:ascii="宋体" w:hAnsi="宋体"/>
          <w:color w:val="auto"/>
          <w:sz w:val="30"/>
          <w:szCs w:val="30"/>
          <w:highlight w:val="none"/>
          <w:lang w:val="zh-CN"/>
        </w:rPr>
        <w:t>五、开标和评标</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color w:val="auto"/>
          <w:sz w:val="30"/>
          <w:szCs w:val="30"/>
          <w:highlight w:val="none"/>
          <w:lang w:val="zh-CN"/>
        </w:rPr>
        <w:t>六、定标和授予合同</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第五章 </w:t>
      </w:r>
      <w:r>
        <w:rPr>
          <w:rFonts w:hint="eastAsia" w:ascii="宋体" w:hAnsi="宋体"/>
          <w:b/>
          <w:color w:val="auto"/>
          <w:kern w:val="0"/>
          <w:sz w:val="30"/>
          <w:szCs w:val="30"/>
          <w:highlight w:val="none"/>
        </w:rPr>
        <w:t>政府采购政策功能</w:t>
      </w:r>
    </w:p>
    <w:p>
      <w:pPr>
        <w:autoSpaceDE w:val="0"/>
        <w:autoSpaceDN w:val="0"/>
        <w:adjustRightInd w:val="0"/>
        <w:spacing w:line="700" w:lineRule="exact"/>
        <w:ind w:firstLine="551"/>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第六章 </w:t>
      </w:r>
      <w:r>
        <w:rPr>
          <w:rFonts w:hint="eastAsia" w:ascii="宋体" w:hAnsi="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hAnsi="宋体"/>
          <w:b/>
          <w:bCs/>
          <w:color w:val="auto"/>
          <w:sz w:val="30"/>
          <w:szCs w:val="30"/>
          <w:highlight w:val="none"/>
          <w:lang w:val="zh-CN"/>
        </w:rPr>
      </w:pPr>
      <w:r>
        <w:rPr>
          <w:rFonts w:hint="eastAsia" w:ascii="宋体" w:hAnsi="宋体"/>
          <w:b/>
          <w:bCs/>
          <w:color w:val="auto"/>
          <w:sz w:val="30"/>
          <w:szCs w:val="30"/>
          <w:highlight w:val="none"/>
          <w:lang w:val="zh-CN"/>
        </w:rPr>
        <w:t xml:space="preserve">第七章 </w:t>
      </w:r>
      <w:r>
        <w:rPr>
          <w:rFonts w:hint="eastAsia" w:ascii="宋体" w:hAnsi="宋体"/>
          <w:b/>
          <w:color w:val="auto"/>
          <w:kern w:val="0"/>
          <w:sz w:val="30"/>
          <w:szCs w:val="30"/>
          <w:highlight w:val="none"/>
        </w:rPr>
        <w:t>拟签订的合同文本</w:t>
      </w:r>
    </w:p>
    <w:p>
      <w:pPr>
        <w:autoSpaceDE w:val="0"/>
        <w:autoSpaceDN w:val="0"/>
        <w:adjustRightInd w:val="0"/>
        <w:spacing w:line="700" w:lineRule="exact"/>
        <w:ind w:firstLine="551"/>
        <w:rPr>
          <w:rFonts w:ascii="宋体" w:hAnsi="宋体"/>
          <w:b/>
          <w:color w:val="auto"/>
          <w:kern w:val="0"/>
          <w:sz w:val="30"/>
          <w:szCs w:val="30"/>
          <w:highlight w:val="none"/>
        </w:rPr>
      </w:pPr>
      <w:r>
        <w:rPr>
          <w:rFonts w:hint="eastAsia" w:ascii="宋体" w:hAnsi="宋体"/>
          <w:b/>
          <w:bCs/>
          <w:color w:val="auto"/>
          <w:sz w:val="30"/>
          <w:szCs w:val="30"/>
          <w:highlight w:val="none"/>
          <w:lang w:val="zh-CN"/>
        </w:rPr>
        <w:t xml:space="preserve">第八章 </w:t>
      </w:r>
      <w:r>
        <w:rPr>
          <w:rFonts w:hint="eastAsia" w:ascii="宋体" w:hAnsi="宋体"/>
          <w:b/>
          <w:color w:val="auto"/>
          <w:kern w:val="0"/>
          <w:sz w:val="30"/>
          <w:szCs w:val="30"/>
          <w:highlight w:val="none"/>
        </w:rPr>
        <w:t>投标文件有关格式</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sectPr>
          <w:footerReference r:id="rId3" w:type="default"/>
          <w:pgSz w:w="11906" w:h="16838"/>
          <w:pgMar w:top="1440" w:right="1080" w:bottom="1440" w:left="1080" w:header="851" w:footer="992" w:gutter="0"/>
          <w:pgNumType w:start="1"/>
          <w:cols w:space="425" w:num="1"/>
          <w:docGrid w:type="lines" w:linePitch="312" w:charSpace="0"/>
        </w:sectPr>
      </w:pPr>
    </w:p>
    <w:p>
      <w:pPr>
        <w:numPr>
          <w:ilvl w:val="0"/>
          <w:numId w:val="2"/>
        </w:numPr>
        <w:jc w:val="center"/>
        <w:outlineLvl w:val="0"/>
        <w:rPr>
          <w:rFonts w:ascii="宋体" w:hAnsi="宋体"/>
          <w:b/>
          <w:color w:val="auto"/>
          <w:kern w:val="0"/>
          <w:sz w:val="36"/>
          <w:szCs w:val="36"/>
          <w:highlight w:val="none"/>
        </w:rPr>
      </w:pPr>
      <w:r>
        <w:rPr>
          <w:rFonts w:hint="eastAsia" w:ascii="宋体" w:hAnsi="宋体"/>
          <w:b/>
          <w:color w:val="auto"/>
          <w:kern w:val="0"/>
          <w:sz w:val="36"/>
          <w:szCs w:val="36"/>
          <w:highlight w:val="none"/>
        </w:rPr>
        <w:t xml:space="preserve"> 投标邀请</w:t>
      </w:r>
    </w:p>
    <w:p>
      <w:pPr>
        <w:spacing w:line="360" w:lineRule="auto"/>
        <w:jc w:val="center"/>
        <w:rPr>
          <w:b/>
          <w:bCs/>
          <w:color w:val="auto"/>
          <w:sz w:val="32"/>
          <w:szCs w:val="32"/>
          <w:highlight w:val="none"/>
        </w:rPr>
      </w:pPr>
      <w:r>
        <w:rPr>
          <w:rFonts w:hint="eastAsia"/>
          <w:b/>
          <w:bCs/>
          <w:color w:val="auto"/>
          <w:sz w:val="32"/>
          <w:szCs w:val="32"/>
          <w:highlight w:val="none"/>
        </w:rPr>
        <w:t>禹州市林业发展中心第二次森林资源工作经费项目</w:t>
      </w:r>
    </w:p>
    <w:p>
      <w:pPr>
        <w:spacing w:line="360" w:lineRule="auto"/>
        <w:jc w:val="center"/>
        <w:rPr>
          <w:b/>
          <w:bCs/>
          <w:color w:val="auto"/>
          <w:sz w:val="32"/>
          <w:szCs w:val="32"/>
          <w:highlight w:val="none"/>
        </w:rPr>
      </w:pPr>
      <w:r>
        <w:rPr>
          <w:rFonts w:hint="eastAsia"/>
          <w:b/>
          <w:bCs/>
          <w:color w:val="auto"/>
          <w:sz w:val="32"/>
          <w:szCs w:val="32"/>
          <w:highlight w:val="none"/>
        </w:rPr>
        <w:t>（不见面开标）招标公告</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河南苍柏工程管理服务有限公司受禹州市林业发展中心的委托，就“禹州市林业发展中心第二次森林资源工作经费项目（不见面开标）”进行公开招标，欢迎合格的供应商前来投标。</w:t>
      </w:r>
    </w:p>
    <w:p>
      <w:pPr>
        <w:autoSpaceDE w:val="0"/>
        <w:autoSpaceDN w:val="0"/>
        <w:adjustRightInd w:val="0"/>
        <w:spacing w:line="440" w:lineRule="exact"/>
        <w:rPr>
          <w:rFonts w:ascii="宋体" w:hAnsi="宋体"/>
          <w:b/>
          <w:bCs/>
          <w:color w:val="auto"/>
          <w:szCs w:val="21"/>
          <w:highlight w:val="none"/>
        </w:rPr>
      </w:pPr>
      <w:r>
        <w:rPr>
          <w:rFonts w:hint="eastAsia" w:ascii="宋体" w:hAnsi="宋体"/>
          <w:b/>
          <w:bCs/>
          <w:color w:val="auto"/>
          <w:szCs w:val="21"/>
          <w:highlight w:val="none"/>
        </w:rPr>
        <w:t>一、项目基本情况</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1、采 购 人：禹州市林业发展中心</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2、项目名称：禹州市林业发展中心第二次森林资源工作经费项目（不见面开标）</w:t>
      </w:r>
    </w:p>
    <w:p>
      <w:pPr>
        <w:autoSpaceDE w:val="0"/>
        <w:autoSpaceDN w:val="0"/>
        <w:adjustRightInd w:val="0"/>
        <w:spacing w:line="440" w:lineRule="exact"/>
        <w:ind w:firstLine="560"/>
        <w:rPr>
          <w:rFonts w:hint="eastAsia" w:ascii="宋体" w:hAnsi="宋体" w:eastAsia="宋体"/>
          <w:color w:val="auto"/>
          <w:szCs w:val="21"/>
          <w:highlight w:val="none"/>
          <w:lang w:eastAsia="zh-CN"/>
        </w:rPr>
      </w:pPr>
      <w:r>
        <w:rPr>
          <w:rFonts w:hint="eastAsia" w:ascii="宋体" w:hAnsi="宋体"/>
          <w:color w:val="auto"/>
          <w:szCs w:val="21"/>
          <w:highlight w:val="none"/>
        </w:rPr>
        <w:t>3、采购编号：</w:t>
      </w:r>
      <w:r>
        <w:rPr>
          <w:rFonts w:hint="eastAsia" w:ascii="宋体" w:hAnsi="宋体"/>
          <w:color w:val="auto"/>
          <w:szCs w:val="21"/>
          <w:highlight w:val="none"/>
          <w:lang w:eastAsia="zh-CN"/>
        </w:rPr>
        <w:t>YZCG-DLG2023096</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4、项目需求：第二次森林资源工作经费项目；</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5、采购预算：</w:t>
      </w:r>
      <w:r>
        <w:rPr>
          <w:rFonts w:hint="eastAsia" w:ascii="宋体" w:hAnsi="宋体"/>
          <w:b/>
          <w:bCs/>
          <w:color w:val="auto"/>
          <w:szCs w:val="21"/>
          <w:highlight w:val="none"/>
        </w:rPr>
        <w:t>￥311.32万元</w:t>
      </w:r>
      <w:r>
        <w:rPr>
          <w:rFonts w:hint="eastAsia" w:ascii="宋体" w:hAnsi="宋体"/>
          <w:color w:val="auto"/>
          <w:szCs w:val="21"/>
          <w:highlight w:val="none"/>
        </w:rPr>
        <w:t>；</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6、合同履行期限：服务期一年，自合同签订生效之日起计算。</w:t>
      </w:r>
    </w:p>
    <w:p>
      <w:pPr>
        <w:autoSpaceDE w:val="0"/>
        <w:autoSpaceDN w:val="0"/>
        <w:adjustRightInd w:val="0"/>
        <w:spacing w:line="440" w:lineRule="exact"/>
        <w:rPr>
          <w:rFonts w:ascii="宋体" w:hAnsi="宋体"/>
          <w:b/>
          <w:bCs/>
          <w:color w:val="auto"/>
          <w:szCs w:val="21"/>
          <w:highlight w:val="none"/>
        </w:rPr>
      </w:pPr>
      <w:r>
        <w:rPr>
          <w:rFonts w:hint="eastAsia" w:ascii="宋体" w:hAnsi="宋体"/>
          <w:b/>
          <w:bCs/>
          <w:color w:val="auto"/>
          <w:szCs w:val="21"/>
          <w:highlight w:val="none"/>
        </w:rPr>
        <w:t>二、需要落实的政府采购政策</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highlight w:val="none"/>
        </w:rPr>
        <w:t>（</w:t>
      </w:r>
      <w:r>
        <w:rPr>
          <w:rFonts w:hint="eastAsia" w:cs="仿宋_GB2312" w:asciiTheme="minorEastAsia" w:hAnsiTheme="minorEastAsia"/>
          <w:color w:val="auto"/>
          <w:szCs w:val="21"/>
          <w:highlight w:val="none"/>
          <w:lang w:val="zh-CN"/>
        </w:rPr>
        <w:t>本项目不专门面向</w:t>
      </w:r>
      <w:r>
        <w:rPr>
          <w:rFonts w:hint="eastAsia" w:cs="仿宋_GB2312" w:asciiTheme="minorEastAsia" w:hAnsiTheme="minorEastAsia"/>
          <w:color w:val="auto"/>
          <w:szCs w:val="21"/>
          <w:highlight w:val="none"/>
        </w:rPr>
        <w:t>中</w:t>
      </w:r>
      <w:r>
        <w:rPr>
          <w:rFonts w:hint="eastAsia" w:cs="仿宋_GB2312" w:asciiTheme="minorEastAsia" w:hAnsiTheme="minorEastAsia"/>
          <w:color w:val="auto"/>
          <w:szCs w:val="21"/>
          <w:highlight w:val="none"/>
          <w:lang w:val="zh-CN"/>
        </w:rPr>
        <w:t>小企业采购）</w:t>
      </w:r>
    </w:p>
    <w:p>
      <w:pPr>
        <w:autoSpaceDE w:val="0"/>
        <w:autoSpaceDN w:val="0"/>
        <w:adjustRightInd w:val="0"/>
        <w:spacing w:line="440" w:lineRule="exact"/>
        <w:rPr>
          <w:rFonts w:ascii="宋体" w:hAnsi="宋体"/>
          <w:b/>
          <w:bCs/>
          <w:color w:val="auto"/>
          <w:szCs w:val="21"/>
          <w:highlight w:val="none"/>
        </w:rPr>
      </w:pPr>
      <w:r>
        <w:rPr>
          <w:rFonts w:hint="eastAsia" w:ascii="宋体" w:hAnsi="宋体"/>
          <w:b/>
          <w:bCs/>
          <w:color w:val="auto"/>
          <w:szCs w:val="21"/>
          <w:highlight w:val="none"/>
        </w:rPr>
        <w:t>三、供应商资格要求：</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1、符合《政府采购法》第二十二条之规定；</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2、供应商须具有有效的林业调查规划设计乙级(含)以上资质；拟派项目负责人须具备林业等相关专业高级工程师及以上职称；</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3、本项目不接受联合体投标。</w:t>
      </w:r>
    </w:p>
    <w:p>
      <w:pPr>
        <w:autoSpaceDE w:val="0"/>
        <w:autoSpaceDN w:val="0"/>
        <w:adjustRightInd w:val="0"/>
        <w:spacing w:line="440" w:lineRule="exact"/>
        <w:rPr>
          <w:rFonts w:hint="eastAsia" w:ascii="宋体" w:hAnsi="宋体"/>
          <w:b/>
          <w:bCs/>
          <w:color w:val="auto"/>
          <w:szCs w:val="21"/>
          <w:highlight w:val="none"/>
        </w:rPr>
      </w:pPr>
      <w:r>
        <w:rPr>
          <w:rFonts w:hint="eastAsia" w:ascii="宋体" w:hAnsi="宋体"/>
          <w:b/>
          <w:bCs/>
          <w:color w:val="auto"/>
          <w:szCs w:val="21"/>
          <w:highlight w:val="none"/>
        </w:rPr>
        <w:t>四、获取招标文件的方式</w:t>
      </w:r>
    </w:p>
    <w:p>
      <w:pPr>
        <w:autoSpaceDE w:val="0"/>
        <w:autoSpaceDN w:val="0"/>
        <w:adjustRightInd w:val="0"/>
        <w:spacing w:line="440" w:lineRule="exact"/>
        <w:ind w:firstLine="560"/>
        <w:rPr>
          <w:rFonts w:hint="eastAsia" w:ascii="宋体" w:hAnsi="宋体"/>
          <w:color w:val="auto"/>
          <w:szCs w:val="21"/>
          <w:highlight w:val="none"/>
        </w:rPr>
      </w:pPr>
      <w:r>
        <w:rPr>
          <w:rFonts w:hint="eastAsia" w:ascii="宋体" w:hAnsi="宋体"/>
          <w:color w:val="auto"/>
          <w:szCs w:val="21"/>
          <w:highlight w:val="none"/>
        </w:rPr>
        <w:t>1、持CA数字认证证书，登录http://ggzy.xuchang.gov.cn/进行免费注册登记（详见全国公共资源交易平台（河南省·许昌市）“常见问题解答-诚信库网上注册相关资料下载”）；</w:t>
      </w:r>
    </w:p>
    <w:p>
      <w:pPr>
        <w:autoSpaceDE w:val="0"/>
        <w:autoSpaceDN w:val="0"/>
        <w:adjustRightInd w:val="0"/>
        <w:spacing w:line="440" w:lineRule="exact"/>
        <w:ind w:firstLine="560"/>
        <w:rPr>
          <w:rFonts w:hint="eastAsia" w:ascii="宋体" w:hAnsi="宋体"/>
          <w:color w:val="auto"/>
          <w:szCs w:val="21"/>
          <w:highlight w:val="none"/>
        </w:rPr>
      </w:pPr>
      <w:r>
        <w:rPr>
          <w:rFonts w:hint="eastAsia" w:ascii="宋体" w:hAnsi="宋体"/>
          <w:color w:val="auto"/>
          <w:szCs w:val="21"/>
          <w:highlight w:val="none"/>
        </w:rPr>
        <w:t>2、在投标响应截止时间前登录http://ggzy.xuchang.gov.cn/，自行下载招标文件（详见全国公共资源交易平台（河南省·许昌市）“常见问题解答-交易系统操作手册”）。</w:t>
      </w:r>
    </w:p>
    <w:p>
      <w:pPr>
        <w:autoSpaceDE w:val="0"/>
        <w:autoSpaceDN w:val="0"/>
        <w:adjustRightInd w:val="0"/>
        <w:spacing w:line="440" w:lineRule="exact"/>
        <w:rPr>
          <w:rFonts w:ascii="宋体" w:hAnsi="宋体"/>
          <w:b/>
          <w:bCs/>
          <w:color w:val="auto"/>
          <w:szCs w:val="21"/>
          <w:highlight w:val="none"/>
        </w:rPr>
      </w:pPr>
      <w:r>
        <w:rPr>
          <w:rFonts w:hint="eastAsia" w:ascii="宋体" w:hAnsi="宋体"/>
          <w:b/>
          <w:bCs/>
          <w:color w:val="auto"/>
          <w:szCs w:val="21"/>
          <w:highlight w:val="none"/>
        </w:rPr>
        <w:t>五、投标文件提交截止时间及开标时间</w:t>
      </w:r>
    </w:p>
    <w:p>
      <w:pPr>
        <w:autoSpaceDE w:val="0"/>
        <w:autoSpaceDN w:val="0"/>
        <w:adjustRightInd w:val="0"/>
        <w:spacing w:line="440" w:lineRule="exact"/>
        <w:ind w:firstLine="560"/>
        <w:rPr>
          <w:rFonts w:ascii="宋体" w:hAnsi="宋体"/>
          <w:color w:val="auto"/>
          <w:szCs w:val="21"/>
          <w:highlight w:val="none"/>
        </w:rPr>
      </w:pPr>
      <w:r>
        <w:rPr>
          <w:rFonts w:hint="eastAsia" w:ascii="宋体" w:hAnsi="宋体"/>
          <w:color w:val="auto"/>
          <w:szCs w:val="21"/>
          <w:highlight w:val="none"/>
        </w:rPr>
        <w:t>1、投标文件提交截止时间及开标时间：2023年</w:t>
      </w:r>
      <w:r>
        <w:rPr>
          <w:rFonts w:hint="eastAsia" w:ascii="宋体" w:hAnsi="宋体"/>
          <w:color w:val="auto"/>
          <w:szCs w:val="21"/>
          <w:highlight w:val="none"/>
          <w:lang w:val="en-US" w:eastAsia="zh-CN"/>
        </w:rPr>
        <w:t>09</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日上午8 时30分（北京时间），逾期送达或不符合规定的投标文件不予接受。</w:t>
      </w:r>
    </w:p>
    <w:p>
      <w:pPr>
        <w:autoSpaceDE w:val="0"/>
        <w:autoSpaceDN w:val="0"/>
        <w:adjustRightInd w:val="0"/>
        <w:spacing w:line="440" w:lineRule="exact"/>
        <w:ind w:firstLine="560"/>
        <w:rPr>
          <w:color w:val="auto"/>
          <w:highlight w:val="none"/>
        </w:rPr>
      </w:pPr>
      <w:r>
        <w:rPr>
          <w:rFonts w:hint="eastAsia" w:ascii="宋体" w:hAnsi="宋体"/>
          <w:color w:val="auto"/>
          <w:szCs w:val="21"/>
          <w:highlight w:val="none"/>
        </w:rPr>
        <w:t>2、投标文件开启时间：同投标文件提交截止时间。</w:t>
      </w:r>
    </w:p>
    <w:p>
      <w:pPr>
        <w:widowControl/>
        <w:shd w:val="clear" w:color="auto" w:fill="FFFFFF"/>
        <w:spacing w:line="440" w:lineRule="exact"/>
        <w:rPr>
          <w:rFonts w:ascii="宋体" w:hAnsi="宋体"/>
          <w:b/>
          <w:bCs/>
          <w:color w:val="auto"/>
          <w:szCs w:val="21"/>
          <w:highlight w:val="none"/>
        </w:rPr>
      </w:pPr>
      <w:r>
        <w:rPr>
          <w:rFonts w:hint="eastAsia" w:ascii="宋体" w:hAnsi="宋体"/>
          <w:b/>
          <w:bCs/>
          <w:color w:val="auto"/>
          <w:szCs w:val="21"/>
          <w:highlight w:val="none"/>
        </w:rPr>
        <w:t>六、投标响应文件开启</w:t>
      </w:r>
    </w:p>
    <w:p>
      <w:pPr>
        <w:widowControl/>
        <w:shd w:val="clear" w:color="auto" w:fill="FFFFFF"/>
        <w:spacing w:line="440" w:lineRule="exact"/>
        <w:ind w:firstLine="420"/>
        <w:contextualSpacing/>
        <w:jc w:val="left"/>
        <w:rPr>
          <w:rFonts w:ascii="宋体" w:hAnsi="宋体"/>
          <w:color w:val="auto"/>
          <w:szCs w:val="21"/>
          <w:highlight w:val="none"/>
        </w:rPr>
      </w:pPr>
      <w:r>
        <w:rPr>
          <w:rFonts w:hint="eastAsia" w:ascii="宋体" w:hAnsi="宋体"/>
          <w:color w:val="auto"/>
          <w:szCs w:val="21"/>
          <w:highlight w:val="none"/>
        </w:rPr>
        <w:t>（一）投标文件开启地点：禹州市公共资源交易中心九楼开标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室。（本项目采用远程不见面开标，供应商无须到达现场）。</w:t>
      </w:r>
    </w:p>
    <w:p>
      <w:pPr>
        <w:widowControl/>
        <w:shd w:val="clear" w:color="auto" w:fill="FFFFFF"/>
        <w:spacing w:line="440" w:lineRule="exact"/>
        <w:ind w:firstLine="420"/>
        <w:contextualSpacing/>
        <w:jc w:val="left"/>
        <w:rPr>
          <w:rFonts w:ascii="宋体" w:hAnsi="宋体"/>
          <w:color w:val="auto"/>
          <w:szCs w:val="21"/>
          <w:highlight w:val="none"/>
        </w:rPr>
      </w:pPr>
      <w:r>
        <w:rPr>
          <w:rFonts w:hint="eastAsia" w:ascii="宋体" w:hAnsi="宋体"/>
          <w:color w:val="auto"/>
          <w:szCs w:val="21"/>
          <w:highlight w:val="none"/>
        </w:rPr>
        <w:t>（二）本项目为全流程电子化交易项目，供应商须提交电子投标文件。</w:t>
      </w:r>
    </w:p>
    <w:p>
      <w:pPr>
        <w:widowControl/>
        <w:spacing w:line="384" w:lineRule="auto"/>
        <w:ind w:left="-106" w:right="-106" w:firstLine="420"/>
        <w:jc w:val="left"/>
        <w:rPr>
          <w:rFonts w:ascii="宋体" w:hAnsi="宋体"/>
          <w:color w:val="auto"/>
          <w:szCs w:val="21"/>
          <w:highlight w:val="none"/>
        </w:rPr>
      </w:pPr>
      <w:r>
        <w:rPr>
          <w:rFonts w:hint="eastAsia" w:ascii="宋体" w:hAnsi="宋体"/>
          <w:color w:val="auto"/>
          <w:szCs w:val="21"/>
          <w:highlight w:val="none"/>
        </w:rPr>
        <w:t>1、加密电子投标文件（.file格式）须在投标文件提交截止时间（投标截止时间）前通过《全国公共资源交易平台(河南省</w:t>
      </w:r>
      <w:r>
        <w:rPr>
          <w:rFonts w:hint="eastAsia" w:ascii="宋体" w:hAnsi="宋体"/>
          <w:color w:val="auto"/>
          <w:kern w:val="0"/>
          <w:sz w:val="24"/>
          <w:szCs w:val="24"/>
          <w:highlight w:val="none"/>
          <w:shd w:val="clear" w:color="auto" w:fill="FFFFFF"/>
          <w:lang w:bidi="ar"/>
        </w:rPr>
        <w:t>·</w:t>
      </w:r>
      <w:r>
        <w:rPr>
          <w:rFonts w:hint="eastAsia" w:ascii="宋体" w:hAnsi="宋体"/>
          <w:color w:val="auto"/>
          <w:szCs w:val="21"/>
          <w:highlight w:val="none"/>
        </w:rPr>
        <w:t>许昌市)》公共资源交易系统成功上传。</w:t>
      </w:r>
    </w:p>
    <w:p>
      <w:pPr>
        <w:widowControl/>
        <w:shd w:val="clear" w:color="auto" w:fill="FFFFFF"/>
        <w:spacing w:line="440" w:lineRule="exact"/>
        <w:ind w:firstLine="420"/>
        <w:contextualSpacing/>
        <w:jc w:val="left"/>
        <w:rPr>
          <w:rFonts w:ascii="宋体" w:hAnsi="宋体"/>
          <w:color w:val="auto"/>
          <w:szCs w:val="21"/>
          <w:highlight w:val="none"/>
        </w:rPr>
      </w:pPr>
      <w:r>
        <w:rPr>
          <w:rFonts w:hint="eastAsia" w:ascii="宋体" w:hAnsi="宋体"/>
          <w:color w:val="auto"/>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pacing w:line="384" w:lineRule="auto"/>
        <w:ind w:left="-106" w:right="-106" w:firstLine="420"/>
        <w:jc w:val="left"/>
        <w:rPr>
          <w:rFonts w:ascii="宋体" w:hAnsi="宋体"/>
          <w:b/>
          <w:bCs/>
          <w:color w:val="auto"/>
          <w:szCs w:val="21"/>
          <w:highlight w:val="none"/>
        </w:rPr>
      </w:pPr>
      <w:r>
        <w:rPr>
          <w:rFonts w:hint="eastAsia" w:ascii="宋体" w:hAnsi="宋体"/>
          <w:color w:val="auto"/>
          <w:szCs w:val="21"/>
          <w:highlight w:val="none"/>
        </w:rPr>
        <w:t>3、不见面开标大厅登录：供应商使用CA数字证书登录全国公共资源交易平台（河南省</w:t>
      </w:r>
      <w:r>
        <w:rPr>
          <w:rFonts w:hint="eastAsia" w:ascii="宋体" w:hAnsi="宋体"/>
          <w:color w:val="auto"/>
          <w:kern w:val="0"/>
          <w:sz w:val="24"/>
          <w:szCs w:val="24"/>
          <w:highlight w:val="none"/>
          <w:shd w:val="clear" w:color="auto" w:fill="FFFFFF"/>
          <w:lang w:bidi="ar"/>
        </w:rPr>
        <w:t>·</w:t>
      </w:r>
      <w:r>
        <w:rPr>
          <w:rFonts w:hint="eastAsia" w:ascii="宋体" w:hAnsi="宋体"/>
          <w:color w:val="auto"/>
          <w:szCs w:val="21"/>
          <w:highlight w:val="none"/>
        </w:rPr>
        <w:t>许昌市）——进入公共资源交易系统</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"file:///C:\\Users\\ZB001\\AppData\\Roaming\\Microsoft\\Word\\（一）持CA数字认证证书，登录《全国公共资源交易平台（河南省·许昌市）》" </w:instrText>
      </w:r>
      <w:r>
        <w:rPr>
          <w:rFonts w:hint="eastAsia" w:ascii="宋体" w:hAnsi="宋体"/>
          <w:color w:val="auto"/>
          <w:szCs w:val="21"/>
          <w:highlight w:val="none"/>
        </w:rPr>
        <w:fldChar w:fldCharType="separate"/>
      </w:r>
      <w:r>
        <w:rPr>
          <w:rFonts w:hint="eastAsia" w:ascii="宋体" w:hAnsi="宋体"/>
          <w:color w:val="auto"/>
          <w:szCs w:val="21"/>
          <w:highlight w:val="none"/>
        </w:rPr>
        <w:t>（http://ggzy.xuchang.gov.cn:8088/ggzy/）</w:t>
      </w:r>
      <w:r>
        <w:rPr>
          <w:rFonts w:hint="eastAsia" w:ascii="宋体" w:hAnsi="宋体"/>
          <w:color w:val="auto"/>
          <w:szCs w:val="21"/>
          <w:highlight w:val="none"/>
        </w:rPr>
        <w:fldChar w:fldCharType="end"/>
      </w:r>
      <w:r>
        <w:rPr>
          <w:rFonts w:hint="eastAsia" w:ascii="宋体" w:hAnsi="宋体"/>
          <w:color w:val="auto"/>
          <w:szCs w:val="21"/>
          <w:highlight w:val="none"/>
        </w:rPr>
        <w:t>——点击“项目信息——项目名称”——在系统操作导航栏点击“开标——不见面开标大厅”。</w:t>
      </w:r>
    </w:p>
    <w:p>
      <w:pPr>
        <w:widowControl/>
        <w:spacing w:line="384" w:lineRule="auto"/>
        <w:ind w:left="-106" w:right="-106" w:firstLine="420"/>
        <w:jc w:val="left"/>
        <w:rPr>
          <w:rFonts w:ascii="宋体" w:hAnsi="宋体"/>
          <w:b/>
          <w:bCs/>
          <w:color w:val="auto"/>
          <w:szCs w:val="21"/>
          <w:highlight w:val="none"/>
        </w:rPr>
      </w:pPr>
      <w:r>
        <w:rPr>
          <w:rFonts w:hint="eastAsia" w:ascii="宋体" w:hAnsi="宋体"/>
          <w:b/>
          <w:bCs/>
          <w:color w:val="auto"/>
          <w:szCs w:val="21"/>
          <w:highlight w:val="none"/>
        </w:rPr>
        <w:t>七、本次招标公告同时在《河南省政府采购网》《许昌市政府采购网》《全国公共资源交易平台（河南省</w:t>
      </w:r>
      <w:r>
        <w:rPr>
          <w:rFonts w:hint="eastAsia" w:ascii="宋体" w:hAnsi="宋体"/>
          <w:color w:val="auto"/>
          <w:kern w:val="0"/>
          <w:sz w:val="24"/>
          <w:szCs w:val="24"/>
          <w:highlight w:val="none"/>
          <w:shd w:val="clear" w:color="auto" w:fill="FFFFFF"/>
          <w:lang w:bidi="ar"/>
        </w:rPr>
        <w:t>·</w:t>
      </w:r>
      <w:r>
        <w:rPr>
          <w:rFonts w:hint="eastAsia" w:ascii="宋体" w:hAnsi="宋体"/>
          <w:b/>
          <w:bCs/>
          <w:color w:val="auto"/>
          <w:szCs w:val="21"/>
          <w:highlight w:val="none"/>
        </w:rPr>
        <w:t>许昌市）》发布等。</w:t>
      </w:r>
    </w:p>
    <w:p>
      <w:pPr>
        <w:spacing w:line="440" w:lineRule="exact"/>
        <w:ind w:firstLine="422" w:firstLineChars="200"/>
        <w:rPr>
          <w:b/>
          <w:bCs/>
          <w:color w:val="auto"/>
          <w:highlight w:val="none"/>
        </w:rPr>
      </w:pPr>
      <w:r>
        <w:rPr>
          <w:rFonts w:hint="eastAsia"/>
          <w:b/>
          <w:bCs/>
          <w:color w:val="auto"/>
          <w:highlight w:val="none"/>
        </w:rPr>
        <w:t>八、代理机构及采购单位地址、联系人、联系电话</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采购单位：禹州市林业发展中心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地址：禹州市禹王大道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联系人：李先生      联系电话：13503740998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代理机构：河南苍柏工程管理服务有限公司</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联系人：李先生         联系电话：0374-8335656</w:t>
      </w:r>
    </w:p>
    <w:p>
      <w:pPr>
        <w:widowControl/>
        <w:shd w:val="clear" w:color="auto" w:fill="FFFFFF"/>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监督单位：禹州市财政局政府采购监督管理办公室</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监督电话：0374-8112523 </w:t>
      </w:r>
    </w:p>
    <w:p>
      <w:pPr>
        <w:spacing w:line="360" w:lineRule="auto"/>
        <w:ind w:firstLine="316" w:firstLineChars="150"/>
        <w:rPr>
          <w:rFonts w:ascii="宋体" w:hAnsi="宋体"/>
          <w:b/>
          <w:color w:val="auto"/>
          <w:szCs w:val="21"/>
          <w:highlight w:val="none"/>
        </w:rPr>
      </w:pPr>
    </w:p>
    <w:p>
      <w:pPr>
        <w:pStyle w:val="3"/>
        <w:numPr>
          <w:ilvl w:val="255"/>
          <w:numId w:val="0"/>
        </w:numPr>
        <w:ind w:left="288"/>
        <w:rPr>
          <w:color w:val="auto"/>
          <w:highlight w:val="none"/>
        </w:rPr>
      </w:pPr>
    </w:p>
    <w:p>
      <w:pPr>
        <w:pStyle w:val="3"/>
        <w:numPr>
          <w:ilvl w:val="255"/>
          <w:numId w:val="0"/>
        </w:numPr>
        <w:ind w:left="288"/>
        <w:rPr>
          <w:color w:val="auto"/>
          <w:highlight w:val="none"/>
        </w:rPr>
      </w:pPr>
    </w:p>
    <w:p>
      <w:pPr>
        <w:pStyle w:val="3"/>
        <w:numPr>
          <w:ilvl w:val="255"/>
          <w:numId w:val="0"/>
        </w:numPr>
        <w:rPr>
          <w:color w:val="auto"/>
          <w:highlight w:val="none"/>
        </w:rPr>
      </w:pPr>
    </w:p>
    <w:p>
      <w:pPr>
        <w:tabs>
          <w:tab w:val="left" w:pos="7095"/>
        </w:tabs>
        <w:spacing w:line="420" w:lineRule="exact"/>
        <w:ind w:firstLine="422" w:firstLineChars="200"/>
        <w:contextualSpacing/>
        <w:jc w:val="left"/>
        <w:rPr>
          <w:rFonts w:ascii="宋体" w:hAnsi="宋体"/>
          <w:b/>
          <w:bCs/>
          <w:color w:val="auto"/>
          <w:szCs w:val="21"/>
          <w:highlight w:val="none"/>
          <w:shd w:val="clear" w:color="auto" w:fill="FFFFFF"/>
        </w:rPr>
      </w:pPr>
    </w:p>
    <w:p>
      <w:pPr>
        <w:tabs>
          <w:tab w:val="left" w:pos="7095"/>
        </w:tabs>
        <w:spacing w:line="420" w:lineRule="exact"/>
        <w:ind w:firstLine="422" w:firstLineChars="200"/>
        <w:contextualSpacing/>
        <w:jc w:val="left"/>
        <w:rPr>
          <w:rFonts w:ascii="宋体" w:hAnsi="宋体"/>
          <w:b/>
          <w:bCs/>
          <w:color w:val="auto"/>
          <w:szCs w:val="21"/>
          <w:highlight w:val="none"/>
          <w:shd w:val="clear" w:color="auto" w:fill="FFFFFF"/>
        </w:rPr>
      </w:pP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温馨提示：本项目为全流程电子化交易项目，请注意以下事项。</w:t>
      </w: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1. 供应商参加本项目投标，需提前自行联系 CA 服务机构办理数字认证证书并进行电子签章。</w:t>
      </w: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 电子投标文件的制作</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3.1 投标人登录《全国公共资源交易平台(河南省▪许昌市)》公共资源交易系统</w:t>
      </w:r>
    </w:p>
    <w:p>
      <w:pPr>
        <w:tabs>
          <w:tab w:val="left" w:pos="7095"/>
        </w:tabs>
        <w:spacing w:line="380" w:lineRule="exact"/>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（http://ggzy.xuchang.gov.cn:8088/ggzy/）下载“许昌投标文件制作系统 SEARUN 最新版本”，制作投标文件。</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3.2 投标人对同一项目多个标段进行投标的，应分别下载所投标段的招标文件，按标段制作投标文件。一个标段对应生成一个文件夹（xxxx 项目 xx 标段）,其中后缀名为“.file”的文件用于投标。</w:t>
      </w: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  加密电子投标文件的提交</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4.1 投标人对同一项目多个标段进行投标的，加密电子投标文件应按标段分别提交。</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80" w:lineRule="exact"/>
        <w:ind w:firstLine="422" w:firstLineChars="200"/>
        <w:contextualSpacing/>
        <w:jc w:val="left"/>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 远程不见面开标（ 电子投标文件的解密 ）</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5.1 本项目采用远程“不见面”开标方式，投标前请详细阅读全国公共资源交易平台（河南省·许昌市）首页“资料下载”栏目的《许昌市不见面操作手册》。</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5.2 投标人提前设置不见面开标浏览器，并于开标时间前登录本项目不见面开标大厅，按照规定的开标时间准时参加网上开标。</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5.4 开标活动结束时，投标人应在《开标记录表》上进行电子签章。投标人未签章的，视同认可开标结果。</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5.5 投标人对开标过程和开标记录如有疑义，可在本项目不见面开标大厅“文字互动”对话框或“新增质疑”处在线提出询问。</w:t>
      </w:r>
    </w:p>
    <w:p>
      <w:pPr>
        <w:tabs>
          <w:tab w:val="left" w:pos="7095"/>
        </w:tabs>
        <w:spacing w:line="380" w:lineRule="exact"/>
        <w:ind w:firstLine="422" w:firstLineChars="200"/>
        <w:contextualSpacing/>
        <w:jc w:val="left"/>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6.  评标依据</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6.1 全流程电子化交易（不见面开标）项目，评标委员会以成功上传、解密的电子投标文件为依据评审。</w:t>
      </w:r>
    </w:p>
    <w:p>
      <w:pPr>
        <w:tabs>
          <w:tab w:val="left" w:pos="7095"/>
        </w:tabs>
        <w:spacing w:line="380" w:lineRule="exact"/>
        <w:ind w:firstLine="420" w:firstLineChars="200"/>
        <w:contextualSpacing/>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80" w:lineRule="exact"/>
        <w:ind w:firstLine="420" w:firstLineChars="200"/>
        <w:contextualSpacing/>
        <w:jc w:val="left"/>
        <w:rPr>
          <w:rFonts w:asciiTheme="majorEastAsia" w:hAnsiTheme="majorEastAsia" w:eastAsiaTheme="majorEastAsia"/>
          <w:b/>
          <w:color w:val="auto"/>
          <w:kern w:val="0"/>
          <w:sz w:val="32"/>
          <w:szCs w:val="32"/>
          <w:highlight w:val="none"/>
        </w:rPr>
      </w:pPr>
      <w:r>
        <w:rPr>
          <w:rFonts w:hint="eastAsia" w:ascii="宋体" w:hAnsi="宋体"/>
          <w:color w:val="auto"/>
          <w:szCs w:val="21"/>
          <w:highlight w:val="none"/>
          <w:shd w:val="clear" w:color="auto" w:fill="FFFFFF"/>
        </w:rPr>
        <w:t>6.3 投标人通过电子邮件提供的书面说明或相关证明材料应加盖公章，或者由法定代表人或其授权的代表签字。</w:t>
      </w:r>
    </w:p>
    <w:p>
      <w:pPr>
        <w:widowControl/>
        <w:jc w:val="left"/>
        <w:rPr>
          <w:rFonts w:ascii="宋体" w:hAnsi="宋体"/>
          <w:b/>
          <w:color w:val="auto"/>
          <w:kern w:val="0"/>
          <w:sz w:val="32"/>
          <w:szCs w:val="32"/>
          <w:highlight w:val="none"/>
        </w:rPr>
      </w:pPr>
      <w:r>
        <w:rPr>
          <w:rFonts w:ascii="宋体" w:hAnsi="宋体"/>
          <w:b/>
          <w:color w:val="auto"/>
          <w:kern w:val="0"/>
          <w:sz w:val="32"/>
          <w:szCs w:val="32"/>
          <w:highlight w:val="none"/>
        </w:rPr>
        <w:br w:type="page"/>
      </w:r>
    </w:p>
    <w:p>
      <w:pPr>
        <w:numPr>
          <w:ilvl w:val="0"/>
          <w:numId w:val="3"/>
        </w:numPr>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项目需求</w:t>
      </w:r>
    </w:p>
    <w:p>
      <w:pPr>
        <w:rPr>
          <w:b/>
          <w:bCs/>
          <w:color w:val="auto"/>
          <w:highlight w:val="none"/>
        </w:rPr>
      </w:pPr>
      <w:r>
        <w:rPr>
          <w:rFonts w:hint="eastAsia"/>
          <w:b/>
          <w:bCs/>
          <w:color w:val="auto"/>
          <w:highlight w:val="none"/>
        </w:rPr>
        <w:t>一、本项目需实现的功能或者目标：</w:t>
      </w:r>
    </w:p>
    <w:p>
      <w:pPr>
        <w:spacing w:line="400" w:lineRule="exact"/>
        <w:ind w:firstLine="420" w:firstLineChars="200"/>
        <w:rPr>
          <w:color w:val="auto"/>
          <w:highlight w:val="none"/>
        </w:rPr>
      </w:pPr>
      <w:r>
        <w:rPr>
          <w:rFonts w:hint="eastAsia"/>
          <w:color w:val="auto"/>
          <w:highlight w:val="none"/>
        </w:rPr>
        <w:t>禹州市林业发展中心第二次森林资源工作经费项目，根据《中华人民共和国森林法》和自然资源部《自然资源调查监测体系构建总体方案》（自然资发〔2020〕15 号），河南省将在 2022-2023年开展河南省森林资源普查（即森林资源规划设计调查或森林资源二类调查，简称二类调查）。禹州市积极响应，及早谋划启动了森林资源二类调查。</w:t>
      </w:r>
    </w:p>
    <w:p>
      <w:pPr>
        <w:spacing w:line="400" w:lineRule="exact"/>
        <w:ind w:firstLine="420" w:firstLineChars="200"/>
        <w:rPr>
          <w:color w:val="auto"/>
          <w:highlight w:val="none"/>
        </w:rPr>
      </w:pPr>
      <w:r>
        <w:rPr>
          <w:rFonts w:hint="eastAsia"/>
          <w:color w:val="auto"/>
          <w:highlight w:val="none"/>
        </w:rPr>
        <w:t xml:space="preserve">二类调查是定期全面掌握森林资源现状与动态变化情况的重要基础性工作，是自然资源统一调查的重要组成部分，是各级政府履行法律职责的有力措施，是推进生态强省建设的重要抓手，也是构建定期调查与年度变更调查相结合的森林资源监测体系，检验全省生态建设成效的一项关键基础工作。二类调查成果，为森林资源科学经营管理、编制林草各类保护发展规划提供决策依据，为领导干部自然资源资产离任审计和建立健全生态产品价值实现机制等提供基础数据，为林草高质量发展、碳达峰碳中和目标实现、林长制督查考核提供重要依据。 </w:t>
      </w:r>
    </w:p>
    <w:p>
      <w:pPr>
        <w:spacing w:line="400" w:lineRule="exact"/>
        <w:rPr>
          <w:b/>
          <w:bCs/>
          <w:color w:val="auto"/>
          <w:highlight w:val="none"/>
        </w:rPr>
      </w:pPr>
      <w:r>
        <w:rPr>
          <w:rFonts w:hint="eastAsia"/>
          <w:b/>
          <w:bCs/>
          <w:color w:val="auto"/>
          <w:highlight w:val="none"/>
        </w:rPr>
        <w:t>二、采购内容：</w:t>
      </w:r>
    </w:p>
    <w:p>
      <w:pPr>
        <w:spacing w:line="400" w:lineRule="exact"/>
        <w:ind w:firstLine="420" w:firstLineChars="200"/>
        <w:rPr>
          <w:color w:val="auto"/>
          <w:highlight w:val="none"/>
        </w:rPr>
      </w:pPr>
      <w:r>
        <w:rPr>
          <w:rFonts w:hint="eastAsia"/>
          <w:color w:val="auto"/>
          <w:highlight w:val="none"/>
        </w:rPr>
        <w:t>采购范围：</w:t>
      </w:r>
    </w:p>
    <w:p>
      <w:pPr>
        <w:spacing w:line="400" w:lineRule="exact"/>
        <w:ind w:firstLine="420" w:firstLineChars="200"/>
        <w:rPr>
          <w:color w:val="auto"/>
          <w:highlight w:val="none"/>
        </w:rPr>
      </w:pPr>
      <w:r>
        <w:rPr>
          <w:rFonts w:hint="eastAsia"/>
          <w:color w:val="auto"/>
          <w:highlight w:val="none"/>
        </w:rPr>
        <w:t xml:space="preserve">1、调查范围 </w:t>
      </w:r>
    </w:p>
    <w:p>
      <w:pPr>
        <w:spacing w:line="400" w:lineRule="exact"/>
        <w:ind w:firstLine="420" w:firstLineChars="200"/>
        <w:rPr>
          <w:color w:val="auto"/>
          <w:highlight w:val="none"/>
        </w:rPr>
      </w:pPr>
      <w:r>
        <w:rPr>
          <w:rFonts w:hint="eastAsia"/>
          <w:color w:val="auto"/>
          <w:highlight w:val="none"/>
        </w:rPr>
        <w:t xml:space="preserve">（1）“国土调查”林地。确保工作底图、最小调查面积与“国土调查”保持一致。 </w:t>
      </w:r>
    </w:p>
    <w:p>
      <w:pPr>
        <w:spacing w:line="400" w:lineRule="exact"/>
        <w:ind w:firstLine="420" w:firstLineChars="200"/>
        <w:rPr>
          <w:color w:val="auto"/>
          <w:highlight w:val="none"/>
        </w:rPr>
      </w:pPr>
      <w:r>
        <w:rPr>
          <w:rFonts w:hint="eastAsia"/>
          <w:color w:val="auto"/>
          <w:highlight w:val="none"/>
        </w:rPr>
        <w:t>（2）对国土“非林地”上连片面积达 400m</w:t>
      </w:r>
      <w:r>
        <w:rPr>
          <w:rFonts w:hint="eastAsia"/>
          <w:color w:val="auto"/>
          <w:highlight w:val="none"/>
          <w:vertAlign w:val="superscript"/>
        </w:rPr>
        <w:t>2</w:t>
      </w:r>
      <w:r>
        <w:rPr>
          <w:rFonts w:hint="eastAsia"/>
          <w:color w:val="auto"/>
          <w:highlight w:val="none"/>
        </w:rPr>
        <w:t xml:space="preserve"> 以上片林（含灌木林，下同）和林带（含灌木林，下同）进行小班区划调查。为充分反映各地城乡绿化尤其是森林城市和森林乡村建设的成效，对城镇、乡村建设用地也按照国土“非林地”的调查内容进行调查，从而为全口径测算碳汇提供有效数据。 </w:t>
      </w:r>
    </w:p>
    <w:p>
      <w:pPr>
        <w:spacing w:line="400" w:lineRule="exact"/>
        <w:ind w:firstLine="420" w:firstLineChars="200"/>
        <w:rPr>
          <w:color w:val="auto"/>
          <w:highlight w:val="none"/>
        </w:rPr>
      </w:pPr>
      <w:r>
        <w:rPr>
          <w:rFonts w:hint="eastAsia"/>
          <w:color w:val="auto"/>
          <w:highlight w:val="none"/>
        </w:rPr>
        <w:t xml:space="preserve">2、调查内容 </w:t>
      </w:r>
    </w:p>
    <w:p>
      <w:pPr>
        <w:spacing w:line="400" w:lineRule="exact"/>
        <w:ind w:firstLine="420" w:firstLineChars="200"/>
        <w:rPr>
          <w:color w:val="auto"/>
          <w:highlight w:val="none"/>
        </w:rPr>
      </w:pPr>
      <w:r>
        <w:rPr>
          <w:rFonts w:hint="eastAsia"/>
          <w:color w:val="auto"/>
          <w:highlight w:val="none"/>
        </w:rPr>
        <w:t xml:space="preserve">（1）核对调查范围的各种境界线，并在经营管理范围内，以原有森林经营区划为基础结合实际情况调整森林经营区划； </w:t>
      </w:r>
    </w:p>
    <w:p>
      <w:pPr>
        <w:spacing w:line="400" w:lineRule="exact"/>
        <w:ind w:firstLine="420" w:firstLineChars="200"/>
        <w:rPr>
          <w:color w:val="auto"/>
          <w:highlight w:val="none"/>
        </w:rPr>
      </w:pPr>
      <w:r>
        <w:rPr>
          <w:rFonts w:hint="eastAsia"/>
          <w:color w:val="auto"/>
          <w:highlight w:val="none"/>
        </w:rPr>
        <w:t xml:space="preserve">（2）调查各类林地面积及其权属和土地管理属性； </w:t>
      </w:r>
    </w:p>
    <w:p>
      <w:pPr>
        <w:spacing w:line="400" w:lineRule="exact"/>
        <w:ind w:firstLine="420" w:firstLineChars="200"/>
        <w:rPr>
          <w:color w:val="auto"/>
          <w:highlight w:val="none"/>
        </w:rPr>
      </w:pPr>
      <w:r>
        <w:rPr>
          <w:rFonts w:hint="eastAsia"/>
          <w:color w:val="auto"/>
          <w:highlight w:val="none"/>
        </w:rPr>
        <w:t xml:space="preserve">（3）查清全省森林资源的种类、分布、数量、结构、质量、功能和生态状况以及变化情况等，获取全省森林覆盖率、森林蓄积量等指标数据。具体包括： </w:t>
      </w:r>
    </w:p>
    <w:p>
      <w:pPr>
        <w:spacing w:line="400" w:lineRule="exact"/>
        <w:ind w:firstLine="420" w:firstLineChars="200"/>
        <w:rPr>
          <w:color w:val="auto"/>
          <w:highlight w:val="none"/>
        </w:rPr>
      </w:pPr>
      <w:r>
        <w:rPr>
          <w:rFonts w:hint="eastAsia"/>
          <w:color w:val="auto"/>
          <w:highlight w:val="none"/>
        </w:rPr>
        <w:t xml:space="preserve">A、调查各小班立地因子，包括地貌、海拔、坡向、坡位、坡度、土壤类型、土壤质地、土壤厚度、腐殖质厚度、枯枝落叶厚度、土壤砾石含量等。 </w:t>
      </w:r>
    </w:p>
    <w:p>
      <w:pPr>
        <w:spacing w:line="400" w:lineRule="exact"/>
        <w:ind w:firstLine="420" w:firstLineChars="200"/>
        <w:rPr>
          <w:color w:val="auto"/>
          <w:highlight w:val="none"/>
        </w:rPr>
      </w:pPr>
      <w:r>
        <w:rPr>
          <w:rFonts w:hint="eastAsia"/>
          <w:color w:val="auto"/>
          <w:highlight w:val="none"/>
        </w:rPr>
        <w:t xml:space="preserve">B、调查各小班（包括非林地上的片林和林带）林分因子，包括起源、平均年龄、龄组、优势树种、树种组成、郁闭度、覆盖度、平均胸径、平均树高，各类森林和林木蓄积量，群落结构、林层结构、树种结构等。 </w:t>
      </w:r>
    </w:p>
    <w:p>
      <w:pPr>
        <w:spacing w:line="400" w:lineRule="exact"/>
        <w:ind w:firstLine="420" w:firstLineChars="200"/>
        <w:rPr>
          <w:color w:val="auto"/>
          <w:highlight w:val="none"/>
        </w:rPr>
      </w:pPr>
      <w:r>
        <w:rPr>
          <w:rFonts w:hint="eastAsia"/>
          <w:color w:val="auto"/>
          <w:highlight w:val="none"/>
        </w:rPr>
        <w:t xml:space="preserve">C、落实各小班管理因子，包括面积、植被覆盖类型、土地权属、林木权属、森林类别、林种、公益林事权等级、公益林保护等级、工程类别、抚育措施类型、林地质量等级、林地保护等级、土地退化类型、林地功能分区、国土空间规划分区、林地规划管理、生态区位、生态区位名称、不一致小班标注等。 </w:t>
      </w:r>
    </w:p>
    <w:p>
      <w:pPr>
        <w:spacing w:line="400" w:lineRule="exact"/>
        <w:ind w:firstLine="420" w:firstLineChars="200"/>
        <w:rPr>
          <w:color w:val="auto"/>
          <w:highlight w:val="none"/>
        </w:rPr>
      </w:pPr>
      <w:r>
        <w:rPr>
          <w:rFonts w:hint="eastAsia"/>
          <w:color w:val="auto"/>
          <w:highlight w:val="none"/>
        </w:rPr>
        <w:t xml:space="preserve">D、调查四旁树株数、蓄积（根据系统抽样数据获取）。 </w:t>
      </w:r>
    </w:p>
    <w:p>
      <w:pPr>
        <w:spacing w:line="400" w:lineRule="exact"/>
        <w:ind w:firstLine="420" w:firstLineChars="200"/>
        <w:rPr>
          <w:color w:val="auto"/>
          <w:highlight w:val="none"/>
        </w:rPr>
      </w:pPr>
      <w:r>
        <w:rPr>
          <w:rFonts w:hint="eastAsia"/>
          <w:color w:val="auto"/>
          <w:highlight w:val="none"/>
        </w:rPr>
        <w:t xml:space="preserve">（4）结合森林经营规划和森林经营方案编制有关要求，从科学经营角度出发，调查森林经营条件、提出经营规划措施，评价经营成效。 </w:t>
      </w:r>
    </w:p>
    <w:p>
      <w:pPr>
        <w:spacing w:line="400" w:lineRule="exact"/>
        <w:ind w:firstLine="420" w:firstLineChars="200"/>
        <w:rPr>
          <w:color w:val="auto"/>
          <w:highlight w:val="none"/>
        </w:rPr>
      </w:pPr>
      <w:r>
        <w:rPr>
          <w:rFonts w:hint="eastAsia"/>
          <w:color w:val="auto"/>
          <w:highlight w:val="none"/>
        </w:rPr>
        <w:t>（5）鼓励有条件的地方开展生物多样性调查，基础数表编制调查、树种生长模型调查、生物量调查、土壤调查等专业调查。</w:t>
      </w:r>
    </w:p>
    <w:p>
      <w:pPr>
        <w:spacing w:line="400" w:lineRule="exact"/>
        <w:ind w:firstLine="420" w:firstLineChars="200"/>
        <w:rPr>
          <w:color w:val="auto"/>
          <w:highlight w:val="none"/>
        </w:rPr>
      </w:pPr>
      <w:r>
        <w:rPr>
          <w:rFonts w:hint="eastAsia"/>
          <w:color w:val="auto"/>
          <w:highlight w:val="none"/>
        </w:rPr>
        <w:t>2.成果构成：</w:t>
      </w:r>
    </w:p>
    <w:p>
      <w:pPr>
        <w:spacing w:line="400" w:lineRule="exact"/>
        <w:rPr>
          <w:color w:val="auto"/>
          <w:highlight w:val="none"/>
        </w:rPr>
      </w:pPr>
      <w:r>
        <w:rPr>
          <w:rFonts w:hint="eastAsia"/>
          <w:color w:val="auto"/>
          <w:highlight w:val="none"/>
        </w:rPr>
        <w:t>调查成果包括各类调查报告（包括工作方案、技术方案和技术操作细则、调查成果报告、质量管理评价报告、工作总结报告等）、各类森林资源统计成果表、各类调查成果图集（包括基本图、林相图、森林分布图、分类经营区划图等）、小班区划调查数据库。</w:t>
      </w:r>
    </w:p>
    <w:p>
      <w:pPr>
        <w:spacing w:line="400" w:lineRule="exact"/>
        <w:ind w:firstLine="420" w:firstLineChars="200"/>
        <w:rPr>
          <w:color w:val="auto"/>
          <w:highlight w:val="none"/>
        </w:rPr>
      </w:pPr>
      <w:r>
        <w:rPr>
          <w:rFonts w:hint="eastAsia"/>
          <w:color w:val="auto"/>
          <w:highlight w:val="none"/>
        </w:rPr>
        <w:t>3.成果形式</w:t>
      </w:r>
    </w:p>
    <w:p>
      <w:pPr>
        <w:spacing w:line="400" w:lineRule="exact"/>
        <w:ind w:firstLine="420" w:firstLineChars="200"/>
        <w:rPr>
          <w:color w:val="auto"/>
          <w:highlight w:val="none"/>
        </w:rPr>
      </w:pPr>
      <w:r>
        <w:rPr>
          <w:rFonts w:hint="eastAsia"/>
          <w:color w:val="auto"/>
          <w:highlight w:val="none"/>
        </w:rPr>
        <w:t xml:space="preserve">（1）县级上报成果 </w:t>
      </w:r>
    </w:p>
    <w:p>
      <w:pPr>
        <w:spacing w:line="400" w:lineRule="exact"/>
        <w:ind w:firstLine="420" w:firstLineChars="200"/>
        <w:rPr>
          <w:color w:val="auto"/>
          <w:highlight w:val="none"/>
        </w:rPr>
      </w:pPr>
      <w:r>
        <w:rPr>
          <w:rFonts w:hint="eastAsia"/>
          <w:color w:val="auto"/>
          <w:highlight w:val="none"/>
        </w:rPr>
        <w:t xml:space="preserve">A、文字材料。以县级单位编制的二类调查成果报告、质量管理评价报告、工作总结报告。 </w:t>
      </w:r>
    </w:p>
    <w:p>
      <w:pPr>
        <w:spacing w:line="400" w:lineRule="exact"/>
        <w:ind w:firstLine="420" w:firstLineChars="200"/>
        <w:rPr>
          <w:color w:val="auto"/>
          <w:highlight w:val="none"/>
        </w:rPr>
      </w:pPr>
      <w:r>
        <w:rPr>
          <w:rFonts w:hint="eastAsia"/>
          <w:color w:val="auto"/>
          <w:highlight w:val="none"/>
        </w:rPr>
        <w:t xml:space="preserve">B、调查数据。县级单位建立第二次森林资源普查数据库。 </w:t>
      </w:r>
    </w:p>
    <w:p>
      <w:pPr>
        <w:spacing w:line="400" w:lineRule="exact"/>
        <w:ind w:firstLine="420" w:firstLineChars="200"/>
        <w:rPr>
          <w:color w:val="auto"/>
          <w:highlight w:val="none"/>
        </w:rPr>
      </w:pPr>
      <w:r>
        <w:rPr>
          <w:rFonts w:hint="eastAsia"/>
          <w:color w:val="auto"/>
          <w:highlight w:val="none"/>
        </w:rPr>
        <w:t xml:space="preserve">C、调查成果图集。以县级单位编制的基本图、林相图、森林分布图、分类经营区划图。 </w:t>
      </w:r>
    </w:p>
    <w:p>
      <w:pPr>
        <w:spacing w:line="400" w:lineRule="exact"/>
        <w:ind w:firstLine="420" w:firstLineChars="200"/>
        <w:rPr>
          <w:color w:val="auto"/>
          <w:highlight w:val="none"/>
        </w:rPr>
      </w:pPr>
      <w:r>
        <w:rPr>
          <w:rFonts w:hint="eastAsia"/>
          <w:color w:val="auto"/>
          <w:highlight w:val="none"/>
        </w:rPr>
        <w:t xml:space="preserve">D、统计表。县级森林资源二类调查成果统计表。 </w:t>
      </w:r>
    </w:p>
    <w:p>
      <w:pPr>
        <w:spacing w:line="400" w:lineRule="exact"/>
        <w:ind w:firstLine="420" w:firstLineChars="200"/>
        <w:rPr>
          <w:color w:val="auto"/>
          <w:highlight w:val="none"/>
        </w:rPr>
      </w:pPr>
      <w:r>
        <w:rPr>
          <w:rFonts w:hint="eastAsia"/>
          <w:color w:val="auto"/>
          <w:highlight w:val="none"/>
        </w:rPr>
        <w:t xml:space="preserve">（2）省辖市上报成果 </w:t>
      </w:r>
    </w:p>
    <w:p>
      <w:pPr>
        <w:spacing w:line="400" w:lineRule="exact"/>
        <w:ind w:firstLine="420" w:firstLineChars="200"/>
        <w:rPr>
          <w:color w:val="auto"/>
          <w:highlight w:val="none"/>
        </w:rPr>
      </w:pPr>
      <w:r>
        <w:rPr>
          <w:rFonts w:hint="eastAsia"/>
          <w:color w:val="auto"/>
          <w:highlight w:val="none"/>
        </w:rPr>
        <w:t xml:space="preserve">省辖市林业主管部门根据各县（市、区）上报的统计表开展全市汇总工作，上报全市森林资源统计汇总表、质量检查报告、工作总结报告。 </w:t>
      </w:r>
    </w:p>
    <w:p>
      <w:pPr>
        <w:spacing w:line="400" w:lineRule="exact"/>
        <w:ind w:firstLine="420" w:firstLineChars="200"/>
        <w:rPr>
          <w:color w:val="auto"/>
          <w:highlight w:val="none"/>
        </w:rPr>
      </w:pPr>
      <w:r>
        <w:rPr>
          <w:rFonts w:hint="eastAsia"/>
          <w:color w:val="auto"/>
          <w:highlight w:val="none"/>
        </w:rPr>
        <w:t xml:space="preserve">（3）省级调查成果 </w:t>
      </w:r>
    </w:p>
    <w:p>
      <w:pPr>
        <w:spacing w:line="400" w:lineRule="exact"/>
        <w:ind w:firstLine="420" w:firstLineChars="200"/>
        <w:rPr>
          <w:color w:val="auto"/>
          <w:highlight w:val="none"/>
        </w:rPr>
      </w:pPr>
      <w:r>
        <w:rPr>
          <w:rFonts w:hint="eastAsia"/>
          <w:color w:val="auto"/>
          <w:highlight w:val="none"/>
        </w:rPr>
        <w:t xml:space="preserve">A、文字材料。主要包括二类调查成果报告，质量检查报告，工作总结报告和技术总结报告，工作方案、技术方案、操作细则。 </w:t>
      </w:r>
    </w:p>
    <w:p>
      <w:pPr>
        <w:spacing w:line="400" w:lineRule="exact"/>
        <w:ind w:firstLine="420" w:firstLineChars="200"/>
        <w:rPr>
          <w:color w:val="auto"/>
          <w:highlight w:val="none"/>
        </w:rPr>
      </w:pPr>
      <w:r>
        <w:rPr>
          <w:rFonts w:hint="eastAsia"/>
          <w:color w:val="auto"/>
          <w:highlight w:val="none"/>
        </w:rPr>
        <w:t xml:space="preserve">B、专题数据库。建立全省第二次森林资源普查数据库。 </w:t>
      </w:r>
    </w:p>
    <w:p>
      <w:pPr>
        <w:spacing w:line="400" w:lineRule="exact"/>
        <w:ind w:firstLine="420" w:firstLineChars="200"/>
        <w:rPr>
          <w:color w:val="auto"/>
          <w:highlight w:val="none"/>
        </w:rPr>
      </w:pPr>
      <w:r>
        <w:rPr>
          <w:rFonts w:hint="eastAsia"/>
          <w:color w:val="auto"/>
          <w:highlight w:val="none"/>
        </w:rPr>
        <w:t xml:space="preserve">C、图面资料。全省遥感影像图、基本图、林相图、森林分布图、分类经营区划图等各类专题图。 </w:t>
      </w:r>
    </w:p>
    <w:p>
      <w:pPr>
        <w:spacing w:line="400" w:lineRule="exact"/>
        <w:ind w:firstLine="420" w:firstLineChars="200"/>
        <w:rPr>
          <w:color w:val="auto"/>
          <w:highlight w:val="none"/>
        </w:rPr>
      </w:pPr>
      <w:r>
        <w:rPr>
          <w:rFonts w:hint="eastAsia"/>
          <w:color w:val="auto"/>
          <w:highlight w:val="none"/>
        </w:rPr>
        <w:t>D、表格资料。全省森林资源二类调查成果统计表等。</w:t>
      </w:r>
    </w:p>
    <w:p>
      <w:pPr>
        <w:spacing w:line="400" w:lineRule="exact"/>
        <w:ind w:firstLine="420" w:firstLineChars="200"/>
        <w:rPr>
          <w:color w:val="auto"/>
          <w:highlight w:val="none"/>
        </w:rPr>
      </w:pPr>
      <w:r>
        <w:rPr>
          <w:rFonts w:hint="eastAsia"/>
          <w:color w:val="auto"/>
          <w:highlight w:val="none"/>
        </w:rPr>
        <w:t>4.成果质量要求</w:t>
      </w:r>
    </w:p>
    <w:p>
      <w:pPr>
        <w:spacing w:line="400" w:lineRule="exact"/>
        <w:ind w:firstLine="420" w:firstLineChars="200"/>
        <w:rPr>
          <w:color w:val="auto"/>
          <w:highlight w:val="none"/>
        </w:rPr>
      </w:pPr>
      <w:r>
        <w:rPr>
          <w:rFonts w:hint="eastAsia"/>
          <w:color w:val="auto"/>
          <w:highlight w:val="none"/>
        </w:rPr>
        <w:t>1、成果符合相关法律规定、规程要求，并通过专家评审、省市县三级验收。</w:t>
      </w:r>
    </w:p>
    <w:p>
      <w:pPr>
        <w:spacing w:line="400" w:lineRule="exact"/>
        <w:ind w:firstLine="420" w:firstLineChars="200"/>
        <w:rPr>
          <w:color w:val="auto"/>
          <w:highlight w:val="none"/>
        </w:rPr>
      </w:pPr>
      <w:r>
        <w:rPr>
          <w:rFonts w:hint="eastAsia"/>
          <w:color w:val="auto"/>
          <w:highlight w:val="none"/>
        </w:rPr>
        <w:t>2、规划项目符合本区实际情况。</w:t>
      </w:r>
    </w:p>
    <w:p>
      <w:pPr>
        <w:spacing w:line="400" w:lineRule="exact"/>
        <w:ind w:firstLine="420" w:firstLineChars="200"/>
        <w:rPr>
          <w:color w:val="auto"/>
          <w:highlight w:val="none"/>
        </w:rPr>
      </w:pPr>
      <w:r>
        <w:rPr>
          <w:rFonts w:hint="eastAsia"/>
          <w:color w:val="auto"/>
          <w:highlight w:val="none"/>
        </w:rPr>
        <w:t xml:space="preserve">3、成果满足后续管理、考核需要。 </w:t>
      </w:r>
    </w:p>
    <w:p>
      <w:pPr>
        <w:spacing w:line="400" w:lineRule="exact"/>
        <w:ind w:firstLine="420" w:firstLineChars="200"/>
        <w:rPr>
          <w:color w:val="auto"/>
          <w:highlight w:val="none"/>
        </w:rPr>
      </w:pPr>
      <w:r>
        <w:rPr>
          <w:rFonts w:hint="eastAsia"/>
          <w:color w:val="auto"/>
          <w:highlight w:val="none"/>
        </w:rPr>
        <w:t>4、主要精度要求：</w:t>
      </w:r>
    </w:p>
    <w:p>
      <w:pPr>
        <w:spacing w:line="400" w:lineRule="exact"/>
        <w:ind w:firstLine="420" w:firstLineChars="200"/>
        <w:rPr>
          <w:color w:val="auto"/>
          <w:highlight w:val="none"/>
        </w:rPr>
      </w:pPr>
      <w:r>
        <w:rPr>
          <w:rFonts w:hint="eastAsia"/>
          <w:color w:val="auto"/>
          <w:highlight w:val="none"/>
        </w:rPr>
        <w:t xml:space="preserve">（1）系统抽样调查精度（可靠性） </w:t>
      </w:r>
    </w:p>
    <w:p>
      <w:pPr>
        <w:spacing w:line="400" w:lineRule="exact"/>
        <w:ind w:firstLine="420" w:firstLineChars="200"/>
        <w:rPr>
          <w:color w:val="auto"/>
          <w:highlight w:val="none"/>
        </w:rPr>
      </w:pPr>
      <w:r>
        <w:rPr>
          <w:rFonts w:hint="eastAsia"/>
          <w:color w:val="auto"/>
          <w:highlight w:val="none"/>
        </w:rPr>
        <w:t xml:space="preserve">总体抽样控制精度根据单位性质确定：以商品林为主的经营单位或县级行政单位总体蓄积量控制精度为 90％以上；以公益林为主的经营单位或县级行政单位总体蓄积量控制精度为 85％以上；自然保护区、森林公园总体蓄积量控制精度为 80％以上。 </w:t>
      </w:r>
    </w:p>
    <w:p>
      <w:pPr>
        <w:spacing w:line="400" w:lineRule="exact"/>
        <w:ind w:firstLine="420" w:firstLineChars="200"/>
        <w:rPr>
          <w:color w:val="auto"/>
          <w:highlight w:val="none"/>
        </w:rPr>
      </w:pPr>
      <w:r>
        <w:rPr>
          <w:rFonts w:hint="eastAsia"/>
          <w:color w:val="auto"/>
          <w:highlight w:val="none"/>
        </w:rPr>
        <w:t xml:space="preserve">（2）森林经营区划调查精度 </w:t>
      </w:r>
    </w:p>
    <w:p>
      <w:pPr>
        <w:spacing w:line="400" w:lineRule="exact"/>
        <w:ind w:firstLine="420" w:firstLineChars="200"/>
        <w:rPr>
          <w:color w:val="auto"/>
          <w:highlight w:val="none"/>
        </w:rPr>
      </w:pPr>
      <w:r>
        <w:rPr>
          <w:rFonts w:hint="eastAsia"/>
          <w:color w:val="auto"/>
          <w:highlight w:val="none"/>
        </w:rPr>
        <w:t xml:space="preserve">A、小班面积精度 </w:t>
      </w:r>
    </w:p>
    <w:p>
      <w:pPr>
        <w:spacing w:line="400" w:lineRule="exact"/>
        <w:ind w:firstLine="420" w:firstLineChars="200"/>
        <w:rPr>
          <w:color w:val="auto"/>
          <w:highlight w:val="none"/>
        </w:rPr>
      </w:pPr>
      <w:r>
        <w:rPr>
          <w:rFonts w:hint="eastAsia"/>
          <w:color w:val="auto"/>
          <w:highlight w:val="none"/>
        </w:rPr>
        <w:t xml:space="preserve">本次调查是在“国土调查”图斑基础上细化小班，细化小班面积之和等于“国土调查”图斑面积，即小班面积精度 100%。 </w:t>
      </w:r>
    </w:p>
    <w:p>
      <w:pPr>
        <w:spacing w:line="400" w:lineRule="exact"/>
        <w:ind w:firstLine="420" w:firstLineChars="200"/>
        <w:rPr>
          <w:color w:val="auto"/>
          <w:highlight w:val="none"/>
        </w:rPr>
      </w:pPr>
      <w:r>
        <w:rPr>
          <w:rFonts w:hint="eastAsia"/>
          <w:color w:val="auto"/>
          <w:highlight w:val="none"/>
        </w:rPr>
        <w:t xml:space="preserve">B、总体蓄积量控制 </w:t>
      </w:r>
    </w:p>
    <w:p>
      <w:pPr>
        <w:spacing w:line="400" w:lineRule="exact"/>
        <w:ind w:firstLine="420" w:firstLineChars="200"/>
        <w:rPr>
          <w:color w:val="auto"/>
          <w:highlight w:val="none"/>
        </w:rPr>
      </w:pPr>
      <w:r>
        <w:rPr>
          <w:rFonts w:hint="eastAsia"/>
          <w:color w:val="auto"/>
          <w:highlight w:val="none"/>
        </w:rPr>
        <w:t xml:space="preserve">将各小班调查蓄积量汇总计算的总体蓄积量与以总体抽样调查方法计算的总体蓄积量进行比较：当两者差值不超过±1 倍标准误时，即认为由小班调查汇总的总体蓄积量符合精度要求，以小班统计汇总的蓄积量作为总体蓄积量；当两者差值超过±1 倍标准误、但不超过±3 倍标准误时，应对差异进行检查分析，找出影响小班蓄积量调查精度的因素，并根据影响因素进行复查、局部修正，尽量达到两种总体蓄积量的差值在±1 倍标准误范围以内；当两者差值超过±3 倍标准误时，小班蓄积量调查必须全部返工。 </w:t>
      </w:r>
    </w:p>
    <w:p>
      <w:pPr>
        <w:spacing w:line="400" w:lineRule="exact"/>
        <w:ind w:firstLine="420" w:firstLineChars="200"/>
        <w:rPr>
          <w:color w:val="auto"/>
          <w:highlight w:val="none"/>
        </w:rPr>
      </w:pPr>
      <w:r>
        <w:rPr>
          <w:rFonts w:hint="eastAsia"/>
          <w:color w:val="auto"/>
          <w:highlight w:val="none"/>
        </w:rPr>
        <w:t xml:space="preserve">C、小班区划误差 </w:t>
      </w:r>
    </w:p>
    <w:p>
      <w:pPr>
        <w:spacing w:line="400" w:lineRule="exact"/>
        <w:ind w:firstLine="420" w:firstLineChars="200"/>
        <w:rPr>
          <w:color w:val="auto"/>
          <w:highlight w:val="none"/>
        </w:rPr>
      </w:pPr>
      <w:r>
        <w:rPr>
          <w:rFonts w:hint="eastAsia"/>
          <w:color w:val="auto"/>
          <w:highlight w:val="none"/>
        </w:rPr>
        <w:t xml:space="preserve">①.以明显地物界作区划界的，误差应小于实地距离 5m。 </w:t>
      </w:r>
    </w:p>
    <w:p>
      <w:pPr>
        <w:spacing w:line="400" w:lineRule="exact"/>
        <w:ind w:firstLine="420" w:firstLineChars="200"/>
        <w:rPr>
          <w:color w:val="auto"/>
          <w:highlight w:val="none"/>
        </w:rPr>
      </w:pPr>
      <w:r>
        <w:rPr>
          <w:rFonts w:hint="eastAsia"/>
          <w:color w:val="auto"/>
          <w:highlight w:val="none"/>
        </w:rPr>
        <w:t xml:space="preserve">②.以非明显地物界作区划界的，误差应小于实地距离 10m。 </w:t>
      </w:r>
    </w:p>
    <w:p>
      <w:pPr>
        <w:spacing w:line="400" w:lineRule="exact"/>
        <w:ind w:firstLine="420" w:firstLineChars="200"/>
        <w:rPr>
          <w:color w:val="auto"/>
          <w:highlight w:val="none"/>
        </w:rPr>
      </w:pPr>
      <w:r>
        <w:rPr>
          <w:rFonts w:hint="eastAsia"/>
          <w:color w:val="auto"/>
          <w:highlight w:val="none"/>
        </w:rPr>
        <w:t xml:space="preserve">③.外业调查拆分、合并小班，小班线移动符合小班划分条件和要求。 </w:t>
      </w:r>
    </w:p>
    <w:p>
      <w:pPr>
        <w:spacing w:line="400" w:lineRule="exact"/>
        <w:ind w:firstLine="420" w:firstLineChars="200"/>
        <w:rPr>
          <w:color w:val="auto"/>
          <w:highlight w:val="none"/>
        </w:rPr>
      </w:pPr>
      <w:r>
        <w:rPr>
          <w:rFonts w:hint="eastAsia"/>
          <w:color w:val="auto"/>
          <w:highlight w:val="none"/>
        </w:rPr>
        <w:t xml:space="preserve">D、小班调查精度 </w:t>
      </w:r>
    </w:p>
    <w:p>
      <w:pPr>
        <w:spacing w:line="400" w:lineRule="exact"/>
        <w:ind w:firstLine="420" w:firstLineChars="200"/>
        <w:rPr>
          <w:color w:val="auto"/>
          <w:highlight w:val="none"/>
        </w:rPr>
      </w:pPr>
      <w:r>
        <w:rPr>
          <w:rFonts w:hint="eastAsia"/>
          <w:color w:val="auto"/>
          <w:highlight w:val="none"/>
        </w:rPr>
        <w:t xml:space="preserve">主要小班测树调查因子允许误差分Ⅰ、Ⅱ、Ⅲ三个等级，见表 1-1。 </w:t>
      </w:r>
    </w:p>
    <w:p>
      <w:pPr>
        <w:spacing w:line="400" w:lineRule="exact"/>
        <w:ind w:firstLine="420" w:firstLineChars="200"/>
        <w:jc w:val="center"/>
        <w:rPr>
          <w:color w:val="auto"/>
          <w:highlight w:val="none"/>
        </w:rPr>
      </w:pPr>
      <w:r>
        <w:rPr>
          <w:rFonts w:hint="eastAsia"/>
          <w:color w:val="auto"/>
          <w:highlight w:val="none"/>
        </w:rPr>
        <w:t>表 1-1 主要小班测树因子允许误差表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2181"/>
        <w:gridCol w:w="2182"/>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Merge w:val="restart"/>
            <w:vAlign w:val="center"/>
          </w:tcPr>
          <w:p>
            <w:pPr>
              <w:spacing w:line="400" w:lineRule="exact"/>
              <w:jc w:val="center"/>
              <w:rPr>
                <w:color w:val="auto"/>
                <w:highlight w:val="none"/>
              </w:rPr>
            </w:pPr>
            <w:r>
              <w:rPr>
                <w:rFonts w:hint="eastAsia"/>
                <w:color w:val="auto"/>
                <w:highlight w:val="none"/>
              </w:rPr>
              <w:t>调查因子</w:t>
            </w:r>
          </w:p>
        </w:tc>
        <w:tc>
          <w:tcPr>
            <w:tcW w:w="7472" w:type="dxa"/>
            <w:gridSpan w:val="3"/>
            <w:vAlign w:val="center"/>
          </w:tcPr>
          <w:p>
            <w:pPr>
              <w:spacing w:line="400" w:lineRule="exact"/>
              <w:jc w:val="center"/>
              <w:rPr>
                <w:color w:val="auto"/>
                <w:highlight w:val="none"/>
              </w:rPr>
            </w:pPr>
            <w:r>
              <w:rPr>
                <w:rFonts w:hint="eastAsia"/>
                <w:color w:val="auto"/>
                <w:highlight w:val="none"/>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Merge w:val="continue"/>
            <w:vAlign w:val="center"/>
          </w:tcPr>
          <w:p>
            <w:pPr>
              <w:spacing w:line="400" w:lineRule="exact"/>
              <w:jc w:val="center"/>
              <w:rPr>
                <w:color w:val="auto"/>
                <w:highlight w:val="none"/>
              </w:rPr>
            </w:pPr>
          </w:p>
        </w:tc>
        <w:tc>
          <w:tcPr>
            <w:tcW w:w="2490" w:type="dxa"/>
            <w:vAlign w:val="center"/>
          </w:tcPr>
          <w:p>
            <w:pPr>
              <w:spacing w:line="400" w:lineRule="exact"/>
              <w:jc w:val="center"/>
              <w:rPr>
                <w:color w:val="auto"/>
                <w:highlight w:val="none"/>
              </w:rPr>
            </w:pPr>
            <w:r>
              <w:rPr>
                <w:rFonts w:hint="eastAsia"/>
                <w:color w:val="auto"/>
                <w:highlight w:val="none"/>
              </w:rPr>
              <w:t>Ⅰ</w:t>
            </w:r>
          </w:p>
        </w:tc>
        <w:tc>
          <w:tcPr>
            <w:tcW w:w="2491" w:type="dxa"/>
            <w:vAlign w:val="center"/>
          </w:tcPr>
          <w:p>
            <w:pPr>
              <w:spacing w:line="400" w:lineRule="exact"/>
              <w:jc w:val="center"/>
              <w:rPr>
                <w:color w:val="auto"/>
                <w:highlight w:val="none"/>
              </w:rPr>
            </w:pPr>
            <w:r>
              <w:rPr>
                <w:rFonts w:hint="eastAsia"/>
                <w:color w:val="auto"/>
                <w:highlight w:val="none"/>
              </w:rPr>
              <w:t>Ⅱ</w:t>
            </w:r>
          </w:p>
        </w:tc>
        <w:tc>
          <w:tcPr>
            <w:tcW w:w="2491" w:type="dxa"/>
            <w:vAlign w:val="center"/>
          </w:tcPr>
          <w:p>
            <w:pPr>
              <w:spacing w:line="400" w:lineRule="exact"/>
              <w:jc w:val="center"/>
              <w:rPr>
                <w:color w:val="auto"/>
                <w:highlight w:val="none"/>
              </w:rPr>
            </w:pPr>
            <w:r>
              <w:rPr>
                <w:rFonts w:hint="eastAsia"/>
                <w:color w:val="auto"/>
                <w:highlight w:val="none"/>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树种组成</w:t>
            </w:r>
          </w:p>
        </w:tc>
        <w:tc>
          <w:tcPr>
            <w:tcW w:w="2490" w:type="dxa"/>
            <w:vAlign w:val="center"/>
          </w:tcPr>
          <w:p>
            <w:pPr>
              <w:spacing w:line="400" w:lineRule="exact"/>
              <w:jc w:val="center"/>
              <w:rPr>
                <w:color w:val="auto"/>
                <w:highlight w:val="none"/>
              </w:rPr>
            </w:pPr>
            <w:r>
              <w:rPr>
                <w:rFonts w:hint="eastAsia"/>
                <w:color w:val="auto"/>
                <w:highlight w:val="none"/>
              </w:rPr>
              <w:t>5</w:t>
            </w:r>
          </w:p>
        </w:tc>
        <w:tc>
          <w:tcPr>
            <w:tcW w:w="2491"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平均树高</w:t>
            </w:r>
          </w:p>
        </w:tc>
        <w:tc>
          <w:tcPr>
            <w:tcW w:w="2490" w:type="dxa"/>
            <w:vAlign w:val="center"/>
          </w:tcPr>
          <w:p>
            <w:pPr>
              <w:spacing w:line="400" w:lineRule="exact"/>
              <w:jc w:val="center"/>
              <w:rPr>
                <w:color w:val="auto"/>
                <w:highlight w:val="none"/>
              </w:rPr>
            </w:pPr>
            <w:r>
              <w:rPr>
                <w:rFonts w:hint="eastAsia"/>
                <w:color w:val="auto"/>
                <w:highlight w:val="none"/>
              </w:rPr>
              <w:t>5</w:t>
            </w:r>
          </w:p>
        </w:tc>
        <w:tc>
          <w:tcPr>
            <w:tcW w:w="2491"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平均胸径</w:t>
            </w:r>
          </w:p>
        </w:tc>
        <w:tc>
          <w:tcPr>
            <w:tcW w:w="2490" w:type="dxa"/>
            <w:vAlign w:val="center"/>
          </w:tcPr>
          <w:p>
            <w:pPr>
              <w:spacing w:line="400" w:lineRule="exact"/>
              <w:jc w:val="center"/>
              <w:rPr>
                <w:color w:val="auto"/>
                <w:highlight w:val="none"/>
              </w:rPr>
            </w:pPr>
            <w:r>
              <w:rPr>
                <w:rFonts w:hint="eastAsia"/>
                <w:color w:val="auto"/>
                <w:highlight w:val="none"/>
              </w:rPr>
              <w:t>5</w:t>
            </w:r>
          </w:p>
        </w:tc>
        <w:tc>
          <w:tcPr>
            <w:tcW w:w="2491"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平均年龄</w:t>
            </w:r>
          </w:p>
        </w:tc>
        <w:tc>
          <w:tcPr>
            <w:tcW w:w="2490"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15</w:t>
            </w:r>
          </w:p>
        </w:tc>
        <w:tc>
          <w:tcPr>
            <w:tcW w:w="2491" w:type="dxa"/>
            <w:vAlign w:val="center"/>
          </w:tcPr>
          <w:p>
            <w:pPr>
              <w:spacing w:line="400" w:lineRule="exact"/>
              <w:jc w:val="center"/>
              <w:rPr>
                <w:color w:val="auto"/>
                <w:highlight w:val="none"/>
              </w:rPr>
            </w:pPr>
            <w:r>
              <w:rPr>
                <w:rFonts w:hint="eastAsia"/>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郁闭度</w:t>
            </w:r>
          </w:p>
        </w:tc>
        <w:tc>
          <w:tcPr>
            <w:tcW w:w="2490" w:type="dxa"/>
            <w:vAlign w:val="center"/>
          </w:tcPr>
          <w:p>
            <w:pPr>
              <w:spacing w:line="400" w:lineRule="exact"/>
              <w:jc w:val="center"/>
              <w:rPr>
                <w:color w:val="auto"/>
                <w:highlight w:val="none"/>
              </w:rPr>
            </w:pPr>
            <w:r>
              <w:rPr>
                <w:rFonts w:hint="eastAsia"/>
                <w:color w:val="auto"/>
                <w:highlight w:val="none"/>
              </w:rPr>
              <w:t>5</w:t>
            </w:r>
          </w:p>
        </w:tc>
        <w:tc>
          <w:tcPr>
            <w:tcW w:w="2491"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公顷蓄积</w:t>
            </w:r>
          </w:p>
        </w:tc>
        <w:tc>
          <w:tcPr>
            <w:tcW w:w="2490" w:type="dxa"/>
            <w:vAlign w:val="center"/>
          </w:tcPr>
          <w:p>
            <w:pPr>
              <w:spacing w:line="400" w:lineRule="exact"/>
              <w:jc w:val="center"/>
              <w:rPr>
                <w:color w:val="auto"/>
                <w:highlight w:val="none"/>
              </w:rPr>
            </w:pPr>
            <w:r>
              <w:rPr>
                <w:rFonts w:hint="eastAsia"/>
                <w:color w:val="auto"/>
                <w:highlight w:val="none"/>
              </w:rPr>
              <w:t>15</w:t>
            </w:r>
          </w:p>
        </w:tc>
        <w:tc>
          <w:tcPr>
            <w:tcW w:w="2491" w:type="dxa"/>
            <w:vAlign w:val="center"/>
          </w:tcPr>
          <w:p>
            <w:pPr>
              <w:spacing w:line="400" w:lineRule="exact"/>
              <w:jc w:val="center"/>
              <w:rPr>
                <w:color w:val="auto"/>
                <w:highlight w:val="none"/>
              </w:rPr>
            </w:pPr>
            <w:r>
              <w:rPr>
                <w:rFonts w:hint="eastAsia"/>
                <w:color w:val="auto"/>
                <w:highlight w:val="none"/>
              </w:rPr>
              <w:t>20</w:t>
            </w:r>
          </w:p>
        </w:tc>
        <w:tc>
          <w:tcPr>
            <w:tcW w:w="2491" w:type="dxa"/>
            <w:vAlign w:val="center"/>
          </w:tcPr>
          <w:p>
            <w:pPr>
              <w:spacing w:line="400" w:lineRule="exact"/>
              <w:jc w:val="center"/>
              <w:rPr>
                <w:color w:val="auto"/>
                <w:highlight w:val="none"/>
              </w:rPr>
            </w:pPr>
            <w:r>
              <w:rPr>
                <w:rFonts w:hint="eastAsia"/>
                <w:color w:val="auto"/>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00" w:lineRule="exact"/>
              <w:jc w:val="center"/>
              <w:rPr>
                <w:color w:val="auto"/>
                <w:highlight w:val="none"/>
              </w:rPr>
            </w:pPr>
            <w:r>
              <w:rPr>
                <w:rFonts w:hint="eastAsia"/>
                <w:color w:val="auto"/>
                <w:highlight w:val="none"/>
              </w:rPr>
              <w:t>公顷竹鼠</w:t>
            </w:r>
          </w:p>
        </w:tc>
        <w:tc>
          <w:tcPr>
            <w:tcW w:w="2490" w:type="dxa"/>
            <w:vAlign w:val="center"/>
          </w:tcPr>
          <w:p>
            <w:pPr>
              <w:spacing w:line="400" w:lineRule="exact"/>
              <w:jc w:val="center"/>
              <w:rPr>
                <w:color w:val="auto"/>
                <w:highlight w:val="none"/>
              </w:rPr>
            </w:pPr>
            <w:r>
              <w:rPr>
                <w:rFonts w:hint="eastAsia"/>
                <w:color w:val="auto"/>
                <w:highlight w:val="none"/>
              </w:rPr>
              <w:t>5</w:t>
            </w:r>
          </w:p>
        </w:tc>
        <w:tc>
          <w:tcPr>
            <w:tcW w:w="2491" w:type="dxa"/>
            <w:vAlign w:val="center"/>
          </w:tcPr>
          <w:p>
            <w:pPr>
              <w:spacing w:line="400" w:lineRule="exact"/>
              <w:jc w:val="center"/>
              <w:rPr>
                <w:color w:val="auto"/>
                <w:highlight w:val="none"/>
              </w:rPr>
            </w:pPr>
            <w:r>
              <w:rPr>
                <w:rFonts w:hint="eastAsia"/>
                <w:color w:val="auto"/>
                <w:highlight w:val="none"/>
              </w:rPr>
              <w:t>10</w:t>
            </w:r>
          </w:p>
        </w:tc>
        <w:tc>
          <w:tcPr>
            <w:tcW w:w="2491" w:type="dxa"/>
            <w:vAlign w:val="center"/>
          </w:tcPr>
          <w:p>
            <w:pPr>
              <w:spacing w:line="400" w:lineRule="exact"/>
              <w:jc w:val="center"/>
              <w:rPr>
                <w:color w:val="auto"/>
                <w:highlight w:val="none"/>
              </w:rPr>
            </w:pPr>
            <w:r>
              <w:rPr>
                <w:rFonts w:hint="eastAsia"/>
                <w:color w:val="auto"/>
                <w:highlight w:val="none"/>
              </w:rPr>
              <w:t>15</w:t>
            </w:r>
          </w:p>
        </w:tc>
      </w:tr>
    </w:tbl>
    <w:p>
      <w:pPr>
        <w:spacing w:line="400" w:lineRule="exact"/>
        <w:ind w:firstLine="420" w:firstLineChars="200"/>
        <w:rPr>
          <w:color w:val="auto"/>
          <w:highlight w:val="none"/>
        </w:rPr>
      </w:pPr>
      <w:r>
        <w:rPr>
          <w:rFonts w:hint="eastAsia"/>
          <w:color w:val="auto"/>
          <w:highlight w:val="none"/>
        </w:rPr>
        <w:t xml:space="preserve">①.人工商品林小班允许误差采用等级“Ⅰ级”。 </w:t>
      </w:r>
    </w:p>
    <w:p>
      <w:pPr>
        <w:spacing w:line="400" w:lineRule="exact"/>
        <w:ind w:firstLine="420" w:firstLineChars="200"/>
        <w:rPr>
          <w:color w:val="auto"/>
          <w:highlight w:val="none"/>
        </w:rPr>
      </w:pPr>
      <w:r>
        <w:rPr>
          <w:rFonts w:hint="eastAsia"/>
          <w:color w:val="auto"/>
          <w:highlight w:val="none"/>
        </w:rPr>
        <w:t xml:space="preserve">②.自然保护地（自然保护区、森林公园、湿地公园等）、国有林场、公益林小班允许误差采用等级“Ⅲ级” </w:t>
      </w:r>
    </w:p>
    <w:p>
      <w:pPr>
        <w:spacing w:line="400" w:lineRule="exact"/>
        <w:ind w:firstLine="420" w:firstLineChars="200"/>
        <w:rPr>
          <w:color w:val="auto"/>
          <w:highlight w:val="none"/>
        </w:rPr>
      </w:pPr>
      <w:r>
        <w:rPr>
          <w:rFonts w:hint="eastAsia"/>
          <w:color w:val="auto"/>
          <w:highlight w:val="none"/>
        </w:rPr>
        <w:t xml:space="preserve">③.其他区域的小班允许误差采用等级“Ⅱ级”。 </w:t>
      </w:r>
    </w:p>
    <w:p>
      <w:pPr>
        <w:spacing w:line="400" w:lineRule="exact"/>
        <w:ind w:firstLine="420" w:firstLineChars="200"/>
        <w:rPr>
          <w:color w:val="auto"/>
          <w:highlight w:val="none"/>
        </w:rPr>
      </w:pPr>
      <w:r>
        <w:rPr>
          <w:rFonts w:hint="eastAsia"/>
          <w:color w:val="auto"/>
          <w:highlight w:val="none"/>
        </w:rPr>
        <w:t>④.地类、植被覆盖类型、林种、权属、优势树种、起源的判定不应有误。</w:t>
      </w:r>
    </w:p>
    <w:p>
      <w:pPr>
        <w:widowControl/>
        <w:shd w:val="clear" w:color="auto" w:fill="FFFFFF"/>
        <w:spacing w:line="440" w:lineRule="exact"/>
        <w:ind w:firstLine="420"/>
        <w:contextualSpacing/>
        <w:jc w:val="left"/>
        <w:rPr>
          <w:rFonts w:ascii="宋体" w:hAnsi="宋体"/>
          <w:b/>
          <w:bCs/>
          <w:color w:val="auto"/>
          <w:szCs w:val="21"/>
          <w:highlight w:val="none"/>
        </w:rPr>
      </w:pPr>
      <w:r>
        <w:rPr>
          <w:rFonts w:hint="eastAsia" w:ascii="宋体" w:hAnsi="宋体"/>
          <w:b/>
          <w:bCs/>
          <w:color w:val="auto"/>
          <w:szCs w:val="21"/>
          <w:highlight w:val="none"/>
        </w:rPr>
        <w:t>三、服务标准、期限、效率等要求：</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服务标准：投标人所提供成果必须符合国家相关行业标准。</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合同履行期限：服务期一年，自合同签订生效之日起计算。</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效率：根据投标人在投标文件中承诺的响应时间。</w:t>
      </w:r>
    </w:p>
    <w:p>
      <w:pPr>
        <w:widowControl/>
        <w:shd w:val="clear" w:color="auto" w:fill="FFFFFF"/>
        <w:spacing w:line="440" w:lineRule="exact"/>
        <w:ind w:firstLine="420"/>
        <w:contextualSpacing/>
        <w:rPr>
          <w:rFonts w:ascii="宋体" w:hAnsi="宋体"/>
          <w:b/>
          <w:bCs/>
          <w:color w:val="auto"/>
          <w:szCs w:val="21"/>
          <w:highlight w:val="none"/>
        </w:rPr>
      </w:pPr>
      <w:r>
        <w:rPr>
          <w:rFonts w:hint="eastAsia" w:ascii="宋体" w:hAnsi="宋体"/>
          <w:b/>
          <w:bCs/>
          <w:color w:val="auto"/>
          <w:szCs w:val="21"/>
          <w:highlight w:val="none"/>
        </w:rPr>
        <w:t>四、采购标的的其他技术、服务等要求：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1、供应商应就该项目完整报价，否则为无效投标。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2、供应商根据市场行情自主报价，本项目的投标报价为总报价，投标报价应是</w:t>
      </w:r>
      <w:bookmarkStart w:id="0" w:name="_Hlk70410161"/>
      <w:r>
        <w:rPr>
          <w:rFonts w:hint="eastAsia" w:ascii="宋体" w:hAnsi="宋体"/>
          <w:color w:val="auto"/>
          <w:szCs w:val="21"/>
          <w:highlight w:val="none"/>
        </w:rPr>
        <w:t>招标文件</w:t>
      </w:r>
      <w:bookmarkEnd w:id="0"/>
      <w:r>
        <w:rPr>
          <w:rFonts w:hint="eastAsia" w:ascii="宋体" w:hAnsi="宋体"/>
          <w:color w:val="auto"/>
          <w:szCs w:val="21"/>
          <w:highlight w:val="none"/>
        </w:rPr>
        <w:t>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3、响应文件中须有详细的实施方案。</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5、投标报价还应包含下列内容：</w:t>
      </w:r>
    </w:p>
    <w:p>
      <w:pPr>
        <w:spacing w:line="440" w:lineRule="exact"/>
        <w:rPr>
          <w:rFonts w:ascii="宋体" w:hAnsi="宋体"/>
          <w:color w:val="auto"/>
          <w:szCs w:val="21"/>
          <w:highlight w:val="none"/>
        </w:rPr>
      </w:pPr>
      <w:r>
        <w:rPr>
          <w:rFonts w:hint="eastAsia" w:ascii="宋体" w:hAnsi="宋体"/>
          <w:color w:val="auto"/>
          <w:szCs w:val="21"/>
          <w:highlight w:val="none"/>
        </w:rPr>
        <w:t xml:space="preserve">    5.1投标报价包含履行合同所有相关服务所需的费用；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5.2 投标报价均应包含所有的税费；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 不能在投标报价之外还有其他费用出现。</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5.4 投标人不得低于企业自身成本竞投</w:t>
      </w:r>
      <w:bookmarkStart w:id="1" w:name="_Hlt107977408"/>
      <w:bookmarkEnd w:id="1"/>
      <w:r>
        <w:rPr>
          <w:rFonts w:hint="eastAsia" w:ascii="宋体" w:hAnsi="宋体"/>
          <w:color w:val="auto"/>
          <w:szCs w:val="21"/>
          <w:highlight w:val="none"/>
        </w:rPr>
        <w:t>标。</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6、本项目为交钥匙工程。</w:t>
      </w:r>
    </w:p>
    <w:p>
      <w:pPr>
        <w:widowControl/>
        <w:shd w:val="clear" w:color="auto" w:fill="FFFFFF"/>
        <w:spacing w:line="440" w:lineRule="exact"/>
        <w:ind w:firstLine="422" w:firstLineChars="200"/>
        <w:contextualSpacing/>
        <w:rPr>
          <w:rFonts w:ascii="宋体" w:hAnsi="宋体"/>
          <w:b/>
          <w:bCs/>
          <w:color w:val="auto"/>
          <w:szCs w:val="21"/>
          <w:highlight w:val="none"/>
        </w:rPr>
      </w:pPr>
      <w:r>
        <w:rPr>
          <w:rFonts w:hint="eastAsia" w:ascii="宋体" w:hAnsi="宋体"/>
          <w:b/>
          <w:bCs/>
          <w:color w:val="auto"/>
          <w:szCs w:val="21"/>
          <w:highlight w:val="none"/>
        </w:rPr>
        <w:t>五、验收标准：</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1、按照国家相关标准、行业标准、地方标准或其他标准、规范验收；</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2、按照招标文件要求、投标文件响应和承诺验收；</w:t>
      </w:r>
    </w:p>
    <w:p>
      <w:pPr>
        <w:widowControl/>
        <w:shd w:val="clear" w:color="auto" w:fill="FFFFFF"/>
        <w:spacing w:line="440" w:lineRule="exact"/>
        <w:ind w:firstLine="420"/>
        <w:contextualSpacing/>
        <w:rPr>
          <w:rFonts w:ascii="宋体" w:hAnsi="宋体"/>
          <w:b/>
          <w:bCs/>
          <w:color w:val="auto"/>
          <w:szCs w:val="21"/>
          <w:highlight w:val="none"/>
        </w:rPr>
      </w:pPr>
      <w:r>
        <w:rPr>
          <w:rFonts w:hint="eastAsia" w:ascii="宋体" w:hAnsi="宋体"/>
          <w:b/>
          <w:bCs/>
          <w:color w:val="auto"/>
          <w:szCs w:val="21"/>
          <w:highlight w:val="none"/>
        </w:rPr>
        <w:t>六、资金支付</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（一）支付方式：财政支付。</w:t>
      </w:r>
    </w:p>
    <w:p>
      <w:pPr>
        <w:widowControl/>
        <w:shd w:val="clear" w:color="auto" w:fill="FFFFFF"/>
        <w:spacing w:line="440" w:lineRule="exact"/>
        <w:ind w:firstLine="420"/>
        <w:contextualSpacing/>
        <w:rPr>
          <w:rFonts w:ascii="宋体" w:hAnsi="宋体"/>
          <w:color w:val="auto"/>
          <w:szCs w:val="21"/>
          <w:highlight w:val="none"/>
        </w:rPr>
      </w:pPr>
      <w:r>
        <w:rPr>
          <w:rFonts w:hint="eastAsia" w:ascii="宋体" w:hAnsi="宋体"/>
          <w:color w:val="auto"/>
          <w:szCs w:val="21"/>
          <w:highlight w:val="none"/>
        </w:rPr>
        <w:t>（二）支付时间及条件：以合同为准。</w:t>
      </w:r>
    </w:p>
    <w:p>
      <w:pPr>
        <w:pStyle w:val="2"/>
        <w:spacing w:line="440" w:lineRule="exact"/>
        <w:rPr>
          <w:rFonts w:ascii="宋体" w:hAnsi="宋体"/>
          <w:color w:val="auto"/>
          <w:szCs w:val="21"/>
          <w:highlight w:val="none"/>
        </w:rPr>
      </w:pPr>
      <w:r>
        <w:rPr>
          <w:rFonts w:hint="eastAsia" w:ascii="宋体" w:hAnsi="宋体"/>
          <w:color w:val="auto"/>
          <w:szCs w:val="21"/>
          <w:highlight w:val="none"/>
        </w:rPr>
        <w:t xml:space="preserve">    </w:t>
      </w:r>
    </w:p>
    <w:p>
      <w:pPr>
        <w:widowControl/>
        <w:jc w:val="center"/>
        <w:outlineLvl w:val="0"/>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第三章 投标人须知前附表</w:t>
      </w:r>
    </w:p>
    <w:p>
      <w:pPr>
        <w:autoSpaceDE w:val="0"/>
        <w:autoSpaceDN w:val="0"/>
        <w:adjustRightInd w:val="0"/>
        <w:spacing w:line="360" w:lineRule="auto"/>
        <w:ind w:right="-11"/>
        <w:jc w:val="left"/>
        <w:rPr>
          <w:rFonts w:ascii="宋体" w:hAnsi="宋体"/>
          <w:b/>
          <w:color w:val="auto"/>
          <w:kern w:val="0"/>
          <w:szCs w:val="21"/>
          <w:highlight w:val="none"/>
        </w:rPr>
      </w:pPr>
      <w:r>
        <w:rPr>
          <w:rFonts w:hint="eastAsia" w:cs="微软雅黑"/>
          <w:b/>
          <w:color w:val="auto"/>
          <w:szCs w:val="21"/>
          <w:highlight w:val="none"/>
        </w:rPr>
        <w:t>招标文件中凡标有</w:t>
      </w:r>
      <w:r>
        <w:rPr>
          <w:rFonts w:hint="eastAsia" w:ascii="宋体" w:hAnsi="宋体" w:cs="微软雅黑"/>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8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序号</w:t>
            </w:r>
          </w:p>
        </w:tc>
        <w:tc>
          <w:tcPr>
            <w:tcW w:w="2085"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条款名称</w:t>
            </w:r>
          </w:p>
        </w:tc>
        <w:tc>
          <w:tcPr>
            <w:tcW w:w="7140" w:type="dxa"/>
            <w:vAlign w:val="center"/>
          </w:tcPr>
          <w:p>
            <w:pPr>
              <w:autoSpaceDE w:val="0"/>
              <w:autoSpaceDN w:val="0"/>
              <w:adjustRightInd w:val="0"/>
              <w:spacing w:line="276"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采购项目</w:t>
            </w:r>
          </w:p>
        </w:tc>
        <w:tc>
          <w:tcPr>
            <w:tcW w:w="7140" w:type="dxa"/>
          </w:tcPr>
          <w:p>
            <w:pPr>
              <w:spacing w:line="400" w:lineRule="exact"/>
              <w:jc w:val="left"/>
              <w:rPr>
                <w:rFonts w:ascii="宋体" w:hAnsi="宋体"/>
                <w:bCs/>
                <w:color w:val="auto"/>
                <w:szCs w:val="21"/>
                <w:highlight w:val="none"/>
              </w:rPr>
            </w:pPr>
            <w:r>
              <w:rPr>
                <w:rFonts w:hint="eastAsia" w:ascii="宋体" w:hAnsi="宋体"/>
                <w:color w:val="auto"/>
                <w:szCs w:val="21"/>
                <w:highlight w:val="none"/>
                <w:lang w:val="zh-CN"/>
              </w:rPr>
              <w:t>项目名称：禹州市林业发展中心第二次森林资源工作经费项目</w:t>
            </w:r>
            <w:r>
              <w:rPr>
                <w:rFonts w:hint="eastAsia" w:ascii="宋体" w:hAnsi="宋体"/>
                <w:color w:val="auto"/>
                <w:highlight w:val="none"/>
              </w:rPr>
              <w:t>（不见面开标）</w:t>
            </w:r>
          </w:p>
          <w:p>
            <w:pPr>
              <w:autoSpaceDE w:val="0"/>
              <w:autoSpaceDN w:val="0"/>
              <w:adjustRightInd w:val="0"/>
              <w:spacing w:line="400" w:lineRule="exact"/>
              <w:ind w:right="-11"/>
              <w:rPr>
                <w:rFonts w:ascii="宋体" w:hAnsi="宋体"/>
                <w:color w:val="auto"/>
                <w:szCs w:val="21"/>
                <w:highlight w:val="none"/>
              </w:rPr>
            </w:pPr>
            <w:r>
              <w:rPr>
                <w:rFonts w:hint="eastAsia" w:ascii="宋体" w:hAnsi="宋体"/>
                <w:color w:val="auto"/>
                <w:szCs w:val="21"/>
                <w:highlight w:val="none"/>
              </w:rPr>
              <w:t>采购编号：</w:t>
            </w:r>
            <w:r>
              <w:rPr>
                <w:rFonts w:hint="eastAsia" w:ascii="宋体" w:hAnsi="宋体"/>
                <w:color w:val="auto"/>
                <w:szCs w:val="21"/>
                <w:highlight w:val="none"/>
                <w:lang w:eastAsia="zh-CN"/>
              </w:rPr>
              <w:t>YZCG-DLG2023096</w:t>
            </w:r>
            <w:r>
              <w:rPr>
                <w:rFonts w:hint="eastAsia" w:ascii="宋体" w:hAnsi="宋体"/>
                <w:color w:val="auto"/>
                <w:szCs w:val="21"/>
                <w:highlight w:val="none"/>
              </w:rPr>
              <w:t xml:space="preserve">  （</w:t>
            </w:r>
            <w:r>
              <w:rPr>
                <w:rFonts w:hint="eastAsia" w:ascii="宋体" w:hAnsi="宋体"/>
                <w:color w:val="auto"/>
                <w:szCs w:val="21"/>
                <w:highlight w:val="none"/>
                <w:lang w:val="zh-CN"/>
              </w:rPr>
              <w:t>编制响应文件时项目编号以该采购编号为准</w:t>
            </w:r>
            <w:r>
              <w:rPr>
                <w:rFonts w:hint="eastAsia" w:ascii="宋体" w:hAnsi="宋体"/>
                <w:color w:val="auto"/>
                <w:szCs w:val="21"/>
                <w:highlight w:val="none"/>
              </w:rPr>
              <w:t>）</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lang w:val="zh-CN"/>
              </w:rPr>
              <w:t>项目内容：详见招标文件第二章项目需求；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2" w:type="dxa"/>
            <w:vAlign w:val="center"/>
          </w:tcPr>
          <w:p>
            <w:pPr>
              <w:autoSpaceDE w:val="0"/>
              <w:autoSpaceDN w:val="0"/>
              <w:adjustRightInd w:val="0"/>
              <w:spacing w:line="390" w:lineRule="exact"/>
              <w:jc w:val="center"/>
              <w:rPr>
                <w:rFonts w:ascii="宋体" w:hAnsi="宋体" w:cs="TimesNewRomanPSMT"/>
                <w:color w:val="auto"/>
                <w:szCs w:val="21"/>
                <w:highlight w:val="none"/>
              </w:rPr>
            </w:pPr>
            <w:r>
              <w:rPr>
                <w:rFonts w:hint="eastAsia" w:ascii="宋体" w:hAnsi="宋体" w:cs="TimesNewRomanPSMT"/>
                <w:color w:val="auto"/>
                <w:szCs w:val="21"/>
                <w:highlight w:val="none"/>
              </w:rPr>
              <w:t>2</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采购人</w:t>
            </w:r>
          </w:p>
        </w:tc>
        <w:tc>
          <w:tcPr>
            <w:tcW w:w="7140" w:type="dxa"/>
            <w:vAlign w:val="center"/>
          </w:tcPr>
          <w:p>
            <w:pPr>
              <w:spacing w:line="400" w:lineRule="exact"/>
              <w:jc w:val="left"/>
              <w:rPr>
                <w:color w:val="auto"/>
                <w:highlight w:val="none"/>
                <w:lang w:val="zh-CN"/>
              </w:rPr>
            </w:pPr>
            <w:r>
              <w:rPr>
                <w:rFonts w:hint="eastAsia"/>
                <w:color w:val="auto"/>
                <w:highlight w:val="none"/>
                <w:lang w:val="zh-CN"/>
              </w:rPr>
              <w:t>采购单位：</w:t>
            </w:r>
            <w:r>
              <w:rPr>
                <w:rFonts w:hint="eastAsia" w:ascii="宋体" w:hAnsi="宋体"/>
                <w:color w:val="auto"/>
                <w:highlight w:val="none"/>
              </w:rPr>
              <w:t>禹州市林业服务中心</w:t>
            </w:r>
          </w:p>
          <w:p>
            <w:pPr>
              <w:spacing w:line="400" w:lineRule="exact"/>
              <w:rPr>
                <w:color w:val="auto"/>
                <w:highlight w:val="none"/>
              </w:rPr>
            </w:pPr>
            <w:r>
              <w:rPr>
                <w:rFonts w:hint="eastAsia"/>
                <w:color w:val="auto"/>
                <w:highlight w:val="none"/>
              </w:rPr>
              <w:t>地址：禹州市禹王大道</w:t>
            </w:r>
          </w:p>
          <w:p>
            <w:pPr>
              <w:autoSpaceDE w:val="0"/>
              <w:autoSpaceDN w:val="0"/>
              <w:adjustRightInd w:val="0"/>
              <w:spacing w:line="400" w:lineRule="exact"/>
              <w:jc w:val="left"/>
              <w:rPr>
                <w:rFonts w:ascii="仿宋" w:hAnsi="仿宋" w:eastAsia="仿宋" w:cs="仿宋"/>
                <w:color w:val="auto"/>
                <w:szCs w:val="21"/>
                <w:highlight w:val="none"/>
              </w:rPr>
            </w:pPr>
            <w:r>
              <w:rPr>
                <w:rFonts w:hint="eastAsia"/>
                <w:color w:val="auto"/>
                <w:highlight w:val="none"/>
              </w:rPr>
              <w:t xml:space="preserve">联系人：李先生      </w:t>
            </w:r>
            <w:r>
              <w:rPr>
                <w:rFonts w:hint="eastAsia" w:ascii="宋体" w:hAnsi="宋体"/>
                <w:color w:val="auto"/>
                <w:highlight w:val="none"/>
              </w:rPr>
              <w:t xml:space="preserve">联系电话：13503740998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代理机构</w:t>
            </w:r>
          </w:p>
        </w:tc>
        <w:tc>
          <w:tcPr>
            <w:tcW w:w="7140" w:type="dxa"/>
            <w:vAlign w:val="center"/>
          </w:tcPr>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代理机构：河南苍柏工程管理服务有限公司</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lang w:val="zh-CN"/>
              </w:rPr>
              <w:t xml:space="preserve">联系人：李先生         联系电话：0374-8335656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restart"/>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4</w:t>
            </w:r>
          </w:p>
        </w:tc>
        <w:tc>
          <w:tcPr>
            <w:tcW w:w="2085" w:type="dxa"/>
            <w:vMerge w:val="restart"/>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投标人资格</w:t>
            </w:r>
          </w:p>
        </w:tc>
        <w:tc>
          <w:tcPr>
            <w:tcW w:w="7140" w:type="dxa"/>
            <w:vAlign w:val="center"/>
          </w:tcPr>
          <w:p>
            <w:pPr>
              <w:autoSpaceDE w:val="0"/>
              <w:autoSpaceDN w:val="0"/>
              <w:adjustRightInd w:val="0"/>
              <w:spacing w:line="440" w:lineRule="exact"/>
              <w:rPr>
                <w:rFonts w:ascii="宋体" w:hAnsi="宋体"/>
                <w:color w:val="auto"/>
                <w:szCs w:val="21"/>
                <w:highlight w:val="none"/>
                <w:lang w:val="zh-CN"/>
              </w:rPr>
            </w:pPr>
            <w:r>
              <w:rPr>
                <w:rFonts w:hint="eastAsia" w:ascii="宋体" w:hAnsi="宋体"/>
                <w:color w:val="auto"/>
                <w:szCs w:val="21"/>
                <w:highlight w:val="none"/>
                <w:lang w:val="zh-CN"/>
              </w:rPr>
              <w:t>一、符合《政府采购法》第二十二条规定：</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1．具有独立承担民事责任的能力；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2．具有良好的商业信誉和健全的财务会计制度；</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3．具有履行合同所必需的设备和专业技术能力；</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4．具有依法缴纳税收和社会保障资金的良好记录；</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5．参加政府采购活动前三年内，在经营活动中没有重大违法记录；</w:t>
            </w:r>
          </w:p>
          <w:p>
            <w:pPr>
              <w:pStyle w:val="10"/>
              <w:ind w:left="0" w:leftChars="0" w:firstLine="0" w:firstLineChars="0"/>
              <w:rPr>
                <w:color w:val="auto"/>
                <w:highlight w:val="none"/>
                <w:lang w:val="zh-CN"/>
              </w:rPr>
            </w:pPr>
            <w:r>
              <w:rPr>
                <w:rFonts w:hint="eastAsia" w:ascii="宋体" w:hAnsi="宋体"/>
                <w:color w:val="auto"/>
                <w:sz w:val="21"/>
                <w:szCs w:val="21"/>
                <w:highlight w:val="none"/>
              </w:rPr>
              <w:t>二、供应商须具有有效的林业调查规划设计乙级(含)以上资质；拟派项目负责人须具备林业等相关专业高级工程师及以上职称；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autoSpaceDE w:val="0"/>
              <w:autoSpaceDN w:val="0"/>
              <w:adjustRightInd w:val="0"/>
              <w:spacing w:line="390" w:lineRule="exact"/>
              <w:jc w:val="center"/>
              <w:rPr>
                <w:rFonts w:ascii="宋体" w:hAnsi="宋体" w:cs="黑体"/>
                <w:color w:val="auto"/>
                <w:szCs w:val="21"/>
                <w:highlight w:val="none"/>
              </w:rPr>
            </w:pPr>
          </w:p>
        </w:tc>
        <w:tc>
          <w:tcPr>
            <w:tcW w:w="2085" w:type="dxa"/>
            <w:vMerge w:val="continue"/>
            <w:vAlign w:val="center"/>
          </w:tcPr>
          <w:p>
            <w:pPr>
              <w:autoSpaceDE w:val="0"/>
              <w:autoSpaceDN w:val="0"/>
              <w:adjustRightInd w:val="0"/>
              <w:spacing w:line="390" w:lineRule="exact"/>
              <w:jc w:val="center"/>
              <w:rPr>
                <w:rFonts w:ascii="宋体" w:hAnsi="宋体" w:cs="微软雅黑"/>
                <w:b/>
                <w:color w:val="auto"/>
                <w:szCs w:val="21"/>
                <w:highlight w:val="none"/>
              </w:rPr>
            </w:pPr>
          </w:p>
        </w:tc>
        <w:tc>
          <w:tcPr>
            <w:tcW w:w="7140" w:type="dxa"/>
            <w:vAlign w:val="center"/>
          </w:tcPr>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lang w:val="zh-CN"/>
              </w:rPr>
              <w:t>注：</w:t>
            </w:r>
            <w:r>
              <w:rPr>
                <w:rFonts w:hint="eastAsia" w:ascii="宋体" w:hAnsi="宋体"/>
                <w:color w:val="auto"/>
                <w:szCs w:val="21"/>
                <w:highlight w:val="none"/>
              </w:rPr>
              <w:t>1、</w:t>
            </w:r>
            <w:r>
              <w:rPr>
                <w:rFonts w:hint="eastAsia" w:ascii="宋体" w:hAnsi="宋体"/>
                <w:color w:val="auto"/>
                <w:szCs w:val="21"/>
                <w:highlight w:val="none"/>
                <w:lang w:val="zh-CN"/>
              </w:rPr>
              <w:t>供应商在投标时，提供《禹州市政府采购供应商信用承诺函》（详见招标文件第八章3.5格式），无需再提交上述证明材料。</w:t>
            </w:r>
          </w:p>
          <w:p>
            <w:pPr>
              <w:autoSpaceDE w:val="0"/>
              <w:autoSpaceDN w:val="0"/>
              <w:adjustRightInd w:val="0"/>
              <w:spacing w:line="400" w:lineRule="exact"/>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采购人有权在签订合同前要求中标供应商提供相关证明材料以核实中标供应商承诺事项的真实性。</w:t>
            </w:r>
          </w:p>
          <w:p>
            <w:pPr>
              <w:autoSpaceDE w:val="0"/>
              <w:autoSpaceDN w:val="0"/>
              <w:adjustRightInd w:val="0"/>
              <w:spacing w:line="400" w:lineRule="exact"/>
              <w:jc w:val="left"/>
              <w:rPr>
                <w:rFonts w:ascii="宋体" w:hAnsi="宋体" w:cs="仿宋_GB2312"/>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zh-CN"/>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联合体投标</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kern w:val="0"/>
                <w:szCs w:val="21"/>
                <w:highlight w:val="none"/>
              </w:rPr>
              <w:t>本项目</w:t>
            </w: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
                <w:color w:val="auto"/>
                <w:kern w:val="0"/>
                <w:szCs w:val="21"/>
                <w:highlight w:val="none"/>
              </w:rPr>
              <w:t xml:space="preserve"> </w:t>
            </w:r>
            <w:r>
              <w:rPr>
                <w:rFonts w:hint="eastAsia" w:ascii="宋体" w:hAnsi="宋体"/>
                <w:color w:val="auto"/>
                <w:kern w:val="0"/>
                <w:szCs w:val="21"/>
                <w:highlight w:val="none"/>
              </w:rPr>
              <w:t xml:space="preserve">不接受  </w:t>
            </w:r>
            <w:r>
              <w:rPr>
                <w:rFonts w:hint="eastAsia" w:ascii="宋体" w:hAnsi="宋体"/>
                <w:bCs/>
                <w:color w:val="auto"/>
                <w:szCs w:val="21"/>
                <w:highlight w:val="none"/>
                <w:lang w:val="zh-CN"/>
              </w:rPr>
              <w:t>□接受</w:t>
            </w:r>
            <w:r>
              <w:rPr>
                <w:rFonts w:hint="eastAsia" w:ascii="宋体" w:hAnsi="宋体"/>
                <w:color w:val="auto"/>
                <w:kern w:val="0"/>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微软雅黑"/>
                <w:b/>
                <w:color w:val="auto"/>
                <w:szCs w:val="21"/>
                <w:highlight w:val="none"/>
              </w:rPr>
              <w:t>★</w:t>
            </w:r>
            <w:r>
              <w:rPr>
                <w:rFonts w:hint="eastAsia" w:ascii="宋体" w:hAnsi="宋体"/>
                <w:bCs/>
                <w:color w:val="auto"/>
                <w:szCs w:val="21"/>
                <w:highlight w:val="none"/>
                <w:lang w:val="zh-CN"/>
              </w:rPr>
              <w:t>最高限价</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rPr>
              <w:t>招标控制价（最高限价）：</w:t>
            </w:r>
            <w:r>
              <w:rPr>
                <w:rFonts w:hint="eastAsia" w:ascii="宋体" w:hAnsi="宋体"/>
                <w:b/>
                <w:bCs/>
                <w:color w:val="auto"/>
                <w:szCs w:val="21"/>
                <w:highlight w:val="none"/>
              </w:rPr>
              <w:t>311.32</w:t>
            </w:r>
            <w:r>
              <w:rPr>
                <w:rFonts w:hint="eastAsia" w:ascii="宋体" w:hAnsi="宋体"/>
                <w:bCs/>
                <w:color w:val="auto"/>
                <w:szCs w:val="21"/>
                <w:highlight w:val="none"/>
              </w:rPr>
              <w:t>万</w:t>
            </w:r>
            <w:r>
              <w:rPr>
                <w:rFonts w:hint="eastAsia" w:ascii="宋体" w:hAnsi="宋体"/>
                <w:bCs/>
                <w:color w:val="auto"/>
                <w:szCs w:val="21"/>
                <w:highlight w:val="none"/>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现场考察</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不组织</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
                <w:bCs/>
                <w:color w:val="auto"/>
                <w:szCs w:val="21"/>
                <w:highlight w:val="none"/>
                <w:lang w:val="zh-CN"/>
              </w:rPr>
              <w:t>□</w:t>
            </w:r>
            <w:r>
              <w:rPr>
                <w:rFonts w:hint="eastAsia" w:ascii="宋体" w:hAnsi="宋体"/>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8</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ascii="宋体" w:hAnsi="宋体"/>
                <w:bCs/>
                <w:color w:val="auto"/>
                <w:szCs w:val="21"/>
                <w:highlight w:val="none"/>
                <w:lang w:val="zh-CN"/>
              </w:rPr>
              <w:t>开标前答疑会</w:t>
            </w:r>
          </w:p>
        </w:tc>
        <w:tc>
          <w:tcPr>
            <w:tcW w:w="7140" w:type="dxa"/>
            <w:vAlign w:val="center"/>
          </w:tcPr>
          <w:p>
            <w:pPr>
              <w:autoSpaceDE w:val="0"/>
              <w:autoSpaceDN w:val="0"/>
              <w:adjustRightInd w:val="0"/>
              <w:spacing w:line="390" w:lineRule="exact"/>
              <w:rPr>
                <w:rFonts w:ascii="宋体" w:hAnsi="宋体"/>
                <w:color w:val="auto"/>
                <w:kern w:val="0"/>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不召开</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9</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进口产品参与</w:t>
            </w:r>
          </w:p>
        </w:tc>
        <w:tc>
          <w:tcPr>
            <w:tcW w:w="7140" w:type="dxa"/>
            <w:vAlign w:val="center"/>
          </w:tcPr>
          <w:p>
            <w:pPr>
              <w:autoSpaceDE w:val="0"/>
              <w:autoSpaceDN w:val="0"/>
              <w:adjustRightInd w:val="0"/>
              <w:spacing w:line="390" w:lineRule="exact"/>
              <w:rPr>
                <w:rFonts w:ascii="宋体" w:hAnsi="宋体"/>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10</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微软雅黑"/>
                <w:b/>
                <w:color w:val="auto"/>
                <w:szCs w:val="21"/>
                <w:highlight w:val="none"/>
              </w:rPr>
              <w:t>★</w:t>
            </w:r>
            <w:r>
              <w:rPr>
                <w:rFonts w:hint="eastAsia" w:ascii="宋体" w:hAnsi="宋体" w:cs="仿宋_GB2312"/>
                <w:color w:val="auto"/>
                <w:szCs w:val="21"/>
                <w:highlight w:val="none"/>
              </w:rPr>
              <w:t>投标有效期</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宋体" w:hAnsi="宋体" w:cs="仿宋_GB2312"/>
                <w:color w:val="auto"/>
                <w:szCs w:val="21"/>
                <w:highlight w:val="none"/>
              </w:rPr>
              <w:t>90天（自</w:t>
            </w:r>
            <w:r>
              <w:rPr>
                <w:rFonts w:hint="eastAsia" w:ascii="宋体" w:hAnsi="宋体"/>
                <w:color w:val="auto"/>
                <w:kern w:val="0"/>
                <w:szCs w:val="21"/>
                <w:highlight w:val="none"/>
              </w:rPr>
              <w:t>提交投标文件的截止之日起算</w:t>
            </w:r>
            <w:r>
              <w:rPr>
                <w:rFonts w:hint="eastAsia" w:ascii="宋体" w:hAnsi="宋体" w:cs="仿宋_GB2312"/>
                <w:color w:val="auto"/>
                <w:szCs w:val="21"/>
                <w:highlight w:val="none"/>
              </w:rPr>
              <w:t>）</w:t>
            </w:r>
          </w:p>
          <w:p>
            <w:pPr>
              <w:autoSpaceDE w:val="0"/>
              <w:autoSpaceDN w:val="0"/>
              <w:adjustRightInd w:val="0"/>
              <w:spacing w:line="390" w:lineRule="exact"/>
              <w:rPr>
                <w:rFonts w:ascii="宋体" w:hAnsi="宋体" w:cs="仿宋_GB2312"/>
                <w:color w:val="auto"/>
                <w:szCs w:val="21"/>
                <w:highlight w:val="none"/>
              </w:rPr>
            </w:pPr>
            <w:r>
              <w:rPr>
                <w:rFonts w:ascii="宋体" w:hAnsi="宋体" w:cs="仿宋_GB2312"/>
                <w:color w:val="auto"/>
                <w:szCs w:val="21"/>
                <w:highlight w:val="none"/>
                <w:lang w:val="zh-CN"/>
              </w:rPr>
              <w:t>中标</w:t>
            </w:r>
            <w:r>
              <w:rPr>
                <w:rFonts w:hint="eastAsia" w:ascii="宋体" w:hAnsi="宋体" w:cs="仿宋_GB2312"/>
                <w:color w:val="auto"/>
                <w:szCs w:val="21"/>
                <w:highlight w:val="none"/>
                <w:lang w:val="zh-CN"/>
              </w:rPr>
              <w:t>人投标</w:t>
            </w:r>
            <w:r>
              <w:rPr>
                <w:rFonts w:ascii="宋体" w:hAnsi="宋体" w:cs="仿宋_GB2312"/>
                <w:color w:val="auto"/>
                <w:szCs w:val="21"/>
                <w:highlight w:val="none"/>
                <w:lang w:val="zh-CN"/>
              </w:rPr>
              <w:t>有效期延</w:t>
            </w:r>
            <w:r>
              <w:rPr>
                <w:rFonts w:hint="eastAsia" w:ascii="宋体" w:hAnsi="宋体" w:cs="仿宋_GB2312"/>
                <w:color w:val="auto"/>
                <w:szCs w:val="21"/>
                <w:highlight w:val="none"/>
                <w:lang w:val="zh-CN"/>
              </w:rPr>
              <w:t>至合同</w:t>
            </w:r>
            <w:r>
              <w:rPr>
                <w:rFonts w:ascii="宋体" w:hAnsi="宋体" w:cs="仿宋_GB2312"/>
                <w:color w:val="auto"/>
                <w:szCs w:val="21"/>
                <w:highlight w:val="none"/>
                <w:lang w:val="zh-CN"/>
              </w:rPr>
              <w:t>验收之日</w:t>
            </w:r>
            <w:r>
              <w:rPr>
                <w:rFonts w:hint="eastAsia" w:ascii="宋体" w:hAnsi="宋体" w:cs="仿宋_GB2312"/>
                <w:color w:val="auto"/>
                <w:szCs w:val="21"/>
                <w:highlight w:val="none"/>
                <w:lang w:val="zh-CN"/>
              </w:rPr>
              <w:t>，</w:t>
            </w:r>
            <w:r>
              <w:rPr>
                <w:rFonts w:hint="eastAsia" w:ascii="宋体" w:hAnsi="宋体"/>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11</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中标人将本项目</w:t>
            </w:r>
          </w:p>
          <w:p>
            <w:pPr>
              <w:autoSpaceDE w:val="0"/>
              <w:autoSpaceDN w:val="0"/>
              <w:adjustRightInd w:val="0"/>
              <w:jc w:val="center"/>
              <w:rPr>
                <w:rFonts w:ascii="宋体" w:hAnsi="宋体"/>
                <w:bCs/>
                <w:color w:val="auto"/>
                <w:szCs w:val="21"/>
                <w:highlight w:val="none"/>
                <w:lang w:val="zh-CN"/>
              </w:rPr>
            </w:pPr>
            <w:r>
              <w:rPr>
                <w:rFonts w:ascii="宋体" w:hAnsi="宋体"/>
                <w:bCs/>
                <w:color w:val="auto"/>
                <w:szCs w:val="21"/>
                <w:highlight w:val="none"/>
                <w:lang w:val="zh-CN"/>
              </w:rPr>
              <w:t>非主体、非关键性</w:t>
            </w:r>
          </w:p>
          <w:p>
            <w:pPr>
              <w:autoSpaceDE w:val="0"/>
              <w:autoSpaceDN w:val="0"/>
              <w:adjustRightInd w:val="0"/>
              <w:jc w:val="center"/>
              <w:rPr>
                <w:rFonts w:ascii="宋体" w:hAnsi="宋体" w:cs="仿宋_GB2312"/>
                <w:color w:val="auto"/>
                <w:szCs w:val="21"/>
                <w:highlight w:val="none"/>
              </w:rPr>
            </w:pPr>
            <w:r>
              <w:rPr>
                <w:rFonts w:ascii="宋体" w:hAnsi="宋体"/>
                <w:bCs/>
                <w:color w:val="auto"/>
                <w:szCs w:val="21"/>
                <w:highlight w:val="none"/>
                <w:lang w:val="zh-CN"/>
              </w:rPr>
              <w:t>工作分包</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 xml:space="preserve">不允许   </w:t>
            </w:r>
            <w:r>
              <w:rPr>
                <w:rFonts w:hint="eastAsia" w:ascii="宋体" w:hAnsi="宋体"/>
                <w:b/>
                <w:bCs/>
                <w:color w:val="auto"/>
                <w:szCs w:val="21"/>
                <w:highlight w:val="none"/>
                <w:lang w:val="zh-CN"/>
              </w:rPr>
              <w:t>□</w:t>
            </w:r>
            <w:r>
              <w:rPr>
                <w:rFonts w:hint="eastAsia" w:ascii="宋体" w:hAnsi="宋体" w:cs="仿宋_GB2312"/>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12</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投标截止</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及开标时间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szCs w:val="21"/>
                <w:highlight w:val="none"/>
              </w:rPr>
              <w:t>2023年</w:t>
            </w:r>
            <w:r>
              <w:rPr>
                <w:rFonts w:hint="eastAsia" w:ascii="宋体" w:hAnsi="宋体"/>
                <w:color w:val="auto"/>
                <w:szCs w:val="21"/>
                <w:highlight w:val="none"/>
                <w:lang w:val="en-US" w:eastAsia="zh-CN"/>
              </w:rPr>
              <w:t>09</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日上午8时30分</w:t>
            </w:r>
            <w:r>
              <w:rPr>
                <w:rFonts w:hint="eastAsia" w:ascii="宋体" w:hAnsi="宋体"/>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13</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开标地点</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s="仿宋_GB2312"/>
                <w:color w:val="auto"/>
                <w:szCs w:val="21"/>
                <w:highlight w:val="none"/>
              </w:rPr>
              <w:t>开标地点：禹州市公共资源交易中心开标</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 xml:space="preserve">2 </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室（</w:t>
            </w:r>
            <w:r>
              <w:rPr>
                <w:rFonts w:hint="eastAsia" w:ascii="宋体" w:hAnsi="宋体" w:cs="Arial"/>
                <w:b/>
                <w:color w:val="auto"/>
                <w:szCs w:val="21"/>
                <w:highlight w:val="none"/>
              </w:rPr>
              <w:t>本项目采用远程不见面开标，投标人无须到交易中心现场</w:t>
            </w:r>
            <w:r>
              <w:rPr>
                <w:rFonts w:hint="eastAsia" w:ascii="宋体" w:hAnsi="宋体" w:cs="Arial"/>
                <w:color w:val="auto"/>
                <w:szCs w:val="21"/>
                <w:highlight w:val="none"/>
              </w:rPr>
              <w:t>）</w:t>
            </w:r>
            <w:r>
              <w:rPr>
                <w:rFonts w:hint="eastAsia" w:ascii="宋体" w:hAnsi="宋体"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kern w:val="0"/>
                <w:szCs w:val="21"/>
                <w:highlight w:val="none"/>
              </w:rPr>
              <w:t>投标保证金</w:t>
            </w:r>
          </w:p>
        </w:tc>
        <w:tc>
          <w:tcPr>
            <w:tcW w:w="7140" w:type="dxa"/>
            <w:vAlign w:val="center"/>
          </w:tcPr>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本项目不收取。</w:t>
            </w:r>
          </w:p>
          <w:p>
            <w:pPr>
              <w:tabs>
                <w:tab w:val="left" w:pos="1260"/>
              </w:tabs>
              <w:autoSpaceDE w:val="0"/>
              <w:autoSpaceDN w:val="0"/>
              <w:adjustRightInd w:val="0"/>
              <w:spacing w:line="390" w:lineRule="exact"/>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15</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公告发布</w:t>
            </w:r>
          </w:p>
        </w:tc>
        <w:tc>
          <w:tcPr>
            <w:tcW w:w="7140" w:type="dxa"/>
            <w:tcBorders>
              <w:top w:val="single" w:color="auto" w:sz="4" w:space="0"/>
            </w:tcBorders>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color w:val="auto"/>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16</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仿宋_GB2312"/>
                <w:color w:val="auto"/>
                <w:szCs w:val="21"/>
                <w:highlight w:val="none"/>
              </w:rPr>
              <w:t>采购人澄清或修改</w:t>
            </w:r>
          </w:p>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仿宋_GB2312"/>
                <w:color w:val="auto"/>
                <w:szCs w:val="21"/>
                <w:highlight w:val="none"/>
              </w:rPr>
              <w:t>磋商文件时间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17</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投标人对采购文件</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质疑截止时间</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Cs/>
                <w:color w:val="auto"/>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18</w:t>
            </w:r>
          </w:p>
        </w:tc>
        <w:tc>
          <w:tcPr>
            <w:tcW w:w="2085"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投标文件份数</w:t>
            </w:r>
          </w:p>
        </w:tc>
        <w:tc>
          <w:tcPr>
            <w:tcW w:w="7140" w:type="dxa"/>
            <w:vAlign w:val="center"/>
          </w:tcPr>
          <w:p>
            <w:pPr>
              <w:autoSpaceDE w:val="0"/>
              <w:autoSpaceDN w:val="0"/>
              <w:adjustRightInd w:val="0"/>
              <w:spacing w:line="390" w:lineRule="exact"/>
              <w:rPr>
                <w:rFonts w:ascii="宋体" w:hAnsi="宋体"/>
                <w:color w:val="auto"/>
                <w:szCs w:val="21"/>
                <w:highlight w:val="none"/>
                <w:lang w:val="zh-CN"/>
              </w:rPr>
            </w:pPr>
            <w:r>
              <w:rPr>
                <w:rFonts w:hint="eastAsia" w:ascii="宋体" w:hAnsi="宋体"/>
                <w:color w:val="auto"/>
                <w:szCs w:val="21"/>
                <w:highlight w:val="none"/>
              </w:rPr>
              <w:t>电子投标文件：成功上传至《全国公共资源交易平台（河南省·许昌市）》公共资源交易系统加密电子投标文件1份</w:t>
            </w:r>
            <w:r>
              <w:rPr>
                <w:rFonts w:hint="eastAsia" w:ascii="宋体" w:hAnsi="宋体"/>
                <w:color w:val="auto"/>
                <w:szCs w:val="21"/>
                <w:highlight w:val="none"/>
                <w:lang w:val="zh-CN"/>
              </w:rPr>
              <w:t>（文件格式为： XXX公司XXX项目编号.file）。</w:t>
            </w:r>
          </w:p>
          <w:p>
            <w:pPr>
              <w:autoSpaceDE w:val="0"/>
              <w:autoSpaceDN w:val="0"/>
              <w:adjustRightInd w:val="0"/>
              <w:spacing w:line="390" w:lineRule="exact"/>
              <w:rPr>
                <w:rFonts w:ascii="宋体" w:hAnsi="宋体"/>
                <w:bCs/>
                <w:color w:val="auto"/>
                <w:szCs w:val="21"/>
                <w:highlight w:val="none"/>
                <w:lang w:val="zh-CN"/>
              </w:rPr>
            </w:pPr>
            <w:r>
              <w:rPr>
                <w:rFonts w:hint="eastAsia" w:hAnsi="宋体"/>
                <w:b/>
                <w:color w:val="auto"/>
                <w:szCs w:val="21"/>
                <w:highlight w:val="none"/>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19</w:t>
            </w:r>
          </w:p>
        </w:tc>
        <w:tc>
          <w:tcPr>
            <w:tcW w:w="2085" w:type="dxa"/>
            <w:vAlign w:val="center"/>
          </w:tcPr>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投标文件的</w:t>
            </w:r>
          </w:p>
          <w:p>
            <w:pPr>
              <w:autoSpaceDE w:val="0"/>
              <w:autoSpaceDN w:val="0"/>
              <w:adjustRightInd w:val="0"/>
              <w:jc w:val="center"/>
              <w:rPr>
                <w:rFonts w:ascii="宋体" w:hAnsi="宋体" w:cs="黑体"/>
                <w:color w:val="auto"/>
                <w:szCs w:val="21"/>
                <w:highlight w:val="none"/>
              </w:rPr>
            </w:pPr>
            <w:r>
              <w:rPr>
                <w:rFonts w:hint="eastAsia" w:ascii="宋体" w:hAnsi="宋体" w:cs="黑体"/>
                <w:color w:val="auto"/>
                <w:szCs w:val="21"/>
                <w:highlight w:val="none"/>
              </w:rPr>
              <w:t>签署盖章</w:t>
            </w:r>
          </w:p>
        </w:tc>
        <w:tc>
          <w:tcPr>
            <w:tcW w:w="7140" w:type="dxa"/>
            <w:vAlign w:val="center"/>
          </w:tcPr>
          <w:p>
            <w:pPr>
              <w:autoSpaceDE w:val="0"/>
              <w:autoSpaceDN w:val="0"/>
              <w:adjustRightInd w:val="0"/>
              <w:spacing w:line="390" w:lineRule="exact"/>
              <w:rPr>
                <w:rFonts w:ascii="宋体" w:hAnsi="宋体" w:cs="仿宋_GB2312"/>
                <w:color w:val="auto"/>
                <w:szCs w:val="21"/>
                <w:highlight w:val="none"/>
              </w:rPr>
            </w:pPr>
            <w:r>
              <w:rPr>
                <w:rFonts w:hint="eastAsia" w:ascii="新宋体" w:hAnsi="新宋体" w:eastAsia="新宋体"/>
                <w:color w:val="auto"/>
                <w:szCs w:val="21"/>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cs="黑体" w:asciiTheme="minorEastAsia" w:hAnsiTheme="minorEastAsia"/>
                <w:color w:val="auto"/>
                <w:szCs w:val="21"/>
                <w:highlight w:val="none"/>
              </w:rPr>
              <w:t>2</w:t>
            </w:r>
            <w:r>
              <w:rPr>
                <w:rFonts w:hint="eastAsia" w:cs="黑体" w:asciiTheme="minorEastAsia" w:hAnsiTheme="minorEastAsia"/>
                <w:color w:val="auto"/>
                <w:szCs w:val="21"/>
                <w:highlight w:val="none"/>
              </w:rPr>
              <w:t>0</w:t>
            </w:r>
          </w:p>
        </w:tc>
        <w:tc>
          <w:tcPr>
            <w:tcW w:w="2085" w:type="dxa"/>
            <w:vAlign w:val="center"/>
          </w:tcPr>
          <w:p>
            <w:pPr>
              <w:autoSpaceDE w:val="0"/>
              <w:autoSpaceDN w:val="0"/>
              <w:adjustRightInd w:val="0"/>
              <w:jc w:val="center"/>
              <w:rPr>
                <w:rFonts w:ascii="宋体" w:hAnsi="宋体" w:cs="仿宋"/>
                <w:color w:val="auto"/>
                <w:szCs w:val="21"/>
                <w:highlight w:val="none"/>
              </w:rPr>
            </w:pPr>
            <w:r>
              <w:rPr>
                <w:rFonts w:hint="eastAsia" w:ascii="宋体" w:hAnsi="宋体" w:cs="仿宋"/>
                <w:color w:val="auto"/>
                <w:szCs w:val="21"/>
                <w:highlight w:val="none"/>
              </w:rPr>
              <w:t>本项目是否采</w:t>
            </w:r>
          </w:p>
          <w:p>
            <w:pPr>
              <w:autoSpaceDE w:val="0"/>
              <w:autoSpaceDN w:val="0"/>
              <w:adjustRightInd w:val="0"/>
              <w:jc w:val="center"/>
              <w:rPr>
                <w:rFonts w:ascii="宋体" w:hAnsi="宋体" w:cs="黑体"/>
                <w:color w:val="auto"/>
                <w:szCs w:val="21"/>
                <w:highlight w:val="none"/>
              </w:rPr>
            </w:pPr>
            <w:r>
              <w:rPr>
                <w:rFonts w:hint="eastAsia" w:ascii="宋体" w:hAnsi="宋体" w:cs="仿宋"/>
                <w:color w:val="auto"/>
                <w:szCs w:val="21"/>
                <w:highlight w:val="none"/>
              </w:rPr>
              <w:t>用不见面开标</w:t>
            </w:r>
          </w:p>
        </w:tc>
        <w:tc>
          <w:tcPr>
            <w:tcW w:w="7140" w:type="dxa"/>
            <w:vAlign w:val="center"/>
          </w:tcPr>
          <w:p>
            <w:pPr>
              <w:autoSpaceDE w:val="0"/>
              <w:autoSpaceDN w:val="0"/>
              <w:adjustRightInd w:val="0"/>
              <w:spacing w:line="390" w:lineRule="exact"/>
              <w:rPr>
                <w:rFonts w:ascii="新宋体" w:hAnsi="新宋体" w:eastAsia="新宋体"/>
                <w:color w:val="auto"/>
                <w:szCs w:val="21"/>
                <w:highlight w:val="none"/>
              </w:rPr>
            </w:pPr>
            <w:r>
              <w:rPr>
                <w:rFonts w:hint="eastAsia" w:hAnsi="宋体"/>
                <w:color w:val="auto"/>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62" w:type="dxa"/>
            <w:vAlign w:val="center"/>
          </w:tcPr>
          <w:p>
            <w:pPr>
              <w:autoSpaceDE w:val="0"/>
              <w:autoSpaceDN w:val="0"/>
              <w:adjustRightInd w:val="0"/>
              <w:spacing w:line="390" w:lineRule="exact"/>
              <w:jc w:val="center"/>
              <w:rPr>
                <w:rFonts w:ascii="宋体" w:hAnsi="宋体" w:cs="TimesNewRomanPSMT"/>
                <w:color w:val="auto"/>
                <w:szCs w:val="21"/>
                <w:highlight w:val="none"/>
              </w:rPr>
            </w:pPr>
            <w:r>
              <w:rPr>
                <w:rFonts w:hint="eastAsia" w:ascii="宋体" w:hAnsi="宋体" w:cs="TimesNewRomanPSMT"/>
                <w:color w:val="auto"/>
                <w:szCs w:val="21"/>
                <w:highlight w:val="none"/>
              </w:rPr>
              <w:t>21</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cs="黑体"/>
                <w:color w:val="auto"/>
                <w:szCs w:val="21"/>
                <w:highlight w:val="none"/>
              </w:rPr>
              <w:t>评标委员会组建</w:t>
            </w:r>
          </w:p>
        </w:tc>
        <w:tc>
          <w:tcPr>
            <w:tcW w:w="7140" w:type="dxa"/>
            <w:vAlign w:val="center"/>
          </w:tcPr>
          <w:p>
            <w:pPr>
              <w:autoSpaceDE w:val="0"/>
              <w:autoSpaceDN w:val="0"/>
              <w:adjustRightInd w:val="0"/>
              <w:spacing w:line="360" w:lineRule="auto"/>
              <w:rPr>
                <w:rFonts w:ascii="宋体" w:hAnsi="宋体"/>
                <w:bCs/>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ascii="宋体" w:hAnsi="宋体" w:cs="仿宋_GB2312"/>
                <w:color w:val="auto"/>
                <w:szCs w:val="21"/>
                <w:highlight w:val="none"/>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22</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评标方法</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综合评分法</w:t>
            </w:r>
            <w:r>
              <w:rPr>
                <w:rFonts w:hint="eastAsia" w:ascii="宋体" w:hAnsi="宋体"/>
                <w:b/>
                <w:bCs/>
                <w:color w:val="auto"/>
                <w:szCs w:val="21"/>
                <w:highlight w:val="none"/>
                <w:lang w:val="zh-CN"/>
              </w:rPr>
              <w:t>□</w:t>
            </w:r>
            <w:r>
              <w:rPr>
                <w:rFonts w:hint="eastAsia" w:ascii="宋体" w:hAnsi="宋体" w:cs="仿宋_GB2312"/>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23</w:t>
            </w:r>
          </w:p>
        </w:tc>
        <w:tc>
          <w:tcPr>
            <w:tcW w:w="2085" w:type="dxa"/>
            <w:vAlign w:val="center"/>
          </w:tcPr>
          <w:p>
            <w:pPr>
              <w:autoSpaceDE w:val="0"/>
              <w:autoSpaceDN w:val="0"/>
              <w:adjustRightInd w:val="0"/>
              <w:spacing w:line="390" w:lineRule="exact"/>
              <w:jc w:val="center"/>
              <w:rPr>
                <w:rFonts w:ascii="宋体" w:hAnsi="宋体" w:cs="仿宋_GB2312"/>
                <w:color w:val="auto"/>
                <w:szCs w:val="21"/>
                <w:highlight w:val="none"/>
              </w:rPr>
            </w:pPr>
            <w:r>
              <w:rPr>
                <w:rFonts w:hint="eastAsia" w:ascii="宋体" w:hAnsi="宋体"/>
                <w:bCs/>
                <w:color w:val="auto"/>
                <w:szCs w:val="21"/>
                <w:highlight w:val="none"/>
                <w:lang w:val="zh-CN"/>
              </w:rPr>
              <w:t>授权函</w:t>
            </w:r>
          </w:p>
        </w:tc>
        <w:tc>
          <w:tcPr>
            <w:tcW w:w="7140" w:type="dxa"/>
            <w:vAlign w:val="center"/>
          </w:tcPr>
          <w:p>
            <w:pPr>
              <w:autoSpaceDE w:val="0"/>
              <w:autoSpaceDN w:val="0"/>
              <w:adjustRightInd w:val="0"/>
              <w:spacing w:line="390" w:lineRule="exact"/>
              <w:rPr>
                <w:rFonts w:ascii="宋体" w:hAnsi="宋体"/>
                <w:b/>
                <w:color w:val="auto"/>
                <w:kern w:val="0"/>
                <w:szCs w:val="21"/>
                <w:highlight w:val="none"/>
                <w:lang w:val="zh-CN"/>
              </w:rPr>
            </w:pPr>
            <w:r>
              <w:rPr>
                <w:rFonts w:hint="eastAsia" w:ascii="宋体" w:hAnsi="宋体" w:cs="仿宋_GB2312"/>
                <w:color w:val="auto"/>
                <w:szCs w:val="21"/>
                <w:highlight w:val="none"/>
                <w:lang w:val="zh-CN"/>
              </w:rPr>
              <w:t>采购单位委派代表参加资格审</w:t>
            </w:r>
            <w:r>
              <w:rPr>
                <w:rFonts w:hint="eastAsia" w:ascii="新宋体" w:hAnsi="新宋体" w:eastAsia="新宋体"/>
                <w:color w:val="auto"/>
                <w:szCs w:val="21"/>
                <w:highlight w:val="none"/>
              </w:rPr>
              <w:t>查、</w:t>
            </w:r>
            <w:r>
              <w:rPr>
                <w:rFonts w:hint="eastAsia" w:ascii="宋体" w:hAnsi="宋体" w:cs="仿宋_GB2312"/>
                <w:color w:val="auto"/>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中小企业有关政策</w:t>
            </w:r>
          </w:p>
        </w:tc>
        <w:tc>
          <w:tcPr>
            <w:tcW w:w="7140" w:type="dxa"/>
            <w:vAlign w:val="center"/>
          </w:tcPr>
          <w:p>
            <w:pPr>
              <w:spacing w:line="390" w:lineRule="exact"/>
              <w:rPr>
                <w:color w:val="auto"/>
                <w:highlight w:val="none"/>
              </w:rPr>
            </w:pPr>
            <w:r>
              <w:rPr>
                <w:rFonts w:hint="eastAsia"/>
                <w:color w:val="auto"/>
                <w:highlight w:val="none"/>
              </w:rPr>
              <w:t>1、本项目不专门面向中小企业采购。</w:t>
            </w:r>
          </w:p>
          <w:p>
            <w:pPr>
              <w:spacing w:line="390" w:lineRule="exact"/>
              <w:rPr>
                <w:rFonts w:ascii="宋体" w:hAnsi="宋体" w:eastAsia="微软雅黑"/>
                <w:color w:val="auto"/>
                <w:highlight w:val="none"/>
              </w:rPr>
            </w:pPr>
            <w:r>
              <w:rPr>
                <w:rFonts w:hint="eastAsia" w:ascii="宋体" w:hAnsi="宋体" w:cs="仿宋_GB2312"/>
                <w:color w:val="auto"/>
                <w:szCs w:val="21"/>
                <w:highlight w:val="none"/>
                <w:lang w:val="zh-CN"/>
              </w:rPr>
              <w:t>本次采购标的所属行业为</w:t>
            </w:r>
            <w:r>
              <w:rPr>
                <w:rFonts w:hint="eastAsia"/>
                <w:color w:val="auto"/>
                <w:highlight w:val="none"/>
              </w:rPr>
              <w:t>：其他未列明行业</w:t>
            </w:r>
          </w:p>
          <w:p>
            <w:pPr>
              <w:spacing w:line="390" w:lineRule="exact"/>
              <w:rPr>
                <w:rFonts w:ascii="宋体" w:hAnsi="宋体"/>
                <w:color w:val="auto"/>
                <w:highlight w:val="none"/>
              </w:rPr>
            </w:pPr>
            <w:r>
              <w:rPr>
                <w:rFonts w:hint="eastAsia" w:ascii="宋体" w:hAnsi="宋体"/>
                <w:color w:val="auto"/>
                <w:highlight w:val="none"/>
              </w:rPr>
              <w:t>2</w:t>
            </w:r>
            <w:r>
              <w:rPr>
                <w:rFonts w:ascii="宋体" w:hAnsi="宋体"/>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pacing w:line="390" w:lineRule="exact"/>
              <w:rPr>
                <w:rFonts w:ascii="宋体" w:hAnsi="宋体"/>
                <w:color w:val="auto"/>
                <w:highlight w:val="none"/>
              </w:rPr>
            </w:pPr>
            <w:r>
              <w:rPr>
                <w:rFonts w:ascii="宋体" w:hAnsi="宋体"/>
                <w:color w:val="auto"/>
                <w:highlight w:val="none"/>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390" w:lineRule="exact"/>
              <w:rPr>
                <w:rFonts w:ascii="宋体" w:hAnsi="宋体"/>
                <w:color w:val="auto"/>
                <w:highlight w:val="none"/>
              </w:rPr>
            </w:pPr>
            <w:r>
              <w:rPr>
                <w:rFonts w:hint="eastAsia" w:ascii="宋体" w:hAnsi="宋体"/>
                <w:color w:val="auto"/>
                <w:highlight w:val="none"/>
              </w:rPr>
              <w:t>4</w:t>
            </w:r>
            <w:r>
              <w:rPr>
                <w:rFonts w:ascii="宋体" w:hAnsi="宋体"/>
                <w:color w:val="auto"/>
                <w:highlight w:val="none"/>
              </w:rPr>
              <w:t>、提供由省级以上监狱管理局、戒毒管理局（含新疆生产建设兵团）出具的属于监狱企业证明文件的，视同为小型和微型企业。</w:t>
            </w:r>
          </w:p>
          <w:p>
            <w:pPr>
              <w:autoSpaceDE w:val="0"/>
              <w:autoSpaceDN w:val="0"/>
              <w:adjustRightInd w:val="0"/>
              <w:spacing w:line="390" w:lineRule="exact"/>
              <w:rPr>
                <w:rFonts w:ascii="宋体" w:hAnsi="宋体"/>
                <w:color w:val="auto"/>
                <w:sz w:val="24"/>
                <w:szCs w:val="24"/>
                <w:highlight w:val="none"/>
                <w:lang w:val="zh-CN"/>
              </w:rPr>
            </w:pPr>
            <w:r>
              <w:rPr>
                <w:rFonts w:hint="eastAsia" w:ascii="宋体" w:hAnsi="宋体"/>
                <w:color w:val="auto"/>
                <w:highlight w:val="none"/>
              </w:rPr>
              <w:t>5</w:t>
            </w:r>
            <w:r>
              <w:rPr>
                <w:rFonts w:ascii="宋体" w:hAnsi="宋体"/>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节能环保要求</w:t>
            </w:r>
          </w:p>
        </w:tc>
        <w:tc>
          <w:tcPr>
            <w:tcW w:w="7140" w:type="dxa"/>
            <w:vAlign w:val="center"/>
          </w:tcPr>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1、本项目强制采购的节能产品：（无）</w:t>
            </w:r>
          </w:p>
          <w:p>
            <w:pPr>
              <w:autoSpaceDE w:val="0"/>
              <w:autoSpaceDN w:val="0"/>
              <w:adjustRightInd w:val="0"/>
              <w:spacing w:line="390" w:lineRule="exact"/>
              <w:rPr>
                <w:rFonts w:ascii="ˎ̥" w:hAnsi="ˎ̥"/>
                <w:color w:val="auto"/>
                <w:highlight w:val="none"/>
              </w:rPr>
            </w:pPr>
            <w:r>
              <w:rPr>
                <w:rFonts w:hint="eastAsia" w:ascii="宋体" w:hAnsi="宋体"/>
                <w:bCs/>
                <w:color w:val="auto"/>
                <w:szCs w:val="21"/>
                <w:highlight w:val="none"/>
              </w:rPr>
              <w:t>2、</w:t>
            </w:r>
            <w:r>
              <w:rPr>
                <w:rFonts w:hint="eastAsia" w:ascii="宋体" w:hAnsi="宋体"/>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信息安全要求</w:t>
            </w:r>
          </w:p>
        </w:tc>
        <w:tc>
          <w:tcPr>
            <w:tcW w:w="7140" w:type="dxa"/>
            <w:vAlign w:val="center"/>
          </w:tcPr>
          <w:p>
            <w:pPr>
              <w:autoSpaceDE w:val="0"/>
              <w:autoSpaceDN w:val="0"/>
              <w:adjustRightInd w:val="0"/>
              <w:spacing w:line="400" w:lineRule="exact"/>
              <w:rPr>
                <w:rFonts w:ascii="宋体" w:hAnsi="宋体"/>
                <w:bCs/>
                <w:color w:val="auto"/>
                <w:szCs w:val="21"/>
                <w:highlight w:val="none"/>
                <w:lang w:val="zh-CN"/>
              </w:rPr>
            </w:pPr>
            <w:r>
              <w:rPr>
                <w:rFonts w:hint="eastAsia" w:ascii="宋体" w:hAnsi="宋体"/>
                <w:color w:val="auto"/>
                <w:szCs w:val="21"/>
                <w:highlight w:val="none"/>
              </w:rPr>
              <w:t>1.本项目信息安全产品为：无</w:t>
            </w:r>
          </w:p>
          <w:p>
            <w:pPr>
              <w:autoSpaceDE w:val="0"/>
              <w:autoSpaceDN w:val="0"/>
              <w:adjustRightInd w:val="0"/>
              <w:spacing w:line="390" w:lineRule="exact"/>
              <w:rPr>
                <w:rFonts w:ascii="宋体" w:hAnsi="宋体"/>
                <w:bCs/>
                <w:color w:val="auto"/>
                <w:szCs w:val="21"/>
                <w:highlight w:val="none"/>
                <w:lang w:val="zh-CN"/>
              </w:rPr>
            </w:pPr>
            <w:r>
              <w:rPr>
                <w:rFonts w:hint="eastAsia" w:ascii="宋体" w:hAnsi="宋体"/>
                <w:bCs/>
                <w:color w:val="auto"/>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代理服务费</w:t>
            </w:r>
          </w:p>
        </w:tc>
        <w:tc>
          <w:tcPr>
            <w:tcW w:w="7140" w:type="dxa"/>
            <w:vAlign w:val="center"/>
          </w:tcPr>
          <w:p>
            <w:pPr>
              <w:spacing w:line="390" w:lineRule="exact"/>
              <w:rPr>
                <w:rFonts w:ascii="宋体" w:hAnsi="宋体"/>
                <w:color w:val="auto"/>
                <w:highlight w:val="none"/>
                <w:lang w:val="zh-CN"/>
              </w:rPr>
            </w:pPr>
            <w:r>
              <w:rPr>
                <w:rFonts w:hint="eastAsia" w:ascii="宋体" w:hAnsi="宋体"/>
                <w:color w:val="auto"/>
                <w:kern w:val="0"/>
                <w:szCs w:val="21"/>
                <w:highlight w:val="none"/>
              </w:rPr>
              <w:t>招标代理服务费由中标人支付，按照豫招协[2023]002&lt;河南省招标代理服务收费指导意见》收取，由中标单位在领取中标通知书时一次性支付给代理机构。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28</w:t>
            </w:r>
          </w:p>
        </w:tc>
        <w:tc>
          <w:tcPr>
            <w:tcW w:w="2085" w:type="dxa"/>
            <w:vAlign w:val="center"/>
          </w:tcPr>
          <w:p>
            <w:pPr>
              <w:spacing w:line="390" w:lineRule="exact"/>
              <w:jc w:val="center"/>
              <w:rPr>
                <w:rFonts w:ascii="宋体" w:hAnsi="宋体"/>
                <w:bCs/>
                <w:color w:val="auto"/>
                <w:szCs w:val="21"/>
                <w:highlight w:val="none"/>
                <w:lang w:val="zh-CN"/>
              </w:rPr>
            </w:pPr>
            <w:r>
              <w:rPr>
                <w:rFonts w:hint="eastAsia" w:ascii="宋体" w:hAnsi="宋体"/>
                <w:color w:val="auto"/>
                <w:highlight w:val="none"/>
              </w:rPr>
              <w:t>中标通知书</w:t>
            </w:r>
          </w:p>
        </w:tc>
        <w:tc>
          <w:tcPr>
            <w:tcW w:w="7140" w:type="dxa"/>
            <w:vAlign w:val="center"/>
          </w:tcPr>
          <w:p>
            <w:pPr>
              <w:spacing w:line="390" w:lineRule="exact"/>
              <w:rPr>
                <w:rFonts w:ascii="宋体" w:hAnsi="宋体"/>
                <w:color w:val="auto"/>
                <w:highlight w:val="none"/>
              </w:rPr>
            </w:pPr>
            <w:r>
              <w:rPr>
                <w:rFonts w:hint="eastAsia" w:ascii="宋体" w:hAnsi="宋体"/>
                <w:color w:val="auto"/>
                <w:szCs w:val="21"/>
                <w:highlight w:val="none"/>
                <w:lang w:val="zh-CN"/>
              </w:rPr>
              <w:t>中标人在接到中标通知时，须向代理机构发送投标报价及分项报价一览表（包含主要中标标的的名称、规格型号、数量、单价、服务要求等）电子文档，联系电话：0374-8335656，邮箱：</w:t>
            </w:r>
            <w:r>
              <w:rPr>
                <w:color w:val="auto"/>
                <w:highlight w:val="none"/>
              </w:rPr>
              <w:fldChar w:fldCharType="begin"/>
            </w:r>
            <w:r>
              <w:rPr>
                <w:color w:val="auto"/>
                <w:highlight w:val="none"/>
              </w:rPr>
              <w:instrText xml:space="preserve"> HYPERLINK "mailto:2350642745@QQ.CO" </w:instrText>
            </w:r>
            <w:r>
              <w:rPr>
                <w:color w:val="auto"/>
                <w:highlight w:val="none"/>
              </w:rPr>
              <w:fldChar w:fldCharType="separate"/>
            </w:r>
            <w:r>
              <w:rPr>
                <w:rStyle w:val="14"/>
                <w:rFonts w:hint="eastAsia" w:ascii="宋体" w:hAnsi="宋体"/>
                <w:color w:val="auto"/>
                <w:szCs w:val="21"/>
                <w:highlight w:val="none"/>
              </w:rPr>
              <w:t>609117053@QQ.c</w:t>
            </w:r>
            <w:r>
              <w:rPr>
                <w:rStyle w:val="14"/>
                <w:rFonts w:hint="eastAsia" w:ascii="宋体" w:hAnsi="宋体"/>
                <w:color w:val="auto"/>
                <w:szCs w:val="21"/>
                <w:highlight w:val="none"/>
              </w:rPr>
              <w:fldChar w:fldCharType="end"/>
            </w:r>
            <w:r>
              <w:rPr>
                <w:rFonts w:hint="eastAsia" w:ascii="宋体" w:hAnsi="宋体"/>
                <w:color w:val="auto"/>
                <w:szCs w:val="21"/>
                <w:highlight w:val="none"/>
              </w:rPr>
              <w:t>om</w:t>
            </w:r>
            <w:r>
              <w:rPr>
                <w:rFonts w:hint="eastAsia" w:ascii="宋体" w:hAnsi="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29</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电子化采购模式</w:t>
            </w:r>
          </w:p>
        </w:tc>
        <w:tc>
          <w:tcPr>
            <w:tcW w:w="7140" w:type="dxa"/>
            <w:vAlign w:val="center"/>
          </w:tcPr>
          <w:p>
            <w:pPr>
              <w:autoSpaceDE w:val="0"/>
              <w:autoSpaceDN w:val="0"/>
              <w:adjustRightInd w:val="0"/>
              <w:spacing w:line="390" w:lineRule="exact"/>
              <w:contextualSpacing/>
              <w:rPr>
                <w:rFonts w:ascii="宋体" w:hAnsi="宋体"/>
                <w:bCs/>
                <w:color w:val="auto"/>
                <w:szCs w:val="21"/>
                <w:highlight w:val="none"/>
                <w:lang w:val="zh-CN"/>
              </w:rPr>
            </w:pPr>
            <w:r>
              <w:rPr>
                <w:rFonts w:ascii="宋体" w:hAnsi="宋体"/>
                <w:b/>
                <w:color w:val="auto"/>
                <w:kern w:val="0"/>
                <w:szCs w:val="21"/>
                <w:highlight w:val="none"/>
                <w:lang w:val="zh-CN"/>
              </w:rPr>
              <w:fldChar w:fldCharType="begin"/>
            </w:r>
            <w:r>
              <w:rPr>
                <w:rFonts w:hint="eastAsia" w:ascii="宋体" w:hAnsi="宋体"/>
                <w:b/>
                <w:color w:val="auto"/>
                <w:kern w:val="0"/>
                <w:szCs w:val="21"/>
                <w:highlight w:val="none"/>
                <w:lang w:val="zh-CN"/>
              </w:rPr>
              <w:instrText xml:space="preserve">eq \o\ac(□,</w:instrText>
            </w:r>
            <w:r>
              <w:rPr>
                <w:rFonts w:hint="eastAsia" w:ascii="宋体" w:hAnsi="宋体"/>
                <w:b/>
                <w:color w:val="auto"/>
                <w:kern w:val="0"/>
                <w:position w:val="2"/>
                <w:sz w:val="13"/>
                <w:szCs w:val="21"/>
                <w:highlight w:val="none"/>
                <w:lang w:val="zh-CN"/>
              </w:rPr>
              <w:instrText xml:space="preserve">√</w:instrText>
            </w:r>
            <w:r>
              <w:rPr>
                <w:rFonts w:hint="eastAsia" w:ascii="宋体" w:hAnsi="宋体"/>
                <w:b/>
                <w:color w:val="auto"/>
                <w:kern w:val="0"/>
                <w:szCs w:val="21"/>
                <w:highlight w:val="none"/>
                <w:lang w:val="zh-CN"/>
              </w:rPr>
              <w:instrText xml:space="preserve">)</w:instrText>
            </w:r>
            <w:r>
              <w:rPr>
                <w:rFonts w:ascii="宋体" w:hAnsi="宋体"/>
                <w:b/>
                <w:color w:val="auto"/>
                <w:kern w:val="0"/>
                <w:szCs w:val="21"/>
                <w:highlight w:val="none"/>
                <w:lang w:val="zh-CN"/>
              </w:rPr>
              <w:fldChar w:fldCharType="end"/>
            </w:r>
            <w:r>
              <w:rPr>
                <w:rFonts w:hint="eastAsia" w:ascii="宋体" w:hAnsi="宋体"/>
                <w:bCs/>
                <w:color w:val="auto"/>
                <w:szCs w:val="21"/>
                <w:highlight w:val="none"/>
                <w:lang w:val="zh-CN"/>
              </w:rPr>
              <w:t>是。</w:t>
            </w:r>
            <w:r>
              <w:rPr>
                <w:rFonts w:hint="eastAsia" w:hAnsi="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0</w:t>
            </w:r>
          </w:p>
        </w:tc>
        <w:tc>
          <w:tcPr>
            <w:tcW w:w="2085" w:type="dxa"/>
            <w:vAlign w:val="center"/>
          </w:tcPr>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投标人代表</w:t>
            </w:r>
          </w:p>
          <w:p>
            <w:pPr>
              <w:autoSpaceDE w:val="0"/>
              <w:autoSpaceDN w:val="0"/>
              <w:adjustRightInd w:val="0"/>
              <w:jc w:val="center"/>
              <w:rPr>
                <w:rFonts w:ascii="宋体" w:hAnsi="宋体"/>
                <w:bCs/>
                <w:color w:val="auto"/>
                <w:szCs w:val="21"/>
                <w:highlight w:val="none"/>
                <w:lang w:val="zh-CN"/>
              </w:rPr>
            </w:pPr>
            <w:r>
              <w:rPr>
                <w:rFonts w:hint="eastAsia" w:ascii="宋体" w:hAnsi="宋体"/>
                <w:bCs/>
                <w:color w:val="auto"/>
                <w:szCs w:val="21"/>
                <w:highlight w:val="none"/>
                <w:lang w:val="zh-CN"/>
              </w:rPr>
              <w:t>出席开标会及其他</w:t>
            </w:r>
          </w:p>
        </w:tc>
        <w:tc>
          <w:tcPr>
            <w:tcW w:w="7140" w:type="dxa"/>
            <w:vAlign w:val="center"/>
          </w:tcPr>
          <w:p>
            <w:pPr>
              <w:spacing w:line="390" w:lineRule="exact"/>
              <w:rPr>
                <w:rFonts w:ascii="宋体" w:hAnsi="宋体"/>
                <w:b/>
                <w:color w:val="auto"/>
                <w:kern w:val="0"/>
                <w:szCs w:val="21"/>
                <w:highlight w:val="none"/>
                <w:lang w:val="zh-CN"/>
              </w:rPr>
            </w:pPr>
            <w:r>
              <w:rPr>
                <w:rFonts w:hint="eastAsia" w:ascii="宋体" w:hAnsi="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1</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解释权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构成本招标文件的各个组成文件应互为解释，互为说明；</w:t>
            </w:r>
          </w:p>
          <w:p>
            <w:pPr>
              <w:spacing w:line="390" w:lineRule="exact"/>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、除招标文件中有特别规定外，仅适用于招标投标阶段的规定，按招标公告（投标邀请书）、投标人须知、评标办法的先后顺序解释；</w:t>
            </w:r>
          </w:p>
          <w:p>
            <w:pPr>
              <w:spacing w:line="390" w:lineRule="exact"/>
              <w:rPr>
                <w:rFonts w:ascii="宋体" w:hAnsi="宋体"/>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、同一组成文件中就同一事项的规定或约定不一致的，以编排顺序在后者为准；</w:t>
            </w:r>
          </w:p>
          <w:p>
            <w:pPr>
              <w:spacing w:line="390" w:lineRule="exact"/>
              <w:rPr>
                <w:rFonts w:ascii="宋体" w:hAnsi="宋体"/>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、同一组成文件不同版本之间有不一致的，以形成时间在后者为准；</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2</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知识产权</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3</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投标费用</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4</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olor w:val="auto"/>
                <w:szCs w:val="21"/>
                <w:highlight w:val="none"/>
                <w:lang w:val="zh-CN"/>
              </w:rPr>
              <w:t>纪律和监督</w:t>
            </w:r>
          </w:p>
        </w:tc>
        <w:tc>
          <w:tcPr>
            <w:tcW w:w="7140" w:type="dxa"/>
            <w:vAlign w:val="center"/>
          </w:tcPr>
          <w:p>
            <w:pPr>
              <w:spacing w:line="390" w:lineRule="exact"/>
              <w:rPr>
                <w:rFonts w:ascii="宋体" w:hAnsi="宋体"/>
                <w:color w:val="auto"/>
                <w:szCs w:val="21"/>
                <w:highlight w:val="none"/>
                <w:lang w:val="zh-CN"/>
              </w:rPr>
            </w:pPr>
            <w:r>
              <w:rPr>
                <w:rFonts w:hint="eastAsia" w:ascii="宋体" w:hAnsi="宋体"/>
                <w:color w:val="auto"/>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cs="黑体" w:asciiTheme="minorEastAsia" w:hAnsiTheme="minorEastAsia"/>
                <w:color w:val="auto"/>
                <w:szCs w:val="21"/>
                <w:highlight w:val="none"/>
              </w:rPr>
              <w:t>3</w:t>
            </w:r>
            <w:r>
              <w:rPr>
                <w:rFonts w:hint="eastAsia" w:cs="黑体" w:asciiTheme="minorEastAsia" w:hAnsiTheme="minorEastAsia"/>
                <w:color w:val="auto"/>
                <w:szCs w:val="21"/>
                <w:highlight w:val="none"/>
              </w:rPr>
              <w:t>5</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投标文件的拒收</w:t>
            </w:r>
          </w:p>
        </w:tc>
        <w:tc>
          <w:tcPr>
            <w:tcW w:w="7140" w:type="dxa"/>
            <w:vAlign w:val="center"/>
          </w:tcPr>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kern w:val="0"/>
                <w:szCs w:val="21"/>
                <w:highlight w:val="none"/>
              </w:rPr>
              <w:t>1</w:t>
            </w:r>
            <w:r>
              <w:rPr>
                <w:rFonts w:hint="eastAsia" w:ascii="宋体" w:hAnsi="宋体"/>
                <w:color w:val="auto"/>
                <w:szCs w:val="21"/>
                <w:highlight w:val="none"/>
                <w:lang w:val="zh-CN"/>
              </w:rPr>
              <w:t>、未成功上传的投标文件；</w:t>
            </w:r>
          </w:p>
          <w:p>
            <w:pPr>
              <w:autoSpaceDE w:val="0"/>
              <w:autoSpaceDN w:val="0"/>
              <w:adjustRightInd w:val="0"/>
              <w:spacing w:line="390" w:lineRule="exact"/>
              <w:contextualSpacing/>
              <w:rPr>
                <w:rFonts w:ascii="宋体" w:hAnsi="宋体"/>
                <w:color w:val="auto"/>
                <w:szCs w:val="21"/>
                <w:highlight w:val="none"/>
                <w:lang w:val="zh-CN"/>
              </w:rPr>
            </w:pPr>
            <w:r>
              <w:rPr>
                <w:rFonts w:hint="eastAsia" w:ascii="宋体" w:hAnsi="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62" w:type="dxa"/>
            <w:vAlign w:val="center"/>
          </w:tcPr>
          <w:p>
            <w:pPr>
              <w:autoSpaceDE w:val="0"/>
              <w:autoSpaceDN w:val="0"/>
              <w:adjustRightInd w:val="0"/>
              <w:spacing w:line="390" w:lineRule="exact"/>
              <w:jc w:val="center"/>
              <w:rPr>
                <w:rFonts w:cs="黑体" w:asciiTheme="minorEastAsia" w:hAnsiTheme="minorEastAsia"/>
                <w:color w:val="auto"/>
                <w:szCs w:val="21"/>
                <w:highlight w:val="none"/>
              </w:rPr>
            </w:pPr>
            <w:r>
              <w:rPr>
                <w:rFonts w:hint="eastAsia" w:ascii="宋体" w:hAnsi="宋体" w:cs="黑体"/>
                <w:color w:val="auto"/>
                <w:szCs w:val="21"/>
                <w:highlight w:val="none"/>
              </w:rPr>
              <w:t>36</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bCs/>
                <w:color w:val="auto"/>
                <w:szCs w:val="21"/>
                <w:highlight w:val="none"/>
                <w:lang w:val="zh-CN"/>
              </w:rPr>
              <w:t>特别提示</w:t>
            </w:r>
          </w:p>
        </w:tc>
        <w:tc>
          <w:tcPr>
            <w:tcW w:w="7140" w:type="dxa"/>
            <w:vAlign w:val="center"/>
          </w:tcPr>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pPr>
              <w:autoSpaceDE w:val="0"/>
              <w:autoSpaceDN w:val="0"/>
              <w:adjustRightInd w:val="0"/>
              <w:spacing w:line="390" w:lineRule="exact"/>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autoSpaceDE w:val="0"/>
              <w:autoSpaceDN w:val="0"/>
              <w:adjustRightInd w:val="0"/>
              <w:spacing w:line="390" w:lineRule="exact"/>
              <w:contextualSpacing/>
              <w:rPr>
                <w:rFonts w:ascii="宋体" w:hAnsi="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37</w:t>
            </w:r>
          </w:p>
        </w:tc>
        <w:tc>
          <w:tcPr>
            <w:tcW w:w="2085" w:type="dxa"/>
            <w:vAlign w:val="center"/>
          </w:tcPr>
          <w:p>
            <w:pPr>
              <w:autoSpaceDE w:val="0"/>
              <w:autoSpaceDN w:val="0"/>
              <w:adjustRightInd w:val="0"/>
              <w:spacing w:line="390" w:lineRule="exact"/>
              <w:jc w:val="center"/>
              <w:rPr>
                <w:rFonts w:ascii="宋体" w:hAnsi="宋体"/>
                <w:bCs/>
                <w:color w:val="auto"/>
                <w:szCs w:val="21"/>
                <w:highlight w:val="none"/>
                <w:lang w:val="zh-CN"/>
              </w:rPr>
            </w:pPr>
            <w:r>
              <w:rPr>
                <w:rFonts w:hint="eastAsia" w:ascii="宋体" w:hAnsi="宋体" w:cs="仿宋_GB2312"/>
                <w:color w:val="auto"/>
                <w:szCs w:val="21"/>
                <w:highlight w:val="none"/>
              </w:rPr>
              <w:t>投标人资格核验</w:t>
            </w:r>
          </w:p>
        </w:tc>
        <w:tc>
          <w:tcPr>
            <w:tcW w:w="7140" w:type="dxa"/>
            <w:vAlign w:val="center"/>
          </w:tcPr>
          <w:p>
            <w:pPr>
              <w:autoSpaceDE w:val="0"/>
              <w:autoSpaceDN w:val="0"/>
              <w:adjustRightInd w:val="0"/>
              <w:spacing w:line="390" w:lineRule="exact"/>
              <w:ind w:right="-11"/>
              <w:rPr>
                <w:rFonts w:ascii="ˎ̥" w:hAnsi="ˎ̥"/>
                <w:color w:val="auto"/>
                <w:highlight w:val="none"/>
              </w:rPr>
            </w:pPr>
            <w:r>
              <w:rPr>
                <w:rFonts w:hint="eastAsia" w:ascii="ˎ̥" w:hAnsi="ˎ̥"/>
                <w:color w:val="auto"/>
                <w:highlight w:val="none"/>
              </w:rPr>
              <w:t>供应商在中标后，应将由《禹州市政府采购供应商信用承诺函》替代的证明材料提交采购人核验，经核验无误后，代理机构发出中标通知书。</w:t>
            </w:r>
          </w:p>
          <w:p>
            <w:pPr>
              <w:autoSpaceDE w:val="0"/>
              <w:autoSpaceDN w:val="0"/>
              <w:adjustRightInd w:val="0"/>
              <w:spacing w:line="360" w:lineRule="auto"/>
              <w:ind w:right="-11"/>
              <w:rPr>
                <w:rFonts w:ascii="宋体" w:hAnsi="宋体"/>
                <w:b/>
                <w:bCs/>
                <w:color w:val="auto"/>
                <w:szCs w:val="21"/>
                <w:highlight w:val="none"/>
                <w:lang w:val="zh-CN"/>
              </w:rPr>
            </w:pPr>
            <w:r>
              <w:rPr>
                <w:rFonts w:hint="eastAsia" w:ascii="宋体" w:hAnsi="宋体"/>
                <w:b/>
                <w:bCs/>
                <w:color w:val="auto"/>
                <w:szCs w:val="21"/>
                <w:highlight w:val="none"/>
              </w:rPr>
              <w:t>一</w:t>
            </w:r>
            <w:r>
              <w:rPr>
                <w:rFonts w:hint="eastAsia" w:ascii="宋体" w:hAnsi="宋体"/>
                <w:b/>
                <w:bCs/>
                <w:color w:val="auto"/>
                <w:szCs w:val="21"/>
                <w:highlight w:val="none"/>
                <w:lang w:val="zh-CN"/>
              </w:rPr>
              <w:t>、</w:t>
            </w:r>
            <w:r>
              <w:rPr>
                <w:rFonts w:ascii="宋体" w:hAnsi="宋体"/>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1、企业法人营业执照或营业执照。（企业提供）</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2、事业单位法人证书。（事业单位提供）</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3、执业许可证。（非企业专业服务机构提供）</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4、个体工商户营业执照。（个体工商户提供）</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5、自然人身份证明。（自然人提供）</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6、民办非企业单位登记证书。（民办非企业单位提供）</w:t>
            </w:r>
          </w:p>
          <w:p>
            <w:pPr>
              <w:autoSpaceDE w:val="0"/>
              <w:autoSpaceDN w:val="0"/>
              <w:adjustRightInd w:val="0"/>
              <w:spacing w:line="360" w:lineRule="auto"/>
              <w:jc w:val="left"/>
              <w:rPr>
                <w:rFonts w:ascii="宋体" w:hAnsi="宋体" w:cs="仿宋_GB2312"/>
                <w:b/>
                <w:color w:val="auto"/>
                <w:szCs w:val="21"/>
                <w:highlight w:val="none"/>
              </w:rPr>
            </w:pPr>
            <w:r>
              <w:rPr>
                <w:rFonts w:hint="eastAsia" w:ascii="宋体" w:hAnsi="宋体" w:cs="仿宋_GB2312"/>
                <w:b/>
                <w:color w:val="auto"/>
                <w:szCs w:val="21"/>
                <w:highlight w:val="none"/>
              </w:rPr>
              <w:t>二、财务状况报告相关材料</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（1）供应商是法人（法人包括企业法人、机关法人、事业单位法人和社会团体法人），提供本单位：</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①2022年度经审计的财务报告，包括资产负债表、利润表、现金流量表、所有者权益变动表及其附注；</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②基本开户银行出具的资信证明；</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注：仅需提供序号①～③其中之一即可。</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（2）供应商（其他组织和自然人）提供本单位：</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①2022年度经审计的财务报告，包括资产负债表、利润表、现金流量表、所有者权益变动表及其附注；</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②银行出具的资信证明；</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注：仅需提供序号①～③其中之一即可。</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cs="仿宋_GB2312"/>
                <w:b/>
                <w:color w:val="auto"/>
                <w:szCs w:val="21"/>
                <w:highlight w:val="none"/>
              </w:rPr>
              <w:t>三、依法缴纳税收相关材料</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b/>
                <w:bCs/>
                <w:color w:val="auto"/>
                <w:szCs w:val="21"/>
                <w:highlight w:val="none"/>
                <w:lang w:val="zh-CN"/>
              </w:rPr>
            </w:pPr>
            <w:r>
              <w:rPr>
                <w:rFonts w:hint="eastAsia" w:ascii="宋体" w:hAnsi="宋体"/>
                <w:b/>
                <w:bCs/>
                <w:color w:val="auto"/>
                <w:szCs w:val="21"/>
                <w:highlight w:val="none"/>
                <w:lang w:val="zh-CN"/>
              </w:rPr>
              <w:t>四、依法缴纳社会保障资金的证明材料</w:t>
            </w:r>
          </w:p>
          <w:p>
            <w:pPr>
              <w:autoSpaceDE w:val="0"/>
              <w:autoSpaceDN w:val="0"/>
              <w:adjustRightInd w:val="0"/>
              <w:spacing w:line="360" w:lineRule="auto"/>
              <w:ind w:right="-11"/>
              <w:rPr>
                <w:rFonts w:ascii="宋体" w:hAnsi="宋体"/>
                <w:bCs/>
                <w:color w:val="auto"/>
                <w:szCs w:val="21"/>
                <w:highlight w:val="none"/>
                <w:lang w:val="zh-CN"/>
              </w:rPr>
            </w:pPr>
            <w:r>
              <w:rPr>
                <w:rFonts w:hint="eastAsia" w:ascii="宋体" w:hAnsi="宋体"/>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b/>
                <w:bCs/>
                <w:color w:val="auto"/>
                <w:szCs w:val="21"/>
                <w:highlight w:val="none"/>
                <w:lang w:val="zh-CN"/>
              </w:rPr>
            </w:pPr>
            <w:r>
              <w:rPr>
                <w:rFonts w:hint="eastAsia" w:ascii="宋体" w:hAnsi="宋体"/>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①相关设备的购置发票、专业技术人员职称证书、用工合同等；</w:t>
            </w:r>
          </w:p>
          <w:p>
            <w:pPr>
              <w:spacing w:line="360" w:lineRule="auto"/>
              <w:rPr>
                <w:rFonts w:ascii="宋体" w:hAnsi="宋体" w:cs="Times New Roman"/>
                <w:bCs/>
                <w:color w:val="auto"/>
                <w:szCs w:val="21"/>
                <w:highlight w:val="none"/>
              </w:rPr>
            </w:pPr>
            <w:r>
              <w:rPr>
                <w:rFonts w:hint="eastAsia" w:ascii="宋体" w:hAnsi="宋体" w:cs="Times New Roman"/>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ascii="宋体" w:hAnsi="宋体"/>
                <w:bCs/>
                <w:color w:val="auto"/>
                <w:szCs w:val="21"/>
                <w:highlight w:val="none"/>
                <w:lang w:val="zh-CN"/>
              </w:rPr>
            </w:pPr>
            <w:r>
              <w:rPr>
                <w:rFonts w:hint="eastAsia" w:ascii="宋体" w:hAnsi="宋体"/>
                <w:bCs/>
                <w:color w:val="auto"/>
                <w:szCs w:val="21"/>
                <w:highlight w:val="none"/>
                <w:lang w:val="zh-CN"/>
              </w:rPr>
              <w:t>注：仅需提供序号①～②其中之一即可。</w:t>
            </w:r>
          </w:p>
          <w:p>
            <w:pPr>
              <w:autoSpaceDE w:val="0"/>
              <w:autoSpaceDN w:val="0"/>
              <w:adjustRightInd w:val="0"/>
              <w:spacing w:line="360" w:lineRule="auto"/>
              <w:ind w:right="-11"/>
              <w:rPr>
                <w:rFonts w:ascii="宋体" w:hAnsi="宋体"/>
                <w:b/>
                <w:bCs/>
                <w:color w:val="auto"/>
                <w:szCs w:val="21"/>
                <w:highlight w:val="none"/>
                <w:lang w:val="zh-CN"/>
              </w:rPr>
            </w:pPr>
            <w:r>
              <w:rPr>
                <w:rFonts w:hint="eastAsia" w:ascii="宋体" w:hAnsi="宋体"/>
                <w:b/>
                <w:color w:val="auto"/>
                <w:kern w:val="0"/>
                <w:szCs w:val="21"/>
                <w:highlight w:val="none"/>
              </w:rPr>
              <w:t>六、</w:t>
            </w:r>
            <w:r>
              <w:rPr>
                <w:rFonts w:ascii="宋体" w:hAnsi="宋体"/>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ascii="宋体" w:hAnsi="宋体"/>
                <w:bCs/>
                <w:color w:val="auto"/>
                <w:szCs w:val="21"/>
                <w:highlight w:val="none"/>
                <w:lang w:val="zh-CN"/>
              </w:rPr>
            </w:pPr>
            <w:r>
              <w:rPr>
                <w:rFonts w:hint="eastAsia" w:ascii="宋体" w:hAnsi="宋体"/>
                <w:bCs/>
                <w:color w:val="auto"/>
                <w:szCs w:val="21"/>
                <w:highlight w:val="none"/>
                <w:lang w:val="zh-CN"/>
              </w:rPr>
              <w:t>供应商“</w:t>
            </w:r>
            <w:r>
              <w:rPr>
                <w:rFonts w:ascii="宋体" w:hAnsi="宋体"/>
                <w:bCs/>
                <w:color w:val="auto"/>
                <w:szCs w:val="21"/>
                <w:highlight w:val="none"/>
                <w:lang w:val="zh-CN"/>
              </w:rPr>
              <w:t>参加政府采购活动前3年内在经营活动中没有重大违法记录的书面声明</w:t>
            </w:r>
            <w:r>
              <w:rPr>
                <w:rFonts w:hint="eastAsia" w:ascii="宋体" w:hAnsi="宋体"/>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olor w:val="auto"/>
                <w:kern w:val="0"/>
                <w:szCs w:val="21"/>
                <w:highlight w:val="none"/>
              </w:rPr>
            </w:pPr>
            <w:r>
              <w:rPr>
                <w:rFonts w:hint="eastAsia" w:ascii="宋体" w:hAnsi="宋体"/>
                <w:b/>
                <w:bCs/>
                <w:color w:val="auto"/>
                <w:szCs w:val="21"/>
                <w:highlight w:val="none"/>
                <w:lang w:val="zh-CN"/>
              </w:rPr>
              <w:t>七、</w:t>
            </w:r>
            <w:r>
              <w:rPr>
                <w:rFonts w:ascii="宋体" w:hAnsi="宋体" w:cs="仿宋_GB2312"/>
                <w:b/>
                <w:color w:val="auto"/>
                <w:szCs w:val="21"/>
                <w:highlight w:val="none"/>
                <w:shd w:val="clear" w:color="auto" w:fill="FFFFFF"/>
              </w:rPr>
              <w:t>未被列入“信用中国”网站(www.creditchina.gov.cn)失信被执行人、重大税收违法失信主体的</w:t>
            </w:r>
            <w:r>
              <w:rPr>
                <w:rFonts w:hint="eastAsia" w:ascii="宋体" w:hAnsi="宋体" w:cs="仿宋_GB2312"/>
                <w:b/>
                <w:color w:val="auto"/>
                <w:szCs w:val="21"/>
                <w:highlight w:val="none"/>
                <w:shd w:val="clear" w:color="auto" w:fill="FFFFFF"/>
              </w:rPr>
              <w:t>供应商</w:t>
            </w:r>
            <w:r>
              <w:rPr>
                <w:rFonts w:ascii="宋体" w:hAnsi="宋体" w:cs="仿宋_GB2312"/>
                <w:b/>
                <w:color w:val="auto"/>
                <w:szCs w:val="21"/>
                <w:highlight w:val="none"/>
                <w:shd w:val="clear" w:color="auto" w:fill="FFFFFF"/>
              </w:rPr>
              <w:t>；</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中国政府采购网</w:t>
            </w:r>
            <w:r>
              <w:rPr>
                <w:rFonts w:hint="eastAsia" w:ascii="宋体" w:hAnsi="宋体" w:cs="仿宋_GB2312"/>
                <w:b/>
                <w:color w:val="auto"/>
                <w:szCs w:val="21"/>
                <w:highlight w:val="none"/>
                <w:shd w:val="clear" w:color="auto" w:fill="FFFFFF"/>
              </w:rPr>
              <w:t>”</w:t>
            </w:r>
            <w:r>
              <w:rPr>
                <w:rFonts w:ascii="宋体" w:hAnsi="宋体" w:cs="仿宋_GB2312"/>
                <w:b/>
                <w:color w:val="auto"/>
                <w:szCs w:val="21"/>
                <w:highlight w:val="none"/>
                <w:shd w:val="clear" w:color="auto" w:fill="FFFFFF"/>
              </w:rPr>
              <w:t xml:space="preserve"> (www.ccgp.gov.cn)政府采购严重违法失信行为记录名单的</w:t>
            </w:r>
            <w:r>
              <w:rPr>
                <w:rFonts w:hint="eastAsia" w:ascii="宋体" w:hAnsi="宋体" w:cs="仿宋_GB2312"/>
                <w:b/>
                <w:color w:val="auto"/>
                <w:szCs w:val="21"/>
                <w:highlight w:val="none"/>
                <w:shd w:val="clear" w:color="auto" w:fill="FFFFFF"/>
              </w:rPr>
              <w:t>供应商</w:t>
            </w:r>
            <w:r>
              <w:rPr>
                <w:rFonts w:hint="eastAsia" w:ascii="宋体" w:hAnsi="宋体"/>
                <w:b/>
                <w:bCs/>
                <w:color w:val="auto"/>
                <w:szCs w:val="21"/>
                <w:highlight w:val="none"/>
                <w:lang w:val="zh-CN"/>
              </w:rPr>
              <w:t>；</w:t>
            </w:r>
            <w:r>
              <w:rPr>
                <w:rFonts w:hint="eastAsia" w:ascii="宋体" w:hAnsi="宋体" w:cs="仿宋_GB2312"/>
                <w:b/>
                <w:color w:val="auto"/>
                <w:szCs w:val="21"/>
                <w:highlight w:val="none"/>
                <w:shd w:val="clear" w:color="auto" w:fill="FFFFFF"/>
              </w:rPr>
              <w:t xml:space="preserve"> “中国社会组织政务服务平台”网站（</w:t>
            </w:r>
            <w:r>
              <w:rPr>
                <w:rFonts w:ascii="宋体" w:hAnsi="宋体" w:cs="仿宋_GB2312"/>
                <w:b/>
                <w:color w:val="auto"/>
                <w:szCs w:val="21"/>
                <w:highlight w:val="none"/>
                <w:shd w:val="clear" w:color="auto" w:fill="FFFFFF"/>
              </w:rPr>
              <w:t>https://chinanpo.mca.gov.cn</w:t>
            </w:r>
            <w:r>
              <w:rPr>
                <w:rFonts w:hint="eastAsia" w:ascii="宋体" w:hAnsi="宋体" w:cs="仿宋_GB2312"/>
                <w:b/>
                <w:color w:val="auto"/>
                <w:szCs w:val="21"/>
                <w:highlight w:val="none"/>
                <w:shd w:val="clear" w:color="auto" w:fill="FFFFFF"/>
              </w:rPr>
              <w:t>）严重违法失信社会组织名单的供应商（</w:t>
            </w:r>
            <w:r>
              <w:rPr>
                <w:rFonts w:hint="eastAsia" w:ascii="宋体" w:hAnsi="宋体"/>
                <w:color w:val="auto"/>
                <w:kern w:val="0"/>
                <w:szCs w:val="21"/>
                <w:highlight w:val="none"/>
              </w:rPr>
              <w:t>联合体形式投标的，联合体成员存在不良信用记录，视同联合体存在不良信用记录）。</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1、查询渠道：</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kern w:val="0"/>
                <w:highlight w:val="none"/>
              </w:rPr>
              <w:t>www.creditchina.gov.cn</w:t>
            </w:r>
            <w:r>
              <w:rPr>
                <w:rFonts w:hint="eastAsia"/>
                <w:color w:val="auto"/>
                <w:kern w:val="0"/>
                <w:highlight w:val="none"/>
              </w:rPr>
              <w:fldChar w:fldCharType="end"/>
            </w:r>
            <w:r>
              <w:rPr>
                <w:rFonts w:hint="eastAsia" w:ascii="宋体" w:hAnsi="宋体"/>
                <w:color w:val="auto"/>
                <w:kern w:val="0"/>
                <w:szCs w:val="21"/>
                <w:highlight w:val="none"/>
              </w:rPr>
              <w:t>）</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②“中国政府采购网”（www.ccgp.gov.cn）</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③“中国社会组织政务服务平台”网站（</w:t>
            </w:r>
            <w:r>
              <w:rPr>
                <w:rFonts w:ascii="宋体" w:hAnsi="宋体"/>
                <w:color w:val="auto"/>
                <w:kern w:val="0"/>
                <w:szCs w:val="21"/>
                <w:highlight w:val="none"/>
              </w:rPr>
              <w:t>https://chinanpo.mca.gov.cn</w:t>
            </w:r>
            <w:r>
              <w:rPr>
                <w:rFonts w:hint="eastAsia" w:ascii="宋体" w:hAnsi="宋体"/>
                <w:color w:val="auto"/>
                <w:kern w:val="0"/>
                <w:szCs w:val="21"/>
                <w:highlight w:val="none"/>
              </w:rPr>
              <w:t>）（仅查询社会组织）；</w:t>
            </w:r>
          </w:p>
          <w:p>
            <w:pPr>
              <w:autoSpaceDE w:val="0"/>
              <w:autoSpaceDN w:val="0"/>
              <w:spacing w:line="360" w:lineRule="auto"/>
              <w:contextualSpacing/>
              <w:rPr>
                <w:rFonts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b/>
                <w:bCs/>
                <w:color w:val="auto"/>
                <w:szCs w:val="21"/>
                <w:highlight w:val="none"/>
              </w:rPr>
              <w:tab/>
            </w:r>
            <w:r>
              <w:rPr>
                <w:rFonts w:hint="eastAsia" w:ascii="宋体" w:hAnsi="宋体"/>
                <w:b/>
                <w:bCs/>
                <w:color w:val="auto"/>
                <w:szCs w:val="21"/>
                <w:highlight w:val="none"/>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b/>
                <w:bCs/>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rPr>
              <w:tab/>
            </w:r>
            <w:r>
              <w:rPr>
                <w:rFonts w:hint="eastAsia" w:ascii="宋体" w:hAnsi="宋体"/>
                <w:b/>
                <w:bCs/>
                <w:color w:val="auto"/>
                <w:szCs w:val="21"/>
                <w:highlight w:val="none"/>
              </w:rPr>
              <w:t>采购人有权在签订合同前要求中标供应商提供相关证明材料以核实中标供应商承诺事项的真实性。</w:t>
            </w:r>
          </w:p>
          <w:p>
            <w:pPr>
              <w:autoSpaceDE w:val="0"/>
              <w:autoSpaceDN w:val="0"/>
              <w:spacing w:line="390" w:lineRule="exact"/>
              <w:contextualSpacing/>
              <w:rPr>
                <w:rFonts w:ascii="宋体" w:hAnsi="宋体"/>
                <w:b/>
                <w:color w:val="auto"/>
                <w:kern w:val="0"/>
                <w:szCs w:val="21"/>
                <w:highlight w:val="none"/>
                <w:lang w:val="zh-CN"/>
              </w:rPr>
            </w:pPr>
            <w:r>
              <w:rPr>
                <w:rFonts w:hint="eastAsia" w:ascii="宋体" w:hAnsi="宋体"/>
                <w:b/>
                <w:bCs/>
                <w:color w:val="auto"/>
                <w:szCs w:val="21"/>
                <w:highlight w:val="none"/>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autoSpaceDE w:val="0"/>
              <w:autoSpaceDN w:val="0"/>
              <w:adjustRightInd w:val="0"/>
              <w:spacing w:line="390" w:lineRule="exact"/>
              <w:jc w:val="center"/>
              <w:rPr>
                <w:rFonts w:ascii="宋体" w:hAnsi="宋体" w:cs="黑体"/>
                <w:color w:val="auto"/>
                <w:szCs w:val="21"/>
                <w:highlight w:val="none"/>
              </w:rPr>
            </w:pPr>
            <w:r>
              <w:rPr>
                <w:rFonts w:hint="eastAsia" w:ascii="宋体" w:hAnsi="宋体" w:cs="黑体"/>
                <w:color w:val="auto"/>
                <w:szCs w:val="21"/>
                <w:highlight w:val="none"/>
              </w:rPr>
              <w:t>38</w:t>
            </w:r>
          </w:p>
        </w:tc>
        <w:tc>
          <w:tcPr>
            <w:tcW w:w="2085" w:type="dxa"/>
            <w:vAlign w:val="center"/>
          </w:tcPr>
          <w:p>
            <w:pPr>
              <w:autoSpaceDE w:val="0"/>
              <w:autoSpaceDN w:val="0"/>
              <w:adjustRightInd w:val="0"/>
              <w:spacing w:line="276" w:lineRule="auto"/>
              <w:jc w:val="center"/>
              <w:rPr>
                <w:rFonts w:ascii="宋体" w:hAnsi="宋体" w:cs="仿宋_GB2312"/>
                <w:color w:val="auto"/>
                <w:szCs w:val="21"/>
                <w:highlight w:val="none"/>
              </w:rPr>
            </w:pPr>
            <w:r>
              <w:rPr>
                <w:rFonts w:hint="eastAsia" w:cs="仿宋_GB2312" w:asciiTheme="minorEastAsia" w:hAnsiTheme="minorEastAsia"/>
                <w:color w:val="auto"/>
                <w:szCs w:val="21"/>
                <w:highlight w:val="none"/>
              </w:rPr>
              <w:t>投诉渠道</w:t>
            </w:r>
          </w:p>
        </w:tc>
        <w:tc>
          <w:tcPr>
            <w:tcW w:w="7140" w:type="dxa"/>
            <w:vAlign w:val="center"/>
          </w:tcPr>
          <w:p>
            <w:pPr>
              <w:autoSpaceDE w:val="0"/>
              <w:autoSpaceDN w:val="0"/>
              <w:spacing w:line="390" w:lineRule="exact"/>
              <w:contextualSpacing/>
              <w:jc w:val="left"/>
              <w:rPr>
                <w:rFonts w:ascii="宋体" w:hAnsi="宋体"/>
                <w:color w:val="auto"/>
                <w:kern w:val="0"/>
                <w:szCs w:val="21"/>
                <w:highlight w:val="none"/>
              </w:rPr>
            </w:pPr>
            <w:r>
              <w:rPr>
                <w:rFonts w:hint="eastAsia" w:ascii="宋体" w:hAnsi="宋体"/>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color w:val="auto"/>
                <w:kern w:val="0"/>
                <w:szCs w:val="21"/>
                <w:highlight w:val="none"/>
              </w:rPr>
              <w:t xml:space="preserve"> 受理部门：禹州市财政局政府采购监督管理办公室</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color w:val="auto"/>
                <w:kern w:val="0"/>
                <w:szCs w:val="21"/>
                <w:highlight w:val="none"/>
              </w:rPr>
              <w:t xml:space="preserve"> 受理电话：0374-8112523   </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color w:val="auto"/>
                <w:kern w:val="0"/>
                <w:szCs w:val="21"/>
                <w:highlight w:val="none"/>
              </w:rPr>
              <w:t xml:space="preserve"> 电子邮箱：yzscgb8112523@163.com</w:t>
            </w:r>
          </w:p>
          <w:p>
            <w:pPr>
              <w:autoSpaceDE w:val="0"/>
              <w:autoSpaceDN w:val="0"/>
              <w:spacing w:line="390" w:lineRule="exact"/>
              <w:contextualSpacing/>
              <w:jc w:val="left"/>
              <w:rPr>
                <w:rFonts w:ascii="宋体" w:hAnsi="宋体"/>
                <w:color w:val="auto"/>
                <w:kern w:val="0"/>
                <w:szCs w:val="21"/>
                <w:highlight w:val="none"/>
              </w:rPr>
            </w:pPr>
            <w:r>
              <w:rPr>
                <w:rFonts w:hint="eastAsia" w:ascii="宋体" w:hAnsi="宋体"/>
                <w:color w:val="auto"/>
                <w:kern w:val="0"/>
                <w:szCs w:val="21"/>
                <w:highlight w:val="none"/>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spacing w:line="390" w:lineRule="exact"/>
              <w:contextualSpacing/>
              <w:rPr>
                <w:rFonts w:ascii="宋体" w:hAnsi="宋体"/>
                <w:color w:val="auto"/>
                <w:kern w:val="0"/>
                <w:szCs w:val="21"/>
                <w:highlight w:val="none"/>
              </w:rPr>
            </w:pPr>
            <w:r>
              <w:rPr>
                <w:rFonts w:hint="eastAsia" w:ascii="宋体" w:hAnsi="宋体"/>
                <w:color w:val="auto"/>
                <w:kern w:val="0"/>
                <w:szCs w:val="21"/>
                <w:highlight w:val="none"/>
              </w:rPr>
              <w:t>未尽事宜，按国家有关规定执行。</w:t>
            </w:r>
          </w:p>
        </w:tc>
      </w:tr>
    </w:tbl>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pPr>
        <w:tabs>
          <w:tab w:val="left" w:pos="1260"/>
        </w:tabs>
        <w:autoSpaceDE w:val="0"/>
        <w:autoSpaceDN w:val="0"/>
        <w:adjustRightInd w:val="0"/>
        <w:spacing w:line="360" w:lineRule="auto"/>
        <w:contextualSpacing/>
        <w:jc w:val="center"/>
        <w:outlineLvl w:val="0"/>
        <w:rPr>
          <w:rFonts w:ascii="宋体" w:hAnsi="宋体"/>
          <w:b/>
          <w:color w:val="auto"/>
          <w:kern w:val="0"/>
          <w:sz w:val="28"/>
          <w:szCs w:val="28"/>
          <w:highlight w:val="none"/>
        </w:rPr>
      </w:pPr>
      <w:r>
        <w:rPr>
          <w:rFonts w:hint="eastAsia" w:ascii="宋体" w:hAnsi="宋体"/>
          <w:b/>
          <w:color w:val="auto"/>
          <w:kern w:val="0"/>
          <w:sz w:val="32"/>
          <w:szCs w:val="32"/>
          <w:highlight w:val="none"/>
        </w:rPr>
        <w:t>第四章 投标人须知</w:t>
      </w:r>
    </w:p>
    <w:p>
      <w:pPr>
        <w:tabs>
          <w:tab w:val="left" w:pos="1260"/>
        </w:tabs>
        <w:autoSpaceDE w:val="0"/>
        <w:autoSpaceDN w:val="0"/>
        <w:adjustRightInd w:val="0"/>
        <w:spacing w:line="390" w:lineRule="exact"/>
        <w:contextualSpacing/>
        <w:jc w:val="center"/>
        <w:rPr>
          <w:color w:val="auto"/>
          <w:highlight w:val="none"/>
        </w:rPr>
      </w:pPr>
      <w:r>
        <w:rPr>
          <w:rFonts w:hint="eastAsia" w:ascii="宋体" w:hAnsi="宋体"/>
          <w:b/>
          <w:color w:val="auto"/>
          <w:kern w:val="0"/>
          <w:szCs w:val="21"/>
          <w:highlight w:val="none"/>
        </w:rPr>
        <w:t>一、概念释义</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适用范围</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1.1本招标文件仅适用于本次“投标邀请”中所述采购项目。</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1.2本招标文件解释权属于“投标邀请”所述的采购人。</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定义</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2.1“采购项目”：“投标人须知前附表”中所述的采购项目。</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2.2“招标人”：“投标人须知前附表”中所述的组织本次招标的代理机构和采购人。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2.3“采购人”：是指依法进行政府采购的国家机关、事业单位、团体组织。采购人名称、地址、电话、联系人见“投标人须知前附表”。</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2.4“代理机构”：接受采购人委托，代理采购项目的采购代理机构。代理机构名称、地址、 电话、联系人见“投标人须知前附表”。</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采购代理机构及其分支机构不得在所代理的采购项目中投标或者代理投标，不得为所代理的采购项目的投标人参加本项目提供投标咨询。</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2.7“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2.7.1 招标文件列明不允许或未列明允许进口产品参加投标的，均视为拒绝进口产品参加投标。</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2.7.2 如招标文件中已说明，经财政部门审核同意，允许部分或全部产品采购进口产品，投标人既可提供本国产品，也可以提供进口产品。</w:t>
      </w:r>
    </w:p>
    <w:p>
      <w:pPr>
        <w:pStyle w:val="17"/>
        <w:autoSpaceDE w:val="0"/>
        <w:autoSpaceDN w:val="0"/>
        <w:spacing w:line="398" w:lineRule="exact"/>
        <w:ind w:left="-987" w:leftChars="-470" w:firstLine="1260" w:firstLineChars="600"/>
        <w:contextualSpacing/>
        <w:rPr>
          <w:rFonts w:ascii="宋体" w:hAnsi="宋体"/>
          <w:color w:val="auto"/>
          <w:kern w:val="0"/>
          <w:szCs w:val="21"/>
          <w:highlight w:val="none"/>
        </w:rPr>
      </w:pPr>
      <w:r>
        <w:rPr>
          <w:rFonts w:hint="eastAsia" w:ascii="宋体" w:hAnsi="宋体"/>
          <w:color w:val="auto"/>
          <w:kern w:val="0"/>
          <w:szCs w:val="21"/>
          <w:highlight w:val="none"/>
        </w:rPr>
        <w:t>2.8 招标文件中凡标有“★”的条款均系实质性要求条款。</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合格的投标人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3.1 在中华人民共和国境内注册，具有本项目生产、制造、供应或实施能力，符合、承认并承诺履行本招标文件各项规定的法人、其他组织或者自然人。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 符合本项目“投标邀请”和“投标人须知前附表”中规定的合格投标人所必须具备的条件。</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szCs w:val="21"/>
          <w:highlight w:val="none"/>
        </w:rPr>
        <w:t>3.3 按照财政部《</w:t>
      </w:r>
      <w:r>
        <w:rPr>
          <w:rFonts w:hint="eastAsia" w:ascii="宋体" w:hAnsi="宋体"/>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bCs/>
          <w:color w:val="auto"/>
          <w:szCs w:val="21"/>
          <w:highlight w:val="none"/>
        </w:rPr>
        <w:t>〔2016〕</w:t>
      </w:r>
      <w:r>
        <w:rPr>
          <w:rFonts w:hint="eastAsia" w:ascii="宋体" w:hAnsi="宋体"/>
          <w:color w:val="auto"/>
          <w:szCs w:val="21"/>
          <w:highlight w:val="none"/>
        </w:rPr>
        <w:t>125号）要求，</w:t>
      </w:r>
      <w:r>
        <w:rPr>
          <w:rFonts w:hint="eastAsia" w:ascii="宋体" w:hAnsi="宋体"/>
          <w:color w:val="auto"/>
          <w:kern w:val="0"/>
          <w:szCs w:val="21"/>
          <w:highlight w:val="none"/>
        </w:rPr>
        <w:t>政府采购活动中查询及使用投标人信用记录的具体要求为：投标人未被列入失信被执行人、税收违法黑名单、</w:t>
      </w:r>
      <w:r>
        <w:rPr>
          <w:rFonts w:hint="eastAsia" w:ascii="宋体" w:hAnsi="宋体"/>
          <w:color w:val="auto"/>
          <w:szCs w:val="21"/>
          <w:highlight w:val="none"/>
          <w:shd w:val="clear" w:color="auto" w:fill="FFFFFF"/>
        </w:rPr>
        <w:t>政府采购严重违法失信行为记录名单、</w:t>
      </w:r>
      <w:r>
        <w:rPr>
          <w:rFonts w:hint="eastAsia" w:ascii="宋体" w:hAnsi="宋体"/>
          <w:color w:val="auto"/>
          <w:kern w:val="0"/>
          <w:szCs w:val="21"/>
          <w:highlight w:val="none"/>
        </w:rPr>
        <w:t>严重违法失信社会组织名单（联合体形式投标的，联合体成员存在不良信用记录，视同联合体存在不良信用记录）。</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3.3.1 查询渠道：“信用中国”网站（www.creditchina.gov.cn）、“中国政府采购网”（www.ccgp.gov.cn）、“中国社会组织政务服务平台”网站（</w:t>
      </w:r>
      <w:r>
        <w:rPr>
          <w:rFonts w:hint="eastAsia"/>
          <w:color w:val="auto"/>
          <w:highlight w:val="none"/>
        </w:rPr>
        <w:fldChar w:fldCharType="begin"/>
      </w:r>
      <w:r>
        <w:rPr>
          <w:rFonts w:hint="eastAsia" w:ascii="宋体" w:hAnsi="宋体"/>
          <w:color w:val="auto"/>
          <w:szCs w:val="21"/>
          <w:highlight w:val="none"/>
        </w:rPr>
        <w:instrText xml:space="preserve"> HYPERLINK "http://www.chinanpo.gov.cn" </w:instrText>
      </w:r>
      <w:r>
        <w:rPr>
          <w:rFonts w:hint="eastAsia"/>
          <w:color w:val="auto"/>
          <w:highlight w:val="none"/>
        </w:rPr>
        <w:fldChar w:fldCharType="separate"/>
      </w:r>
      <w:r>
        <w:rPr>
          <w:rStyle w:val="14"/>
          <w:rFonts w:hint="eastAsia" w:ascii="宋体" w:hAnsi="宋体"/>
          <w:color w:val="auto"/>
          <w:kern w:val="0"/>
          <w:szCs w:val="21"/>
          <w:highlight w:val="none"/>
        </w:rPr>
        <w:t>https://chinanpo.mca.gov.cn</w:t>
      </w:r>
      <w:r>
        <w:rPr>
          <w:rStyle w:val="14"/>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3.3.2 截止时间：同投标截止时间；</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3.3.3 信用信息查询记录和证据留存具体方式：经采购人确认的查询结果网页截图作为查询记录和证据，与其他采购文件一并保存；</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3.3.4 信用信息的使用原则：经采购人认定的被列入失信被执行人、税收违法黑名单、</w:t>
      </w:r>
      <w:r>
        <w:rPr>
          <w:rFonts w:hint="eastAsia" w:ascii="宋体" w:hAnsi="宋体"/>
          <w:color w:val="auto"/>
          <w:szCs w:val="21"/>
          <w:highlight w:val="none"/>
          <w:shd w:val="clear" w:color="auto" w:fill="FFFFFF"/>
        </w:rPr>
        <w:t>政府采购严重违法失信行为记录名单的投标人、</w:t>
      </w:r>
      <w:r>
        <w:rPr>
          <w:rFonts w:hint="eastAsia" w:ascii="宋体" w:hAnsi="宋体"/>
          <w:color w:val="auto"/>
          <w:kern w:val="0"/>
          <w:szCs w:val="21"/>
          <w:highlight w:val="none"/>
        </w:rPr>
        <w:t>严重违法失信社会组织名单的社会组织，将拒绝其参与本次政府采购活动；</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3.3.5 投标人无须提供</w:t>
      </w:r>
      <w:r>
        <w:rPr>
          <w:rFonts w:hint="eastAsia" w:ascii="宋体" w:hAnsi="宋体"/>
          <w:bCs/>
          <w:color w:val="auto"/>
          <w:szCs w:val="21"/>
          <w:highlight w:val="none"/>
        </w:rPr>
        <w:t>信用记录查询结果网页截屏。</w:t>
      </w:r>
      <w:r>
        <w:rPr>
          <w:rFonts w:hint="eastAsia" w:ascii="宋体" w:hAnsi="宋体"/>
          <w:color w:val="auto"/>
          <w:kern w:val="0"/>
          <w:szCs w:val="21"/>
          <w:highlight w:val="none"/>
        </w:rPr>
        <w:t>投标人不良信用记录以采购人查询结果为准，采购人查询之后，网站信息发生的任何变更不再作为评审依据，投标人自行提供的与网站信息不一致的其他证明材料亦不作为评审依据。</w:t>
      </w:r>
    </w:p>
    <w:p>
      <w:pPr>
        <w:pStyle w:val="17"/>
        <w:autoSpaceDE w:val="0"/>
        <w:autoSpaceDN w:val="0"/>
        <w:spacing w:line="398" w:lineRule="exact"/>
        <w:contextualSpacing/>
        <w:rPr>
          <w:rFonts w:ascii="宋体" w:hAnsi="宋体"/>
          <w:color w:val="auto"/>
          <w:szCs w:val="21"/>
          <w:highlight w:val="none"/>
        </w:rPr>
      </w:pPr>
      <w:r>
        <w:rPr>
          <w:rFonts w:hint="eastAsia" w:ascii="宋体" w:hAnsi="宋体"/>
          <w:color w:val="auto"/>
          <w:szCs w:val="21"/>
          <w:highlight w:val="none"/>
        </w:rPr>
        <w:t>3.4单位负责人为同一人或者存在直接控股、管理关系的不同供应商，不得同时参加本项目投标。违反规定的，相关投标均无效。</w:t>
      </w:r>
    </w:p>
    <w:p>
      <w:pPr>
        <w:pStyle w:val="17"/>
        <w:autoSpaceDE w:val="0"/>
        <w:autoSpaceDN w:val="0"/>
        <w:spacing w:line="398" w:lineRule="exact"/>
        <w:contextualSpacing/>
        <w:rPr>
          <w:rFonts w:ascii="宋体" w:hAnsi="宋体"/>
          <w:color w:val="auto"/>
          <w:szCs w:val="21"/>
          <w:highlight w:val="none"/>
        </w:rPr>
      </w:pPr>
      <w:r>
        <w:rPr>
          <w:rFonts w:hint="eastAsia" w:ascii="宋体" w:hAnsi="宋体"/>
          <w:color w:val="auto"/>
          <w:kern w:val="0"/>
          <w:szCs w:val="21"/>
          <w:highlight w:val="none"/>
        </w:rPr>
        <w:t>3.5 为采购项目提供整体设计、规范编制或者项目管理、监理、检测等服务的供应商，不得再参加该采购项目的其他采购活动。</w:t>
      </w:r>
    </w:p>
    <w:p>
      <w:pPr>
        <w:pStyle w:val="17"/>
        <w:autoSpaceDE w:val="0"/>
        <w:autoSpaceDN w:val="0"/>
        <w:spacing w:line="398" w:lineRule="exact"/>
        <w:contextualSpacing/>
        <w:rPr>
          <w:rFonts w:ascii="宋体" w:hAnsi="宋体"/>
          <w:color w:val="auto"/>
          <w:szCs w:val="21"/>
          <w:highlight w:val="none"/>
        </w:rPr>
      </w:pPr>
      <w:r>
        <w:rPr>
          <w:rFonts w:hint="eastAsia" w:ascii="宋体" w:hAnsi="宋体"/>
          <w:color w:val="auto"/>
          <w:kern w:val="0"/>
          <w:szCs w:val="21"/>
          <w:highlight w:val="none"/>
        </w:rPr>
        <w:t>3.6“投标邀请”和“投标人须知前附表”规定接受联合体投标的，除应符合本章第3.1项和3.2项要求外，还应遵守以下规定：</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3.6.1 在投标文件中向采购人提交联合体协议书，明确联合体各方承担的工作和义务；</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3.6.2 联合体中有同类资质的供应商按联合体分工承担相同工作的，应当按照资质等级较低的供应商确定资质等级；</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3.6.3 招标人根据采购项目的特殊要求规定投标人特定条件的，联合体各方中至少应当有一方符合采购规定的特定条件。</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3.6.4 联合体各方不得再单独参加或者与其他供应商另外组成联合体参加同一合同项下的政府采购活动。</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3.6.5 联合体各方应当共同与采购人签订采购合同，就采购合同约定的事项对采购人</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"https://baike.baidu.com/item/%E6%89%BF%E6%8B%85%E8%BF%9E%E5%B8%A6%E8%B4%A3%E4%BB%BB" \t "_blank" </w:instrText>
      </w:r>
      <w:r>
        <w:rPr>
          <w:rFonts w:hint="eastAsia" w:ascii="宋体" w:hAnsi="宋体"/>
          <w:color w:val="auto"/>
          <w:szCs w:val="21"/>
          <w:highlight w:val="none"/>
        </w:rPr>
        <w:fldChar w:fldCharType="separate"/>
      </w:r>
      <w:r>
        <w:rPr>
          <w:rFonts w:hint="eastAsia" w:ascii="宋体" w:hAnsi="宋体"/>
          <w:color w:val="auto"/>
          <w:kern w:val="0"/>
          <w:szCs w:val="21"/>
          <w:highlight w:val="none"/>
        </w:rPr>
        <w:t>承担连带责任</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w:t>
      </w:r>
    </w:p>
    <w:p>
      <w:pPr>
        <w:pStyle w:val="17"/>
        <w:autoSpaceDE w:val="0"/>
        <w:autoSpaceDN w:val="0"/>
        <w:spacing w:line="398" w:lineRule="exact"/>
        <w:ind w:left="2"/>
        <w:contextualSpacing/>
        <w:rPr>
          <w:rFonts w:ascii="宋体" w:hAnsi="宋体"/>
          <w:color w:val="auto"/>
          <w:kern w:val="0"/>
          <w:szCs w:val="21"/>
          <w:highlight w:val="none"/>
        </w:rPr>
      </w:pPr>
      <w:r>
        <w:rPr>
          <w:rFonts w:hint="eastAsia" w:ascii="宋体" w:hAnsi="宋体"/>
          <w:color w:val="auto"/>
          <w:kern w:val="0"/>
          <w:szCs w:val="21"/>
          <w:highlight w:val="none"/>
        </w:rPr>
        <w:t>3.7 法律、行政法规规定的其他条件。</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合格的货物和服务</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4.2 投标人所提供的服务应当没有侵犯任何第三方的知识产权、技术秘密等合法权利。</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4.3 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4.4 根据财政部、工业和信息化部、国家质检总局、国家认监委联合发布</w:t>
      </w:r>
      <w:bookmarkStart w:id="2" w:name="baidusnap0"/>
      <w:bookmarkEnd w:id="2"/>
      <w:r>
        <w:rPr>
          <w:rFonts w:hint="eastAsia" w:ascii="宋体" w:hAnsi="宋体"/>
          <w:color w:val="auto"/>
          <w:kern w:val="0"/>
          <w:szCs w:val="21"/>
          <w:highlight w:val="none"/>
        </w:rPr>
        <w:t>《关于信息安全产品实施政府采购的通知》（财库[2010]48号）要求，投标人所投产品如被列入《信息安全产品强制性认证目录》，则该产品应具备中国信息安全认证中心颁发的《</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"http://www.cnca.gov.cn/cnca/zwxx/ggxx/images/2010/07/19/A6C32D2A507AC2A38326896013A67542.doc" \t "_blank" </w:instrText>
      </w:r>
      <w:r>
        <w:rPr>
          <w:rFonts w:hint="eastAsia" w:ascii="宋体" w:hAnsi="宋体"/>
          <w:color w:val="auto"/>
          <w:szCs w:val="21"/>
          <w:highlight w:val="none"/>
        </w:rPr>
        <w:fldChar w:fldCharType="separate"/>
      </w:r>
      <w:r>
        <w:rPr>
          <w:rFonts w:hint="eastAsia" w:ascii="宋体" w:hAnsi="宋体"/>
          <w:color w:val="auto"/>
          <w:kern w:val="0"/>
          <w:szCs w:val="21"/>
          <w:highlight w:val="none"/>
        </w:rPr>
        <w:t>中国国家信息安全产品认证证书</w:t>
      </w:r>
      <w:r>
        <w:rPr>
          <w:rFonts w:hint="eastAsia" w:ascii="宋体" w:hAnsi="宋体"/>
          <w:color w:val="auto"/>
          <w:kern w:val="0"/>
          <w:szCs w:val="21"/>
          <w:highlight w:val="none"/>
        </w:rPr>
        <w:fldChar w:fldCharType="end"/>
      </w:r>
      <w:r>
        <w:rPr>
          <w:rFonts w:hint="eastAsia" w:ascii="宋体" w:hAnsi="宋体"/>
          <w:color w:val="auto"/>
          <w:kern w:val="0"/>
          <w:szCs w:val="21"/>
          <w:highlight w:val="none"/>
        </w:rPr>
        <w:t>》。投标人不能提供超出此目录范畴外的替代品。</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投标费用</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不论投标的结果如何，投标人均应自行承担所有与投标有关的全部费用，招标人在任何情况下均无义务和责任承担这些费用。</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信息发布</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采购代理机构代理费用收取标准和方式</w:t>
      </w:r>
    </w:p>
    <w:p>
      <w:pPr>
        <w:pStyle w:val="17"/>
        <w:autoSpaceDE w:val="0"/>
        <w:autoSpaceDN w:val="0"/>
        <w:spacing w:line="398" w:lineRule="exact"/>
        <w:ind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详见投标人须知前附表。</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其他</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98" w:lineRule="exact"/>
        <w:contextualSpacing/>
        <w:rPr>
          <w:rFonts w:ascii="宋体" w:hAnsi="宋体"/>
          <w:b/>
          <w:color w:val="auto"/>
          <w:kern w:val="0"/>
          <w:szCs w:val="21"/>
          <w:highlight w:val="none"/>
        </w:rPr>
      </w:pPr>
    </w:p>
    <w:p>
      <w:pPr>
        <w:tabs>
          <w:tab w:val="left" w:pos="1260"/>
        </w:tabs>
        <w:autoSpaceDE w:val="0"/>
        <w:autoSpaceDN w:val="0"/>
        <w:spacing w:line="398" w:lineRule="exact"/>
        <w:contextualSpacing/>
        <w:jc w:val="center"/>
        <w:rPr>
          <w:rFonts w:ascii="宋体" w:hAnsi="宋体"/>
          <w:b/>
          <w:color w:val="auto"/>
          <w:kern w:val="0"/>
          <w:szCs w:val="21"/>
          <w:highlight w:val="none"/>
        </w:rPr>
      </w:pPr>
      <w:r>
        <w:rPr>
          <w:rFonts w:hint="eastAsia" w:ascii="宋体" w:hAnsi="宋体"/>
          <w:b/>
          <w:color w:val="auto"/>
          <w:kern w:val="0"/>
          <w:szCs w:val="21"/>
          <w:highlight w:val="none"/>
        </w:rPr>
        <w:t>二、招标文件说明</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招标文件构成</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9.1招标文件由以下部分组成：</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（1）投标邀请（招标公告）</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（2）项目需求</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（3）投标人须知前附表</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（4）投标人须知</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（5）政府采购政策功能</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（6）资格审查与评标</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（7）拟签订的合同文本</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（8）投标文件有关格式</w:t>
      </w:r>
    </w:p>
    <w:p>
      <w:pPr>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（9）本项目招标文件的澄清、答复、修改、补充内容（如有的话）</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7"/>
        <w:autoSpaceDE w:val="0"/>
        <w:autoSpaceDN w:val="0"/>
        <w:spacing w:line="420" w:lineRule="exact"/>
        <w:contextualSpacing/>
        <w:rPr>
          <w:rFonts w:ascii="宋体" w:hAnsi="宋体"/>
          <w:color w:val="auto"/>
          <w:kern w:val="0"/>
          <w:szCs w:val="21"/>
          <w:highlight w:val="none"/>
        </w:rPr>
      </w:pPr>
      <w:r>
        <w:rPr>
          <w:rFonts w:hint="eastAsia" w:ascii="宋体" w:hAnsi="宋体"/>
          <w:color w:val="auto"/>
          <w:kern w:val="0"/>
          <w:szCs w:val="21"/>
          <w:highlight w:val="none"/>
        </w:rPr>
        <w:t>9.3 投标人应认真了解本次招标的具体工作要求、工作范围以及职责，了解一切可能影响投标报价的资料。</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现场考察、开标前答疑会</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10.1 招标人根据采购项目的具体情况，可以在招标文件公告期满后，组织已获取招标文件的潜在投标人现场考察或者召开开标前答疑会。</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10.4 现场考察及参加开标前答疑会所发生的费用及一切责任由投标人自行承担。</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招标文件的澄清或修改</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11.1 在投标截止期前，无论出于何种原因，招标人可主动地或在解答潜在投标人提出的澄清问题时对招标文件进行修改。</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11.2 招标人可以对已发出的招标文件进行必要的澄清或者修改。澄清或者修改的内容可能影响投标文件编制的，招标人将在投标截止时间5日前，在财政部门指定的政府采购信息发布媒体和《全国公共资源交易平台（河南省·许昌市）》发布更正公告。</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11.3 澄清或修改公告的内容为招标文件的组成部分，并对投标人具有约束力。当招标文件与澄清或修改公告就同一内容的表述不一致时，以最后发出的文件内容为准。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11.4 如果澄清或者修改发出的时间距规定的投标截止时间不足5日，招标人将顺延提交投标文件的截止时间。</w:t>
      </w:r>
    </w:p>
    <w:p>
      <w:pPr>
        <w:tabs>
          <w:tab w:val="left" w:pos="1260"/>
        </w:tabs>
        <w:autoSpaceDE w:val="0"/>
        <w:autoSpaceDN w:val="0"/>
        <w:spacing w:line="398" w:lineRule="exact"/>
        <w:contextualSpacing/>
        <w:jc w:val="center"/>
        <w:rPr>
          <w:rFonts w:ascii="宋体" w:hAnsi="宋体"/>
          <w:b/>
          <w:color w:val="auto"/>
          <w:kern w:val="0"/>
          <w:szCs w:val="21"/>
          <w:highlight w:val="none"/>
        </w:rPr>
      </w:pPr>
      <w:r>
        <w:rPr>
          <w:rFonts w:hint="eastAsia" w:ascii="宋体" w:hAnsi="宋体"/>
          <w:b/>
          <w:color w:val="auto"/>
          <w:kern w:val="0"/>
          <w:szCs w:val="21"/>
          <w:highlight w:val="none"/>
        </w:rPr>
        <w:t>三、投标文件的编制</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投标的语言及计量单位</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12.1 投标人提交的投标文件以及投标人与招标人就有关投标事宜的所有来往书面文件均应使用中文。除签名、盖章、专用名称等特殊情形外，以中文以外的文字表述的投标文件视同未提供。</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12.2 投标计量单位，招标文件已有明确规定的，使用招标文件规定的计量单位；招标文件没有规定的，一律采用中华人民共和国法定计量单位。</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投标报价</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13.1 本次招标项目的投标均以人民币为计算单位。</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13.2 采购人不得向投标人索要或者接受其给予的赠品、回扣或者与采购无关的其他商品、服务。</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1.3.3 投标人应对项目要求的全部内容进行报价，少报漏报将导致其投标为非实质性响应予以拒绝。</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13.5 本项目所涉及的运输、施工、安装、集成、调试、验收、备品和工具等费用均包含在投标报价中。</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13.6 本次招标不接受可选择或可调整的投标方案和报价，任何有选择的或可调整的投标方案和报价将被视为非实质性响应投标而作无效投标处理。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13.8 最低报价不能作为中标的保证。</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投标有效期</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14.2 投标有效期内投标人撤销投标文件的，投标人将承担违背投标承诺函的责任追究。</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14.4 中标人的投标文件作为项目合同的附件，其有效期至中标人全部合同义务履行完毕为止。</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投标文件构成</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15.1 投标文件的构成应符合法律法规及招标文件的要求。</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15.2 投标人应当按照招标文件的要求编制投标文件。投标文件应当对招标文件提出的要求和条件作出明确响应。</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15.3 投标文件由资格证明材料、符合性证明材料、其它材料等组成。</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98" w:lineRule="exact"/>
        <w:ind w:left="105" w:leftChars="50"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电子投标文件制作技术咨询：</w:t>
      </w:r>
      <w:r>
        <w:rPr>
          <w:rFonts w:hint="eastAsia" w:ascii="宋体" w:hAnsi="宋体"/>
          <w:b/>
          <w:color w:val="auto"/>
          <w:kern w:val="0"/>
          <w:szCs w:val="21"/>
          <w:highlight w:val="none"/>
        </w:rPr>
        <w:t>0374-2961598</w:t>
      </w:r>
      <w:r>
        <w:rPr>
          <w:rFonts w:hint="eastAsia" w:ascii="宋体" w:hAnsi="宋体"/>
          <w:color w:val="auto"/>
          <w:kern w:val="0"/>
          <w:szCs w:val="21"/>
          <w:highlight w:val="none"/>
        </w:rPr>
        <w:t>。</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投标文件格式</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16.1 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16.2 招标文件未提供标准格式的投标人可自行拟定。</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投标保证金</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17.1 本项目不收取投标保证金。</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17.2 投标人应提供投标承诺函。</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投标文件的数量和签署盖章</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18.1 投标人应提交投标文件份数见“投标人须知前附表”。</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18.2 在招标文件中已明示需盖章及签名之处，电子投标文件应按招标文件要求加盖投标人电子印章和法人电子印章或授权代表电子印章。</w:t>
      </w:r>
    </w:p>
    <w:p>
      <w:pPr>
        <w:tabs>
          <w:tab w:val="left" w:pos="1260"/>
        </w:tabs>
        <w:autoSpaceDE w:val="0"/>
        <w:autoSpaceDN w:val="0"/>
        <w:spacing w:line="398" w:lineRule="exact"/>
        <w:contextualSpacing/>
        <w:jc w:val="center"/>
        <w:rPr>
          <w:rFonts w:ascii="宋体" w:hAnsi="宋体"/>
          <w:b/>
          <w:color w:val="auto"/>
          <w:kern w:val="0"/>
          <w:szCs w:val="21"/>
          <w:highlight w:val="none"/>
        </w:rPr>
      </w:pPr>
      <w:r>
        <w:rPr>
          <w:rFonts w:hint="eastAsia" w:ascii="宋体" w:hAnsi="宋体"/>
          <w:b/>
          <w:color w:val="auto"/>
          <w:kern w:val="0"/>
          <w:szCs w:val="21"/>
          <w:highlight w:val="none"/>
        </w:rPr>
        <w:t>四、投标文件的提交</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投标截止时间</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19.1 投标人必须在“投标邀请”和“投标人须知前附表”中规定的投标截止时间前，将</w:t>
      </w:r>
      <w:r>
        <w:rPr>
          <w:rFonts w:hint="eastAsia" w:ascii="宋体" w:hAnsi="宋体"/>
          <w:color w:val="auto"/>
          <w:szCs w:val="21"/>
          <w:highlight w:val="none"/>
        </w:rPr>
        <w:t>加密电子投标文件（.file格式）通过《全国公共资源交易平台(河南省▪许昌市)》公共资源交易系统成功上传。</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迟交的投标文件</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投标截止时间之后上传的投标文件，招标人将拒绝接收。</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投标文件的修改和撤回</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21.1 投标人在投标截止时间前，对投标文件进行补充、修改或者撤回的，须书面通知招标人。</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21.2 投标人应当在投标截止时间前完成电子投标文件的提交，可以补充、修改或撤回。投标截止时间前未完成电子投标文件提交的，视为撤回投标文件。</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21.3 投标人补充、修改的内容并作为投标文件的组成部分。补充或修改应当按招标文件要求签署、盖章、提交，并应注明“修改”或“补充”字样。</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21.4 投标人在提交投标文件后，可以撤回其投标，但投标人必须在规定的投标截止时间前以书面形式告知招标人。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21.5 投标人不得在投标有效期内撤销投标文件，否则投标人将承担违背投标承诺函的责任追究。</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除投标人须知前附表另有规定外，投标人所提交的电子投标文件不予退还。</w:t>
      </w:r>
    </w:p>
    <w:p>
      <w:pPr>
        <w:tabs>
          <w:tab w:val="left" w:pos="1260"/>
        </w:tabs>
        <w:autoSpaceDE w:val="0"/>
        <w:autoSpaceDN w:val="0"/>
        <w:spacing w:line="398" w:lineRule="exact"/>
        <w:contextualSpacing/>
        <w:jc w:val="center"/>
        <w:rPr>
          <w:rFonts w:ascii="宋体" w:hAnsi="宋体"/>
          <w:b/>
          <w:color w:val="auto"/>
          <w:kern w:val="0"/>
          <w:szCs w:val="21"/>
          <w:highlight w:val="none"/>
        </w:rPr>
      </w:pPr>
      <w:r>
        <w:rPr>
          <w:rFonts w:hint="eastAsia" w:ascii="宋体" w:hAnsi="宋体"/>
          <w:b/>
          <w:color w:val="auto"/>
          <w:kern w:val="0"/>
          <w:szCs w:val="21"/>
          <w:highlight w:val="none"/>
        </w:rPr>
        <w:t>五、开标和评标</w:t>
      </w:r>
    </w:p>
    <w:p>
      <w:pPr>
        <w:pStyle w:val="17"/>
        <w:numPr>
          <w:ilvl w:val="0"/>
          <w:numId w:val="4"/>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开标</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23.1 招标人将按招标文件规定的时间和地点组织远程不见面开标。开标由代理机构主持，投标人无须到现场。评标委员会成员不得参加开标活动。</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23.2 招标人应当对开标、评标现场活动进行全程录音录像。录音录像应当清晰可辨，音像资料作为采购文件一并存档。</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 开标时，由代理机构开通远程不见面开标大厅及开启“文字互动”等功能；投标人、代理机构进行电子投标文件的解密。解密后</w:t>
      </w:r>
      <w:r>
        <w:rPr>
          <w:rFonts w:hint="eastAsia" w:ascii="宋体" w:hAnsi="宋体"/>
          <w:color w:val="auto"/>
          <w:szCs w:val="21"/>
          <w:highlight w:val="none"/>
        </w:rPr>
        <w:t>投标人选择功能栏“开标记录”按钮可查看</w:t>
      </w:r>
      <w:r>
        <w:rPr>
          <w:rFonts w:hint="eastAsia" w:ascii="宋体" w:hAnsi="宋体"/>
          <w:color w:val="auto"/>
          <w:kern w:val="0"/>
          <w:szCs w:val="21"/>
          <w:highlight w:val="none"/>
        </w:rPr>
        <w:t>投标人名称、投标价格、修改和撤回投标的通知（如有的话）和招标文件规定的需要宣布的其他内容。</w:t>
      </w:r>
    </w:p>
    <w:p>
      <w:pPr>
        <w:pStyle w:val="17"/>
        <w:autoSpaceDE w:val="0"/>
        <w:autoSpaceDN w:val="0"/>
        <w:spacing w:line="398" w:lineRule="exact"/>
        <w:ind w:firstLine="210" w:firstLineChars="100"/>
        <w:contextualSpacing/>
        <w:rPr>
          <w:rFonts w:ascii="宋体" w:hAnsi="宋体"/>
          <w:color w:val="auto"/>
          <w:kern w:val="0"/>
          <w:szCs w:val="21"/>
          <w:highlight w:val="none"/>
        </w:rPr>
      </w:pPr>
      <w:r>
        <w:rPr>
          <w:rFonts w:hint="eastAsia" w:ascii="宋体" w:hAnsi="宋体"/>
          <w:color w:val="auto"/>
          <w:kern w:val="0"/>
          <w:szCs w:val="21"/>
          <w:highlight w:val="none"/>
        </w:rPr>
        <w:t>23.3.1 电子投标文件的解密。全流程电子化交易项目电子投标文件采用双重加密。解密需分标段进行两次解密。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23.3.1.1 投标人解密：投标人使用本单位CA数字证书远程进行解密。</w:t>
      </w:r>
    </w:p>
    <w:p>
      <w:pPr>
        <w:pStyle w:val="17"/>
        <w:autoSpaceDE w:val="0"/>
        <w:autoSpaceDN w:val="0"/>
        <w:spacing w:line="398" w:lineRule="exact"/>
        <w:ind w:firstLine="210" w:firstLineChars="100"/>
        <w:contextualSpacing/>
        <w:rPr>
          <w:rFonts w:ascii="宋体" w:hAnsi="宋体"/>
          <w:color w:val="auto"/>
          <w:kern w:val="0"/>
          <w:szCs w:val="21"/>
          <w:highlight w:val="none"/>
        </w:rPr>
      </w:pPr>
      <w:r>
        <w:rPr>
          <w:rFonts w:hint="eastAsia" w:ascii="宋体" w:hAnsi="宋体"/>
          <w:color w:val="auto"/>
          <w:kern w:val="0"/>
          <w:szCs w:val="21"/>
          <w:highlight w:val="none"/>
        </w:rPr>
        <w:t>23.3.1.2 代理机构解密：代理机构按电子投标文件到达交易系统的先后顺序，使用本单位CA数字证书进行再次解密。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23.3.1.3 因投标人原因电子投标文件解密失败的，其投标将被拒绝。</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23.3.2 投标人不足3家的，不得开标。</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23.3.3 开标过程由采购代理机构负责记录，</w:t>
      </w:r>
      <w:r>
        <w:rPr>
          <w:rFonts w:hint="eastAsia" w:ascii="宋体" w:hAnsi="宋体"/>
          <w:color w:val="auto"/>
          <w:szCs w:val="21"/>
          <w:highlight w:val="none"/>
        </w:rPr>
        <w:t>《开标记录表》经投标人进行电子签章、</w:t>
      </w:r>
      <w:r>
        <w:rPr>
          <w:rFonts w:hint="eastAsia" w:ascii="宋体" w:hAnsi="宋体"/>
          <w:color w:val="auto"/>
          <w:kern w:val="0"/>
          <w:szCs w:val="21"/>
          <w:highlight w:val="none"/>
        </w:rPr>
        <w:t>由参加开标相关工作人员签字确认后随采购文件一并存档。</w:t>
      </w:r>
      <w:r>
        <w:rPr>
          <w:rFonts w:hint="eastAsia" w:ascii="宋体" w:hAnsi="宋体"/>
          <w:color w:val="auto"/>
          <w:szCs w:val="21"/>
          <w:highlight w:val="none"/>
        </w:rPr>
        <w:t>投标人未电子签章的，视同认可开标结果。</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23.3.5 项目远程不见面开标活动结束时，投标人应在《开标记录表》上进行电子签章。投标人未签章的，视同认可开标结果。</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24.资格审查</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开标结束后，采购人依法对投标人的资格进行审查。合格投标人不足3家的，不得评标。</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25.评标委员会的组成</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25.1.1 招标人将依法组建评标委员会，评标委员会由评审专家组成，成员人数应当为5人以上单数。评审专家依法从政府采购评审专家库中随机抽取。</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25.1.2 采购项目符合下列情形之一的，评标委员会成员人数应当为7人以上单数：</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25.1.2.1 采购预算金额在1000万元以上；</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25.1.2.2 技术复杂；</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25.1.2.3 社会影响较大。</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25.1.2 评审专家对本单位的采购项目只能作为采购人代表参与评标。采购代理机构工作人员不得参加由本机构代理的政府采购项目的评标。</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25.2 评审专家与投标人存在下列利害关系之一的,应当回避:</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25.2.1 参加采购活动前三年内,与供应商存在劳动关系,或者担任过供应商的董事、监事,或者是供应商的控股股东或实际控制人；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25.2.2 与供应商的法定代表人或者负责人有夫妻、直系血亲、三代以内旁系血亲或者近姻亲关系；</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25.2.3 与供应商有其他可能影响政府采购活动公平、公正进行的关系。</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25.3 评审专家发现本人与参加采购活动的供应商有利害关系的,应当主动提出回避。采购人或者代理机构发现评审专家与参加采购活动的供应商有利害关系的,应当要求其回避。</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25.4 采购人不得担任评标小组长。</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25.5 采购人可以在评标前说明项目背景和采购需求，说明内容不得含有歧视性、倾向性意见，不得超出招标文件所述范围。说明应当提交书面材料，并随采购文件一并存档。</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25.6 评标委员会成员名单在评标结果公告前应当保密。</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26.符合性审查</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26.1 评标委员会依据有关法律法规和招标文件的规定，对符合资格的投标人的投标文件进行符合性审查，以确定其是否满足招标文件的实质性要求。</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26.2 审查、评价投标文件是否符合招标文件的商务、技术等实质性要求。</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26.3 可要求投标人对投标文件有关事项作出澄清或者说明。</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27.投标文件的澄清</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27.1 对于投标文件中含义不明确、同类问题表述不一致或者有明显文字和计算错误的内容，评标委员会应当以书面形式要求投标人作出必要的澄清、说明或者补正。</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27.3 投标人的澄清文件是其投标文件的组成部分。</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28.投标文件报价出现前后不一致的修正</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28.1 投标文件中开标一览表(报价表)内容与投标文件中相应内容不一致的，以开标一览表(报价表)为准；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28.2 大写金额和小写金额不一致的，以大写金额为准；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28.3 单价金额小数点或者百分比有明显错位的，以开标一览表的总价为准，并修改单价；</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29.投标无效情形</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29.1投标文件属下列情况之一的，按照无效投标处理：</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29.1.1 未按照招标文件的规定提交《禹州市政府采购供应商信用承诺函》的；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29.1.2 未按照招标文件的规定提交投标承诺函的；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29.1.3 投标文件未按招标文件要求签署、盖章的；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29.1.4 报价超过招标文件中规定的预算金额或者最高限价的；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29.1.5 投标文件含有采购人不能接受的附加条件的。</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29.2 根据《河南省财政厅关于防范供应商串通投标促进政府采购公平竞争的通知》（豫财购﹝2021﹞6号）要求，参与同一个标段的供应商存在下列情形之一的，其投标文件无效：</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29.2.1 不同供应商的电子投标文件上传计算机的网卡MAC地址、CPU序列号和硬盘序列号等硬件信息相同的；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29.2.2 不同供应商的投标文件由同一电子设备编制、打印加密或者上传；</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29.2.3 不同供应商的投标文件由同一电子设备打印、复印；</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29.2.4 不同供应商的投标文件由同一人送达或者分发，或者不同供应商联系人为同一人或不同联系人的联系电话一致的；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29.2.5 不同供应商的投标文件的内容存在两处以上细节错误一致；</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29.2.6 不同供应商的法定代表人、委托代理人、项目经理、项目负责人等由同一个单位缴纳社会保险或者领取报酬的；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29.2.7 不同供应商投标文件中法定代表人或者负责人签字出自同一人之手；</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29.2.8 其它涉嫌串通的情形。</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29.3 有下列情形之一的，视为投标人串通投标，其投标无效：</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29.3.1 不同投标人的投标文件由同一单位或者个人编制；</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29.3.2 不同投标人委托同一单位或者个人办理投标事宜；</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29.3.3 不同投标人的投标文件载明的项目管理成员或者联系人员为同一人；</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29.3.4 不同投标人的投标文件异常一致或者投标报价呈规律性差异；</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29.3.5 不同投标人的投标文件相互混装。</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szCs w:val="21"/>
          <w:highlight w:val="none"/>
        </w:rPr>
        <w:t>29.6 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29.7 法律、法规和招标文件规定的其他无效情形。</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30.相同品牌投标人的认定</w:t>
      </w:r>
      <w:r>
        <w:rPr>
          <w:rFonts w:hint="eastAsia" w:ascii="宋体" w:hAnsi="宋体"/>
          <w:b/>
          <w:bCs/>
          <w:color w:val="auto"/>
          <w:szCs w:val="21"/>
          <w:highlight w:val="none"/>
          <w:lang w:val="zh-CN"/>
        </w:rPr>
        <w:t>（服务类项目不适用本条款规定）</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31.投标文件的比较与评价</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评标委员会按照招标文件中规定的评标方法和标准，对符合性审查合格的投标文件进行商务和技术评估，综合比较与评价。</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32.评标方法、评标标准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32.1 评标方法分为最低评标价法和综合评分法。</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32.1.1 最低评标价法</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32.1.1.1 最低评标价法，是指投标文件满足招标文件全部实质性要求，且投标报价最低的投标人为中标候选人的评标方法。</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32.1.1.2 采用最低评标价法评标时，除了算术修正和落实政府采购政策需进行的价格扣除外，不能对投标人的投标价格进行任何调整。</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32.1.2 综合评分法，是指投标文件满足招标文件全部实质性要求，且按照评审因素的量化指标评审得分最高的投标人为中标候选人的评标方法。</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32.2 价格分</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32.2.1 价格分采用低价优先法计算，即满足招标文件要求且投标价格最低的投标报价为评标基准价，其价格分为满分。其他投标人的价格分统一按照下列公式计算：</w:t>
      </w:r>
    </w:p>
    <w:p>
      <w:pPr>
        <w:autoSpaceDE w:val="0"/>
        <w:autoSpaceDN w:val="0"/>
        <w:spacing w:line="398" w:lineRule="exact"/>
        <w:ind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投标报价得分=(评标基准价/投标报价)×100</w:t>
      </w:r>
    </w:p>
    <w:p>
      <w:pPr>
        <w:autoSpaceDE w:val="0"/>
        <w:autoSpaceDN w:val="0"/>
        <w:spacing w:line="398" w:lineRule="exact"/>
        <w:ind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评标总得分=F1×A1+F2×A2+……+Fn×An</w:t>
      </w:r>
    </w:p>
    <w:p>
      <w:pPr>
        <w:autoSpaceDE w:val="0"/>
        <w:autoSpaceDN w:val="0"/>
        <w:spacing w:line="398" w:lineRule="exact"/>
        <w:ind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F1、F2……Fn分别为各项评审因素的得分;</w:t>
      </w:r>
    </w:p>
    <w:p>
      <w:pPr>
        <w:autoSpaceDE w:val="0"/>
        <w:autoSpaceDN w:val="0"/>
        <w:spacing w:line="398" w:lineRule="exact"/>
        <w:ind w:firstLine="840" w:firstLineChars="400"/>
        <w:contextualSpacing/>
        <w:rPr>
          <w:rFonts w:ascii="宋体" w:hAnsi="宋体"/>
          <w:color w:val="auto"/>
          <w:kern w:val="0"/>
          <w:szCs w:val="21"/>
          <w:highlight w:val="none"/>
        </w:rPr>
      </w:pPr>
      <w:r>
        <w:rPr>
          <w:rFonts w:hint="eastAsia" w:ascii="宋体" w:hAnsi="宋体"/>
          <w:color w:val="auto"/>
          <w:kern w:val="0"/>
          <w:szCs w:val="21"/>
          <w:highlight w:val="none"/>
        </w:rPr>
        <w:t>A1、A2、……An 分别为各项评审因素所占的权重(A1+A2+……+An=1)。</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32.2.2 评标过程中，不得去掉报价中的最高报价和最低报价。</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32.2.3 因落实政府采购政策进行价格调整的，以调整后的价格计算评标基准价和投标报价。</w:t>
      </w:r>
    </w:p>
    <w:p>
      <w:pPr>
        <w:pStyle w:val="17"/>
        <w:autoSpaceDE w:val="0"/>
        <w:autoSpaceDN w:val="0"/>
        <w:spacing w:line="398" w:lineRule="exact"/>
        <w:ind w:firstLine="422"/>
        <w:contextualSpacing/>
        <w:rPr>
          <w:rFonts w:ascii="宋体" w:hAnsi="宋体"/>
          <w:color w:val="auto"/>
          <w:kern w:val="0"/>
          <w:szCs w:val="21"/>
          <w:highlight w:val="none"/>
        </w:rPr>
      </w:pPr>
      <w:r>
        <w:rPr>
          <w:rFonts w:hint="eastAsia" w:ascii="宋体" w:hAnsi="宋体"/>
          <w:b/>
          <w:color w:val="auto"/>
          <w:kern w:val="0"/>
          <w:szCs w:val="21"/>
          <w:highlight w:val="none"/>
        </w:rPr>
        <w:t>32.3 本次评标具体评标方法、评标标准见（第六章 资格审查与评标）</w:t>
      </w:r>
      <w:r>
        <w:rPr>
          <w:rFonts w:hint="eastAsia" w:ascii="宋体" w:hAnsi="宋体"/>
          <w:color w:val="auto"/>
          <w:kern w:val="0"/>
          <w:szCs w:val="21"/>
          <w:highlight w:val="none"/>
        </w:rPr>
        <w:t>。</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33. 推荐中标候选人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33.1 采用最低评标价法的，评标结果按投标报价由低到高顺序排列。投标报价相同的并列。投标文件满足招标文件全部实质性要求且投标报价最低的投标人为排名第一的中标候选人。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7"/>
        <w:numPr>
          <w:ilvl w:val="0"/>
          <w:numId w:val="5"/>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评审意见无效情形</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34.1 评标委员会及其成员有下列行为之一的，其评审意见无效：</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34.1.1 确定参与评标至评标结束前私自接触投标人；</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34.1.2 接受投标人提出的与投标文件不一致的澄清或者说明，《投标人须知》26条规定的情形除外；</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34.1.3 违反评标纪律发表倾向性意见或者征询采购人的倾向性意见；</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34.1.4 对需要专业判断的主观评审因素协商评分；</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34.1.5 在评标过程中擅离职守，影响评标程序正常进行的；</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34.1.6 记录、复制或者带走任何评标资料；</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34.1.7 其他不遵守评标纪律的行为。</w:t>
      </w:r>
    </w:p>
    <w:p>
      <w:pPr>
        <w:pStyle w:val="17"/>
        <w:numPr>
          <w:ilvl w:val="0"/>
          <w:numId w:val="5"/>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保密</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35.1 评审专家应当遵守评审工作纪律，不得泄露评审文件、评审情况和评审中获悉的商业秘密。</w:t>
      </w:r>
    </w:p>
    <w:p>
      <w:pPr>
        <w:autoSpaceDE w:val="0"/>
        <w:autoSpaceDN w:val="0"/>
        <w:spacing w:line="398" w:lineRule="exact"/>
        <w:ind w:firstLine="420" w:firstLineChars="200"/>
        <w:contextualSpacing/>
        <w:rPr>
          <w:rFonts w:ascii="宋体" w:hAnsi="宋体"/>
          <w:color w:val="auto"/>
          <w:szCs w:val="21"/>
          <w:highlight w:val="none"/>
          <w:lang w:val="zh-CN"/>
        </w:rPr>
      </w:pPr>
      <w:r>
        <w:rPr>
          <w:rFonts w:hint="eastAsia" w:ascii="宋体" w:hAnsi="宋体"/>
          <w:color w:val="auto"/>
          <w:kern w:val="0"/>
          <w:szCs w:val="21"/>
          <w:highlight w:val="none"/>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98" w:lineRule="exact"/>
        <w:contextualSpacing/>
        <w:jc w:val="center"/>
        <w:rPr>
          <w:rFonts w:ascii="宋体" w:hAnsi="宋体"/>
          <w:b/>
          <w:color w:val="auto"/>
          <w:kern w:val="0"/>
          <w:szCs w:val="21"/>
          <w:highlight w:val="none"/>
        </w:rPr>
      </w:pPr>
    </w:p>
    <w:p>
      <w:pPr>
        <w:tabs>
          <w:tab w:val="left" w:pos="1260"/>
        </w:tabs>
        <w:autoSpaceDE w:val="0"/>
        <w:autoSpaceDN w:val="0"/>
        <w:spacing w:line="398" w:lineRule="exact"/>
        <w:contextualSpacing/>
        <w:jc w:val="center"/>
        <w:rPr>
          <w:rFonts w:ascii="宋体" w:hAnsi="宋体"/>
          <w:b/>
          <w:color w:val="auto"/>
          <w:kern w:val="0"/>
          <w:szCs w:val="21"/>
          <w:highlight w:val="none"/>
        </w:rPr>
      </w:pPr>
      <w:r>
        <w:rPr>
          <w:rFonts w:hint="eastAsia" w:ascii="宋体" w:hAnsi="宋体"/>
          <w:b/>
          <w:color w:val="auto"/>
          <w:kern w:val="0"/>
          <w:szCs w:val="21"/>
          <w:highlight w:val="none"/>
        </w:rPr>
        <w:t>六、定标和授予合同</w:t>
      </w:r>
    </w:p>
    <w:p>
      <w:pPr>
        <w:pStyle w:val="17"/>
        <w:numPr>
          <w:ilvl w:val="0"/>
          <w:numId w:val="5"/>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确定中标人</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36.1 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36.2 采购人在收到评标报告1个工作日内未按评标报告推荐的中标候选人顺序确定中标人，又不能说明合法理由的，视同按评标报告推荐的顺序确定排名第一的中标候选人为中标人。</w:t>
      </w:r>
    </w:p>
    <w:p>
      <w:pPr>
        <w:pStyle w:val="17"/>
        <w:numPr>
          <w:ilvl w:val="0"/>
          <w:numId w:val="5"/>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中标公告、发出中标通知书</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37.1 采购人确认中标人后，1个工作日公告中标结果的同时，代理机构向中标人发出中标通知书。</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37.2 中标通知书发出后，采购人不得违法改变中标结果，中标人无正当理由不得放弃中标。</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37.3 中标人在接到中标通知时，须向代理机构发送投标报价及分项报价一览表（包含主要中标标的的名称、规格型号、数量、单价、服务要求等）电子文档，并同时通知代理机构联系人。</w:t>
      </w:r>
    </w:p>
    <w:p>
      <w:pPr>
        <w:pStyle w:val="17"/>
        <w:numPr>
          <w:ilvl w:val="0"/>
          <w:numId w:val="5"/>
        </w:numPr>
        <w:autoSpaceDE w:val="0"/>
        <w:autoSpaceDN w:val="0"/>
        <w:spacing w:line="398" w:lineRule="exact"/>
        <w:ind w:firstLineChars="0"/>
        <w:contextualSpacing/>
        <w:rPr>
          <w:rFonts w:ascii="宋体" w:hAnsi="宋体"/>
          <w:b/>
          <w:color w:val="auto"/>
          <w:kern w:val="0"/>
          <w:szCs w:val="21"/>
          <w:highlight w:val="none"/>
        </w:rPr>
      </w:pPr>
      <w:r>
        <w:rPr>
          <w:rFonts w:hint="eastAsia" w:ascii="宋体" w:hAnsi="宋体"/>
          <w:b/>
          <w:color w:val="auto"/>
          <w:kern w:val="0"/>
          <w:szCs w:val="21"/>
          <w:highlight w:val="none"/>
        </w:rPr>
        <w:t>质疑提出与答复</w:t>
      </w:r>
    </w:p>
    <w:p>
      <w:pPr>
        <w:pStyle w:val="17"/>
        <w:autoSpaceDE w:val="0"/>
        <w:autoSpaceDN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投标人应及时联系招标公告中集采机构联系人查看。如未提出视为全面接受。</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38.1.1 对采购文件提出质疑的，潜在投标人应已依法获取采购文件，且应当在获取采购文件或者采购文件公告期限届满之日起7个工作日内通过《全国公共资源交易平台（河南省·许昌市）》一次性提出。</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38.1.2 对采购过程提出质疑的，为各采购程序环节结束之日起七个工作日内，投标人通过《全国公共资源交易平台（河南省·许昌市）》一次性提出；</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38.1.3 对中标结果提出质疑的，为中标结果公告期限届满之日起七个工作日内，投标人通过《全国公共资源交易平台（河南省·许昌市）》一次性提出。</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38.2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38.2.1 对采购文件提出的质疑，依法通过澄清或者修改可以继续开展采购活动的，澄清或者修改采购文件后继续开展采购活动；否则应当修改采购文件后重新开展采购活动。</w:t>
      </w:r>
    </w:p>
    <w:p>
      <w:pPr>
        <w:pStyle w:val="17"/>
        <w:autoSpaceDE w:val="0"/>
        <w:autoSpaceDN w:val="0"/>
        <w:spacing w:line="398" w:lineRule="exact"/>
        <w:ind w:firstLine="630" w:firstLineChars="300"/>
        <w:contextualSpacing/>
        <w:rPr>
          <w:rFonts w:ascii="宋体" w:hAnsi="宋体"/>
          <w:color w:val="auto"/>
          <w:kern w:val="0"/>
          <w:szCs w:val="21"/>
          <w:highlight w:val="none"/>
        </w:rPr>
      </w:pPr>
      <w:r>
        <w:rPr>
          <w:rFonts w:hint="eastAsia" w:ascii="宋体" w:hAnsi="宋体"/>
          <w:color w:val="auto"/>
          <w:kern w:val="0"/>
          <w:szCs w:val="21"/>
          <w:highlight w:val="none"/>
        </w:rPr>
        <w:t>38.2.2 对采购过程、中标结果提出的质疑，合格供应商符合法定数量时，可以从合格的中标候选人中另行确定中标供应商的，应当依法另行确定中标供应商；否则应当重新开展采购活动。</w:t>
      </w:r>
    </w:p>
    <w:p>
      <w:pPr>
        <w:pStyle w:val="17"/>
        <w:autoSpaceDE w:val="0"/>
        <w:autoSpaceDN w:val="0"/>
        <w:spacing w:line="398" w:lineRule="exact"/>
        <w:ind w:firstLine="0" w:firstLineChars="0"/>
        <w:contextualSpacing/>
        <w:rPr>
          <w:rFonts w:ascii="宋体" w:hAnsi="宋体"/>
          <w:b/>
          <w:color w:val="auto"/>
          <w:kern w:val="0"/>
          <w:szCs w:val="21"/>
          <w:highlight w:val="none"/>
        </w:rPr>
      </w:pPr>
      <w:r>
        <w:rPr>
          <w:rFonts w:hint="eastAsia" w:ascii="宋体" w:hAnsi="宋体"/>
          <w:b/>
          <w:color w:val="auto"/>
          <w:kern w:val="0"/>
          <w:szCs w:val="21"/>
          <w:highlight w:val="none"/>
        </w:rPr>
        <w:t>39. 签订合同与备案</w:t>
      </w:r>
    </w:p>
    <w:p>
      <w:pPr>
        <w:autoSpaceDE w:val="0"/>
        <w:autoSpaceDN w:val="0"/>
        <w:spacing w:line="398" w:lineRule="exact"/>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采购人应当自中标通知书发出之日起2日内，按照招标文件和中标人投标文件的规定，与中标人签订书面合同。所签订的合同不得对招标文件确定的事项和中标人投标文件作实质性修改。采购人自采购合同签订之日起，1个工作日内进行合同备案。</w:t>
      </w:r>
    </w:p>
    <w:p>
      <w:pPr>
        <w:autoSpaceDE w:val="0"/>
        <w:autoSpaceDN w:val="0"/>
        <w:spacing w:line="398" w:lineRule="exact"/>
        <w:contextualSpacing/>
        <w:jc w:val="left"/>
        <w:rPr>
          <w:rFonts w:ascii="宋体" w:hAnsi="宋体"/>
          <w:color w:val="auto"/>
          <w:kern w:val="0"/>
          <w:szCs w:val="21"/>
          <w:highlight w:val="none"/>
        </w:rPr>
      </w:pPr>
      <w:r>
        <w:rPr>
          <w:rFonts w:hint="eastAsia" w:ascii="宋体" w:hAnsi="宋体"/>
          <w:b/>
          <w:color w:val="auto"/>
          <w:kern w:val="0"/>
          <w:szCs w:val="21"/>
          <w:highlight w:val="none"/>
        </w:rPr>
        <w:t>40.政府采购合同融资</w:t>
      </w:r>
    </w:p>
    <w:p>
      <w:pPr>
        <w:pStyle w:val="17"/>
        <w:wordWrap w:val="0"/>
        <w:topLinePunct/>
        <w:autoSpaceDE w:val="0"/>
        <w:autoSpaceDN w:val="0"/>
        <w:adjustRightInd w:val="0"/>
        <w:spacing w:line="398" w:lineRule="exact"/>
        <w:contextualSpacing/>
        <w:rPr>
          <w:rFonts w:ascii="宋体" w:hAnsi="宋体"/>
          <w:color w:val="auto"/>
          <w:kern w:val="0"/>
          <w:szCs w:val="21"/>
          <w:highlight w:val="none"/>
        </w:rPr>
      </w:pPr>
      <w:r>
        <w:rPr>
          <w:rFonts w:hint="eastAsia" w:ascii="宋体" w:hAnsi="宋体"/>
          <w:color w:val="auto"/>
          <w:kern w:val="0"/>
          <w:szCs w:val="21"/>
          <w:highlight w:val="none"/>
        </w:rPr>
        <w:t>41.1缓解中小企业融资难题</w:t>
      </w:r>
    </w:p>
    <w:p>
      <w:pPr>
        <w:autoSpaceDE w:val="0"/>
        <w:autoSpaceDN w:val="0"/>
        <w:spacing w:line="398" w:lineRule="exact"/>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98" w:lineRule="exact"/>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41.2 合作金融机构（排名不分先后）</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合作金融机构名称：中原银行许昌分行（小微金融部）</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联系人及电话：陈阳 13137407575   方金龙   15836539901</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地址：许昌市建安大道与紫云路交汇处中原银行</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合作金融机构名称：浦发银行许昌分行</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联系人及电话：赵勇  0374-7313551  18937425515</w:t>
      </w:r>
    </w:p>
    <w:p>
      <w:pPr>
        <w:autoSpaceDE w:val="0"/>
        <w:autoSpaceDN w:val="0"/>
        <w:spacing w:line="398" w:lineRule="exact"/>
        <w:ind w:left="964"/>
        <w:contextualSpacing/>
        <w:jc w:val="left"/>
        <w:rPr>
          <w:rFonts w:ascii="宋体" w:hAnsi="宋体"/>
          <w:color w:val="auto"/>
          <w:kern w:val="0"/>
          <w:szCs w:val="21"/>
          <w:highlight w:val="none"/>
        </w:rPr>
      </w:pPr>
      <w:r>
        <w:rPr>
          <w:rFonts w:hint="eastAsia" w:ascii="宋体" w:hAnsi="宋体"/>
          <w:color w:val="auto"/>
          <w:kern w:val="0"/>
          <w:szCs w:val="21"/>
          <w:highlight w:val="none"/>
        </w:rPr>
        <w:t>地址：禹州市禹王大道与府东路交叉口</w:t>
      </w:r>
    </w:p>
    <w:p>
      <w:pPr>
        <w:autoSpaceDE w:val="0"/>
        <w:autoSpaceDN w:val="0"/>
        <w:spacing w:line="398" w:lineRule="exact"/>
        <w:contextualSpacing/>
        <w:jc w:val="center"/>
        <w:rPr>
          <w:rFonts w:ascii="宋体" w:hAnsi="宋体"/>
          <w:b/>
          <w:color w:val="auto"/>
          <w:kern w:val="0"/>
          <w:sz w:val="32"/>
          <w:szCs w:val="32"/>
          <w:highlight w:val="none"/>
        </w:rPr>
      </w:pPr>
    </w:p>
    <w:p>
      <w:pPr>
        <w:autoSpaceDE w:val="0"/>
        <w:autoSpaceDN w:val="0"/>
        <w:spacing w:line="400" w:lineRule="exact"/>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第五章 政府采购政策功能</w:t>
      </w:r>
    </w:p>
    <w:p>
      <w:pPr>
        <w:spacing w:line="440" w:lineRule="exact"/>
        <w:ind w:firstLine="420" w:firstLineChars="200"/>
        <w:contextualSpacing/>
        <w:rPr>
          <w:rFonts w:ascii="宋体" w:hAnsi="宋体"/>
          <w:color w:val="auto"/>
          <w:szCs w:val="21"/>
          <w:highlight w:val="none"/>
          <w:lang w:val="zh-CN"/>
        </w:rPr>
      </w:pPr>
    </w:p>
    <w:p>
      <w:pPr>
        <w:spacing w:line="440" w:lineRule="exact"/>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440" w:lineRule="exact"/>
        <w:ind w:firstLine="422" w:firstLineChars="200"/>
        <w:contextualSpacing/>
        <w:rPr>
          <w:rFonts w:ascii="宋体" w:hAnsi="宋体"/>
          <w:b/>
          <w:color w:val="auto"/>
          <w:sz w:val="21"/>
          <w:szCs w:val="21"/>
          <w:highlight w:val="none"/>
          <w:lang w:val="zh-CN"/>
        </w:rPr>
      </w:pPr>
      <w:r>
        <w:rPr>
          <w:rFonts w:hint="eastAsia" w:ascii="宋体" w:hAnsi="宋体"/>
          <w:b/>
          <w:color w:val="auto"/>
          <w:sz w:val="21"/>
          <w:szCs w:val="21"/>
          <w:highlight w:val="none"/>
          <w:lang w:val="zh-CN"/>
        </w:rPr>
        <w:t>一、节约能源、保护环境</w:t>
      </w:r>
    </w:p>
    <w:p>
      <w:pPr>
        <w:pStyle w:val="6"/>
        <w:spacing w:line="440" w:lineRule="exact"/>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color w:val="auto"/>
          <w:sz w:val="21"/>
          <w:szCs w:val="21"/>
          <w:highlight w:val="none"/>
        </w:rPr>
        <w:t>财政部、生态环境部</w:t>
      </w:r>
      <w:r>
        <w:rPr>
          <w:rFonts w:hint="eastAsia" w:ascii="宋体" w:hAnsi="宋体"/>
          <w:color w:val="auto"/>
          <w:sz w:val="21"/>
          <w:szCs w:val="21"/>
          <w:highlight w:val="none"/>
          <w:lang w:val="zh-CN"/>
        </w:rPr>
        <w:t>《关于印发环境标志产品政府采购品目清单的通知》</w:t>
      </w:r>
      <w:r>
        <w:rPr>
          <w:rFonts w:hint="eastAsia" w:ascii="宋体" w:hAnsi="宋体"/>
          <w:color w:val="auto"/>
          <w:sz w:val="21"/>
          <w:szCs w:val="21"/>
          <w:highlight w:val="none"/>
        </w:rPr>
        <w:t>（财库[2019]18号）以及</w:t>
      </w:r>
      <w:r>
        <w:rPr>
          <w:rFonts w:hint="eastAsia" w:ascii="宋体" w:hAnsi="宋体"/>
          <w:color w:val="auto"/>
          <w:sz w:val="21"/>
          <w:szCs w:val="21"/>
          <w:highlight w:val="none"/>
          <w:lang w:val="zh-CN"/>
        </w:rPr>
        <w:t>财政部、发展改革委</w:t>
      </w:r>
      <w:r>
        <w:rPr>
          <w:rFonts w:hint="eastAsia" w:ascii="宋体" w:hAnsi="宋体"/>
          <w:color w:val="auto"/>
          <w:sz w:val="21"/>
          <w:szCs w:val="21"/>
          <w:highlight w:val="none"/>
        </w:rPr>
        <w:t>《关于印发节能产品政府采购品目清单的通知》（财库[2019]19号）</w:t>
      </w:r>
      <w:r>
        <w:rPr>
          <w:rFonts w:hint="eastAsia" w:ascii="宋体" w:hAnsi="宋体"/>
          <w:color w:val="auto"/>
          <w:sz w:val="21"/>
          <w:szCs w:val="21"/>
          <w:highlight w:val="none"/>
          <w:lang w:val="zh-CN"/>
        </w:rPr>
        <w:t>，</w:t>
      </w:r>
      <w:r>
        <w:rPr>
          <w:rFonts w:hint="eastAsia" w:ascii="宋体" w:hAnsi="宋体"/>
          <w:color w:val="auto"/>
          <w:sz w:val="21"/>
          <w:szCs w:val="21"/>
          <w:highlight w:val="none"/>
        </w:rPr>
        <w:t>采购政府强</w:t>
      </w:r>
      <w:r>
        <w:rPr>
          <w:rFonts w:hint="eastAsia" w:ascii="宋体" w:hAnsi="宋体"/>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6"/>
        <w:spacing w:line="440" w:lineRule="exact"/>
        <w:ind w:firstLine="422" w:firstLineChars="200"/>
        <w:contextualSpacing/>
        <w:rPr>
          <w:rFonts w:ascii="宋体" w:hAnsi="宋体"/>
          <w:b/>
          <w:color w:val="auto"/>
          <w:sz w:val="21"/>
          <w:szCs w:val="21"/>
          <w:highlight w:val="none"/>
          <w:lang w:val="zh-CN"/>
        </w:rPr>
      </w:pPr>
      <w:r>
        <w:rPr>
          <w:rFonts w:hint="eastAsia" w:ascii="宋体" w:hAnsi="宋体"/>
          <w:b/>
          <w:color w:val="auto"/>
          <w:sz w:val="21"/>
          <w:szCs w:val="21"/>
          <w:highlight w:val="none"/>
          <w:lang w:val="zh-CN"/>
        </w:rPr>
        <w:t>二、促进中小企业发展（不含民办非企业）</w:t>
      </w:r>
    </w:p>
    <w:p>
      <w:pPr>
        <w:topLinePunct/>
        <w:spacing w:line="44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topLinePunct/>
        <w:spacing w:line="44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2、在货物采购项目中，供应商提供的货物既有中小企业制造货物，也有大型企业制造货物的，不享受《政府采购促进中小企业发展管理办法》（财库[2020]46号）规定的中小企业扶持政策。</w:t>
      </w:r>
    </w:p>
    <w:p>
      <w:pPr>
        <w:topLinePunct/>
        <w:spacing w:line="44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3、以联合体形式参加政府采购活动，联合体各方均为中小企业的，联合体视同中小企业。其中，联合体各方均为小微企业的，联合体视同小微企业。</w:t>
      </w:r>
    </w:p>
    <w:p>
      <w:pPr>
        <w:topLinePunct/>
        <w:spacing w:line="44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440" w:lineRule="exact"/>
        <w:ind w:firstLine="420" w:firstLineChars="200"/>
        <w:contextualSpacing/>
        <w:rPr>
          <w:rFonts w:ascii="宋体" w:hAnsi="宋体"/>
          <w:color w:val="auto"/>
          <w:szCs w:val="21"/>
          <w:highlight w:val="none"/>
        </w:rPr>
      </w:pPr>
      <w:r>
        <w:rPr>
          <w:rFonts w:hint="eastAsia" w:ascii="宋体" w:hAnsi="宋体"/>
          <w:color w:val="auto"/>
          <w:szCs w:val="21"/>
          <w:highlight w:val="none"/>
        </w:rPr>
        <w:t>5、按照本次采购标的所属行业的划型标准，符合条件的中小企业应按照招标文件格式要求提供《中小企业声明函》，否则不得享受相关中小企业扶持政策。。</w:t>
      </w:r>
    </w:p>
    <w:p>
      <w:pPr>
        <w:topLinePunct/>
        <w:spacing w:line="440" w:lineRule="exact"/>
        <w:ind w:firstLine="422" w:firstLineChars="200"/>
        <w:contextualSpacing/>
        <w:rPr>
          <w:rFonts w:ascii="宋体" w:hAnsi="宋体"/>
          <w:b/>
          <w:color w:val="auto"/>
          <w:szCs w:val="21"/>
          <w:highlight w:val="none"/>
          <w:lang w:val="zh-CN"/>
        </w:rPr>
      </w:pPr>
      <w:r>
        <w:rPr>
          <w:rFonts w:hint="eastAsia" w:ascii="宋体" w:hAnsi="宋体"/>
          <w:b/>
          <w:color w:val="auto"/>
          <w:szCs w:val="21"/>
          <w:highlight w:val="none"/>
          <w:lang w:val="zh-CN"/>
        </w:rPr>
        <w:t>三、支持监狱企业发展</w:t>
      </w:r>
    </w:p>
    <w:p>
      <w:pPr>
        <w:spacing w:line="440" w:lineRule="exact"/>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照财政部、司法部发布的《关于政府采购支持监狱企业发展有关问题的通知》（财库[2014]68号）规定，在政府采购活动中，监狱企业视同小型、微型企业，享受评审中价格扣除的政府采购政策，用扣除后</w:t>
      </w:r>
    </w:p>
    <w:p>
      <w:pPr>
        <w:spacing w:line="440" w:lineRule="exact"/>
        <w:contextualSpacing/>
        <w:rPr>
          <w:rFonts w:ascii="宋体" w:hAnsi="宋体"/>
          <w:color w:val="auto"/>
          <w:szCs w:val="21"/>
          <w:highlight w:val="none"/>
          <w:lang w:val="zh-CN"/>
        </w:rPr>
      </w:pPr>
      <w:r>
        <w:rPr>
          <w:rFonts w:hint="eastAsia" w:ascii="宋体" w:hAnsi="宋体"/>
          <w:color w:val="auto"/>
          <w:szCs w:val="21"/>
          <w:highlight w:val="none"/>
          <w:lang w:val="zh-CN"/>
        </w:rPr>
        <w:t>的价格参与评审。监狱企业应当提供由省级以上监狱管理局、戒毒管理局(含新疆生产建设兵团)出具的属于监狱企业的证明文件。</w:t>
      </w:r>
    </w:p>
    <w:p>
      <w:pPr>
        <w:spacing w:line="440" w:lineRule="exact"/>
        <w:ind w:firstLine="422" w:firstLineChars="200"/>
        <w:contextualSpacing/>
        <w:rPr>
          <w:rFonts w:ascii="宋体" w:hAnsi="宋体"/>
          <w:b/>
          <w:color w:val="auto"/>
          <w:szCs w:val="21"/>
          <w:highlight w:val="none"/>
          <w:lang w:val="zh-CN"/>
        </w:rPr>
      </w:pPr>
      <w:r>
        <w:rPr>
          <w:rFonts w:hint="eastAsia" w:ascii="宋体" w:hAnsi="宋体"/>
          <w:b/>
          <w:color w:val="auto"/>
          <w:szCs w:val="21"/>
          <w:highlight w:val="none"/>
          <w:lang w:val="zh-CN"/>
        </w:rPr>
        <w:t>四、促进残疾人就业</w:t>
      </w:r>
    </w:p>
    <w:p>
      <w:pPr>
        <w:pStyle w:val="6"/>
        <w:spacing w:line="440" w:lineRule="exact"/>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6"/>
        <w:spacing w:line="440" w:lineRule="exact"/>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440" w:lineRule="exact"/>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3、中标人为残疾人福利性单位的，招标人应当随中标结果同时公告其《残疾人福利性单位声明函》，接受社会监督。</w:t>
      </w:r>
    </w:p>
    <w:p>
      <w:pPr>
        <w:topLinePunct/>
        <w:spacing w:line="440" w:lineRule="exact"/>
        <w:ind w:firstLine="420" w:firstLineChars="200"/>
        <w:contextualSpacing/>
        <w:rPr>
          <w:rFonts w:ascii="宋体" w:hAnsi="宋体"/>
          <w:color w:val="auto"/>
          <w:szCs w:val="21"/>
          <w:highlight w:val="none"/>
          <w:lang w:val="zh-CN"/>
        </w:rPr>
      </w:pPr>
    </w:p>
    <w:p>
      <w:pPr>
        <w:pStyle w:val="6"/>
        <w:spacing w:line="360" w:lineRule="auto"/>
        <w:ind w:left="282" w:hanging="282" w:hangingChars="78"/>
        <w:contextualSpacing/>
        <w:jc w:val="center"/>
        <w:rPr>
          <w:rFonts w:ascii="宋体" w:hAnsi="宋体"/>
          <w:b/>
          <w:color w:val="auto"/>
          <w:kern w:val="0"/>
          <w:sz w:val="36"/>
          <w:szCs w:val="36"/>
          <w:highlight w:val="none"/>
        </w:rPr>
      </w:pPr>
    </w:p>
    <w:p>
      <w:pPr>
        <w:pStyle w:val="6"/>
        <w:spacing w:line="360" w:lineRule="auto"/>
        <w:contextualSpacing/>
        <w:rPr>
          <w:rFonts w:ascii="宋体" w:hAnsi="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tabs>
          <w:tab w:val="left" w:pos="1260"/>
        </w:tabs>
        <w:autoSpaceDE w:val="0"/>
        <w:autoSpaceDN w:val="0"/>
        <w:adjustRightInd w:val="0"/>
        <w:spacing w:line="360" w:lineRule="auto"/>
        <w:contextualSpacing/>
        <w:jc w:val="center"/>
        <w:rPr>
          <w:rFonts w:ascii="宋体" w:hAnsi="宋体"/>
          <w:b/>
          <w:color w:val="auto"/>
          <w:kern w:val="0"/>
          <w:sz w:val="32"/>
          <w:szCs w:val="32"/>
          <w:highlight w:val="none"/>
        </w:rPr>
      </w:pPr>
    </w:p>
    <w:p>
      <w:pPr>
        <w:jc w:val="center"/>
        <w:rPr>
          <w:rFonts w:ascii="宋体" w:hAnsi="宋体" w:cs="仿宋_GB2312"/>
          <w:color w:val="auto"/>
          <w:highlight w:val="none"/>
          <w:lang w:val="zh-CN"/>
        </w:rPr>
      </w:pPr>
      <w:r>
        <w:rPr>
          <w:rFonts w:hint="eastAsia" w:ascii="宋体" w:hAnsi="宋体"/>
          <w:b/>
          <w:color w:val="auto"/>
          <w:kern w:val="0"/>
          <w:sz w:val="32"/>
          <w:szCs w:val="32"/>
          <w:highlight w:val="none"/>
        </w:rPr>
        <w:t>第六章 资格审查与评标</w:t>
      </w:r>
    </w:p>
    <w:p>
      <w:pPr>
        <w:pStyle w:val="6"/>
        <w:spacing w:line="360" w:lineRule="auto"/>
        <w:contextualSpacing/>
        <w:rPr>
          <w:rFonts w:ascii="宋体" w:hAnsi="宋体"/>
          <w:bCs/>
          <w:color w:val="auto"/>
          <w:sz w:val="21"/>
          <w:szCs w:val="21"/>
          <w:highlight w:val="none"/>
        </w:rPr>
      </w:pPr>
      <w:r>
        <w:rPr>
          <w:rFonts w:ascii="宋体" w:hAnsi="宋体" w:cs="仿宋_GB2312"/>
          <w:b/>
          <w:color w:val="auto"/>
          <w:sz w:val="21"/>
          <w:szCs w:val="21"/>
          <w:highlight w:val="none"/>
          <w:lang w:val="zh-CN"/>
        </w:rPr>
        <w:t>一、资格审查</w:t>
      </w:r>
    </w:p>
    <w:p>
      <w:pPr>
        <w:spacing w:line="440" w:lineRule="atLeast"/>
        <w:ind w:right="420" w:rightChars="200" w:firstLine="420" w:firstLineChars="200"/>
        <w:contextualSpacing/>
        <w:rPr>
          <w:rFonts w:ascii="宋体" w:hAnsi="宋体"/>
          <w:bCs/>
          <w:color w:val="auto"/>
          <w:szCs w:val="21"/>
          <w:highlight w:val="none"/>
        </w:rPr>
      </w:pPr>
      <w:r>
        <w:rPr>
          <w:rFonts w:hint="eastAsia" w:ascii="宋体" w:hAnsi="宋体"/>
          <w:bCs/>
          <w:color w:val="auto"/>
          <w:szCs w:val="21"/>
          <w:highlight w:val="none"/>
        </w:rPr>
        <w:t>（一）</w:t>
      </w:r>
      <w:r>
        <w:rPr>
          <w:rFonts w:ascii="宋体" w:hAnsi="宋体"/>
          <w:bCs/>
          <w:color w:val="auto"/>
          <w:szCs w:val="21"/>
          <w:highlight w:val="none"/>
        </w:rPr>
        <w:t>开标结束后，</w:t>
      </w:r>
      <w:r>
        <w:rPr>
          <w:rFonts w:hint="eastAsia" w:ascii="宋体" w:hAnsi="宋体"/>
          <w:bCs/>
          <w:color w:val="auto"/>
          <w:szCs w:val="21"/>
          <w:highlight w:val="none"/>
        </w:rPr>
        <w:t>采购人依法对投标人资格进行审查</w:t>
      </w:r>
      <w:r>
        <w:rPr>
          <w:rFonts w:ascii="宋体" w:hAnsi="宋体"/>
          <w:bCs/>
          <w:color w:val="auto"/>
          <w:szCs w:val="21"/>
          <w:highlight w:val="none"/>
        </w:rPr>
        <w:t>。</w:t>
      </w:r>
      <w:r>
        <w:rPr>
          <w:rFonts w:hint="eastAsia" w:ascii="宋体" w:hAnsi="宋体"/>
          <w:bCs/>
          <w:color w:val="auto"/>
          <w:szCs w:val="21"/>
          <w:highlight w:val="none"/>
        </w:rPr>
        <w:t>确定符合资格的投标人不少于3家的，将组织评标委员会进行评标。</w:t>
      </w:r>
    </w:p>
    <w:p>
      <w:pPr>
        <w:spacing w:line="440" w:lineRule="atLeast"/>
        <w:ind w:right="420" w:rightChars="200"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（二）资格证明材料（本栏所列内容为本项目的资格审查条件，如有一项不符合要求，则不能进入下一步评审）。</w:t>
      </w:r>
    </w:p>
    <w:p>
      <w:pPr>
        <w:spacing w:line="440" w:lineRule="atLeast"/>
        <w:ind w:right="420" w:rightChars="200"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（三）资格审查中所涉及到的证书及材料，均须在电子投标文件中提供原件扫描件（或图片）。</w:t>
      </w:r>
    </w:p>
    <w:tbl>
      <w:tblPr>
        <w:tblStyle w:val="1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280"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资格审查</w:t>
            </w:r>
            <w:r>
              <w:rPr>
                <w:rFonts w:ascii="宋体" w:hAnsi="宋体"/>
                <w:b/>
                <w:color w:val="auto"/>
                <w:szCs w:val="21"/>
                <w:highlight w:val="none"/>
              </w:rPr>
              <w:t>因素</w:t>
            </w:r>
          </w:p>
        </w:tc>
        <w:tc>
          <w:tcPr>
            <w:tcW w:w="6328"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投标函</w:t>
            </w:r>
          </w:p>
        </w:tc>
        <w:tc>
          <w:tcPr>
            <w:tcW w:w="6328" w:type="dxa"/>
            <w:vAlign w:val="center"/>
          </w:tcPr>
          <w:p>
            <w:pPr>
              <w:spacing w:line="400" w:lineRule="exact"/>
              <w:ind w:right="420" w:right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5" w:type="dxa"/>
            <w:vAlign w:val="center"/>
          </w:tcPr>
          <w:p>
            <w:pPr>
              <w:spacing w:line="380" w:lineRule="exact"/>
              <w:jc w:val="center"/>
              <w:rPr>
                <w:rFonts w:ascii="宋体" w:hAnsi="宋体"/>
                <w:b/>
                <w:color w:val="auto"/>
                <w:szCs w:val="21"/>
                <w:highlight w:val="none"/>
              </w:rPr>
            </w:pPr>
            <w:r>
              <w:rPr>
                <w:rFonts w:hint="eastAsia" w:ascii="宋体" w:hAnsi="宋体"/>
                <w:b/>
                <w:bCs/>
                <w:color w:val="auto"/>
                <w:szCs w:val="21"/>
                <w:highlight w:val="none"/>
              </w:rPr>
              <w:t>2</w:t>
            </w:r>
          </w:p>
        </w:tc>
        <w:tc>
          <w:tcPr>
            <w:tcW w:w="2280" w:type="dxa"/>
            <w:vAlign w:val="center"/>
          </w:tcPr>
          <w:p>
            <w:pPr>
              <w:jc w:val="center"/>
              <w:rPr>
                <w:rFonts w:ascii="宋体" w:hAnsi="宋体"/>
                <w:b/>
                <w:color w:val="auto"/>
                <w:szCs w:val="21"/>
                <w:highlight w:val="none"/>
              </w:rPr>
            </w:pPr>
            <w:r>
              <w:rPr>
                <w:rFonts w:hint="eastAsia" w:ascii="宋体" w:hAnsi="宋体"/>
                <w:b/>
                <w:bCs/>
                <w:color w:val="auto"/>
                <w:szCs w:val="21"/>
                <w:highlight w:val="none"/>
              </w:rPr>
              <w:t>禹州市政府采购供应 商信用承诺函</w:t>
            </w:r>
          </w:p>
        </w:tc>
        <w:tc>
          <w:tcPr>
            <w:tcW w:w="6328" w:type="dxa"/>
            <w:vAlign w:val="center"/>
          </w:tcPr>
          <w:p>
            <w:pPr>
              <w:spacing w:line="360" w:lineRule="auto"/>
              <w:rPr>
                <w:rFonts w:ascii="宋体" w:hAnsi="宋体" w:cs="仿宋_GB2312"/>
                <w:color w:val="auto"/>
                <w:szCs w:val="21"/>
                <w:highlight w:val="none"/>
                <w:lang w:val="zh-CN"/>
              </w:rPr>
            </w:pPr>
            <w:r>
              <w:rPr>
                <w:rFonts w:hint="eastAsia" w:ascii="宋体" w:hAnsi="宋体" w:cs="微软雅黑"/>
                <w:bCs/>
                <w:color w:val="auto"/>
                <w:szCs w:val="21"/>
                <w:highlight w:val="none"/>
              </w:rPr>
              <w:t>参照招标文件第八章3.7格式填写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3</w:t>
            </w:r>
          </w:p>
        </w:tc>
        <w:tc>
          <w:tcPr>
            <w:tcW w:w="2280" w:type="dxa"/>
            <w:vAlign w:val="center"/>
          </w:tcPr>
          <w:p>
            <w:pPr>
              <w:jc w:val="center"/>
              <w:rPr>
                <w:rFonts w:ascii="宋体" w:hAnsi="宋体"/>
                <w:b/>
                <w:color w:val="auto"/>
                <w:szCs w:val="21"/>
                <w:highlight w:val="none"/>
              </w:rPr>
            </w:pPr>
            <w:r>
              <w:rPr>
                <w:rFonts w:hint="eastAsia" w:ascii="宋体" w:hAnsi="宋体"/>
                <w:b/>
                <w:color w:val="auto"/>
                <w:szCs w:val="21"/>
                <w:highlight w:val="none"/>
              </w:rPr>
              <w:t>供应商须具备的</w:t>
            </w:r>
          </w:p>
          <w:p>
            <w:pPr>
              <w:jc w:val="center"/>
              <w:rPr>
                <w:rFonts w:ascii="宋体" w:hAnsi="宋体"/>
                <w:b/>
                <w:color w:val="auto"/>
                <w:szCs w:val="21"/>
                <w:highlight w:val="none"/>
              </w:rPr>
            </w:pPr>
            <w:r>
              <w:rPr>
                <w:rFonts w:hint="eastAsia" w:ascii="宋体" w:hAnsi="宋体"/>
                <w:b/>
                <w:color w:val="auto"/>
                <w:szCs w:val="21"/>
                <w:highlight w:val="none"/>
              </w:rPr>
              <w:t>特殊资质证书</w:t>
            </w:r>
          </w:p>
        </w:tc>
        <w:tc>
          <w:tcPr>
            <w:tcW w:w="6328" w:type="dxa"/>
            <w:vAlign w:val="center"/>
          </w:tcPr>
          <w:p>
            <w:pPr>
              <w:spacing w:line="400" w:lineRule="exact"/>
              <w:ind w:right="420" w:rightChars="200"/>
              <w:contextualSpacing/>
              <w:rPr>
                <w:rFonts w:ascii="宋体" w:hAnsi="宋体" w:cs="仿宋_GB2312"/>
                <w:color w:val="auto"/>
                <w:szCs w:val="21"/>
                <w:highlight w:val="none"/>
                <w:lang w:val="zh-CN"/>
              </w:rPr>
            </w:pPr>
            <w:r>
              <w:rPr>
                <w:rFonts w:hint="eastAsia" w:ascii="宋体" w:hAnsi="宋体" w:cs="Times New Roman"/>
                <w:color w:val="auto"/>
                <w:szCs w:val="21"/>
                <w:highlight w:val="none"/>
              </w:rPr>
              <w:t>详见招标公告供应商资格要求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 xml:space="preserve"> 投标</w:t>
            </w:r>
            <w:r>
              <w:rPr>
                <w:rFonts w:hint="eastAsia" w:ascii="宋体" w:hAnsi="宋体" w:cs="仿宋_GB2312"/>
                <w:b/>
                <w:color w:val="auto"/>
                <w:szCs w:val="21"/>
                <w:highlight w:val="none"/>
                <w:lang w:val="zh-CN"/>
              </w:rPr>
              <w:t>报价</w:t>
            </w:r>
          </w:p>
        </w:tc>
        <w:tc>
          <w:tcPr>
            <w:tcW w:w="6328" w:type="dxa"/>
            <w:vAlign w:val="center"/>
          </w:tcPr>
          <w:p>
            <w:pPr>
              <w:spacing w:line="400" w:lineRule="exact"/>
              <w:rPr>
                <w:color w:val="auto"/>
                <w:highlight w:val="none"/>
                <w:lang w:val="zh-CN"/>
              </w:rPr>
            </w:pPr>
            <w:r>
              <w:rPr>
                <w:rFonts w:hint="eastAsia" w:ascii="宋体" w:hAnsi="宋体" w:cs="仿宋_GB2312"/>
                <w:color w:val="auto"/>
                <w:szCs w:val="21"/>
                <w:highlight w:val="none"/>
                <w:lang w:val="zh-CN"/>
              </w:rPr>
              <w:t>投标报价是否未超出招标文件中规定的预算金额，超出预算金额的投标无效。如投标人须知前附表规定最高限价，则</w:t>
            </w:r>
            <w:r>
              <w:rPr>
                <w:rFonts w:hint="eastAsia" w:ascii="宋体" w:hAnsi="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5</w:t>
            </w:r>
          </w:p>
        </w:tc>
        <w:tc>
          <w:tcPr>
            <w:tcW w:w="2280" w:type="dxa"/>
            <w:vAlign w:val="center"/>
          </w:tcPr>
          <w:p>
            <w:pPr>
              <w:spacing w:line="400" w:lineRule="exact"/>
              <w:jc w:val="center"/>
              <w:rPr>
                <w:rFonts w:ascii="宋体" w:hAnsi="宋体"/>
                <w:color w:val="auto"/>
                <w:szCs w:val="21"/>
                <w:highlight w:val="none"/>
              </w:rPr>
            </w:pPr>
            <w:r>
              <w:rPr>
                <w:rFonts w:hint="eastAsia" w:ascii="宋体" w:hAnsi="宋体"/>
                <w:b/>
                <w:bCs/>
                <w:color w:val="auto"/>
                <w:szCs w:val="21"/>
                <w:highlight w:val="none"/>
                <w:lang w:val="zh-CN"/>
              </w:rPr>
              <w:t>投标承诺函</w:t>
            </w:r>
          </w:p>
        </w:tc>
        <w:tc>
          <w:tcPr>
            <w:tcW w:w="6328" w:type="dxa"/>
            <w:vAlign w:val="center"/>
          </w:tcPr>
          <w:p>
            <w:pPr>
              <w:spacing w:line="400" w:lineRule="exact"/>
              <w:ind w:right="420" w:rightChars="200"/>
              <w:contextualSpacing/>
              <w:rPr>
                <w:rFonts w:ascii="宋体" w:hAnsi="宋体" w:cs="仿宋_GB2312"/>
                <w:color w:val="auto"/>
                <w:szCs w:val="21"/>
                <w:highlight w:val="none"/>
                <w:lang w:val="zh-CN"/>
              </w:rPr>
            </w:pPr>
            <w:r>
              <w:rPr>
                <w:rFonts w:hint="eastAsia" w:asciiTheme="minorEastAsia" w:hAnsiTheme="minorEastAsia"/>
                <w:bCs/>
                <w:color w:val="auto"/>
                <w:szCs w:val="21"/>
                <w:highlight w:val="none"/>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0" w:type="dxa"/>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联合体协议</w:t>
            </w:r>
          </w:p>
        </w:tc>
        <w:tc>
          <w:tcPr>
            <w:tcW w:w="6328" w:type="dxa"/>
            <w:vAlign w:val="center"/>
          </w:tcPr>
          <w:p>
            <w:pPr>
              <w:spacing w:line="400" w:lineRule="exact"/>
              <w:rPr>
                <w:color w:val="auto"/>
                <w:highlight w:val="none"/>
                <w:lang w:val="zh-CN"/>
              </w:rPr>
            </w:pPr>
            <w:r>
              <w:rPr>
                <w:rFonts w:hint="eastAsia"/>
                <w:color w:val="auto"/>
                <w:highlight w:val="none"/>
                <w:lang w:val="zh-CN"/>
              </w:rPr>
              <w:t>招标文件</w:t>
            </w:r>
            <w:r>
              <w:rPr>
                <w:rFonts w:hint="eastAsia"/>
                <w:color w:val="auto"/>
                <w:highlight w:val="none"/>
              </w:rPr>
              <w:t>不</w:t>
            </w:r>
            <w:r>
              <w:rPr>
                <w:rFonts w:hint="eastAsia"/>
                <w:color w:val="auto"/>
                <w:highlight w:val="none"/>
                <w:lang w:val="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0"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供应商身份证明</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及授权</w:t>
            </w:r>
          </w:p>
        </w:tc>
        <w:tc>
          <w:tcPr>
            <w:tcW w:w="6328" w:type="dxa"/>
            <w:vAlign w:val="center"/>
          </w:tcPr>
          <w:p>
            <w:pPr>
              <w:spacing w:line="400" w:lineRule="exact"/>
              <w:rPr>
                <w:color w:val="auto"/>
                <w:highlight w:val="none"/>
                <w:lang w:val="zh-CN"/>
              </w:rPr>
            </w:pPr>
            <w:r>
              <w:rPr>
                <w:rFonts w:hint="eastAsia"/>
                <w:color w:val="auto"/>
                <w:highlight w:val="none"/>
                <w:lang w:val="zh-CN"/>
              </w:rPr>
              <w:t>（1）法定代表人身份证明或提供法定代表人授权委托书及被授权人身份证明。（法人提供）</w:t>
            </w:r>
          </w:p>
          <w:p>
            <w:pPr>
              <w:spacing w:line="400" w:lineRule="exact"/>
              <w:rPr>
                <w:color w:val="auto"/>
                <w:highlight w:val="none"/>
                <w:lang w:val="zh-CN"/>
              </w:rPr>
            </w:pPr>
            <w:r>
              <w:rPr>
                <w:rFonts w:hint="eastAsia"/>
                <w:color w:val="auto"/>
                <w:highlight w:val="none"/>
                <w:lang w:val="zh-CN"/>
              </w:rPr>
              <w:t>（2）单位负责人身份证明或提供单位负责人授权委托书及被授权人身份证明。（非法人提供）</w:t>
            </w:r>
          </w:p>
          <w:p>
            <w:pPr>
              <w:spacing w:line="400" w:lineRule="exact"/>
              <w:rPr>
                <w:rFonts w:ascii="仿宋" w:hAnsi="仿宋" w:eastAsia="仿宋" w:cs="仿宋"/>
                <w:color w:val="auto"/>
                <w:highlight w:val="none"/>
                <w:lang w:val="zh-CN"/>
              </w:rPr>
            </w:pPr>
            <w:r>
              <w:rPr>
                <w:rFonts w:hint="eastAsia"/>
                <w:b/>
                <w:bCs/>
                <w:color w:val="auto"/>
                <w:highlight w:val="none"/>
                <w:lang w:val="zh-CN"/>
              </w:rPr>
              <w:t>注：</w:t>
            </w:r>
            <w:r>
              <w:rPr>
                <w:rFonts w:hint="eastAsia" w:ascii="仿宋" w:hAnsi="仿宋" w:eastAsia="仿宋" w:cs="仿宋"/>
                <w:color w:val="auto"/>
                <w:highlight w:val="none"/>
                <w:lang w:val="zh-CN"/>
              </w:rPr>
              <w:t>①企业（银行、保险、石油石化、电力、电信等行业除外）、事业单位和社会团体以法人身份参加投标的，法定代表人应与实际提交的“营业执照等证明文件”载明的一致。</w:t>
            </w:r>
          </w:p>
          <w:p>
            <w:pPr>
              <w:spacing w:line="400" w:lineRule="exact"/>
              <w:rPr>
                <w:rFonts w:ascii="仿宋" w:hAnsi="仿宋" w:eastAsia="仿宋" w:cs="仿宋"/>
                <w:color w:val="auto"/>
                <w:szCs w:val="21"/>
                <w:highlight w:val="none"/>
                <w:lang w:val="zh-CN"/>
              </w:rPr>
            </w:pPr>
            <w:r>
              <w:rPr>
                <w:rFonts w:hint="eastAsia" w:ascii="仿宋" w:hAnsi="仿宋" w:eastAsia="仿宋" w:cs="仿宋"/>
                <w:color w:val="auto"/>
                <w:highlight w:val="none"/>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w:t>
            </w:r>
            <w:r>
              <w:rPr>
                <w:rFonts w:hint="eastAsia" w:ascii="仿宋" w:hAnsi="仿宋" w:eastAsia="仿宋" w:cs="仿宋"/>
                <w:color w:val="auto"/>
                <w:szCs w:val="21"/>
                <w:highlight w:val="none"/>
                <w:lang w:val="zh-CN"/>
              </w:rPr>
              <w:t>件”载明的一致。</w:t>
            </w:r>
          </w:p>
          <w:p>
            <w:pPr>
              <w:spacing w:line="400" w:lineRule="exact"/>
              <w:ind w:right="420" w:rightChars="200"/>
              <w:contextualSpacing/>
              <w:rPr>
                <w:rFonts w:ascii="宋体" w:hAnsi="宋体" w:cs="仿宋_GB2312"/>
                <w:color w:val="auto"/>
                <w:szCs w:val="21"/>
                <w:highlight w:val="none"/>
                <w:lang w:val="zh-CN"/>
              </w:rPr>
            </w:pPr>
            <w:r>
              <w:rPr>
                <w:rFonts w:hint="eastAsia" w:ascii="仿宋" w:hAnsi="仿宋" w:eastAsia="仿宋" w:cs="仿宋"/>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单位负责人为同一人或者存在直接控股、管理关系的不同供应商，不得参加同一合同项下的政府采购活动</w:t>
            </w:r>
          </w:p>
        </w:tc>
        <w:tc>
          <w:tcPr>
            <w:tcW w:w="6328" w:type="dxa"/>
            <w:vAlign w:val="center"/>
          </w:tcPr>
          <w:p>
            <w:pPr>
              <w:spacing w:line="400" w:lineRule="exact"/>
              <w:rPr>
                <w:color w:val="auto"/>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为本项目提供整体设计、规范编制或者项目管理、监理、检测等服务的供应商不得参加本项目响应</w:t>
            </w:r>
          </w:p>
        </w:tc>
        <w:tc>
          <w:tcPr>
            <w:tcW w:w="6328" w:type="dxa"/>
            <w:vAlign w:val="center"/>
          </w:tcPr>
          <w:p>
            <w:pPr>
              <w:spacing w:line="400" w:lineRule="exact"/>
              <w:rPr>
                <w:color w:val="auto"/>
                <w:highlight w:val="none"/>
                <w:lang w:val="zh-CN"/>
              </w:rPr>
            </w:pPr>
            <w:r>
              <w:rPr>
                <w:rFonts w:hint="eastAsia"/>
                <w:color w:val="auto"/>
                <w:highlight w:val="none"/>
                <w:lang w:val="zh-CN"/>
              </w:rPr>
              <w:t>供应商</w:t>
            </w:r>
            <w:r>
              <w:rPr>
                <w:rFonts w:hint="eastAsia"/>
                <w:color w:val="auto"/>
                <w:highlight w:val="none"/>
              </w:rPr>
              <w:t>应</w:t>
            </w:r>
            <w:r>
              <w:rPr>
                <w:rFonts w:hint="eastAsia"/>
                <w:color w:val="auto"/>
                <w:highlight w:val="none"/>
                <w:lang w:val="zh-CN"/>
              </w:rPr>
              <w:t>提供</w:t>
            </w:r>
            <w:r>
              <w:rPr>
                <w:rFonts w:hint="eastAsia"/>
                <w:color w:val="auto"/>
                <w:highlight w:val="none"/>
              </w:rPr>
              <w:t>未</w:t>
            </w:r>
            <w:r>
              <w:rPr>
                <w:rFonts w:hint="eastAsia"/>
                <w:color w:val="auto"/>
                <w:highlight w:val="none"/>
                <w:lang w:val="zh-CN"/>
              </w:rPr>
              <w:t>为本项目提供整体设计、规范编制或者项目管理、监理、检测等服务承诺函（承诺函格式自拟）。</w:t>
            </w:r>
          </w:p>
        </w:tc>
      </w:tr>
    </w:tbl>
    <w:p>
      <w:pPr>
        <w:pStyle w:val="6"/>
        <w:spacing w:line="416" w:lineRule="exact"/>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二、评标</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（一）评标方法</w:t>
      </w:r>
    </w:p>
    <w:p>
      <w:pPr>
        <w:pStyle w:val="6"/>
        <w:spacing w:line="416" w:lineRule="exact"/>
        <w:ind w:firstLine="420" w:firstLineChars="200"/>
        <w:contextualSpacing/>
        <w:rPr>
          <w:rFonts w:ascii="宋体" w:hAnsi="宋体" w:cs="仿宋_GB2312"/>
          <w:b/>
          <w:color w:val="auto"/>
          <w:sz w:val="21"/>
          <w:szCs w:val="21"/>
          <w:highlight w:val="none"/>
          <w:lang w:val="zh-CN"/>
        </w:rPr>
      </w:pPr>
      <w:r>
        <w:rPr>
          <w:rFonts w:hint="eastAsia" w:ascii="宋体" w:hAnsi="宋体" w:cs="仿宋_GB2312"/>
          <w:color w:val="auto"/>
          <w:sz w:val="21"/>
          <w:szCs w:val="21"/>
          <w:highlight w:val="none"/>
          <w:lang w:val="zh-CN"/>
        </w:rPr>
        <w:t>本项目采用综合评分法。总分为100分。</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w:t>
      </w:r>
      <w:r>
        <w:rPr>
          <w:rFonts w:ascii="宋体" w:hAnsi="宋体" w:cs="仿宋_GB2312"/>
          <w:b/>
          <w:color w:val="auto"/>
          <w:sz w:val="21"/>
          <w:szCs w:val="21"/>
          <w:highlight w:val="none"/>
          <w:lang w:val="zh-CN"/>
        </w:rPr>
        <w:t>评标委员会负责具体评标事务，并独立履行下列职责</w:t>
      </w:r>
    </w:p>
    <w:p>
      <w:pPr>
        <w:pStyle w:val="6"/>
        <w:spacing w:line="416" w:lineRule="exact"/>
        <w:ind w:firstLine="422" w:firstLineChars="200"/>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w:t>
      </w:r>
      <w:r>
        <w:rPr>
          <w:rFonts w:ascii="宋体" w:hAnsi="宋体" w:cs="仿宋_GB2312"/>
          <w:b/>
          <w:color w:val="auto"/>
          <w:sz w:val="21"/>
          <w:szCs w:val="21"/>
          <w:highlight w:val="none"/>
          <w:lang w:val="zh-CN"/>
        </w:rPr>
        <w:t>审查、评价投标文件是否符合招标文件的商务、技术等实质性要求；</w:t>
      </w:r>
    </w:p>
    <w:p>
      <w:pPr>
        <w:pStyle w:val="6"/>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评标委员会对符合资格的投标人的投标文件进行符合性审查，以确定其是否满足招标文件的商务、技术等实质性要求。</w:t>
      </w:r>
    </w:p>
    <w:p>
      <w:pPr>
        <w:pStyle w:val="6"/>
        <w:spacing w:line="416" w:lineRule="exact"/>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注：符合性审查中所涉及到的证书及材料，均应在电子投标文件中提供原件扫描件（或图片）。</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2、</w:t>
      </w:r>
      <w:r>
        <w:rPr>
          <w:rFonts w:ascii="宋体" w:hAnsi="宋体" w:cs="仿宋_GB2312"/>
          <w:b/>
          <w:color w:val="auto"/>
          <w:sz w:val="21"/>
          <w:szCs w:val="21"/>
          <w:highlight w:val="none"/>
          <w:lang w:val="zh-CN"/>
        </w:rPr>
        <w:t>要求投标人对投标文件有关事项作出澄清或者说明；</w:t>
      </w:r>
    </w:p>
    <w:p>
      <w:pPr>
        <w:pStyle w:val="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3、</w:t>
      </w:r>
      <w:r>
        <w:rPr>
          <w:rFonts w:ascii="宋体" w:hAnsi="宋体" w:cs="仿宋_GB2312"/>
          <w:b/>
          <w:color w:val="auto"/>
          <w:sz w:val="21"/>
          <w:szCs w:val="21"/>
          <w:highlight w:val="none"/>
          <w:lang w:val="zh-CN"/>
        </w:rPr>
        <w:t>对投标文件进行比较和评价；</w:t>
      </w:r>
    </w:p>
    <w:p>
      <w:pPr>
        <w:pStyle w:val="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注：评标标准中所涉及到的证书及材料，均应在电子投标文件中提供原件扫描件（或图片）。</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（1）价格分计算</w:t>
      </w:r>
    </w:p>
    <w:p>
      <w:pPr>
        <w:pStyle w:val="6"/>
        <w:spacing w:line="416" w:lineRule="exact"/>
        <w:ind w:firstLine="420" w:firstLineChars="200"/>
        <w:contextualSpacing/>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（2）</w:t>
      </w:r>
      <w:r>
        <w:rPr>
          <w:rFonts w:ascii="宋体" w:hAnsi="宋体" w:cs="仿宋_GB2312"/>
          <w:b/>
          <w:color w:val="auto"/>
          <w:sz w:val="21"/>
          <w:szCs w:val="21"/>
          <w:highlight w:val="none"/>
          <w:lang w:val="zh-CN"/>
        </w:rPr>
        <w:t>关于相同品牌产品</w:t>
      </w:r>
      <w:r>
        <w:rPr>
          <w:rFonts w:ascii="宋体" w:hAnsi="宋体" w:cs="仿宋_GB2312"/>
          <w:b/>
          <w:bCs/>
          <w:color w:val="auto"/>
          <w:sz w:val="21"/>
          <w:szCs w:val="21"/>
          <w:highlight w:val="none"/>
          <w:lang w:val="zh-CN"/>
        </w:rPr>
        <w:t>（服务类项目不适用本条款规定）</w:t>
      </w:r>
    </w:p>
    <w:p>
      <w:pPr>
        <w:pStyle w:val="6"/>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auto"/>
          <w:sz w:val="21"/>
          <w:szCs w:val="21"/>
          <w:highlight w:val="none"/>
          <w:lang w:val="zh-CN"/>
        </w:rPr>
        <w:t>采取随机抽取</w:t>
      </w:r>
      <w:r>
        <w:rPr>
          <w:rFonts w:ascii="宋体" w:hAnsi="宋体" w:cs="仿宋_GB2312"/>
          <w:color w:val="auto"/>
          <w:sz w:val="21"/>
          <w:szCs w:val="21"/>
          <w:highlight w:val="none"/>
          <w:lang w:val="zh-CN"/>
        </w:rPr>
        <w:t>方式确定一个参加评标的投标人，其他投标无效。</w:t>
      </w:r>
    </w:p>
    <w:p>
      <w:pPr>
        <w:pStyle w:val="6"/>
        <w:spacing w:line="416" w:lineRule="exact"/>
        <w:ind w:firstLine="465"/>
        <w:contextualSpacing/>
        <w:jc w:val="left"/>
        <w:rPr>
          <w:rFonts w:ascii="宋体" w:hAnsi="宋体" w:cs="仿宋_GB2312"/>
          <w:color w:val="auto"/>
          <w:sz w:val="21"/>
          <w:szCs w:val="21"/>
          <w:highlight w:val="none"/>
          <w:lang w:val="zh-CN"/>
        </w:rPr>
      </w:pPr>
      <w:r>
        <w:rPr>
          <w:rFonts w:ascii="宋体" w:hAnsi="宋体" w:cs="仿宋_GB2312"/>
          <w:color w:val="auto"/>
          <w:sz w:val="21"/>
          <w:szCs w:val="21"/>
          <w:highlight w:val="none"/>
          <w:lang w:val="zh-CN"/>
        </w:rPr>
        <w:t>采用综合评分法的，提供相同品牌产品</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非单一产品采购项目，多家投标人提供的核心产品品牌相同</w:t>
      </w:r>
      <w:r>
        <w:rPr>
          <w:rFonts w:hint="eastAsia" w:ascii="宋体" w:hAnsi="宋体" w:cs="仿宋_GB2312"/>
          <w:color w:val="auto"/>
          <w:sz w:val="21"/>
          <w:szCs w:val="21"/>
          <w:highlight w:val="none"/>
          <w:lang w:val="zh-CN"/>
        </w:rPr>
        <w:t>）</w:t>
      </w:r>
      <w:r>
        <w:rPr>
          <w:rFonts w:ascii="宋体" w:hAnsi="宋体" w:cs="仿宋_GB2312"/>
          <w:color w:val="auto"/>
          <w:sz w:val="21"/>
          <w:szCs w:val="21"/>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auto"/>
          <w:sz w:val="21"/>
          <w:szCs w:val="21"/>
          <w:highlight w:val="none"/>
          <w:lang w:val="zh-CN"/>
        </w:rPr>
        <w:t>由采购人或者采购人委托评标委员会</w:t>
      </w:r>
      <w:r>
        <w:rPr>
          <w:rFonts w:ascii="宋体" w:hAnsi="宋体" w:cs="仿宋_GB2312"/>
          <w:color w:val="auto"/>
          <w:sz w:val="21"/>
          <w:szCs w:val="21"/>
          <w:highlight w:val="none"/>
          <w:lang w:val="zh-CN"/>
        </w:rPr>
        <w:t>采取随机抽取方式确定</w:t>
      </w:r>
      <w:r>
        <w:rPr>
          <w:rFonts w:hint="eastAsia" w:ascii="宋体" w:hAnsi="宋体" w:cs="仿宋_GB2312"/>
          <w:color w:val="auto"/>
          <w:sz w:val="21"/>
          <w:szCs w:val="21"/>
          <w:highlight w:val="none"/>
          <w:lang w:val="zh-CN"/>
        </w:rPr>
        <w:t>一个投标人获得中标人推荐资格</w:t>
      </w:r>
      <w:r>
        <w:rPr>
          <w:rFonts w:ascii="宋体" w:hAnsi="宋体" w:cs="仿宋_GB2312"/>
          <w:color w:val="auto"/>
          <w:sz w:val="21"/>
          <w:szCs w:val="21"/>
          <w:highlight w:val="none"/>
          <w:lang w:val="zh-CN"/>
        </w:rPr>
        <w:t>，其他同品牌投标人不作为中标候选人。</w:t>
      </w:r>
    </w:p>
    <w:p>
      <w:pPr>
        <w:pStyle w:val="6"/>
        <w:spacing w:line="416" w:lineRule="exact"/>
        <w:ind w:firstLine="422" w:firstLineChars="200"/>
        <w:contextualSpacing/>
        <w:rPr>
          <w:rFonts w:ascii="宋体" w:hAnsi="宋体" w:cs="仿宋_GB2312"/>
          <w:b/>
          <w:color w:val="auto"/>
          <w:sz w:val="21"/>
          <w:szCs w:val="21"/>
          <w:highlight w:val="none"/>
          <w:lang w:val="zh-CN"/>
        </w:rPr>
      </w:pPr>
      <w:r>
        <w:rPr>
          <w:rFonts w:hint="eastAsia" w:ascii="宋体" w:hAnsi="宋体"/>
          <w:b/>
          <w:color w:val="auto"/>
          <w:sz w:val="21"/>
          <w:szCs w:val="21"/>
          <w:highlight w:val="none"/>
        </w:rPr>
        <w:t>（3）强制采购节能产品和优先采购节能产品、优先采购环保产品</w:t>
      </w:r>
    </w:p>
    <w:p>
      <w:pPr>
        <w:pStyle w:val="6"/>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1）对《节能产品政府采购品目清单》所列的政府强制采购节能产品</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pPr>
        <w:pStyle w:val="6"/>
        <w:spacing w:line="416" w:lineRule="exact"/>
        <w:ind w:firstLine="465"/>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6"/>
        <w:spacing w:line="416" w:lineRule="exact"/>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6"/>
        <w:spacing w:line="416" w:lineRule="exact"/>
        <w:ind w:firstLine="465"/>
        <w:contextualSpacing/>
        <w:jc w:val="left"/>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（4）信息产品要求</w:t>
      </w:r>
    </w:p>
    <w:p>
      <w:pPr>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w:t>
      </w:r>
      <w:r>
        <w:rPr>
          <w:rFonts w:hint="eastAsia" w:ascii="宋体" w:hAnsi="宋体"/>
          <w:color w:val="auto"/>
          <w:kern w:val="0"/>
          <w:szCs w:val="21"/>
          <w:highlight w:val="none"/>
        </w:rPr>
        <w:t>投标人所投产品如被列入</w:t>
      </w:r>
      <w:r>
        <w:rPr>
          <w:rFonts w:ascii="宋体" w:hAnsi="宋体"/>
          <w:color w:val="auto"/>
          <w:kern w:val="0"/>
          <w:szCs w:val="21"/>
          <w:highlight w:val="none"/>
        </w:rPr>
        <w:t>《信息安全产品强制性认证目录》</w:t>
      </w:r>
      <w:r>
        <w:rPr>
          <w:rFonts w:ascii="宋体" w:hAnsi="宋体" w:cs="仿宋_GB2312"/>
          <w:color w:val="auto"/>
          <w:szCs w:val="21"/>
          <w:highlight w:val="none"/>
          <w:lang w:val="zh-CN"/>
        </w:rPr>
        <w:t>，</w:t>
      </w:r>
      <w:r>
        <w:rPr>
          <w:rFonts w:hint="eastAsia" w:ascii="宋体" w:hAnsi="宋体" w:cs="仿宋_GB2312"/>
          <w:color w:val="auto"/>
          <w:szCs w:val="21"/>
          <w:highlight w:val="none"/>
          <w:lang w:val="zh-CN"/>
        </w:rPr>
        <w:t>应提供由中国信息安全认证中心按国家标准认证颁发的有效认证证书。</w:t>
      </w:r>
    </w:p>
    <w:p>
      <w:pPr>
        <w:tabs>
          <w:tab w:val="left" w:pos="1260"/>
        </w:tabs>
        <w:autoSpaceDE w:val="0"/>
        <w:autoSpaceDN w:val="0"/>
        <w:spacing w:line="416" w:lineRule="exact"/>
        <w:ind w:firstLine="422" w:firstLineChars="200"/>
        <w:contextualSpacing/>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（5）投标无效情形</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2）符合性审查资料未按招标文件要求签署、盖章的；</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3）有下列情形之一的，视为投标人串通投标，其投标无效：</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a.不同投标人的投标文件由同一单位或者个人编制；</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b.不同投标人委托同一单位或者个人办理投标事宜；</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c.不同投标人的投标文件载明的项目管理成员或者联系人员为同一人；</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d.不同投标人的投标文件异常一致或者投标报价呈规律性差异；</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e.不同投标人的投标文件相互混装；</w:t>
      </w:r>
    </w:p>
    <w:p>
      <w:pPr>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16" w:lineRule="exact"/>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Cs w:val="21"/>
          <w:highlight w:val="none"/>
          <w:lang w:val="zh-CN"/>
        </w:rPr>
        <w:t>5）</w:t>
      </w:r>
      <w:r>
        <w:rPr>
          <w:rFonts w:ascii="宋体" w:hAnsi="宋体" w:cs="仿宋_GB2312"/>
          <w:color w:val="auto"/>
          <w:szCs w:val="21"/>
          <w:highlight w:val="none"/>
          <w:lang w:val="zh-CN"/>
        </w:rPr>
        <w:t>法律、法规和招标文件规定的其他无效情形。</w:t>
      </w:r>
    </w:p>
    <w:p>
      <w:pPr>
        <w:pStyle w:val="6"/>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（6）评标标准</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685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分值构成</w:t>
            </w:r>
          </w:p>
          <w:p>
            <w:pPr>
              <w:widowControl/>
              <w:jc w:val="center"/>
              <w:rPr>
                <w:rFonts w:ascii="宋体" w:hAnsi="宋体"/>
                <w:color w:val="auto"/>
                <w:kern w:val="0"/>
                <w:szCs w:val="21"/>
                <w:highlight w:val="none"/>
              </w:rPr>
            </w:pPr>
            <w:r>
              <w:rPr>
                <w:rFonts w:hint="eastAsia" w:ascii="宋体" w:hAnsi="宋体"/>
                <w:color w:val="auto"/>
                <w:kern w:val="0"/>
                <w:szCs w:val="21"/>
                <w:highlight w:val="none"/>
              </w:rPr>
              <w:t>(总分100分)</w:t>
            </w:r>
          </w:p>
        </w:tc>
        <w:tc>
          <w:tcPr>
            <w:tcW w:w="7500"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olor w:val="auto"/>
                <w:kern w:val="0"/>
                <w:szCs w:val="21"/>
                <w:highlight w:val="none"/>
              </w:rPr>
            </w:pPr>
            <w:r>
              <w:rPr>
                <w:rFonts w:hint="eastAsia" w:ascii="宋体" w:hAnsi="宋体"/>
                <w:color w:val="auto"/>
                <w:kern w:val="0"/>
                <w:szCs w:val="21"/>
                <w:highlight w:val="none"/>
              </w:rPr>
              <w:t>价格分值：20分</w:t>
            </w:r>
          </w:p>
          <w:p>
            <w:pPr>
              <w:widowControl/>
              <w:ind w:firstLine="480"/>
              <w:rPr>
                <w:rFonts w:ascii="宋体" w:hAnsi="宋体"/>
                <w:color w:val="auto"/>
                <w:kern w:val="0"/>
                <w:szCs w:val="21"/>
                <w:highlight w:val="none"/>
              </w:rPr>
            </w:pPr>
            <w:r>
              <w:rPr>
                <w:rFonts w:hint="eastAsia" w:ascii="宋体" w:hAnsi="宋体"/>
                <w:color w:val="auto"/>
                <w:kern w:val="0"/>
                <w:szCs w:val="21"/>
                <w:highlight w:val="none"/>
              </w:rPr>
              <w:t>商务部分：30分</w:t>
            </w:r>
          </w:p>
          <w:p>
            <w:pPr>
              <w:widowControl/>
              <w:ind w:firstLine="480"/>
              <w:rPr>
                <w:rFonts w:ascii="宋体" w:hAnsi="宋体"/>
                <w:color w:val="auto"/>
                <w:kern w:val="0"/>
                <w:szCs w:val="21"/>
                <w:highlight w:val="none"/>
              </w:rPr>
            </w:pPr>
            <w:r>
              <w:rPr>
                <w:rFonts w:hint="eastAsia" w:ascii="宋体" w:hAnsi="宋体"/>
                <w:color w:val="auto"/>
                <w:kern w:val="0"/>
                <w:szCs w:val="21"/>
                <w:highlight w:val="none"/>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kern w:val="0"/>
                <w:szCs w:val="21"/>
                <w:highlight w:val="none"/>
              </w:rPr>
            </w:pPr>
            <w:r>
              <w:rPr>
                <w:rFonts w:hint="eastAsia" w:ascii="宋体" w:hAnsi="宋体"/>
                <w:b/>
                <w:color w:val="auto"/>
                <w:kern w:val="0"/>
                <w:szCs w:val="21"/>
                <w:highlight w:val="none"/>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评分因素</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评分标准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b/>
                <w:color w:val="auto"/>
                <w:kern w:val="0"/>
                <w:szCs w:val="21"/>
                <w:highlight w:val="none"/>
              </w:rPr>
            </w:pPr>
            <w:r>
              <w:rPr>
                <w:rFonts w:hint="eastAsia" w:ascii="宋体" w:hAnsi="宋体"/>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theme="majorEastAsia"/>
                <w:color w:val="auto"/>
                <w:kern w:val="0"/>
                <w:szCs w:val="21"/>
                <w:highlight w:val="none"/>
              </w:rPr>
            </w:pPr>
            <w:r>
              <w:rPr>
                <w:rFonts w:hint="eastAsia" w:ascii="宋体" w:hAnsi="宋体" w:cstheme="majorEastAsia"/>
                <w:color w:val="auto"/>
                <w:kern w:val="0"/>
                <w:szCs w:val="21"/>
                <w:highlight w:val="none"/>
              </w:rPr>
              <w:t>投标报价</w:t>
            </w:r>
          </w:p>
          <w:p>
            <w:pPr>
              <w:widowControl/>
              <w:spacing w:line="360" w:lineRule="auto"/>
              <w:jc w:val="center"/>
              <w:rPr>
                <w:rFonts w:ascii="宋体" w:hAnsi="宋体"/>
                <w:color w:val="auto"/>
                <w:kern w:val="0"/>
                <w:szCs w:val="21"/>
                <w:highlight w:val="none"/>
              </w:rPr>
            </w:pPr>
            <w:r>
              <w:rPr>
                <w:rFonts w:hint="eastAsia" w:ascii="宋体" w:hAnsi="宋体" w:cstheme="majorEastAsia"/>
                <w:color w:val="auto"/>
                <w:kern w:val="0"/>
                <w:szCs w:val="21"/>
                <w:highlight w:val="none"/>
              </w:rPr>
              <w:t>评分标准</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Times New Roman"/>
                <w:color w:val="auto"/>
                <w:szCs w:val="21"/>
                <w:highlight w:val="none"/>
                <w:lang w:val="en-GB"/>
              </w:rPr>
            </w:pPr>
            <w:r>
              <w:rPr>
                <w:rFonts w:hint="eastAsia" w:ascii="宋体" w:hAnsi="宋体" w:cs="Times New Roman"/>
                <w:color w:val="auto"/>
                <w:szCs w:val="21"/>
                <w:highlight w:val="none"/>
                <w:lang w:val="en-GB"/>
              </w:rPr>
              <w:t>投标报价得分采用低价优先法计算，即满足招标文件要求且投标价格最低的投标报价为评标基准价，其价格分为满分。其他投标人的价格分统一按照下列公式计算：</w:t>
            </w:r>
          </w:p>
          <w:p>
            <w:pPr>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lang w:val="en-GB"/>
              </w:rPr>
              <w:t>投标报价得分=（评标基准价/投标报价）×</w:t>
            </w:r>
            <w:r>
              <w:rPr>
                <w:rFonts w:hint="eastAsia" w:ascii="宋体" w:hAnsi="宋体" w:cs="Times New Roman"/>
                <w:color w:val="auto"/>
                <w:szCs w:val="21"/>
                <w:highlight w:val="none"/>
              </w:rPr>
              <w:t>20</w:t>
            </w:r>
          </w:p>
          <w:p>
            <w:pPr>
              <w:spacing w:line="380" w:lineRule="exact"/>
              <w:rPr>
                <w:rFonts w:ascii="宋体" w:hAnsi="宋体" w:cstheme="minorEastAsia"/>
                <w:color w:val="auto"/>
                <w:szCs w:val="21"/>
                <w:highlight w:val="none"/>
              </w:rPr>
            </w:pPr>
            <w:r>
              <w:rPr>
                <w:rFonts w:hint="eastAsia" w:ascii="宋体" w:hAnsi="宋体" w:cs="Times New Roman"/>
                <w:color w:val="auto"/>
                <w:szCs w:val="21"/>
                <w:highlight w:val="none"/>
                <w:lang w:val="en-GB"/>
              </w:rPr>
              <w:t>计算按四舍五入法则,保留小数点后两位。</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olor w:val="auto"/>
                <w:kern w:val="0"/>
                <w:szCs w:val="21"/>
                <w:highlight w:val="none"/>
              </w:rPr>
            </w:pPr>
            <w:r>
              <w:rPr>
                <w:rFonts w:hint="eastAsia" w:ascii="宋体" w:hAnsi="宋体" w:cs="Times New Roman"/>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auto"/>
                <w:kern w:val="0"/>
                <w:szCs w:val="21"/>
                <w:highlight w:val="none"/>
              </w:rPr>
            </w:pPr>
            <w:r>
              <w:rPr>
                <w:rFonts w:hint="eastAsia" w:ascii="宋体" w:hAnsi="宋体"/>
                <w:b/>
                <w:color w:val="auto"/>
                <w:kern w:val="0"/>
                <w:szCs w:val="21"/>
                <w:highlight w:val="none"/>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评分因素</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b/>
                <w:color w:val="auto"/>
                <w:kern w:val="0"/>
                <w:szCs w:val="21"/>
                <w:highlight w:val="none"/>
              </w:rPr>
            </w:pPr>
            <w:r>
              <w:rPr>
                <w:rFonts w:hint="eastAsia" w:ascii="宋体" w:hAnsi="宋体"/>
                <w:b/>
                <w:color w:val="auto"/>
                <w:kern w:val="0"/>
                <w:szCs w:val="21"/>
                <w:highlight w:val="none"/>
              </w:rPr>
              <w:t>评分标准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b/>
                <w:color w:val="auto"/>
                <w:kern w:val="0"/>
                <w:szCs w:val="21"/>
                <w:highlight w:val="none"/>
              </w:rPr>
            </w:pPr>
            <w:r>
              <w:rPr>
                <w:rFonts w:hint="eastAsia" w:ascii="宋体" w:hAnsi="宋体"/>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Cs/>
                <w:color w:val="auto"/>
                <w:kern w:val="0"/>
                <w:szCs w:val="21"/>
                <w:highlight w:val="none"/>
              </w:rPr>
            </w:pPr>
            <w:r>
              <w:rPr>
                <w:rFonts w:hint="eastAsia" w:ascii="宋体" w:hAnsi="宋体" w:cstheme="majorEastAsia"/>
                <w:color w:val="auto"/>
                <w:kern w:val="0"/>
                <w:szCs w:val="21"/>
                <w:highlight w:val="none"/>
              </w:rPr>
              <w:t>项目业绩</w:t>
            </w:r>
          </w:p>
        </w:tc>
        <w:tc>
          <w:tcPr>
            <w:tcW w:w="6855"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ascii="宋体" w:hAnsi="宋体"/>
                <w:color w:val="auto"/>
                <w:szCs w:val="21"/>
                <w:highlight w:val="none"/>
              </w:rPr>
            </w:pPr>
            <w:r>
              <w:rPr>
                <w:rFonts w:ascii="宋体" w:hAnsi="宋体"/>
                <w:color w:val="auto"/>
                <w:szCs w:val="21"/>
                <w:highlight w:val="none"/>
              </w:rPr>
              <w:t>供应商2020年1月1日（以合同签订时间为准）以来具有</w:t>
            </w:r>
            <w:r>
              <w:rPr>
                <w:rFonts w:hint="eastAsia" w:ascii="宋体" w:hAnsi="宋体"/>
                <w:color w:val="auto"/>
                <w:szCs w:val="21"/>
                <w:highlight w:val="none"/>
              </w:rPr>
              <w:t>森林资源调查</w:t>
            </w:r>
            <w:r>
              <w:rPr>
                <w:rFonts w:hint="eastAsia" w:ascii="宋体" w:hAnsi="宋体"/>
                <w:color w:val="auto"/>
                <w:szCs w:val="21"/>
                <w:highlight w:val="none"/>
                <w:lang w:val="en-US" w:eastAsia="zh-CN"/>
              </w:rPr>
              <w:t>或森林资源</w:t>
            </w:r>
            <w:r>
              <w:rPr>
                <w:rFonts w:hint="eastAsia" w:ascii="宋体" w:hAnsi="宋体"/>
                <w:color w:val="auto"/>
                <w:szCs w:val="21"/>
                <w:highlight w:val="none"/>
              </w:rPr>
              <w:t>监测</w:t>
            </w:r>
            <w:r>
              <w:rPr>
                <w:rFonts w:ascii="宋体" w:hAnsi="宋体"/>
                <w:color w:val="auto"/>
                <w:szCs w:val="21"/>
                <w:highlight w:val="none"/>
              </w:rPr>
              <w:t>的</w:t>
            </w:r>
            <w:r>
              <w:rPr>
                <w:rFonts w:hint="eastAsia" w:ascii="宋体" w:hAnsi="宋体"/>
                <w:color w:val="auto"/>
                <w:szCs w:val="21"/>
                <w:highlight w:val="none"/>
              </w:rPr>
              <w:t>项目</w:t>
            </w:r>
            <w:r>
              <w:rPr>
                <w:rFonts w:ascii="宋体" w:hAnsi="宋体"/>
                <w:color w:val="auto"/>
                <w:szCs w:val="21"/>
                <w:highlight w:val="none"/>
              </w:rPr>
              <w:t>业绩，每有1项得</w:t>
            </w:r>
            <w:r>
              <w:rPr>
                <w:rFonts w:hint="eastAsia" w:ascii="宋体" w:hAnsi="宋体"/>
                <w:color w:val="auto"/>
                <w:szCs w:val="21"/>
                <w:highlight w:val="none"/>
              </w:rPr>
              <w:t>1</w:t>
            </w:r>
            <w:r>
              <w:rPr>
                <w:rFonts w:ascii="宋体" w:hAnsi="宋体"/>
                <w:color w:val="auto"/>
                <w:szCs w:val="21"/>
                <w:highlight w:val="none"/>
              </w:rPr>
              <w:t>分，最多得</w:t>
            </w:r>
            <w:r>
              <w:rPr>
                <w:rFonts w:hint="eastAsia" w:ascii="宋体" w:hAnsi="宋体"/>
                <w:color w:val="auto"/>
                <w:szCs w:val="21"/>
                <w:highlight w:val="none"/>
              </w:rPr>
              <w:t>5</w:t>
            </w:r>
            <w:r>
              <w:rPr>
                <w:rFonts w:ascii="宋体" w:hAnsi="宋体"/>
                <w:color w:val="auto"/>
                <w:szCs w:val="21"/>
                <w:highlight w:val="none"/>
              </w:rPr>
              <w:t>分（需提供中标通知书或合同扫描件）。</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bCs/>
                <w:color w:val="auto"/>
                <w:kern w:val="0"/>
                <w:szCs w:val="21"/>
                <w:highlight w:val="none"/>
              </w:rPr>
            </w:pPr>
            <w:r>
              <w:rPr>
                <w:rFonts w:hint="eastAsia" w:ascii="宋体" w:hAnsi="宋体" w:cs="Times New Roman"/>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heme="majorEastAsia"/>
                <w:color w:val="auto"/>
                <w:kern w:val="0"/>
                <w:szCs w:val="21"/>
                <w:highlight w:val="none"/>
              </w:rPr>
            </w:pPr>
            <w:r>
              <w:rPr>
                <w:rFonts w:hint="eastAsia" w:ascii="宋体" w:hAnsi="宋体"/>
                <w:bCs/>
                <w:color w:val="auto"/>
                <w:szCs w:val="21"/>
                <w:highlight w:val="none"/>
              </w:rPr>
              <w:t>权威认证</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具有质量管理体系认证证书，得1分；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具有环境管理体系认证证书，得1分；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具有职业健康安全管理体系认证证书，得1分。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(注：提供有效期内的证书复印件加盖公章，否则不得分。)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color w:val="auto"/>
                <w:kern w:val="0"/>
                <w:szCs w:val="21"/>
                <w:highlight w:val="none"/>
              </w:rPr>
            </w:pPr>
            <w:r>
              <w:rPr>
                <w:rFonts w:hint="eastAsia" w:ascii="宋体" w:hAnsi="宋体" w:cs="仿宋"/>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szCs w:val="21"/>
                <w:highlight w:val="none"/>
              </w:rPr>
            </w:pPr>
            <w:r>
              <w:rPr>
                <w:rFonts w:hint="eastAsia" w:ascii="宋体" w:hAnsi="宋体"/>
                <w:bCs/>
                <w:color w:val="auto"/>
                <w:szCs w:val="21"/>
                <w:highlight w:val="none"/>
              </w:rPr>
              <w:t>资质认证</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供应商具有工程咨询单位资信证书的得2分，没有不得分。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供应商具有测绘资质证书的得2分，没有不得分。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（提供证书扫描件加盖公章，否则不得分）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color w:val="auto"/>
                <w:kern w:val="0"/>
                <w:szCs w:val="21"/>
                <w:highlight w:val="none"/>
              </w:rPr>
            </w:pPr>
            <w:r>
              <w:rPr>
                <w:rFonts w:hint="eastAsia" w:ascii="宋体" w:hAnsi="宋体"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szCs w:val="21"/>
                <w:highlight w:val="none"/>
              </w:rPr>
            </w:pPr>
            <w:r>
              <w:rPr>
                <w:rFonts w:hint="eastAsia" w:ascii="宋体" w:hAnsi="宋体"/>
                <w:bCs/>
                <w:color w:val="auto"/>
                <w:szCs w:val="21"/>
                <w:highlight w:val="none"/>
              </w:rPr>
              <w:t>项目团队人员</w:t>
            </w:r>
          </w:p>
          <w:p>
            <w:pPr>
              <w:widowControl/>
              <w:jc w:val="center"/>
              <w:rPr>
                <w:rFonts w:ascii="宋体" w:hAnsi="宋体"/>
                <w:bCs/>
                <w:color w:val="auto"/>
                <w:szCs w:val="21"/>
                <w:highlight w:val="none"/>
              </w:rPr>
            </w:pPr>
            <w:r>
              <w:rPr>
                <w:rFonts w:hint="eastAsia" w:ascii="宋体" w:hAnsi="宋体"/>
                <w:bCs/>
                <w:color w:val="auto"/>
                <w:szCs w:val="21"/>
                <w:highlight w:val="none"/>
              </w:rPr>
              <w:t>组成</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（1）项目负责人具有林业相关专业正高级职称的得3分，副高级职称的得1分。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（2）技术负责人（与项目负责人为不同人）具有林业相关专业正高级职称的得3分，副高级职称的得1分。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（3）拟投入本项目的其他人员（除项目负责人、技术负责人）具有林学、调查、规划设计、地理信息、资源监测、生态学等相关专业中级及以上职称的，每提供一个专业得1分，最高得6分。</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注：每个人只能计算一个专业（以职称证书专业为准），不得重复计算。同时提供投标人为其缴纳的近三个月社保证明。</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color w:val="auto"/>
                <w:kern w:val="0"/>
                <w:szCs w:val="21"/>
                <w:highlight w:val="none"/>
              </w:rPr>
            </w:pPr>
            <w:r>
              <w:rPr>
                <w:rFonts w:hint="eastAsia" w:ascii="宋体" w:hAnsi="宋体" w:cs="仿宋"/>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szCs w:val="21"/>
                <w:highlight w:val="none"/>
              </w:rPr>
            </w:pPr>
            <w:r>
              <w:rPr>
                <w:rFonts w:hint="eastAsia" w:ascii="宋体" w:hAnsi="宋体"/>
                <w:bCs/>
                <w:color w:val="auto"/>
                <w:szCs w:val="21"/>
                <w:highlight w:val="none"/>
              </w:rPr>
              <w:t>服务承诺</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人员分工责任：承诺按人员分工责任分别组织进行现场服务，配合业主进行现场巡查，直至工程交（竣）验收合格为止。</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2.承诺积极协调项目有关工作：承诺积极协调项目有关工作、与相关部门和单位的协调，并全力配合有关部门办理文件报批和审批工作，保证文件通过各主管部门的审查。</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3.响应承诺：承诺在接到业主通知后4小时内到达现场，并且提供24小时全天候服务，保证随时解决可能遇到的各种技术问题，保证随时解决可能遇到的各种技术问题。</w:t>
            </w:r>
          </w:p>
          <w:p>
            <w:pPr>
              <w:widowControl/>
              <w:spacing w:line="380" w:lineRule="exact"/>
              <w:rPr>
                <w:color w:val="auto"/>
                <w:highlight w:val="none"/>
              </w:rPr>
            </w:pPr>
            <w:r>
              <w:rPr>
                <w:rFonts w:hint="eastAsia" w:ascii="宋体" w:hAnsi="宋体"/>
                <w:color w:val="auto"/>
                <w:szCs w:val="21"/>
                <w:highlight w:val="none"/>
              </w:rPr>
              <w:t>能够完全满足需求且方案详尽，得6分；基本满足需求，方案基本详尽的：得3分；方案不够详尽的：得1分；无方案0分。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仿宋"/>
                <w:color w:val="auto"/>
                <w:kern w:val="0"/>
                <w:szCs w:val="21"/>
                <w:highlight w:val="none"/>
              </w:rPr>
            </w:pPr>
            <w:r>
              <w:rPr>
                <w:rFonts w:hint="eastAsia" w:ascii="宋体" w:hAnsi="宋体" w:cs="仿宋"/>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评分因素</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color w:val="auto"/>
                <w:kern w:val="0"/>
                <w:szCs w:val="21"/>
                <w:highlight w:val="none"/>
              </w:rPr>
            </w:pPr>
            <w:r>
              <w:rPr>
                <w:rFonts w:hint="eastAsia" w:ascii="宋体" w:hAnsi="宋体"/>
                <w:b/>
                <w:color w:val="auto"/>
                <w:kern w:val="0"/>
                <w:szCs w:val="21"/>
                <w:highlight w:val="none"/>
              </w:rPr>
              <w:t>评分标准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b/>
                <w:color w:val="auto"/>
                <w:kern w:val="0"/>
                <w:szCs w:val="21"/>
                <w:highlight w:val="none"/>
              </w:rPr>
            </w:pPr>
            <w:r>
              <w:rPr>
                <w:rFonts w:hint="eastAsia" w:ascii="宋体" w:hAnsi="宋体"/>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对项目的理解和解读</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Times New Roman"/>
                <w:color w:val="auto"/>
                <w:szCs w:val="21"/>
                <w:highlight w:val="none"/>
              </w:rPr>
            </w:pPr>
            <w:r>
              <w:rPr>
                <w:rFonts w:hint="eastAsia" w:ascii="宋体" w:hAnsi="宋体" w:cs="Times New Roman"/>
                <w:color w:val="auto"/>
                <w:szCs w:val="21"/>
                <w:highlight w:val="none"/>
              </w:rPr>
              <w:t>对项目建设条件等内容理解准确、全面、透彻，有独到见解等。</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对项目的总体设计思路</w:t>
            </w:r>
          </w:p>
        </w:tc>
        <w:tc>
          <w:tcPr>
            <w:tcW w:w="6855" w:type="dxa"/>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总体设计思路清晰，体现方案的完整性、合理性、经济性、美观性好。</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项目特点、关键技术问题的认识及其对策措施</w:t>
            </w:r>
          </w:p>
        </w:tc>
        <w:tc>
          <w:tcPr>
            <w:tcW w:w="6855" w:type="dxa"/>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对项目特点、重点认识准确且对策方案合理可行。</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设计工作量</w:t>
            </w: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及计划安排</w:t>
            </w:r>
          </w:p>
        </w:tc>
        <w:tc>
          <w:tcPr>
            <w:tcW w:w="6855" w:type="dxa"/>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工作量及计划安排方案深度满足要求。</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质量保证</w:t>
            </w: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措施</w:t>
            </w:r>
          </w:p>
        </w:tc>
        <w:tc>
          <w:tcPr>
            <w:tcW w:w="6855" w:type="dxa"/>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设计质量保证措施合理、可行。</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进度保证</w:t>
            </w: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措施</w:t>
            </w:r>
          </w:p>
        </w:tc>
        <w:tc>
          <w:tcPr>
            <w:tcW w:w="6855" w:type="dxa"/>
            <w:vAlign w:val="center"/>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设计进度保证措施合理、可行。</w:t>
            </w:r>
            <w:r>
              <w:rPr>
                <w:rFonts w:hint="eastAsia" w:ascii="宋体" w:hAnsi="宋体"/>
                <w:color w:val="auto"/>
                <w:szCs w:val="21"/>
                <w:highlight w:val="none"/>
              </w:rPr>
              <w:t>能够完全满足需求且方案详尽，得7分；基本满足需求，方案基本详尽的：得3分；方案不够详尽的：得1分；无方案0分。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86" w:type="dxa"/>
            <w:vAlign w:val="center"/>
          </w:tcPr>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合理化建议</w:t>
            </w:r>
          </w:p>
        </w:tc>
        <w:tc>
          <w:tcPr>
            <w:tcW w:w="6855" w:type="dxa"/>
          </w:tcPr>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1.供应商根据对项目的理解程度，提出更有利于提高工程质量、合理缩短工期、合理降低工程造价的建议。</w:t>
            </w:r>
          </w:p>
          <w:p>
            <w:pPr>
              <w:widowControl/>
              <w:spacing w:line="380" w:lineRule="exact"/>
              <w:jc w:val="left"/>
              <w:rPr>
                <w:rFonts w:ascii="宋体" w:hAnsi="宋体" w:cs="Times New Roman"/>
                <w:color w:val="auto"/>
                <w:szCs w:val="21"/>
                <w:highlight w:val="none"/>
              </w:rPr>
            </w:pPr>
            <w:r>
              <w:rPr>
                <w:rFonts w:hint="eastAsia" w:ascii="宋体" w:hAnsi="宋体" w:cs="Times New Roman"/>
                <w:color w:val="auto"/>
                <w:szCs w:val="21"/>
                <w:highlight w:val="none"/>
              </w:rPr>
              <w:t>2.供应商根据对项目的理解程度，进一步优化发包人要求的说明和建议。</w:t>
            </w:r>
          </w:p>
          <w:p>
            <w:pPr>
              <w:widowControl/>
              <w:spacing w:line="380" w:lineRule="exact"/>
              <w:jc w:val="left"/>
              <w:rPr>
                <w:rFonts w:ascii="宋体" w:hAnsi="宋体" w:cs="Times New Roman"/>
                <w:color w:val="auto"/>
                <w:szCs w:val="21"/>
                <w:highlight w:val="none"/>
              </w:rPr>
            </w:pPr>
            <w:r>
              <w:rPr>
                <w:rFonts w:hint="eastAsia" w:ascii="宋体" w:hAnsi="宋体"/>
                <w:color w:val="auto"/>
                <w:szCs w:val="21"/>
                <w:highlight w:val="none"/>
              </w:rPr>
              <w:t>能够完全满足需求且方案详尽，得8分；基本满足需求，方案基本详尽的：得4分；方案不够详尽的：得1分；无方案0分。</w:t>
            </w:r>
          </w:p>
        </w:tc>
        <w:tc>
          <w:tcPr>
            <w:tcW w:w="645" w:type="dxa"/>
          </w:tcPr>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p>
          <w:p>
            <w:pPr>
              <w:widowControl/>
              <w:spacing w:line="38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8</w:t>
            </w:r>
          </w:p>
        </w:tc>
      </w:tr>
    </w:tbl>
    <w:p>
      <w:pPr>
        <w:spacing w:line="360" w:lineRule="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其中：价格分计算（落实政府采购政策价格调整部分）</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552"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835"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552" w:type="dxa"/>
            <w:vAlign w:val="center"/>
          </w:tcPr>
          <w:p>
            <w:pPr>
              <w:jc w:val="center"/>
              <w:rPr>
                <w:rFonts w:ascii="ˎ̥" w:hAnsi="ˎ̥"/>
                <w:color w:val="auto"/>
                <w:szCs w:val="21"/>
                <w:highlight w:val="none"/>
              </w:rPr>
            </w:pPr>
            <w:r>
              <w:rPr>
                <w:rFonts w:hint="eastAsia" w:ascii="ˎ̥" w:hAnsi="ˎ̥"/>
                <w:color w:val="auto"/>
                <w:szCs w:val="21"/>
                <w:highlight w:val="none"/>
              </w:rPr>
              <w:t>对小型和微型企业报价</w:t>
            </w:r>
          </w:p>
          <w:p>
            <w:pPr>
              <w:jc w:val="center"/>
              <w:rPr>
                <w:rFonts w:ascii="宋体" w:hAnsi="宋体"/>
                <w:b/>
                <w:color w:val="auto"/>
                <w:szCs w:val="21"/>
                <w:highlight w:val="none"/>
                <w:lang w:val="en-GB"/>
              </w:rPr>
            </w:pPr>
            <w:r>
              <w:rPr>
                <w:rFonts w:hint="eastAsia" w:ascii="ˎ̥" w:hAnsi="ˎ̥"/>
                <w:color w:val="auto"/>
                <w:szCs w:val="21"/>
                <w:highlight w:val="none"/>
              </w:rPr>
              <w:t>扣除20%</w:t>
            </w:r>
          </w:p>
        </w:tc>
        <w:tc>
          <w:tcPr>
            <w:tcW w:w="2835" w:type="dxa"/>
            <w:vMerge w:val="restart"/>
            <w:shd w:val="clear" w:color="auto" w:fill="auto"/>
            <w:vAlign w:val="center"/>
          </w:tcPr>
          <w:p>
            <w:pPr>
              <w:jc w:val="center"/>
              <w:rPr>
                <w:color w:val="auto"/>
                <w:szCs w:val="21"/>
                <w:highlight w:val="none"/>
                <w:lang w:val="en-GB"/>
              </w:rPr>
            </w:pPr>
            <w:r>
              <w:rPr>
                <w:rFonts w:hint="eastAsia"/>
                <w:color w:val="auto"/>
                <w:szCs w:val="21"/>
                <w:highlight w:val="none"/>
                <w:lang w:val="en-GB"/>
              </w:rPr>
              <w:t>评标价格＝</w:t>
            </w:r>
            <w:r>
              <w:rPr>
                <w:rFonts w:hint="eastAsia" w:ascii="ˎ̥" w:hAnsi="ˎ̥"/>
                <w:color w:val="auto"/>
                <w:szCs w:val="21"/>
                <w:highlight w:val="none"/>
              </w:rPr>
              <w:t>小型和微型企业报价</w:t>
            </w:r>
            <w:r>
              <w:rPr>
                <w:rFonts w:hint="eastAsia" w:ascii="宋体" w:hAnsi="宋体"/>
                <w:color w:val="auto"/>
                <w:szCs w:val="21"/>
                <w:highlight w:val="none"/>
                <w:lang w:val="en-GB"/>
              </w:rPr>
              <w:t>×（1-</w:t>
            </w:r>
            <w:r>
              <w:rPr>
                <w:rFonts w:hint="eastAsia" w:ascii="ˎ̥" w:hAnsi="ˎ̥"/>
                <w:color w:val="auto"/>
                <w:szCs w:val="21"/>
                <w:highlight w:val="none"/>
              </w:rPr>
              <w:t>20</w:t>
            </w:r>
            <w:r>
              <w:rPr>
                <w:rFonts w:hint="eastAsia"/>
                <w:color w:val="auto"/>
                <w:szCs w:val="21"/>
                <w:highlight w:val="none"/>
                <w:lang w:val="en-GB"/>
              </w:rPr>
              <w:t>%</w:t>
            </w:r>
            <w:r>
              <w:rPr>
                <w:rFonts w:hint="eastAsia" w:ascii="宋体" w:hAnsi="宋体"/>
                <w:color w:val="auto"/>
                <w:szCs w:val="21"/>
                <w:highlight w:val="none"/>
                <w:lang w:val="en-GB"/>
              </w:rPr>
              <w:t>）</w:t>
            </w:r>
          </w:p>
          <w:p>
            <w:pP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pPr>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552" w:type="dxa"/>
            <w:vAlign w:val="center"/>
          </w:tcPr>
          <w:p>
            <w:pPr>
              <w:jc w:val="center"/>
              <w:rPr>
                <w:rFonts w:ascii="宋体" w:hAnsi="宋体"/>
                <w:color w:val="auto"/>
                <w:szCs w:val="21"/>
                <w:highlight w:val="none"/>
              </w:rPr>
            </w:pPr>
            <w:r>
              <w:rPr>
                <w:rFonts w:hint="eastAsia" w:ascii="ˎ̥" w:hAnsi="ˎ̥"/>
                <w:color w:val="auto"/>
                <w:szCs w:val="21"/>
                <w:highlight w:val="none"/>
              </w:rPr>
              <w:t>对小型和微型企业报价</w:t>
            </w:r>
          </w:p>
          <w:p>
            <w:pPr>
              <w:jc w:val="center"/>
              <w:rPr>
                <w:rFonts w:ascii="宋体" w:hAnsi="宋体"/>
                <w:color w:val="auto"/>
                <w:szCs w:val="21"/>
                <w:highlight w:val="none"/>
              </w:rPr>
            </w:pPr>
            <w:r>
              <w:rPr>
                <w:rFonts w:hint="eastAsia" w:ascii="宋体" w:hAnsi="宋体"/>
                <w:color w:val="auto"/>
                <w:szCs w:val="21"/>
                <w:highlight w:val="none"/>
              </w:rPr>
              <w:t>扣除</w:t>
            </w:r>
            <w:r>
              <w:rPr>
                <w:rFonts w:hint="eastAsia" w:ascii="ˎ̥" w:hAnsi="ˎ̥"/>
                <w:color w:val="auto"/>
                <w:szCs w:val="21"/>
                <w:highlight w:val="none"/>
              </w:rPr>
              <w:t>20</w:t>
            </w:r>
            <w:r>
              <w:rPr>
                <w:rFonts w:hint="eastAsia" w:ascii="宋体" w:hAnsi="宋体"/>
                <w:color w:val="auto"/>
                <w:szCs w:val="21"/>
                <w:highlight w:val="none"/>
              </w:rPr>
              <w:t>%</w:t>
            </w:r>
          </w:p>
          <w:p>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835" w:type="dxa"/>
            <w:vMerge w:val="continue"/>
            <w:shd w:val="clear" w:color="auto" w:fill="auto"/>
          </w:tcPr>
          <w:p>
            <w:pP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vAlign w:val="center"/>
          </w:tcPr>
          <w:p>
            <w:pPr>
              <w:jc w:val="center"/>
              <w:rPr>
                <w:rFonts w:ascii="宋体" w:hAnsi="宋体"/>
                <w:b/>
                <w:color w:val="auto"/>
                <w:szCs w:val="21"/>
                <w:highlight w:val="none"/>
                <w:lang w:val="en-GB"/>
              </w:rPr>
            </w:pPr>
            <w:r>
              <w:rPr>
                <w:rFonts w:ascii="ˎ̥" w:hAnsi="ˎ̥"/>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highlight w:val="none"/>
                <w:lang w:val="en-GB"/>
              </w:rPr>
            </w:pPr>
            <w:r>
              <w:rPr>
                <w:rFonts w:ascii="ˎ̥" w:hAnsi="ˎ̥"/>
                <w:color w:val="auto"/>
                <w:szCs w:val="21"/>
                <w:highlight w:val="none"/>
              </w:rPr>
              <w:t>对联合体或者大中型企业的报价</w:t>
            </w:r>
            <w:r>
              <w:rPr>
                <w:rFonts w:hint="eastAsia" w:ascii="宋体" w:hAnsi="宋体"/>
                <w:color w:val="auto"/>
                <w:szCs w:val="21"/>
                <w:highlight w:val="none"/>
                <w:lang w:val="en-GB"/>
              </w:rPr>
              <w:t>扣除6</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b/>
                <w:color w:val="auto"/>
                <w:szCs w:val="21"/>
                <w:highlight w:val="none"/>
                <w:lang w:val="en-GB"/>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(1-6</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552" w:type="dxa"/>
            <w:vAlign w:val="center"/>
          </w:tcPr>
          <w:p>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ˎ̥" w:hAnsi="ˎ̥"/>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ascii="ˎ̥" w:hAnsi="ˎ̥"/>
                <w:color w:val="auto"/>
                <w:szCs w:val="21"/>
                <w:highlight w:val="none"/>
              </w:rPr>
              <w:t>20</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经评标委员会</w:t>
            </w:r>
            <w:r>
              <w:rPr>
                <w:rFonts w:hint="eastAsia" w:cs="仿宋_GB2312" w:asciiTheme="minorEastAsia" w:hAnsiTheme="minorEastAsia"/>
                <w:color w:val="auto"/>
                <w:szCs w:val="21"/>
                <w:highlight w:val="none"/>
                <w:lang w:val="zh-CN"/>
              </w:rPr>
              <w:t>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投标文件符合</w:t>
            </w:r>
            <w:r>
              <w:rPr>
                <w:rFonts w:cs="仿宋_GB2312" w:asciiTheme="minorEastAsia" w:hAnsiTheme="minorEastAsia"/>
                <w:color w:val="auto"/>
                <w:szCs w:val="21"/>
                <w:highlight w:val="none"/>
                <w:lang w:val="zh-CN"/>
              </w:rPr>
              <w:t>招标文件</w:t>
            </w:r>
            <w:r>
              <w:rPr>
                <w:rFonts w:hint="eastAsia" w:cs="仿宋_GB2312" w:asciiTheme="minorEastAsia" w:hAnsiTheme="minorEastAsia"/>
                <w:color w:val="auto"/>
                <w:szCs w:val="21"/>
                <w:highlight w:val="none"/>
                <w:lang w:val="zh-CN"/>
              </w:rPr>
              <w:t>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评标价格的</w:t>
            </w:r>
            <w:r>
              <w:rPr>
                <w:rFonts w:cs="仿宋_GB2312" w:asciiTheme="minorEastAsia" w:hAnsiTheme="minorEastAsia"/>
                <w:color w:val="auto"/>
                <w:szCs w:val="21"/>
                <w:highlight w:val="none"/>
                <w:lang w:val="zh-CN"/>
              </w:rPr>
              <w:t>最低价者定为评标基准价，其价格分为满分。其他投标人的价格分统一按下列公式</w:t>
            </w:r>
            <w:r>
              <w:rPr>
                <w:rFonts w:hint="eastAsia" w:cs="仿宋_GB2312" w:asciiTheme="minorEastAsia" w:hAnsiTheme="minorEastAsia"/>
                <w:color w:val="auto"/>
                <w:szCs w:val="21"/>
                <w:highlight w:val="none"/>
                <w:lang w:val="zh-CN"/>
              </w:rPr>
              <w:t>计算</w:t>
            </w:r>
            <w:r>
              <w:rPr>
                <w:rFonts w:cs="仿宋_GB2312" w:asciiTheme="minorEastAsia" w:hAnsiTheme="minorEastAsia"/>
                <w:color w:val="auto"/>
                <w:szCs w:val="21"/>
                <w:highlight w:val="none"/>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其他投标报价得分</w:t>
            </w:r>
            <w:r>
              <w:rPr>
                <w:rFonts w:hint="eastAsia" w:cs="仿宋_GB2312" w:asciiTheme="minorEastAsia" w:hAnsiTheme="minorEastAsia"/>
                <w:color w:val="auto"/>
                <w:szCs w:val="21"/>
                <w:highlight w:val="none"/>
                <w:lang w:val="zh-CN"/>
              </w:rPr>
              <w:t>=（</w:t>
            </w: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评标标准中价格分值</w:t>
            </w:r>
          </w:p>
        </w:tc>
      </w:tr>
    </w:tbl>
    <w:p>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pPr>
        <w:spacing w:line="360" w:lineRule="auto"/>
        <w:ind w:firstLine="420" w:firstLineChars="200"/>
        <w:rPr>
          <w:color w:val="auto"/>
          <w:highlight w:val="none"/>
        </w:rPr>
      </w:pPr>
      <w:r>
        <w:rPr>
          <w:rFonts w:hint="eastAsia" w:ascii="宋体" w:hAnsi="宋体"/>
          <w:bCs/>
          <w:color w:val="auto"/>
          <w:szCs w:val="21"/>
          <w:highlight w:val="none"/>
          <w:lang w:val="en-GB"/>
        </w:rPr>
        <w:t>a、不接受联合体投标的项目，</w:t>
      </w:r>
      <w:r>
        <w:rPr>
          <w:rFonts w:hint="eastAsia"/>
          <w:color w:val="auto"/>
          <w:highlight w:val="none"/>
        </w:rPr>
        <w:t>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w:t>
      </w:r>
      <w:r>
        <w:rPr>
          <w:color w:val="auto"/>
          <w:highlight w:val="none"/>
        </w:rPr>
        <w:t>在货物采购项目中，货物由中小企业制造，即货物由中小企业生产且使用该中小企业商号或者注册商标</w:t>
      </w:r>
      <w:r>
        <w:rPr>
          <w:rFonts w:hint="eastAsia" w:ascii="宋体" w:hAnsi="宋体"/>
          <w:bCs/>
          <w:color w:val="auto"/>
          <w:szCs w:val="21"/>
          <w:highlight w:val="none"/>
          <w:lang w:val="en-GB"/>
        </w:rPr>
        <w:t>。</w:t>
      </w:r>
      <w:r>
        <w:rPr>
          <w:color w:val="auto"/>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cs="仿宋_GB2312" w:asciiTheme="minorEastAsia" w:hAnsiTheme="minorEastAsia" w:eastAsiaTheme="minorEastAsia"/>
          <w:b/>
          <w:color w:val="auto"/>
          <w:szCs w:val="21"/>
          <w:highlight w:val="none"/>
          <w:lang w:val="zh-CN"/>
        </w:rPr>
      </w:pPr>
      <w:r>
        <w:rPr>
          <w:rFonts w:hint="eastAsia" w:ascii="宋体" w:hAnsi="宋体"/>
          <w:bCs/>
          <w:color w:val="auto"/>
          <w:szCs w:val="21"/>
          <w:highlight w:val="none"/>
        </w:rPr>
        <w:t>e</w:t>
      </w:r>
      <w:r>
        <w:rPr>
          <w:rFonts w:hint="eastAsia" w:ascii="宋体" w:hAnsi="宋体"/>
          <w:bCs/>
          <w:color w:val="auto"/>
          <w:szCs w:val="21"/>
          <w:highlight w:val="none"/>
          <w:lang w:val="en-GB"/>
        </w:rPr>
        <w:t>、小型和微型企业不包括民办非企业单位。</w:t>
      </w:r>
    </w:p>
    <w:p>
      <w:pPr>
        <w:pStyle w:val="6"/>
        <w:spacing w:line="360" w:lineRule="auto"/>
        <w:ind w:firstLine="211" w:firstLineChars="1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rPr>
        <w:t>8</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eastAsiaTheme="minorEastAsia"/>
          <w:color w:val="auto"/>
          <w:highlight w:val="none"/>
        </w:rPr>
      </w:pP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tabs>
          <w:tab w:val="left" w:pos="1260"/>
        </w:tabs>
        <w:autoSpaceDE w:val="0"/>
        <w:autoSpaceDN w:val="0"/>
        <w:adjustRightInd w:val="0"/>
        <w:spacing w:line="360" w:lineRule="auto"/>
        <w:contextualSpacing/>
        <w:jc w:val="center"/>
        <w:outlineLvl w:val="0"/>
        <w:rPr>
          <w:rFonts w:ascii="宋体" w:hAnsi="宋体"/>
          <w:b/>
          <w:color w:val="auto"/>
          <w:kern w:val="0"/>
          <w:sz w:val="36"/>
          <w:szCs w:val="36"/>
          <w:highlight w:val="none"/>
        </w:rPr>
      </w:pPr>
      <w:r>
        <w:rPr>
          <w:rFonts w:hint="eastAsia" w:ascii="宋体" w:hAnsi="宋体"/>
          <w:b/>
          <w:color w:val="auto"/>
          <w:kern w:val="0"/>
          <w:sz w:val="32"/>
          <w:szCs w:val="32"/>
          <w:highlight w:val="none"/>
        </w:rPr>
        <w:t>第七章 拟签订的合同文本</w:t>
      </w: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pacing w:line="360" w:lineRule="auto"/>
        <w:jc w:val="center"/>
        <w:rPr>
          <w:rFonts w:ascii="宋体" w:hAnsi="宋体"/>
          <w:b/>
          <w:color w:val="auto"/>
          <w:kern w:val="0"/>
          <w:sz w:val="36"/>
          <w:szCs w:val="36"/>
          <w:highlight w:val="none"/>
        </w:rPr>
      </w:pPr>
      <w:r>
        <w:rPr>
          <w:rFonts w:hint="eastAsia" w:ascii="宋体" w:hAnsi="宋体" w:cs="微软雅黑"/>
          <w:b/>
          <w:bCs/>
          <w:color w:val="auto"/>
          <w:szCs w:val="21"/>
          <w:highlight w:val="none"/>
        </w:rPr>
        <w:t>最终签定合同的主要条款不能与招标文件有冲突）</w:t>
      </w:r>
    </w:p>
    <w:p>
      <w:pPr>
        <w:spacing w:after="600"/>
        <w:jc w:val="right"/>
        <w:rPr>
          <w:rFonts w:ascii="仿宋" w:hAnsi="仿宋" w:eastAsia="仿宋" w:cs="仿宋"/>
          <w:color w:val="auto"/>
          <w:sz w:val="26"/>
          <w:szCs w:val="26"/>
          <w:highlight w:val="none"/>
          <w:lang w:val="zh-TW" w:eastAsia="zh-TW" w:bidi="zh-TW"/>
        </w:rPr>
      </w:pPr>
      <w:r>
        <w:rPr>
          <w:rFonts w:hint="eastAsia" w:ascii="仿宋" w:hAnsi="仿宋" w:eastAsia="仿宋" w:cs="仿宋"/>
          <w:color w:val="auto"/>
          <w:sz w:val="26"/>
          <w:szCs w:val="26"/>
          <w:highlight w:val="none"/>
          <w:lang w:val="zh-TW" w:eastAsia="zh-TW" w:bidi="zh-TW"/>
        </w:rPr>
        <w:t>本合同□是/□否中小企业预留合同</w:t>
      </w:r>
    </w:p>
    <w:p>
      <w:pPr>
        <w:keepNext/>
        <w:keepLines/>
        <w:spacing w:after="540"/>
        <w:jc w:val="center"/>
        <w:outlineLvl w:val="1"/>
        <w:rPr>
          <w:rFonts w:ascii="仿宋" w:hAnsi="仿宋" w:eastAsia="仿宋" w:cs="仿宋"/>
          <w:color w:val="auto"/>
          <w:sz w:val="42"/>
          <w:szCs w:val="42"/>
          <w:highlight w:val="none"/>
          <w:lang w:val="zh-TW" w:eastAsia="zh-TW" w:bidi="zh-TW"/>
        </w:rPr>
      </w:pPr>
      <w:bookmarkStart w:id="3" w:name="bookmark59"/>
      <w:bookmarkStart w:id="4" w:name="bookmark60"/>
      <w:bookmarkStart w:id="5" w:name="bookmark61"/>
      <w:r>
        <w:rPr>
          <w:rFonts w:hint="eastAsia" w:ascii="仿宋" w:hAnsi="仿宋" w:eastAsia="仿宋" w:cs="仿宋"/>
          <w:color w:val="auto"/>
          <w:sz w:val="42"/>
          <w:szCs w:val="42"/>
          <w:highlight w:val="none"/>
          <w:lang w:val="zh-TW" w:eastAsia="zh-TW" w:bidi="zh-TW"/>
        </w:rPr>
        <w:t>政府采购服务合同（范本）</w:t>
      </w:r>
      <w:bookmarkEnd w:id="3"/>
      <w:bookmarkEnd w:id="4"/>
      <w:bookmarkEnd w:id="5"/>
    </w:p>
    <w:p>
      <w:pPr>
        <w:tabs>
          <w:tab w:val="left" w:pos="4622"/>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合同编号：</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tabs>
          <w:tab w:val="left" w:pos="4008"/>
          <w:tab w:val="left" w:leader="underscore" w:pos="4618"/>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签订地：</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color w:val="auto"/>
          <w:sz w:val="22"/>
          <w:highlight w:val="none"/>
          <w:lang w:val="zh-TW" w:eastAsia="zh-TW" w:bidi="zh-TW"/>
        </w:rPr>
        <w:tab/>
      </w:r>
    </w:p>
    <w:p>
      <w:pPr>
        <w:tabs>
          <w:tab w:val="left" w:pos="4598"/>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甲方（采购人）：</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tabs>
          <w:tab w:val="left" w:pos="4627"/>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住所地：</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tabs>
          <w:tab w:val="left" w:pos="4608"/>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乙方（中标人）：</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tabs>
          <w:tab w:val="left" w:pos="4627"/>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住所地：</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spacing w:line="398" w:lineRule="exact"/>
        <w:ind w:firstLine="50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乙方于</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年</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月</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 xml:space="preserve">日参加了 </w:t>
      </w:r>
      <w:r>
        <w:rPr>
          <w:rFonts w:hint="eastAsia" w:ascii="仿宋" w:hAnsi="仿宋" w:eastAsia="仿宋" w:cs="仿宋"/>
          <w:color w:val="auto"/>
          <w:sz w:val="22"/>
          <w:highlight w:val="none"/>
          <w:u w:val="single"/>
          <w:lang w:val="zh-TW" w:eastAsia="zh-TW" w:bidi="zh-TW"/>
        </w:rPr>
        <w:t>（</w:t>
      </w:r>
      <w:r>
        <w:rPr>
          <w:rFonts w:hint="eastAsia" w:ascii="仿宋" w:hAnsi="仿宋" w:eastAsia="仿宋" w:cs="仿宋"/>
          <w:color w:val="auto"/>
          <w:sz w:val="22"/>
          <w:highlight w:val="none"/>
          <w:u w:val="single"/>
          <w:lang w:val="zh-TW" w:bidi="zh-TW"/>
        </w:rPr>
        <w:t>采</w:t>
      </w:r>
      <w:r>
        <w:rPr>
          <w:rFonts w:hint="eastAsia" w:ascii="仿宋" w:hAnsi="仿宋" w:eastAsia="仿宋" w:cs="仿宋"/>
          <w:color w:val="auto"/>
          <w:sz w:val="22"/>
          <w:highlight w:val="none"/>
          <w:u w:val="single"/>
          <w:lang w:val="zh-TW" w:eastAsia="zh-TW" w:bidi="zh-TW"/>
        </w:rPr>
        <w:t>购代理机构）</w:t>
      </w:r>
      <w:r>
        <w:rPr>
          <w:rFonts w:hint="eastAsia" w:ascii="仿宋" w:hAnsi="仿宋" w:eastAsia="仿宋" w:cs="仿宋"/>
          <w:color w:val="auto"/>
          <w:sz w:val="22"/>
          <w:highlight w:val="none"/>
          <w:lang w:val="zh-TW" w:eastAsia="zh-TW" w:bidi="zh-TW"/>
        </w:rPr>
        <w:t>组织的“</w:t>
      </w:r>
      <w:r>
        <w:rPr>
          <w:rFonts w:hint="eastAsia" w:ascii="仿宋" w:hAnsi="仿宋" w:eastAsia="仿宋" w:cs="仿宋"/>
          <w:color w:val="auto"/>
          <w:sz w:val="22"/>
          <w:highlight w:val="none"/>
          <w:u w:val="single"/>
          <w:lang w:val="zh-TW" w:eastAsia="zh-TW" w:bidi="zh-TW"/>
        </w:rPr>
        <w:t>（项目名称及项目编号）</w:t>
      </w:r>
      <w:r>
        <w:rPr>
          <w:rFonts w:hint="eastAsia" w:ascii="仿宋" w:hAnsi="仿宋" w:eastAsia="仿宋" w:cs="仿宋"/>
          <w:color w:val="auto"/>
          <w:sz w:val="22"/>
          <w:highlight w:val="none"/>
          <w:lang w:bidi="en-US"/>
        </w:rPr>
        <w:t>"</w:t>
      </w:r>
      <w:r>
        <w:rPr>
          <w:rFonts w:hint="eastAsia" w:ascii="仿宋" w:hAnsi="仿宋" w:eastAsia="仿宋" w:cs="仿宋"/>
          <w:color w:val="auto"/>
          <w:sz w:val="22"/>
          <w:highlight w:val="none"/>
          <w:lang w:val="zh-TW" w:eastAsia="zh-TW" w:bidi="zh-TW"/>
        </w:rPr>
        <w:t>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活动，经评标委）会评审确定乙方为</w:t>
      </w:r>
      <w:r>
        <w:rPr>
          <w:rFonts w:hint="eastAsia" w:ascii="仿宋" w:hAnsi="仿宋" w:eastAsia="仿宋" w:cs="仿宋"/>
          <w:color w:val="auto"/>
          <w:sz w:val="22"/>
          <w:highlight w:val="none"/>
          <w:u w:val="single"/>
          <w:lang w:val="zh-TW" w:eastAsia="zh-TW" w:bidi="zh-TW"/>
        </w:rPr>
        <w:t>（包及包名称）</w:t>
      </w:r>
      <w:r>
        <w:rPr>
          <w:rFonts w:hint="eastAsia" w:ascii="仿宋" w:hAnsi="仿宋" w:eastAsia="仿宋" w:cs="仿宋"/>
          <w:color w:val="auto"/>
          <w:sz w:val="22"/>
          <w:highlight w:val="none"/>
          <w:lang w:val="zh-TW" w:eastAsia="zh-TW" w:bidi="zh-TW"/>
        </w:rPr>
        <w:t>中标人，按照《中华人民共和国民法典》、《中华人民共和国政府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法》和相关的法律法规规定，以及招标文件规定，经甲乙双方协商一致，签订本政府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合同。</w:t>
      </w:r>
    </w:p>
    <w:p>
      <w:pPr>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第一条合同标的</w:t>
      </w:r>
    </w:p>
    <w:p>
      <w:pPr>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服务名称：</w:t>
      </w:r>
    </w:p>
    <w:p>
      <w:pPr>
        <w:tabs>
          <w:tab w:val="left" w:leader="dot" w:pos="2573"/>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服务内容：</w:t>
      </w:r>
      <w:r>
        <w:rPr>
          <w:rFonts w:hint="eastAsia" w:ascii="仿宋" w:hAnsi="仿宋" w:eastAsia="仿宋" w:cs="仿宋"/>
          <w:color w:val="auto"/>
          <w:sz w:val="22"/>
          <w:highlight w:val="none"/>
          <w:lang w:bidi="en-US"/>
        </w:rPr>
        <w:tab/>
      </w:r>
    </w:p>
    <w:p>
      <w:pPr>
        <w:tabs>
          <w:tab w:val="left" w:leader="dot" w:pos="2098"/>
        </w:tabs>
        <w:spacing w:line="398"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技术标准：</w:t>
      </w:r>
      <w:r>
        <w:rPr>
          <w:rFonts w:hint="eastAsia" w:ascii="仿宋" w:hAnsi="仿宋" w:eastAsia="仿宋" w:cs="仿宋"/>
          <w:color w:val="auto"/>
          <w:sz w:val="22"/>
          <w:highlight w:val="none"/>
          <w:lang w:bidi="en-US"/>
        </w:rPr>
        <w:tab/>
      </w:r>
    </w:p>
    <w:p>
      <w:pPr>
        <w:spacing w:line="398" w:lineRule="exact"/>
        <w:ind w:firstLine="48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第二条合同总金额</w:t>
      </w:r>
    </w:p>
    <w:p>
      <w:pPr>
        <w:tabs>
          <w:tab w:val="left" w:pos="5218"/>
          <w:tab w:val="left" w:pos="6639"/>
        </w:tabs>
        <w:spacing w:line="392" w:lineRule="exact"/>
        <w:ind w:firstLine="50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合同总金额为人民币（大写）：</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color w:val="auto"/>
          <w:sz w:val="22"/>
          <w:highlight w:val="none"/>
          <w:lang w:val="zh-TW" w:eastAsia="zh-TW" w:bidi="zh-TW"/>
        </w:rPr>
        <w:t xml:space="preserve"> （¥</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color w:val="auto"/>
          <w:sz w:val="22"/>
          <w:highlight w:val="none"/>
          <w:lang w:val="zh-TW" w:eastAsia="zh-TW" w:bidi="zh-TW"/>
        </w:rPr>
        <w:t>）</w:t>
      </w:r>
    </w:p>
    <w:p>
      <w:pPr>
        <w:tabs>
          <w:tab w:val="left" w:leader="dot" w:pos="5875"/>
        </w:tabs>
        <w:spacing w:line="392" w:lineRule="exact"/>
        <w:ind w:firstLine="50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after="160" w:line="392" w:lineRule="exact"/>
        <w:ind w:firstLine="50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第三条服务交付</w:t>
      </w:r>
    </w:p>
    <w:p>
      <w:pPr>
        <w:tabs>
          <w:tab w:val="left" w:pos="878"/>
        </w:tabs>
        <w:spacing w:line="372" w:lineRule="auto"/>
        <w:ind w:firstLine="500"/>
        <w:rPr>
          <w:rFonts w:ascii="仿宋" w:hAnsi="仿宋" w:eastAsia="仿宋" w:cs="仿宋"/>
          <w:color w:val="auto"/>
          <w:sz w:val="22"/>
          <w:highlight w:val="none"/>
          <w:lang w:val="zh-TW" w:eastAsia="zh-TW" w:bidi="zh-TW"/>
        </w:rPr>
      </w:pPr>
      <w:bookmarkStart w:id="6" w:name="bookmark62"/>
      <w:r>
        <w:rPr>
          <w:rFonts w:hint="eastAsia" w:ascii="仿宋" w:hAnsi="仿宋" w:eastAsia="仿宋" w:cs="仿宋"/>
          <w:color w:val="auto"/>
          <w:sz w:val="22"/>
          <w:highlight w:val="none"/>
          <w:lang w:val="zh-TW" w:eastAsia="zh-TW" w:bidi="zh-TW"/>
        </w:rPr>
        <w:t>1</w:t>
      </w:r>
      <w:bookmarkEnd w:id="6"/>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交付日期：</w:t>
      </w:r>
    </w:p>
    <w:p>
      <w:pPr>
        <w:tabs>
          <w:tab w:val="left" w:pos="892"/>
          <w:tab w:val="left" w:leader="dot" w:pos="2478"/>
        </w:tabs>
        <w:spacing w:line="372" w:lineRule="auto"/>
        <w:ind w:firstLine="500"/>
        <w:rPr>
          <w:rFonts w:ascii="仿宋" w:hAnsi="仿宋" w:eastAsia="仿宋" w:cs="仿宋"/>
          <w:color w:val="auto"/>
          <w:sz w:val="22"/>
          <w:highlight w:val="none"/>
          <w:lang w:val="zh-TW" w:eastAsia="zh-TW" w:bidi="zh-TW"/>
        </w:rPr>
      </w:pPr>
      <w:bookmarkStart w:id="7" w:name="bookmark63"/>
      <w:r>
        <w:rPr>
          <w:rFonts w:hint="eastAsia" w:ascii="仿宋" w:hAnsi="仿宋" w:eastAsia="仿宋" w:cs="仿宋"/>
          <w:color w:val="auto"/>
          <w:sz w:val="22"/>
          <w:highlight w:val="none"/>
          <w:lang w:val="zh-TW" w:eastAsia="zh-TW" w:bidi="zh-TW"/>
        </w:rPr>
        <w:t>2</w:t>
      </w:r>
      <w:bookmarkEnd w:id="7"/>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交付地点:</w:t>
      </w:r>
    </w:p>
    <w:p>
      <w:pPr>
        <w:spacing w:line="391" w:lineRule="exact"/>
        <w:ind w:firstLine="50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第四条交付验收</w:t>
      </w:r>
    </w:p>
    <w:p>
      <w:pPr>
        <w:numPr>
          <w:ilvl w:val="0"/>
          <w:numId w:val="7"/>
        </w:numPr>
        <w:spacing w:after="80" w:line="391" w:lineRule="exact"/>
        <w:ind w:firstLine="500"/>
        <w:rPr>
          <w:rFonts w:ascii="仿宋" w:hAnsi="仿宋" w:eastAsia="仿宋" w:cs="仿宋"/>
          <w:color w:val="auto"/>
          <w:highlight w:val="none"/>
        </w:rPr>
        <w:sectPr>
          <w:footerReference r:id="rId4" w:type="default"/>
          <w:pgSz w:w="11900" w:h="16840"/>
          <w:pgMar w:top="1559" w:right="1680" w:bottom="1361" w:left="1709" w:header="1131" w:footer="964" w:gutter="0"/>
          <w:pgNumType w:start="1"/>
          <w:cols w:space="0" w:num="1"/>
          <w:docGrid w:linePitch="360" w:charSpace="0"/>
        </w:sectPr>
      </w:pPr>
      <w:r>
        <w:rPr>
          <w:rFonts w:hint="eastAsia" w:ascii="仿宋" w:hAnsi="仿宋" w:eastAsia="仿宋" w:cs="仿宋"/>
          <w:color w:val="auto"/>
          <w:sz w:val="22"/>
          <w:highlight w:val="none"/>
          <w:lang w:val="zh-TW" w:eastAsia="zh-TW" w:bidi="zh-TW"/>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pPr>
        <w:spacing w:line="400" w:lineRule="exac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作出全面检查和整理，并列出清单，作为甲方验收和使用技术条件依据，清单应随提交的服务成果交给甲方。</w:t>
      </w:r>
    </w:p>
    <w:p>
      <w:pPr>
        <w:tabs>
          <w:tab w:val="left" w:pos="848"/>
        </w:tabs>
        <w:spacing w:line="400" w:lineRule="exact"/>
        <w:ind w:firstLine="480"/>
        <w:rPr>
          <w:rFonts w:ascii="仿宋" w:hAnsi="仿宋" w:eastAsia="仿宋" w:cs="仿宋"/>
          <w:color w:val="auto"/>
          <w:sz w:val="22"/>
          <w:highlight w:val="none"/>
          <w:lang w:val="zh-TW" w:eastAsia="zh-TW" w:bidi="zh-TW"/>
        </w:rPr>
      </w:pPr>
      <w:bookmarkStart w:id="8" w:name="bookmark64"/>
      <w:r>
        <w:rPr>
          <w:rFonts w:hint="eastAsia" w:ascii="仿宋" w:hAnsi="仿宋" w:eastAsia="仿宋" w:cs="仿宋"/>
          <w:color w:val="auto"/>
          <w:sz w:val="22"/>
          <w:highlight w:val="none"/>
          <w:lang w:val="zh-TW" w:eastAsia="zh-TW" w:bidi="zh-TW"/>
        </w:rPr>
        <w:t>2</w:t>
      </w:r>
      <w:bookmarkEnd w:id="8"/>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对大型或复杂的政府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项目，甲方应当邀请国家认可的质量检测机构参与验收工作，并出具验收报告，相关费用负担由甲乙双方约定。</w:t>
      </w:r>
    </w:p>
    <w:p>
      <w:pPr>
        <w:tabs>
          <w:tab w:val="left" w:pos="862"/>
        </w:tabs>
        <w:spacing w:line="400" w:lineRule="exact"/>
        <w:ind w:firstLine="480"/>
        <w:rPr>
          <w:rFonts w:ascii="仿宋" w:hAnsi="仿宋" w:eastAsia="仿宋" w:cs="仿宋"/>
          <w:color w:val="auto"/>
          <w:sz w:val="22"/>
          <w:highlight w:val="none"/>
          <w:lang w:val="zh-TW" w:eastAsia="zh-TW" w:bidi="zh-TW"/>
        </w:rPr>
      </w:pPr>
      <w:bookmarkStart w:id="9" w:name="bookmark65"/>
      <w:r>
        <w:rPr>
          <w:rFonts w:hint="eastAsia" w:ascii="仿宋" w:hAnsi="仿宋" w:eastAsia="仿宋" w:cs="仿宋"/>
          <w:color w:val="auto"/>
          <w:sz w:val="22"/>
          <w:highlight w:val="none"/>
          <w:lang w:val="zh-TW" w:eastAsia="zh-TW" w:bidi="zh-TW"/>
        </w:rPr>
        <w:t>3</w:t>
      </w:r>
      <w:bookmarkEnd w:id="9"/>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乙方在指定地点提交服务成果后，甲乙双方应依据招标文件、投标文件等文件材料的要求共同验收，并且出具书面验收报告，履约验收报告应当依法依规及时在</w:t>
      </w:r>
      <w:r>
        <w:rPr>
          <w:rFonts w:hint="eastAsia" w:ascii="仿宋" w:hAnsi="仿宋" w:eastAsia="仿宋" w:cs="仿宋"/>
          <w:color w:val="auto"/>
          <w:sz w:val="22"/>
          <w:highlight w:val="none"/>
          <w:lang w:val="zh-TW" w:bidi="zh-TW"/>
        </w:rPr>
        <w:t>河南省</w:t>
      </w:r>
      <w:r>
        <w:rPr>
          <w:rFonts w:hint="eastAsia" w:ascii="仿宋" w:hAnsi="仿宋" w:eastAsia="仿宋" w:cs="仿宋"/>
          <w:color w:val="auto"/>
          <w:sz w:val="22"/>
          <w:highlight w:val="none"/>
          <w:lang w:val="zh-TW" w:eastAsia="zh-TW" w:bidi="zh-TW"/>
        </w:rPr>
        <w:t>政府采购网公开发布。</w:t>
      </w:r>
    </w:p>
    <w:p>
      <w:pPr>
        <w:tabs>
          <w:tab w:val="left" w:pos="853"/>
          <w:tab w:val="left" w:pos="5846"/>
        </w:tabs>
        <w:spacing w:line="400" w:lineRule="exact"/>
        <w:ind w:firstLine="480"/>
        <w:rPr>
          <w:rFonts w:ascii="仿宋" w:hAnsi="仿宋" w:eastAsia="仿宋" w:cs="仿宋"/>
          <w:color w:val="auto"/>
          <w:sz w:val="22"/>
          <w:highlight w:val="none"/>
          <w:lang w:val="zh-TW" w:eastAsia="zh-TW" w:bidi="zh-TW"/>
        </w:rPr>
      </w:pPr>
      <w:bookmarkStart w:id="10" w:name="bookmark66"/>
      <w:r>
        <w:rPr>
          <w:rFonts w:hint="eastAsia" w:ascii="仿宋" w:hAnsi="仿宋" w:eastAsia="仿宋" w:cs="仿宋"/>
          <w:color w:val="auto"/>
          <w:sz w:val="22"/>
          <w:highlight w:val="none"/>
          <w:lang w:val="zh-TW" w:eastAsia="zh-TW" w:bidi="zh-TW"/>
        </w:rPr>
        <w:t>4</w:t>
      </w:r>
      <w:bookmarkEnd w:id="10"/>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根据财政部等三部门《关于印发</w:t>
      </w:r>
      <w:r>
        <w:rPr>
          <w:rFonts w:hint="eastAsia" w:ascii="仿宋" w:hAnsi="仿宋" w:eastAsia="仿宋" w:cs="仿宋"/>
          <w:color w:val="auto"/>
          <w:sz w:val="22"/>
          <w:highlight w:val="none"/>
          <w:lang w:val="zh-CN" w:bidi="zh-CN"/>
        </w:rPr>
        <w:t>〈商</w:t>
      </w:r>
      <w:r>
        <w:rPr>
          <w:rFonts w:hint="eastAsia" w:ascii="仿宋" w:hAnsi="仿宋" w:eastAsia="仿宋" w:cs="仿宋"/>
          <w:color w:val="auto"/>
          <w:sz w:val="22"/>
          <w:highlight w:val="none"/>
          <w:lang w:val="zh-TW" w:eastAsia="zh-TW" w:bidi="zh-TW"/>
        </w:rPr>
        <w:t>品包装政府采购需求标准（试行）〉、〈 快递包装政府采购需求标准（试行）〉的通知》规定，</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文件对商品包装和快递包装提出具体要求的，对乙方所提供包装的履约验收要求（必要时要求乙方在履约验收环节出具检测报告）：</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p>
    <w:p>
      <w:pPr>
        <w:spacing w:after="140"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第五条权利瑕疵担当</w:t>
      </w:r>
    </w:p>
    <w:p>
      <w:pPr>
        <w:numPr>
          <w:ilvl w:val="0"/>
          <w:numId w:val="8"/>
        </w:numPr>
        <w:tabs>
          <w:tab w:val="left" w:pos="819"/>
        </w:tabs>
        <w:spacing w:line="379" w:lineRule="auto"/>
        <w:ind w:firstLine="480"/>
        <w:rPr>
          <w:rFonts w:ascii="仿宋" w:hAnsi="仿宋" w:eastAsia="仿宋" w:cs="仿宋"/>
          <w:color w:val="auto"/>
          <w:sz w:val="22"/>
          <w:highlight w:val="none"/>
          <w:lang w:val="zh-TW" w:eastAsia="zh-TW" w:bidi="zh-TW"/>
        </w:rPr>
      </w:pPr>
      <w:bookmarkStart w:id="11" w:name="bookmark67"/>
      <w:bookmarkEnd w:id="11"/>
      <w:r>
        <w:rPr>
          <w:rFonts w:hint="eastAsia" w:ascii="仿宋" w:hAnsi="仿宋" w:eastAsia="仿宋" w:cs="仿宋"/>
          <w:color w:val="auto"/>
          <w:sz w:val="22"/>
          <w:highlight w:val="none"/>
          <w:lang w:val="zh-TW" w:eastAsia="zh-TW" w:bidi="zh-TW"/>
        </w:rPr>
        <w:t>乙方保证对其出售的标的物享有合法的权利；</w:t>
      </w:r>
    </w:p>
    <w:p>
      <w:pPr>
        <w:numPr>
          <w:ilvl w:val="0"/>
          <w:numId w:val="8"/>
        </w:numPr>
        <w:tabs>
          <w:tab w:val="left" w:pos="824"/>
        </w:tabs>
        <w:spacing w:line="400" w:lineRule="exact"/>
        <w:ind w:firstLine="480"/>
        <w:rPr>
          <w:rFonts w:ascii="仿宋" w:hAnsi="仿宋" w:eastAsia="仿宋" w:cs="仿宋"/>
          <w:color w:val="auto"/>
          <w:sz w:val="22"/>
          <w:highlight w:val="none"/>
          <w:lang w:val="zh-TW" w:eastAsia="zh-TW" w:bidi="zh-TW"/>
        </w:rPr>
      </w:pPr>
      <w:bookmarkStart w:id="12" w:name="bookmark68"/>
      <w:bookmarkEnd w:id="12"/>
      <w:r>
        <w:rPr>
          <w:rFonts w:hint="eastAsia" w:ascii="仿宋" w:hAnsi="仿宋" w:eastAsia="仿宋" w:cs="仿宋"/>
          <w:color w:val="auto"/>
          <w:sz w:val="22"/>
          <w:highlight w:val="none"/>
          <w:lang w:val="zh-TW" w:eastAsia="zh-TW" w:bidi="zh-TW"/>
        </w:rPr>
        <w:t>乙方应保证在其出售的标的物上不存在任何未曾向甲方透露的担保物权，如抵押权、质押权、留置权等；</w:t>
      </w:r>
    </w:p>
    <w:p>
      <w:pPr>
        <w:numPr>
          <w:ilvl w:val="0"/>
          <w:numId w:val="8"/>
        </w:numPr>
        <w:tabs>
          <w:tab w:val="left" w:pos="819"/>
        </w:tabs>
        <w:spacing w:after="140" w:line="400" w:lineRule="exact"/>
        <w:ind w:firstLine="480"/>
        <w:rPr>
          <w:rFonts w:ascii="仿宋" w:hAnsi="仿宋" w:eastAsia="仿宋" w:cs="仿宋"/>
          <w:color w:val="auto"/>
          <w:sz w:val="22"/>
          <w:highlight w:val="none"/>
          <w:lang w:val="zh-TW" w:eastAsia="zh-TW" w:bidi="zh-TW"/>
        </w:rPr>
      </w:pPr>
      <w:bookmarkStart w:id="13" w:name="bookmark69"/>
      <w:bookmarkEnd w:id="13"/>
      <w:r>
        <w:rPr>
          <w:rFonts w:hint="eastAsia" w:ascii="仿宋" w:hAnsi="仿宋" w:eastAsia="仿宋" w:cs="仿宋"/>
          <w:color w:val="auto"/>
          <w:sz w:val="22"/>
          <w:highlight w:val="none"/>
          <w:lang w:val="zh-TW" w:eastAsia="zh-TW" w:bidi="zh-TW"/>
        </w:rPr>
        <w:t>乙方应保证其所出售的标的物没有侵害任何第三人的知识产权和商业秘密等权利；</w:t>
      </w:r>
    </w:p>
    <w:p>
      <w:pPr>
        <w:numPr>
          <w:ilvl w:val="0"/>
          <w:numId w:val="8"/>
        </w:numPr>
        <w:tabs>
          <w:tab w:val="left" w:pos="834"/>
        </w:tabs>
        <w:spacing w:line="379" w:lineRule="auto"/>
        <w:ind w:firstLine="480"/>
        <w:rPr>
          <w:rFonts w:ascii="仿宋" w:hAnsi="仿宋" w:eastAsia="仿宋" w:cs="仿宋"/>
          <w:color w:val="auto"/>
          <w:sz w:val="22"/>
          <w:highlight w:val="none"/>
          <w:lang w:val="zh-TW" w:eastAsia="zh-TW" w:bidi="zh-TW"/>
        </w:rPr>
      </w:pPr>
      <w:bookmarkStart w:id="14" w:name="bookmark70"/>
      <w:bookmarkEnd w:id="14"/>
      <w:r>
        <w:rPr>
          <w:rFonts w:hint="eastAsia" w:ascii="仿宋" w:hAnsi="仿宋" w:eastAsia="仿宋" w:cs="仿宋"/>
          <w:color w:val="auto"/>
          <w:sz w:val="22"/>
          <w:highlight w:val="none"/>
          <w:lang w:val="zh-TW" w:eastAsia="zh-TW" w:bidi="zh-TW"/>
        </w:rPr>
        <w:t>如甲方使用该标的物构成上述侵权的，则由乙方承担全部责任。</w:t>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第六条所有权归属</w:t>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ascii="仿宋" w:hAnsi="仿宋" w:eastAsia="仿宋" w:cs="仿宋"/>
          <w:color w:val="auto"/>
          <w:sz w:val="22"/>
          <w:highlight w:val="none"/>
          <w:lang w:val="zh-TW" w:bidi="zh-TW"/>
        </w:rPr>
        <w:t>权</w:t>
      </w:r>
      <w:r>
        <w:rPr>
          <w:rFonts w:hint="eastAsia" w:ascii="仿宋" w:hAnsi="仿宋" w:eastAsia="仿宋" w:cs="仿宋"/>
          <w:color w:val="auto"/>
          <w:sz w:val="22"/>
          <w:highlight w:val="none"/>
          <w:lang w:val="zh-TW" w:eastAsia="zh-TW" w:bidi="zh-TW"/>
        </w:rPr>
        <w:t>瑕疵。</w:t>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第七条包装、装运及运输</w:t>
      </w:r>
    </w:p>
    <w:p>
      <w:pPr>
        <w:tabs>
          <w:tab w:val="left" w:pos="862"/>
        </w:tabs>
        <w:spacing w:after="140" w:line="400" w:lineRule="exact"/>
        <w:ind w:firstLine="480"/>
        <w:rPr>
          <w:rFonts w:ascii="仿宋" w:hAnsi="仿宋" w:eastAsia="仿宋" w:cs="仿宋"/>
          <w:color w:val="auto"/>
          <w:sz w:val="22"/>
          <w:highlight w:val="none"/>
          <w:lang w:val="zh-TW" w:eastAsia="zh-TW" w:bidi="zh-TW"/>
        </w:rPr>
      </w:pPr>
      <w:bookmarkStart w:id="15" w:name="bookmark71"/>
      <w:r>
        <w:rPr>
          <w:rFonts w:hint="eastAsia" w:ascii="仿宋" w:hAnsi="仿宋" w:eastAsia="仿宋" w:cs="仿宋"/>
          <w:color w:val="auto"/>
          <w:sz w:val="22"/>
          <w:highlight w:val="none"/>
          <w:lang w:val="zh-TW" w:eastAsia="zh-TW" w:bidi="zh-TW"/>
        </w:rPr>
        <w:t>1</w:t>
      </w:r>
      <w:bookmarkEnd w:id="15"/>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乙方负责包装、装运和运输，由于不适当的包装、装运和运输造成任何损坏均由乙方负责。</w:t>
      </w:r>
    </w:p>
    <w:p>
      <w:pPr>
        <w:tabs>
          <w:tab w:val="left" w:pos="872"/>
        </w:tabs>
        <w:spacing w:line="379" w:lineRule="auto"/>
        <w:ind w:firstLine="480"/>
        <w:rPr>
          <w:rFonts w:ascii="仿宋" w:hAnsi="仿宋" w:eastAsia="仿宋" w:cs="仿宋"/>
          <w:color w:val="auto"/>
          <w:sz w:val="22"/>
          <w:highlight w:val="none"/>
          <w:lang w:val="zh-TW" w:eastAsia="zh-TW" w:bidi="zh-TW"/>
        </w:rPr>
      </w:pPr>
      <w:bookmarkStart w:id="16" w:name="bookmark72"/>
      <w:r>
        <w:rPr>
          <w:rFonts w:hint="eastAsia" w:ascii="仿宋" w:hAnsi="仿宋" w:eastAsia="仿宋" w:cs="仿宋"/>
          <w:color w:val="auto"/>
          <w:sz w:val="22"/>
          <w:highlight w:val="none"/>
          <w:lang w:val="zh-TW" w:eastAsia="zh-TW" w:bidi="zh-TW"/>
        </w:rPr>
        <w:t>2</w:t>
      </w:r>
      <w:bookmarkEnd w:id="16"/>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包装费、运费及相关费用已包含在合同总金额内。</w:t>
      </w:r>
    </w:p>
    <w:p>
      <w:pPr>
        <w:tabs>
          <w:tab w:val="left" w:pos="867"/>
        </w:tabs>
        <w:spacing w:line="400" w:lineRule="exact"/>
        <w:ind w:firstLine="480"/>
        <w:rPr>
          <w:rFonts w:ascii="仿宋" w:hAnsi="仿宋" w:eastAsia="仿宋" w:cs="仿宋"/>
          <w:color w:val="auto"/>
          <w:sz w:val="22"/>
          <w:highlight w:val="none"/>
          <w:lang w:val="zh-TW" w:eastAsia="zh-TW" w:bidi="zh-TW"/>
        </w:rPr>
      </w:pPr>
      <w:bookmarkStart w:id="17" w:name="bookmark73"/>
      <w:r>
        <w:rPr>
          <w:rFonts w:hint="eastAsia" w:ascii="仿宋" w:hAnsi="仿宋" w:eastAsia="仿宋" w:cs="仿宋"/>
          <w:color w:val="auto"/>
          <w:sz w:val="22"/>
          <w:highlight w:val="none"/>
          <w:lang w:val="zh-TW" w:eastAsia="zh-TW" w:bidi="zh-TW"/>
        </w:rPr>
        <w:t>3</w:t>
      </w:r>
      <w:bookmarkEnd w:id="17"/>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根据财政部等三部门《关于印发</w:t>
      </w:r>
      <w:r>
        <w:rPr>
          <w:rFonts w:hint="eastAsia" w:ascii="仿宋" w:hAnsi="仿宋" w:eastAsia="仿宋" w:cs="仿宋"/>
          <w:color w:val="auto"/>
          <w:sz w:val="22"/>
          <w:highlight w:val="none"/>
          <w:lang w:val="zh-CN" w:bidi="zh-CN"/>
        </w:rPr>
        <w:t>〈商</w:t>
      </w:r>
      <w:r>
        <w:rPr>
          <w:rFonts w:hint="eastAsia" w:ascii="仿宋" w:hAnsi="仿宋" w:eastAsia="仿宋" w:cs="仿宋"/>
          <w:color w:val="auto"/>
          <w:sz w:val="22"/>
          <w:highlight w:val="none"/>
          <w:lang w:val="zh-TW" w:eastAsia="zh-TW" w:bidi="zh-TW"/>
        </w:rPr>
        <w:t>品包装政府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需求标准（试行）＞、〈 快递包装政府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需求标准（试行）〉的通知》规定，对乙方提出的具体包装要求：</w:t>
      </w:r>
    </w:p>
    <w:p>
      <w:pPr>
        <w:spacing w:after="140" w:line="400" w:lineRule="exact"/>
        <w:ind w:firstLine="46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第八条款项支付</w:t>
      </w:r>
    </w:p>
    <w:p>
      <w:pPr>
        <w:tabs>
          <w:tab w:val="left" w:pos="842"/>
        </w:tabs>
        <w:spacing w:line="379" w:lineRule="auto"/>
        <w:ind w:firstLine="460"/>
        <w:rPr>
          <w:rFonts w:ascii="仿宋" w:hAnsi="仿宋" w:eastAsia="仿宋" w:cs="仿宋"/>
          <w:color w:val="auto"/>
          <w:sz w:val="22"/>
          <w:highlight w:val="none"/>
          <w:lang w:val="zh-TW" w:eastAsia="zh-TW" w:bidi="zh-TW"/>
        </w:rPr>
      </w:pPr>
      <w:bookmarkStart w:id="18" w:name="bookmark74"/>
      <w:r>
        <w:rPr>
          <w:rFonts w:hint="eastAsia" w:ascii="仿宋" w:hAnsi="仿宋" w:eastAsia="仿宋" w:cs="仿宋"/>
          <w:color w:val="auto"/>
          <w:sz w:val="22"/>
          <w:highlight w:val="none"/>
          <w:lang w:val="zh-TW" w:eastAsia="zh-TW" w:bidi="zh-TW"/>
        </w:rPr>
        <w:t>1</w:t>
      </w:r>
      <w:bookmarkEnd w:id="18"/>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服务成果交付甲方，经甲乙双方共同验收合格后由甲方负责办理支付手续。</w:t>
      </w:r>
    </w:p>
    <w:p>
      <w:pPr>
        <w:tabs>
          <w:tab w:val="left" w:pos="392"/>
        </w:tabs>
        <w:spacing w:after="160" w:line="379" w:lineRule="auto"/>
        <w:ind w:firstLine="460"/>
        <w:rPr>
          <w:rFonts w:ascii="仿宋" w:hAnsi="仿宋" w:eastAsia="仿宋" w:cs="仿宋"/>
          <w:color w:val="auto"/>
          <w:sz w:val="22"/>
          <w:highlight w:val="none"/>
          <w:lang w:val="zh-TW" w:eastAsia="zh-TW" w:bidi="zh-TW"/>
        </w:rPr>
      </w:pPr>
      <w:bookmarkStart w:id="19" w:name="bookmark75"/>
      <w:r>
        <w:rPr>
          <w:rFonts w:hint="eastAsia" w:ascii="仿宋" w:hAnsi="仿宋" w:eastAsia="仿宋" w:cs="仿宋"/>
          <w:color w:val="auto"/>
          <w:sz w:val="22"/>
          <w:highlight w:val="none"/>
          <w:lang w:val="zh-TW" w:eastAsia="zh-TW" w:bidi="zh-TW"/>
        </w:rPr>
        <w:t>2</w:t>
      </w:r>
      <w:bookmarkEnd w:id="19"/>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允许并鼓励乙方提供电子发票，甲方自收到发票之日起2个工作日内支付资金，并不得附加未经约定的其他条件。</w:t>
      </w:r>
    </w:p>
    <w:p>
      <w:pPr>
        <w:spacing w:line="382" w:lineRule="auto"/>
        <w:ind w:firstLine="480"/>
        <w:rPr>
          <w:rFonts w:ascii="仿宋" w:hAnsi="仿宋" w:eastAsia="仿宋" w:cs="仿宋"/>
          <w:color w:val="auto"/>
          <w:sz w:val="22"/>
          <w:highlight w:val="none"/>
          <w:lang w:val="zh-TW" w:eastAsia="zh-TW" w:bidi="zh-TW"/>
        </w:rPr>
      </w:pPr>
      <w:bookmarkStart w:id="20" w:name="bookmark76"/>
      <w:r>
        <w:rPr>
          <w:rFonts w:hint="eastAsia" w:ascii="仿宋" w:hAnsi="仿宋" w:eastAsia="仿宋" w:cs="仿宋"/>
          <w:color w:val="auto"/>
          <w:sz w:val="22"/>
          <w:highlight w:val="none"/>
          <w:lang w:val="zh-TW" w:eastAsia="zh-TW" w:bidi="zh-TW"/>
        </w:rPr>
        <w:t>3</w:t>
      </w:r>
      <w:bookmarkEnd w:id="20"/>
      <w:r>
        <w:rPr>
          <w:rFonts w:hint="eastAsia" w:ascii="仿宋" w:hAnsi="仿宋" w:eastAsia="仿宋" w:cs="仿宋"/>
          <w:color w:val="auto"/>
          <w:sz w:val="22"/>
          <w:highlight w:val="none"/>
          <w:lang w:val="zh-TW" w:eastAsia="zh-TW" w:bidi="zh-TW"/>
        </w:rPr>
        <w:t>、付款方式</w:t>
      </w:r>
    </w:p>
    <w:p>
      <w:pPr>
        <w:tabs>
          <w:tab w:val="left" w:leader="dot" w:pos="2088"/>
        </w:tabs>
        <w:spacing w:line="401"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bidi="en-US"/>
        </w:rPr>
        <w:t>3.1</w:t>
      </w:r>
      <w:r>
        <w:rPr>
          <w:rFonts w:hint="eastAsia" w:ascii="仿宋" w:hAnsi="仿宋" w:eastAsia="仿宋" w:cs="仿宋"/>
          <w:color w:val="auto"/>
          <w:sz w:val="22"/>
          <w:highlight w:val="none"/>
          <w:lang w:val="zh-TW" w:eastAsia="zh-TW" w:bidi="zh-TW"/>
        </w:rPr>
        <w:t>预付款比例：</w:t>
      </w:r>
      <w:r>
        <w:rPr>
          <w:rFonts w:hint="eastAsia" w:ascii="仿宋" w:hAnsi="仿宋" w:eastAsia="仿宋" w:cs="仿宋"/>
          <w:color w:val="auto"/>
          <w:sz w:val="22"/>
          <w:highlight w:val="none"/>
          <w:u w:val="single"/>
          <w:lang w:bidi="zh-TW"/>
        </w:rPr>
        <w:t xml:space="preserve">   </w:t>
      </w:r>
      <w:r>
        <w:rPr>
          <w:rFonts w:hint="eastAsia" w:ascii="仿宋" w:hAnsi="仿宋" w:eastAsia="仿宋" w:cs="仿宋"/>
          <w:color w:val="auto"/>
          <w:sz w:val="22"/>
          <w:highlight w:val="none"/>
          <w:lang w:val="zh-TW" w:eastAsia="zh-TW" w:bidi="zh-TW"/>
        </w:rPr>
        <w:t>％,于政府采购合同签订生效并具备实施条件后2个工作日内支付。</w:t>
      </w:r>
    </w:p>
    <w:p>
      <w:pPr>
        <w:spacing w:line="401"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第九条履约保证金</w:t>
      </w:r>
    </w:p>
    <w:p>
      <w:pPr>
        <w:spacing w:line="401" w:lineRule="exact"/>
        <w:ind w:left="460" w:firstLine="2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根据许昌市优化政府采购营商环境要求，项目不收取履约保证金。</w:t>
      </w:r>
    </w:p>
    <w:p>
      <w:pPr>
        <w:spacing w:line="401" w:lineRule="exact"/>
        <w:ind w:left="460" w:firstLine="2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第十条售后服务及承诺</w:t>
      </w:r>
    </w:p>
    <w:p>
      <w:pPr>
        <w:tabs>
          <w:tab w:val="left" w:pos="843"/>
          <w:tab w:val="left" w:pos="6134"/>
        </w:tabs>
        <w:spacing w:line="401" w:lineRule="exact"/>
        <w:ind w:firstLine="480"/>
        <w:rPr>
          <w:rFonts w:ascii="仿宋" w:hAnsi="仿宋" w:eastAsia="仿宋" w:cs="仿宋"/>
          <w:color w:val="auto"/>
          <w:sz w:val="22"/>
          <w:highlight w:val="none"/>
          <w:lang w:val="zh-TW" w:eastAsia="zh-TW" w:bidi="zh-TW"/>
        </w:rPr>
      </w:pPr>
      <w:bookmarkStart w:id="21" w:name="bookmark77"/>
      <w:r>
        <w:rPr>
          <w:rFonts w:hint="eastAsia" w:ascii="仿宋" w:hAnsi="仿宋" w:eastAsia="仿宋" w:cs="仿宋"/>
          <w:color w:val="auto"/>
          <w:sz w:val="22"/>
          <w:highlight w:val="none"/>
          <w:lang w:val="zh-TW" w:eastAsia="zh-TW" w:bidi="zh-TW"/>
        </w:rPr>
        <w:t>1</w:t>
      </w:r>
      <w:bookmarkEnd w:id="21"/>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服务质量保证期限自提交服务验收合格之日起</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color w:val="auto"/>
          <w:sz w:val="22"/>
          <w:highlight w:val="none"/>
          <w:lang w:val="zh-TW" w:eastAsia="zh-TW" w:bidi="zh-TW"/>
        </w:rPr>
        <w:t>年，在质量保证期内， 乙方应对服务出现的问题负责处理并承担一切费用，并且赔偿甲方的损失。</w:t>
      </w:r>
    </w:p>
    <w:p>
      <w:pPr>
        <w:tabs>
          <w:tab w:val="left" w:pos="867"/>
        </w:tabs>
        <w:spacing w:line="401" w:lineRule="exact"/>
        <w:ind w:firstLine="480"/>
        <w:rPr>
          <w:rFonts w:ascii="仿宋" w:hAnsi="仿宋" w:eastAsia="仿宋" w:cs="仿宋"/>
          <w:color w:val="auto"/>
          <w:sz w:val="22"/>
          <w:highlight w:val="none"/>
          <w:lang w:val="zh-TW" w:eastAsia="zh-TW" w:bidi="zh-TW"/>
        </w:rPr>
      </w:pPr>
      <w:bookmarkStart w:id="22" w:name="bookmark78"/>
      <w:r>
        <w:rPr>
          <w:rFonts w:hint="eastAsia" w:ascii="仿宋" w:hAnsi="仿宋" w:eastAsia="仿宋" w:cs="仿宋"/>
          <w:color w:val="auto"/>
          <w:sz w:val="22"/>
          <w:highlight w:val="none"/>
          <w:lang w:val="zh-TW" w:eastAsia="zh-TW" w:bidi="zh-TW"/>
        </w:rPr>
        <w:t>2</w:t>
      </w:r>
      <w:bookmarkEnd w:id="22"/>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乙方有完善的服务体系，有能力提供持续的、本地化售后服务。</w:t>
      </w:r>
    </w:p>
    <w:p>
      <w:pPr>
        <w:tabs>
          <w:tab w:val="left" w:pos="862"/>
        </w:tabs>
        <w:spacing w:line="401" w:lineRule="exact"/>
        <w:ind w:firstLine="480"/>
        <w:rPr>
          <w:rFonts w:ascii="仿宋" w:hAnsi="仿宋" w:eastAsia="仿宋" w:cs="仿宋"/>
          <w:color w:val="auto"/>
          <w:sz w:val="22"/>
          <w:highlight w:val="none"/>
          <w:lang w:val="zh-TW" w:eastAsia="zh-TW" w:bidi="zh-TW"/>
        </w:rPr>
      </w:pPr>
      <w:bookmarkStart w:id="23" w:name="bookmark79"/>
      <w:r>
        <w:rPr>
          <w:rFonts w:hint="eastAsia" w:ascii="仿宋" w:hAnsi="仿宋" w:eastAsia="仿宋" w:cs="仿宋"/>
          <w:color w:val="auto"/>
          <w:sz w:val="22"/>
          <w:highlight w:val="none"/>
          <w:lang w:val="zh-TW" w:eastAsia="zh-TW" w:bidi="zh-TW"/>
        </w:rPr>
        <w:t>3</w:t>
      </w:r>
      <w:bookmarkEnd w:id="23"/>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乙方负责系统安装和调试以及操作人员培训，并制定详细的培训计划，使操作人员能独立进行管理、操作、维护和故障处理等工作，做好相关记录及技术文档收集整理，待验收后移交。</w:t>
      </w:r>
    </w:p>
    <w:p>
      <w:pPr>
        <w:tabs>
          <w:tab w:val="left" w:pos="877"/>
        </w:tabs>
        <w:spacing w:line="401" w:lineRule="exact"/>
        <w:ind w:firstLine="480"/>
        <w:rPr>
          <w:rFonts w:ascii="仿宋" w:hAnsi="仿宋" w:eastAsia="仿宋" w:cs="仿宋"/>
          <w:color w:val="auto"/>
          <w:sz w:val="22"/>
          <w:highlight w:val="none"/>
          <w:lang w:val="zh-TW" w:eastAsia="zh-TW" w:bidi="zh-TW"/>
        </w:rPr>
      </w:pPr>
      <w:bookmarkStart w:id="24" w:name="bookmark80"/>
      <w:r>
        <w:rPr>
          <w:rFonts w:hint="eastAsia" w:ascii="仿宋" w:hAnsi="仿宋" w:eastAsia="仿宋" w:cs="仿宋"/>
          <w:color w:val="auto"/>
          <w:sz w:val="22"/>
          <w:highlight w:val="none"/>
          <w:lang w:val="zh-TW" w:eastAsia="zh-TW" w:bidi="zh-TW"/>
        </w:rPr>
        <w:t>4</w:t>
      </w:r>
      <w:bookmarkEnd w:id="24"/>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服务范围：负责招标文件所涉及到的所有服务。</w:t>
      </w:r>
    </w:p>
    <w:p>
      <w:pPr>
        <w:spacing w:line="401"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第十一条知识产权</w:t>
      </w:r>
    </w:p>
    <w:p>
      <w:pPr>
        <w:tabs>
          <w:tab w:val="left" w:pos="862"/>
        </w:tabs>
        <w:spacing w:line="401" w:lineRule="exact"/>
        <w:ind w:firstLine="480"/>
        <w:rPr>
          <w:rFonts w:ascii="仿宋" w:hAnsi="仿宋" w:eastAsia="仿宋" w:cs="仿宋"/>
          <w:color w:val="auto"/>
          <w:sz w:val="22"/>
          <w:highlight w:val="none"/>
          <w:lang w:val="zh-TW" w:eastAsia="zh-TW" w:bidi="zh-TW"/>
        </w:rPr>
      </w:pPr>
      <w:bookmarkStart w:id="25" w:name="bookmark81"/>
      <w:r>
        <w:rPr>
          <w:rFonts w:hint="eastAsia" w:ascii="仿宋" w:hAnsi="仿宋" w:eastAsia="仿宋" w:cs="仿宋"/>
          <w:color w:val="auto"/>
          <w:sz w:val="22"/>
          <w:highlight w:val="none"/>
          <w:lang w:val="zh-TW" w:eastAsia="zh-TW" w:bidi="zh-TW"/>
        </w:rPr>
        <w:t>1</w:t>
      </w:r>
      <w:bookmarkEnd w:id="25"/>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乙方保证，甲方在享受服务或者服务的任何一部分时，免受第三方提出的侵犯其专利权、商标权或其他知识产权的起诉。如发生此类纠纷，由乙方承担一切责任；如因此给甲方造成损失的，乙方负责全额赔偿。</w:t>
      </w:r>
    </w:p>
    <w:p>
      <w:pPr>
        <w:tabs>
          <w:tab w:val="left" w:pos="858"/>
          <w:tab w:val="left" w:leader="dot" w:pos="1848"/>
        </w:tabs>
        <w:spacing w:line="401" w:lineRule="exact"/>
        <w:ind w:firstLine="480"/>
        <w:rPr>
          <w:rFonts w:ascii="仿宋" w:hAnsi="仿宋" w:eastAsia="仿宋" w:cs="仿宋"/>
          <w:color w:val="auto"/>
          <w:sz w:val="22"/>
          <w:highlight w:val="none"/>
          <w:lang w:val="zh-TW" w:eastAsia="zh-TW" w:bidi="zh-TW"/>
        </w:rPr>
      </w:pPr>
      <w:bookmarkStart w:id="26" w:name="bookmark82"/>
      <w:r>
        <w:rPr>
          <w:rFonts w:hint="eastAsia" w:ascii="仿宋" w:hAnsi="仿宋" w:eastAsia="仿宋" w:cs="仿宋"/>
          <w:color w:val="auto"/>
          <w:sz w:val="22"/>
          <w:highlight w:val="none"/>
          <w:lang w:val="zh-TW" w:eastAsia="zh-TW" w:bidi="zh-TW"/>
        </w:rPr>
        <w:t>2</w:t>
      </w:r>
      <w:bookmarkEnd w:id="26"/>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乙方为执行本合同而提供的技术资料或者其他相关资料、软件等由甲方永久免费使用。</w:t>
      </w:r>
      <w:r>
        <w:rPr>
          <w:rFonts w:hint="eastAsia" w:ascii="仿宋" w:hAnsi="仿宋" w:eastAsia="仿宋" w:cs="仿宋"/>
          <w:color w:val="auto"/>
          <w:sz w:val="22"/>
          <w:highlight w:val="none"/>
          <w:lang w:bidi="en-US"/>
        </w:rPr>
        <w:tab/>
      </w:r>
    </w:p>
    <w:p>
      <w:pPr>
        <w:spacing w:after="160"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第十二条甲方责任</w:t>
      </w:r>
    </w:p>
    <w:p>
      <w:pPr>
        <w:tabs>
          <w:tab w:val="left" w:pos="853"/>
        </w:tabs>
        <w:spacing w:line="379" w:lineRule="auto"/>
        <w:ind w:firstLine="480"/>
        <w:rPr>
          <w:rFonts w:ascii="仿宋" w:hAnsi="仿宋" w:eastAsia="仿宋" w:cs="仿宋"/>
          <w:color w:val="auto"/>
          <w:sz w:val="22"/>
          <w:highlight w:val="none"/>
          <w:lang w:val="zh-TW" w:eastAsia="zh-TW" w:bidi="zh-TW"/>
        </w:rPr>
      </w:pPr>
      <w:bookmarkStart w:id="27" w:name="bookmark83"/>
      <w:r>
        <w:rPr>
          <w:rFonts w:hint="eastAsia" w:ascii="仿宋" w:hAnsi="仿宋" w:eastAsia="仿宋" w:cs="仿宋"/>
          <w:color w:val="auto"/>
          <w:sz w:val="22"/>
          <w:highlight w:val="none"/>
          <w:lang w:val="zh-TW" w:eastAsia="zh-TW" w:bidi="zh-TW"/>
        </w:rPr>
        <w:t>1</w:t>
      </w:r>
      <w:bookmarkEnd w:id="27"/>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及时办理付款手续。</w:t>
      </w:r>
    </w:p>
    <w:p>
      <w:pPr>
        <w:tabs>
          <w:tab w:val="left" w:pos="872"/>
        </w:tabs>
        <w:spacing w:line="400" w:lineRule="exact"/>
        <w:ind w:firstLine="480"/>
        <w:rPr>
          <w:rFonts w:ascii="仿宋" w:hAnsi="仿宋" w:eastAsia="仿宋" w:cs="仿宋"/>
          <w:color w:val="auto"/>
          <w:sz w:val="22"/>
          <w:highlight w:val="none"/>
          <w:lang w:val="zh-TW" w:eastAsia="zh-TW" w:bidi="zh-TW"/>
        </w:rPr>
      </w:pPr>
      <w:bookmarkStart w:id="28" w:name="bookmark84"/>
      <w:r>
        <w:rPr>
          <w:rFonts w:hint="eastAsia" w:ascii="仿宋" w:hAnsi="仿宋" w:eastAsia="仿宋" w:cs="仿宋"/>
          <w:color w:val="auto"/>
          <w:sz w:val="22"/>
          <w:highlight w:val="none"/>
          <w:lang w:val="zh-TW" w:eastAsia="zh-TW" w:bidi="zh-TW"/>
        </w:rPr>
        <w:t>2</w:t>
      </w:r>
      <w:bookmarkEnd w:id="28"/>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负责提供工作场地，协助乙方办理有关事宜。</w:t>
      </w:r>
    </w:p>
    <w:p>
      <w:pPr>
        <w:tabs>
          <w:tab w:val="left" w:pos="872"/>
        </w:tabs>
        <w:spacing w:line="400" w:lineRule="exact"/>
        <w:ind w:firstLine="480"/>
        <w:rPr>
          <w:rFonts w:ascii="仿宋" w:hAnsi="仿宋" w:eastAsia="仿宋" w:cs="仿宋"/>
          <w:color w:val="auto"/>
          <w:sz w:val="22"/>
          <w:highlight w:val="none"/>
          <w:lang w:val="zh-TW" w:eastAsia="zh-TW" w:bidi="zh-TW"/>
        </w:rPr>
      </w:pPr>
      <w:bookmarkStart w:id="29" w:name="bookmark85"/>
      <w:r>
        <w:rPr>
          <w:rFonts w:hint="eastAsia" w:ascii="仿宋" w:hAnsi="仿宋" w:eastAsia="仿宋" w:cs="仿宋"/>
          <w:color w:val="auto"/>
          <w:sz w:val="22"/>
          <w:highlight w:val="none"/>
          <w:lang w:val="zh-TW" w:eastAsia="zh-TW" w:bidi="zh-TW"/>
        </w:rPr>
        <w:t>3</w:t>
      </w:r>
      <w:bookmarkEnd w:id="29"/>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对合同条款及所知悉的乙方商业秘密负有保密义务。</w:t>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第十三条乙方责任</w:t>
      </w:r>
    </w:p>
    <w:p>
      <w:pPr>
        <w:tabs>
          <w:tab w:val="left" w:pos="853"/>
        </w:tabs>
        <w:spacing w:line="400" w:lineRule="exact"/>
        <w:ind w:firstLine="480"/>
        <w:rPr>
          <w:rFonts w:ascii="仿宋" w:hAnsi="仿宋" w:eastAsia="仿宋" w:cs="仿宋"/>
          <w:color w:val="auto"/>
          <w:sz w:val="22"/>
          <w:highlight w:val="none"/>
          <w:lang w:val="zh-TW" w:eastAsia="zh-TW" w:bidi="zh-TW"/>
        </w:rPr>
      </w:pPr>
      <w:bookmarkStart w:id="30" w:name="bookmark86"/>
      <w:r>
        <w:rPr>
          <w:rFonts w:hint="eastAsia" w:ascii="仿宋" w:hAnsi="仿宋" w:eastAsia="仿宋" w:cs="仿宋"/>
          <w:color w:val="auto"/>
          <w:sz w:val="22"/>
          <w:highlight w:val="none"/>
          <w:lang w:val="zh-TW" w:eastAsia="zh-TW" w:bidi="zh-TW"/>
        </w:rPr>
        <w:t>1</w:t>
      </w:r>
      <w:bookmarkEnd w:id="30"/>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保证所提供服务为投标文件承诺服务，符合相关法律法规规定并且满足甲方的需求，保证其配套项目部件为全新的未使用的且符合相关的质量要求。</w:t>
      </w:r>
    </w:p>
    <w:p>
      <w:pPr>
        <w:tabs>
          <w:tab w:val="left" w:pos="843"/>
        </w:tabs>
        <w:spacing w:line="400" w:lineRule="exact"/>
        <w:ind w:firstLine="480"/>
        <w:rPr>
          <w:rFonts w:ascii="仿宋" w:hAnsi="仿宋" w:eastAsia="仿宋" w:cs="仿宋"/>
          <w:color w:val="auto"/>
          <w:sz w:val="22"/>
          <w:highlight w:val="none"/>
          <w:lang w:val="zh-TW" w:eastAsia="zh-TW" w:bidi="zh-TW"/>
        </w:rPr>
      </w:pPr>
      <w:bookmarkStart w:id="31" w:name="bookmark87"/>
      <w:r>
        <w:rPr>
          <w:rFonts w:hint="eastAsia" w:ascii="仿宋" w:hAnsi="仿宋" w:eastAsia="仿宋" w:cs="仿宋"/>
          <w:color w:val="auto"/>
          <w:sz w:val="22"/>
          <w:highlight w:val="none"/>
          <w:lang w:val="zh-TW" w:eastAsia="zh-TW" w:bidi="zh-TW"/>
        </w:rPr>
        <w:t>2</w:t>
      </w:r>
      <w:bookmarkEnd w:id="31"/>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保证所提供服务的售后服务，严格依据投标文件及相关承诺，对服务以及与之配套的项目进行保修、维护等服务。</w:t>
      </w:r>
    </w:p>
    <w:p>
      <w:pPr>
        <w:tabs>
          <w:tab w:val="left" w:pos="834"/>
          <w:tab w:val="left" w:leader="dot" w:pos="1814"/>
        </w:tabs>
        <w:spacing w:line="400" w:lineRule="exact"/>
        <w:ind w:firstLine="480"/>
        <w:rPr>
          <w:rFonts w:ascii="仿宋" w:hAnsi="仿宋" w:eastAsia="仿宋" w:cs="仿宋"/>
          <w:color w:val="auto"/>
          <w:sz w:val="22"/>
          <w:highlight w:val="none"/>
          <w:lang w:val="zh-TW" w:eastAsia="zh-TW" w:bidi="zh-TW"/>
        </w:rPr>
      </w:pPr>
      <w:bookmarkStart w:id="32" w:name="bookmark88"/>
      <w:r>
        <w:rPr>
          <w:rFonts w:hint="eastAsia" w:ascii="仿宋" w:hAnsi="仿宋" w:eastAsia="仿宋" w:cs="仿宋"/>
          <w:color w:val="auto"/>
          <w:sz w:val="22"/>
          <w:highlight w:val="none"/>
          <w:lang w:val="zh-TW" w:eastAsia="zh-TW" w:bidi="zh-TW"/>
        </w:rPr>
        <w:t>3</w:t>
      </w:r>
      <w:bookmarkEnd w:id="32"/>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保证其所供服务不存在侵犯第三方知识产权的行为，否则由此产生的损失由乙方承担。</w:t>
      </w:r>
      <w:r>
        <w:rPr>
          <w:rFonts w:hint="eastAsia" w:ascii="仿宋" w:hAnsi="仿宋" w:eastAsia="仿宋" w:cs="仿宋"/>
          <w:color w:val="auto"/>
          <w:sz w:val="22"/>
          <w:highlight w:val="none"/>
          <w:lang w:bidi="en-US"/>
        </w:rPr>
        <w:tab/>
      </w:r>
    </w:p>
    <w:p>
      <w:pPr>
        <w:spacing w:line="400"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第十四条违约责任</w:t>
      </w:r>
    </w:p>
    <w:p>
      <w:pPr>
        <w:spacing w:line="400" w:lineRule="exact"/>
        <w:ind w:firstLine="480"/>
        <w:rPr>
          <w:rFonts w:ascii="仿宋" w:hAnsi="仿宋" w:eastAsia="仿宋" w:cs="仿宋"/>
          <w:color w:val="auto"/>
          <w:sz w:val="22"/>
          <w:highlight w:val="none"/>
          <w:lang w:val="zh-TW" w:eastAsia="zh-TW" w:bidi="zh-TW"/>
        </w:rPr>
      </w:pPr>
      <w:bookmarkStart w:id="33" w:name="bookmark89"/>
      <w:r>
        <w:rPr>
          <w:rFonts w:hint="eastAsia" w:ascii="仿宋" w:hAnsi="仿宋" w:eastAsia="仿宋" w:cs="仿宋"/>
          <w:color w:val="auto"/>
          <w:sz w:val="22"/>
          <w:highlight w:val="none"/>
          <w:lang w:val="zh-TW" w:eastAsia="zh-TW" w:bidi="zh-TW"/>
        </w:rPr>
        <w:t>1</w:t>
      </w:r>
      <w:bookmarkEnd w:id="33"/>
      <w:r>
        <w:rPr>
          <w:rFonts w:hint="eastAsia" w:ascii="仿宋" w:hAnsi="仿宋" w:eastAsia="仿宋" w:cs="仿宋"/>
          <w:color w:val="auto"/>
          <w:sz w:val="22"/>
          <w:highlight w:val="none"/>
          <w:lang w:val="zh-TW" w:eastAsia="zh-TW" w:bidi="zh-TW"/>
        </w:rPr>
        <w:t>、乙方所供服务成果及与之配套项目等不符合合同约定标准，甲方有权拒收。 同时，乙方向甲方支付合同总金额</w:t>
      </w:r>
      <w:r>
        <w:rPr>
          <w:rFonts w:hint="eastAsia" w:ascii="仿宋" w:hAnsi="仿宋" w:eastAsia="仿宋" w:cs="仿宋"/>
          <w:color w:val="auto"/>
          <w:sz w:val="22"/>
          <w:highlight w:val="none"/>
          <w:u w:val="single"/>
          <w:lang w:bidi="zh-TW"/>
        </w:rPr>
        <w:t xml:space="preserve">   </w:t>
      </w:r>
      <w:r>
        <w:rPr>
          <w:rFonts w:hint="eastAsia" w:ascii="仿宋" w:hAnsi="仿宋" w:eastAsia="仿宋" w:cs="仿宋"/>
          <w:color w:val="auto"/>
          <w:sz w:val="22"/>
          <w:highlight w:val="none"/>
          <w:lang w:val="zh-TW" w:eastAsia="zh-TW" w:bidi="zh-TW"/>
        </w:rPr>
        <w:t>%的违约金。</w:t>
      </w:r>
    </w:p>
    <w:p>
      <w:pPr>
        <w:tabs>
          <w:tab w:val="left" w:pos="872"/>
        </w:tabs>
        <w:spacing w:line="400" w:lineRule="exact"/>
        <w:ind w:firstLine="480"/>
        <w:rPr>
          <w:rFonts w:ascii="仿宋" w:hAnsi="仿宋" w:eastAsia="仿宋" w:cs="仿宋"/>
          <w:color w:val="auto"/>
          <w:sz w:val="22"/>
          <w:highlight w:val="none"/>
          <w:lang w:val="zh-TW" w:eastAsia="zh-TW" w:bidi="zh-TW"/>
        </w:rPr>
      </w:pPr>
      <w:bookmarkStart w:id="34" w:name="bookmark90"/>
      <w:r>
        <w:rPr>
          <w:rFonts w:hint="eastAsia" w:ascii="仿宋" w:hAnsi="仿宋" w:eastAsia="仿宋" w:cs="仿宋"/>
          <w:color w:val="auto"/>
          <w:sz w:val="22"/>
          <w:highlight w:val="none"/>
          <w:lang w:val="zh-CN" w:bidi="zh-CN"/>
        </w:rPr>
        <w:t>2</w:t>
      </w:r>
      <w:bookmarkEnd w:id="34"/>
      <w:r>
        <w:rPr>
          <w:rFonts w:hint="eastAsia" w:ascii="仿宋" w:hAnsi="仿宋" w:eastAsia="仿宋" w:cs="仿宋"/>
          <w:color w:val="auto"/>
          <w:sz w:val="22"/>
          <w:highlight w:val="none"/>
          <w:lang w:val="zh-CN" w:bidi="zh-CN"/>
        </w:rPr>
        <w:t>、</w:t>
      </w:r>
      <w:r>
        <w:rPr>
          <w:rFonts w:hint="eastAsia" w:ascii="仿宋" w:hAnsi="仿宋" w:eastAsia="仿宋" w:cs="仿宋"/>
          <w:color w:val="auto"/>
          <w:sz w:val="22"/>
          <w:highlight w:val="none"/>
          <w:lang w:val="zh-CN" w:bidi="zh-CN"/>
        </w:rPr>
        <w:tab/>
      </w:r>
      <w:r>
        <w:rPr>
          <w:rFonts w:hint="eastAsia" w:ascii="仿宋" w:hAnsi="仿宋" w:eastAsia="仿宋" w:cs="仿宋"/>
          <w:color w:val="auto"/>
          <w:sz w:val="22"/>
          <w:highlight w:val="none"/>
          <w:lang w:val="zh-TW" w:eastAsia="zh-TW" w:bidi="zh-TW"/>
        </w:rPr>
        <w:t>乙方不能交付服务成果时，乙方向甲方支付合同总金额_%的违约金。</w:t>
      </w:r>
    </w:p>
    <w:p>
      <w:pPr>
        <w:tabs>
          <w:tab w:val="left" w:pos="872"/>
        </w:tabs>
        <w:spacing w:line="400" w:lineRule="exact"/>
        <w:ind w:firstLine="480"/>
        <w:rPr>
          <w:rFonts w:ascii="仿宋" w:hAnsi="仿宋" w:eastAsia="仿宋" w:cs="仿宋"/>
          <w:color w:val="auto"/>
          <w:sz w:val="22"/>
          <w:highlight w:val="none"/>
          <w:lang w:val="zh-TW" w:eastAsia="zh-TW" w:bidi="zh-TW"/>
        </w:rPr>
      </w:pPr>
      <w:bookmarkStart w:id="35" w:name="bookmark91"/>
      <w:r>
        <w:rPr>
          <w:rFonts w:hint="eastAsia" w:ascii="仿宋" w:hAnsi="仿宋" w:eastAsia="仿宋" w:cs="仿宋"/>
          <w:color w:val="auto"/>
          <w:sz w:val="22"/>
          <w:highlight w:val="none"/>
          <w:lang w:val="zh-TW" w:eastAsia="zh-TW" w:bidi="zh-TW"/>
        </w:rPr>
        <w:t>3</w:t>
      </w:r>
      <w:bookmarkEnd w:id="35"/>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乙方逾期交付服务成果时，每逾</w:t>
      </w:r>
      <w:r>
        <w:rPr>
          <w:rFonts w:hint="eastAsia" w:ascii="仿宋" w:hAnsi="仿宋" w:eastAsia="仿宋" w:cs="仿宋"/>
          <w:color w:val="auto"/>
          <w:sz w:val="22"/>
          <w:highlight w:val="none"/>
          <w:lang w:val="zh-CN" w:bidi="zh-CN"/>
        </w:rPr>
        <w:t>—</w:t>
      </w:r>
      <w:r>
        <w:rPr>
          <w:rFonts w:hint="eastAsia" w:ascii="仿宋" w:hAnsi="仿宋" w:eastAsia="仿宋" w:cs="仿宋"/>
          <w:color w:val="auto"/>
          <w:sz w:val="22"/>
          <w:highlight w:val="none"/>
          <w:lang w:val="zh-TW" w:eastAsia="zh-TW" w:bidi="zh-TW"/>
        </w:rPr>
        <w:t>日乙方向甲方支付合同总金额</w:t>
      </w:r>
      <w:r>
        <w:rPr>
          <w:rFonts w:hint="eastAsia" w:ascii="仿宋" w:hAnsi="仿宋" w:eastAsia="仿宋" w:cs="仿宋"/>
          <w:color w:val="auto"/>
          <w:sz w:val="22"/>
          <w:highlight w:val="none"/>
          <w:lang w:bidi="en-US"/>
        </w:rPr>
        <w:t>_%o</w:t>
      </w:r>
      <w:r>
        <w:rPr>
          <w:rFonts w:hint="eastAsia" w:ascii="仿宋" w:hAnsi="仿宋" w:eastAsia="仿宋" w:cs="仿宋"/>
          <w:color w:val="auto"/>
          <w:sz w:val="22"/>
          <w:highlight w:val="none"/>
          <w:lang w:val="zh-TW" w:eastAsia="zh-TW" w:bidi="zh-TW"/>
        </w:rPr>
        <w:t>的滞纳金。逾期交付超过</w:t>
      </w:r>
      <w:r>
        <w:rPr>
          <w:rFonts w:hint="eastAsia" w:ascii="仿宋" w:hAnsi="仿宋" w:eastAsia="仿宋" w:cs="仿宋"/>
          <w:color w:val="auto"/>
          <w:sz w:val="22"/>
          <w:highlight w:val="none"/>
          <w:u w:val="single"/>
          <w:lang w:bidi="zh-TW"/>
        </w:rPr>
        <w:t xml:space="preserve">    </w:t>
      </w:r>
      <w:r>
        <w:rPr>
          <w:rFonts w:hint="eastAsia" w:ascii="仿宋" w:hAnsi="仿宋" w:eastAsia="仿宋" w:cs="仿宋"/>
          <w:color w:val="auto"/>
          <w:sz w:val="22"/>
          <w:highlight w:val="none"/>
          <w:lang w:val="zh-TW" w:eastAsia="zh-TW" w:bidi="zh-TW"/>
        </w:rPr>
        <w:t>,甲方有权决定是否继续履行合同，如甲方决定终止履行合同的，乙方向甲方支付合同总金额</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%的违约金，并且赔偿甲方因此遭受的损失。</w:t>
      </w:r>
    </w:p>
    <w:p>
      <w:pPr>
        <w:numPr>
          <w:ilvl w:val="0"/>
          <w:numId w:val="9"/>
        </w:numPr>
        <w:tabs>
          <w:tab w:val="left" w:pos="867"/>
        </w:tabs>
        <w:spacing w:after="140" w:line="400" w:lineRule="exact"/>
        <w:ind w:firstLine="480"/>
        <w:rPr>
          <w:rFonts w:ascii="仿宋" w:hAnsi="仿宋" w:eastAsia="仿宋" w:cs="仿宋"/>
          <w:color w:val="auto"/>
          <w:sz w:val="22"/>
          <w:highlight w:val="none"/>
          <w:lang w:val="zh-TW" w:eastAsia="zh-TW" w:bidi="zh-TW"/>
        </w:rPr>
      </w:pPr>
      <w:bookmarkStart w:id="36" w:name="bookmark92"/>
      <w:bookmarkEnd w:id="36"/>
      <w:r>
        <w:rPr>
          <w:rFonts w:hint="eastAsia" w:ascii="仿宋" w:hAnsi="仿宋" w:eastAsia="仿宋" w:cs="仿宋"/>
          <w:color w:val="auto"/>
          <w:sz w:val="22"/>
          <w:highlight w:val="none"/>
          <w:lang w:val="zh-TW" w:eastAsia="zh-TW" w:bidi="zh-TW"/>
        </w:rPr>
        <w:t>甲方逾期退还履约保证金的违约责任：采购人延迟退还供应商缴纳的履约保证金的，应当支付逾期利息。双方对逾期利息的利率有约定的，约定利率不得低于合同订立时</w:t>
      </w:r>
      <w:r>
        <w:rPr>
          <w:rFonts w:hint="eastAsia" w:ascii="仿宋" w:hAnsi="仿宋" w:eastAsia="仿宋" w:cs="仿宋"/>
          <w:color w:val="auto"/>
          <w:sz w:val="22"/>
          <w:highlight w:val="none"/>
          <w:lang w:val="zh-CN" w:bidi="zh-CN"/>
        </w:rPr>
        <w:t>—年期</w:t>
      </w:r>
      <w:r>
        <w:rPr>
          <w:rFonts w:hint="eastAsia" w:ascii="仿宋" w:hAnsi="仿宋" w:eastAsia="仿宋" w:cs="仿宋"/>
          <w:color w:val="auto"/>
          <w:sz w:val="22"/>
          <w:highlight w:val="none"/>
          <w:lang w:val="zh-TW" w:eastAsia="zh-TW" w:bidi="zh-TW"/>
        </w:rPr>
        <w:t>贷款市场报价利率；未作约定的，按照每日利率</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支付逾期利息。</w:t>
      </w:r>
    </w:p>
    <w:p>
      <w:pPr>
        <w:numPr>
          <w:ilvl w:val="0"/>
          <w:numId w:val="9"/>
        </w:numPr>
        <w:tabs>
          <w:tab w:val="left" w:pos="843"/>
          <w:tab w:val="left" w:pos="5501"/>
        </w:tabs>
        <w:spacing w:line="382" w:lineRule="auto"/>
        <w:ind w:firstLine="480"/>
        <w:rPr>
          <w:rFonts w:ascii="仿宋" w:hAnsi="仿宋" w:eastAsia="仿宋" w:cs="仿宋"/>
          <w:color w:val="auto"/>
          <w:sz w:val="22"/>
          <w:highlight w:val="none"/>
          <w:lang w:val="zh-TW" w:eastAsia="zh-TW" w:bidi="zh-TW"/>
        </w:rPr>
      </w:pPr>
      <w:bookmarkStart w:id="37" w:name="bookmark93"/>
      <w:bookmarkEnd w:id="37"/>
      <w:r>
        <w:rPr>
          <w:rFonts w:hint="eastAsia" w:ascii="仿宋" w:hAnsi="仿宋" w:eastAsia="仿宋" w:cs="仿宋"/>
          <w:color w:val="auto"/>
          <w:sz w:val="22"/>
          <w:highlight w:val="none"/>
          <w:lang w:val="zh-TW" w:eastAsia="zh-TW" w:bidi="zh-TW"/>
        </w:rPr>
        <w:t>甲方逾期支付资金的违约责任：</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color w:val="auto"/>
          <w:sz w:val="22"/>
          <w:highlight w:val="none"/>
          <w:lang w:val="zh-TW" w:eastAsia="zh-TW" w:bidi="zh-TW"/>
        </w:rPr>
        <w:t>。</w:t>
      </w:r>
    </w:p>
    <w:p>
      <w:pPr>
        <w:numPr>
          <w:ilvl w:val="0"/>
          <w:numId w:val="9"/>
        </w:numPr>
        <w:tabs>
          <w:tab w:val="left" w:pos="823"/>
          <w:tab w:val="left" w:pos="4301"/>
        </w:tabs>
        <w:spacing w:line="402" w:lineRule="exact"/>
        <w:ind w:firstLine="480"/>
        <w:rPr>
          <w:rFonts w:ascii="仿宋" w:hAnsi="仿宋" w:eastAsia="仿宋" w:cs="仿宋"/>
          <w:color w:val="auto"/>
          <w:sz w:val="22"/>
          <w:highlight w:val="none"/>
          <w:lang w:val="zh-TW" w:eastAsia="zh-TW" w:bidi="zh-TW"/>
        </w:rPr>
      </w:pPr>
      <w:bookmarkStart w:id="38" w:name="bookmark94"/>
      <w:bookmarkEnd w:id="38"/>
      <w:r>
        <w:rPr>
          <w:rFonts w:hint="eastAsia" w:ascii="仿宋" w:hAnsi="仿宋" w:eastAsia="仿宋" w:cs="仿宋"/>
          <w:color w:val="auto"/>
          <w:sz w:val="22"/>
          <w:highlight w:val="none"/>
          <w:lang w:val="zh-TW" w:eastAsia="zh-TW" w:bidi="zh-TW"/>
        </w:rPr>
        <w:t>因甲方原因导致变更、中止或者终止政府采购合同的，甲方对供应商受到的损失予以赔偿或者补偿：</w:t>
      </w:r>
      <w:r>
        <w:rPr>
          <w:rFonts w:hint="eastAsia" w:ascii="仿宋" w:hAnsi="仿宋" w:eastAsia="仿宋" w:cs="仿宋"/>
          <w:color w:val="auto"/>
          <w:sz w:val="22"/>
          <w:highlight w:val="none"/>
          <w:u w:val="single"/>
          <w:lang w:val="zh-TW" w:eastAsia="zh-TW" w:bidi="zh-TW"/>
        </w:rPr>
        <w:t xml:space="preserve"> </w:t>
      </w:r>
      <w:r>
        <w:rPr>
          <w:rFonts w:hint="eastAsia" w:ascii="仿宋" w:hAnsi="仿宋" w:eastAsia="仿宋" w:cs="仿宋"/>
          <w:color w:val="auto"/>
          <w:sz w:val="22"/>
          <w:highlight w:val="none"/>
          <w:u w:val="single"/>
          <w:lang w:val="zh-TW" w:eastAsia="zh-TW" w:bidi="zh-TW"/>
        </w:rPr>
        <w:tab/>
      </w:r>
      <w:r>
        <w:rPr>
          <w:rFonts w:hint="eastAsia" w:ascii="仿宋" w:hAnsi="仿宋" w:eastAsia="仿宋" w:cs="仿宋"/>
          <w:i/>
          <w:iCs/>
          <w:color w:val="auto"/>
          <w:sz w:val="22"/>
          <w:highlight w:val="none"/>
          <w:lang w:val="zh-TW" w:eastAsia="zh-TW" w:bidi="zh-TW"/>
        </w:rPr>
        <w:t>。</w:t>
      </w:r>
    </w:p>
    <w:p>
      <w:pPr>
        <w:tabs>
          <w:tab w:val="left" w:pos="872"/>
          <w:tab w:val="left" w:leader="dot" w:pos="6302"/>
        </w:tabs>
        <w:spacing w:line="402" w:lineRule="exact"/>
        <w:ind w:firstLine="480"/>
        <w:rPr>
          <w:rFonts w:ascii="仿宋" w:hAnsi="仿宋" w:eastAsia="仿宋" w:cs="仿宋"/>
          <w:color w:val="auto"/>
          <w:sz w:val="22"/>
          <w:highlight w:val="none"/>
          <w:lang w:val="zh-TW" w:eastAsia="zh-TW" w:bidi="zh-TW"/>
        </w:rPr>
      </w:pPr>
      <w:bookmarkStart w:id="39" w:name="bookmark95"/>
      <w:r>
        <w:rPr>
          <w:rFonts w:hint="eastAsia" w:ascii="仿宋" w:hAnsi="仿宋" w:eastAsia="仿宋" w:cs="仿宋"/>
          <w:color w:val="auto"/>
          <w:sz w:val="22"/>
          <w:highlight w:val="none"/>
          <w:lang w:val="zh-TW" w:eastAsia="zh-TW" w:bidi="zh-TW"/>
        </w:rPr>
        <w:t>7</w:t>
      </w:r>
      <w:bookmarkEnd w:id="39"/>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因甲方过错而给乙方造成的损失，由甲方负担。</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第十五条不可抗力</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第十六条保密</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spacing w:line="402" w:lineRule="exact"/>
        <w:ind w:left="457" w:leftChars="198" w:hanging="41" w:hangingChars="19"/>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 xml:space="preserve">乙方违反本合同所规定的保密义务，应按照本合同总金额的_%支付违约金。 </w:t>
      </w:r>
    </w:p>
    <w:p>
      <w:pPr>
        <w:spacing w:line="402" w:lineRule="exact"/>
        <w:ind w:left="458" w:leftChars="94" w:hanging="261" w:hangingChars="119"/>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第十七条争议解决</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甲乙双方在合同履行中发生争议，应通过协商解决。如协商不成，可以向合同签订地法院提起诉讼。</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第十八条合同生效及其他</w:t>
      </w:r>
    </w:p>
    <w:p>
      <w:pPr>
        <w:tabs>
          <w:tab w:val="left" w:pos="862"/>
        </w:tabs>
        <w:spacing w:line="402" w:lineRule="exact"/>
        <w:ind w:firstLine="480"/>
        <w:rPr>
          <w:rFonts w:ascii="仿宋" w:hAnsi="仿宋" w:eastAsia="仿宋" w:cs="仿宋"/>
          <w:color w:val="auto"/>
          <w:sz w:val="22"/>
          <w:highlight w:val="none"/>
          <w:lang w:val="zh-TW" w:eastAsia="zh-TW" w:bidi="zh-TW"/>
        </w:rPr>
      </w:pPr>
      <w:bookmarkStart w:id="40" w:name="bookmark96"/>
      <w:r>
        <w:rPr>
          <w:rFonts w:hint="eastAsia" w:ascii="仿宋" w:hAnsi="仿宋" w:eastAsia="仿宋" w:cs="仿宋"/>
          <w:color w:val="auto"/>
          <w:sz w:val="22"/>
          <w:highlight w:val="none"/>
          <w:lang w:val="zh-TW" w:eastAsia="zh-TW" w:bidi="zh-TW"/>
        </w:rPr>
        <w:t>1</w:t>
      </w:r>
      <w:bookmarkEnd w:id="40"/>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除招标文件规定且甲方事先书面同意外，乙方不得部分或者全部转让、分包履行其应履行的合同项下的义务。</w:t>
      </w:r>
    </w:p>
    <w:p>
      <w:pPr>
        <w:tabs>
          <w:tab w:val="left" w:pos="877"/>
        </w:tabs>
        <w:spacing w:line="402" w:lineRule="exact"/>
        <w:ind w:firstLine="480"/>
        <w:rPr>
          <w:rFonts w:ascii="仿宋" w:hAnsi="仿宋" w:eastAsia="仿宋" w:cs="仿宋"/>
          <w:color w:val="auto"/>
          <w:sz w:val="22"/>
          <w:highlight w:val="none"/>
          <w:lang w:val="zh-TW" w:eastAsia="zh-TW" w:bidi="zh-TW"/>
        </w:rPr>
      </w:pPr>
      <w:bookmarkStart w:id="41" w:name="bookmark97"/>
      <w:r>
        <w:rPr>
          <w:rFonts w:hint="eastAsia" w:ascii="仿宋" w:hAnsi="仿宋" w:eastAsia="仿宋" w:cs="仿宋"/>
          <w:color w:val="auto"/>
          <w:sz w:val="22"/>
          <w:highlight w:val="none"/>
          <w:lang w:val="zh-TW" w:eastAsia="zh-TW" w:bidi="zh-TW"/>
        </w:rPr>
        <w:t>2</w:t>
      </w:r>
      <w:bookmarkEnd w:id="41"/>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合同由甲、乙双方法定代表人（或者被授权代表）签字并加盖单位公章。</w:t>
      </w:r>
    </w:p>
    <w:p>
      <w:pPr>
        <w:tabs>
          <w:tab w:val="left" w:pos="877"/>
          <w:tab w:val="left" w:leader="dot" w:pos="5578"/>
        </w:tabs>
        <w:spacing w:line="402" w:lineRule="exact"/>
        <w:ind w:firstLine="480"/>
        <w:rPr>
          <w:rFonts w:ascii="仿宋" w:hAnsi="仿宋" w:eastAsia="仿宋" w:cs="仿宋"/>
          <w:color w:val="auto"/>
          <w:sz w:val="22"/>
          <w:highlight w:val="none"/>
          <w:lang w:val="zh-TW" w:eastAsia="zh-TW" w:bidi="zh-TW"/>
        </w:rPr>
      </w:pPr>
      <w:bookmarkStart w:id="42" w:name="bookmark98"/>
      <w:r>
        <w:rPr>
          <w:rFonts w:hint="eastAsia" w:ascii="仿宋" w:hAnsi="仿宋" w:eastAsia="仿宋" w:cs="仿宋"/>
          <w:color w:val="auto"/>
          <w:sz w:val="22"/>
          <w:highlight w:val="none"/>
          <w:lang w:val="zh-TW" w:eastAsia="zh-TW" w:bidi="zh-TW"/>
        </w:rPr>
        <w:t>3</w:t>
      </w:r>
      <w:bookmarkEnd w:id="42"/>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本合同一式</w:t>
      </w:r>
      <w:r>
        <w:rPr>
          <w:rFonts w:hint="eastAsia" w:ascii="仿宋" w:hAnsi="仿宋" w:eastAsia="仿宋" w:cs="仿宋"/>
          <w:color w:val="auto"/>
          <w:sz w:val="22"/>
          <w:highlight w:val="none"/>
          <w:lang w:val="zh-CN" w:eastAsia="zh-TW" w:bidi="zh-CN"/>
        </w:rPr>
        <w:t>—份，</w:t>
      </w:r>
      <w:r>
        <w:rPr>
          <w:rFonts w:hint="eastAsia" w:ascii="仿宋" w:hAnsi="仿宋" w:eastAsia="仿宋" w:cs="仿宋"/>
          <w:color w:val="auto"/>
          <w:sz w:val="22"/>
          <w:highlight w:val="none"/>
          <w:lang w:val="zh-TW" w:eastAsia="zh-TW" w:bidi="zh-TW"/>
        </w:rPr>
        <w:t>甲方</w:t>
      </w:r>
      <w:r>
        <w:rPr>
          <w:rFonts w:hint="eastAsia" w:ascii="仿宋" w:hAnsi="仿宋" w:eastAsia="仿宋" w:cs="仿宋"/>
          <w:color w:val="auto"/>
          <w:sz w:val="22"/>
          <w:highlight w:val="none"/>
          <w:lang w:val="zh-CN" w:eastAsia="zh-TW" w:bidi="zh-CN"/>
        </w:rPr>
        <w:t>—份，</w:t>
      </w:r>
      <w:r>
        <w:rPr>
          <w:rFonts w:hint="eastAsia" w:ascii="仿宋" w:hAnsi="仿宋" w:eastAsia="仿宋" w:cs="仿宋"/>
          <w:color w:val="auto"/>
          <w:sz w:val="22"/>
          <w:highlight w:val="none"/>
          <w:lang w:val="zh-TW" w:eastAsia="zh-TW" w:bidi="zh-TW"/>
        </w:rPr>
        <w:t>乙方</w:t>
      </w:r>
      <w:r>
        <w:rPr>
          <w:rFonts w:hint="eastAsia" w:ascii="仿宋" w:hAnsi="仿宋" w:eastAsia="仿宋" w:cs="仿宋"/>
          <w:color w:val="auto"/>
          <w:sz w:val="22"/>
          <w:highlight w:val="none"/>
          <w:lang w:val="zh-CN" w:eastAsia="zh-TW" w:bidi="zh-CN"/>
        </w:rPr>
        <w:t>—份。</w:t>
      </w:r>
    </w:p>
    <w:p>
      <w:pPr>
        <w:spacing w:line="402" w:lineRule="exact"/>
        <w:ind w:firstLine="4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第十九条服务期限</w:t>
      </w:r>
    </w:p>
    <w:p>
      <w:pPr>
        <w:spacing w:line="402" w:lineRule="exact"/>
        <w:ind w:firstLine="480"/>
        <w:rPr>
          <w:rFonts w:ascii="仿宋" w:hAnsi="仿宋" w:eastAsia="仿宋" w:cs="仿宋"/>
          <w:color w:val="auto"/>
          <w:highlight w:val="none"/>
        </w:rPr>
        <w:sectPr>
          <w:footerReference r:id="rId5" w:type="default"/>
          <w:footerReference r:id="rId6" w:type="even"/>
          <w:type w:val="continuous"/>
          <w:pgSz w:w="11900" w:h="16840"/>
          <w:pgMar w:top="1559" w:right="1680" w:bottom="1358" w:left="1709" w:header="1131" w:footer="1111" w:gutter="0"/>
          <w:cols w:space="720" w:num="1"/>
          <w:docGrid w:linePitch="360" w:charSpace="0"/>
        </w:sectPr>
      </w:pPr>
      <w:r>
        <w:rPr>
          <w:rFonts w:hint="eastAsia" w:ascii="仿宋" w:hAnsi="仿宋" w:eastAsia="仿宋" w:cs="仿宋"/>
          <w:color w:val="auto"/>
          <w:sz w:val="22"/>
          <w:highlight w:val="none"/>
          <w:lang w:val="zh-TW" w:eastAsia="zh-TW" w:bidi="zh-TW"/>
        </w:rPr>
        <w:t>本合同服务期限为</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CN" w:bidi="zh-CN"/>
        </w:rPr>
        <w:t>年；</w:t>
      </w:r>
      <w:r>
        <w:rPr>
          <w:rFonts w:hint="eastAsia" w:ascii="仿宋" w:hAnsi="仿宋" w:eastAsia="仿宋" w:cs="仿宋"/>
          <w:color w:val="auto"/>
          <w:sz w:val="22"/>
          <w:highlight w:val="none"/>
          <w:lang w:val="zh-TW" w:eastAsia="zh-TW" w:bidi="zh-TW"/>
        </w:rPr>
        <w:t>服务期限自</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年</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月</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日起至</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年</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月</w:t>
      </w:r>
      <w:r>
        <w:rPr>
          <w:rFonts w:hint="eastAsia" w:ascii="仿宋" w:hAnsi="仿宋" w:eastAsia="仿宋" w:cs="仿宋"/>
          <w:color w:val="auto"/>
          <w:sz w:val="22"/>
          <w:highlight w:val="none"/>
          <w:u w:val="single"/>
          <w:lang w:bidi="zh-CN"/>
        </w:rPr>
        <w:t xml:space="preserve">  </w:t>
      </w:r>
      <w:r>
        <w:rPr>
          <w:rFonts w:hint="eastAsia" w:ascii="仿宋" w:hAnsi="仿宋" w:eastAsia="仿宋" w:cs="仿宋"/>
          <w:color w:val="auto"/>
          <w:sz w:val="22"/>
          <w:highlight w:val="none"/>
          <w:lang w:val="zh-TW" w:eastAsia="zh-TW" w:bidi="zh-TW"/>
        </w:rPr>
        <w:t>日止。本合同期限届满，如需续签，根据《政府采购目录》有关规定，经财政部门批准，双方可以根据法律及各项规定另行签订书面合同。</w:t>
      </w:r>
    </w:p>
    <w:p>
      <w:pPr>
        <w:spacing w:line="399" w:lineRule="exact"/>
        <w:ind w:firstLine="46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第二十条政府采购合同融资</w:t>
      </w:r>
    </w:p>
    <w:p>
      <w:pPr>
        <w:numPr>
          <w:ilvl w:val="0"/>
          <w:numId w:val="10"/>
        </w:numPr>
        <w:tabs>
          <w:tab w:val="left" w:pos="791"/>
        </w:tabs>
        <w:spacing w:line="399" w:lineRule="exact"/>
        <w:ind w:firstLine="460"/>
        <w:rPr>
          <w:rFonts w:ascii="仿宋" w:hAnsi="仿宋" w:eastAsia="仿宋" w:cs="仿宋"/>
          <w:color w:val="auto"/>
          <w:sz w:val="22"/>
          <w:highlight w:val="none"/>
          <w:lang w:val="zh-TW" w:eastAsia="zh-TW" w:bidi="zh-TW"/>
        </w:rPr>
      </w:pPr>
      <w:bookmarkStart w:id="43" w:name="bookmark99"/>
      <w:bookmarkEnd w:id="43"/>
      <w:r>
        <w:rPr>
          <w:rFonts w:hint="eastAsia" w:ascii="仿宋" w:hAnsi="仿宋" w:eastAsia="仿宋" w:cs="仿宋"/>
          <w:color w:val="auto"/>
          <w:sz w:val="22"/>
          <w:highlight w:val="none"/>
          <w:lang w:val="zh-TW" w:eastAsia="zh-TW" w:bidi="zh-TW"/>
        </w:rPr>
        <w:t>政府采购合同签订前开展融资业务的。中标（成交）供应商持政府采购中标（成交）通知书提前与金融机构进行合同融资商洽，双方达成融资意向后，中标（成交）供应商与</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人签订政府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合同，合同中供应商的银行账户要与合同融资的回款账户一致。中标（成交）供应商和贷款金融机构要及时将政府采购合同作为融资质押的信息告知</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人。采购人要从严加强合同付款账户管理，未经贷款银行同意，不随意更改合同付款账户。</w:t>
      </w:r>
    </w:p>
    <w:p>
      <w:pPr>
        <w:numPr>
          <w:ilvl w:val="0"/>
          <w:numId w:val="10"/>
        </w:numPr>
        <w:tabs>
          <w:tab w:val="left" w:pos="800"/>
        </w:tabs>
        <w:spacing w:line="399" w:lineRule="exact"/>
        <w:ind w:firstLine="460"/>
        <w:rPr>
          <w:rFonts w:ascii="仿宋" w:hAnsi="仿宋" w:eastAsia="仿宋" w:cs="仿宋"/>
          <w:color w:val="auto"/>
          <w:sz w:val="22"/>
          <w:highlight w:val="none"/>
          <w:lang w:val="zh-TW" w:eastAsia="zh-TW" w:bidi="zh-TW"/>
        </w:rPr>
      </w:pPr>
      <w:bookmarkStart w:id="44" w:name="bookmark100"/>
      <w:bookmarkEnd w:id="44"/>
      <w:r>
        <w:rPr>
          <w:rFonts w:hint="eastAsia" w:ascii="仿宋" w:hAnsi="仿宋" w:eastAsia="仿宋" w:cs="仿宋"/>
          <w:color w:val="auto"/>
          <w:sz w:val="22"/>
          <w:highlight w:val="none"/>
          <w:lang w:val="zh-TW" w:eastAsia="zh-TW" w:bidi="zh-TW"/>
        </w:rPr>
        <w:t>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合同签订后开展融资的账户管理。在合同履约期间，中标（成交） 供应商持已签订的政府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合同向金融机构申请合同融资，可能出现政府采购合同中供应商收款的银行账户与拟贷款银行回款账户不一致的情形。为支持供应商通过政府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合同成功获得银行贷款，采购人应积极协助供应商及时变更政府</w:t>
      </w:r>
      <w:r>
        <w:rPr>
          <w:rFonts w:hint="eastAsia" w:ascii="仿宋" w:hAnsi="仿宋" w:eastAsia="仿宋" w:cs="仿宋"/>
          <w:color w:val="auto"/>
          <w:sz w:val="22"/>
          <w:highlight w:val="none"/>
          <w:lang w:val="zh-TW" w:bidi="zh-TW"/>
        </w:rPr>
        <w:t>采</w:t>
      </w:r>
      <w:r>
        <w:rPr>
          <w:rFonts w:hint="eastAsia" w:ascii="仿宋" w:hAnsi="仿宋" w:eastAsia="仿宋" w:cs="仿宋"/>
          <w:color w:val="auto"/>
          <w:sz w:val="22"/>
          <w:highlight w:val="none"/>
          <w:lang w:val="zh-TW" w:eastAsia="zh-TW" w:bidi="zh-TW"/>
        </w:rPr>
        <w:t>购合同中的供应商收款银行账户，保障供应商收款的银行账户与拟贷款银行回款账户一致。</w:t>
      </w:r>
    </w:p>
    <w:p>
      <w:pPr>
        <w:numPr>
          <w:ilvl w:val="0"/>
          <w:numId w:val="10"/>
        </w:numPr>
        <w:tabs>
          <w:tab w:val="left" w:pos="800"/>
        </w:tabs>
        <w:spacing w:line="399" w:lineRule="exact"/>
        <w:ind w:firstLine="460"/>
        <w:rPr>
          <w:rFonts w:ascii="仿宋" w:hAnsi="仿宋" w:eastAsia="仿宋" w:cs="仿宋"/>
          <w:color w:val="auto"/>
          <w:sz w:val="22"/>
          <w:highlight w:val="none"/>
          <w:lang w:val="zh-TW" w:eastAsia="zh-TW" w:bidi="zh-TW"/>
        </w:rPr>
      </w:pPr>
      <w:bookmarkStart w:id="45" w:name="bookmark101"/>
      <w:bookmarkEnd w:id="45"/>
      <w:r>
        <w:rPr>
          <w:rFonts w:hint="eastAsia" w:ascii="仿宋" w:hAnsi="仿宋" w:eastAsia="仿宋" w:cs="仿宋"/>
          <w:color w:val="auto"/>
          <w:sz w:val="22"/>
          <w:highlight w:val="none"/>
          <w:lang w:val="zh-TW" w:eastAsia="zh-TW" w:bidi="zh-TW"/>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399" w:lineRule="exact"/>
        <w:ind w:firstLine="46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第二十一条下列文件为本合同不可分割部分</w:t>
      </w:r>
    </w:p>
    <w:p>
      <w:pPr>
        <w:tabs>
          <w:tab w:val="left" w:pos="814"/>
        </w:tabs>
        <w:spacing w:after="120" w:line="399" w:lineRule="exact"/>
        <w:ind w:firstLine="460"/>
        <w:rPr>
          <w:rFonts w:ascii="仿宋" w:hAnsi="仿宋" w:eastAsia="仿宋" w:cs="仿宋"/>
          <w:color w:val="auto"/>
          <w:sz w:val="22"/>
          <w:highlight w:val="none"/>
          <w:lang w:val="zh-TW" w:eastAsia="zh-TW" w:bidi="zh-TW"/>
        </w:rPr>
      </w:pPr>
      <w:bookmarkStart w:id="46" w:name="bookmark102"/>
      <w:r>
        <w:rPr>
          <w:rFonts w:hint="eastAsia" w:ascii="仿宋" w:hAnsi="仿宋" w:eastAsia="仿宋" w:cs="仿宋"/>
          <w:color w:val="auto"/>
          <w:sz w:val="22"/>
          <w:highlight w:val="none"/>
          <w:lang w:val="zh-TW" w:eastAsia="zh-TW" w:bidi="zh-TW"/>
        </w:rPr>
        <w:t>1</w:t>
      </w:r>
      <w:bookmarkEnd w:id="46"/>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招标文件（包括澄清、修改）；</w:t>
      </w:r>
    </w:p>
    <w:p>
      <w:pPr>
        <w:tabs>
          <w:tab w:val="left" w:pos="828"/>
        </w:tabs>
        <w:spacing w:line="379" w:lineRule="auto"/>
        <w:ind w:firstLine="460"/>
        <w:rPr>
          <w:rFonts w:ascii="仿宋" w:hAnsi="仿宋" w:eastAsia="仿宋" w:cs="仿宋"/>
          <w:color w:val="auto"/>
          <w:sz w:val="22"/>
          <w:highlight w:val="none"/>
          <w:lang w:val="zh-TW" w:eastAsia="zh-TW" w:bidi="zh-TW"/>
        </w:rPr>
      </w:pPr>
      <w:bookmarkStart w:id="47" w:name="bookmark103"/>
      <w:r>
        <w:rPr>
          <w:rFonts w:hint="eastAsia" w:ascii="仿宋" w:hAnsi="仿宋" w:eastAsia="仿宋" w:cs="仿宋"/>
          <w:color w:val="auto"/>
          <w:sz w:val="22"/>
          <w:highlight w:val="none"/>
          <w:lang w:val="zh-TW" w:eastAsia="zh-TW" w:bidi="zh-TW"/>
        </w:rPr>
        <w:t>2</w:t>
      </w:r>
      <w:bookmarkEnd w:id="47"/>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乙方投标文件；</w:t>
      </w:r>
    </w:p>
    <w:p>
      <w:pPr>
        <w:tabs>
          <w:tab w:val="left" w:pos="828"/>
        </w:tabs>
        <w:spacing w:line="399" w:lineRule="exact"/>
        <w:ind w:firstLine="460"/>
        <w:rPr>
          <w:rFonts w:ascii="仿宋" w:hAnsi="仿宋" w:eastAsia="仿宋" w:cs="仿宋"/>
          <w:color w:val="auto"/>
          <w:sz w:val="22"/>
          <w:highlight w:val="none"/>
          <w:lang w:val="zh-TW" w:eastAsia="zh-TW" w:bidi="zh-TW"/>
        </w:rPr>
      </w:pPr>
      <w:bookmarkStart w:id="48" w:name="bookmark104"/>
      <w:r>
        <w:rPr>
          <w:rFonts w:hint="eastAsia" w:ascii="仿宋" w:hAnsi="仿宋" w:eastAsia="仿宋" w:cs="仿宋"/>
          <w:color w:val="auto"/>
          <w:sz w:val="22"/>
          <w:highlight w:val="none"/>
          <w:lang w:val="zh-TW" w:eastAsia="zh-TW" w:bidi="zh-TW"/>
        </w:rPr>
        <w:t>3</w:t>
      </w:r>
      <w:bookmarkEnd w:id="48"/>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中标（成交）通知书；</w:t>
      </w:r>
    </w:p>
    <w:p>
      <w:pPr>
        <w:tabs>
          <w:tab w:val="left" w:pos="833"/>
        </w:tabs>
        <w:spacing w:line="399" w:lineRule="exact"/>
        <w:ind w:firstLine="460"/>
        <w:rPr>
          <w:rFonts w:ascii="仿宋" w:hAnsi="仿宋" w:eastAsia="仿宋" w:cs="仿宋"/>
          <w:color w:val="auto"/>
          <w:sz w:val="22"/>
          <w:highlight w:val="none"/>
          <w:lang w:val="zh-TW" w:eastAsia="zh-TW" w:bidi="zh-TW"/>
        </w:rPr>
      </w:pPr>
      <w:bookmarkStart w:id="49" w:name="bookmark105"/>
      <w:r>
        <w:rPr>
          <w:rFonts w:hint="eastAsia" w:ascii="仿宋" w:hAnsi="仿宋" w:eastAsia="仿宋" w:cs="仿宋"/>
          <w:color w:val="auto"/>
          <w:sz w:val="22"/>
          <w:highlight w:val="none"/>
          <w:lang w:val="zh-TW" w:eastAsia="zh-TW" w:bidi="zh-TW"/>
        </w:rPr>
        <w:t>4</w:t>
      </w:r>
      <w:bookmarkEnd w:id="49"/>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中标人在评标过程中做出的有关澄清、说明、承诺或者补正文件；</w:t>
      </w:r>
    </w:p>
    <w:p>
      <w:pPr>
        <w:tabs>
          <w:tab w:val="left" w:pos="833"/>
        </w:tabs>
        <w:spacing w:line="399" w:lineRule="exact"/>
        <w:ind w:firstLine="460"/>
        <w:rPr>
          <w:rFonts w:ascii="仿宋" w:hAnsi="仿宋" w:eastAsia="仿宋" w:cs="仿宋"/>
          <w:color w:val="auto"/>
          <w:highlight w:val="none"/>
        </w:rPr>
        <w:sectPr>
          <w:footerReference r:id="rId7" w:type="default"/>
          <w:footerReference r:id="rId8" w:type="even"/>
          <w:type w:val="continuous"/>
          <w:pgSz w:w="11900" w:h="16840"/>
          <w:pgMar w:top="1559" w:right="1680" w:bottom="1358" w:left="1709" w:header="1131" w:footer="1128" w:gutter="0"/>
          <w:cols w:space="720" w:num="1"/>
          <w:docGrid w:linePitch="360" w:charSpace="0"/>
        </w:sectPr>
      </w:pPr>
      <w:bookmarkStart w:id="50" w:name="bookmark106"/>
      <w:r>
        <w:rPr>
          <w:rFonts w:hint="eastAsia" w:ascii="仿宋" w:hAnsi="仿宋" w:eastAsia="仿宋" w:cs="仿宋"/>
          <w:color w:val="auto"/>
          <w:sz w:val="22"/>
          <w:highlight w:val="none"/>
          <w:lang w:val="zh-TW" w:eastAsia="zh-TW" w:bidi="zh-TW"/>
        </w:rPr>
        <w:t>5</w:t>
      </w:r>
      <w:bookmarkEnd w:id="50"/>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政府</w:t>
      </w:r>
      <w:r>
        <w:rPr>
          <w:rFonts w:hint="eastAsia" w:ascii="仿宋" w:hAnsi="仿宋" w:eastAsia="仿宋" w:cs="仿宋"/>
          <w:color w:val="auto"/>
          <w:sz w:val="22"/>
          <w:highlight w:val="none"/>
          <w:lang w:val="zh-TW" w:bidi="zh-TW"/>
        </w:rPr>
        <w:t>采购</w:t>
      </w:r>
      <w:r>
        <w:rPr>
          <w:rFonts w:hint="eastAsia" w:ascii="仿宋" w:hAnsi="仿宋" w:eastAsia="仿宋" w:cs="仿宋"/>
          <w:color w:val="auto"/>
          <w:sz w:val="22"/>
          <w:highlight w:val="none"/>
          <w:lang w:val="zh-TW" w:eastAsia="zh-TW" w:bidi="zh-TW"/>
        </w:rPr>
        <w:t>委托协议书。</w:t>
      </w:r>
    </w:p>
    <w:p>
      <w:pPr>
        <w:spacing w:before="75" w:after="75" w:line="240" w:lineRule="exact"/>
        <w:rPr>
          <w:rFonts w:ascii="仿宋" w:hAnsi="仿宋" w:eastAsia="仿宋" w:cs="仿宋"/>
          <w:color w:val="auto"/>
          <w:sz w:val="19"/>
          <w:szCs w:val="19"/>
          <w:highlight w:val="none"/>
        </w:rPr>
      </w:pPr>
    </w:p>
    <w:p>
      <w:pPr>
        <w:spacing w:line="1" w:lineRule="exact"/>
        <w:rPr>
          <w:rFonts w:ascii="仿宋" w:hAnsi="仿宋" w:eastAsia="仿宋" w:cs="仿宋"/>
          <w:color w:val="auto"/>
          <w:highlight w:val="none"/>
        </w:rPr>
        <w:sectPr>
          <w:type w:val="continuous"/>
          <w:pgSz w:w="11900" w:h="16840"/>
          <w:pgMar w:top="1734" w:right="0" w:bottom="1734" w:left="0" w:header="0" w:footer="3" w:gutter="0"/>
          <w:cols w:space="720" w:num="1"/>
          <w:docGrid w:linePitch="360" w:charSpace="0"/>
        </w:sectPr>
      </w:pP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甲 方：</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单位名称（公章）：</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法定代表人（被授权代表）签字:</w:t>
      </w:r>
    </w:p>
    <w:p>
      <w:pPr>
        <w:spacing w:after="5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电 话：</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年 月 日</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乙 方：</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单位名称（公章）：</w:t>
      </w:r>
    </w:p>
    <w:p>
      <w:pPr>
        <w:spacing w:after="1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法定代表人（被授权代表）签字:</w:t>
      </w:r>
    </w:p>
    <w:p>
      <w:pPr>
        <w:spacing w:after="54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电 话：</w:t>
      </w:r>
    </w:p>
    <w:p>
      <w:pPr>
        <w:spacing w:after="140"/>
        <w:jc w:val="left"/>
        <w:rPr>
          <w:rFonts w:ascii="仿宋" w:hAnsi="仿宋" w:eastAsia="仿宋" w:cs="仿宋"/>
          <w:color w:val="auto"/>
          <w:sz w:val="2"/>
          <w:szCs w:val="2"/>
          <w:highlight w:val="none"/>
        </w:rPr>
        <w:sectPr>
          <w:type w:val="continuous"/>
          <w:pgSz w:w="11900" w:h="16840"/>
          <w:pgMar w:top="1734" w:right="1791" w:bottom="1734" w:left="2189" w:header="0" w:footer="3" w:gutter="0"/>
          <w:cols w:space="1171" w:num="2"/>
          <w:docGrid w:linePitch="360" w:charSpace="0"/>
        </w:sectPr>
      </w:pPr>
      <w:r>
        <w:rPr>
          <w:rFonts w:hint="eastAsia" w:ascii="仿宋" w:hAnsi="仿宋" w:eastAsia="仿宋" w:cs="仿宋"/>
          <w:color w:val="auto"/>
          <w:sz w:val="22"/>
          <w:highlight w:val="none"/>
          <w:lang w:val="zh-TW" w:eastAsia="zh-TW" w:bidi="zh-TW"/>
        </w:rPr>
        <w:t>年 月 日</w:t>
      </w:r>
    </w:p>
    <w:p>
      <w:pPr>
        <w:tabs>
          <w:tab w:val="left" w:pos="1260"/>
        </w:tabs>
        <w:autoSpaceDE w:val="0"/>
        <w:autoSpaceDN w:val="0"/>
        <w:adjustRightInd w:val="0"/>
        <w:spacing w:line="360" w:lineRule="auto"/>
        <w:contextualSpacing/>
        <w:jc w:val="center"/>
        <w:outlineLvl w:val="0"/>
        <w:rPr>
          <w:rFonts w:ascii="宋体" w:hAnsi="宋体"/>
          <w:b/>
          <w:color w:val="auto"/>
          <w:kern w:val="0"/>
          <w:sz w:val="32"/>
          <w:szCs w:val="32"/>
          <w:highlight w:val="none"/>
        </w:rPr>
      </w:pPr>
      <w:r>
        <w:rPr>
          <w:rFonts w:hint="eastAsia" w:ascii="宋体" w:hAnsi="宋体"/>
          <w:b/>
          <w:color w:val="auto"/>
          <w:kern w:val="0"/>
          <w:sz w:val="32"/>
          <w:szCs w:val="32"/>
          <w:highlight w:val="none"/>
        </w:rPr>
        <w:t>第八章 投标文件有关格式</w:t>
      </w:r>
    </w:p>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注：</w:t>
      </w:r>
    </w:p>
    <w:p>
      <w:pPr>
        <w:spacing w:line="480" w:lineRule="exact"/>
        <w:ind w:firstLine="424" w:firstLineChars="192"/>
        <w:rPr>
          <w:rFonts w:ascii="宋体" w:hAnsi="宋体" w:cs="黑体"/>
          <w:b/>
          <w:color w:val="auto"/>
          <w:kern w:val="0"/>
          <w:sz w:val="22"/>
          <w:highlight w:val="none"/>
        </w:rPr>
      </w:pPr>
      <w:r>
        <w:rPr>
          <w:rFonts w:hint="eastAsia" w:ascii="宋体" w:hAnsi="宋体" w:cs="黑体"/>
          <w:b/>
          <w:color w:val="auto"/>
          <w:kern w:val="0"/>
          <w:sz w:val="22"/>
          <w:highlight w:val="none"/>
        </w:rPr>
        <w:t>1.以下的响应文件格式为通用的格式，供应商在制作响应文件时应以</w:t>
      </w:r>
      <w:r>
        <w:rPr>
          <w:rFonts w:hint="eastAsia" w:ascii="宋体" w:hAnsi="宋体" w:cs="黑体"/>
          <w:b/>
          <w:color w:val="auto"/>
          <w:kern w:val="0"/>
          <w:sz w:val="22"/>
          <w:highlight w:val="none"/>
          <w:lang w:val="en-US" w:eastAsia="zh-CN"/>
        </w:rPr>
        <w:t>招标</w:t>
      </w:r>
      <w:r>
        <w:rPr>
          <w:rFonts w:hint="eastAsia" w:ascii="宋体" w:hAnsi="宋体" w:cs="黑体"/>
          <w:b/>
          <w:color w:val="auto"/>
          <w:kern w:val="0"/>
          <w:sz w:val="22"/>
          <w:highlight w:val="none"/>
        </w:rPr>
        <w:t>文件内容要求为准，选择相应的响应文件格式。</w:t>
      </w:r>
    </w:p>
    <w:p>
      <w:pPr>
        <w:spacing w:line="480" w:lineRule="exact"/>
        <w:ind w:firstLine="424" w:firstLineChars="192"/>
        <w:rPr>
          <w:color w:val="auto"/>
          <w:sz w:val="18"/>
          <w:szCs w:val="20"/>
          <w:highlight w:val="none"/>
        </w:rPr>
      </w:pPr>
      <w:r>
        <w:rPr>
          <w:rFonts w:hint="eastAsia" w:ascii="宋体" w:hAnsi="宋体" w:cs="黑体"/>
          <w:b/>
          <w:color w:val="auto"/>
          <w:kern w:val="0"/>
          <w:sz w:val="22"/>
          <w:highlight w:val="none"/>
        </w:rPr>
        <w:t>2.没有给定格式的，供应商可以自行设计。</w:t>
      </w:r>
    </w:p>
    <w:p>
      <w:pPr>
        <w:pStyle w:val="2"/>
        <w:jc w:val="center"/>
        <w:rPr>
          <w:rFonts w:ascii="宋体" w:hAnsi="宋体"/>
          <w:color w:val="auto"/>
          <w:sz w:val="28"/>
          <w:szCs w:val="28"/>
          <w:highlight w:val="none"/>
          <w:u w:val="single"/>
        </w:rPr>
      </w:pPr>
    </w:p>
    <w:p>
      <w:pPr>
        <w:spacing w:line="480" w:lineRule="auto"/>
        <w:jc w:val="center"/>
        <w:rPr>
          <w:rFonts w:ascii="宋体" w:hAnsi="宋体"/>
          <w:color w:val="auto"/>
          <w:sz w:val="24"/>
          <w:highlight w:val="none"/>
        </w:rPr>
      </w:pPr>
      <w:r>
        <w:rPr>
          <w:rFonts w:hint="eastAsia" w:ascii="宋体" w:hAnsi="宋体"/>
          <w:color w:val="auto"/>
          <w:sz w:val="36"/>
          <w:szCs w:val="36"/>
          <w:highlight w:val="none"/>
          <w:u w:val="single"/>
        </w:rPr>
        <w:t xml:space="preserve">                        （项目名称）</w:t>
      </w:r>
    </w:p>
    <w:p>
      <w:pPr>
        <w:pStyle w:val="2"/>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b/>
          <w:bCs/>
          <w:color w:val="auto"/>
          <w:sz w:val="48"/>
          <w:szCs w:val="48"/>
          <w:highlight w:val="none"/>
        </w:rPr>
      </w:pPr>
    </w:p>
    <w:p>
      <w:pPr>
        <w:spacing w:line="380" w:lineRule="exact"/>
        <w:jc w:val="center"/>
        <w:rPr>
          <w:rFonts w:ascii="宋体" w:hAnsi="宋体"/>
          <w:b/>
          <w:bCs/>
          <w:color w:val="auto"/>
          <w:sz w:val="48"/>
          <w:szCs w:val="48"/>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val="en-US" w:eastAsia="zh-CN"/>
        </w:rPr>
        <w:t>投 标</w:t>
      </w:r>
      <w:r>
        <w:rPr>
          <w:rFonts w:hint="eastAsia" w:ascii="宋体" w:hAnsi="宋体"/>
          <w:b/>
          <w:bCs/>
          <w:color w:val="auto"/>
          <w:sz w:val="72"/>
          <w:szCs w:val="72"/>
          <w:highlight w:val="none"/>
        </w:rPr>
        <w:t xml:space="preserve"> 文 件</w:t>
      </w:r>
    </w:p>
    <w:p>
      <w:pPr>
        <w:spacing w:line="380" w:lineRule="exact"/>
        <w:jc w:val="center"/>
        <w:rPr>
          <w:rFonts w:ascii="宋体" w:hAnsi="宋体"/>
          <w:color w:val="auto"/>
          <w:sz w:val="24"/>
          <w:highlight w:val="none"/>
        </w:rPr>
      </w:pPr>
    </w:p>
    <w:p>
      <w:pPr>
        <w:spacing w:line="380" w:lineRule="exact"/>
        <w:jc w:val="center"/>
        <w:rPr>
          <w:rFonts w:ascii="宋体" w:hAnsi="宋体"/>
          <w:color w:val="auto"/>
          <w:sz w:val="24"/>
          <w:highlight w:val="none"/>
        </w:rPr>
      </w:pPr>
      <w:r>
        <w:rPr>
          <w:rFonts w:hint="eastAsia" w:ascii="宋体" w:hAnsi="宋体"/>
          <w:color w:val="auto"/>
          <w:sz w:val="24"/>
          <w:highlight w:val="none"/>
        </w:rPr>
        <w:t>项目编号：</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after="120"/>
        <w:ind w:left="63" w:right="63" w:firstLine="340" w:firstLineChars="100"/>
        <w:rPr>
          <w:rFonts w:ascii="宋体" w:hAnsi="Times New Roman"/>
          <w:color w:val="auto"/>
          <w:kern w:val="0"/>
          <w:sz w:val="34"/>
          <w:szCs w:val="20"/>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ind w:firstLine="560" w:firstLineChars="200"/>
        <w:jc w:val="center"/>
        <w:rPr>
          <w:rFonts w:ascii="宋体" w:hAnsi="宋体"/>
          <w:color w:val="auto"/>
          <w:sz w:val="24"/>
          <w:highlight w:val="none"/>
          <w:u w:val="single"/>
        </w:rPr>
      </w:pPr>
      <w:bookmarkStart w:id="51" w:name="_Toc7428_WPSOffice_Level1"/>
      <w:bookmarkStart w:id="52" w:name="_Toc27760_WPSOffice_Level1"/>
      <w:r>
        <w:rPr>
          <w:rFonts w:hint="eastAsia" w:ascii="宋体" w:hAnsi="宋体"/>
          <w:color w:val="auto"/>
          <w:sz w:val="28"/>
          <w:szCs w:val="28"/>
          <w:highlight w:val="none"/>
        </w:rPr>
        <w:t>供应商名称（全称并加盖公章）：</w:t>
      </w:r>
      <w:bookmarkEnd w:id="51"/>
      <w:bookmarkEnd w:id="52"/>
    </w:p>
    <w:p>
      <w:pPr>
        <w:spacing w:line="480" w:lineRule="auto"/>
        <w:ind w:firstLine="560" w:firstLineChars="200"/>
        <w:jc w:val="center"/>
        <w:rPr>
          <w:rFonts w:ascii="宋体" w:hAnsi="宋体"/>
          <w:b/>
          <w:bCs/>
          <w:color w:val="auto"/>
          <w:sz w:val="28"/>
          <w:szCs w:val="28"/>
          <w:highlight w:val="none"/>
        </w:rPr>
      </w:pPr>
      <w:bookmarkStart w:id="53" w:name="_Toc28157_WPSOffice_Level1"/>
      <w:bookmarkStart w:id="54" w:name="_Toc4840_WPSOffice_Level1"/>
      <w:r>
        <w:rPr>
          <w:rFonts w:hint="eastAsia" w:ascii="宋体" w:hAnsi="宋体"/>
          <w:color w:val="auto"/>
          <w:sz w:val="28"/>
          <w:szCs w:val="28"/>
          <w:highlight w:val="none"/>
        </w:rPr>
        <w:t>法定代表人或委托代理人（签字）：</w:t>
      </w:r>
      <w:bookmarkEnd w:id="53"/>
      <w:bookmarkEnd w:id="54"/>
    </w:p>
    <w:p>
      <w:pPr>
        <w:spacing w:line="480" w:lineRule="auto"/>
        <w:ind w:firstLine="560" w:firstLineChars="200"/>
        <w:jc w:val="center"/>
        <w:rPr>
          <w:rFonts w:ascii="宋体" w:hAnsi="宋体"/>
          <w:color w:val="auto"/>
          <w:sz w:val="24"/>
          <w:highlight w:val="none"/>
        </w:rPr>
      </w:pPr>
      <w:bookmarkStart w:id="55" w:name="_Toc2311_WPSOffice_Level1"/>
      <w:bookmarkStart w:id="56" w:name="_Toc15640_WPSOffice_Level1"/>
      <w:r>
        <w:rPr>
          <w:rFonts w:hint="eastAsia" w:ascii="宋体" w:hAnsi="宋体"/>
          <w:color w:val="auto"/>
          <w:sz w:val="28"/>
          <w:szCs w:val="28"/>
          <w:highlight w:val="none"/>
        </w:rPr>
        <w:t xml:space="preserve">日    期：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bookmarkEnd w:id="55"/>
      <w:bookmarkEnd w:id="56"/>
    </w:p>
    <w:p>
      <w:pPr>
        <w:pStyle w:val="2"/>
        <w:rPr>
          <w:color w:val="auto"/>
          <w:highlight w:val="none"/>
          <w:lang w:val="zh-CN"/>
        </w:rPr>
      </w:pPr>
    </w:p>
    <w:p>
      <w:pPr>
        <w:pStyle w:val="2"/>
        <w:rPr>
          <w:color w:val="auto"/>
          <w:highlight w:val="none"/>
          <w:lang w:val="zh-CN"/>
        </w:rPr>
      </w:pPr>
    </w:p>
    <w:p>
      <w:pPr>
        <w:pStyle w:val="17"/>
        <w:keepNext/>
        <w:keepLines/>
        <w:numPr>
          <w:ilvl w:val="0"/>
          <w:numId w:val="11"/>
        </w:numPr>
        <w:tabs>
          <w:tab w:val="left" w:pos="660"/>
        </w:tabs>
        <w:adjustRightInd w:val="0"/>
        <w:snapToGrid w:val="0"/>
        <w:spacing w:line="400" w:lineRule="exact"/>
        <w:ind w:left="598" w:leftChars="0" w:firstLineChars="0"/>
        <w:jc w:val="left"/>
        <w:textAlignment w:val="baseline"/>
        <w:outlineLvl w:val="1"/>
        <w:rPr>
          <w:color w:val="auto"/>
          <w:highlight w:val="none"/>
        </w:rPr>
      </w:pPr>
      <w:r>
        <w:rPr>
          <w:rFonts w:hint="eastAsia" w:ascii="宋体" w:hAnsi="宋体" w:cs="黑体"/>
          <w:b/>
          <w:bCs/>
          <w:color w:val="auto"/>
          <w:sz w:val="28"/>
          <w:szCs w:val="28"/>
          <w:highlight w:val="none"/>
          <w:lang w:val="zh-CN"/>
        </w:rPr>
        <w:t>投标人应答索引表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4455"/>
        <w:gridCol w:w="1425"/>
        <w:gridCol w:w="1395"/>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9" w:type="dxa"/>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455" w:type="dxa"/>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425" w:type="dxa"/>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395" w:type="dxa"/>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1352" w:type="dxa"/>
            <w:vAlign w:val="center"/>
          </w:tcPr>
          <w:p>
            <w:pPr>
              <w:snapToGrid w:val="0"/>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法定代表人（单位负责人）</w:t>
            </w:r>
            <w:r>
              <w:rPr>
                <w:rFonts w:ascii="宋体" w:hAnsi="宋体"/>
                <w:bCs/>
                <w:color w:val="auto"/>
                <w:sz w:val="21"/>
                <w:szCs w:val="21"/>
                <w:highlight w:val="none"/>
                <w:lang w:val="zh-CN"/>
              </w:rPr>
              <w:t>资</w:t>
            </w:r>
            <w:r>
              <w:rPr>
                <w:rFonts w:hint="eastAsia" w:ascii="宋体" w:hAnsi="宋体"/>
                <w:bCs/>
                <w:color w:val="auto"/>
                <w:sz w:val="21"/>
                <w:szCs w:val="21"/>
                <w:highlight w:val="none"/>
                <w:lang w:val="zh-CN"/>
              </w:rPr>
              <w:t>格</w:t>
            </w:r>
            <w:r>
              <w:rPr>
                <w:rFonts w:ascii="宋体" w:hAnsi="宋体"/>
                <w:bCs/>
                <w:color w:val="auto"/>
                <w:sz w:val="21"/>
                <w:szCs w:val="21"/>
                <w:highlight w:val="none"/>
                <w:lang w:val="zh-CN"/>
              </w:rPr>
              <w:t>证</w:t>
            </w:r>
            <w:r>
              <w:rPr>
                <w:rFonts w:hint="eastAsia" w:ascii="宋体" w:hAnsi="宋体"/>
                <w:bCs/>
                <w:color w:val="auto"/>
                <w:sz w:val="21"/>
                <w:szCs w:val="21"/>
                <w:highlight w:val="none"/>
                <w:lang w:val="zh-CN"/>
              </w:rPr>
              <w:t>明</w:t>
            </w:r>
            <w:r>
              <w:rPr>
                <w:rFonts w:ascii="宋体" w:hAnsi="宋体"/>
                <w:bCs/>
                <w:color w:val="auto"/>
                <w:sz w:val="21"/>
                <w:szCs w:val="21"/>
                <w:highlight w:val="none"/>
                <w:lang w:val="zh-CN"/>
              </w:rPr>
              <w:t>书</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中小企业声明函</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残疾人福利企业声明函</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谈判承诺函</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4455" w:type="dxa"/>
            <w:vAlign w:val="center"/>
          </w:tcPr>
          <w:p>
            <w:pPr>
              <w:pStyle w:val="6"/>
              <w:kinsoku w:val="0"/>
              <w:overflowPunct w:val="0"/>
              <w:autoSpaceDE w:val="0"/>
              <w:autoSpaceDN w:val="0"/>
              <w:spacing w:line="320" w:lineRule="exact"/>
              <w:rPr>
                <w:rFonts w:hAnsi="宋体"/>
                <w:color w:val="auto"/>
                <w:kern w:val="0"/>
                <w:sz w:val="21"/>
                <w:szCs w:val="21"/>
                <w:highlight w:val="none"/>
              </w:rPr>
            </w:pPr>
            <w:r>
              <w:rPr>
                <w:rFonts w:hint="eastAsia" w:ascii="宋体" w:hAnsi="宋体"/>
                <w:bCs/>
                <w:color w:val="auto"/>
                <w:sz w:val="21"/>
                <w:szCs w:val="21"/>
                <w:highlight w:val="none"/>
                <w:lang w:val="zh-CN"/>
              </w:rPr>
              <w:t>禹州市政府采购供应商信用承诺函</w:t>
            </w:r>
          </w:p>
        </w:tc>
        <w:tc>
          <w:tcPr>
            <w:tcW w:w="1425" w:type="dxa"/>
            <w:vAlign w:val="center"/>
          </w:tcPr>
          <w:p>
            <w:pPr>
              <w:snapToGrid w:val="0"/>
              <w:spacing w:line="400" w:lineRule="exact"/>
              <w:jc w:val="center"/>
              <w:rPr>
                <w:rFonts w:ascii="宋体" w:hAnsi="宋体" w:cs="微软雅黑"/>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4455" w:type="dxa"/>
            <w:vAlign w:val="center"/>
          </w:tcPr>
          <w:p>
            <w:pPr>
              <w:pStyle w:val="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联合体协议</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455" w:type="dxa"/>
            <w:vAlign w:val="center"/>
          </w:tcPr>
          <w:p>
            <w:pPr>
              <w:pStyle w:val="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供应商与参加本项目响应的其他供应商之间，单位负责人不为同一人并且不存在直接控股、管理关系承诺函</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455" w:type="dxa"/>
            <w:vAlign w:val="center"/>
          </w:tcPr>
          <w:p>
            <w:pPr>
              <w:pStyle w:val="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cs="仿宋_GB2312"/>
                <w:color w:val="auto"/>
                <w:sz w:val="21"/>
                <w:szCs w:val="21"/>
                <w:highlight w:val="none"/>
                <w:lang w:val="zh-CN"/>
              </w:rPr>
              <w:t>供应商未为本项目提供整体设计、规范编制或者项目管理、监理、检测等服务承诺函</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455" w:type="dxa"/>
            <w:tcBorders>
              <w:top w:val="double" w:color="auto" w:sz="4" w:space="0"/>
            </w:tcBorders>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425" w:type="dxa"/>
            <w:tcBorders>
              <w:top w:val="double" w:color="auto" w:sz="4" w:space="0"/>
            </w:tcBorders>
            <w:vAlign w:val="center"/>
          </w:tcPr>
          <w:p>
            <w:pPr>
              <w:jc w:val="center"/>
              <w:rPr>
                <w:color w:val="auto"/>
                <w:szCs w:val="21"/>
                <w:highlight w:val="none"/>
              </w:rPr>
            </w:pPr>
          </w:p>
        </w:tc>
        <w:tc>
          <w:tcPr>
            <w:tcW w:w="1395" w:type="dxa"/>
            <w:tcBorders>
              <w:top w:val="double" w:color="auto" w:sz="4" w:space="0"/>
            </w:tcBorders>
            <w:vAlign w:val="center"/>
          </w:tcPr>
          <w:p>
            <w:pPr>
              <w:snapToGrid w:val="0"/>
              <w:spacing w:line="400" w:lineRule="exact"/>
              <w:rPr>
                <w:rFonts w:ascii="宋体" w:hAnsi="宋体" w:cs="微软雅黑"/>
                <w:color w:val="auto"/>
                <w:szCs w:val="21"/>
                <w:highlight w:val="none"/>
              </w:rPr>
            </w:pPr>
          </w:p>
        </w:tc>
        <w:tc>
          <w:tcPr>
            <w:tcW w:w="1352" w:type="dxa"/>
            <w:tcBorders>
              <w:top w:val="doub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425" w:type="dxa"/>
            <w:vAlign w:val="center"/>
          </w:tcPr>
          <w:p>
            <w:pPr>
              <w:jc w:val="center"/>
              <w:rPr>
                <w:color w:val="auto"/>
                <w:szCs w:val="21"/>
                <w:highlight w:val="none"/>
              </w:rPr>
            </w:pPr>
          </w:p>
        </w:tc>
        <w:tc>
          <w:tcPr>
            <w:tcW w:w="1395"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1352"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4455" w:type="dxa"/>
            <w:vAlign w:val="center"/>
          </w:tcPr>
          <w:p>
            <w:pPr>
              <w:pStyle w:val="6"/>
              <w:kinsoku w:val="0"/>
              <w:overflowPunct w:val="0"/>
              <w:autoSpaceDE w:val="0"/>
              <w:autoSpaceDN w:val="0"/>
              <w:spacing w:line="320" w:lineRule="exact"/>
              <w:rPr>
                <w:rFonts w:ascii="宋体" w:hAnsi="宋体"/>
                <w:bCs/>
                <w:color w:val="auto"/>
                <w:sz w:val="21"/>
                <w:szCs w:val="21"/>
                <w:highlight w:val="none"/>
                <w:lang w:val="zh-CN"/>
              </w:rPr>
            </w:pPr>
            <w:r>
              <w:rPr>
                <w:rFonts w:hint="eastAsia" w:ascii="宋体" w:hAnsi="宋体"/>
                <w:bCs/>
                <w:color w:val="auto"/>
                <w:sz w:val="21"/>
                <w:szCs w:val="21"/>
                <w:highlight w:val="none"/>
                <w:lang w:val="zh-CN"/>
              </w:rPr>
              <w:t>中国信息安全认证中心按国家标准认证颁发的</w:t>
            </w:r>
            <w:r>
              <w:rPr>
                <w:rFonts w:ascii="宋体" w:hAnsi="宋体"/>
                <w:color w:val="auto"/>
                <w:kern w:val="0"/>
                <w:sz w:val="21"/>
                <w:szCs w:val="21"/>
                <w:highlight w:val="none"/>
              </w:rPr>
              <w:t>信息安全产品</w:t>
            </w:r>
            <w:r>
              <w:rPr>
                <w:rFonts w:hint="eastAsia" w:ascii="宋体" w:hAnsi="宋体"/>
                <w:bCs/>
                <w:color w:val="auto"/>
                <w:sz w:val="21"/>
                <w:szCs w:val="21"/>
                <w:highlight w:val="none"/>
                <w:lang w:val="zh-CN"/>
              </w:rPr>
              <w:t>有效认证证书</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4455" w:type="dxa"/>
            <w:vAlign w:val="center"/>
          </w:tcPr>
          <w:p>
            <w:pPr>
              <w:pStyle w:val="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425" w:type="dxa"/>
            <w:vAlign w:val="center"/>
          </w:tcPr>
          <w:p>
            <w:pPr>
              <w:jc w:val="center"/>
              <w:rPr>
                <w:color w:val="auto"/>
                <w:szCs w:val="21"/>
                <w:highlight w:val="none"/>
              </w:rPr>
            </w:pPr>
          </w:p>
        </w:tc>
        <w:tc>
          <w:tcPr>
            <w:tcW w:w="1395" w:type="dxa"/>
            <w:vAlign w:val="center"/>
          </w:tcPr>
          <w:p>
            <w:pPr>
              <w:snapToGrid w:val="0"/>
              <w:spacing w:line="400" w:lineRule="exact"/>
              <w:rPr>
                <w:rFonts w:ascii="宋体" w:hAnsi="宋体" w:cs="微软雅黑"/>
                <w:color w:val="auto"/>
                <w:szCs w:val="21"/>
                <w:highlight w:val="none"/>
              </w:rPr>
            </w:pPr>
          </w:p>
        </w:tc>
        <w:tc>
          <w:tcPr>
            <w:tcW w:w="1352" w:type="dxa"/>
            <w:vAlign w:val="center"/>
          </w:tcPr>
          <w:p>
            <w:pPr>
              <w:snapToGrid w:val="0"/>
              <w:spacing w:line="400" w:lineRule="exact"/>
              <w:rPr>
                <w:rFonts w:ascii="宋体" w:hAnsi="宋体" w:cs="微软雅黑"/>
                <w:color w:val="auto"/>
                <w:szCs w:val="21"/>
                <w:highlight w:val="none"/>
              </w:rPr>
            </w:pPr>
          </w:p>
        </w:tc>
      </w:tr>
    </w:tbl>
    <w:p>
      <w:pPr>
        <w:pStyle w:val="9"/>
        <w:ind w:firstLine="0" w:firstLineChars="0"/>
        <w:rPr>
          <w:color w:val="auto"/>
          <w:highlight w:val="none"/>
          <w:lang w:val="zh-CN"/>
        </w:rPr>
      </w:pPr>
    </w:p>
    <w:p>
      <w:pPr>
        <w:pStyle w:val="2"/>
        <w:rPr>
          <w:rFonts w:ascii="宋体" w:hAnsi="宋体" w:cs="黑体"/>
          <w:b/>
          <w:bCs/>
          <w:color w:val="auto"/>
          <w:sz w:val="28"/>
          <w:szCs w:val="28"/>
          <w:highlight w:val="none"/>
          <w:lang w:val="zh-CN"/>
        </w:rPr>
      </w:pPr>
    </w:p>
    <w:p>
      <w:pPr>
        <w:widowControl/>
        <w:jc w:val="center"/>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二、开标一览表</w:t>
      </w:r>
    </w:p>
    <w:p>
      <w:pPr>
        <w:spacing w:before="50" w:after="156" w:afterLines="50" w:line="360" w:lineRule="auto"/>
        <w:contextualSpacing/>
        <w:jc w:val="left"/>
        <w:rPr>
          <w:rFonts w:ascii="宋体" w:hAnsi="宋体"/>
          <w:color w:val="auto"/>
          <w:szCs w:val="21"/>
          <w:highlight w:val="none"/>
        </w:rPr>
      </w:pP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Arial"/>
          <w:color w:val="auto"/>
          <w:szCs w:val="21"/>
          <w:highlight w:val="none"/>
        </w:rPr>
        <w:t>单位：元（人民币）</w:t>
      </w:r>
    </w:p>
    <w:tbl>
      <w:tblPr>
        <w:tblStyle w:val="11"/>
        <w:tblW w:w="9180" w:type="dxa"/>
        <w:tblInd w:w="0" w:type="dxa"/>
        <w:tblLayout w:type="fixed"/>
        <w:tblCellMar>
          <w:top w:w="0" w:type="dxa"/>
          <w:left w:w="108" w:type="dxa"/>
          <w:bottom w:w="0" w:type="dxa"/>
          <w:right w:w="108" w:type="dxa"/>
        </w:tblCellMar>
      </w:tblPr>
      <w:tblGrid>
        <w:gridCol w:w="959"/>
        <w:gridCol w:w="2551"/>
        <w:gridCol w:w="2977"/>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标段</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项目名称</w:t>
            </w:r>
          </w:p>
        </w:tc>
        <w:tc>
          <w:tcPr>
            <w:tcW w:w="297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color w:val="auto"/>
                <w:szCs w:val="21"/>
                <w:highlight w:val="none"/>
                <w:lang w:val="zh-CN"/>
              </w:rPr>
            </w:pPr>
            <w:r>
              <w:rPr>
                <w:rFonts w:hint="eastAsia" w:ascii="宋体" w:hAnsi="宋体"/>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r>
              <w:rPr>
                <w:rFonts w:hint="eastAsia" w:ascii="宋体" w:hAnsi="宋体"/>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r>
              <w:rPr>
                <w:rFonts w:ascii="宋体" w:hAnsi="宋体" w:cs="Arial"/>
                <w:color w:val="auto"/>
                <w:szCs w:val="21"/>
                <w:highlight w:val="none"/>
              </w:rPr>
              <w:t>…</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auto"/>
                <w:szCs w:val="21"/>
                <w:highlight w:val="none"/>
                <w:lang w:val="zh-CN"/>
              </w:rPr>
            </w:pPr>
            <w:r>
              <w:rPr>
                <w:rFonts w:hint="eastAsia" w:ascii="宋体" w:hAnsi="宋体"/>
                <w:color w:val="auto"/>
                <w:szCs w:val="21"/>
                <w:highlight w:val="none"/>
                <w:lang w:val="zh-CN"/>
              </w:rPr>
              <w:t>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Cs w:val="21"/>
                <w:highlight w:val="none"/>
                <w:lang w:val="zh-CN"/>
              </w:rPr>
            </w:pPr>
          </w:p>
        </w:tc>
      </w:tr>
    </w:tbl>
    <w:p>
      <w:pPr>
        <w:autoSpaceDE w:val="0"/>
        <w:autoSpaceDN w:val="0"/>
        <w:adjustRightInd w:val="0"/>
        <w:spacing w:line="480" w:lineRule="auto"/>
        <w:rPr>
          <w:rFonts w:hint="eastAsia"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u w:val="single"/>
          <w:lang w:val="zh-CN"/>
        </w:rPr>
        <w:t xml:space="preserve">     （全称）   </w:t>
      </w:r>
      <w:r>
        <w:rPr>
          <w:rFonts w:hint="eastAsia" w:ascii="宋体" w:hAnsi="宋体"/>
          <w:color w:val="auto"/>
          <w:szCs w:val="21"/>
          <w:highlight w:val="none"/>
          <w:lang w:val="zh-CN"/>
        </w:rPr>
        <w:t>（公章）：</w:t>
      </w:r>
    </w:p>
    <w:p>
      <w:pPr>
        <w:pStyle w:val="2"/>
        <w:rPr>
          <w:lang w:val="zh-CN"/>
        </w:rPr>
      </w:pPr>
      <w:r>
        <w:rPr>
          <w:rFonts w:hint="eastAsia"/>
          <w:lang w:val="zh-CN"/>
        </w:rPr>
        <w:t>投标人法定代表人（或授权代表）签字：</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zh-CN"/>
        </w:rPr>
        <w:t xml:space="preserve">   </w:t>
      </w: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日期：</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zh-CN"/>
        </w:rPr>
        <w:t xml:space="preserve">  </w:t>
      </w: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lang w:val="zh-CN"/>
        </w:rPr>
        <w:t>注：1、交付日期指完成该项目的最终时间。</w:t>
      </w:r>
      <w:bookmarkStart w:id="62" w:name="_GoBack"/>
      <w:bookmarkEnd w:id="62"/>
    </w:p>
    <w:p>
      <w:pPr>
        <w:autoSpaceDE w:val="0"/>
        <w:autoSpaceDN w:val="0"/>
        <w:adjustRightInd w:val="0"/>
        <w:spacing w:line="48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color w:val="auto"/>
          <w:sz w:val="24"/>
          <w:highlight w:val="none"/>
          <w:lang w:val="zh-CN"/>
        </w:rPr>
      </w:pPr>
    </w:p>
    <w:p>
      <w:pPr>
        <w:autoSpaceDE w:val="0"/>
        <w:autoSpaceDN w:val="0"/>
        <w:adjustRightInd w:val="0"/>
        <w:spacing w:line="360" w:lineRule="auto"/>
        <w:rPr>
          <w:rFonts w:ascii="宋体" w:hAnsi="宋体" w:cs="黑体"/>
          <w:b/>
          <w:bCs/>
          <w:color w:val="auto"/>
          <w:sz w:val="28"/>
          <w:szCs w:val="28"/>
          <w:highlight w:val="none"/>
          <w:lang w:val="zh-CN"/>
        </w:rPr>
      </w:pPr>
    </w:p>
    <w:p>
      <w:pPr>
        <w:pStyle w:val="9"/>
        <w:ind w:firstLine="340"/>
        <w:rPr>
          <w:color w:val="auto"/>
          <w:highlight w:val="none"/>
          <w:lang w:val="zh-CN"/>
        </w:rPr>
      </w:pPr>
    </w:p>
    <w:p>
      <w:pPr>
        <w:pStyle w:val="10"/>
        <w:ind w:firstLine="480"/>
        <w:rPr>
          <w:color w:val="auto"/>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三、资格审查证明材料</w:t>
      </w:r>
    </w:p>
    <w:p>
      <w:pPr>
        <w:pStyle w:val="6"/>
        <w:spacing w:line="360" w:lineRule="auto"/>
        <w:jc w:val="center"/>
        <w:rPr>
          <w:rFonts w:ascii="宋体" w:hAnsi="宋体"/>
          <w:b/>
          <w:snapToGrid w:val="0"/>
          <w:color w:val="auto"/>
          <w:kern w:val="0"/>
          <w:szCs w:val="24"/>
          <w:highlight w:val="none"/>
        </w:rPr>
      </w:pPr>
      <w:r>
        <w:rPr>
          <w:rFonts w:hint="eastAsia" w:ascii="宋体" w:hAnsi="宋体"/>
          <w:b/>
          <w:snapToGrid w:val="0"/>
          <w:color w:val="auto"/>
          <w:kern w:val="0"/>
          <w:szCs w:val="24"/>
          <w:highlight w:val="none"/>
        </w:rPr>
        <w:t>3.1 投 标 函</w:t>
      </w:r>
    </w:p>
    <w:p>
      <w:pPr>
        <w:adjustRightInd w:val="0"/>
        <w:spacing w:line="360" w:lineRule="auto"/>
        <w:contextualSpacing/>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致：</w:t>
      </w:r>
      <w:r>
        <w:rPr>
          <w:rFonts w:hint="eastAsia" w:ascii="宋体" w:hAnsi="宋体"/>
          <w:snapToGrid w:val="0"/>
          <w:color w:val="auto"/>
          <w:kern w:val="0"/>
          <w:szCs w:val="21"/>
          <w:highlight w:val="none"/>
          <w:u w:val="single"/>
        </w:rPr>
        <w:t xml:space="preserve">（采购人）          </w:t>
      </w:r>
    </w:p>
    <w:p>
      <w:pPr>
        <w:adjustRightInd w:val="0"/>
        <w:spacing w:line="360" w:lineRule="auto"/>
        <w:ind w:firstLine="420" w:firstLineChars="200"/>
        <w:contextualSpacing/>
        <w:outlineLvl w:val="0"/>
        <w:rPr>
          <w:rFonts w:ascii="宋体" w:hAnsi="宋体"/>
          <w:snapToGrid w:val="0"/>
          <w:color w:val="auto"/>
          <w:kern w:val="0"/>
          <w:szCs w:val="21"/>
          <w:highlight w:val="none"/>
        </w:rPr>
      </w:pPr>
      <w:r>
        <w:rPr>
          <w:rFonts w:hint="eastAsia" w:ascii="宋体" w:hAnsi="宋体"/>
          <w:snapToGrid w:val="0"/>
          <w:color w:val="auto"/>
          <w:kern w:val="0"/>
          <w:szCs w:val="21"/>
          <w:highlight w:val="none"/>
        </w:rPr>
        <w:t>根据贵方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（项目名称、招标编号）采购的招标公告及投标邀请，_______（姓名和职务）被正式授权并代表投标人</w:t>
      </w:r>
      <w:r>
        <w:rPr>
          <w:rFonts w:hint="eastAsia" w:ascii="宋体" w:hAnsi="宋体"/>
          <w:snapToGrid w:val="0"/>
          <w:color w:val="auto"/>
          <w:kern w:val="0"/>
          <w:szCs w:val="21"/>
          <w:highlight w:val="none"/>
          <w:u w:val="single"/>
        </w:rPr>
        <w:t xml:space="preserve">         （投标人名称、地址）</w:t>
      </w:r>
      <w:r>
        <w:rPr>
          <w:rFonts w:hint="eastAsia" w:ascii="宋体" w:hAnsi="宋体"/>
          <w:snapToGrid w:val="0"/>
          <w:color w:val="auto"/>
          <w:kern w:val="0"/>
          <w:szCs w:val="21"/>
          <w:highlight w:val="none"/>
        </w:rPr>
        <w:t>提交。</w:t>
      </w:r>
    </w:p>
    <w:p>
      <w:pPr>
        <w:pStyle w:val="6"/>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我方确认收到贵方提供的</w:t>
      </w:r>
      <w:r>
        <w:rPr>
          <w:rFonts w:hint="eastAsia" w:ascii="宋体" w:hAnsi="宋体"/>
          <w:snapToGrid w:val="0"/>
          <w:color w:val="auto"/>
          <w:kern w:val="0"/>
          <w:sz w:val="21"/>
          <w:szCs w:val="21"/>
          <w:highlight w:val="none"/>
          <w:u w:val="single"/>
        </w:rPr>
        <w:t xml:space="preserve">      （项目名称、招标编号</w:t>
      </w:r>
      <w:r>
        <w:rPr>
          <w:rFonts w:hint="eastAsia" w:ascii="宋体" w:hAnsi="宋体"/>
          <w:snapToGrid w:val="0"/>
          <w:color w:val="auto"/>
          <w:kern w:val="0"/>
          <w:sz w:val="21"/>
          <w:szCs w:val="21"/>
          <w:highlight w:val="none"/>
        </w:rPr>
        <w:t>）招标文件的全部内容。</w:t>
      </w:r>
    </w:p>
    <w:p>
      <w:pPr>
        <w:pStyle w:val="6"/>
        <w:adjustRightInd w:val="0"/>
        <w:spacing w:line="360" w:lineRule="auto"/>
        <w:ind w:firstLine="420" w:firstLineChars="200"/>
        <w:contextualSpacing/>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我方已完全明白招标文件的所有条款要求，并申明如下：</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color w:val="auto"/>
          <w:szCs w:val="21"/>
          <w:highlight w:val="none"/>
        </w:rPr>
      </w:pPr>
      <w:r>
        <w:rPr>
          <w:rFonts w:hint="eastAsia" w:ascii="宋体" w:hAnsi="宋体" w:cs="Courier New"/>
          <w:color w:val="auto"/>
          <w:szCs w:val="21"/>
          <w:highlight w:val="none"/>
        </w:rPr>
        <w:t>二、</w:t>
      </w:r>
      <w:r>
        <w:rPr>
          <w:rFonts w:hint="eastAsia" w:ascii="宋体" w:hAnsi="宋体"/>
          <w:color w:val="auto"/>
          <w:szCs w:val="21"/>
          <w:highlight w:val="none"/>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Cs w:val="21"/>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三、我方明白并同意，在规定的开标日之后，投标有效期之内撤销投标的，则我方承担违背投标承诺的责任追究。</w:t>
      </w:r>
    </w:p>
    <w:p>
      <w:pPr>
        <w:pStyle w:val="8"/>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四、我方同意按照贵方可能提出的要求而提供与投标有关的任何其它数据、信息或资料。</w:t>
      </w:r>
    </w:p>
    <w:p>
      <w:pPr>
        <w:pStyle w:val="8"/>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五、我方理解贵方不一定接受最低投标价或任何贵方可能收到的投标。</w:t>
      </w:r>
    </w:p>
    <w:p>
      <w:pPr>
        <w:pStyle w:val="8"/>
        <w:adjustRightInd w:val="0"/>
        <w:spacing w:line="360" w:lineRule="auto"/>
        <w:ind w:firstLine="420" w:firstLineChars="200"/>
        <w:contextualSpacing/>
        <w:rPr>
          <w:rFonts w:ascii="宋体" w:hAnsi="宋体" w:cs="Courier New"/>
          <w:color w:val="auto"/>
          <w:sz w:val="21"/>
          <w:szCs w:val="21"/>
          <w:highlight w:val="none"/>
        </w:rPr>
      </w:pPr>
      <w:r>
        <w:rPr>
          <w:rFonts w:hint="eastAsia" w:ascii="宋体" w:hAnsi="宋体" w:cs="Courier New"/>
          <w:color w:val="auto"/>
          <w:sz w:val="21"/>
          <w:szCs w:val="21"/>
          <w:highlight w:val="none"/>
        </w:rPr>
        <w:t>六、我方如果中标，将保证履行招标文件及其澄清、修改文件（如果有）中的全部责任和义务，按质、按量、按期完成《项目需求》及《合同书》中的全部任务。</w:t>
      </w:r>
    </w:p>
    <w:p>
      <w:pPr>
        <w:pStyle w:val="8"/>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Courier New"/>
          <w:color w:val="auto"/>
          <w:sz w:val="21"/>
          <w:szCs w:val="21"/>
          <w:highlight w:val="none"/>
        </w:rPr>
        <w:t>七、我方在此保证所提交的所有文件和全部说明是真实的和正确的。</w:t>
      </w:r>
    </w:p>
    <w:p>
      <w:pPr>
        <w:pStyle w:val="6"/>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九、我方具备《政府采购法》第二十二条规定的条件；承诺如下：</w:t>
      </w:r>
    </w:p>
    <w:p>
      <w:pPr>
        <w:pStyle w:val="6"/>
        <w:adjustRightInd w:val="0"/>
        <w:spacing w:line="360" w:lineRule="auto"/>
        <w:ind w:firstLine="420" w:firstLineChars="200"/>
        <w:contextualSpacing/>
        <w:rPr>
          <w:rFonts w:ascii="宋体" w:hAnsi="宋体" w:cs="Arial"/>
          <w:color w:val="auto"/>
          <w:sz w:val="21"/>
          <w:szCs w:val="21"/>
          <w:highlight w:val="none"/>
        </w:rPr>
      </w:pPr>
      <w:r>
        <w:rPr>
          <w:rFonts w:hint="eastAsia" w:ascii="宋体" w:hAnsi="宋体" w:cs="Arial"/>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4. 参加政府采购活动前三年内，在经营活动中没有重大违法记录。</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5. 符合法律、行政法规规定的其他条件。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olor w:val="auto"/>
          <w:szCs w:val="21"/>
          <w:highlight w:val="none"/>
        </w:rPr>
        <w:t>以上内容如有虚假或与事实不符的，评审委员会可将</w:t>
      </w:r>
      <w:r>
        <w:rPr>
          <w:rFonts w:hint="eastAsia" w:ascii="宋体" w:hAnsi="宋体" w:cs="Arial"/>
          <w:color w:val="auto"/>
          <w:szCs w:val="21"/>
          <w:highlight w:val="none"/>
        </w:rPr>
        <w:t>我方做无效投标处理，我方愿意承担相应的法律责任。</w:t>
      </w:r>
    </w:p>
    <w:p>
      <w:pPr>
        <w:pStyle w:val="6"/>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十、我方具备履行合同所必需的设备和专业技术能力。</w:t>
      </w:r>
    </w:p>
    <w:p>
      <w:pPr>
        <w:pStyle w:val="6"/>
        <w:adjustRightInd w:val="0"/>
        <w:spacing w:line="360" w:lineRule="auto"/>
        <w:ind w:firstLine="420" w:firstLineChars="200"/>
        <w:contextualSpacing/>
        <w:rPr>
          <w:rFonts w:ascii="宋体" w:hAnsi="宋体"/>
          <w:color w:val="auto"/>
          <w:sz w:val="21"/>
          <w:szCs w:val="21"/>
          <w:highlight w:val="none"/>
        </w:rPr>
      </w:pPr>
      <w:r>
        <w:rPr>
          <w:rFonts w:hint="eastAsia" w:ascii="宋体" w:hAnsi="宋体"/>
          <w:snapToGrid w:val="0"/>
          <w:color w:val="auto"/>
          <w:kern w:val="0"/>
          <w:sz w:val="21"/>
          <w:szCs w:val="21"/>
          <w:highlight w:val="none"/>
        </w:rPr>
        <w:t>十一、</w:t>
      </w:r>
      <w:r>
        <w:rPr>
          <w:rFonts w:hint="eastAsia" w:ascii="宋体" w:hAnsi="宋体"/>
          <w:color w:val="auto"/>
          <w:sz w:val="21"/>
          <w:szCs w:val="21"/>
          <w:highlight w:val="none"/>
        </w:rPr>
        <w:t>我方对在本函及投标文件中所作的所有承诺承担法律责任。</w:t>
      </w:r>
    </w:p>
    <w:p>
      <w:pPr>
        <w:pStyle w:val="6"/>
        <w:adjustRightInd w:val="0"/>
        <w:snapToGrid w:val="0"/>
        <w:spacing w:line="360" w:lineRule="auto"/>
        <w:rPr>
          <w:rFonts w:ascii="宋体" w:hAnsi="宋体"/>
          <w:color w:val="auto"/>
          <w:sz w:val="21"/>
          <w:szCs w:val="21"/>
          <w:highlight w:val="none"/>
        </w:rPr>
      </w:pPr>
    </w:p>
    <w:p>
      <w:pPr>
        <w:pStyle w:val="6"/>
        <w:adjustRightInd w:val="0"/>
        <w:snapToGrid w:val="0"/>
        <w:spacing w:line="360" w:lineRule="auto"/>
        <w:rPr>
          <w:rFonts w:ascii="宋体" w:hAnsi="宋体"/>
          <w:color w:val="auto"/>
          <w:sz w:val="21"/>
          <w:szCs w:val="21"/>
          <w:highlight w:val="none"/>
        </w:rPr>
      </w:pPr>
    </w:p>
    <w:p>
      <w:pPr>
        <w:pStyle w:val="6"/>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所有与本招标有关的一切正式往来请寄：</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地    址：                     邮政编码：</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电    话：                     传    真：</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投标人代表姓名：               职    务：</w:t>
      </w:r>
    </w:p>
    <w:p>
      <w:pPr>
        <w:adjustRightInd w:val="0"/>
        <w:snapToGrid w:val="0"/>
        <w:spacing w:line="360" w:lineRule="auto"/>
        <w:rPr>
          <w:rFonts w:ascii="宋体" w:hAnsi="宋体"/>
          <w:color w:val="auto"/>
          <w:szCs w:val="21"/>
          <w:highlight w:val="none"/>
          <w:u w:val="singl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投标人名称（并加盖公章）：</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ind w:firstLine="3885" w:firstLineChars="1850"/>
        <w:rPr>
          <w:rFonts w:ascii="宋体" w:hAnsi="宋体"/>
          <w:color w:val="auto"/>
          <w:szCs w:val="21"/>
          <w:highlight w:val="none"/>
        </w:rPr>
      </w:pPr>
      <w:r>
        <w:rPr>
          <w:rFonts w:hint="eastAsia" w:ascii="宋体" w:hAnsi="宋体"/>
          <w:color w:val="auto"/>
          <w:szCs w:val="21"/>
          <w:highlight w:val="none"/>
        </w:rPr>
        <w:t>日期：   年    月    日</w:t>
      </w:r>
    </w:p>
    <w:p>
      <w:pPr>
        <w:adjustRightInd w:val="0"/>
        <w:snapToGrid w:val="0"/>
        <w:spacing w:line="360" w:lineRule="auto"/>
        <w:ind w:firstLine="4305" w:firstLineChars="2050"/>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3.2 法定代表人（单位负责人）</w:t>
      </w:r>
      <w:r>
        <w:rPr>
          <w:rFonts w:ascii="宋体" w:hAnsi="宋体"/>
          <w:b/>
          <w:bCs/>
          <w:color w:val="auto"/>
          <w:sz w:val="24"/>
          <w:szCs w:val="24"/>
          <w:highlight w:val="none"/>
        </w:rPr>
        <w:t>资</w:t>
      </w:r>
      <w:r>
        <w:rPr>
          <w:rFonts w:hint="eastAsia" w:ascii="宋体" w:hAnsi="宋体"/>
          <w:b/>
          <w:bCs/>
          <w:color w:val="auto"/>
          <w:sz w:val="24"/>
          <w:szCs w:val="24"/>
          <w:highlight w:val="none"/>
        </w:rPr>
        <w:t>格</w:t>
      </w:r>
      <w:r>
        <w:rPr>
          <w:rFonts w:ascii="宋体" w:hAnsi="宋体"/>
          <w:b/>
          <w:bCs/>
          <w:color w:val="auto"/>
          <w:sz w:val="24"/>
          <w:szCs w:val="24"/>
          <w:highlight w:val="none"/>
        </w:rPr>
        <w:t>证</w:t>
      </w:r>
      <w:r>
        <w:rPr>
          <w:rFonts w:hint="eastAsia" w:ascii="宋体" w:hAnsi="宋体"/>
          <w:b/>
          <w:bCs/>
          <w:color w:val="auto"/>
          <w:sz w:val="24"/>
          <w:szCs w:val="24"/>
          <w:highlight w:val="none"/>
        </w:rPr>
        <w:t>明</w:t>
      </w:r>
      <w:r>
        <w:rPr>
          <w:rFonts w:ascii="宋体" w:hAnsi="宋体"/>
          <w:b/>
          <w:bCs/>
          <w:color w:val="auto"/>
          <w:sz w:val="24"/>
          <w:szCs w:val="24"/>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18"/>
        <w:spacing w:line="480" w:lineRule="auto"/>
        <w:ind w:firstLine="472" w:firstLineChars="225"/>
        <w:jc w:val="left"/>
        <w:rPr>
          <w:rFonts w:hAnsi="宋体"/>
          <w:color w:val="auto"/>
          <w:sz w:val="21"/>
          <w:szCs w:val="21"/>
          <w:highlight w:val="none"/>
        </w:rPr>
      </w:pPr>
      <w:r>
        <w:rPr>
          <w:rFonts w:hAnsi="宋体"/>
          <w:color w:val="auto"/>
          <w:sz w:val="21"/>
          <w:szCs w:val="21"/>
          <w:highlight w:val="none"/>
        </w:rPr>
        <w:t>单</w:t>
      </w:r>
      <w:r>
        <w:rPr>
          <w:rFonts w:hint="eastAsia" w:hAnsi="宋体"/>
          <w:color w:val="auto"/>
          <w:sz w:val="21"/>
          <w:szCs w:val="21"/>
          <w:highlight w:val="none"/>
        </w:rPr>
        <w:t>位名</w:t>
      </w:r>
      <w:r>
        <w:rPr>
          <w:rFonts w:hAnsi="宋体"/>
          <w:color w:val="auto"/>
          <w:sz w:val="21"/>
          <w:szCs w:val="21"/>
          <w:highlight w:val="none"/>
        </w:rPr>
        <w:t>称</w:t>
      </w:r>
      <w:r>
        <w:rPr>
          <w:rFonts w:hint="eastAsia" w:hAnsi="宋体"/>
          <w:color w:val="auto"/>
          <w:sz w:val="21"/>
          <w:szCs w:val="21"/>
          <w:highlight w:val="none"/>
        </w:rPr>
        <w:t>：</w:t>
      </w:r>
    </w:p>
    <w:p>
      <w:pPr>
        <w:pStyle w:val="18"/>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地址：</w:t>
      </w:r>
    </w:p>
    <w:p>
      <w:pPr>
        <w:pStyle w:val="18"/>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姓名：       性</w:t>
      </w:r>
      <w:r>
        <w:rPr>
          <w:rFonts w:hAnsi="宋体"/>
          <w:color w:val="auto"/>
          <w:sz w:val="21"/>
          <w:szCs w:val="21"/>
          <w:highlight w:val="none"/>
        </w:rPr>
        <w:t>别</w:t>
      </w:r>
      <w:r>
        <w:rPr>
          <w:rFonts w:hint="eastAsia" w:hAnsi="宋体"/>
          <w:color w:val="auto"/>
          <w:sz w:val="21"/>
          <w:szCs w:val="21"/>
          <w:highlight w:val="none"/>
        </w:rPr>
        <w:t>：     年</w:t>
      </w:r>
      <w:r>
        <w:rPr>
          <w:rFonts w:hAnsi="宋体"/>
          <w:color w:val="auto"/>
          <w:sz w:val="21"/>
          <w:szCs w:val="21"/>
          <w:highlight w:val="none"/>
        </w:rPr>
        <w:t>龄</w:t>
      </w:r>
      <w:r>
        <w:rPr>
          <w:rFonts w:hint="eastAsia" w:hAnsi="宋体"/>
          <w:color w:val="auto"/>
          <w:sz w:val="21"/>
          <w:szCs w:val="21"/>
          <w:highlight w:val="none"/>
        </w:rPr>
        <w:t>：</w:t>
      </w:r>
      <w:r>
        <w:rPr>
          <w:rFonts w:hAnsi="宋体"/>
          <w:color w:val="auto"/>
          <w:sz w:val="21"/>
          <w:szCs w:val="21"/>
          <w:highlight w:val="none"/>
        </w:rPr>
        <w:t xml:space="preserve">     职务</w:t>
      </w:r>
      <w:r>
        <w:rPr>
          <w:rFonts w:hint="eastAsia" w:hAnsi="宋体"/>
          <w:color w:val="auto"/>
          <w:sz w:val="21"/>
          <w:szCs w:val="21"/>
          <w:highlight w:val="none"/>
        </w:rPr>
        <w:t xml:space="preserve">：        </w:t>
      </w:r>
    </w:p>
    <w:p>
      <w:pPr>
        <w:pStyle w:val="18"/>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 xml:space="preserve">本人系  </w:t>
      </w:r>
      <w:r>
        <w:rPr>
          <w:rFonts w:hint="eastAsia" w:hAnsi="宋体"/>
          <w:iCs/>
          <w:snapToGrid w:val="0"/>
          <w:color w:val="auto"/>
          <w:sz w:val="21"/>
          <w:szCs w:val="21"/>
          <w:highlight w:val="none"/>
          <w:u w:val="single"/>
        </w:rPr>
        <w:t>投</w:t>
      </w:r>
      <w:r>
        <w:rPr>
          <w:rFonts w:hAnsi="宋体"/>
          <w:iCs/>
          <w:snapToGrid w:val="0"/>
          <w:color w:val="auto"/>
          <w:sz w:val="21"/>
          <w:szCs w:val="21"/>
          <w:highlight w:val="none"/>
          <w:u w:val="single"/>
        </w:rPr>
        <w:t>标</w:t>
      </w:r>
      <w:r>
        <w:rPr>
          <w:rFonts w:hint="eastAsia" w:hAnsi="宋体"/>
          <w:iCs/>
          <w:snapToGrid w:val="0"/>
          <w:color w:val="auto"/>
          <w:sz w:val="21"/>
          <w:szCs w:val="21"/>
          <w:highlight w:val="none"/>
          <w:u w:val="single"/>
        </w:rPr>
        <w:t>人名</w:t>
      </w:r>
      <w:r>
        <w:rPr>
          <w:rFonts w:hAnsi="宋体"/>
          <w:iCs/>
          <w:snapToGrid w:val="0"/>
          <w:color w:val="auto"/>
          <w:sz w:val="21"/>
          <w:szCs w:val="21"/>
          <w:highlight w:val="none"/>
          <w:u w:val="single"/>
        </w:rPr>
        <w:t>称</w:t>
      </w:r>
      <w:r>
        <w:rPr>
          <w:rFonts w:hint="eastAsia" w:hAnsi="宋体"/>
          <w:iCs/>
          <w:snapToGrid w:val="0"/>
          <w:color w:val="auto"/>
          <w:sz w:val="21"/>
          <w:szCs w:val="21"/>
          <w:highlight w:val="none"/>
          <w:u w:val="single"/>
        </w:rPr>
        <w:t xml:space="preserve">  </w:t>
      </w:r>
      <w:r>
        <w:rPr>
          <w:rFonts w:hint="eastAsia" w:hAnsi="宋体"/>
          <w:color w:val="auto"/>
          <w:sz w:val="21"/>
          <w:szCs w:val="21"/>
          <w:highlight w:val="none"/>
        </w:rPr>
        <w:t>的法定代表人（单位负责人）。就</w:t>
      </w:r>
      <w:r>
        <w:rPr>
          <w:rFonts w:hAnsi="宋体"/>
          <w:color w:val="auto"/>
          <w:sz w:val="21"/>
          <w:szCs w:val="21"/>
          <w:highlight w:val="none"/>
        </w:rPr>
        <w:t>参</w:t>
      </w:r>
      <w:r>
        <w:rPr>
          <w:rFonts w:hint="eastAsia" w:hAnsi="宋体"/>
          <w:color w:val="auto"/>
          <w:sz w:val="21"/>
          <w:szCs w:val="21"/>
          <w:highlight w:val="none"/>
        </w:rPr>
        <w:t>加贵方招</w:t>
      </w:r>
      <w:r>
        <w:rPr>
          <w:rFonts w:hAnsi="宋体"/>
          <w:color w:val="auto"/>
          <w:sz w:val="21"/>
          <w:szCs w:val="21"/>
          <w:highlight w:val="none"/>
        </w:rPr>
        <w:t>标编号为</w:t>
      </w:r>
      <w:r>
        <w:rPr>
          <w:rFonts w:hint="eastAsia" w:hAnsi="宋体"/>
          <w:color w:val="auto"/>
          <w:sz w:val="21"/>
          <w:szCs w:val="21"/>
          <w:highlight w:val="none"/>
        </w:rPr>
        <w:t xml:space="preserve">  </w:t>
      </w:r>
      <w:r>
        <w:rPr>
          <w:rFonts w:hAnsi="宋体"/>
          <w:iCs/>
          <w:color w:val="auto"/>
          <w:sz w:val="21"/>
          <w:szCs w:val="21"/>
          <w:highlight w:val="none"/>
          <w:u w:val="single"/>
        </w:rPr>
        <w:t>项目编号</w:t>
      </w:r>
      <w:r>
        <w:rPr>
          <w:rFonts w:hint="eastAsia" w:hAnsi="宋体"/>
          <w:i/>
          <w:color w:val="auto"/>
          <w:sz w:val="21"/>
          <w:szCs w:val="21"/>
          <w:highlight w:val="none"/>
          <w:u w:val="single"/>
        </w:rPr>
        <w:t xml:space="preserve">  </w:t>
      </w:r>
      <w:r>
        <w:rPr>
          <w:rFonts w:hint="eastAsia" w:hAnsi="宋体"/>
          <w:color w:val="auto"/>
          <w:sz w:val="21"/>
          <w:szCs w:val="21"/>
          <w:highlight w:val="none"/>
        </w:rPr>
        <w:t xml:space="preserve">的  </w:t>
      </w:r>
      <w:r>
        <w:rPr>
          <w:rFonts w:hAnsi="宋体"/>
          <w:i/>
          <w:color w:val="auto"/>
          <w:sz w:val="21"/>
          <w:szCs w:val="21"/>
          <w:highlight w:val="none"/>
          <w:u w:val="single"/>
        </w:rPr>
        <w:t>项目</w:t>
      </w:r>
      <w:r>
        <w:rPr>
          <w:rFonts w:hint="eastAsia" w:hAnsi="宋体"/>
          <w:iCs/>
          <w:color w:val="auto"/>
          <w:sz w:val="21"/>
          <w:szCs w:val="21"/>
          <w:highlight w:val="none"/>
          <w:u w:val="single"/>
        </w:rPr>
        <w:t>名</w:t>
      </w:r>
      <w:r>
        <w:rPr>
          <w:rFonts w:hAnsi="宋体"/>
          <w:iCs/>
          <w:color w:val="auto"/>
          <w:sz w:val="21"/>
          <w:szCs w:val="21"/>
          <w:highlight w:val="none"/>
          <w:u w:val="single"/>
        </w:rPr>
        <w:t>称</w:t>
      </w:r>
      <w:r>
        <w:rPr>
          <w:rFonts w:hint="eastAsia" w:hAnsi="宋体"/>
          <w:iCs/>
          <w:color w:val="auto"/>
          <w:sz w:val="21"/>
          <w:szCs w:val="21"/>
          <w:highlight w:val="none"/>
          <w:u w:val="single"/>
        </w:rPr>
        <w:t xml:space="preserve">  </w:t>
      </w:r>
      <w:r>
        <w:rPr>
          <w:rFonts w:hint="eastAsia" w:hAnsi="宋体"/>
          <w:color w:val="auto"/>
          <w:sz w:val="21"/>
          <w:szCs w:val="21"/>
          <w:highlight w:val="none"/>
        </w:rPr>
        <w:t>公</w:t>
      </w:r>
      <w:r>
        <w:rPr>
          <w:rFonts w:hAnsi="宋体"/>
          <w:color w:val="auto"/>
          <w:sz w:val="21"/>
          <w:szCs w:val="21"/>
          <w:highlight w:val="none"/>
        </w:rPr>
        <w:t>开</w:t>
      </w:r>
      <w:r>
        <w:rPr>
          <w:rFonts w:hint="eastAsia" w:hAnsi="宋体"/>
          <w:color w:val="auto"/>
          <w:sz w:val="21"/>
          <w:szCs w:val="21"/>
          <w:highlight w:val="none"/>
        </w:rPr>
        <w:t>招</w:t>
      </w:r>
      <w:r>
        <w:rPr>
          <w:rFonts w:hAnsi="宋体"/>
          <w:color w:val="auto"/>
          <w:sz w:val="21"/>
          <w:szCs w:val="21"/>
          <w:highlight w:val="none"/>
        </w:rPr>
        <w:t>标项目</w:t>
      </w:r>
      <w:r>
        <w:rPr>
          <w:rFonts w:hint="eastAsia" w:hAnsi="宋体"/>
          <w:color w:val="auto"/>
          <w:sz w:val="21"/>
          <w:szCs w:val="21"/>
          <w:highlight w:val="none"/>
        </w:rPr>
        <w:t>的投</w:t>
      </w:r>
      <w:r>
        <w:rPr>
          <w:rFonts w:hAnsi="宋体"/>
          <w:color w:val="auto"/>
          <w:sz w:val="21"/>
          <w:szCs w:val="21"/>
          <w:highlight w:val="none"/>
        </w:rPr>
        <w:t>标报价</w:t>
      </w:r>
      <w:r>
        <w:rPr>
          <w:rFonts w:hint="eastAsia" w:hAnsi="宋体"/>
          <w:color w:val="auto"/>
          <w:sz w:val="21"/>
          <w:szCs w:val="21"/>
          <w:highlight w:val="none"/>
        </w:rPr>
        <w:t>，</w:t>
      </w:r>
      <w:r>
        <w:rPr>
          <w:rFonts w:hAnsi="宋体"/>
          <w:color w:val="auto"/>
          <w:sz w:val="21"/>
          <w:szCs w:val="21"/>
          <w:highlight w:val="none"/>
        </w:rPr>
        <w:t>签</w:t>
      </w:r>
      <w:r>
        <w:rPr>
          <w:rFonts w:hint="eastAsia" w:hAnsi="宋体"/>
          <w:color w:val="auto"/>
          <w:sz w:val="21"/>
          <w:szCs w:val="21"/>
          <w:highlight w:val="none"/>
        </w:rPr>
        <w:t>署上</w:t>
      </w:r>
      <w:r>
        <w:rPr>
          <w:rFonts w:hAnsi="宋体"/>
          <w:color w:val="auto"/>
          <w:sz w:val="21"/>
          <w:szCs w:val="21"/>
          <w:highlight w:val="none"/>
        </w:rPr>
        <w:t>述项目</w:t>
      </w:r>
      <w:r>
        <w:rPr>
          <w:rFonts w:hint="eastAsia" w:hAnsi="宋体"/>
          <w:color w:val="auto"/>
          <w:sz w:val="21"/>
          <w:szCs w:val="21"/>
          <w:highlight w:val="none"/>
        </w:rPr>
        <w:t>的投</w:t>
      </w:r>
      <w:r>
        <w:rPr>
          <w:rFonts w:hAnsi="宋体"/>
          <w:color w:val="auto"/>
          <w:sz w:val="21"/>
          <w:szCs w:val="21"/>
          <w:highlight w:val="none"/>
        </w:rPr>
        <w:t>标</w:t>
      </w:r>
      <w:r>
        <w:rPr>
          <w:rFonts w:hint="eastAsia" w:hAnsi="宋体"/>
          <w:color w:val="auto"/>
          <w:sz w:val="21"/>
          <w:szCs w:val="21"/>
          <w:highlight w:val="none"/>
        </w:rPr>
        <w:t>文件及合同的</w:t>
      </w:r>
      <w:r>
        <w:rPr>
          <w:rFonts w:hAnsi="宋体"/>
          <w:color w:val="auto"/>
          <w:sz w:val="21"/>
          <w:szCs w:val="21"/>
          <w:highlight w:val="none"/>
        </w:rPr>
        <w:t>执</w:t>
      </w:r>
      <w:r>
        <w:rPr>
          <w:rFonts w:hint="eastAsia" w:hAnsi="宋体"/>
          <w:color w:val="auto"/>
          <w:sz w:val="21"/>
          <w:szCs w:val="21"/>
          <w:highlight w:val="none"/>
        </w:rPr>
        <w:t>行、完成、服</w:t>
      </w:r>
      <w:r>
        <w:rPr>
          <w:rFonts w:hAnsi="宋体"/>
          <w:color w:val="auto"/>
          <w:sz w:val="21"/>
          <w:szCs w:val="21"/>
          <w:highlight w:val="none"/>
        </w:rPr>
        <w:t>务</w:t>
      </w:r>
      <w:r>
        <w:rPr>
          <w:rFonts w:hint="eastAsia" w:hAnsi="宋体"/>
          <w:color w:val="auto"/>
          <w:sz w:val="21"/>
          <w:szCs w:val="21"/>
          <w:highlight w:val="none"/>
        </w:rPr>
        <w:t>和保修，</w:t>
      </w:r>
      <w:r>
        <w:rPr>
          <w:rFonts w:hAnsi="宋体"/>
          <w:color w:val="auto"/>
          <w:sz w:val="21"/>
          <w:szCs w:val="21"/>
          <w:highlight w:val="none"/>
        </w:rPr>
        <w:t>签</w:t>
      </w:r>
      <w:r>
        <w:rPr>
          <w:rFonts w:hint="eastAsia" w:hAnsi="宋体"/>
          <w:color w:val="auto"/>
          <w:sz w:val="21"/>
          <w:szCs w:val="21"/>
          <w:highlight w:val="none"/>
        </w:rPr>
        <w:t>署合同和</w:t>
      </w:r>
      <w:r>
        <w:rPr>
          <w:rFonts w:hAnsi="宋体"/>
          <w:color w:val="auto"/>
          <w:sz w:val="21"/>
          <w:szCs w:val="21"/>
          <w:highlight w:val="none"/>
        </w:rPr>
        <w:t>处</w:t>
      </w:r>
      <w:r>
        <w:rPr>
          <w:rFonts w:hint="eastAsia" w:hAnsi="宋体"/>
          <w:color w:val="auto"/>
          <w:sz w:val="21"/>
          <w:szCs w:val="21"/>
          <w:highlight w:val="none"/>
        </w:rPr>
        <w:t>理与之有</w:t>
      </w:r>
      <w:r>
        <w:rPr>
          <w:rFonts w:hAnsi="宋体"/>
          <w:color w:val="auto"/>
          <w:sz w:val="21"/>
          <w:szCs w:val="21"/>
          <w:highlight w:val="none"/>
        </w:rPr>
        <w:t>关的</w:t>
      </w:r>
      <w:r>
        <w:rPr>
          <w:rFonts w:hint="eastAsia" w:hAnsi="宋体"/>
          <w:color w:val="auto"/>
          <w:sz w:val="21"/>
          <w:szCs w:val="21"/>
          <w:highlight w:val="none"/>
        </w:rPr>
        <w:t>一切事</w:t>
      </w:r>
      <w:r>
        <w:rPr>
          <w:rFonts w:hAnsi="宋体"/>
          <w:color w:val="auto"/>
          <w:sz w:val="21"/>
          <w:szCs w:val="21"/>
          <w:highlight w:val="none"/>
        </w:rPr>
        <w:t>务</w:t>
      </w:r>
      <w:r>
        <w:rPr>
          <w:rFonts w:hint="eastAsia" w:hAnsi="宋体"/>
          <w:color w:val="auto"/>
          <w:sz w:val="21"/>
          <w:szCs w:val="21"/>
          <w:highlight w:val="none"/>
        </w:rPr>
        <w:t>。</w:t>
      </w:r>
    </w:p>
    <w:p>
      <w:pPr>
        <w:pStyle w:val="18"/>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特此</w:t>
      </w:r>
      <w:r>
        <w:rPr>
          <w:rFonts w:hAnsi="宋体"/>
          <w:color w:val="auto"/>
          <w:sz w:val="21"/>
          <w:szCs w:val="21"/>
          <w:highlight w:val="none"/>
        </w:rPr>
        <w:t>证</w:t>
      </w:r>
      <w:r>
        <w:rPr>
          <w:rFonts w:hint="eastAsia" w:hAnsi="宋体"/>
          <w:color w:val="auto"/>
          <w:sz w:val="21"/>
          <w:szCs w:val="21"/>
          <w:highlight w:val="none"/>
        </w:rPr>
        <w:t>明。</w:t>
      </w:r>
    </w:p>
    <w:p>
      <w:pPr>
        <w:pStyle w:val="18"/>
        <w:spacing w:line="480" w:lineRule="auto"/>
        <w:ind w:firstLine="472" w:firstLineChars="225"/>
        <w:jc w:val="left"/>
        <w:rPr>
          <w:rFonts w:hAnsi="宋体"/>
          <w:color w:val="auto"/>
          <w:sz w:val="21"/>
          <w:szCs w:val="21"/>
          <w:highlight w:val="none"/>
        </w:rPr>
      </w:pPr>
      <w:r>
        <w:rPr>
          <w:rFonts w:hint="eastAsia" w:hAnsi="宋体"/>
          <w:color w:val="auto"/>
          <w:sz w:val="21"/>
          <w:szCs w:val="21"/>
          <w:highlight w:val="none"/>
        </w:rPr>
        <w:t>法定代表人（单位负责人）联系电话（手机）：</w:t>
      </w:r>
    </w:p>
    <w:p>
      <w:pPr>
        <w:pStyle w:val="18"/>
        <w:spacing w:line="480" w:lineRule="auto"/>
        <w:ind w:firstLine="472" w:firstLineChars="225"/>
        <w:jc w:val="left"/>
        <w:rPr>
          <w:rFonts w:hAnsi="宋体"/>
          <w:color w:val="auto"/>
          <w:sz w:val="21"/>
          <w:szCs w:val="21"/>
          <w:highlight w:val="none"/>
        </w:rPr>
      </w:pPr>
    </w:p>
    <w:p>
      <w:pPr>
        <w:pStyle w:val="18"/>
        <w:spacing w:line="480" w:lineRule="auto"/>
        <w:ind w:firstLine="472" w:firstLineChars="225"/>
        <w:jc w:val="left"/>
        <w:rPr>
          <w:rFonts w:hAnsi="宋体"/>
          <w:color w:val="auto"/>
          <w:sz w:val="21"/>
          <w:szCs w:val="21"/>
          <w:highlight w:val="none"/>
        </w:rPr>
      </w:pPr>
    </w:p>
    <w:p>
      <w:pPr>
        <w:pStyle w:val="18"/>
        <w:spacing w:line="480" w:lineRule="auto"/>
        <w:ind w:left="-538" w:leftChars="-256" w:firstLine="539" w:firstLineChars="257"/>
        <w:jc w:val="center"/>
        <w:rPr>
          <w:rFonts w:hAnsi="宋体"/>
          <w:bCs/>
          <w:color w:val="auto"/>
          <w:sz w:val="21"/>
          <w:szCs w:val="21"/>
          <w:highlight w:val="none"/>
        </w:rPr>
      </w:pPr>
      <w:r>
        <w:rPr>
          <w:rFonts w:hint="eastAsia" w:hAnsi="宋体"/>
          <w:bCs/>
          <w:color w:val="auto"/>
          <w:sz w:val="21"/>
          <w:szCs w:val="21"/>
          <w:highlight w:val="none"/>
        </w:rPr>
        <w:t>【此</w:t>
      </w:r>
      <w:r>
        <w:rPr>
          <w:rFonts w:hAnsi="宋体"/>
          <w:bCs/>
          <w:color w:val="auto"/>
          <w:sz w:val="21"/>
          <w:szCs w:val="21"/>
          <w:highlight w:val="none"/>
        </w:rPr>
        <w:t>处请</w:t>
      </w:r>
      <w:r>
        <w:rPr>
          <w:rFonts w:hint="eastAsia" w:hAnsi="宋体"/>
          <w:bCs/>
          <w:color w:val="auto"/>
          <w:sz w:val="21"/>
          <w:szCs w:val="21"/>
          <w:highlight w:val="none"/>
        </w:rPr>
        <w:t>粘</w:t>
      </w:r>
      <w:r>
        <w:rPr>
          <w:rFonts w:hAnsi="宋体"/>
          <w:bCs/>
          <w:color w:val="auto"/>
          <w:sz w:val="21"/>
          <w:szCs w:val="21"/>
          <w:highlight w:val="none"/>
        </w:rPr>
        <w:t>贴</w:t>
      </w:r>
      <w:r>
        <w:rPr>
          <w:rFonts w:hint="eastAsia" w:hAnsi="宋体"/>
          <w:bCs/>
          <w:color w:val="auto"/>
          <w:sz w:val="21"/>
          <w:szCs w:val="21"/>
          <w:highlight w:val="none"/>
        </w:rPr>
        <w:t>法定代表人（单位负责人）身份</w:t>
      </w:r>
      <w:r>
        <w:rPr>
          <w:rFonts w:hAnsi="宋体"/>
          <w:bCs/>
          <w:color w:val="auto"/>
          <w:sz w:val="21"/>
          <w:szCs w:val="21"/>
          <w:highlight w:val="none"/>
        </w:rPr>
        <w:t>证复</w:t>
      </w:r>
      <w:r>
        <w:rPr>
          <w:rFonts w:hint="eastAsia" w:hAnsi="宋体"/>
          <w:bCs/>
          <w:color w:val="auto"/>
          <w:sz w:val="21"/>
          <w:szCs w:val="21"/>
          <w:highlight w:val="none"/>
        </w:rPr>
        <w:t>印件，需清晰反映身份证有效期限】</w:t>
      </w:r>
    </w:p>
    <w:p>
      <w:pPr>
        <w:pStyle w:val="18"/>
        <w:spacing w:line="480" w:lineRule="auto"/>
        <w:ind w:left="-538" w:leftChars="-256" w:firstLine="539" w:firstLineChars="257"/>
        <w:jc w:val="center"/>
        <w:rPr>
          <w:rFonts w:hAnsi="宋体"/>
          <w:bCs/>
          <w:color w:val="auto"/>
          <w:sz w:val="21"/>
          <w:szCs w:val="21"/>
          <w:highlight w:val="none"/>
        </w:rPr>
      </w:pPr>
    </w:p>
    <w:p>
      <w:pPr>
        <w:autoSpaceDE w:val="0"/>
        <w:autoSpaceDN w:val="0"/>
        <w:adjustRightInd w:val="0"/>
        <w:spacing w:line="360" w:lineRule="auto"/>
        <w:ind w:right="-11"/>
        <w:rPr>
          <w:rFonts w:ascii="宋体" w:hAnsi="宋体"/>
          <w:color w:val="auto"/>
          <w:szCs w:val="21"/>
          <w:highlight w:val="none"/>
          <w:lang w:val="zh-CN"/>
        </w:rPr>
      </w:pPr>
    </w:p>
    <w:p>
      <w:pPr>
        <w:autoSpaceDE w:val="0"/>
        <w:autoSpaceDN w:val="0"/>
        <w:adjustRightInd w:val="0"/>
        <w:spacing w:line="360" w:lineRule="auto"/>
        <w:ind w:right="-11"/>
        <w:rPr>
          <w:rFonts w:ascii="宋体" w:hAnsi="宋体"/>
          <w:color w:val="auto"/>
          <w:szCs w:val="21"/>
          <w:highlight w:val="none"/>
          <w:lang w:val="zh-CN"/>
        </w:rPr>
      </w:pPr>
    </w:p>
    <w:p>
      <w:pPr>
        <w:spacing w:line="480" w:lineRule="auto"/>
        <w:ind w:firstLine="3937" w:firstLineChars="1875"/>
        <w:rPr>
          <w:rFonts w:ascii="宋体" w:hAnsi="宋体" w:cs="Arial"/>
          <w:color w:val="auto"/>
          <w:szCs w:val="21"/>
          <w:highlight w:val="none"/>
          <w:u w:val="single"/>
        </w:rPr>
      </w:pPr>
      <w:r>
        <w:rPr>
          <w:rFonts w:hint="eastAsia" w:ascii="宋体" w:hAnsi="宋体" w:cs="Arial"/>
          <w:color w:val="auto"/>
          <w:szCs w:val="21"/>
          <w:highlight w:val="none"/>
        </w:rPr>
        <w:t>投标人名称（并加盖公章）：</w:t>
      </w:r>
    </w:p>
    <w:p>
      <w:pPr>
        <w:pStyle w:val="19"/>
        <w:spacing w:before="60" w:line="480" w:lineRule="auto"/>
        <w:ind w:firstLine="3937" w:firstLineChars="1875"/>
        <w:rPr>
          <w:rFonts w:ascii="宋体" w:hAnsi="宋体" w:cs="Arial"/>
          <w:color w:val="auto"/>
          <w:sz w:val="21"/>
          <w:szCs w:val="21"/>
          <w:highlight w:val="none"/>
        </w:rPr>
      </w:pPr>
      <w:r>
        <w:rPr>
          <w:rFonts w:hint="eastAsia" w:ascii="宋体" w:hAnsi="宋体" w:cs="Arial"/>
          <w:color w:val="auto"/>
          <w:sz w:val="21"/>
          <w:szCs w:val="21"/>
          <w:highlight w:val="none"/>
        </w:rPr>
        <w:t>签署日期：       年 月  日</w:t>
      </w:r>
    </w:p>
    <w:p>
      <w:pPr>
        <w:pStyle w:val="20"/>
        <w:spacing w:line="480" w:lineRule="auto"/>
        <w:rPr>
          <w:rFonts w:ascii="宋体" w:hAnsi="宋体" w:cs="Arial"/>
          <w:color w:val="auto"/>
          <w:sz w:val="21"/>
          <w:szCs w:val="21"/>
          <w:highlight w:val="none"/>
        </w:rPr>
      </w:pPr>
    </w:p>
    <w:p>
      <w:pPr>
        <w:rPr>
          <w:color w:val="auto"/>
          <w:szCs w:val="21"/>
          <w:highlight w:val="none"/>
        </w:rPr>
      </w:pPr>
    </w:p>
    <w:p>
      <w:pPr>
        <w:spacing w:line="320" w:lineRule="exact"/>
        <w:ind w:firstLine="420" w:firstLineChars="200"/>
        <w:rPr>
          <w:rFonts w:ascii="宋体" w:hAnsi="宋体"/>
          <w:bCs/>
          <w:color w:val="auto"/>
          <w:kern w:val="12"/>
          <w:szCs w:val="21"/>
          <w:highlight w:val="none"/>
        </w:rPr>
      </w:pPr>
    </w:p>
    <w:p>
      <w:pPr>
        <w:spacing w:line="320" w:lineRule="exact"/>
        <w:ind w:firstLine="420" w:firstLineChars="200"/>
        <w:rPr>
          <w:rFonts w:ascii="宋体" w:hAnsi="宋体"/>
          <w:bCs/>
          <w:color w:val="auto"/>
          <w:kern w:val="12"/>
          <w:szCs w:val="21"/>
          <w:highlight w:val="none"/>
        </w:rPr>
      </w:pPr>
      <w:r>
        <w:rPr>
          <w:rFonts w:hint="eastAsia" w:ascii="宋体" w:hAnsi="宋体"/>
          <w:bCs/>
          <w:color w:val="auto"/>
          <w:kern w:val="12"/>
          <w:szCs w:val="21"/>
          <w:highlight w:val="none"/>
        </w:rPr>
        <w:t>说明：法定代表人（单位负责人）</w:t>
      </w:r>
      <w:r>
        <w:rPr>
          <w:rFonts w:ascii="宋体" w:hAnsi="宋体"/>
          <w:bCs/>
          <w:color w:val="auto"/>
          <w:kern w:val="12"/>
          <w:szCs w:val="21"/>
          <w:highlight w:val="none"/>
        </w:rPr>
        <w:t>参</w:t>
      </w:r>
      <w:r>
        <w:rPr>
          <w:rFonts w:hint="eastAsia" w:ascii="宋体" w:hAnsi="宋体"/>
          <w:bCs/>
          <w:color w:val="auto"/>
          <w:kern w:val="12"/>
          <w:szCs w:val="21"/>
          <w:highlight w:val="none"/>
        </w:rPr>
        <w:t>加本招</w:t>
      </w:r>
      <w:r>
        <w:rPr>
          <w:rFonts w:ascii="宋体" w:hAnsi="宋体"/>
          <w:bCs/>
          <w:color w:val="auto"/>
          <w:kern w:val="12"/>
          <w:szCs w:val="21"/>
          <w:highlight w:val="none"/>
        </w:rPr>
        <w:t>标项目</w:t>
      </w:r>
      <w:r>
        <w:rPr>
          <w:rFonts w:hint="eastAsia" w:ascii="宋体" w:hAnsi="宋体"/>
          <w:bCs/>
          <w:color w:val="auto"/>
          <w:kern w:val="12"/>
          <w:szCs w:val="21"/>
          <w:highlight w:val="none"/>
        </w:rPr>
        <w:t>投</w:t>
      </w:r>
      <w:r>
        <w:rPr>
          <w:rFonts w:ascii="宋体" w:hAnsi="宋体"/>
          <w:bCs/>
          <w:color w:val="auto"/>
          <w:kern w:val="12"/>
          <w:szCs w:val="21"/>
          <w:highlight w:val="none"/>
        </w:rPr>
        <w:t>标</w:t>
      </w:r>
      <w:r>
        <w:rPr>
          <w:rFonts w:hint="eastAsia" w:ascii="宋体" w:hAnsi="宋体"/>
          <w:bCs/>
          <w:color w:val="auto"/>
          <w:kern w:val="12"/>
          <w:szCs w:val="21"/>
          <w:highlight w:val="none"/>
        </w:rPr>
        <w:t>的，</w:t>
      </w:r>
      <w:r>
        <w:rPr>
          <w:rFonts w:ascii="宋体" w:hAnsi="宋体"/>
          <w:bCs/>
          <w:color w:val="auto"/>
          <w:kern w:val="12"/>
          <w:szCs w:val="21"/>
          <w:highlight w:val="none"/>
        </w:rPr>
        <w:t>仅须</w:t>
      </w:r>
      <w:r>
        <w:rPr>
          <w:rFonts w:hint="eastAsia" w:ascii="宋体" w:hAnsi="宋体"/>
          <w:bCs/>
          <w:color w:val="auto"/>
          <w:kern w:val="12"/>
          <w:szCs w:val="21"/>
          <w:highlight w:val="none"/>
        </w:rPr>
        <w:t>出具此</w:t>
      </w:r>
      <w:r>
        <w:rPr>
          <w:rFonts w:ascii="宋体" w:hAnsi="宋体"/>
          <w:bCs/>
          <w:color w:val="auto"/>
          <w:kern w:val="12"/>
          <w:szCs w:val="21"/>
          <w:highlight w:val="none"/>
        </w:rPr>
        <w:t>证</w:t>
      </w:r>
      <w:r>
        <w:rPr>
          <w:rFonts w:hint="eastAsia" w:ascii="宋体" w:hAnsi="宋体"/>
          <w:bCs/>
          <w:color w:val="auto"/>
          <w:kern w:val="12"/>
          <w:szCs w:val="21"/>
          <w:highlight w:val="none"/>
        </w:rPr>
        <w:t>明</w:t>
      </w:r>
      <w:r>
        <w:rPr>
          <w:rFonts w:ascii="宋体" w:hAnsi="宋体"/>
          <w:bCs/>
          <w:color w:val="auto"/>
          <w:kern w:val="12"/>
          <w:szCs w:val="21"/>
          <w:highlight w:val="none"/>
        </w:rPr>
        <w:t>书</w:t>
      </w:r>
      <w:r>
        <w:rPr>
          <w:rFonts w:hint="eastAsia" w:ascii="宋体" w:hAnsi="宋体"/>
          <w:bCs/>
          <w:color w:val="auto"/>
          <w:kern w:val="12"/>
          <w:szCs w:val="21"/>
          <w:highlight w:val="none"/>
        </w:rPr>
        <w:t>。</w:t>
      </w: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法人姓名</w:t>
      </w:r>
      <w:r>
        <w:rPr>
          <w:rFonts w:hint="eastAsia" w:ascii="宋体" w:hAnsi="宋体" w:cs="Arial"/>
          <w:color w:val="auto"/>
          <w:szCs w:val="21"/>
          <w:highlight w:val="none"/>
        </w:rPr>
        <w:t>系</w:t>
      </w:r>
      <w:r>
        <w:rPr>
          <w:rFonts w:hint="eastAsia" w:ascii="宋体" w:hAnsi="宋体" w:cs="Arial"/>
          <w:color w:val="auto"/>
          <w:szCs w:val="21"/>
          <w:highlight w:val="none"/>
          <w:u w:val="single"/>
        </w:rPr>
        <w:t>　</w:t>
      </w:r>
      <w:r>
        <w:rPr>
          <w:rFonts w:hint="eastAsia" w:ascii="宋体" w:hAnsi="宋体"/>
          <w:i/>
          <w:snapToGrid w:val="0"/>
          <w:color w:val="auto"/>
          <w:szCs w:val="21"/>
          <w:highlight w:val="none"/>
          <w:u w:val="single"/>
        </w:rPr>
        <w:t xml:space="preserve">投标人名称  </w:t>
      </w:r>
      <w:r>
        <w:rPr>
          <w:rFonts w:hint="eastAsia" w:ascii="宋体" w:hAnsi="宋体" w:cs="Arial"/>
          <w:color w:val="auto"/>
          <w:szCs w:val="21"/>
          <w:highlight w:val="none"/>
        </w:rPr>
        <w:t>的法定代表人（单位负责人），现委托</w:t>
      </w:r>
      <w:r>
        <w:rPr>
          <w:rFonts w:hint="eastAsia" w:ascii="宋体" w:hAnsi="宋体" w:cs="Arial"/>
          <w:color w:val="auto"/>
          <w:szCs w:val="21"/>
          <w:highlight w:val="none"/>
          <w:u w:val="single"/>
        </w:rPr>
        <w:t xml:space="preserve">　 </w:t>
      </w:r>
      <w:r>
        <w:rPr>
          <w:rFonts w:hint="eastAsia" w:ascii="宋体" w:hAnsi="宋体"/>
          <w:i/>
          <w:snapToGrid w:val="0"/>
          <w:color w:val="auto"/>
          <w:szCs w:val="21"/>
          <w:highlight w:val="none"/>
          <w:u w:val="single"/>
        </w:rPr>
        <w:t>姓名，职务</w:t>
      </w:r>
      <w:r>
        <w:rPr>
          <w:rFonts w:hint="eastAsia" w:ascii="宋体" w:hAnsi="宋体" w:cs="Arial"/>
          <w:color w:val="auto"/>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我方对被授权人的签名事项负全部责任。</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color w:val="auto"/>
          <w:szCs w:val="21"/>
          <w:highlight w:val="none"/>
        </w:rPr>
      </w:pPr>
      <w:r>
        <w:rPr>
          <w:rFonts w:hint="eastAsia" w:ascii="宋体" w:hAnsi="宋体" w:cs="Arial"/>
          <w:color w:val="auto"/>
          <w:szCs w:val="21"/>
          <w:highlight w:val="none"/>
        </w:rPr>
        <w:t>被授权人无转委托权，特此委托。</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投标人名称： </w:t>
      </w:r>
      <w:r>
        <w:rPr>
          <w:rFonts w:hint="eastAsia" w:ascii="宋体" w:hAnsi="宋体"/>
          <w:color w:val="auto"/>
          <w:szCs w:val="21"/>
          <w:highlight w:val="none"/>
          <w:u w:val="single"/>
        </w:rPr>
        <w:t xml:space="preserve">       （全称）       </w:t>
      </w:r>
      <w:r>
        <w:rPr>
          <w:rFonts w:hint="eastAsia" w:ascii="宋体" w:hAnsi="宋体"/>
          <w:color w:val="auto"/>
          <w:szCs w:val="21"/>
          <w:highlight w:val="none"/>
        </w:rPr>
        <w:t xml:space="preserve"> （盖单位公章）</w:t>
      </w:r>
    </w:p>
    <w:p>
      <w:pPr>
        <w:spacing w:line="48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法定代表人（单位负责人）： （签名或加盖名章）</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  （</w:t>
      </w:r>
      <w:r>
        <w:rPr>
          <w:rFonts w:hint="eastAsia" w:ascii="宋体" w:hAnsi="宋体" w:cs="Arial"/>
          <w:color w:val="auto"/>
          <w:szCs w:val="21"/>
          <w:highlight w:val="none"/>
        </w:rPr>
        <w:t>签名或加盖名章</w:t>
      </w:r>
      <w:r>
        <w:rPr>
          <w:rFonts w:hint="eastAsia" w:ascii="宋体" w:hAnsi="宋体"/>
          <w:color w:val="auto"/>
          <w:szCs w:val="21"/>
          <w:highlight w:val="none"/>
        </w:rPr>
        <w:t>）</w:t>
      </w:r>
    </w:p>
    <w:p>
      <w:pPr>
        <w:spacing w:line="480" w:lineRule="auto"/>
        <w:ind w:firstLine="420" w:firstLineChars="200"/>
        <w:rPr>
          <w:rFonts w:ascii="宋体" w:hAnsi="宋体"/>
          <w:color w:val="auto"/>
          <w:szCs w:val="21"/>
          <w:highlight w:val="none"/>
        </w:rPr>
      </w:pPr>
      <w:r>
        <w:rPr>
          <w:rFonts w:hint="eastAsia" w:ascii="宋体" w:hAnsi="宋体" w:cs="Arial"/>
          <w:color w:val="auto"/>
          <w:szCs w:val="21"/>
          <w:highlight w:val="none"/>
        </w:rPr>
        <w:t>法定代表人（单位负责人）</w:t>
      </w:r>
      <w:r>
        <w:rPr>
          <w:rFonts w:hint="eastAsia" w:ascii="宋体" w:hAnsi="宋体"/>
          <w:color w:val="auto"/>
          <w:szCs w:val="21"/>
          <w:highlight w:val="none"/>
        </w:rPr>
        <w:t>授权代表联系电话（手机）：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法定代表人（单位负责人）身份证（正面）</w:t>
            </w:r>
          </w:p>
        </w:tc>
        <w:tc>
          <w:tcPr>
            <w:tcW w:w="44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宋体" w:hAnsi="宋体"/>
                <w:color w:val="auto"/>
                <w:szCs w:val="21"/>
                <w:highlight w:val="none"/>
              </w:rPr>
            </w:pPr>
            <w:bookmarkStart w:id="57" w:name="_资格证明文件"/>
            <w:bookmarkEnd w:id="57"/>
            <w:bookmarkStart w:id="58" w:name="_Toc364329026"/>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（正面）</w:t>
            </w:r>
            <w:bookmarkEnd w:id="58"/>
          </w:p>
        </w:tc>
        <w:tc>
          <w:tcPr>
            <w:tcW w:w="4492" w:type="dxa"/>
            <w:gridSpan w:val="2"/>
            <w:vAlign w:val="center"/>
          </w:tcPr>
          <w:p>
            <w:pPr>
              <w:jc w:val="center"/>
              <w:rPr>
                <w:rFonts w:ascii="宋体" w:hAnsi="宋体"/>
                <w:color w:val="auto"/>
                <w:szCs w:val="21"/>
                <w:highlight w:val="none"/>
              </w:rPr>
            </w:pPr>
            <w:bookmarkStart w:id="59" w:name="_Toc364329027"/>
            <w:r>
              <w:rPr>
                <w:rFonts w:hint="eastAsia" w:ascii="宋体" w:hAnsi="宋体"/>
                <w:color w:val="auto"/>
                <w:szCs w:val="21"/>
                <w:highlight w:val="none"/>
              </w:rPr>
              <w:t>法定代表人（单位负责人）授权代表身份证</w:t>
            </w:r>
          </w:p>
          <w:p>
            <w:pPr>
              <w:jc w:val="center"/>
              <w:rPr>
                <w:rFonts w:ascii="宋体" w:hAnsi="宋体"/>
                <w:color w:val="auto"/>
                <w:szCs w:val="21"/>
                <w:highlight w:val="none"/>
              </w:rPr>
            </w:pPr>
            <w:r>
              <w:rPr>
                <w:rFonts w:hint="eastAsia" w:ascii="宋体" w:hAnsi="宋体"/>
                <w:color w:val="auto"/>
                <w:szCs w:val="21"/>
                <w:highlight w:val="none"/>
              </w:rPr>
              <w:t>（反面）</w:t>
            </w:r>
            <w:bookmarkEnd w:id="59"/>
          </w:p>
        </w:tc>
      </w:tr>
    </w:tbl>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rPr>
          <w:color w:val="auto"/>
          <w:highlight w:val="none"/>
        </w:rPr>
      </w:pPr>
    </w:p>
    <w:p>
      <w:pPr>
        <w:widowControl/>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3.4投标承诺函</w:t>
      </w:r>
    </w:p>
    <w:p>
      <w:pPr>
        <w:autoSpaceDE w:val="0"/>
        <w:autoSpaceDN w:val="0"/>
        <w:snapToGrid w:val="0"/>
        <w:spacing w:line="360" w:lineRule="auto"/>
        <w:jc w:val="center"/>
        <w:rPr>
          <w:rFonts w:ascii="宋体" w:hAnsi="宋体"/>
          <w:b/>
          <w:bCs/>
          <w:color w:val="auto"/>
          <w:sz w:val="24"/>
          <w:szCs w:val="24"/>
          <w:highlight w:val="none"/>
        </w:rPr>
      </w:pPr>
    </w:p>
    <w:p>
      <w:pPr>
        <w:spacing w:before="156" w:beforeLines="50" w:after="156" w:afterLines="50" w:line="360" w:lineRule="auto"/>
        <w:contextualSpacing/>
        <w:rPr>
          <w:rFonts w:ascii="宋体" w:hAnsi="宋体"/>
          <w:color w:val="auto"/>
          <w:szCs w:val="21"/>
          <w:highlight w:val="none"/>
          <w:lang w:val="zh-CN"/>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采购人           </w:t>
      </w:r>
      <w:r>
        <w:rPr>
          <w:rFonts w:ascii="宋体" w:hAnsi="宋体"/>
          <w:color w:val="auto"/>
          <w:szCs w:val="21"/>
          <w:highlight w:val="none"/>
          <w:lang w:val="zh-CN"/>
        </w:rPr>
        <w:t>：</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ascii="宋体" w:hAnsi="宋体"/>
          <w:color w:val="auto"/>
          <w:szCs w:val="21"/>
          <w:highlight w:val="none"/>
          <w:lang w:val="zh-CN"/>
        </w:rPr>
        <w:t>经研究，我</w:t>
      </w:r>
      <w:r>
        <w:rPr>
          <w:rFonts w:hint="eastAsia" w:ascii="宋体" w:hAnsi="宋体"/>
          <w:color w:val="auto"/>
          <w:szCs w:val="21"/>
          <w:highlight w:val="none"/>
          <w:lang w:val="zh-CN"/>
        </w:rPr>
        <w:t>方自愿参与贵方</w:t>
      </w:r>
      <w:r>
        <w:rPr>
          <w:rFonts w:ascii="宋体" w:hAnsi="宋体"/>
          <w:color w:val="auto"/>
          <w:szCs w:val="21"/>
          <w:highlight w:val="none"/>
          <w:lang w:val="zh-CN"/>
        </w:rPr>
        <w:t>____年____月____日________</w:t>
      </w:r>
      <w:r>
        <w:rPr>
          <w:rFonts w:hint="eastAsia" w:ascii="宋体" w:hAnsi="宋体"/>
          <w:i/>
          <w:color w:val="auto"/>
          <w:szCs w:val="21"/>
          <w:highlight w:val="none"/>
          <w:u w:val="single"/>
          <w:lang w:val="zh-CN"/>
        </w:rPr>
        <w:t>（招标编号、项目名称）</w:t>
      </w:r>
      <w:r>
        <w:rPr>
          <w:rFonts w:hint="eastAsia" w:ascii="宋体" w:hAnsi="宋体"/>
          <w:color w:val="auto"/>
          <w:szCs w:val="21"/>
          <w:highlight w:val="none"/>
          <w:lang w:val="zh-CN"/>
        </w:rPr>
        <w:t>的</w:t>
      </w:r>
      <w:r>
        <w:rPr>
          <w:rFonts w:ascii="宋体" w:hAnsi="宋体"/>
          <w:color w:val="auto"/>
          <w:szCs w:val="21"/>
          <w:highlight w:val="none"/>
          <w:lang w:val="zh-CN"/>
        </w:rPr>
        <w:t>投标，</w:t>
      </w:r>
      <w:r>
        <w:rPr>
          <w:rFonts w:hint="eastAsia" w:ascii="宋体" w:hAnsi="宋体"/>
          <w:color w:val="auto"/>
          <w:szCs w:val="21"/>
          <w:highlight w:val="none"/>
          <w:lang w:val="zh-CN"/>
        </w:rPr>
        <w:t>将</w:t>
      </w:r>
      <w:r>
        <w:rPr>
          <w:rFonts w:ascii="宋体" w:hAnsi="宋体"/>
          <w:color w:val="auto"/>
          <w:szCs w:val="21"/>
          <w:highlight w:val="none"/>
          <w:lang w:val="zh-CN"/>
        </w:rPr>
        <w:t>严格</w:t>
      </w:r>
      <w:r>
        <w:rPr>
          <w:rFonts w:hint="eastAsia" w:ascii="宋体" w:hAnsi="宋体"/>
          <w:color w:val="auto"/>
          <w:szCs w:val="21"/>
          <w:highlight w:val="none"/>
          <w:lang w:val="zh-CN"/>
        </w:rPr>
        <w:t>遵守</w:t>
      </w:r>
      <w:r>
        <w:rPr>
          <w:rFonts w:ascii="宋体" w:hAnsi="宋体"/>
          <w:color w:val="auto"/>
          <w:szCs w:val="21"/>
          <w:highlight w:val="none"/>
          <w:lang w:val="zh-CN"/>
        </w:rPr>
        <w:t>《</w:t>
      </w:r>
      <w:r>
        <w:rPr>
          <w:rFonts w:hint="eastAsia" w:ascii="宋体" w:hAnsi="宋体"/>
          <w:color w:val="auto"/>
          <w:szCs w:val="21"/>
          <w:highlight w:val="none"/>
          <w:lang w:val="zh-CN"/>
        </w:rPr>
        <w:t>中华人民共和国政府采购</w:t>
      </w:r>
      <w:r>
        <w:rPr>
          <w:rFonts w:ascii="宋体" w:hAnsi="宋体"/>
          <w:color w:val="auto"/>
          <w:szCs w:val="21"/>
          <w:highlight w:val="none"/>
          <w:lang w:val="zh-CN"/>
        </w:rPr>
        <w:t>法》等</w:t>
      </w:r>
      <w:r>
        <w:rPr>
          <w:rFonts w:hint="eastAsia" w:ascii="宋体" w:hAnsi="宋体"/>
          <w:color w:val="auto"/>
          <w:szCs w:val="21"/>
          <w:highlight w:val="none"/>
          <w:lang w:val="zh-CN"/>
        </w:rPr>
        <w:t>相关</w:t>
      </w:r>
      <w:r>
        <w:rPr>
          <w:rFonts w:ascii="宋体" w:hAnsi="宋体"/>
          <w:color w:val="auto"/>
          <w:szCs w:val="21"/>
          <w:highlight w:val="none"/>
          <w:lang w:val="zh-CN"/>
        </w:rPr>
        <w:t>法律法规</w:t>
      </w:r>
      <w:r>
        <w:rPr>
          <w:rFonts w:hint="eastAsia" w:ascii="宋体" w:hAnsi="宋体"/>
          <w:color w:val="auto"/>
          <w:szCs w:val="21"/>
          <w:highlight w:val="none"/>
          <w:lang w:val="zh-CN"/>
        </w:rPr>
        <w:t>规定</w:t>
      </w:r>
      <w:r>
        <w:rPr>
          <w:rFonts w:ascii="宋体" w:hAnsi="宋体"/>
          <w:color w:val="auto"/>
          <w:szCs w:val="21"/>
          <w:highlight w:val="none"/>
          <w:lang w:val="zh-CN"/>
        </w:rPr>
        <w:t>，并无条件地遵守本次采购活动各项规定。我们郑重承诺：</w:t>
      </w:r>
      <w:r>
        <w:rPr>
          <w:rFonts w:hint="eastAsia" w:ascii="宋体" w:hAnsi="宋体"/>
          <w:color w:val="auto"/>
          <w:szCs w:val="21"/>
          <w:highlight w:val="none"/>
          <w:lang w:val="zh-CN"/>
        </w:rPr>
        <w:t>我方</w:t>
      </w:r>
      <w:r>
        <w:rPr>
          <w:rFonts w:ascii="宋体" w:hAnsi="宋体"/>
          <w:color w:val="auto"/>
          <w:szCs w:val="21"/>
          <w:highlight w:val="none"/>
          <w:lang w:val="zh-CN"/>
        </w:rPr>
        <w:t>如果在本次</w:t>
      </w:r>
      <w:r>
        <w:rPr>
          <w:rFonts w:hint="eastAsia" w:ascii="宋体" w:hAnsi="宋体"/>
          <w:color w:val="auto"/>
          <w:szCs w:val="21"/>
          <w:highlight w:val="none"/>
          <w:lang w:val="zh-CN"/>
        </w:rPr>
        <w:t>投标</w:t>
      </w:r>
      <w:r>
        <w:rPr>
          <w:rFonts w:ascii="宋体" w:hAnsi="宋体"/>
          <w:color w:val="auto"/>
          <w:szCs w:val="21"/>
          <w:highlight w:val="none"/>
          <w:lang w:val="zh-CN"/>
        </w:rPr>
        <w:t>活动中有</w:t>
      </w:r>
      <w:r>
        <w:rPr>
          <w:rFonts w:hint="eastAsia" w:ascii="宋体" w:hAnsi="宋体"/>
          <w:color w:val="auto"/>
          <w:szCs w:val="21"/>
          <w:highlight w:val="none"/>
          <w:lang w:val="zh-CN"/>
        </w:rPr>
        <w:t>下列</w:t>
      </w:r>
      <w:r>
        <w:rPr>
          <w:rFonts w:ascii="宋体" w:hAnsi="宋体"/>
          <w:color w:val="auto"/>
          <w:szCs w:val="21"/>
          <w:highlight w:val="none"/>
          <w:lang w:val="zh-CN"/>
        </w:rPr>
        <w:t>情形</w:t>
      </w:r>
      <w:r>
        <w:rPr>
          <w:rFonts w:hint="eastAsia" w:ascii="宋体" w:hAnsi="宋体"/>
          <w:color w:val="auto"/>
          <w:szCs w:val="21"/>
          <w:highlight w:val="none"/>
          <w:lang w:val="zh-CN"/>
        </w:rPr>
        <w:t>之一</w:t>
      </w:r>
      <w:r>
        <w:rPr>
          <w:rFonts w:ascii="宋体" w:hAnsi="宋体"/>
          <w:color w:val="auto"/>
          <w:szCs w:val="21"/>
          <w:highlight w:val="none"/>
          <w:lang w:val="zh-CN"/>
        </w:rPr>
        <w:t>的，愿接受政府采购</w:t>
      </w:r>
      <w:r>
        <w:rPr>
          <w:rFonts w:hint="eastAsia" w:ascii="宋体" w:hAnsi="宋体"/>
          <w:color w:val="auto"/>
          <w:szCs w:val="21"/>
          <w:highlight w:val="none"/>
          <w:lang w:val="zh-CN"/>
        </w:rPr>
        <w:t>监督管理</w:t>
      </w:r>
      <w:r>
        <w:rPr>
          <w:rFonts w:ascii="宋体" w:hAnsi="宋体"/>
          <w:color w:val="auto"/>
          <w:szCs w:val="21"/>
          <w:highlight w:val="none"/>
          <w:lang w:val="zh-CN"/>
        </w:rPr>
        <w:t>部门给予相关处罚并</w:t>
      </w:r>
      <w:r>
        <w:rPr>
          <w:rFonts w:hint="eastAsia" w:ascii="宋体" w:hAnsi="宋体"/>
          <w:color w:val="auto"/>
          <w:szCs w:val="21"/>
          <w:highlight w:val="none"/>
          <w:lang w:val="zh-CN"/>
        </w:rPr>
        <w:t>承诺依法</w:t>
      </w:r>
      <w:r>
        <w:rPr>
          <w:rFonts w:ascii="宋体" w:hAnsi="宋体"/>
          <w:color w:val="auto"/>
          <w:szCs w:val="21"/>
          <w:highlight w:val="none"/>
          <w:lang w:val="zh-CN"/>
        </w:rPr>
        <w:t>承担</w:t>
      </w:r>
      <w:r>
        <w:rPr>
          <w:rFonts w:hint="eastAsia" w:ascii="宋体" w:hAnsi="宋体"/>
          <w:color w:val="auto"/>
          <w:szCs w:val="21"/>
          <w:highlight w:val="none"/>
          <w:lang w:val="zh-CN"/>
        </w:rPr>
        <w:t>相关的经济赔偿责任和</w:t>
      </w:r>
      <w:r>
        <w:rPr>
          <w:rFonts w:ascii="宋体" w:hAnsi="宋体"/>
          <w:color w:val="auto"/>
          <w:szCs w:val="21"/>
          <w:highlight w:val="none"/>
          <w:lang w:val="zh-CN"/>
        </w:rPr>
        <w:t>法律责任。</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一、在投标有效期内撤销投标文件；</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二、在投标文件中提供虚假材料；</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四、与采购人、其他投标人或者采购代理机构恶意串通；</w:t>
      </w:r>
    </w:p>
    <w:p>
      <w:pPr>
        <w:spacing w:before="156" w:beforeLines="50" w:after="156" w:afterLines="50" w:line="360" w:lineRule="auto"/>
        <w:ind w:firstLine="420" w:firstLineChars="200"/>
        <w:contextualSpacing/>
        <w:rPr>
          <w:rFonts w:ascii="宋体" w:hAnsi="宋体"/>
          <w:color w:val="auto"/>
          <w:szCs w:val="21"/>
          <w:highlight w:val="none"/>
          <w:lang w:val="zh-CN"/>
        </w:rPr>
      </w:pPr>
      <w:r>
        <w:rPr>
          <w:rFonts w:hint="eastAsia" w:ascii="宋体" w:hAnsi="宋体"/>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ascii="宋体" w:hAnsi="宋体" w:cs="Arial"/>
          <w:color w:val="auto"/>
          <w:szCs w:val="21"/>
          <w:highlight w:val="none"/>
        </w:rPr>
      </w:pPr>
      <w:r>
        <w:rPr>
          <w:rFonts w:hint="eastAsia" w:ascii="宋体" w:hAnsi="宋体" w:cs="Arial"/>
          <w:color w:val="auto"/>
          <w:szCs w:val="21"/>
          <w:highlight w:val="none"/>
        </w:rPr>
        <w:t>投标人名称（并加盖公章）：</w:t>
      </w:r>
      <w:r>
        <w:rPr>
          <w:rFonts w:ascii="宋体" w:hAnsi="宋体"/>
          <w:color w:val="auto"/>
          <w:szCs w:val="21"/>
          <w:highlight w:val="none"/>
          <w:lang w:val="zh-CN"/>
        </w:rPr>
        <w:t>____________</w:t>
      </w:r>
    </w:p>
    <w:p>
      <w:pPr>
        <w:adjustRightInd w:val="0"/>
        <w:snapToGrid w:val="0"/>
        <w:spacing w:line="360" w:lineRule="auto"/>
        <w:ind w:firstLine="4410" w:firstLineChars="2100"/>
        <w:rPr>
          <w:rFonts w:ascii="宋体" w:hAnsi="宋体"/>
          <w:color w:val="auto"/>
          <w:szCs w:val="21"/>
          <w:highlight w:val="none"/>
        </w:rPr>
      </w:pPr>
      <w:r>
        <w:rPr>
          <w:rFonts w:hint="eastAsia" w:ascii="宋体" w:hAnsi="宋体"/>
          <w:color w:val="auto"/>
          <w:szCs w:val="21"/>
          <w:highlight w:val="none"/>
        </w:rPr>
        <w:t>日期：      年   月   日</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jc w:val="center"/>
        <w:rPr>
          <w:rFonts w:ascii="宋体"/>
          <w:color w:val="auto"/>
          <w:szCs w:val="21"/>
          <w:highlight w:val="none"/>
          <w:lang w:val="zh-CN"/>
        </w:rPr>
      </w:pPr>
    </w:p>
    <w:p>
      <w:pPr>
        <w:autoSpaceDE w:val="0"/>
        <w:autoSpaceDN w:val="0"/>
        <w:adjustRightInd w:val="0"/>
        <w:spacing w:line="360" w:lineRule="auto"/>
        <w:ind w:right="-11"/>
        <w:rPr>
          <w:rFonts w:ascii="宋体"/>
          <w:color w:val="auto"/>
          <w:szCs w:val="21"/>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autoSpaceDE w:val="0"/>
        <w:autoSpaceDN w:val="0"/>
        <w:adjustRightInd w:val="0"/>
        <w:spacing w:line="360" w:lineRule="auto"/>
        <w:jc w:val="center"/>
        <w:rPr>
          <w:rFonts w:ascii="宋体" w:hAnsi="宋体"/>
          <w:color w:val="auto"/>
          <w:sz w:val="24"/>
          <w:szCs w:val="24"/>
          <w:highlight w:val="none"/>
          <w:lang w:val="zh-CN"/>
        </w:rPr>
      </w:pPr>
    </w:p>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br w:type="page"/>
      </w:r>
      <w:r>
        <w:rPr>
          <w:rFonts w:hint="eastAsia" w:ascii="宋体" w:hAnsi="宋体"/>
          <w:b/>
          <w:bCs/>
          <w:color w:val="auto"/>
          <w:sz w:val="24"/>
          <w:szCs w:val="24"/>
          <w:highlight w:val="none"/>
        </w:rPr>
        <w:t>3.5  禹州市政府采购供应商信用承诺函</w:t>
      </w:r>
    </w:p>
    <w:p>
      <w:pPr>
        <w:rPr>
          <w:rFonts w:ascii="宋体" w:hAnsi="宋体"/>
          <w:color w:val="auto"/>
          <w:szCs w:val="21"/>
          <w:highlight w:val="none"/>
          <w:lang w:val="zh-CN"/>
        </w:rPr>
      </w:pPr>
    </w:p>
    <w:p>
      <w:pPr>
        <w:spacing w:line="600" w:lineRule="exact"/>
        <w:rPr>
          <w:rFonts w:ascii="宋体" w:hAnsi="宋体"/>
          <w:color w:val="auto"/>
          <w:szCs w:val="21"/>
          <w:highlight w:val="none"/>
          <w:lang w:val="zh-CN"/>
        </w:rPr>
      </w:pPr>
      <w:r>
        <w:rPr>
          <w:rFonts w:ascii="宋体" w:hAnsi="宋体"/>
          <w:color w:val="auto"/>
          <w:szCs w:val="21"/>
          <w:highlight w:val="none"/>
          <w:lang w:val="zh-CN"/>
        </w:rPr>
        <w:t>致（采购人或采购代理机构）：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单位名称（自然人姓名）:</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统一社会信用代码（身份证号码）:</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联系地址和电话：</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（一）具有独立承担民事责任的能力；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（二）具有良好的商业信誉和健全的财务会计制度；</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（三）具有履行合同所必需的设备和专业技术能力；</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（四）有依法缴纳税收和社会保障资金的良好记录；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（五）参加政府采购活动前三年内，在经营活动中没有重大违法记录；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（七）未被相关监管部门作出行政处罚且尚在处罚有效期的；</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（八）未曾作出虚假采购承诺；</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（九）符合法律、行政法规规定的其他条件。</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供应商（电子章）:</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法定代表人、负责人、本人、或授权代表（签字或电子印章）:</w:t>
      </w:r>
    </w:p>
    <w:p>
      <w:pPr>
        <w:spacing w:line="600" w:lineRule="exact"/>
        <w:ind w:firstLine="420" w:firstLineChars="200"/>
        <w:rPr>
          <w:rFonts w:ascii="宋体" w:hAnsi="宋体"/>
          <w:color w:val="auto"/>
          <w:szCs w:val="21"/>
          <w:highlight w:val="none"/>
          <w:lang w:val="zh-CN"/>
        </w:rPr>
      </w:pPr>
      <w:r>
        <w:rPr>
          <w:rFonts w:ascii="宋体" w:hAnsi="宋体"/>
          <w:color w:val="auto"/>
          <w:szCs w:val="21"/>
          <w:highlight w:val="none"/>
          <w:lang w:val="zh-CN"/>
        </w:rPr>
        <w:t>日期：</w:t>
      </w:r>
      <w:r>
        <w:rPr>
          <w:rFonts w:hint="eastAsia" w:ascii="宋体" w:hAnsi="宋体"/>
          <w:color w:val="auto"/>
          <w:szCs w:val="21"/>
          <w:highlight w:val="none"/>
        </w:rPr>
        <w:t xml:space="preserve">           </w:t>
      </w:r>
      <w:r>
        <w:rPr>
          <w:rFonts w:ascii="宋体" w:hAnsi="宋体"/>
          <w:color w:val="auto"/>
          <w:szCs w:val="21"/>
          <w:highlight w:val="none"/>
          <w:lang w:val="zh-CN"/>
        </w:rPr>
        <w:t>年</w:t>
      </w:r>
      <w:r>
        <w:rPr>
          <w:rFonts w:hint="eastAsia" w:ascii="宋体" w:hAnsi="宋体"/>
          <w:color w:val="auto"/>
          <w:szCs w:val="21"/>
          <w:highlight w:val="none"/>
        </w:rPr>
        <w:t xml:space="preserve">   </w:t>
      </w:r>
      <w:r>
        <w:rPr>
          <w:rFonts w:ascii="宋体" w:hAnsi="宋体"/>
          <w:color w:val="auto"/>
          <w:szCs w:val="21"/>
          <w:highlight w:val="none"/>
          <w:lang w:val="zh-CN"/>
        </w:rPr>
        <w:t>月</w:t>
      </w:r>
      <w:r>
        <w:rPr>
          <w:rFonts w:hint="eastAsia" w:ascii="宋体" w:hAnsi="宋体"/>
          <w:color w:val="auto"/>
          <w:szCs w:val="21"/>
          <w:highlight w:val="none"/>
        </w:rPr>
        <w:t xml:space="preserve">      </w:t>
      </w:r>
      <w:r>
        <w:rPr>
          <w:rFonts w:ascii="宋体" w:hAnsi="宋体"/>
          <w:color w:val="auto"/>
          <w:szCs w:val="21"/>
          <w:highlight w:val="none"/>
          <w:lang w:val="zh-CN"/>
        </w:rPr>
        <w:t>日</w:t>
      </w:r>
    </w:p>
    <w:p>
      <w:pPr>
        <w:rPr>
          <w:rFonts w:ascii="宋体" w:hAnsi="宋体"/>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widowControl/>
        <w:jc w:val="left"/>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pStyle w:val="2"/>
        <w:rPr>
          <w:color w:val="auto"/>
          <w:highlight w:val="none"/>
        </w:rPr>
      </w:pPr>
    </w:p>
    <w:p>
      <w:pPr>
        <w:pStyle w:val="9"/>
        <w:ind w:firstLine="340"/>
        <w:rPr>
          <w:color w:val="auto"/>
          <w:highlight w:val="none"/>
        </w:rPr>
      </w:pPr>
    </w:p>
    <w:p>
      <w:pPr>
        <w:pStyle w:val="10"/>
        <w:ind w:firstLine="480"/>
        <w:rPr>
          <w:color w:val="auto"/>
          <w:highlight w:val="none"/>
        </w:rPr>
      </w:pPr>
    </w:p>
    <w:p>
      <w:pPr>
        <w:pStyle w:val="21"/>
        <w:ind w:firstLine="420"/>
        <w:rPr>
          <w:color w:val="auto"/>
          <w:highlight w:val="none"/>
        </w:rPr>
      </w:pPr>
    </w:p>
    <w:p>
      <w:pPr>
        <w:rPr>
          <w:color w:val="auto"/>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3.6投标人提供与参加本项目投标的其他供应商之间，单位负责人不为同一人并且不存在直接控股、</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管理关系承诺函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autoSpaceDE w:val="0"/>
        <w:autoSpaceDN w:val="0"/>
        <w:adjustRightInd w:val="0"/>
        <w:spacing w:line="360" w:lineRule="auto"/>
        <w:jc w:val="center"/>
        <w:outlineLvl w:val="0"/>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p>
    <w:p>
      <w:pPr>
        <w:widowControl/>
        <w:jc w:val="center"/>
        <w:rPr>
          <w:rFonts w:ascii="宋体" w:hAnsi="宋体"/>
          <w:b/>
          <w:bCs/>
          <w:color w:val="auto"/>
          <w:szCs w:val="21"/>
          <w:highlight w:val="none"/>
        </w:rPr>
      </w:pPr>
      <w:r>
        <w:rPr>
          <w:rFonts w:hint="eastAsia" w:ascii="宋体" w:hAnsi="宋体"/>
          <w:b/>
          <w:bCs/>
          <w:color w:val="auto"/>
          <w:szCs w:val="21"/>
          <w:highlight w:val="none"/>
        </w:rPr>
        <w:t>3.7投标人提供未为本项目提供整体设计、规范编制或者项目管理、监理、检测等服务承诺函</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（承诺函格式自拟）</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autoSpaceDE w:val="0"/>
        <w:autoSpaceDN w:val="0"/>
        <w:adjustRightInd w:val="0"/>
        <w:spacing w:line="360" w:lineRule="auto"/>
        <w:jc w:val="center"/>
        <w:outlineLvl w:val="0"/>
        <w:rPr>
          <w:rFonts w:ascii="宋体" w:hAnsi="宋体"/>
          <w:b/>
          <w:bCs/>
          <w:color w:val="auto"/>
          <w:szCs w:val="21"/>
          <w:highlight w:val="none"/>
        </w:rPr>
      </w:pPr>
      <w:r>
        <w:rPr>
          <w:rFonts w:hint="eastAsia" w:ascii="宋体" w:hAnsi="宋体"/>
          <w:b/>
          <w:bCs/>
          <w:color w:val="auto"/>
          <w:szCs w:val="21"/>
          <w:highlight w:val="none"/>
        </w:rPr>
        <w:t>3.8 其他资格证书或材料</w:t>
      </w: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jc w:val="center"/>
        <w:rPr>
          <w:rFonts w:ascii="宋体" w:hAnsi="宋体" w:cs="黑体"/>
          <w:b/>
          <w:bCs/>
          <w:color w:val="auto"/>
          <w:sz w:val="44"/>
          <w:szCs w:val="44"/>
          <w:highlight w:val="none"/>
          <w:lang w:val="zh-CN"/>
        </w:rPr>
      </w:pPr>
    </w:p>
    <w:p>
      <w:pPr>
        <w:autoSpaceDE w:val="0"/>
        <w:autoSpaceDN w:val="0"/>
        <w:adjustRightInd w:val="0"/>
        <w:spacing w:line="360" w:lineRule="auto"/>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r>
        <w:rPr>
          <w:rFonts w:hint="eastAsia" w:ascii="宋体" w:hAnsi="宋体" w:cs="黑体"/>
          <w:b/>
          <w:bCs/>
          <w:color w:val="auto"/>
          <w:sz w:val="28"/>
          <w:szCs w:val="28"/>
          <w:highlight w:val="none"/>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r>
        <w:rPr>
          <w:rFonts w:hint="eastAsia" w:ascii="宋体" w:hAnsi="宋体"/>
          <w:b/>
          <w:bCs/>
          <w:color w:val="auto"/>
          <w:sz w:val="24"/>
          <w:szCs w:val="24"/>
          <w:highlight w:val="none"/>
        </w:rPr>
        <w:t>4.1 技术方案（实施方案）</w:t>
      </w:r>
    </w:p>
    <w:p>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（投标人根据招标文件要求自行编制）</w:t>
      </w:r>
    </w:p>
    <w:p>
      <w:pPr>
        <w:autoSpaceDE w:val="0"/>
        <w:autoSpaceDN w:val="0"/>
        <w:adjustRightInd w:val="0"/>
        <w:spacing w:line="360" w:lineRule="auto"/>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采购编号：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4"/>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4"/>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4"/>
              <w:spacing w:line="360" w:lineRule="auto"/>
              <w:rPr>
                <w:rFonts w:ascii="宋体" w:hAnsi="宋体" w:eastAsia="宋体" w:cs="Times New Roman"/>
                <w:color w:val="auto"/>
                <w:sz w:val="21"/>
                <w:szCs w:val="21"/>
                <w:highlight w:val="none"/>
              </w:rPr>
            </w:pPr>
          </w:p>
        </w:tc>
        <w:tc>
          <w:tcPr>
            <w:tcW w:w="3579" w:type="dxa"/>
            <w:vAlign w:val="center"/>
          </w:tcPr>
          <w:p>
            <w:pPr>
              <w:pStyle w:val="4"/>
              <w:spacing w:line="360" w:lineRule="auto"/>
              <w:rPr>
                <w:rFonts w:ascii="宋体" w:hAnsi="宋体" w:eastAsia="宋体" w:cs="Times New Roman"/>
                <w:color w:val="auto"/>
                <w:sz w:val="21"/>
                <w:szCs w:val="21"/>
                <w:highlight w:val="none"/>
              </w:rPr>
            </w:pPr>
          </w:p>
        </w:tc>
        <w:tc>
          <w:tcPr>
            <w:tcW w:w="1440" w:type="dxa"/>
            <w:vAlign w:val="center"/>
          </w:tcPr>
          <w:p>
            <w:pPr>
              <w:pStyle w:val="4"/>
              <w:spacing w:line="360" w:lineRule="auto"/>
              <w:rPr>
                <w:rFonts w:ascii="宋体" w:hAnsi="宋体" w:eastAsia="宋体" w:cs="Times New Roman"/>
                <w:color w:val="auto"/>
                <w:sz w:val="21"/>
                <w:szCs w:val="21"/>
                <w:highlight w:val="none"/>
              </w:rPr>
            </w:pPr>
          </w:p>
        </w:tc>
        <w:tc>
          <w:tcPr>
            <w:tcW w:w="1706" w:type="dxa"/>
            <w:vAlign w:val="center"/>
          </w:tcPr>
          <w:p>
            <w:pPr>
              <w:pStyle w:val="4"/>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4"/>
              <w:spacing w:line="360" w:lineRule="auto"/>
              <w:rPr>
                <w:rFonts w:ascii="宋体" w:hAnsi="宋体" w:eastAsia="宋体" w:cs="Times New Roman"/>
                <w:color w:val="auto"/>
                <w:sz w:val="21"/>
                <w:szCs w:val="21"/>
                <w:highlight w:val="none"/>
              </w:rPr>
            </w:pPr>
          </w:p>
        </w:tc>
        <w:tc>
          <w:tcPr>
            <w:tcW w:w="3579" w:type="dxa"/>
            <w:vAlign w:val="center"/>
          </w:tcPr>
          <w:p>
            <w:pPr>
              <w:pStyle w:val="4"/>
              <w:spacing w:line="360" w:lineRule="auto"/>
              <w:rPr>
                <w:rFonts w:ascii="宋体" w:hAnsi="宋体" w:eastAsia="宋体" w:cs="Times New Roman"/>
                <w:color w:val="auto"/>
                <w:sz w:val="21"/>
                <w:szCs w:val="21"/>
                <w:highlight w:val="none"/>
              </w:rPr>
            </w:pPr>
          </w:p>
        </w:tc>
        <w:tc>
          <w:tcPr>
            <w:tcW w:w="1440" w:type="dxa"/>
            <w:vAlign w:val="center"/>
          </w:tcPr>
          <w:p>
            <w:pPr>
              <w:pStyle w:val="4"/>
              <w:spacing w:line="360" w:lineRule="auto"/>
              <w:rPr>
                <w:rFonts w:ascii="宋体" w:hAnsi="宋体" w:eastAsia="宋体" w:cs="Times New Roman"/>
                <w:color w:val="auto"/>
                <w:sz w:val="21"/>
                <w:szCs w:val="21"/>
                <w:highlight w:val="none"/>
              </w:rPr>
            </w:pPr>
          </w:p>
        </w:tc>
        <w:tc>
          <w:tcPr>
            <w:tcW w:w="1706" w:type="dxa"/>
            <w:vAlign w:val="center"/>
          </w:tcPr>
          <w:p>
            <w:pPr>
              <w:pStyle w:val="4"/>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480" w:lineRule="auto"/>
        <w:rPr>
          <w:rFonts w:ascii="宋体" w:hAnsi="宋体"/>
          <w:color w:val="auto"/>
          <w:szCs w:val="21"/>
          <w:highlight w:val="none"/>
          <w:lang w:val="zh-CN"/>
        </w:rPr>
      </w:pPr>
      <w:r>
        <w:rPr>
          <w:rFonts w:hint="eastAsia" w:ascii="宋体" w:hAnsi="宋体"/>
          <w:color w:val="auto"/>
          <w:szCs w:val="21"/>
          <w:highlight w:val="none"/>
        </w:rPr>
        <w:t>投标人名称（并加盖公章）：</w:t>
      </w:r>
    </w:p>
    <w:p>
      <w:pPr>
        <w:autoSpaceDE w:val="0"/>
        <w:autoSpaceDN w:val="0"/>
        <w:adjustRightInd w:val="0"/>
        <w:spacing w:line="480" w:lineRule="auto"/>
        <w:rPr>
          <w:rFonts w:ascii="宋体" w:hAnsi="宋体"/>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4.3 售后服务方案</w:t>
      </w:r>
    </w:p>
    <w:p>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4.4中小企业声明函（服务）</w:t>
      </w:r>
    </w:p>
    <w:p>
      <w:pPr>
        <w:spacing w:line="360" w:lineRule="auto"/>
        <w:jc w:val="center"/>
        <w:rPr>
          <w:rFonts w:ascii="宋体" w:hAnsi="宋体"/>
          <w:b/>
          <w:bCs/>
          <w:color w:val="auto"/>
          <w:szCs w:val="21"/>
          <w:highlight w:val="none"/>
        </w:rPr>
      </w:pPr>
    </w:p>
    <w:p>
      <w:pPr>
        <w:autoSpaceDE w:val="0"/>
        <w:autoSpaceDN w:val="0"/>
        <w:spacing w:line="360" w:lineRule="auto"/>
        <w:ind w:firstLine="420" w:firstLineChars="200"/>
        <w:rPr>
          <w:color w:val="auto"/>
          <w:highlight w:val="none"/>
        </w:rPr>
      </w:pPr>
      <w:r>
        <w:rPr>
          <w:rFonts w:hint="eastAsia"/>
          <w:color w:val="auto"/>
          <w:highlight w:val="none"/>
        </w:rPr>
        <w:t>本公司（联合体）郑重声明，根据《政府采购促进中小企业发展管理办法》（财库﹝</w:t>
      </w:r>
      <w:r>
        <w:rPr>
          <w:rFonts w:cs="Times New Roman"/>
          <w:color w:val="auto"/>
          <w:highlight w:val="none"/>
        </w:rPr>
        <w:t>2020</w:t>
      </w:r>
      <w:r>
        <w:rPr>
          <w:rFonts w:hint="eastAsia"/>
          <w:color w:val="auto"/>
          <w:highlight w:val="none"/>
        </w:rPr>
        <w:t>﹞</w:t>
      </w:r>
      <w:r>
        <w:rPr>
          <w:rFonts w:cs="Times New Roman"/>
          <w:color w:val="auto"/>
          <w:highlight w:val="none"/>
        </w:rPr>
        <w:t>46</w:t>
      </w:r>
      <w:r>
        <w:rPr>
          <w:rFonts w:hint="eastAsia"/>
          <w:color w:val="auto"/>
          <w:highlight w:val="none"/>
        </w:rPr>
        <w:t>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autoSpaceDE w:val="0"/>
        <w:autoSpaceDN w:val="0"/>
        <w:spacing w:line="360" w:lineRule="auto"/>
        <w:ind w:firstLine="420" w:firstLineChars="200"/>
        <w:rPr>
          <w:rFonts w:ascii="宋体" w:hAnsi="宋体"/>
          <w:color w:val="auto"/>
          <w:sz w:val="9"/>
          <w:highlight w:val="none"/>
        </w:rPr>
      </w:pPr>
      <w:r>
        <w:rPr>
          <w:rFonts w:cs="Times New Roman"/>
          <w:color w:val="auto"/>
          <w:highlight w:val="none"/>
        </w:rPr>
        <w:t>1</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1"/>
          <w:highlight w:val="none"/>
        </w:rPr>
      </w:pPr>
      <w:r>
        <w:rPr>
          <w:rFonts w:cs="Times New Roman"/>
          <w:color w:val="auto"/>
          <w:highlight w:val="none"/>
        </w:rPr>
        <w:t>2</w:t>
      </w:r>
      <w:r>
        <w:rPr>
          <w:rFonts w:hint="eastAsia"/>
          <w:color w:val="auto"/>
          <w:highlight w:val="none"/>
        </w:rPr>
        <w:t>、</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行业；承建（承接）企业为</w:t>
      </w:r>
      <w:r>
        <w:rPr>
          <w:rFonts w:hint="eastAsia"/>
          <w:color w:val="auto"/>
          <w:highlight w:val="none"/>
          <w:u w:val="single"/>
        </w:rPr>
        <w:t>（企业名称）</w:t>
      </w:r>
      <w:r>
        <w:rPr>
          <w:rFonts w:hint="eastAsia"/>
          <w:color w:val="auto"/>
          <w:highlight w:val="none"/>
        </w:rPr>
        <w:t>，从业人员人，营业收入为万元，资产总额为万元，属于</w:t>
      </w:r>
      <w:r>
        <w:rPr>
          <w:rFonts w:hint="eastAsia"/>
          <w:color w:val="auto"/>
          <w:highlight w:val="none"/>
          <w:u w:val="single"/>
        </w:rPr>
        <w:t>（中型企业、小型企业、微型企业）</w:t>
      </w:r>
      <w:r>
        <w:rPr>
          <w:rFonts w:hint="eastAsia"/>
          <w:color w:val="auto"/>
          <w:highlight w:val="none"/>
        </w:rPr>
        <w:t>；</w:t>
      </w:r>
    </w:p>
    <w:p>
      <w:pPr>
        <w:autoSpaceDE w:val="0"/>
        <w:autoSpaceDN w:val="0"/>
        <w:spacing w:line="360" w:lineRule="auto"/>
        <w:ind w:firstLine="420" w:firstLineChars="200"/>
        <w:rPr>
          <w:rFonts w:ascii="宋体" w:hAnsi="宋体"/>
          <w:color w:val="auto"/>
          <w:sz w:val="16"/>
          <w:highlight w:val="none"/>
        </w:rPr>
      </w:pPr>
      <w:r>
        <w:rPr>
          <w:rFonts w:hint="eastAsia"/>
          <w:color w:val="auto"/>
          <w:highlight w:val="none"/>
        </w:rPr>
        <w:t>……</w:t>
      </w:r>
    </w:p>
    <w:p>
      <w:pPr>
        <w:autoSpaceDE w:val="0"/>
        <w:autoSpaceDN w:val="0"/>
        <w:spacing w:line="360" w:lineRule="auto"/>
        <w:ind w:firstLine="42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autoSpaceDE w:val="0"/>
        <w:autoSpaceDN w:val="0"/>
        <w:spacing w:line="360" w:lineRule="auto"/>
        <w:ind w:firstLine="420" w:firstLineChars="200"/>
        <w:rPr>
          <w:color w:val="auto"/>
          <w:highlight w:val="none"/>
        </w:rPr>
      </w:pPr>
      <w:r>
        <w:rPr>
          <w:rFonts w:hint="eastAsia"/>
          <w:color w:val="auto"/>
          <w:highlight w:val="none"/>
        </w:rPr>
        <w:t>本企业对上述声明内容的真实性负责。如有虚假，将依法承担相应责任。</w:t>
      </w:r>
    </w:p>
    <w:p>
      <w:pPr>
        <w:pStyle w:val="8"/>
        <w:spacing w:after="120"/>
        <w:rPr>
          <w:rFonts w:ascii="宋体" w:hAnsi="宋体" w:cs="宋体"/>
          <w:color w:val="auto"/>
          <w:sz w:val="20"/>
          <w:szCs w:val="22"/>
          <w:highlight w:val="none"/>
        </w:rPr>
      </w:pPr>
    </w:p>
    <w:p>
      <w:pPr>
        <w:pStyle w:val="8"/>
        <w:spacing w:after="120"/>
        <w:rPr>
          <w:rFonts w:ascii="宋体" w:hAnsi="宋体" w:cs="宋体"/>
          <w:color w:val="auto"/>
          <w:sz w:val="20"/>
          <w:szCs w:val="22"/>
          <w:highlight w:val="none"/>
        </w:rPr>
      </w:pPr>
    </w:p>
    <w:p>
      <w:pPr>
        <w:pStyle w:val="8"/>
        <w:spacing w:before="10" w:after="120"/>
        <w:rPr>
          <w:rFonts w:ascii="宋体" w:hAnsi="宋体" w:cs="宋体"/>
          <w:color w:val="auto"/>
          <w:sz w:val="14"/>
          <w:szCs w:val="22"/>
          <w:highlight w:val="none"/>
        </w:rPr>
      </w:pPr>
    </w:p>
    <w:p>
      <w:pPr>
        <w:autoSpaceDE w:val="0"/>
        <w:autoSpaceDN w:val="0"/>
        <w:spacing w:line="360" w:lineRule="auto"/>
        <w:ind w:firstLine="420" w:firstLineChars="200"/>
        <w:rPr>
          <w:color w:val="auto"/>
          <w:highlight w:val="none"/>
        </w:rPr>
      </w:pPr>
      <w:r>
        <w:rPr>
          <w:rFonts w:hint="eastAsia"/>
          <w:color w:val="auto"/>
          <w:highlight w:val="none"/>
        </w:rPr>
        <w:t>企业名称（盖章）：</w:t>
      </w:r>
    </w:p>
    <w:p>
      <w:pPr>
        <w:autoSpaceDE w:val="0"/>
        <w:autoSpaceDN w:val="0"/>
        <w:spacing w:line="360" w:lineRule="auto"/>
        <w:ind w:firstLine="420" w:firstLineChars="200"/>
        <w:rPr>
          <w:color w:val="auto"/>
          <w:highlight w:val="none"/>
        </w:rPr>
      </w:pPr>
      <w:r>
        <w:rPr>
          <w:rFonts w:hint="eastAsia"/>
          <w:color w:val="auto"/>
          <w:highlight w:val="none"/>
        </w:rPr>
        <w:t>日期：</w:t>
      </w:r>
    </w:p>
    <w:p>
      <w:pPr>
        <w:autoSpaceDE w:val="0"/>
        <w:autoSpaceDN w:val="0"/>
        <w:spacing w:line="360" w:lineRule="auto"/>
        <w:ind w:firstLine="420" w:firstLineChars="200"/>
        <w:rPr>
          <w:color w:val="auto"/>
          <w:highlight w:val="none"/>
        </w:rPr>
      </w:pPr>
      <w:r>
        <w:rPr>
          <w:rFonts w:hint="eastAsia"/>
          <w:color w:val="auto"/>
          <w:highlight w:val="none"/>
        </w:rPr>
        <w:t>说明：</w:t>
      </w:r>
    </w:p>
    <w:p>
      <w:pPr>
        <w:autoSpaceDE w:val="0"/>
        <w:autoSpaceDN w:val="0"/>
        <w:spacing w:line="360" w:lineRule="auto"/>
        <w:ind w:firstLine="420" w:firstLineChars="200"/>
        <w:rPr>
          <w:color w:val="auto"/>
          <w:highlight w:val="none"/>
        </w:rPr>
      </w:pPr>
      <w:r>
        <w:rPr>
          <w:rFonts w:cs="Times New Roman"/>
          <w:color w:val="auto"/>
          <w:highlight w:val="none"/>
        </w:rPr>
        <w:t>1</w:t>
      </w:r>
      <w:r>
        <w:rPr>
          <w:rFonts w:hint="eastAsia"/>
          <w:color w:val="auto"/>
          <w:highlight w:val="none"/>
        </w:rPr>
        <w:t>、从业人员、营业收入、资产总额填报上一年度数据，无上一年度数据的新成立企业可不填报。</w:t>
      </w:r>
    </w:p>
    <w:p>
      <w:pPr>
        <w:autoSpaceDE w:val="0"/>
        <w:autoSpaceDN w:val="0"/>
        <w:spacing w:line="360" w:lineRule="auto"/>
        <w:ind w:firstLine="420" w:firstLineChars="200"/>
        <w:rPr>
          <w:color w:val="auto"/>
          <w:highlight w:val="none"/>
        </w:rPr>
      </w:pPr>
      <w:r>
        <w:rPr>
          <w:rFonts w:cs="Times New Roman"/>
          <w:color w:val="auto"/>
          <w:highlight w:val="none"/>
        </w:rPr>
        <w:t>2</w:t>
      </w:r>
      <w:r>
        <w:rPr>
          <w:rFonts w:hint="eastAsia"/>
          <w:color w:val="auto"/>
          <w:highlight w:val="none"/>
        </w:rPr>
        <w:t>、中小企业参加政府采购活动，应当出具《中小企业声明函》，否则不得享受相关中小企业扶持政策。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bookmarkStart w:id="60" w:name="OLE_LINK13"/>
      <w:bookmarkStart w:id="61" w:name="OLE_LINK14"/>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  残疾人福利性单位声明函</w:t>
      </w:r>
    </w:p>
    <w:bookmarkEnd w:id="60"/>
    <w:bookmarkEnd w:id="61"/>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napToGrid w:val="0"/>
        <w:spacing w:line="360" w:lineRule="auto"/>
        <w:ind w:firstLine="3150" w:firstLineChars="1500"/>
        <w:rPr>
          <w:rFonts w:ascii="宋体" w:hAnsi="宋体"/>
          <w:color w:val="auto"/>
          <w:szCs w:val="21"/>
          <w:highlight w:val="none"/>
        </w:rPr>
      </w:pPr>
      <w:r>
        <w:rPr>
          <w:rFonts w:hint="eastAsia" w:ascii="宋体" w:hAnsi="宋体"/>
          <w:color w:val="auto"/>
          <w:szCs w:val="21"/>
          <w:highlight w:val="none"/>
        </w:rPr>
        <w:t>单位名称（盖章）：</w:t>
      </w:r>
    </w:p>
    <w:p>
      <w:pPr>
        <w:spacing w:line="480" w:lineRule="auto"/>
        <w:ind w:left="4358" w:leftChars="2075"/>
        <w:rPr>
          <w:rFonts w:ascii="宋体" w:hAnsi="宋体" w:cs="Arial"/>
          <w:color w:val="auto"/>
          <w:szCs w:val="21"/>
          <w:highlight w:val="none"/>
        </w:rPr>
      </w:pPr>
      <w:r>
        <w:rPr>
          <w:rFonts w:hint="eastAsia" w:ascii="宋体" w:hAnsi="宋体" w:cs="Arial"/>
          <w:color w:val="auto"/>
          <w:szCs w:val="21"/>
          <w:highlight w:val="none"/>
        </w:rPr>
        <w:t xml:space="preserve"> 日    期：      年    月    日</w:t>
      </w:r>
    </w:p>
    <w:p>
      <w:pPr>
        <w:autoSpaceDE w:val="0"/>
        <w:autoSpaceDN w:val="0"/>
        <w:adjustRightInd w:val="0"/>
        <w:spacing w:line="360" w:lineRule="auto"/>
        <w:jc w:val="center"/>
        <w:rPr>
          <w:rFonts w:ascii="宋体" w:hAnsi="宋体" w:cs="黑体"/>
          <w:b/>
          <w:bCs/>
          <w:color w:val="auto"/>
          <w:sz w:val="28"/>
          <w:szCs w:val="28"/>
          <w:highlight w:val="none"/>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jc w:val="center"/>
        <w:rPr>
          <w:rFonts w:ascii="宋体" w:hAnsi="宋体" w:cs="黑体"/>
          <w:b/>
          <w:bCs/>
          <w:color w:val="auto"/>
          <w:sz w:val="28"/>
          <w:szCs w:val="28"/>
          <w:highlight w:val="none"/>
          <w:lang w:val="zh-CN"/>
        </w:rPr>
      </w:pPr>
    </w:p>
    <w:p>
      <w:pPr>
        <w:autoSpaceDE w:val="0"/>
        <w:autoSpaceDN w:val="0"/>
        <w:adjustRightInd w:val="0"/>
        <w:spacing w:line="360" w:lineRule="auto"/>
        <w:rPr>
          <w:rFonts w:ascii="宋体" w:hAnsi="宋体" w:cs="黑体"/>
          <w:b/>
          <w:bCs/>
          <w:color w:val="auto"/>
          <w:sz w:val="28"/>
          <w:szCs w:val="28"/>
          <w:highlight w:val="none"/>
          <w:lang w:val="zh-CN"/>
        </w:rPr>
      </w:pPr>
    </w:p>
    <w:p>
      <w:pPr>
        <w:autoSpaceDE w:val="0"/>
        <w:autoSpaceDN w:val="0"/>
        <w:adjustRightInd w:val="0"/>
        <w:spacing w:line="360" w:lineRule="auto"/>
        <w:jc w:val="center"/>
        <w:rPr>
          <w:color w:val="auto"/>
          <w:highlight w:val="none"/>
        </w:rPr>
      </w:pPr>
      <w:r>
        <w:rPr>
          <w:rFonts w:hint="eastAsia" w:ascii="宋体" w:hAnsi="宋体" w:cs="黑体"/>
          <w:b/>
          <w:bCs/>
          <w:color w:val="auto"/>
          <w:sz w:val="28"/>
          <w:szCs w:val="28"/>
          <w:highlight w:val="none"/>
          <w:lang w:val="zh-CN"/>
        </w:rPr>
        <w:t>五、</w:t>
      </w:r>
      <w:r>
        <w:rPr>
          <w:rFonts w:ascii="宋体" w:hAnsi="宋体" w:cs="黑体"/>
          <w:b/>
          <w:bCs/>
          <w:color w:val="auto"/>
          <w:sz w:val="28"/>
          <w:szCs w:val="28"/>
          <w:highlight w:val="none"/>
          <w:lang w:val="zh-CN"/>
        </w:rPr>
        <w:t>其他资料（若有）</w:t>
      </w: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除招标文件另有规定外，投标人认为需要提交的其他证明材料或资料</w:t>
      </w:r>
    </w:p>
    <w:p>
      <w:pPr>
        <w:spacing w:line="360" w:lineRule="auto"/>
        <w:jc w:val="center"/>
        <w:rPr>
          <w:rFonts w:ascii="宋体" w:hAnsi="宋体"/>
          <w:b/>
          <w:bCs/>
          <w:color w:val="auto"/>
          <w:szCs w:val="21"/>
          <w:highlight w:val="none"/>
        </w:rPr>
      </w:pPr>
      <w:r>
        <w:rPr>
          <w:rFonts w:ascii="宋体" w:hAnsi="宋体"/>
          <w:b/>
          <w:bCs/>
          <w:color w:val="auto"/>
          <w:szCs w:val="21"/>
          <w:highlight w:val="none"/>
        </w:rPr>
        <w:t>加盖投标人单位公章后应在此项下提交。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tabs>
                              <w:tab w:val="center" w:pos="4153"/>
                              <w:tab w:val="right" w:pos="8306"/>
                            </w:tabs>
                            <w:snapToGrid w:val="0"/>
                            <w:jc w:val="lef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3</w:t>
                          </w:r>
                          <w:r>
                            <w:rPr>
                              <w:rFonts w:ascii="Times New Roman" w:hAnsi="Times New Roman" w:cs="Times New Roman"/>
                              <w:sz w:val="18"/>
                              <w:szCs w:val="18"/>
                            </w:rP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ux/1LgAQAAuwMAAA4AAAAA&#10;AAAAAQAgAAAAHgEAAGRycy9lMm9Eb2MueG1sUEsFBgAAAAAGAAYAWQEAAHAFA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3</w:t>
                    </w:r>
                    <w:r>
                      <w:rPr>
                        <w:rFonts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5425" cy="73025"/>
              <wp:effectExtent l="0" t="0" r="0" b="0"/>
              <wp:wrapNone/>
              <wp:docPr id="6" name="Shape 22"/>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wps:spPr>
                    <wps:txbx>
                      <w:txbxContent>
                        <w:p>
                          <w:pPr>
                            <w:jc w:val="left"/>
                            <w:rPr>
                              <w:rFonts w:ascii="Times New Roman" w:hAnsi="Times New Roman" w:cs="Times New Roman"/>
                              <w:sz w:val="17"/>
                              <w:szCs w:val="17"/>
                            </w:rPr>
                          </w:pPr>
                          <w:r>
                            <w:rPr>
                              <w:rFonts w:ascii="Times New Roman" w:hAnsi="Times New Roman" w:eastAsia="Times New Roman" w:cs="Times New Roman"/>
                              <w:color w:val="434E5A"/>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434E5A"/>
                              <w:sz w:val="17"/>
                              <w:szCs w:val="17"/>
                              <w:lang w:eastAsia="en-US" w:bidi="en-US"/>
                            </w:rPr>
                            <w:t>#</w:t>
                          </w:r>
                          <w:r>
                            <w:rPr>
                              <w:rFonts w:ascii="Times New Roman" w:hAnsi="Times New Roman" w:eastAsia="Times New Roman" w:cs="Times New Roman"/>
                              <w:color w:val="434E5A"/>
                              <w:sz w:val="17"/>
                              <w:szCs w:val="17"/>
                              <w:lang w:eastAsia="en-US" w:bidi="en-US"/>
                            </w:rPr>
                            <w:fldChar w:fldCharType="end"/>
                          </w:r>
                          <w:r>
                            <w:rPr>
                              <w:rFonts w:ascii="Times New Roman" w:hAnsi="Times New Roman" w:eastAsia="Times New Roman" w:cs="Times New Roman"/>
                              <w:color w:val="434E5A"/>
                              <w:sz w:val="17"/>
                              <w:szCs w:val="17"/>
                              <w:lang w:eastAsia="en-US" w:bidi="en-US"/>
                            </w:rPr>
                            <w:t>-</w:t>
                          </w:r>
                        </w:p>
                      </w:txbxContent>
                    </wps:txbx>
                    <wps:bodyPr vert="horz" wrap="none" lIns="0" tIns="0" rIns="0" bIns="0" anchor="t" anchorCtr="0" upright="1">
                      <a:spAutoFit/>
                    </wps:bodyPr>
                  </wps:wsp>
                </a:graphicData>
              </a:graphic>
            </wp:anchor>
          </w:drawing>
        </mc:Choice>
        <mc:Fallback>
          <w:pict>
            <v:shape id="Shape 22" o:spid="_x0000_s1026" o:spt="202" type="#_x0000_t202" style="position:absolute;left:0pt;margin-top:0pt;height:5.75pt;width:17.75pt;mso-position-horizontal:center;mso-position-horizontal-relative:margin;mso-wrap-style:none;z-index:251661312;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tiMI7RAAAAAwEAAA8AAAAAAAAAAQAgAAAAIgAAAGRycy9k&#10;b3ducmV2LnhtbFBLAQIUABQAAAAIAIdO4kAw81Gg0AEAALgDAAAOAAAAAAAAAAEAIAAAACABAABk&#10;cnMvZTJvRG9jLnhtbFBLBQYAAAAABgAGAFkBAABiBQAAAAA=&#10;">
              <v:fill on="f" focussize="0,0"/>
              <v:stroke on="f"/>
              <v:imagedata o:title=""/>
              <o:lock v:ext="edit" aspectratio="f"/>
              <v:textbox inset="0mm,0mm,0mm,0mm" style="mso-fit-shape-to-text:t;">
                <w:txbxContent>
                  <w:p>
                    <w:pPr>
                      <w:jc w:val="left"/>
                      <w:rPr>
                        <w:rFonts w:ascii="Times New Roman" w:hAnsi="Times New Roman" w:cs="Times New Roman"/>
                        <w:sz w:val="17"/>
                        <w:szCs w:val="17"/>
                      </w:rPr>
                    </w:pPr>
                    <w:r>
                      <w:rPr>
                        <w:rFonts w:ascii="Times New Roman" w:hAnsi="Times New Roman" w:eastAsia="Times New Roman" w:cs="Times New Roman"/>
                        <w:color w:val="434E5A"/>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434E5A"/>
                        <w:sz w:val="17"/>
                        <w:szCs w:val="17"/>
                        <w:lang w:eastAsia="en-US" w:bidi="en-US"/>
                      </w:rPr>
                      <w:t>#</w:t>
                    </w:r>
                    <w:r>
                      <w:rPr>
                        <w:rFonts w:ascii="Times New Roman" w:hAnsi="Times New Roman" w:eastAsia="Times New Roman" w:cs="Times New Roman"/>
                        <w:color w:val="434E5A"/>
                        <w:sz w:val="17"/>
                        <w:szCs w:val="17"/>
                        <w:lang w:eastAsia="en-US" w:bidi="en-US"/>
                      </w:rPr>
                      <w:fldChar w:fldCharType="end"/>
                    </w:r>
                    <w:r>
                      <w:rPr>
                        <w:rFonts w:ascii="Times New Roman" w:hAnsi="Times New Roman" w:eastAsia="Times New Roman" w:cs="Times New Roman"/>
                        <w:color w:val="434E5A"/>
                        <w:sz w:val="17"/>
                        <w:szCs w:val="17"/>
                        <w:lang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0288"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jc w:val="left"/>
                            <w:rPr>
                              <w:rFonts w:ascii="Times New Roman" w:hAnsi="Times New Roman" w:cs="Times New Roman"/>
                              <w:sz w:val="17"/>
                              <w:szCs w:val="17"/>
                            </w:rPr>
                          </w:pPr>
                          <w:r>
                            <w:rPr>
                              <w:rFonts w:ascii="Times New Roman" w:hAnsi="Times New Roman" w:eastAsia="Times New Roman" w:cs="Times New Roman"/>
                              <w:color w:val="434E5A"/>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434E5A"/>
                              <w:sz w:val="17"/>
                              <w:szCs w:val="17"/>
                              <w:lang w:eastAsia="en-US" w:bidi="en-US"/>
                            </w:rPr>
                            <w:t>#</w:t>
                          </w:r>
                          <w:r>
                            <w:rPr>
                              <w:rFonts w:ascii="Times New Roman" w:hAnsi="Times New Roman" w:eastAsia="Times New Roman" w:cs="Times New Roman"/>
                              <w:color w:val="434E5A"/>
                              <w:sz w:val="17"/>
                              <w:szCs w:val="17"/>
                              <w:lang w:eastAsia="en-US" w:bidi="en-US"/>
                            </w:rPr>
                            <w:fldChar w:fldCharType="end"/>
                          </w:r>
                          <w:r>
                            <w:rPr>
                              <w:rFonts w:ascii="Times New Roman" w:hAnsi="Times New Roman" w:eastAsia="Times New Roman" w:cs="Times New Roman"/>
                              <w:color w:val="434E5A"/>
                              <w:sz w:val="17"/>
                              <w:szCs w:val="17"/>
                              <w:lang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6192;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pPr>
                      <w:jc w:val="left"/>
                      <w:rPr>
                        <w:rFonts w:ascii="Times New Roman" w:hAnsi="Times New Roman" w:cs="Times New Roman"/>
                        <w:sz w:val="17"/>
                        <w:szCs w:val="17"/>
                      </w:rPr>
                    </w:pPr>
                    <w:r>
                      <w:rPr>
                        <w:rFonts w:ascii="Times New Roman" w:hAnsi="Times New Roman" w:eastAsia="Times New Roman" w:cs="Times New Roman"/>
                        <w:color w:val="434E5A"/>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434E5A"/>
                        <w:sz w:val="17"/>
                        <w:szCs w:val="17"/>
                        <w:lang w:eastAsia="en-US" w:bidi="en-US"/>
                      </w:rPr>
                      <w:t>#</w:t>
                    </w:r>
                    <w:r>
                      <w:rPr>
                        <w:rFonts w:ascii="Times New Roman" w:hAnsi="Times New Roman" w:eastAsia="Times New Roman" w:cs="Times New Roman"/>
                        <w:color w:val="434E5A"/>
                        <w:sz w:val="17"/>
                        <w:szCs w:val="17"/>
                        <w:lang w:eastAsia="en-US" w:bidi="en-US"/>
                      </w:rPr>
                      <w:fldChar w:fldCharType="end"/>
                    </w:r>
                    <w:r>
                      <w:rPr>
                        <w:rFonts w:ascii="Times New Roman" w:hAnsi="Times New Roman" w:eastAsia="Times New Roman" w:cs="Times New Roman"/>
                        <w:color w:val="434E5A"/>
                        <w:sz w:val="17"/>
                        <w:szCs w:val="17"/>
                        <w:lang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28600" cy="76200"/>
              <wp:effectExtent l="0" t="0" r="0" b="0"/>
              <wp:wrapNone/>
              <wp:docPr id="4" name="Shape 2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wps:spPr>
                    <wps:txbx>
                      <w:txbxContent>
                        <w:p>
                          <w:pPr>
                            <w:jc w:val="left"/>
                            <w:rPr>
                              <w:rFonts w:ascii="Times New Roman" w:hAnsi="Times New Roman" w:cs="Times New Roman"/>
                              <w:sz w:val="17"/>
                              <w:szCs w:val="17"/>
                            </w:rPr>
                          </w:pPr>
                          <w:r>
                            <w:rPr>
                              <w:rFonts w:ascii="Times New Roman" w:hAnsi="Times New Roman" w:eastAsia="Times New Roman" w:cs="Times New Roman"/>
                              <w:color w:val="000000"/>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000000"/>
                              <w:sz w:val="17"/>
                              <w:szCs w:val="17"/>
                              <w:lang w:eastAsia="en-US" w:bidi="en-US"/>
                            </w:rPr>
                            <w:t>#</w:t>
                          </w:r>
                          <w:r>
                            <w:rPr>
                              <w:rFonts w:ascii="Times New Roman" w:hAnsi="Times New Roman" w:eastAsia="Times New Roman" w:cs="Times New Roman"/>
                              <w:color w:val="000000"/>
                              <w:sz w:val="17"/>
                              <w:szCs w:val="17"/>
                              <w:lang w:eastAsia="en-US" w:bidi="en-US"/>
                            </w:rPr>
                            <w:fldChar w:fldCharType="end"/>
                          </w:r>
                          <w:r>
                            <w:rPr>
                              <w:rFonts w:ascii="Times New Roman" w:hAnsi="Times New Roman" w:eastAsia="Times New Roman" w:cs="Times New Roman"/>
                              <w:color w:val="000000"/>
                              <w:sz w:val="17"/>
                              <w:szCs w:val="17"/>
                              <w:lang w:eastAsia="en-US" w:bidi="en-US"/>
                            </w:rPr>
                            <w:t xml:space="preserve"> </w:t>
                          </w:r>
                          <w:r>
                            <w:rPr>
                              <w:rFonts w:ascii="Times New Roman" w:hAnsi="Times New Roman" w:eastAsia="Times New Roman" w:cs="Times New Roman"/>
                              <w:color w:val="000000"/>
                              <w:sz w:val="17"/>
                              <w:szCs w:val="17"/>
                              <w:lang w:val="zh-TW" w:eastAsia="zh-TW" w:bidi="zh-TW"/>
                            </w:rPr>
                            <w:t>-</w:t>
                          </w:r>
                        </w:p>
                      </w:txbxContent>
                    </wps:txbx>
                    <wps:bodyPr vert="horz" wrap="none" lIns="0" tIns="0" rIns="0" bIns="0" anchor="t" anchorCtr="0" upright="1">
                      <a:spAutoFit/>
                    </wps:bodyPr>
                  </wps:wsp>
                </a:graphicData>
              </a:graphic>
            </wp:anchor>
          </w:drawing>
        </mc:Choice>
        <mc:Fallback>
          <w:pict>
            <v:shape id="Shape 26" o:spid="_x0000_s1026" o:spt="202" type="#_x0000_t202" style="position:absolute;left:0pt;margin-top:0pt;height:6pt;width:18pt;mso-position-horizontal:center;mso-position-horizontal-relative:margin;mso-wrap-style:none;z-index:251663360;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v:fill on="f" focussize="0,0"/>
              <v:stroke on="f"/>
              <v:imagedata o:title=""/>
              <o:lock v:ext="edit" aspectratio="f"/>
              <v:textbox inset="0mm,0mm,0mm,0mm" style="mso-fit-shape-to-text:t;">
                <w:txbxContent>
                  <w:p>
                    <w:pPr>
                      <w:jc w:val="left"/>
                      <w:rPr>
                        <w:rFonts w:ascii="Times New Roman" w:hAnsi="Times New Roman" w:cs="Times New Roman"/>
                        <w:sz w:val="17"/>
                        <w:szCs w:val="17"/>
                      </w:rPr>
                    </w:pPr>
                    <w:r>
                      <w:rPr>
                        <w:rFonts w:ascii="Times New Roman" w:hAnsi="Times New Roman" w:eastAsia="Times New Roman" w:cs="Times New Roman"/>
                        <w:color w:val="000000"/>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000000"/>
                        <w:sz w:val="17"/>
                        <w:szCs w:val="17"/>
                        <w:lang w:eastAsia="en-US" w:bidi="en-US"/>
                      </w:rPr>
                      <w:t>#</w:t>
                    </w:r>
                    <w:r>
                      <w:rPr>
                        <w:rFonts w:ascii="Times New Roman" w:hAnsi="Times New Roman" w:eastAsia="Times New Roman" w:cs="Times New Roman"/>
                        <w:color w:val="000000"/>
                        <w:sz w:val="17"/>
                        <w:szCs w:val="17"/>
                        <w:lang w:eastAsia="en-US" w:bidi="en-US"/>
                      </w:rPr>
                      <w:fldChar w:fldCharType="end"/>
                    </w:r>
                    <w:r>
                      <w:rPr>
                        <w:rFonts w:ascii="Times New Roman" w:hAnsi="Times New Roman" w:eastAsia="Times New Roman" w:cs="Times New Roman"/>
                        <w:color w:val="000000"/>
                        <w:sz w:val="17"/>
                        <w:szCs w:val="17"/>
                        <w:lang w:eastAsia="en-US" w:bidi="en-US"/>
                      </w:rPr>
                      <w:t xml:space="preserve"> </w:t>
                    </w:r>
                    <w:r>
                      <w:rPr>
                        <w:rFonts w:ascii="Times New Roman" w:hAnsi="Times New Roman" w:eastAsia="Times New Roman" w:cs="Times New Roman"/>
                        <w:color w:val="000000"/>
                        <w:sz w:val="17"/>
                        <w:szCs w:val="17"/>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ascii="Times New Roman" w:hAnsi="Times New Roman" w:cs="Times New Roman"/>
        <w:szCs w:val="24"/>
      </w:rPr>
    </w:pPr>
    <w:r>
      <w:rPr>
        <w:rFonts w:ascii="Times New Roman" w:hAnsi="Times New Roman" w:cs="Times New Roman"/>
        <w:szCs w:val="24"/>
      </w:rPr>
      <mc:AlternateContent>
        <mc:Choice Requires="wps">
          <w:drawing>
            <wp:anchor distT="0" distB="0" distL="114300" distR="114300" simplePos="0" relativeHeight="251662336"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jc w:val="left"/>
                            <w:rPr>
                              <w:rFonts w:ascii="Times New Roman" w:hAnsi="Times New Roman" w:cs="Times New Roman"/>
                              <w:sz w:val="17"/>
                              <w:szCs w:val="17"/>
                            </w:rPr>
                          </w:pPr>
                          <w:r>
                            <w:rPr>
                              <w:rFonts w:ascii="Times New Roman" w:hAnsi="Times New Roman" w:eastAsia="Times New Roman" w:cs="Times New Roman"/>
                              <w:color w:val="000000"/>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000000"/>
                              <w:sz w:val="17"/>
                              <w:szCs w:val="17"/>
                              <w:lang w:eastAsia="en-US" w:bidi="en-US"/>
                            </w:rPr>
                            <w:t>#</w:t>
                          </w:r>
                          <w:r>
                            <w:rPr>
                              <w:rFonts w:ascii="Times New Roman" w:hAnsi="Times New Roman" w:eastAsia="Times New Roman" w:cs="Times New Roman"/>
                              <w:color w:val="000000"/>
                              <w:sz w:val="17"/>
                              <w:szCs w:val="17"/>
                              <w:lang w:eastAsia="en-US" w:bidi="en-US"/>
                            </w:rPr>
                            <w:fldChar w:fldCharType="end"/>
                          </w:r>
                          <w:r>
                            <w:rPr>
                              <w:rFonts w:ascii="Times New Roman" w:hAnsi="Times New Roman" w:eastAsia="Times New Roman" w:cs="Times New Roman"/>
                              <w:color w:val="000000"/>
                              <w:sz w:val="17"/>
                              <w:szCs w:val="17"/>
                              <w:lang w:eastAsia="en-US" w:bidi="en-US"/>
                            </w:rPr>
                            <w:t xml:space="preserve"> </w:t>
                          </w:r>
                          <w:r>
                            <w:rPr>
                              <w:rFonts w:ascii="Times New Roman" w:hAnsi="Times New Roman" w:eastAsia="Times New Roman" w:cs="Times New Roman"/>
                              <w:color w:val="000000"/>
                              <w:sz w:val="17"/>
                              <w:szCs w:val="17"/>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4144;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pPr>
                      <w:jc w:val="left"/>
                      <w:rPr>
                        <w:rFonts w:ascii="Times New Roman" w:hAnsi="Times New Roman" w:cs="Times New Roman"/>
                        <w:sz w:val="17"/>
                        <w:szCs w:val="17"/>
                      </w:rPr>
                    </w:pPr>
                    <w:r>
                      <w:rPr>
                        <w:rFonts w:ascii="Times New Roman" w:hAnsi="Times New Roman" w:eastAsia="Times New Roman" w:cs="Times New Roman"/>
                        <w:color w:val="000000"/>
                        <w:sz w:val="17"/>
                        <w:szCs w:val="17"/>
                        <w:lang w:eastAsia="en-US" w:bidi="en-US"/>
                      </w:rPr>
                      <w:t>-</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Pr>
                        <w:rFonts w:ascii="Times New Roman" w:hAnsi="Times New Roman" w:eastAsia="Times New Roman" w:cs="Times New Roman"/>
                        <w:color w:val="000000"/>
                        <w:sz w:val="17"/>
                        <w:szCs w:val="17"/>
                        <w:lang w:eastAsia="en-US" w:bidi="en-US"/>
                      </w:rPr>
                      <w:t>#</w:t>
                    </w:r>
                    <w:r>
                      <w:rPr>
                        <w:rFonts w:ascii="Times New Roman" w:hAnsi="Times New Roman" w:eastAsia="Times New Roman" w:cs="Times New Roman"/>
                        <w:color w:val="000000"/>
                        <w:sz w:val="17"/>
                        <w:szCs w:val="17"/>
                        <w:lang w:eastAsia="en-US" w:bidi="en-US"/>
                      </w:rPr>
                      <w:fldChar w:fldCharType="end"/>
                    </w:r>
                    <w:r>
                      <w:rPr>
                        <w:rFonts w:ascii="Times New Roman" w:hAnsi="Times New Roman" w:eastAsia="Times New Roman" w:cs="Times New Roman"/>
                        <w:color w:val="000000"/>
                        <w:sz w:val="17"/>
                        <w:szCs w:val="17"/>
                        <w:lang w:eastAsia="en-US" w:bidi="en-US"/>
                      </w:rPr>
                      <w:t xml:space="preserve"> </w:t>
                    </w:r>
                    <w:r>
                      <w:rPr>
                        <w:rFonts w:ascii="Times New Roman" w:hAnsi="Times New Roman" w:eastAsia="Times New Roman" w:cs="Times New Roman"/>
                        <w:color w:val="000000"/>
                        <w:sz w:val="17"/>
                        <w:szCs w:val="17"/>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vert="horz" wrap="none" lIns="0" tIns="0" rIns="0" bIns="0" anchor="t" upright="1">
                      <a:spAutoFit/>
                    </wps:bodyPr>
                  </wps:wsp>
                </a:graphicData>
              </a:graphic>
            </wp:anchor>
          </w:drawing>
        </mc:Choice>
        <mc:Fallback>
          <w:pict>
            <v:rect id="Text Box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F0Op/RAAAAAwEAAA8AAAAAAAAAAQAgAAAAIgAAAGRycy9kb3du&#10;cmV2LnhtbFBLAQIUABQAAAAIAIdO4kAegoNZzQEAALEDAAAOAAAAAAAAAAEAIAAAACABAABkcnMv&#10;ZTJvRG9jLnhtbFBLBQYAAAAABgAGAFkBAABf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0000001B"/>
    <w:multiLevelType w:val="multilevel"/>
    <w:tmpl w:val="0000001B"/>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35"/>
    <w:multiLevelType w:val="singleLevel"/>
    <w:tmpl w:val="00000035"/>
    <w:lvl w:ilvl="0" w:tentative="0">
      <w:start w:val="2"/>
      <w:numFmt w:val="chineseCounting"/>
      <w:suff w:val="space"/>
      <w:lvlText w:val="第%1章"/>
      <w:lvlJc w:val="left"/>
    </w:lvl>
  </w:abstractNum>
  <w:abstractNum w:abstractNumId="4">
    <w:nsid w:val="0000003B"/>
    <w:multiLevelType w:val="multilevel"/>
    <w:tmpl w:val="0000003B"/>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32CC798"/>
    <w:multiLevelType w:val="singleLevel"/>
    <w:tmpl w:val="132CC798"/>
    <w:lvl w:ilvl="0" w:tentative="0">
      <w:start w:val="1"/>
      <w:numFmt w:val="chineseCounting"/>
      <w:suff w:val="space"/>
      <w:lvlText w:val="第%1章"/>
      <w:lvlJc w:val="left"/>
      <w:rPr>
        <w:rFonts w:hint="eastAsia"/>
      </w:rPr>
    </w:lvl>
  </w:abstractNum>
  <w:abstractNum w:abstractNumId="6">
    <w:nsid w:val="1CBABA70"/>
    <w:multiLevelType w:val="singleLevel"/>
    <w:tmpl w:val="1CBABA70"/>
    <w:lvl w:ilvl="0" w:tentative="0">
      <w:start w:val="1"/>
      <w:numFmt w:val="decimal"/>
      <w:suff w:val="nothing"/>
      <w:lvlText w:val="%1、"/>
      <w:lvlJc w:val="left"/>
    </w:lvl>
  </w:abstractNum>
  <w:abstractNum w:abstractNumId="7">
    <w:nsid w:val="1D7BA184"/>
    <w:multiLevelType w:val="singleLevel"/>
    <w:tmpl w:val="1D7BA184"/>
    <w:lvl w:ilvl="0" w:tentative="0">
      <w:start w:val="1"/>
      <w:numFmt w:val="decimal"/>
      <w:lvlText w:val="%1."/>
      <w:lvlJc w:val="left"/>
      <w:pPr>
        <w:tabs>
          <w:tab w:val="left" w:pos="312"/>
        </w:tabs>
      </w:pPr>
    </w:lvl>
  </w:abstractNum>
  <w:abstractNum w:abstractNumId="8">
    <w:nsid w:val="228C1E69"/>
    <w:multiLevelType w:val="multilevel"/>
    <w:tmpl w:val="228C1E69"/>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0">
    <w:nsid w:val="31500BAE"/>
    <w:multiLevelType w:val="multilevel"/>
    <w:tmpl w:val="31500BAE"/>
    <w:lvl w:ilvl="0" w:tentative="0">
      <w:start w:val="1"/>
      <w:numFmt w:val="japaneseCounting"/>
      <w:lvlText w:val="%1、"/>
      <w:lvlJc w:val="left"/>
      <w:pPr>
        <w:ind w:left="456" w:hanging="598"/>
      </w:pPr>
      <w:rPr>
        <w:rFonts w:hint="default"/>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num w:numId="1">
    <w:abstractNumId w:val="8"/>
  </w:num>
  <w:num w:numId="2">
    <w:abstractNumId w:val="5"/>
  </w:num>
  <w:num w:numId="3">
    <w:abstractNumId w:val="3"/>
  </w:num>
  <w:num w:numId="4">
    <w:abstractNumId w:val="2"/>
  </w:num>
  <w:num w:numId="5">
    <w:abstractNumId w:val="4"/>
  </w:num>
  <w:num w:numId="6">
    <w:abstractNumId w:val="7"/>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s>
  <w:rsids>
    <w:rsidRoot w:val="27B53F24"/>
    <w:rsid w:val="003D14EB"/>
    <w:rsid w:val="005714C6"/>
    <w:rsid w:val="006F02CF"/>
    <w:rsid w:val="0071191E"/>
    <w:rsid w:val="00B92181"/>
    <w:rsid w:val="00E7485A"/>
    <w:rsid w:val="02DF1815"/>
    <w:rsid w:val="07797A4C"/>
    <w:rsid w:val="0AB10E54"/>
    <w:rsid w:val="0BB377CC"/>
    <w:rsid w:val="0C6F56B8"/>
    <w:rsid w:val="0F1D1B2D"/>
    <w:rsid w:val="0F2F6BF1"/>
    <w:rsid w:val="1028262F"/>
    <w:rsid w:val="1A062349"/>
    <w:rsid w:val="1F6340D4"/>
    <w:rsid w:val="211D2ED8"/>
    <w:rsid w:val="225673D8"/>
    <w:rsid w:val="266B541C"/>
    <w:rsid w:val="27B53F24"/>
    <w:rsid w:val="27FF406E"/>
    <w:rsid w:val="2D1F486A"/>
    <w:rsid w:val="2D6329A9"/>
    <w:rsid w:val="2DCF25AB"/>
    <w:rsid w:val="301B3A0F"/>
    <w:rsid w:val="366A124C"/>
    <w:rsid w:val="38F95346"/>
    <w:rsid w:val="3F220916"/>
    <w:rsid w:val="42C02EB8"/>
    <w:rsid w:val="44E52F1F"/>
    <w:rsid w:val="47A81BD4"/>
    <w:rsid w:val="47F53213"/>
    <w:rsid w:val="4D070A08"/>
    <w:rsid w:val="4D994499"/>
    <w:rsid w:val="4EA26CAA"/>
    <w:rsid w:val="55697EFE"/>
    <w:rsid w:val="576F0018"/>
    <w:rsid w:val="58D45D88"/>
    <w:rsid w:val="59EF71EF"/>
    <w:rsid w:val="5B834092"/>
    <w:rsid w:val="5E3C172A"/>
    <w:rsid w:val="5E824AD5"/>
    <w:rsid w:val="602D12E1"/>
    <w:rsid w:val="60695F4D"/>
    <w:rsid w:val="61C02E50"/>
    <w:rsid w:val="65D404B2"/>
    <w:rsid w:val="6712276E"/>
    <w:rsid w:val="672C246B"/>
    <w:rsid w:val="69074ABA"/>
    <w:rsid w:val="69670B4F"/>
    <w:rsid w:val="6C427652"/>
    <w:rsid w:val="6D095FAC"/>
    <w:rsid w:val="73C3376E"/>
    <w:rsid w:val="74747483"/>
    <w:rsid w:val="751F6782"/>
    <w:rsid w:val="7DE0670B"/>
    <w:rsid w:val="7E4D2FA2"/>
    <w:rsid w:val="7FA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caption"/>
    <w:basedOn w:val="1"/>
    <w:next w:val="1"/>
    <w:qFormat/>
    <w:uiPriority w:val="0"/>
    <w:rPr>
      <w:rFonts w:ascii="Arial" w:hAnsi="Arial" w:eastAsia="黑体" w:cs="Arial"/>
      <w:sz w:val="20"/>
      <w:szCs w:val="20"/>
    </w:rPr>
  </w:style>
  <w:style w:type="paragraph" w:styleId="5">
    <w:name w:val="Body Text Indent"/>
    <w:basedOn w:val="1"/>
    <w:qFormat/>
    <w:uiPriority w:val="0"/>
    <w:pPr>
      <w:adjustRightInd w:val="0"/>
      <w:spacing w:after="120" w:line="360" w:lineRule="atLeast"/>
      <w:ind w:left="420" w:leftChars="200"/>
      <w:jc w:val="left"/>
      <w:textAlignment w:val="baseline"/>
    </w:pPr>
    <w:rPr>
      <w:sz w:val="24"/>
    </w:rPr>
  </w:style>
  <w:style w:type="paragraph" w:styleId="6">
    <w:name w:val="Plain Text"/>
    <w:basedOn w:val="1"/>
    <w:qFormat/>
    <w:uiPriority w:val="0"/>
    <w:rPr>
      <w:sz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rPr>
      <w:rFonts w:cs="Times New Roman"/>
      <w:sz w:val="24"/>
      <w:szCs w:val="24"/>
    </w:rPr>
  </w:style>
  <w:style w:type="paragraph" w:styleId="9">
    <w:name w:val="Body Text First Indent"/>
    <w:basedOn w:val="2"/>
    <w:next w:val="10"/>
    <w:qFormat/>
    <w:uiPriority w:val="0"/>
    <w:pPr>
      <w:ind w:firstLine="420" w:firstLineChars="100"/>
    </w:pPr>
    <w:rPr>
      <w:rFonts w:ascii="宋体" w:hAnsi="Times New Roman" w:cs="Times New Roman"/>
      <w:kern w:val="0"/>
      <w:sz w:val="34"/>
      <w:szCs w:val="20"/>
    </w:rPr>
  </w:style>
  <w:style w:type="paragraph" w:styleId="10">
    <w:name w:val="Body Text First Indent 2"/>
    <w:basedOn w:val="5"/>
    <w:next w:val="9"/>
    <w:qFormat/>
    <w:uiPriority w:val="99"/>
    <w:pPr>
      <w:tabs>
        <w:tab w:val="left" w:pos="945"/>
        <w:tab w:val="left" w:pos="1155"/>
      </w:tabs>
      <w:ind w:firstLine="420" w:firstLineChars="2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无间隔1"/>
    <w:next w:val="4"/>
    <w:qFormat/>
    <w:uiPriority w:val="99"/>
    <w:pPr>
      <w:adjustRightInd w:val="0"/>
      <w:snapToGrid w:val="0"/>
    </w:pPr>
    <w:rPr>
      <w:rFonts w:ascii="Tahoma" w:hAnsi="Tahoma" w:eastAsia="微软雅黑" w:cs="Times New Roman"/>
      <w:sz w:val="22"/>
      <w:szCs w:val="22"/>
      <w:lang w:val="en-US" w:eastAsia="zh-CN" w:bidi="ar-SA"/>
    </w:rPr>
  </w:style>
  <w:style w:type="paragraph" w:customStyle="1" w:styleId="16">
    <w:name w:val="正文_2"/>
    <w:next w:val="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99"/>
    <w:pPr>
      <w:ind w:firstLine="420" w:firstLineChars="200"/>
    </w:pPr>
  </w:style>
  <w:style w:type="paragraph" w:customStyle="1" w:styleId="18">
    <w:name w:val="正文文本缩进1"/>
    <w:basedOn w:val="1"/>
    <w:qFormat/>
    <w:uiPriority w:val="0"/>
    <w:pPr>
      <w:spacing w:line="360" w:lineRule="auto"/>
      <w:ind w:firstLine="480" w:firstLineChars="200"/>
    </w:pPr>
    <w:rPr>
      <w:rFonts w:ascii="宋体"/>
      <w:sz w:val="24"/>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20">
    <w:name w:val="日期1"/>
    <w:basedOn w:val="1"/>
    <w:next w:val="1"/>
    <w:qFormat/>
    <w:uiPriority w:val="0"/>
    <w:rPr>
      <w:sz w:val="24"/>
    </w:rPr>
  </w:style>
  <w:style w:type="paragraph" w:customStyle="1" w:styleId="21">
    <w:name w:val="样式 正文首行缩进 2 + Arial"/>
    <w:basedOn w:val="1"/>
    <w:next w:val="1"/>
    <w:qFormat/>
    <w:uiPriority w:val="0"/>
    <w:pPr>
      <w:spacing w:after="120" w:line="320" w:lineRule="atLeas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6348</Words>
  <Characters>36186</Characters>
  <Lines>301</Lines>
  <Paragraphs>84</Paragraphs>
  <TotalTime>0</TotalTime>
  <ScaleCrop>false</ScaleCrop>
  <LinksUpToDate>false</LinksUpToDate>
  <CharactersWithSpaces>42450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2023-08-31T02:27:00Z</dcterms:created>
  <dc:creator>　</dc:creator>
  <cp:lastModifiedBy>　</cp:lastModifiedBy>
  <dcterms:modified xsi:type="dcterms:W3CDTF">2023-09-04T02:10:53Z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C7845EA3D058410585685B78557CB750_11</vt:lpwstr>
  </property>
</Properties>
</file>