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8"/>
          <w:szCs w:val="48"/>
        </w:rPr>
      </w:pPr>
      <w:r>
        <w:rPr>
          <w:rFonts w:hint="eastAsia" w:cs="仿宋" w:asciiTheme="minorEastAsia" w:hAnsiTheme="minorEastAsia"/>
          <w:b/>
          <w:sz w:val="48"/>
          <w:szCs w:val="48"/>
          <w:lang w:val="en-US" w:eastAsia="zh-CN"/>
        </w:rPr>
        <w:t xml:space="preserve"> </w:t>
      </w:r>
      <w:r>
        <w:rPr>
          <w:rFonts w:hint="eastAsia" w:cs="仿宋" w:asciiTheme="minorEastAsia" w:hAnsiTheme="minorEastAsia"/>
          <w:b/>
          <w:sz w:val="48"/>
          <w:szCs w:val="48"/>
        </w:rPr>
        <w:t>襄城县</w:t>
      </w:r>
      <w:r>
        <w:rPr>
          <w:rFonts w:hint="eastAsia" w:cs="仿宋" w:asciiTheme="minorEastAsia" w:hAnsiTheme="minorEastAsia"/>
          <w:b/>
          <w:sz w:val="48"/>
          <w:szCs w:val="48"/>
          <w:lang w:val="en-US" w:eastAsia="zh-CN"/>
        </w:rPr>
        <w:t>2023年秋粮“一喷多促”</w:t>
      </w:r>
      <w:r>
        <w:rPr>
          <w:rFonts w:hint="eastAsia" w:cs="仿宋" w:asciiTheme="minorEastAsia" w:hAnsiTheme="minorEastAsia"/>
          <w:b/>
          <w:sz w:val="48"/>
          <w:szCs w:val="48"/>
        </w:rPr>
        <w:t>项目物资采购项目(不见面开标)</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31</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农业农村局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农业农村局</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2023年秋粮“一喷多促”</w:t>
      </w:r>
      <w:r>
        <w:rPr>
          <w:rFonts w:hint="eastAsia" w:asciiTheme="minorEastAsia" w:hAnsiTheme="minorEastAsia"/>
          <w:color w:val="000000"/>
          <w:sz w:val="24"/>
          <w:szCs w:val="24"/>
        </w:rPr>
        <w:t>项目物资采购项目(不见面开标)”采购项目的潜在投标人应在《全国公共资源交易平台（河南省·许昌市）》（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621"/>
      <w:bookmarkEnd w:id="0"/>
      <w:bookmarkStart w:id="1" w:name="_Toc28359002"/>
      <w:bookmarkEnd w:id="1"/>
      <w:bookmarkStart w:id="2" w:name="_Hlk24379207"/>
      <w:bookmarkEnd w:id="2"/>
      <w:bookmarkStart w:id="3" w:name="_Toc28359079"/>
      <w:bookmarkEnd w:id="3"/>
      <w:bookmarkStart w:id="4" w:name="_Toc35393790"/>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hint="eastAsia" w:cs="宋体" w:asciiTheme="minorEastAsia" w:hAnsiTheme="minorEastAsia" w:eastAsiaTheme="minorEastAsia"/>
          <w:kern w:val="0"/>
          <w:sz w:val="24"/>
          <w:szCs w:val="24"/>
          <w:lang w:eastAsia="zh-CN"/>
        </w:rPr>
      </w:pPr>
      <w:r>
        <w:rPr>
          <w:rFonts w:hint="eastAsia" w:asciiTheme="minorEastAsia" w:hAnsiTheme="minorEastAsia"/>
          <w:bCs/>
          <w:color w:val="000000"/>
          <w:sz w:val="24"/>
          <w:szCs w:val="24"/>
        </w:rPr>
        <w:t>4.预算金额：</w:t>
      </w:r>
      <w:r>
        <w:rPr>
          <w:rFonts w:hint="eastAsia" w:asciiTheme="minorEastAsia" w:hAnsiTheme="minorEastAsia"/>
          <w:bCs/>
          <w:color w:val="000000"/>
          <w:sz w:val="24"/>
          <w:szCs w:val="24"/>
          <w:lang w:val="en-US" w:eastAsia="zh-CN"/>
        </w:rPr>
        <w:t>1090000</w:t>
      </w:r>
      <w:r>
        <w:rPr>
          <w:rFonts w:hint="eastAsia" w:cs="宋体" w:asciiTheme="minorEastAsia" w:hAnsiTheme="minorEastAsia"/>
          <w:color w:val="000000"/>
          <w:kern w:val="0"/>
          <w:sz w:val="24"/>
          <w:szCs w:val="24"/>
          <w:shd w:val="clear" w:color="auto" w:fill="FFFFFF"/>
          <w:lang w:val="en-US" w:eastAsia="zh-CN"/>
        </w:rPr>
        <w:t>.00</w:t>
      </w:r>
      <w:r>
        <w:rPr>
          <w:rFonts w:hint="eastAsia" w:cs="宋体" w:asciiTheme="minorEastAsia" w:hAnsiTheme="minorEastAsia"/>
          <w:kern w:val="0"/>
          <w:sz w:val="24"/>
          <w:szCs w:val="24"/>
        </w:rPr>
        <w:t>元</w:t>
      </w:r>
      <w:r>
        <w:rPr>
          <w:rFonts w:hint="eastAsia" w:cs="宋体" w:asciiTheme="minorEastAsia" w:hAnsiTheme="minorEastAsia"/>
          <w:kern w:val="0"/>
          <w:sz w:val="24"/>
          <w:szCs w:val="24"/>
          <w:lang w:eastAsia="zh-CN"/>
        </w:rPr>
        <w:t>。</w:t>
      </w:r>
    </w:p>
    <w:tbl>
      <w:tblPr>
        <w:tblStyle w:val="26"/>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31-1</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rPr>
            </w:pPr>
            <w:r>
              <w:rPr>
                <w:rFonts w:hint="eastAsia" w:cs="Arial" w:asciiTheme="minorEastAsia" w:hAnsiTheme="minorEastAsia"/>
                <w:color w:val="000000"/>
                <w:kern w:val="0"/>
                <w:sz w:val="24"/>
                <w:szCs w:val="24"/>
                <w:lang w:val="en-US" w:eastAsia="zh-CN"/>
              </w:rPr>
              <w:t>550000.00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31-2</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540000.00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540000.00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项目采购襄城县2023年秋粮“一喷多促”物资</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hint="eastAsia" w:asciiTheme="minorEastAsia" w:hAnsiTheme="minorEastAsia"/>
          <w:bCs/>
          <w:color w:val="000000"/>
          <w:sz w:val="24"/>
          <w:szCs w:val="24"/>
          <w:lang w:eastAsia="zh-CN"/>
        </w:rPr>
      </w:pPr>
      <w:r>
        <w:rPr>
          <w:rFonts w:hint="eastAsia" w:asciiTheme="minorEastAsia" w:hAnsiTheme="minorEastAsia"/>
          <w:bCs/>
          <w:color w:val="000000"/>
          <w:sz w:val="24"/>
          <w:szCs w:val="24"/>
        </w:rPr>
        <w:t>6.合同履行期限：</w:t>
      </w:r>
      <w:r>
        <w:rPr>
          <w:rFonts w:hint="eastAsia" w:asciiTheme="minorEastAsia" w:hAnsiTheme="minorEastAsia"/>
          <w:bCs/>
          <w:color w:val="000000"/>
          <w:sz w:val="24"/>
          <w:szCs w:val="24"/>
          <w:lang w:eastAsia="zh-CN"/>
        </w:rPr>
        <w:t>合同签订后</w:t>
      </w:r>
      <w:r>
        <w:rPr>
          <w:rFonts w:hint="eastAsia" w:asciiTheme="minorEastAsia" w:hAnsiTheme="minorEastAsia"/>
          <w:bCs/>
          <w:color w:val="000000"/>
          <w:sz w:val="24"/>
          <w:szCs w:val="24"/>
          <w:lang w:val="en-US" w:eastAsia="zh-CN"/>
        </w:rPr>
        <w:t>48</w:t>
      </w:r>
      <w:r>
        <w:rPr>
          <w:rFonts w:hint="eastAsia" w:asciiTheme="minorEastAsia" w:hAnsiTheme="minorEastAsia"/>
          <w:bCs/>
          <w:color w:val="000000"/>
          <w:sz w:val="24"/>
          <w:szCs w:val="24"/>
          <w:lang w:eastAsia="zh-CN"/>
        </w:rPr>
        <w:t>小时内供应完毕。</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35393622"/>
      <w:bookmarkEnd w:id="5"/>
      <w:bookmarkStart w:id="6" w:name="_Toc28359003"/>
      <w:bookmarkEnd w:id="6"/>
      <w:bookmarkStart w:id="7" w:name="_Toc28359080"/>
      <w:bookmarkEnd w:id="7"/>
      <w:bookmarkStart w:id="8" w:name="_Toc35393791"/>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120" w:firstLineChars="50"/>
        <w:jc w:val="left"/>
        <w:rPr>
          <w:rFonts w:hint="eastAsia" w:asciiTheme="minorEastAsia" w:hAnsiTheme="minorEastAsia"/>
          <w:color w:val="000000"/>
          <w:sz w:val="24"/>
          <w:szCs w:val="24"/>
          <w:lang w:eastAsia="zh-CN"/>
        </w:rPr>
      </w:pPr>
      <w:r>
        <w:rPr>
          <w:rFonts w:hint="eastAsia" w:asciiTheme="minorEastAsia" w:hAnsiTheme="minorEastAsia"/>
          <w:b/>
          <w:bCs/>
          <w:color w:val="000000"/>
          <w:sz w:val="24"/>
          <w:szCs w:val="24"/>
          <w:lang w:eastAsia="zh-CN"/>
        </w:rPr>
        <w:t>一标段：</w:t>
      </w:r>
      <w:r>
        <w:rPr>
          <w:rFonts w:hint="eastAsia" w:asciiTheme="minorEastAsia" w:hAnsiTheme="minorEastAsia"/>
          <w:color w:val="000000"/>
          <w:sz w:val="24"/>
          <w:szCs w:val="24"/>
          <w:lang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ind w:firstLine="120" w:firstLineChars="50"/>
        <w:jc w:val="left"/>
        <w:rPr>
          <w:rFonts w:hint="eastAsia" w:asciiTheme="minorEastAsia" w:hAnsiTheme="minorEastAsia"/>
          <w:color w:val="000000"/>
          <w:sz w:val="24"/>
          <w:szCs w:val="24"/>
          <w:lang w:eastAsia="zh-CN"/>
        </w:rPr>
      </w:pPr>
      <w:r>
        <w:rPr>
          <w:rFonts w:hint="eastAsia" w:asciiTheme="minorEastAsia" w:hAnsiTheme="minorEastAsia"/>
          <w:b/>
          <w:bCs/>
          <w:color w:val="000000"/>
          <w:sz w:val="24"/>
          <w:szCs w:val="24"/>
          <w:lang w:eastAsia="zh-CN"/>
        </w:rPr>
        <w:t>二标段：</w:t>
      </w:r>
      <w:r>
        <w:rPr>
          <w:rFonts w:hint="eastAsia" w:asciiTheme="minorEastAsia" w:hAnsiTheme="minorEastAsia"/>
          <w:color w:val="000000"/>
          <w:sz w:val="24"/>
          <w:szCs w:val="24"/>
          <w:lang w:eastAsia="zh-CN"/>
        </w:rPr>
        <w:t>供应商所供中量元素水溶肥必须能够提供产品的“备案证和执行标准”，农药必须能够提供产品农药登记证、生产许可证、农药产品标准证的原件或加盖印章的复印件，产品使用范围在玉米或者大豆登记，且供应商必须具有农药经营许可证，并在有效期内。</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05"/>
            <w:bookmarkEnd w:id="13"/>
            <w:bookmarkStart w:id="14" w:name="_Toc28359082"/>
            <w:bookmarkEnd w:id="14"/>
            <w:bookmarkStart w:id="15" w:name="_Toc35393793"/>
            <w:bookmarkEnd w:id="15"/>
            <w:bookmarkStart w:id="16" w:name="_Toc35393624"/>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31</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6"/>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08"/>
            <w:bookmarkEnd w:id="17"/>
            <w:bookmarkStart w:id="18" w:name="_Toc35393796"/>
            <w:bookmarkEnd w:id="18"/>
            <w:bookmarkStart w:id="19" w:name="_Toc28359085"/>
            <w:bookmarkEnd w:id="19"/>
            <w:bookmarkStart w:id="20" w:name="_Toc35393627"/>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31</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lang w:val="en-US" w:eastAsia="zh-CN"/>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农业农村局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asciiTheme="minorEastAsia" w:hAnsiTheme="minorEastAsia"/>
          <w:color w:val="000000"/>
          <w:sz w:val="24"/>
          <w:szCs w:val="24"/>
          <w:lang w:val="en-US" w:eastAsia="zh-CN"/>
        </w:rPr>
        <w:t xml:space="preserve">      </w:t>
      </w:r>
      <w:r>
        <w:rPr>
          <w:rFonts w:hint="eastAsia" w:asciiTheme="minorEastAsia" w:hAnsiTheme="minorEastAsia"/>
          <w:color w:val="000000"/>
          <w:sz w:val="24"/>
          <w:szCs w:val="24"/>
        </w:rPr>
        <w:t>联系电话：</w:t>
      </w:r>
      <w:r>
        <w:rPr>
          <w:rFonts w:hint="eastAsia" w:asciiTheme="minorEastAsia" w:hAnsiTheme="minorEastAsia"/>
          <w:color w:val="000000"/>
          <w:sz w:val="24"/>
          <w:szCs w:val="24"/>
          <w:lang w:val="en-US" w:eastAsia="zh-CN"/>
        </w:rPr>
        <w:t>13409375009</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3"/>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本项目采购襄城县</w:t>
      </w:r>
      <w:r>
        <w:rPr>
          <w:rFonts w:hint="eastAsia" w:ascii="微软雅黑" w:hAnsi="微软雅黑" w:eastAsia="微软雅黑" w:cs="微软雅黑"/>
          <w:b/>
          <w:bCs/>
          <w:color w:val="000000"/>
          <w:kern w:val="0"/>
          <w:sz w:val="24"/>
          <w:szCs w:val="24"/>
          <w:lang w:val="en-US" w:eastAsia="zh-CN"/>
        </w:rPr>
        <w:t>2023年秋粮“一喷多促”</w:t>
      </w:r>
      <w:r>
        <w:rPr>
          <w:rFonts w:hint="eastAsia" w:ascii="微软雅黑" w:hAnsi="微软雅黑" w:eastAsia="微软雅黑" w:cs="微软雅黑"/>
          <w:b/>
          <w:bCs/>
          <w:color w:val="000000"/>
          <w:kern w:val="0"/>
          <w:sz w:val="24"/>
          <w:szCs w:val="24"/>
        </w:rPr>
        <w:t>项目物资</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tbl>
      <w:tblPr>
        <w:tblStyle w:val="27"/>
        <w:tblpPr w:leftFromText="180" w:rightFromText="180" w:vertAnchor="text" w:horzAnchor="page" w:tblpX="1570" w:tblpY="122"/>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21"/>
        <w:gridCol w:w="1583"/>
        <w:gridCol w:w="147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6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标段</w:t>
            </w:r>
          </w:p>
        </w:tc>
        <w:tc>
          <w:tcPr>
            <w:tcW w:w="2321"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货物（服务）名称</w:t>
            </w:r>
          </w:p>
        </w:tc>
        <w:tc>
          <w:tcPr>
            <w:tcW w:w="158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476" w:type="dxa"/>
            <w:vAlign w:val="center"/>
          </w:tcPr>
          <w:p>
            <w:pPr>
              <w:pStyle w:val="2"/>
              <w:ind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亩使用量</w:t>
            </w:r>
          </w:p>
        </w:tc>
        <w:tc>
          <w:tcPr>
            <w:tcW w:w="2167" w:type="dxa"/>
            <w:vAlign w:val="center"/>
          </w:tcPr>
          <w:p>
            <w:pPr>
              <w:pStyle w:val="2"/>
              <w:ind w:firstLine="0" w:firstLineChars="0"/>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总供货面积（亩）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3" w:type="dxa"/>
            <w:vMerge w:val="restart"/>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一标段</w:t>
            </w:r>
          </w:p>
        </w:tc>
        <w:tc>
          <w:tcPr>
            <w:tcW w:w="2321" w:type="dxa"/>
            <w:vAlign w:val="center"/>
          </w:tcPr>
          <w:p>
            <w:pPr>
              <w:pStyle w:val="2"/>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24-表芸苔素内酯（剂型：水剂；总含量0.01%）</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100ml/瓶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10ml/亩</w:t>
            </w:r>
          </w:p>
        </w:tc>
        <w:tc>
          <w:tcPr>
            <w:tcW w:w="2167" w:type="dxa"/>
            <w:vMerge w:val="restart"/>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3" w:type="dxa"/>
            <w:vMerge w:val="continue"/>
            <w:vAlign w:val="center"/>
          </w:tcPr>
          <w:p>
            <w:pPr>
              <w:pStyle w:val="2"/>
              <w:ind w:firstLine="0" w:firstLineChars="0"/>
              <w:jc w:val="center"/>
              <w:rPr>
                <w:rFonts w:hint="eastAsia" w:ascii="仿宋" w:hAnsi="仿宋" w:eastAsia="仿宋" w:cs="仿宋"/>
                <w:sz w:val="24"/>
                <w:szCs w:val="24"/>
              </w:rPr>
            </w:pPr>
          </w:p>
        </w:tc>
        <w:tc>
          <w:tcPr>
            <w:tcW w:w="2321" w:type="dxa"/>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20%氯虫苯甲酰胺</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100g/瓶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10g/亩</w:t>
            </w:r>
          </w:p>
        </w:tc>
        <w:tc>
          <w:tcPr>
            <w:tcW w:w="2167" w:type="dxa"/>
            <w:vMerge w:val="continue"/>
            <w:vAlign w:val="center"/>
          </w:tcPr>
          <w:p>
            <w:pPr>
              <w:pStyle w:val="2"/>
              <w:ind w:firstLine="0" w:firstLineChars="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63" w:type="dxa"/>
            <w:vMerge w:val="restart"/>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二标段</w:t>
            </w:r>
          </w:p>
        </w:tc>
        <w:tc>
          <w:tcPr>
            <w:tcW w:w="2321" w:type="dxa"/>
            <w:vAlign w:val="center"/>
          </w:tcPr>
          <w:p>
            <w:pPr>
              <w:pStyle w:val="2"/>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中量元素水溶肥（中量元素含量：≥100g/l，水不溶物：≤50g/l，PH值：3.0—9.0。）</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1000ml/瓶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50ml/亩</w:t>
            </w:r>
          </w:p>
        </w:tc>
        <w:tc>
          <w:tcPr>
            <w:tcW w:w="2167" w:type="dxa"/>
            <w:vMerge w:val="restart"/>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63" w:type="dxa"/>
            <w:vMerge w:val="continue"/>
            <w:vAlign w:val="center"/>
          </w:tcPr>
          <w:p>
            <w:pPr>
              <w:pStyle w:val="2"/>
              <w:ind w:firstLine="0" w:firstLineChars="0"/>
              <w:jc w:val="center"/>
              <w:rPr>
                <w:rFonts w:hint="eastAsia" w:ascii="仿宋" w:hAnsi="仿宋" w:eastAsia="仿宋" w:cs="仿宋"/>
                <w:sz w:val="24"/>
                <w:szCs w:val="24"/>
              </w:rPr>
            </w:pPr>
          </w:p>
        </w:tc>
        <w:tc>
          <w:tcPr>
            <w:tcW w:w="2321" w:type="dxa"/>
            <w:vAlign w:val="center"/>
          </w:tcPr>
          <w:p>
            <w:pPr>
              <w:pStyle w:val="2"/>
              <w:ind w:firstLine="0" w:firstLineChars="0"/>
              <w:jc w:val="center"/>
              <w:rPr>
                <w:rFonts w:hint="eastAsia" w:ascii="仿宋" w:hAnsi="仿宋" w:eastAsia="仿宋" w:cs="仿宋"/>
                <w:sz w:val="24"/>
                <w:szCs w:val="24"/>
              </w:rPr>
            </w:pPr>
            <w:r>
              <w:rPr>
                <w:rFonts w:hint="eastAsia" w:ascii="仿宋" w:hAnsi="仿宋" w:eastAsia="仿宋" w:cs="仿宋"/>
                <w:sz w:val="24"/>
                <w:szCs w:val="24"/>
              </w:rPr>
              <w:t>杀菌剂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w:t>
            </w:r>
            <w:r>
              <w:rPr>
                <w:rFonts w:hint="eastAsia" w:ascii="仿宋" w:hAnsi="仿宋" w:eastAsia="仿宋" w:cs="仿宋"/>
                <w:sz w:val="24"/>
                <w:szCs w:val="24"/>
              </w:rPr>
              <w:t>%唑醚.</w:t>
            </w:r>
            <w:r>
              <w:rPr>
                <w:rFonts w:hint="eastAsia" w:ascii="仿宋" w:hAnsi="仿宋" w:eastAsia="仿宋" w:cs="仿宋"/>
                <w:sz w:val="24"/>
                <w:szCs w:val="24"/>
                <w:lang w:eastAsia="zh-CN"/>
              </w:rPr>
              <w:t>戊唑醇</w:t>
            </w:r>
            <w:r>
              <w:rPr>
                <w:rFonts w:hint="eastAsia" w:ascii="仿宋" w:hAnsi="仿宋" w:eastAsia="仿宋" w:cs="仿宋"/>
                <w:sz w:val="24"/>
                <w:szCs w:val="24"/>
              </w:rPr>
              <w:t>悬浮剂）</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500g/瓶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20g/亩</w:t>
            </w:r>
          </w:p>
        </w:tc>
        <w:tc>
          <w:tcPr>
            <w:tcW w:w="2167" w:type="dxa"/>
            <w:vMerge w:val="continue"/>
            <w:vAlign w:val="center"/>
          </w:tcPr>
          <w:p>
            <w:pPr>
              <w:pStyle w:val="2"/>
              <w:ind w:firstLine="0" w:firstLineChars="0"/>
              <w:jc w:val="center"/>
              <w:rPr>
                <w:rFonts w:hint="default" w:ascii="仿宋" w:hAnsi="仿宋" w:eastAsia="仿宋" w:cs="仿宋"/>
                <w:sz w:val="24"/>
                <w:szCs w:val="24"/>
                <w:lang w:val="en-US" w:eastAsia="zh-CN"/>
              </w:rPr>
            </w:pPr>
          </w:p>
        </w:tc>
      </w:tr>
    </w:tbl>
    <w:p>
      <w:pPr>
        <w:pStyle w:val="2"/>
        <w:rPr>
          <w:rFonts w:hint="eastAsia"/>
          <w:lang w:eastAsia="zh-CN"/>
        </w:rPr>
      </w:pPr>
    </w:p>
    <w:p>
      <w:pPr>
        <w:spacing w:line="360" w:lineRule="auto"/>
        <w:ind w:firstLine="480" w:firstLineChars="200"/>
        <w:contextualSpacing/>
        <w:jc w:val="left"/>
        <w:rPr>
          <w:rFonts w:hint="eastAsia" w:ascii="宋体" w:cs="宋体"/>
          <w:b/>
          <w:sz w:val="24"/>
          <w:lang w:val="zh-CN" w:eastAsia="zh-CN" w:bidi="zh-CN"/>
        </w:rPr>
      </w:pPr>
      <w:r>
        <w:rPr>
          <w:rFonts w:hint="eastAsia" w:ascii="宋体" w:cs="宋体"/>
          <w:b/>
          <w:color w:val="FF0000"/>
          <w:sz w:val="24"/>
          <w:lang w:val="zh-CN" w:eastAsia="zh-CN" w:bidi="zh-CN"/>
        </w:rPr>
        <w:t>注：本次招标为固定总价招数量，数量最多者中标。</w:t>
      </w:r>
    </w:p>
    <w:p>
      <w:pPr>
        <w:pStyle w:val="2"/>
        <w:ind w:left="0" w:leftChars="0" w:firstLine="0" w:firstLineChars="0"/>
        <w:rPr>
          <w:rFonts w:hint="eastAsia" w:ascii="宋体" w:cs="宋体"/>
          <w:b/>
          <w:sz w:val="24"/>
          <w:lang w:val="en-US" w:eastAsia="zh-CN" w:bidi="zh-CN"/>
        </w:rPr>
      </w:pPr>
    </w:p>
    <w:p>
      <w:pPr>
        <w:pStyle w:val="2"/>
        <w:ind w:left="0" w:leftChars="0" w:firstLine="0" w:firstLineChars="0"/>
        <w:rPr>
          <w:rFonts w:hint="eastAsia" w:ascii="宋体" w:cs="宋体"/>
          <w:b/>
          <w:sz w:val="24"/>
          <w:lang w:val="zh-CN" w:eastAsia="zh-CN" w:bidi="zh-CN"/>
        </w:rPr>
      </w:pPr>
      <w:r>
        <w:rPr>
          <w:rFonts w:hint="eastAsia" w:ascii="宋体" w:cs="宋体"/>
          <w:b/>
          <w:sz w:val="24"/>
          <w:lang w:val="en-US" w:eastAsia="zh-CN" w:bidi="zh-CN"/>
        </w:rPr>
        <w:t>三</w:t>
      </w:r>
      <w:r>
        <w:rPr>
          <w:rFonts w:hint="eastAsia" w:ascii="宋体" w:cs="宋体"/>
          <w:b/>
          <w:sz w:val="24"/>
          <w:lang w:val="zh-CN" w:eastAsia="zh-CN" w:bidi="zh-CN"/>
        </w:rPr>
        <w:t>、采购需求</w:t>
      </w:r>
    </w:p>
    <w:p>
      <w:pPr>
        <w:pStyle w:val="24"/>
        <w:widowControl/>
        <w:shd w:val="clear" w:color="auto" w:fill="FFFFFF"/>
        <w:spacing w:line="360" w:lineRule="auto"/>
        <w:ind w:firstLine="480" w:firstLineChars="200"/>
        <w:contextualSpacing/>
        <w:rPr>
          <w:rFonts w:hint="eastAsia" w:ascii="宋体" w:eastAsia="宋体" w:cs="宋体"/>
          <w:b w:val="0"/>
          <w:bCs/>
          <w:lang w:val="zh-CN" w:eastAsia="zh-CN" w:bidi="zh-CN"/>
        </w:rPr>
      </w:pPr>
      <w:r>
        <w:rPr>
          <w:rFonts w:hint="eastAsia" w:ascii="宋体" w:eastAsia="宋体" w:cs="宋体"/>
          <w:b/>
          <w:bCs w:val="0"/>
          <w:lang w:val="zh-CN" w:eastAsia="zh-CN" w:bidi="zh-CN"/>
        </w:rPr>
        <w:t>一标段：</w:t>
      </w:r>
      <w:r>
        <w:rPr>
          <w:rFonts w:hint="eastAsia" w:ascii="宋体" w:eastAsia="宋体" w:cs="宋体"/>
          <w:b w:val="0"/>
          <w:bCs/>
          <w:lang w:val="zh-CN" w:eastAsia="zh-CN" w:bidi="zh-CN"/>
        </w:rPr>
        <w:t>植物生长调节剂和杀虫剂。24-表芸苔素内酯，剂型：水剂，总含量0.01%，规格：100ml/瓶；20%氯虫苯甲酰胺，悬浮剂，规格100ml/瓶；采购数量根据面积按照1:1配比，总供货面积不低于108000亩，总金额55万元。</w:t>
      </w:r>
    </w:p>
    <w:p>
      <w:pPr>
        <w:pStyle w:val="24"/>
        <w:widowControl/>
        <w:shd w:val="clear" w:color="auto" w:fill="FFFFFF"/>
        <w:spacing w:line="360" w:lineRule="auto"/>
        <w:ind w:firstLine="480" w:firstLineChars="200"/>
        <w:contextualSpacing/>
        <w:rPr>
          <w:rFonts w:hint="eastAsia" w:ascii="宋体" w:eastAsia="宋体" w:cs="宋体"/>
          <w:b w:val="0"/>
          <w:bCs/>
          <w:lang w:val="zh-CN" w:eastAsia="zh-CN" w:bidi="zh-CN"/>
        </w:rPr>
      </w:pPr>
      <w:r>
        <w:rPr>
          <w:rFonts w:hint="eastAsia" w:ascii="宋体" w:eastAsia="宋体" w:cs="宋体"/>
          <w:b/>
          <w:bCs w:val="0"/>
          <w:lang w:val="zh-CN" w:eastAsia="zh-CN" w:bidi="zh-CN"/>
        </w:rPr>
        <w:t>二标段：</w:t>
      </w:r>
      <w:r>
        <w:rPr>
          <w:rFonts w:hint="eastAsia" w:ascii="宋体" w:eastAsia="宋体" w:cs="宋体"/>
          <w:b w:val="0"/>
          <w:bCs/>
          <w:lang w:val="zh-CN" w:eastAsia="zh-CN" w:bidi="zh-CN"/>
        </w:rPr>
        <w:t>中量元素水溶肥和杀菌剂（30%唑醚.戊唑醇悬浮剂）。水溶肥：中量元素水溶肥（中量元素含量：≥100g/l，水不溶物：≤50g/l，PH值：3.0—9.0。）规格1000ml/瓶，ca采购单价；杀菌剂（30%唑醚.戊唑醇悬浮剂）规格：500g/瓶，总供货面积不低于102000亩，总金额54万元。</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cs="宋体"/>
          <w:b/>
          <w:sz w:val="24"/>
          <w:lang w:val="en-US" w:bidi="zh-CN"/>
        </w:rPr>
        <w:t>四</w:t>
      </w:r>
      <w:r>
        <w:rPr>
          <w:rFonts w:ascii="宋体" w:cs="宋体"/>
          <w:b/>
          <w:sz w:val="24"/>
          <w:lang w:val="zh-CN" w:bidi="zh-CN"/>
        </w:rPr>
        <w:t>、采购标的的其他技术、服务等要求</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（4）本项目为交钥匙工程。</w:t>
      </w:r>
    </w:p>
    <w:p>
      <w:pPr>
        <w:pStyle w:val="24"/>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en-US" w:eastAsia="zh-CN" w:bidi="ar-SA"/>
        </w:rPr>
        <w:t>五</w:t>
      </w:r>
      <w:r>
        <w:rPr>
          <w:rFonts w:hint="eastAsia" w:cs="宋体" w:asciiTheme="minorEastAsia" w:hAnsiTheme="minorEastAsia" w:eastAsiaTheme="minorEastAsia"/>
          <w:b/>
          <w:kern w:val="0"/>
          <w:sz w:val="24"/>
          <w:szCs w:val="24"/>
          <w:lang w:val="zh-CN" w:eastAsia="zh-CN" w:bidi="ar-SA"/>
        </w:rPr>
        <w:t>、本项目预算金额：</w:t>
      </w:r>
      <w:r>
        <w:rPr>
          <w:rFonts w:hint="eastAsia" w:cs="宋体" w:asciiTheme="minorEastAsia" w:hAnsiTheme="minorEastAsia" w:eastAsiaTheme="minorEastAsia"/>
          <w:b/>
          <w:kern w:val="0"/>
          <w:sz w:val="24"/>
          <w:szCs w:val="24"/>
          <w:lang w:val="en-US" w:eastAsia="zh-CN" w:bidi="ar-SA"/>
        </w:rPr>
        <w:t>一标段：</w:t>
      </w:r>
      <w:r>
        <w:rPr>
          <w:rFonts w:hint="eastAsia" w:cs="宋体" w:asciiTheme="minorEastAsia" w:hAnsiTheme="minorEastAsia" w:eastAsiaTheme="minorEastAsia"/>
          <w:b/>
          <w:kern w:val="0"/>
          <w:sz w:val="24"/>
          <w:szCs w:val="24"/>
          <w:lang w:val="zh-CN" w:eastAsia="zh-CN" w:bidi="ar-SA"/>
        </w:rPr>
        <w:t>5</w:t>
      </w:r>
      <w:r>
        <w:rPr>
          <w:rFonts w:hint="eastAsia" w:cs="宋体" w:asciiTheme="minorEastAsia" w:hAnsiTheme="minorEastAsia" w:eastAsiaTheme="minorEastAsia"/>
          <w:b/>
          <w:kern w:val="0"/>
          <w:sz w:val="24"/>
          <w:szCs w:val="24"/>
          <w:lang w:val="en-US" w:eastAsia="zh-CN" w:bidi="ar-SA"/>
        </w:rPr>
        <w:t>50000</w:t>
      </w:r>
      <w:r>
        <w:rPr>
          <w:rFonts w:hint="eastAsia" w:cs="宋体" w:asciiTheme="minorEastAsia" w:hAnsiTheme="minorEastAsia" w:eastAsiaTheme="minorEastAsia"/>
          <w:b/>
          <w:kern w:val="0"/>
          <w:sz w:val="24"/>
          <w:szCs w:val="24"/>
          <w:lang w:val="zh-CN" w:eastAsia="zh-CN" w:bidi="ar-SA"/>
        </w:rPr>
        <w:t>.00元；</w:t>
      </w:r>
      <w:r>
        <w:rPr>
          <w:rFonts w:hint="eastAsia" w:cs="宋体" w:asciiTheme="minorEastAsia" w:hAnsiTheme="minorEastAsia" w:eastAsiaTheme="minorEastAsia"/>
          <w:b/>
          <w:kern w:val="0"/>
          <w:sz w:val="24"/>
          <w:szCs w:val="24"/>
          <w:lang w:val="en-US" w:eastAsia="zh-CN" w:bidi="ar-SA"/>
        </w:rPr>
        <w:t>二标段：540000.00元</w:t>
      </w:r>
      <w:r>
        <w:rPr>
          <w:rFonts w:hint="eastAsia" w:cs="宋体" w:asciiTheme="minorEastAsia" w:hAnsiTheme="minorEastAsia" w:eastAsiaTheme="minorEastAsia"/>
          <w:b/>
          <w:kern w:val="0"/>
          <w:sz w:val="24"/>
          <w:szCs w:val="24"/>
          <w:lang w:val="zh-CN" w:eastAsia="zh-CN" w:bidi="ar-SA"/>
        </w:rPr>
        <w:t>（超出预算金额的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lang w:val="en-US" w:eastAsia="zh-CN"/>
        </w:rPr>
        <w:t>六</w:t>
      </w:r>
      <w:r>
        <w:rPr>
          <w:rFonts w:hint="eastAsia" w:cs="宋体" w:asciiTheme="minorEastAsia" w:hAnsiTheme="minorEastAsia"/>
          <w:b/>
          <w:kern w:val="0"/>
          <w:sz w:val="24"/>
          <w:szCs w:val="24"/>
          <w:lang w:val="zh-CN"/>
        </w:rPr>
        <w:t>、资金支付及其他要求</w:t>
      </w:r>
    </w:p>
    <w:p>
      <w:pPr>
        <w:pStyle w:val="24"/>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4"/>
        <w:widowControl/>
        <w:shd w:val="clear" w:color="auto" w:fill="FFFFFF"/>
        <w:spacing w:line="360" w:lineRule="auto"/>
        <w:contextualSpacing/>
        <w:rPr>
          <w:rFonts w:hint="eastAsia" w:ascii="宋体" w:eastAsia="宋体" w:cs="宋体"/>
          <w:b w:val="0"/>
          <w:bCs w:val="0"/>
          <w:lang w:val="en-US" w:eastAsia="zh-CN" w:bidi="zh-CN"/>
        </w:rPr>
      </w:pPr>
      <w:r>
        <w:rPr>
          <w:rFonts w:hint="eastAsia" w:ascii="宋体" w:eastAsia="宋体" w:cs="宋体"/>
          <w:b/>
          <w:bCs/>
          <w:lang w:val="en-US" w:eastAsia="zh-CN" w:bidi="zh-CN"/>
        </w:rPr>
        <w:t>2、付款方式：</w:t>
      </w:r>
      <w:r>
        <w:rPr>
          <w:rFonts w:hint="eastAsia" w:ascii="宋体" w:eastAsia="宋体" w:cs="宋体"/>
          <w:b w:val="0"/>
          <w:bCs w:val="0"/>
          <w:lang w:val="en-US" w:eastAsia="zh-CN" w:bidi="zh-CN"/>
        </w:rPr>
        <w:t>供货或服务完毕并通过验收后支付中标金额的100%。</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3、供货期（工期）：</w:t>
      </w:r>
      <w:r>
        <w:rPr>
          <w:rFonts w:hint="eastAsia" w:ascii="宋体" w:cs="宋体"/>
          <w:b w:val="0"/>
          <w:bCs w:val="0"/>
          <w:lang w:val="en-US" w:eastAsia="zh-CN" w:bidi="zh-CN"/>
        </w:rPr>
        <w:t>一 二标段合同签订后48小时内供应完毕。</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4、本次招标为固定总价招数量，中标公司负责使用农药后包装废弃物收处工作。</w:t>
      </w:r>
    </w:p>
    <w:p>
      <w:pPr>
        <w:pStyle w:val="24"/>
        <w:widowControl/>
        <w:shd w:val="clear" w:color="auto" w:fill="FFFFFF"/>
        <w:spacing w:line="360" w:lineRule="auto"/>
        <w:contextualSpacing/>
        <w:rPr>
          <w:rFonts w:hint="default" w:ascii="宋体" w:eastAsia="宋体" w:cs="宋体"/>
          <w:b/>
          <w:bCs/>
          <w:lang w:val="en-US" w:eastAsia="zh-CN" w:bidi="zh-CN"/>
        </w:rPr>
      </w:pPr>
    </w:p>
    <w:p>
      <w:pPr>
        <w:pStyle w:val="24"/>
        <w:widowControl/>
        <w:shd w:val="clear" w:color="auto" w:fill="FFFFFF"/>
        <w:spacing w:line="360" w:lineRule="auto"/>
        <w:contextualSpacing/>
        <w:rPr>
          <w:rFonts w:hint="eastAsia" w:ascii="宋体" w:eastAsia="宋体" w:cs="宋体"/>
          <w:lang w:val="en-US" w:eastAsia="zh-CN" w:bidi="zh-CN"/>
        </w:rPr>
      </w:pPr>
    </w:p>
    <w:p>
      <w:pPr>
        <w:pStyle w:val="24"/>
        <w:widowControl/>
        <w:shd w:val="clear" w:color="auto" w:fill="FFFFFF"/>
        <w:spacing w:line="360" w:lineRule="auto"/>
        <w:contextualSpacing/>
        <w:rPr>
          <w:rFonts w:ascii="宋体" w:eastAsia="宋体" w:cs="宋体"/>
          <w:lang w:val="zh-CN" w:bidi="zh-CN"/>
        </w:rPr>
      </w:pPr>
    </w:p>
    <w:p>
      <w:pPr>
        <w:pStyle w:val="24"/>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3"/>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cs="仿宋_GB2312" w:asciiTheme="minorEastAsia" w:hAnsiTheme="minorEastAsia"/>
                <w:sz w:val="24"/>
                <w:szCs w:val="24"/>
                <w:lang w:val="en-US" w:eastAsia="zh-CN"/>
              </w:rPr>
              <w:t>13409375009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3"/>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4"/>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预算金额：一标段：550000.00元；二标段：540000.00</w:t>
            </w:r>
            <w:r>
              <w:rPr>
                <w:rFonts w:hint="eastAsia" w:cs="宋体" w:asciiTheme="minorEastAsia" w:hAnsiTheme="minorEastAsia" w:eastAsiaTheme="minorEastAsia"/>
                <w:b/>
                <w:kern w:val="0"/>
                <w:sz w:val="24"/>
                <w:szCs w:val="24"/>
                <w:lang w:val="en-US" w:eastAsia="zh-CN" w:bidi="ar-SA"/>
              </w:rPr>
              <w:t>元</w:t>
            </w:r>
            <w:r>
              <w:rPr>
                <w:rFonts w:hint="eastAsia" w:cs="宋体" w:asciiTheme="minorEastAsia" w:hAnsiTheme="minorEastAsia" w:eastAsiaTheme="minorEastAsia"/>
                <w:b/>
                <w:kern w:val="0"/>
                <w:sz w:val="24"/>
                <w:szCs w:val="24"/>
                <w:lang w:val="zh-CN" w:eastAsia="zh-CN" w:bidi="ar-SA"/>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31</w:t>
            </w:r>
            <w:bookmarkStart w:id="23" w:name="_GoBack"/>
            <w:bookmarkEnd w:id="23"/>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0</w:t>
            </w:r>
            <w:r>
              <w:rPr>
                <w:rFonts w:hint="eastAsia" w:cs="宋体" w:asciiTheme="minorEastAsia" w:hAnsiTheme="minorEastAsia"/>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u w:val="single"/>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批发业或者零售业。</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3"/>
              <w:ind w:firstLine="480" w:firstLineChars="200"/>
              <w:jc w:val="both"/>
              <w:rPr>
                <w:rFonts w:hAnsi="宋体" w:asciiTheme="minorHAnsi" w:eastAsiaTheme="minorEastAsia"/>
                <w:color w:val="auto"/>
                <w:kern w:val="2"/>
              </w:rPr>
            </w:pPr>
          </w:p>
          <w:p>
            <w:pPr>
              <w:pStyle w:val="33"/>
              <w:ind w:firstLine="480" w:firstLineChars="200"/>
              <w:jc w:val="both"/>
              <w:rPr>
                <w:rFonts w:hAnsi="宋体" w:asciiTheme="minorHAnsi" w:eastAsiaTheme="minorEastAsia"/>
                <w:color w:val="auto"/>
                <w:kern w:val="2"/>
              </w:rPr>
            </w:pPr>
          </w:p>
          <w:p>
            <w:pPr>
              <w:pStyle w:val="3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3"/>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3"/>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jc w:val="left"/>
              <w:rPr>
                <w:rFonts w:hint="eastAsia" w:cs="仿宋_GB2312" w:asciiTheme="minorEastAsia" w:hAnsiTheme="minorEastAsia"/>
                <w:sz w:val="24"/>
                <w:szCs w:val="24"/>
                <w:lang w:val="zh-CN" w:eastAsia="zh-CN"/>
              </w:rPr>
            </w:pPr>
            <w:r>
              <w:rPr>
                <w:rFonts w:hint="eastAsia" w:cs="仿宋_GB2312" w:asciiTheme="minorEastAsia" w:hAnsiTheme="minorEastAsia"/>
                <w:b/>
                <w:bCs/>
                <w:sz w:val="24"/>
                <w:szCs w:val="24"/>
                <w:lang w:val="zh-CN" w:eastAsia="zh-CN"/>
              </w:rPr>
              <w:t>一标段：</w:t>
            </w:r>
            <w:r>
              <w:rPr>
                <w:rFonts w:hint="eastAsia" w:cs="仿宋_GB2312" w:asciiTheme="minorEastAsia" w:hAnsiTheme="minorEastAsia"/>
                <w:sz w:val="24"/>
                <w:szCs w:val="24"/>
                <w:lang w:val="zh-CN"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jc w:val="left"/>
              <w:rPr>
                <w:rFonts w:cs="仿宋_GB2312" w:asciiTheme="minorEastAsia" w:hAnsiTheme="minorEastAsia"/>
                <w:sz w:val="24"/>
                <w:szCs w:val="24"/>
                <w:lang w:val="zh-CN"/>
              </w:rPr>
            </w:pPr>
            <w:r>
              <w:rPr>
                <w:rFonts w:hint="eastAsia" w:cs="仿宋_GB2312" w:asciiTheme="minorEastAsia" w:hAnsiTheme="minorEastAsia"/>
                <w:b/>
                <w:bCs/>
                <w:sz w:val="24"/>
                <w:szCs w:val="24"/>
                <w:lang w:val="zh-CN" w:eastAsia="zh-CN"/>
              </w:rPr>
              <w:t>二标段：</w:t>
            </w:r>
            <w:r>
              <w:rPr>
                <w:rFonts w:hint="eastAsia" w:cs="仿宋_GB2312" w:asciiTheme="minorEastAsia" w:hAnsiTheme="minorEastAsia"/>
                <w:sz w:val="24"/>
                <w:szCs w:val="24"/>
                <w:lang w:val="zh-CN" w:eastAsia="zh-CN"/>
              </w:rPr>
              <w:t>供应商所供中量元素水溶肥必须能够提供产品的“备案证和执行标准”，农药必须能够提供产品农药登记证、生产许可证、农药产品标准证的原件或加盖印章的复印件，产品使用范围在玉米或者大豆登记，且供应商必须具有农药经营许可证，并在有效期内。</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5"/>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5"/>
          <w:rFonts w:ascii="宋体" w:hAnsi="宋体"/>
        </w:rPr>
      </w:pPr>
    </w:p>
    <w:p>
      <w:pPr>
        <w:rPr>
          <w:rFonts w:ascii="宋体" w:hAnsi="宋体" w:cs="微软雅黑"/>
          <w:sz w:val="28"/>
          <w:szCs w:val="28"/>
          <w:u w:val="single"/>
        </w:rPr>
      </w:pPr>
    </w:p>
    <w:p>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6"/>
        <w:tblW w:w="4997" w:type="pct"/>
        <w:tblInd w:w="0" w:type="dxa"/>
        <w:tblLayout w:type="autofit"/>
        <w:tblCellMar>
          <w:top w:w="0" w:type="dxa"/>
          <w:left w:w="108" w:type="dxa"/>
          <w:bottom w:w="0" w:type="dxa"/>
          <w:right w:w="108" w:type="dxa"/>
        </w:tblCellMar>
      </w:tblPr>
      <w:tblGrid>
        <w:gridCol w:w="801"/>
        <w:gridCol w:w="1310"/>
        <w:gridCol w:w="2461"/>
        <w:gridCol w:w="2174"/>
        <w:gridCol w:w="1364"/>
        <w:gridCol w:w="945"/>
      </w:tblGrid>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 xml:space="preserve"> 总供货面积（亩）</w:t>
            </w:r>
          </w:p>
        </w:tc>
        <w:tc>
          <w:tcPr>
            <w:tcW w:w="7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b/>
          <w:bCs/>
          <w:sz w:val="24"/>
          <w:szCs w:val="24"/>
          <w:lang w:val="zh-CN"/>
        </w:rPr>
        <w:t>注：</w:t>
      </w:r>
      <w:r>
        <w:rPr>
          <w:rFonts w:hint="eastAsia" w:cs="宋体" w:asciiTheme="minorEastAsia" w:hAnsiTheme="minorEastAsia"/>
          <w:sz w:val="24"/>
          <w:szCs w:val="24"/>
          <w:lang w:val="zh-CN"/>
        </w:rPr>
        <w:t>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ind w:firstLine="482" w:firstLineChars="200"/>
        <w:rPr>
          <w:rFonts w:hint="eastAsia" w:ascii="宋体" w:cs="宋体"/>
          <w:b/>
          <w:bCs/>
          <w:sz w:val="24"/>
          <w:lang w:val="en-US" w:eastAsia="zh-CN"/>
        </w:rPr>
      </w:pPr>
      <w:r>
        <w:rPr>
          <w:rFonts w:hint="eastAsia" w:ascii="宋体" w:cs="宋体"/>
          <w:b/>
          <w:bCs/>
          <w:sz w:val="24"/>
          <w:lang w:val="en-US" w:eastAsia="zh-CN"/>
        </w:rPr>
        <w:t>3、本次招标为固定总价招数量，数量最多者中标。</w:t>
      </w:r>
    </w:p>
    <w:p>
      <w:pPr>
        <w:autoSpaceDE w:val="0"/>
        <w:autoSpaceDN w:val="0"/>
        <w:adjustRightInd w:val="0"/>
        <w:spacing w:line="360" w:lineRule="auto"/>
        <w:ind w:firstLine="480" w:firstLineChars="200"/>
        <w:rPr>
          <w:rFonts w:hint="eastAsia" w:ascii="宋体" w:cs="宋体" w:eastAsiaTheme="minorEastAsia"/>
          <w:sz w:val="24"/>
          <w:lang w:val="en-US" w:eastAsia="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b/>
          <w:bCs/>
          <w:snapToGrid w:val="0"/>
          <w:kern w:val="0"/>
          <w:sz w:val="24"/>
          <w:szCs w:val="24"/>
        </w:rPr>
        <w:t>致：</w:t>
      </w:r>
      <w:r>
        <w:rPr>
          <w:rFonts w:hint="eastAsia" w:asciiTheme="minorEastAsia" w:hAnsiTheme="minorEastAsia"/>
          <w:snapToGrid w:val="0"/>
          <w:kern w:val="0"/>
          <w:sz w:val="24"/>
          <w:szCs w:val="24"/>
        </w:rPr>
        <w:t>_______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根据贵方_______（项目名称、招标编号</w:t>
      </w:r>
      <w:r>
        <w:rPr>
          <w:rFonts w:hint="eastAsia" w:asciiTheme="minorEastAsia" w:hAnsiTheme="minorEastAsia"/>
          <w:snapToGrid w:val="0"/>
          <w:kern w:val="0"/>
          <w:sz w:val="24"/>
          <w:szCs w:val="24"/>
          <w:lang w:eastAsia="zh-CN"/>
        </w:rPr>
        <w:t>、</w:t>
      </w:r>
      <w:r>
        <w:rPr>
          <w:rFonts w:hint="eastAsia" w:asciiTheme="minorEastAsia" w:hAnsiTheme="minorEastAsia"/>
          <w:snapToGrid w:val="0"/>
          <w:kern w:val="0"/>
          <w:sz w:val="24"/>
          <w:szCs w:val="24"/>
          <w:lang w:val="en-US" w:eastAsia="zh-CN"/>
        </w:rPr>
        <w:t>标段</w:t>
      </w:r>
      <w:r>
        <w:rPr>
          <w:rFonts w:hint="eastAsia" w:asciiTheme="minorEastAsia" w:hAnsiTheme="minorEastAsia"/>
          <w:snapToGrid w:val="0"/>
          <w:kern w:val="0"/>
          <w:sz w:val="24"/>
          <w:szCs w:val="24"/>
        </w:rPr>
        <w:t>）采购的采购公告及采购邀请，_______（姓名和职务）被正式授权并代表供应商（供应商名称、地址）_______提交。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numPr>
          <w:ilvl w:val="0"/>
          <w:numId w:val="20"/>
        </w:numPr>
        <w:adjustRightInd w:val="0"/>
        <w:spacing w:line="360" w:lineRule="auto"/>
        <w:ind w:firstLine="480" w:firstLineChars="200"/>
        <w:contextualSpacing/>
        <w:rPr>
          <w:rFonts w:hint="default" w:eastAsiaTheme="minorEastAsia"/>
          <w:lang w:val="en-US" w:eastAsia="zh-CN"/>
        </w:rPr>
      </w:pPr>
      <w:r>
        <w:rPr>
          <w:rFonts w:hint="eastAsia" w:cs="Courier New" w:asciiTheme="minorEastAsia" w:hAnsiTheme="minorEastAsia"/>
          <w:sz w:val="24"/>
          <w:szCs w:val="24"/>
        </w:rPr>
        <w:t>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3"/>
        <w:rPr>
          <w:rFonts w:hAnsi="宋体"/>
          <w:color w:val="FF0000"/>
        </w:rPr>
      </w:pPr>
    </w:p>
    <w:p>
      <w:pPr>
        <w:pStyle w:val="3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auto"/>
          <w:kern w:val="0"/>
          <w:sz w:val="24"/>
          <w:szCs w:val="24"/>
        </w:rPr>
        <w:t>统一社会信用代码：</w:t>
      </w:r>
      <w:r>
        <w:rPr>
          <w:rFonts w:hint="eastAsia" w:ascii="宋体" w:hAnsi="宋体" w:cs="Courier New"/>
          <w:color w:val="auto"/>
          <w:sz w:val="22"/>
          <w:szCs w:val="21"/>
          <w:u w:val="single"/>
        </w:rPr>
        <w:t xml:space="preserve">  </w:t>
      </w:r>
      <w:r>
        <w:rPr>
          <w:rFonts w:hint="eastAsia" w:ascii="宋体" w:hAnsi="宋体" w:cs="Courier New"/>
          <w:color w:val="auto"/>
          <w:sz w:val="32"/>
          <w:szCs w:val="30"/>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3"/>
        <w:ind w:firstLine="480" w:firstLineChars="200"/>
      </w:pPr>
      <w:r>
        <w:rPr>
          <w:rFonts w:hint="eastAsia" w:hAnsi="Times New Roman"/>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3"/>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E43468BA"/>
    <w:multiLevelType w:val="singleLevel"/>
    <w:tmpl w:val="E43468BA"/>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4">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4">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3BE5F5C8"/>
    <w:multiLevelType w:val="singleLevel"/>
    <w:tmpl w:val="3BE5F5C8"/>
    <w:lvl w:ilvl="0" w:tentative="0">
      <w:start w:val="6"/>
      <w:numFmt w:val="chineseCounting"/>
      <w:suff w:val="space"/>
      <w:lvlText w:val="第%1章"/>
      <w:lvlJc w:val="left"/>
      <w:rPr>
        <w:rFonts w:hint="eastAsia"/>
      </w:rPr>
    </w:lvl>
  </w:abstractNum>
  <w:abstractNum w:abstractNumId="16">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59F817E8"/>
    <w:multiLevelType w:val="singleLevel"/>
    <w:tmpl w:val="59F817E8"/>
    <w:lvl w:ilvl="0" w:tentative="0">
      <w:start w:val="1"/>
      <w:numFmt w:val="chineseCounting"/>
      <w:pStyle w:val="57"/>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1"/>
  </w:num>
  <w:num w:numId="5">
    <w:abstractNumId w:val="0"/>
  </w:num>
  <w:num w:numId="6">
    <w:abstractNumId w:val="9"/>
  </w:num>
  <w:num w:numId="7">
    <w:abstractNumId w:val="18"/>
  </w:num>
  <w:num w:numId="8">
    <w:abstractNumId w:val="11"/>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19"/>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7A38C2"/>
    <w:rsid w:val="027D71DE"/>
    <w:rsid w:val="04B90C36"/>
    <w:rsid w:val="051C2CDE"/>
    <w:rsid w:val="051F3931"/>
    <w:rsid w:val="053F5432"/>
    <w:rsid w:val="064E7C45"/>
    <w:rsid w:val="073C04EF"/>
    <w:rsid w:val="08EF7504"/>
    <w:rsid w:val="0C4C440E"/>
    <w:rsid w:val="0CAE7D79"/>
    <w:rsid w:val="0E907D6A"/>
    <w:rsid w:val="0F492F98"/>
    <w:rsid w:val="100B4F00"/>
    <w:rsid w:val="11C61666"/>
    <w:rsid w:val="13781D89"/>
    <w:rsid w:val="137F2F8B"/>
    <w:rsid w:val="14214638"/>
    <w:rsid w:val="149819C8"/>
    <w:rsid w:val="15EE44D7"/>
    <w:rsid w:val="17DC0EEE"/>
    <w:rsid w:val="18F9273C"/>
    <w:rsid w:val="197B011F"/>
    <w:rsid w:val="19F6310E"/>
    <w:rsid w:val="1A83267B"/>
    <w:rsid w:val="1BC27E34"/>
    <w:rsid w:val="1C317F37"/>
    <w:rsid w:val="1C527EEE"/>
    <w:rsid w:val="1D404543"/>
    <w:rsid w:val="1D90357B"/>
    <w:rsid w:val="1E5C55E9"/>
    <w:rsid w:val="20296E0C"/>
    <w:rsid w:val="20AD1B4A"/>
    <w:rsid w:val="2188579C"/>
    <w:rsid w:val="21DF17AC"/>
    <w:rsid w:val="2247604F"/>
    <w:rsid w:val="22966EF9"/>
    <w:rsid w:val="22A55E01"/>
    <w:rsid w:val="22B643D4"/>
    <w:rsid w:val="22C51EF8"/>
    <w:rsid w:val="25503432"/>
    <w:rsid w:val="25720679"/>
    <w:rsid w:val="25C85D0B"/>
    <w:rsid w:val="27A50027"/>
    <w:rsid w:val="27B5253B"/>
    <w:rsid w:val="29DA08EE"/>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7EF2528"/>
    <w:rsid w:val="383B5941"/>
    <w:rsid w:val="391A16F3"/>
    <w:rsid w:val="391E6950"/>
    <w:rsid w:val="394B1484"/>
    <w:rsid w:val="3A1A525E"/>
    <w:rsid w:val="3B380893"/>
    <w:rsid w:val="3D96637E"/>
    <w:rsid w:val="3D9B2BCF"/>
    <w:rsid w:val="3E5D14DB"/>
    <w:rsid w:val="40D03169"/>
    <w:rsid w:val="412C738F"/>
    <w:rsid w:val="43831624"/>
    <w:rsid w:val="45050872"/>
    <w:rsid w:val="46366161"/>
    <w:rsid w:val="46E35449"/>
    <w:rsid w:val="473960E8"/>
    <w:rsid w:val="485128BA"/>
    <w:rsid w:val="49574371"/>
    <w:rsid w:val="49E40FE5"/>
    <w:rsid w:val="4B41035F"/>
    <w:rsid w:val="4B4F3122"/>
    <w:rsid w:val="4C944857"/>
    <w:rsid w:val="4D005CCE"/>
    <w:rsid w:val="4D5D0D6B"/>
    <w:rsid w:val="4DA03A94"/>
    <w:rsid w:val="4EDC5ED9"/>
    <w:rsid w:val="4F3F7E05"/>
    <w:rsid w:val="4FCF2633"/>
    <w:rsid w:val="505F0174"/>
    <w:rsid w:val="51140856"/>
    <w:rsid w:val="51352836"/>
    <w:rsid w:val="521045FE"/>
    <w:rsid w:val="52BC443F"/>
    <w:rsid w:val="54004FDB"/>
    <w:rsid w:val="544C0545"/>
    <w:rsid w:val="54510569"/>
    <w:rsid w:val="56EF6A5A"/>
    <w:rsid w:val="587072C8"/>
    <w:rsid w:val="58A31F4C"/>
    <w:rsid w:val="5CB139A0"/>
    <w:rsid w:val="5D007057"/>
    <w:rsid w:val="5D6C5494"/>
    <w:rsid w:val="5EC74102"/>
    <w:rsid w:val="60482751"/>
    <w:rsid w:val="608F423E"/>
    <w:rsid w:val="614E3A65"/>
    <w:rsid w:val="616D038D"/>
    <w:rsid w:val="61AE0FAA"/>
    <w:rsid w:val="62C21C33"/>
    <w:rsid w:val="641501A2"/>
    <w:rsid w:val="6424389E"/>
    <w:rsid w:val="64307D09"/>
    <w:rsid w:val="6661012A"/>
    <w:rsid w:val="66696190"/>
    <w:rsid w:val="66814E4B"/>
    <w:rsid w:val="66C37A39"/>
    <w:rsid w:val="67031F33"/>
    <w:rsid w:val="67341FB4"/>
    <w:rsid w:val="69FB4D8B"/>
    <w:rsid w:val="6B0A19B6"/>
    <w:rsid w:val="6B1116BB"/>
    <w:rsid w:val="6BA84BCE"/>
    <w:rsid w:val="6C3B5359"/>
    <w:rsid w:val="6D32159C"/>
    <w:rsid w:val="6D7F628C"/>
    <w:rsid w:val="6D8D45E8"/>
    <w:rsid w:val="6E51144F"/>
    <w:rsid w:val="6EAA3499"/>
    <w:rsid w:val="6F0127DB"/>
    <w:rsid w:val="6F3B5241"/>
    <w:rsid w:val="6F9C595C"/>
    <w:rsid w:val="709C702B"/>
    <w:rsid w:val="74110165"/>
    <w:rsid w:val="745B67F0"/>
    <w:rsid w:val="75150507"/>
    <w:rsid w:val="75592FBF"/>
    <w:rsid w:val="755E1E93"/>
    <w:rsid w:val="75AB4839"/>
    <w:rsid w:val="75BC40AA"/>
    <w:rsid w:val="767C5E46"/>
    <w:rsid w:val="76B13D52"/>
    <w:rsid w:val="76B625A7"/>
    <w:rsid w:val="770877C5"/>
    <w:rsid w:val="77597EC5"/>
    <w:rsid w:val="78AF68A0"/>
    <w:rsid w:val="78D763A0"/>
    <w:rsid w:val="792F72FA"/>
    <w:rsid w:val="7A1563A6"/>
    <w:rsid w:val="7A291F4F"/>
    <w:rsid w:val="7AF839FC"/>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8"/>
    <w:qFormat/>
    <w:uiPriority w:val="0"/>
    <w:rPr>
      <w:rFonts w:ascii="Times New Roman" w:hAnsi="Times New Roman" w:eastAsia="宋体" w:cs="Times New Roman"/>
      <w:color w:val="FF0000"/>
      <w:sz w:val="24"/>
      <w:szCs w:val="24"/>
    </w:rPr>
  </w:style>
  <w:style w:type="paragraph" w:styleId="12">
    <w:name w:val="Body Text"/>
    <w:basedOn w:val="1"/>
    <w:next w:val="1"/>
    <w:link w:val="39"/>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0"/>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1"/>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5"/>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4">
    <w:name w:val="标题 1 Char"/>
    <w:basedOn w:val="28"/>
    <w:link w:val="3"/>
    <w:qFormat/>
    <w:uiPriority w:val="0"/>
    <w:rPr>
      <w:rFonts w:ascii="Calibri" w:hAnsi="Calibri" w:eastAsia="宋体" w:cs="Times New Roman"/>
      <w:b/>
      <w:bCs/>
      <w:kern w:val="44"/>
      <w:sz w:val="44"/>
      <w:szCs w:val="44"/>
    </w:rPr>
  </w:style>
  <w:style w:type="character" w:customStyle="1" w:styleId="35">
    <w:name w:val="标题 2 Char"/>
    <w:basedOn w:val="28"/>
    <w:link w:val="4"/>
    <w:qFormat/>
    <w:uiPriority w:val="0"/>
    <w:rPr>
      <w:rFonts w:ascii="Arial" w:hAnsi="Arial" w:eastAsia="黑体" w:cs="Times New Roman"/>
      <w:b/>
      <w:bCs/>
      <w:sz w:val="32"/>
      <w:szCs w:val="32"/>
    </w:rPr>
  </w:style>
  <w:style w:type="character" w:customStyle="1" w:styleId="36">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6"/>
    <w:qFormat/>
    <w:uiPriority w:val="0"/>
    <w:rPr>
      <w:rFonts w:ascii="Arial" w:hAnsi="Arial" w:eastAsia="黑体" w:cs="Times New Roman"/>
      <w:b/>
      <w:bCs/>
      <w:sz w:val="28"/>
      <w:szCs w:val="28"/>
    </w:rPr>
  </w:style>
  <w:style w:type="character" w:customStyle="1" w:styleId="38">
    <w:name w:val="正文文本 3 Char"/>
    <w:basedOn w:val="28"/>
    <w:link w:val="11"/>
    <w:qFormat/>
    <w:uiPriority w:val="0"/>
    <w:rPr>
      <w:rFonts w:ascii="Times New Roman" w:hAnsi="Times New Roman" w:eastAsia="宋体" w:cs="Times New Roman"/>
      <w:color w:val="FF0000"/>
      <w:sz w:val="24"/>
      <w:szCs w:val="24"/>
    </w:rPr>
  </w:style>
  <w:style w:type="character" w:customStyle="1" w:styleId="39">
    <w:name w:val="正文文本 Char"/>
    <w:basedOn w:val="28"/>
    <w:link w:val="12"/>
    <w:qFormat/>
    <w:uiPriority w:val="99"/>
  </w:style>
  <w:style w:type="character" w:customStyle="1" w:styleId="40">
    <w:name w:val="纯文本 Char"/>
    <w:basedOn w:val="28"/>
    <w:link w:val="15"/>
    <w:qFormat/>
    <w:uiPriority w:val="0"/>
    <w:rPr>
      <w:rFonts w:eastAsia="宋体"/>
      <w:sz w:val="24"/>
    </w:rPr>
  </w:style>
  <w:style w:type="character" w:customStyle="1" w:styleId="41">
    <w:name w:val="日期 Char"/>
    <w:basedOn w:val="28"/>
    <w:link w:val="18"/>
    <w:qFormat/>
    <w:uiPriority w:val="99"/>
  </w:style>
  <w:style w:type="character" w:customStyle="1" w:styleId="42">
    <w:name w:val="页脚 Char"/>
    <w:basedOn w:val="28"/>
    <w:link w:val="20"/>
    <w:qFormat/>
    <w:uiPriority w:val="99"/>
    <w:rPr>
      <w:sz w:val="18"/>
      <w:szCs w:val="18"/>
    </w:rPr>
  </w:style>
  <w:style w:type="character" w:customStyle="1" w:styleId="43">
    <w:name w:val="页眉 Char"/>
    <w:basedOn w:val="28"/>
    <w:link w:val="21"/>
    <w:qFormat/>
    <w:uiPriority w:val="99"/>
    <w:rPr>
      <w:sz w:val="18"/>
      <w:szCs w:val="18"/>
    </w:rPr>
  </w:style>
  <w:style w:type="character" w:customStyle="1" w:styleId="44">
    <w:name w:val="HTML 预设格式 Char"/>
    <w:basedOn w:val="28"/>
    <w:link w:val="23"/>
    <w:semiHidden/>
    <w:qFormat/>
    <w:uiPriority w:val="99"/>
    <w:rPr>
      <w:rFonts w:ascii="宋体" w:hAnsi="宋体" w:eastAsia="宋体" w:cs="宋体"/>
      <w:kern w:val="0"/>
      <w:sz w:val="24"/>
      <w:szCs w:val="24"/>
    </w:rPr>
  </w:style>
  <w:style w:type="character" w:customStyle="1" w:styleId="45">
    <w:name w:val="正文首行缩进 Char"/>
    <w:basedOn w:val="39"/>
    <w:link w:val="25"/>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8"/>
    <w:qFormat/>
    <w:uiPriority w:val="0"/>
    <w:rPr>
      <w:rFonts w:hint="eastAsia" w:ascii="宋体" w:hAnsi="宋体" w:eastAsia="宋体" w:cs="宋体"/>
      <w:color w:val="000000"/>
      <w:sz w:val="20"/>
      <w:szCs w:val="20"/>
      <w:u w:val="none"/>
    </w:rPr>
  </w:style>
  <w:style w:type="paragraph" w:customStyle="1" w:styleId="86">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29840</Words>
  <Characters>31676</Characters>
  <Lines>276</Lines>
  <Paragraphs>77</Paragraphs>
  <TotalTime>2</TotalTime>
  <ScaleCrop>false</ScaleCrop>
  <LinksUpToDate>false</LinksUpToDate>
  <CharactersWithSpaces>32856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襄城县公共资源交易中心:王愧晓</cp:lastModifiedBy>
  <cp:lastPrinted>2023-08-16T02:20:00Z</cp:lastPrinted>
  <dcterms:modified xsi:type="dcterms:W3CDTF">2023-08-28T03:51:08Z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1A63440FDCB44A48BBE12E9EDA4AD9AF</vt:lpwstr>
  </property>
</Properties>
</file>