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12" w:rightChars="-244" w:firstLine="252" w:firstLineChars="45"/>
        <w:jc w:val="center"/>
        <w:rPr>
          <w:rFonts w:ascii="宋体" w:hAnsi="宋体" w:cs="宋体"/>
          <w:bCs/>
          <w:sz w:val="56"/>
          <w:szCs w:val="56"/>
        </w:rPr>
      </w:pPr>
      <w:r>
        <w:rPr>
          <w:rFonts w:hint="eastAsia" w:ascii="宋体" w:hAnsi="宋体" w:cs="宋体"/>
          <w:bCs/>
          <w:sz w:val="56"/>
          <w:szCs w:val="56"/>
        </w:rPr>
        <w:t>建安区政府采购</w:t>
      </w:r>
    </w:p>
    <w:p>
      <w:pPr>
        <w:pStyle w:val="13"/>
        <w:ind w:right="-512" w:rightChars="-244" w:firstLine="0" w:firstLineChars="0"/>
        <w:rPr>
          <w:rFonts w:hint="default"/>
        </w:rPr>
      </w:pPr>
    </w:p>
    <w:p>
      <w:pPr>
        <w:ind w:right="-512" w:rightChars="-244"/>
        <w:jc w:val="center"/>
        <w:rPr>
          <w:rFonts w:ascii="宋体" w:hAnsi="宋体" w:cs="宋体"/>
          <w:sz w:val="96"/>
          <w:szCs w:val="72"/>
        </w:rPr>
      </w:pPr>
    </w:p>
    <w:p>
      <w:pPr>
        <w:spacing w:line="600" w:lineRule="exact"/>
        <w:ind w:right="-512" w:rightChars="-244" w:firstLine="3840" w:firstLineChars="800"/>
        <w:jc w:val="left"/>
        <w:rPr>
          <w:rFonts w:ascii="宋体" w:hAnsi="宋体" w:cs="宋体"/>
          <w:bCs/>
          <w:sz w:val="48"/>
          <w:szCs w:val="48"/>
        </w:rPr>
      </w:pPr>
    </w:p>
    <w:p>
      <w:pPr>
        <w:pStyle w:val="13"/>
        <w:ind w:firstLine="210"/>
        <w:rPr>
          <w:rFonts w:hint="default"/>
        </w:rPr>
      </w:pPr>
    </w:p>
    <w:p>
      <w:pPr>
        <w:spacing w:line="800" w:lineRule="exact"/>
        <w:ind w:right="-512" w:rightChars="-244" w:firstLine="4480" w:firstLineChars="800"/>
        <w:jc w:val="left"/>
        <w:rPr>
          <w:rFonts w:ascii="宋体" w:hAnsi="宋体" w:cs="宋体"/>
          <w:bCs/>
          <w:sz w:val="44"/>
          <w:szCs w:val="44"/>
        </w:rPr>
      </w:pPr>
      <w:r>
        <w:rPr>
          <w:rFonts w:hint="eastAsia" w:ascii="宋体" w:hAnsi="宋体" w:cs="宋体"/>
          <w:bCs/>
          <w:sz w:val="56"/>
          <w:szCs w:val="56"/>
        </w:rPr>
        <w:t>磋</w:t>
      </w:r>
    </w:p>
    <w:p>
      <w:pPr>
        <w:spacing w:line="800" w:lineRule="exact"/>
        <w:ind w:right="-512" w:rightChars="-244" w:firstLine="4480" w:firstLineChars="800"/>
        <w:jc w:val="left"/>
        <w:rPr>
          <w:rFonts w:ascii="宋体" w:hAnsi="宋体" w:cs="宋体"/>
          <w:bCs/>
          <w:sz w:val="56"/>
          <w:szCs w:val="56"/>
        </w:rPr>
      </w:pPr>
      <w:r>
        <w:rPr>
          <w:rFonts w:hint="eastAsia" w:ascii="宋体" w:hAnsi="宋体" w:cs="宋体"/>
          <w:bCs/>
          <w:sz w:val="56"/>
          <w:szCs w:val="56"/>
        </w:rPr>
        <w:t>商</w:t>
      </w:r>
    </w:p>
    <w:p>
      <w:pPr>
        <w:spacing w:line="800" w:lineRule="exact"/>
        <w:ind w:right="-512" w:rightChars="-244" w:firstLine="4480" w:firstLineChars="800"/>
        <w:jc w:val="left"/>
        <w:rPr>
          <w:rFonts w:ascii="宋体" w:hAnsi="宋体" w:cs="宋体"/>
          <w:bCs/>
          <w:sz w:val="56"/>
          <w:szCs w:val="56"/>
        </w:rPr>
      </w:pPr>
      <w:r>
        <w:rPr>
          <w:rFonts w:hint="eastAsia" w:ascii="宋体" w:hAnsi="宋体" w:cs="宋体"/>
          <w:bCs/>
          <w:sz w:val="56"/>
          <w:szCs w:val="56"/>
        </w:rPr>
        <w:t>文</w:t>
      </w:r>
    </w:p>
    <w:p>
      <w:pPr>
        <w:spacing w:line="800" w:lineRule="exact"/>
        <w:ind w:right="-512" w:rightChars="-244" w:firstLine="4480" w:firstLineChars="800"/>
        <w:jc w:val="left"/>
      </w:pPr>
      <w:r>
        <w:rPr>
          <w:rFonts w:hint="eastAsia" w:ascii="宋体" w:hAnsi="宋体" w:cs="宋体"/>
          <w:bCs/>
          <w:sz w:val="56"/>
          <w:szCs w:val="56"/>
        </w:rPr>
        <w:t>件</w:t>
      </w:r>
    </w:p>
    <w:p>
      <w:pPr>
        <w:spacing w:line="600" w:lineRule="exact"/>
        <w:ind w:right="-512" w:rightChars="-244" w:firstLine="162" w:firstLineChars="45"/>
        <w:jc w:val="center"/>
        <w:rPr>
          <w:rFonts w:ascii="宋体" w:hAnsi="宋体" w:cs="宋体"/>
          <w:bCs/>
          <w:sz w:val="36"/>
          <w:szCs w:val="36"/>
        </w:rPr>
      </w:pPr>
      <w:r>
        <w:rPr>
          <w:rFonts w:hint="eastAsia" w:ascii="宋体" w:hAnsi="宋体" w:cs="宋体"/>
          <w:bCs/>
          <w:sz w:val="36"/>
          <w:szCs w:val="36"/>
        </w:rPr>
        <w:t>（不见面开标）</w:t>
      </w:r>
    </w:p>
    <w:p>
      <w:pPr>
        <w:pStyle w:val="9"/>
        <w:ind w:right="-512" w:rightChars="-244"/>
      </w:pPr>
    </w:p>
    <w:p>
      <w:pPr>
        <w:pStyle w:val="9"/>
        <w:ind w:right="-512" w:rightChars="-244"/>
      </w:pPr>
    </w:p>
    <w:p>
      <w:pPr>
        <w:pStyle w:val="9"/>
        <w:ind w:left="0" w:leftChars="0" w:right="-512" w:rightChars="-244"/>
      </w:pPr>
    </w:p>
    <w:p>
      <w:pPr>
        <w:spacing w:line="640" w:lineRule="exact"/>
        <w:ind w:right="-512" w:rightChars="-244" w:firstLine="1080" w:firstLineChars="300"/>
        <w:rPr>
          <w:rFonts w:ascii="宋体" w:hAnsi="宋体" w:cs="宋体"/>
          <w:bCs/>
          <w:sz w:val="36"/>
          <w:szCs w:val="36"/>
        </w:rPr>
      </w:pPr>
      <w:r>
        <w:rPr>
          <w:rFonts w:hint="eastAsia" w:ascii="宋体" w:hAnsi="宋体" w:cs="宋体"/>
          <w:bCs/>
          <w:sz w:val="36"/>
          <w:szCs w:val="36"/>
        </w:rPr>
        <w:t>项目编号：建安政采竞磋商字〔2023〕26号</w:t>
      </w:r>
    </w:p>
    <w:p>
      <w:pPr>
        <w:spacing w:line="640" w:lineRule="exact"/>
        <w:ind w:right="-512" w:rightChars="-244" w:firstLine="1080" w:firstLineChars="300"/>
        <w:rPr>
          <w:rFonts w:hAnsi="宋体"/>
          <w:sz w:val="36"/>
          <w:szCs w:val="36"/>
        </w:rPr>
      </w:pPr>
      <w:r>
        <w:rPr>
          <w:rFonts w:hint="eastAsia" w:ascii="宋体" w:hAnsi="宋体" w:cs="宋体"/>
          <w:bCs/>
          <w:sz w:val="36"/>
          <w:szCs w:val="36"/>
        </w:rPr>
        <w:t>项目名称：</w:t>
      </w:r>
      <w:r>
        <w:rPr>
          <w:rFonts w:hint="eastAsia" w:hAnsi="宋体"/>
          <w:sz w:val="36"/>
          <w:szCs w:val="36"/>
        </w:rPr>
        <w:t>建安区国控站点周边大气污染防治</w:t>
      </w:r>
    </w:p>
    <w:p>
      <w:pPr>
        <w:spacing w:line="640" w:lineRule="exact"/>
        <w:ind w:right="-512" w:rightChars="-244" w:firstLine="2880" w:firstLineChars="800"/>
        <w:rPr>
          <w:rFonts w:ascii="宋体" w:hAnsi="宋体" w:cs="宋体"/>
          <w:bCs/>
          <w:sz w:val="36"/>
          <w:szCs w:val="36"/>
        </w:rPr>
      </w:pPr>
      <w:r>
        <w:rPr>
          <w:rFonts w:hint="eastAsia" w:hAnsi="宋体"/>
          <w:sz w:val="36"/>
          <w:szCs w:val="36"/>
        </w:rPr>
        <w:t>精细化管理提升项目</w:t>
      </w:r>
    </w:p>
    <w:p>
      <w:pPr>
        <w:spacing w:line="600" w:lineRule="exact"/>
        <w:ind w:right="-512" w:rightChars="-244" w:firstLine="1080" w:firstLineChars="300"/>
        <w:rPr>
          <w:rFonts w:ascii="宋体" w:hAnsi="宋体" w:cs="宋体"/>
          <w:bCs/>
          <w:sz w:val="36"/>
          <w:szCs w:val="36"/>
        </w:rPr>
      </w:pPr>
      <w:r>
        <w:rPr>
          <w:rFonts w:hint="eastAsia" w:ascii="宋体" w:hAnsi="宋体" w:cs="宋体"/>
          <w:bCs/>
          <w:sz w:val="36"/>
          <w:szCs w:val="36"/>
        </w:rPr>
        <w:t>采购单位：许昌市生态环境局建安分局</w:t>
      </w:r>
    </w:p>
    <w:p>
      <w:pPr>
        <w:spacing w:line="640" w:lineRule="exact"/>
        <w:ind w:right="-512" w:rightChars="-244" w:firstLine="1080" w:firstLineChars="300"/>
        <w:rPr>
          <w:rFonts w:ascii="宋体" w:hAnsi="宋体" w:cs="宋体"/>
          <w:bCs/>
          <w:sz w:val="36"/>
          <w:szCs w:val="36"/>
        </w:rPr>
      </w:pPr>
      <w:r>
        <w:rPr>
          <w:rFonts w:hint="eastAsia" w:ascii="宋体" w:hAnsi="宋体" w:cs="宋体"/>
          <w:bCs/>
          <w:sz w:val="36"/>
          <w:szCs w:val="36"/>
        </w:rPr>
        <w:t>代理机构：河南天扬工程项目管理有限公司</w:t>
      </w:r>
    </w:p>
    <w:p>
      <w:pPr>
        <w:spacing w:line="640" w:lineRule="exact"/>
        <w:ind w:right="-512" w:rightChars="-244"/>
        <w:jc w:val="center"/>
        <w:rPr>
          <w:rFonts w:ascii="宋体" w:hAnsi="宋体" w:cs="宋体"/>
          <w:bCs/>
          <w:sz w:val="36"/>
          <w:szCs w:val="36"/>
        </w:rPr>
      </w:pPr>
      <w:r>
        <w:rPr>
          <w:rFonts w:hint="eastAsia" w:ascii="宋体" w:hAnsi="宋体" w:cs="宋体"/>
          <w:bCs/>
          <w:sz w:val="36"/>
          <w:szCs w:val="36"/>
        </w:rPr>
        <w:t>二〇二三年八月</w:t>
      </w:r>
    </w:p>
    <w:p>
      <w:pPr>
        <w:autoSpaceDE w:val="0"/>
        <w:autoSpaceDN w:val="0"/>
        <w:adjustRightInd w:val="0"/>
        <w:spacing w:line="700" w:lineRule="exact"/>
        <w:ind w:right="-512" w:rightChars="-244" w:firstLine="551"/>
        <w:jc w:val="center"/>
        <w:rPr>
          <w:rFonts w:ascii="宋体" w:hAnsi="宋体" w:cs="宋体"/>
          <w:b/>
          <w:bCs/>
          <w:sz w:val="40"/>
          <w:szCs w:val="40"/>
          <w:lang w:val="zh-CN"/>
        </w:rPr>
      </w:pP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第三章 供应商须知前附表</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第四章 供应商须知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第六章 </w:t>
      </w:r>
      <w:r>
        <w:rPr>
          <w:rFonts w:ascii="宋体" w:hAnsi="宋体" w:cs="宋体"/>
          <w:b/>
          <w:bCs/>
          <w:sz w:val="32"/>
          <w:szCs w:val="32"/>
          <w:lang w:val="zh-CN"/>
        </w:rPr>
        <w:t xml:space="preserve"> </w:t>
      </w:r>
      <w:r>
        <w:rPr>
          <w:rFonts w:hint="eastAsia" w:ascii="宋体" w:hAnsi="宋体" w:cs="宋体"/>
          <w:b/>
          <w:bCs/>
          <w:sz w:val="32"/>
          <w:szCs w:val="32"/>
          <w:lang w:val="zh-CN"/>
        </w:rPr>
        <w:t>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ascii="宋体" w:hAnsi="宋体" w:cs="宋体"/>
          <w:b/>
          <w:bCs/>
          <w:sz w:val="32"/>
          <w:szCs w:val="32"/>
          <w:lang w:val="zh-CN"/>
        </w:rPr>
        <w:t xml:space="preserve"> </w:t>
      </w:r>
      <w:r>
        <w:rPr>
          <w:rFonts w:hint="eastAsia" w:ascii="宋体" w:hAnsi="宋体" w:cs="宋体"/>
          <w:b/>
          <w:kern w:val="0"/>
          <w:sz w:val="32"/>
          <w:szCs w:val="32"/>
        </w:rPr>
        <w:t>响应文件有关格式</w:t>
      </w:r>
    </w:p>
    <w:p>
      <w:pPr>
        <w:pStyle w:val="21"/>
        <w:ind w:right="-512" w:rightChars="-244"/>
      </w:pPr>
    </w:p>
    <w:p>
      <w:pPr>
        <w:ind w:right="-512" w:rightChars="-244"/>
      </w:pPr>
    </w:p>
    <w:p>
      <w:pPr>
        <w:pStyle w:val="5"/>
        <w:ind w:right="-512" w:rightChars="-244"/>
        <w:rPr>
          <w:rFonts w:hint="default"/>
        </w:rPr>
      </w:pPr>
    </w:p>
    <w:p>
      <w:pPr>
        <w:adjustRightInd w:val="0"/>
        <w:snapToGrid w:val="0"/>
        <w:spacing w:line="360" w:lineRule="auto"/>
        <w:ind w:right="-512" w:rightChars="-244"/>
        <w:rPr>
          <w:rFonts w:ascii="宋体" w:hAnsi="宋体" w:cs="宋体"/>
          <w:b/>
          <w:sz w:val="36"/>
          <w:szCs w:val="36"/>
        </w:rPr>
      </w:pPr>
    </w:p>
    <w:p>
      <w:pPr>
        <w:pStyle w:val="9"/>
        <w:ind w:right="-512" w:rightChars="-244"/>
      </w:pPr>
    </w:p>
    <w:p>
      <w:pPr>
        <w:adjustRightInd w:val="0"/>
        <w:snapToGrid w:val="0"/>
        <w:spacing w:line="360" w:lineRule="auto"/>
        <w:ind w:right="-512" w:rightChars="-244"/>
        <w:jc w:val="center"/>
        <w:outlineLvl w:val="0"/>
        <w:rPr>
          <w:rFonts w:ascii="宋体" w:hAnsi="宋体" w:cs="宋体"/>
          <w:b/>
          <w:sz w:val="32"/>
          <w:szCs w:val="32"/>
        </w:rPr>
      </w:pPr>
      <w:r>
        <w:rPr>
          <w:rFonts w:hint="eastAsia" w:ascii="宋体" w:hAnsi="宋体" w:cs="宋体"/>
          <w:b/>
          <w:sz w:val="32"/>
          <w:szCs w:val="32"/>
        </w:rPr>
        <w:t>第一章 磋商邀请</w:t>
      </w:r>
    </w:p>
    <w:p>
      <w:pPr>
        <w:adjustRightInd w:val="0"/>
        <w:snapToGrid w:val="0"/>
        <w:spacing w:line="360" w:lineRule="auto"/>
        <w:ind w:right="-512" w:rightChars="-244"/>
        <w:jc w:val="center"/>
        <w:rPr>
          <w:rFonts w:ascii="宋体" w:hAnsi="宋体" w:cs="宋体"/>
          <w:b/>
          <w:bCs/>
          <w:sz w:val="28"/>
          <w:szCs w:val="32"/>
        </w:rPr>
      </w:pPr>
      <w:r>
        <w:rPr>
          <w:rFonts w:hint="eastAsia" w:ascii="宋体" w:hAnsi="宋体" w:cs="宋体"/>
          <w:b/>
          <w:bCs/>
          <w:sz w:val="28"/>
          <w:szCs w:val="32"/>
        </w:rPr>
        <w:t>建安政采竞磋商字〔2023〕26号</w:t>
      </w:r>
    </w:p>
    <w:p>
      <w:pPr>
        <w:adjustRightInd w:val="0"/>
        <w:snapToGrid w:val="0"/>
        <w:spacing w:line="360" w:lineRule="auto"/>
        <w:ind w:right="-512" w:rightChars="-244"/>
        <w:jc w:val="center"/>
        <w:rPr>
          <w:rFonts w:ascii="宋体" w:hAnsi="宋体" w:cs="宋体"/>
          <w:b/>
          <w:bCs/>
          <w:sz w:val="28"/>
          <w:szCs w:val="32"/>
        </w:rPr>
      </w:pPr>
      <w:r>
        <w:rPr>
          <w:rFonts w:hint="eastAsia" w:ascii="宋体" w:hAnsi="宋体" w:cs="宋体"/>
          <w:b/>
          <w:bCs/>
          <w:sz w:val="28"/>
          <w:szCs w:val="32"/>
        </w:rPr>
        <w:t>许昌市生态环境局建安分局</w:t>
      </w:r>
    </w:p>
    <w:p>
      <w:pPr>
        <w:adjustRightInd w:val="0"/>
        <w:snapToGrid w:val="0"/>
        <w:spacing w:line="360" w:lineRule="auto"/>
        <w:ind w:right="-512" w:rightChars="-244"/>
        <w:jc w:val="center"/>
        <w:rPr>
          <w:rFonts w:ascii="宋体" w:hAnsi="宋体" w:cs="宋体"/>
          <w:b/>
          <w:bCs/>
          <w:sz w:val="28"/>
          <w:szCs w:val="32"/>
        </w:rPr>
      </w:pPr>
      <w:r>
        <w:rPr>
          <w:rFonts w:hint="eastAsia" w:ascii="宋体"/>
          <w:b/>
          <w:bCs/>
          <w:sz w:val="28"/>
          <w:szCs w:val="32"/>
        </w:rPr>
        <w:t>建安区国控站点周边大气污染防治精细化管理提升项目</w:t>
      </w:r>
      <w:r>
        <w:rPr>
          <w:rFonts w:hint="eastAsia" w:ascii="宋体" w:hAnsi="宋体" w:cs="宋体"/>
          <w:b/>
          <w:bCs/>
          <w:sz w:val="28"/>
          <w:szCs w:val="32"/>
        </w:rPr>
        <w:t>（不见面开标）</w:t>
      </w:r>
    </w:p>
    <w:p>
      <w:pPr>
        <w:adjustRightInd w:val="0"/>
        <w:snapToGrid w:val="0"/>
        <w:spacing w:line="360" w:lineRule="auto"/>
        <w:ind w:right="-512" w:rightChars="-244"/>
        <w:jc w:val="center"/>
        <w:rPr>
          <w:rFonts w:ascii="宋体" w:hAnsi="宋体" w:cs="宋体"/>
          <w:b/>
          <w:bCs/>
          <w:sz w:val="28"/>
          <w:szCs w:val="32"/>
        </w:rPr>
      </w:pPr>
      <w:r>
        <w:rPr>
          <w:rFonts w:hint="eastAsia" w:ascii="宋体" w:hAnsi="宋体" w:cs="宋体"/>
          <w:b/>
          <w:bCs/>
          <w:sz w:val="28"/>
          <w:szCs w:val="32"/>
        </w:rPr>
        <w:t>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22"/>
          <w:rFonts w:ascii="宋体" w:hAnsi="宋体"/>
          <w:sz w:val="24"/>
          <w:szCs w:val="24"/>
        </w:rPr>
      </w:pPr>
      <w:bookmarkStart w:id="0" w:name="_Toc35393621"/>
      <w:bookmarkStart w:id="1" w:name="_Toc28359002"/>
      <w:bookmarkStart w:id="2" w:name="_Toc35393790"/>
      <w:bookmarkStart w:id="3" w:name="_Toc28359079"/>
      <w:bookmarkStart w:id="4" w:name="_Hlk24379207"/>
      <w:r>
        <w:rPr>
          <w:rStyle w:val="22"/>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22"/>
          <w:rFonts w:ascii="宋体" w:hAnsi="宋体"/>
          <w:sz w:val="24"/>
          <w:szCs w:val="24"/>
        </w:rPr>
      </w:pPr>
      <w:r>
        <w:rPr>
          <w:rStyle w:val="22"/>
          <w:rFonts w:hint="eastAsia" w:ascii="宋体" w:hAnsi="宋体"/>
          <w:sz w:val="24"/>
          <w:szCs w:val="24"/>
        </w:rPr>
        <w:t>建安区国控站点周边大气污染防治精细化管理提升项目的潜在供应商应在《全国公共资源交易平台（河南省·许昌市）》（</w:t>
      </w:r>
      <w:r>
        <w:fldChar w:fldCharType="begin"/>
      </w:r>
      <w:r>
        <w:instrText xml:space="preserve"> HYPERLINK "http://ggzy.xuchang.gov.cn/）获取磋商文件，并于2023年" </w:instrText>
      </w:r>
      <w:r>
        <w:fldChar w:fldCharType="separate"/>
      </w:r>
      <w:r>
        <w:rPr>
          <w:rStyle w:val="19"/>
          <w:rFonts w:hint="eastAsia" w:ascii="宋体" w:hAnsi="宋体"/>
          <w:sz w:val="24"/>
          <w:szCs w:val="24"/>
        </w:rPr>
        <w:t>http://ggzy.xuchang.gov.cn/）获取磋商文件，并于2023年</w:t>
      </w:r>
      <w:r>
        <w:rPr>
          <w:rStyle w:val="19"/>
          <w:rFonts w:hint="eastAsia" w:ascii="宋体" w:hAnsi="宋体"/>
          <w:sz w:val="24"/>
          <w:szCs w:val="24"/>
        </w:rPr>
        <w:fldChar w:fldCharType="end"/>
      </w:r>
      <w:r>
        <w:rPr>
          <w:rStyle w:val="19"/>
          <w:rFonts w:hint="eastAsia" w:ascii="宋体" w:hAnsi="宋体"/>
          <w:color w:val="auto"/>
          <w:sz w:val="24"/>
          <w:szCs w:val="24"/>
          <w:lang w:eastAsia="zh-CN"/>
        </w:rPr>
        <w:t>9月1日</w:t>
      </w:r>
      <w:r>
        <w:rPr>
          <w:rStyle w:val="22"/>
          <w:rFonts w:hint="eastAsia" w:ascii="宋体" w:hAnsi="宋体"/>
          <w:sz w:val="24"/>
          <w:szCs w:val="24"/>
        </w:rPr>
        <w:t>09点30分（北京时间）前提交（上传）响应文件。</w:t>
      </w:r>
    </w:p>
    <w:bookmarkEnd w:id="0"/>
    <w:bookmarkEnd w:id="1"/>
    <w:bookmarkEnd w:id="2"/>
    <w:bookmarkEnd w:id="3"/>
    <w:p>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1、项目编号：建安政采竞磋商字〔2023〕26号。</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rPr>
        <w:t>：建安区国控站点周边大气污染防治精细化管理提升项目。</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3、采购方式：竞争性磋商。</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4、预算金额：3</w:t>
      </w:r>
      <w:r>
        <w:rPr>
          <w:rFonts w:asciiTheme="minorEastAsia" w:hAnsiTheme="minorEastAsia" w:eastAsiaTheme="minorEastAsia"/>
          <w:sz w:val="24"/>
          <w:szCs w:val="24"/>
        </w:rPr>
        <w:t>299282.64</w:t>
      </w:r>
      <w:r>
        <w:rPr>
          <w:rFonts w:hint="eastAsia" w:asciiTheme="minorEastAsia" w:hAnsiTheme="minorEastAsia" w:eastAsiaTheme="minorEastAsia"/>
          <w:sz w:val="24"/>
          <w:szCs w:val="24"/>
        </w:rPr>
        <w:t>元（财政资金）。</w:t>
      </w:r>
    </w:p>
    <w:p>
      <w:pPr>
        <w:adjustRightInd w:val="0"/>
        <w:snapToGrid w:val="0"/>
        <w:spacing w:line="360" w:lineRule="auto"/>
        <w:ind w:right="-512" w:rightChars="-244" w:firstLine="840" w:firstLineChars="3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最高限价：3</w:t>
      </w:r>
      <w:r>
        <w:rPr>
          <w:rFonts w:asciiTheme="minorEastAsia" w:hAnsiTheme="minorEastAsia" w:eastAsiaTheme="minorEastAsia"/>
          <w:sz w:val="24"/>
          <w:szCs w:val="24"/>
        </w:rPr>
        <w:t>299282.64</w:t>
      </w:r>
      <w:r>
        <w:rPr>
          <w:rFonts w:hint="eastAsia" w:asciiTheme="minorEastAsia" w:hAnsiTheme="minorEastAsia" w:eastAsiaTheme="minorEastAsia"/>
          <w:sz w:val="24"/>
          <w:szCs w:val="24"/>
        </w:rPr>
        <w:t>元。</w:t>
      </w:r>
    </w:p>
    <w:tbl>
      <w:tblPr>
        <w:tblStyle w:val="15"/>
        <w:tblW w:w="96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04"/>
        <w:gridCol w:w="1440"/>
        <w:gridCol w:w="1410"/>
        <w:gridCol w:w="1335"/>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88" w:type="dxa"/>
            <w:vAlign w:val="center"/>
          </w:tcPr>
          <w:p>
            <w:pPr>
              <w:spacing w:line="360" w:lineRule="auto"/>
              <w:ind w:right="-512" w:rightChars="-244"/>
              <w:contextualSpacing/>
              <w:jc w:val="left"/>
              <w:rPr>
                <w:rFonts w:ascii="宋体" w:hAnsi="宋体"/>
                <w:sz w:val="24"/>
              </w:rPr>
            </w:pPr>
            <w:r>
              <w:rPr>
                <w:rFonts w:hint="eastAsia" w:ascii="宋体" w:hAnsi="宋体"/>
                <w:sz w:val="24"/>
              </w:rPr>
              <w:t>序号</w:t>
            </w:r>
          </w:p>
        </w:tc>
        <w:tc>
          <w:tcPr>
            <w:tcW w:w="2057" w:type="dxa"/>
            <w:vAlign w:val="center"/>
          </w:tcPr>
          <w:p>
            <w:pPr>
              <w:spacing w:line="360" w:lineRule="auto"/>
              <w:ind w:right="-512" w:rightChars="-244" w:firstLine="720" w:firstLineChars="300"/>
              <w:contextualSpacing/>
              <w:rPr>
                <w:rFonts w:ascii="宋体" w:hAnsi="宋体"/>
                <w:sz w:val="24"/>
              </w:rPr>
            </w:pPr>
            <w:r>
              <w:rPr>
                <w:rFonts w:hint="eastAsia" w:ascii="宋体" w:hAnsi="宋体"/>
                <w:sz w:val="24"/>
              </w:rPr>
              <w:t>包号</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包的名称</w:t>
            </w:r>
          </w:p>
        </w:tc>
        <w:tc>
          <w:tcPr>
            <w:tcW w:w="1440" w:type="dxa"/>
            <w:vAlign w:val="center"/>
          </w:tcPr>
          <w:p>
            <w:pPr>
              <w:spacing w:line="360" w:lineRule="auto"/>
              <w:ind w:right="-512" w:rightChars="-244" w:firstLine="240" w:firstLineChars="100"/>
              <w:contextualSpacing/>
              <w:jc w:val="left"/>
              <w:rPr>
                <w:rFonts w:ascii="宋体" w:hAnsi="宋体"/>
                <w:sz w:val="24"/>
              </w:rPr>
            </w:pPr>
            <w:r>
              <w:rPr>
                <w:rFonts w:hint="eastAsia" w:ascii="宋体" w:hAnsi="宋体"/>
                <w:sz w:val="24"/>
              </w:rPr>
              <w:t>包预算</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410" w:type="dxa"/>
            <w:vAlign w:val="center"/>
          </w:tcPr>
          <w:p>
            <w:pPr>
              <w:spacing w:line="360" w:lineRule="auto"/>
              <w:ind w:right="-512" w:rightChars="-244"/>
              <w:contextualSpacing/>
              <w:jc w:val="left"/>
              <w:rPr>
                <w:rFonts w:ascii="宋体" w:hAnsi="宋体"/>
                <w:sz w:val="24"/>
              </w:rPr>
            </w:pPr>
            <w:r>
              <w:rPr>
                <w:rFonts w:hint="eastAsia" w:ascii="宋体" w:hAnsi="宋体"/>
                <w:sz w:val="24"/>
              </w:rPr>
              <w:t>包最高限价</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335" w:type="dxa"/>
            <w:vAlign w:val="center"/>
          </w:tcPr>
          <w:p>
            <w:pPr>
              <w:spacing w:line="360" w:lineRule="auto"/>
              <w:ind w:right="-512" w:rightChars="-244"/>
              <w:contextualSpacing/>
              <w:jc w:val="left"/>
              <w:rPr>
                <w:rFonts w:ascii="宋体" w:hAnsi="宋体"/>
                <w:sz w:val="24"/>
              </w:rPr>
            </w:pPr>
            <w:r>
              <w:rPr>
                <w:rFonts w:hint="eastAsia" w:ascii="宋体" w:hAnsi="宋体"/>
                <w:sz w:val="24"/>
              </w:rPr>
              <w:t xml:space="preserve">是否专门面 </w:t>
            </w:r>
          </w:p>
          <w:p>
            <w:pPr>
              <w:spacing w:line="360" w:lineRule="auto"/>
              <w:ind w:right="-512" w:rightChars="-244"/>
              <w:contextualSpacing/>
              <w:jc w:val="left"/>
              <w:rPr>
                <w:rFonts w:ascii="宋体" w:hAnsi="宋体"/>
                <w:sz w:val="24"/>
              </w:rPr>
            </w:pPr>
            <w:r>
              <w:rPr>
                <w:rFonts w:hint="eastAsia" w:ascii="宋体" w:hAnsi="宋体"/>
                <w:sz w:val="24"/>
              </w:rPr>
              <w:t>向中小企业</w:t>
            </w:r>
          </w:p>
        </w:tc>
        <w:tc>
          <w:tcPr>
            <w:tcW w:w="1620" w:type="dxa"/>
            <w:vAlign w:val="center"/>
          </w:tcPr>
          <w:p>
            <w:pPr>
              <w:spacing w:line="360" w:lineRule="auto"/>
              <w:ind w:left="480" w:right="-512" w:rightChars="-244" w:hanging="480" w:hangingChars="200"/>
              <w:contextualSpacing/>
              <w:jc w:val="left"/>
              <w:rPr>
                <w:rFonts w:ascii="宋体" w:hAnsi="宋体" w:cs="宋体"/>
                <w:sz w:val="24"/>
                <w:szCs w:val="24"/>
              </w:rPr>
            </w:pPr>
            <w:r>
              <w:rPr>
                <w:rFonts w:ascii="宋体" w:hAnsi="宋体" w:cs="宋体"/>
                <w:sz w:val="24"/>
                <w:szCs w:val="24"/>
              </w:rPr>
              <w:t>采购预留金额</w:t>
            </w:r>
          </w:p>
          <w:p>
            <w:pPr>
              <w:spacing w:line="360" w:lineRule="auto"/>
              <w:ind w:right="-512" w:rightChars="-244" w:firstLine="480" w:firstLineChars="200"/>
              <w:contextualSpacing/>
              <w:jc w:val="left"/>
              <w:rPr>
                <w:rFonts w:ascii="宋体" w:hAnsi="宋体"/>
                <w:sz w:val="24"/>
              </w:rPr>
            </w:pPr>
            <w:r>
              <w:rPr>
                <w:rFonts w:ascii="宋体" w:hAnsi="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88" w:type="dxa"/>
            <w:vAlign w:val="center"/>
          </w:tcPr>
          <w:p>
            <w:pPr>
              <w:spacing w:line="360" w:lineRule="auto"/>
              <w:ind w:right="-512" w:rightChars="-244" w:firstLine="240" w:firstLineChars="100"/>
              <w:contextualSpacing/>
              <w:rPr>
                <w:rFonts w:ascii="宋体" w:hAnsi="宋体"/>
                <w:sz w:val="24"/>
              </w:rPr>
            </w:pPr>
            <w:r>
              <w:rPr>
                <w:rFonts w:hint="eastAsia" w:ascii="宋体" w:hAnsi="宋体"/>
                <w:sz w:val="24"/>
              </w:rPr>
              <w:t>1</w:t>
            </w:r>
          </w:p>
        </w:tc>
        <w:tc>
          <w:tcPr>
            <w:tcW w:w="2057" w:type="dxa"/>
            <w:vAlign w:val="center"/>
          </w:tcPr>
          <w:p>
            <w:pPr>
              <w:spacing w:line="360" w:lineRule="auto"/>
              <w:ind w:right="-512" w:rightChars="-244"/>
              <w:contextualSpacing/>
              <w:jc w:val="left"/>
              <w:rPr>
                <w:rFonts w:ascii="宋体" w:hAnsi="宋体"/>
                <w:sz w:val="24"/>
              </w:rPr>
            </w:pPr>
            <w:r>
              <w:rPr>
                <w:rFonts w:hint="eastAsia" w:ascii="宋体" w:hAnsi="宋体"/>
                <w:sz w:val="24"/>
              </w:rPr>
              <w:t>建安政采竞磋商字</w:t>
            </w:r>
          </w:p>
          <w:p>
            <w:pPr>
              <w:spacing w:line="360" w:lineRule="auto"/>
              <w:ind w:right="-512" w:rightChars="-244"/>
              <w:contextualSpacing/>
              <w:jc w:val="left"/>
              <w:rPr>
                <w:rFonts w:ascii="宋体" w:hAnsi="宋体"/>
                <w:sz w:val="24"/>
              </w:rPr>
            </w:pPr>
            <w:r>
              <w:rPr>
                <w:rFonts w:hint="eastAsia" w:ascii="宋体" w:hAnsi="宋体"/>
                <w:sz w:val="24"/>
              </w:rPr>
              <w:t>〔2023〕26号-1</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第一标段</w:t>
            </w:r>
          </w:p>
        </w:tc>
        <w:tc>
          <w:tcPr>
            <w:tcW w:w="1440"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299282.64</w:t>
            </w:r>
          </w:p>
        </w:tc>
        <w:tc>
          <w:tcPr>
            <w:tcW w:w="1410"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299282.64</w:t>
            </w:r>
          </w:p>
        </w:tc>
        <w:tc>
          <w:tcPr>
            <w:tcW w:w="1335" w:type="dxa"/>
            <w:vAlign w:val="center"/>
          </w:tcPr>
          <w:p>
            <w:pPr>
              <w:spacing w:line="360" w:lineRule="auto"/>
              <w:ind w:right="-512" w:rightChars="-244" w:firstLine="480" w:firstLineChars="200"/>
              <w:contextualSpacing/>
              <w:jc w:val="left"/>
              <w:rPr>
                <w:rFonts w:asciiTheme="minorEastAsia" w:hAnsiTheme="minorEastAsia" w:eastAsiaTheme="minorEastAsia"/>
                <w:sz w:val="24"/>
                <w:szCs w:val="24"/>
              </w:rPr>
            </w:pPr>
            <w:r>
              <w:rPr>
                <w:rFonts w:hint="eastAsia" w:asciiTheme="minorEastAsia" w:hAnsiTheme="minorEastAsia" w:eastAsiaTheme="minorEastAsia"/>
                <w:sz w:val="24"/>
                <w:szCs w:val="24"/>
              </w:rPr>
              <w:t>是</w:t>
            </w:r>
          </w:p>
        </w:tc>
        <w:tc>
          <w:tcPr>
            <w:tcW w:w="1620" w:type="dxa"/>
            <w:vAlign w:val="center"/>
          </w:tcPr>
          <w:p>
            <w:pPr>
              <w:spacing w:line="360" w:lineRule="auto"/>
              <w:ind w:right="-512" w:rightChars="-244"/>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299282.64</w:t>
            </w:r>
          </w:p>
        </w:tc>
      </w:tr>
    </w:tbl>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5、采购需求（包括但不限于标的的名称、数量、简要技术需求或服务要求等）</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在兴业大厦院内建设8套雾森系统、对院内北侧及西侧围墙部分补充绿化，并配套雾森系统；在创业大厦院内建设17 套雾森系统（具体要求详见磋商文件附件）。</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highlight w:val="red"/>
        </w:rPr>
      </w:pPr>
      <w:r>
        <w:rPr>
          <w:rFonts w:hint="eastAsia" w:asciiTheme="minorEastAsia" w:hAnsiTheme="minorEastAsia" w:eastAsiaTheme="minorEastAsia"/>
          <w:sz w:val="24"/>
          <w:szCs w:val="24"/>
        </w:rPr>
        <w:t>6、合同履行期限：自合同签订之日起60日历天。</w:t>
      </w:r>
    </w:p>
    <w:p>
      <w:pPr>
        <w:adjustRightInd w:val="0"/>
        <w:snapToGrid w:val="0"/>
        <w:spacing w:line="360" w:lineRule="auto"/>
        <w:ind w:right="-512" w:rightChars="-244"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5" w:name="_Toc28359003"/>
      <w:bookmarkStart w:id="6" w:name="_Toc28359080"/>
      <w:bookmarkStart w:id="7" w:name="_Toc35393791"/>
      <w:bookmarkStart w:id="8" w:name="_Toc35393622"/>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8、是否接受进口产品：否。</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9、是否专门面向中小企业：是。</w:t>
      </w:r>
    </w:p>
    <w:p>
      <w:pPr>
        <w:adjustRightInd w:val="0"/>
        <w:snapToGrid w:val="0"/>
        <w:spacing w:line="360" w:lineRule="auto"/>
        <w:ind w:right="-512" w:rightChars="-244"/>
        <w:jc w:val="left"/>
        <w:rPr>
          <w:rFonts w:ascii="宋体" w:hAnsi="宋体" w:cs="宋体"/>
          <w:b/>
          <w:bCs/>
          <w:sz w:val="24"/>
          <w:szCs w:val="28"/>
        </w:rPr>
      </w:pPr>
      <w:r>
        <w:rPr>
          <w:rFonts w:hint="eastAsia" w:ascii="宋体" w:hAnsi="宋体" w:cs="宋体"/>
          <w:b/>
          <w:bCs/>
          <w:sz w:val="24"/>
          <w:szCs w:val="28"/>
        </w:rPr>
        <w:t>二、供应商资格要求：</w:t>
      </w:r>
      <w:bookmarkEnd w:id="5"/>
      <w:bookmarkEnd w:id="6"/>
      <w:bookmarkEnd w:id="7"/>
      <w:bookmarkEnd w:id="8"/>
      <w:bookmarkStart w:id="9" w:name="_Toc35393792"/>
      <w:bookmarkStart w:id="10" w:name="_Toc28359004"/>
      <w:bookmarkStart w:id="11" w:name="_Toc35393623"/>
      <w:bookmarkStart w:id="12" w:name="_Toc28359081"/>
    </w:p>
    <w:p>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left="479" w:leftChars="228" w:right="-512" w:rightChars="-244"/>
        <w:jc w:val="left"/>
        <w:rPr>
          <w:rFonts w:ascii="宋体" w:hAnsi="宋体"/>
          <w:sz w:val="24"/>
          <w:szCs w:val="28"/>
        </w:rPr>
      </w:pPr>
      <w:r>
        <w:rPr>
          <w:rFonts w:hint="eastAsia" w:ascii="宋体" w:hAnsi="宋体"/>
          <w:sz w:val="24"/>
          <w:szCs w:val="28"/>
        </w:rPr>
        <w:t>2、落实政府采购政策满足的资格要求：本项目属于专门面向中小企业采购的项目；</w:t>
      </w:r>
      <w:bookmarkStart w:id="31" w:name="_GoBack"/>
      <w:bookmarkEnd w:id="31"/>
      <w:r>
        <w:rPr>
          <w:rFonts w:hint="eastAsia" w:ascii="宋体" w:hAnsi="宋体"/>
          <w:sz w:val="24"/>
          <w:szCs w:val="28"/>
        </w:rPr>
        <w:t>3、本项目的特定资格要求：</w:t>
      </w:r>
    </w:p>
    <w:p>
      <w:pPr>
        <w:snapToGrid w:val="0"/>
        <w:spacing w:line="360" w:lineRule="auto"/>
        <w:ind w:firstLine="480" w:firstLineChars="200"/>
        <w:rPr>
          <w:rStyle w:val="22"/>
          <w:rFonts w:ascii="宋体" w:hAnsi="宋体"/>
          <w:sz w:val="24"/>
          <w:szCs w:val="24"/>
        </w:rPr>
      </w:pPr>
      <w:r>
        <w:rPr>
          <w:rFonts w:hint="eastAsia" w:ascii="宋体" w:hAnsi="宋体"/>
          <w:sz w:val="24"/>
          <w:szCs w:val="28"/>
        </w:rPr>
        <w:t>供应商须具备建设行政主管部门颁发的市政公用工程施工总承包叁级及以上资质，且具有有效的安全生产许可证。拟派项目负责人须具有市政公用工程专业二级及以上注册建造师资格，且具有有效的安全生产考核合格证，并未担任其他在建项目的项目负责人</w:t>
      </w:r>
      <w:r>
        <w:rPr>
          <w:rStyle w:val="22"/>
          <w:rFonts w:hint="eastAsia" w:ascii="宋体" w:hAnsi="宋体"/>
          <w:sz w:val="24"/>
          <w:szCs w:val="24"/>
        </w:rPr>
        <w:t>。</w:t>
      </w:r>
    </w:p>
    <w:p>
      <w:pPr>
        <w:adjustRightInd w:val="0"/>
        <w:snapToGrid w:val="0"/>
        <w:spacing w:line="360" w:lineRule="auto"/>
        <w:ind w:left="19" w:leftChars="9" w:right="-512" w:rightChars="-244" w:firstLine="458" w:firstLineChars="191"/>
        <w:jc w:val="left"/>
        <w:rPr>
          <w:rFonts w:ascii="宋体" w:hAnsi="宋体"/>
          <w:sz w:val="24"/>
          <w:szCs w:val="28"/>
        </w:rPr>
      </w:pPr>
      <w:r>
        <w:rPr>
          <w:rFonts w:hint="eastAsia" w:ascii="宋体" w:hAnsi="宋体"/>
          <w:sz w:val="24"/>
          <w:szCs w:val="28"/>
        </w:rPr>
        <w:t>4.未被列入“信用中国”网站(www.creditchina.gov.cn)失信被执行人、税收违法黑名单的投标人；“中国政府采购网”(www.ccgp.gov.cn)政府采购严重违法失信行为记录名单的供应商；“中国社会组织政务服务平台”网站（https://chinanpo.mca.gov.cn/）严重违法失信名单的社会组织；</w:t>
      </w:r>
    </w:p>
    <w:bookmarkEnd w:id="9"/>
    <w:bookmarkEnd w:id="10"/>
    <w:bookmarkEnd w:id="11"/>
    <w:bookmarkEnd w:id="12"/>
    <w:p>
      <w:pPr>
        <w:adjustRightInd w:val="0"/>
        <w:snapToGrid w:val="0"/>
        <w:spacing w:line="360" w:lineRule="auto"/>
        <w:ind w:right="-512" w:rightChars="-244"/>
        <w:jc w:val="left"/>
        <w:rPr>
          <w:rFonts w:ascii="宋体" w:hAnsi="宋体" w:cs="Cambria"/>
          <w:b/>
          <w:sz w:val="24"/>
          <w:szCs w:val="28"/>
        </w:rPr>
      </w:pPr>
      <w:r>
        <w:rPr>
          <w:rFonts w:hint="eastAsia" w:ascii="宋体" w:hAnsi="宋体" w:cs="Cambria"/>
          <w:b/>
          <w:sz w:val="24"/>
          <w:szCs w:val="28"/>
        </w:rPr>
        <w:t>三、获取磋商文件</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1.时间：2023年8月1</w:t>
      </w:r>
      <w:r>
        <w:rPr>
          <w:rFonts w:hint="eastAsia" w:ascii="宋体" w:hAnsi="宋体" w:cs="Cambria"/>
          <w:sz w:val="24"/>
          <w:szCs w:val="28"/>
          <w:lang w:val="en-US" w:eastAsia="zh-CN"/>
        </w:rPr>
        <w:t>7</w:t>
      </w:r>
      <w:r>
        <w:rPr>
          <w:rFonts w:hint="eastAsia" w:ascii="宋体" w:hAnsi="宋体" w:cs="Cambria"/>
          <w:sz w:val="24"/>
          <w:szCs w:val="28"/>
        </w:rPr>
        <w:t>日至2023年</w:t>
      </w:r>
      <w:r>
        <w:rPr>
          <w:rFonts w:hint="eastAsia" w:ascii="宋体" w:hAnsi="宋体" w:cs="Cambria"/>
          <w:sz w:val="24"/>
          <w:szCs w:val="28"/>
          <w:lang w:eastAsia="zh-CN"/>
        </w:rPr>
        <w:t>9月1日</w:t>
      </w:r>
      <w:r>
        <w:rPr>
          <w:rFonts w:hint="eastAsia" w:ascii="宋体" w:hAnsi="宋体" w:cs="Cambria"/>
          <w:sz w:val="24"/>
          <w:szCs w:val="28"/>
        </w:rPr>
        <w:t>，每天上午00:00至12:00，下午12:00至23:59（北京时间，法定节假日除外）。</w:t>
      </w:r>
      <w:bookmarkStart w:id="13" w:name="_Toc28359005"/>
      <w:bookmarkStart w:id="14" w:name="_Toc35393624"/>
      <w:bookmarkStart w:id="15" w:name="_Toc35393793"/>
      <w:bookmarkStart w:id="16" w:name="_Toc28359082"/>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ind w:right="-512" w:rightChars="-244"/>
        <w:jc w:val="left"/>
        <w:rPr>
          <w:rFonts w:ascii="宋体" w:hAnsi="宋体" w:cs="Cambria"/>
          <w:b/>
          <w:sz w:val="24"/>
          <w:szCs w:val="28"/>
        </w:rPr>
      </w:pPr>
      <w:r>
        <w:rPr>
          <w:rFonts w:hint="eastAsia" w:ascii="宋体" w:hAnsi="宋体" w:cs="Cambria"/>
          <w:b/>
          <w:sz w:val="24"/>
          <w:szCs w:val="28"/>
        </w:rPr>
        <w:t>四、</w:t>
      </w:r>
      <w:bookmarkEnd w:id="13"/>
      <w:bookmarkEnd w:id="14"/>
      <w:bookmarkEnd w:id="15"/>
      <w:bookmarkEnd w:id="16"/>
      <w:r>
        <w:rPr>
          <w:rFonts w:hint="eastAsia" w:ascii="宋体" w:hAnsi="宋体" w:cs="Cambria"/>
          <w:b/>
          <w:sz w:val="24"/>
          <w:szCs w:val="28"/>
        </w:rPr>
        <w:t>响应文件提交</w:t>
      </w:r>
    </w:p>
    <w:p>
      <w:pPr>
        <w:adjustRightInd w:val="0"/>
        <w:snapToGrid w:val="0"/>
        <w:spacing w:line="360" w:lineRule="auto"/>
        <w:ind w:right="-512" w:rightChars="-244" w:firstLine="480" w:firstLineChars="200"/>
        <w:jc w:val="left"/>
        <w:rPr>
          <w:rFonts w:ascii="宋体" w:hAnsi="宋体" w:cs="Cambria"/>
          <w:bCs/>
          <w:sz w:val="24"/>
          <w:szCs w:val="28"/>
        </w:rPr>
      </w:pPr>
      <w:r>
        <w:rPr>
          <w:rFonts w:hint="eastAsia" w:ascii="宋体" w:hAnsi="宋体" w:cs="Cambria"/>
          <w:bCs/>
          <w:sz w:val="24"/>
          <w:szCs w:val="28"/>
        </w:rPr>
        <w:t>1.时间：2023年</w:t>
      </w:r>
      <w:r>
        <w:rPr>
          <w:rFonts w:hint="eastAsia" w:ascii="宋体" w:hAnsi="宋体" w:cs="Cambria"/>
          <w:bCs/>
          <w:sz w:val="24"/>
          <w:szCs w:val="28"/>
          <w:lang w:eastAsia="zh-CN"/>
        </w:rPr>
        <w:t>9月1日</w:t>
      </w:r>
      <w:r>
        <w:rPr>
          <w:rFonts w:hint="eastAsia" w:ascii="宋体" w:hAnsi="宋体" w:cs="Cambria"/>
          <w:bCs/>
          <w:sz w:val="24"/>
          <w:szCs w:val="28"/>
        </w:rPr>
        <w:t>09点30分（北京时间）</w:t>
      </w:r>
    </w:p>
    <w:p>
      <w:pPr>
        <w:adjustRightInd w:val="0"/>
        <w:snapToGrid w:val="0"/>
        <w:spacing w:line="360" w:lineRule="auto"/>
        <w:ind w:right="-512" w:rightChars="-244" w:firstLine="480" w:firstLineChars="200"/>
        <w:jc w:val="left"/>
        <w:rPr>
          <w:rFonts w:ascii="宋体" w:hAnsi="宋体" w:cs="Cambria"/>
          <w:bCs/>
          <w:sz w:val="24"/>
          <w:szCs w:val="28"/>
        </w:rPr>
      </w:pPr>
      <w:r>
        <w:rPr>
          <w:rFonts w:hint="eastAsia" w:ascii="宋体" w:hAnsi="宋体" w:cs="Cambria"/>
          <w:bCs/>
          <w:sz w:val="24"/>
          <w:szCs w:val="28"/>
        </w:rPr>
        <w:t>2.地点：加密电子响应文件（.file格式）须在投标截止时间（开标时间）前通过《全国公共资源交易平台（河南省·许昌市）》公共资源交易系统成功上传。</w:t>
      </w:r>
    </w:p>
    <w:p>
      <w:pPr>
        <w:adjustRightInd w:val="0"/>
        <w:snapToGrid w:val="0"/>
        <w:spacing w:line="360" w:lineRule="auto"/>
        <w:ind w:right="-512" w:rightChars="-244"/>
        <w:jc w:val="left"/>
        <w:rPr>
          <w:rFonts w:ascii="宋体" w:hAnsi="宋体" w:cs="Cambria"/>
          <w:b/>
          <w:sz w:val="24"/>
          <w:szCs w:val="28"/>
        </w:rPr>
      </w:pPr>
      <w:r>
        <w:rPr>
          <w:rFonts w:hint="eastAsia" w:ascii="宋体" w:hAnsi="宋体" w:cs="Cambria"/>
          <w:b/>
          <w:sz w:val="24"/>
          <w:szCs w:val="28"/>
        </w:rPr>
        <w:t>五、响应文件开启</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bCs/>
          <w:sz w:val="24"/>
          <w:szCs w:val="28"/>
        </w:rPr>
        <w:t>1.时间：2023年</w:t>
      </w:r>
      <w:r>
        <w:rPr>
          <w:rFonts w:hint="eastAsia" w:ascii="宋体" w:hAnsi="宋体"/>
          <w:bCs/>
          <w:sz w:val="24"/>
          <w:szCs w:val="28"/>
          <w:lang w:eastAsia="zh-CN"/>
        </w:rPr>
        <w:t>9月1日</w:t>
      </w:r>
      <w:r>
        <w:rPr>
          <w:rFonts w:hint="eastAsia" w:ascii="宋体" w:hAnsi="宋体"/>
          <w:bCs/>
          <w:sz w:val="24"/>
          <w:szCs w:val="28"/>
        </w:rPr>
        <w:t>09点30分（北京时间）</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sz w:val="24"/>
          <w:szCs w:val="28"/>
        </w:rPr>
        <w:t>2.</w:t>
      </w:r>
      <w:r>
        <w:rPr>
          <w:rFonts w:hint="eastAsia" w:ascii="宋体" w:hAnsi="宋体"/>
          <w:bCs/>
          <w:sz w:val="24"/>
          <w:szCs w:val="28"/>
        </w:rPr>
        <w:t>地点：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bCs/>
          <w:sz w:val="24"/>
          <w:szCs w:val="28"/>
        </w:rPr>
        <w:t>本次磋商公告在《河南省政府采购网》、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《许昌市政府采购网》、《全国公共资源交易平台（河南省·许昌市）》上发布，磋商公告期限为三个工作日。</w:t>
      </w:r>
      <w:bookmarkStart w:id="17" w:name="_Toc35393626"/>
      <w:bookmarkStart w:id="18" w:name="_Toc35393795"/>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p>
    <w:p>
      <w:pPr>
        <w:adjustRightInd w:val="0"/>
        <w:snapToGrid w:val="0"/>
        <w:spacing w:line="360" w:lineRule="auto"/>
        <w:ind w:right="-512" w:rightChars="-244" w:firstLine="480" w:firstLineChars="200"/>
        <w:jc w:val="left"/>
        <w:rPr>
          <w:rFonts w:ascii="宋体" w:hAnsi="宋体"/>
          <w:bCs/>
          <w:sz w:val="24"/>
          <w:szCs w:val="28"/>
        </w:rPr>
      </w:pPr>
      <w:r>
        <w:rPr>
          <w:rFonts w:ascii="宋体" w:hAnsi="宋体"/>
          <w:bCs/>
          <w:sz w:val="24"/>
          <w:szCs w:val="28"/>
        </w:rPr>
        <w:t>2.投标供应商在电子系统使用过程中遇到涉及系统使用的问题，可致电0374-2961598进行咨询。</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许昌市生态环境局建安分局</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lang w:val="zh-CN"/>
        </w:rPr>
        <w:t>地    址：</w:t>
      </w:r>
      <w:r>
        <w:rPr>
          <w:rFonts w:hint="eastAsia" w:ascii="宋体" w:hAnsi="宋体"/>
          <w:sz w:val="24"/>
          <w:szCs w:val="28"/>
        </w:rPr>
        <w:t>许昌市建安区兴业大厦2楼</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 系 人：孟秋锋</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联系方式：</w:t>
      </w:r>
      <w:bookmarkStart w:id="19" w:name="_Toc28359086"/>
      <w:bookmarkStart w:id="20" w:name="_Toc28359009"/>
      <w:r>
        <w:rPr>
          <w:rFonts w:hint="eastAsia" w:ascii="宋体" w:hAnsi="宋体"/>
          <w:sz w:val="24"/>
          <w:szCs w:val="28"/>
        </w:rPr>
        <w:t>13837460204</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right="-512" w:rightChars="-244" w:firstLine="480" w:firstLineChars="200"/>
        <w:jc w:val="left"/>
        <w:rPr>
          <w:rFonts w:ascii="宋体" w:hAnsi="宋体"/>
          <w:sz w:val="24"/>
          <w:szCs w:val="28"/>
        </w:rPr>
      </w:pPr>
      <w:bookmarkStart w:id="21" w:name="_Toc28359010"/>
      <w:bookmarkStart w:id="22" w:name="_Toc28359087"/>
      <w:r>
        <w:rPr>
          <w:rFonts w:hint="eastAsia" w:ascii="宋体" w:hAnsi="宋体"/>
          <w:sz w:val="24"/>
          <w:szCs w:val="28"/>
        </w:rPr>
        <w:t>名    称：河南天扬工程项目管理有限公司</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 系 人：</w:t>
      </w:r>
      <w:r>
        <w:rPr>
          <w:rStyle w:val="22"/>
          <w:rFonts w:hint="eastAsia" w:hAnsi="宋体"/>
          <w:color w:val="000000"/>
          <w:sz w:val="24"/>
          <w:szCs w:val="24"/>
        </w:rPr>
        <w:t>万亚楠</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联系方式：</w:t>
      </w:r>
      <w:r>
        <w:rPr>
          <w:rFonts w:ascii="宋体" w:hAnsi="宋体"/>
          <w:bCs/>
          <w:sz w:val="24"/>
          <w:szCs w:val="24"/>
        </w:rPr>
        <w:t>15617243151</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8"/>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项目联系人：万亚楠</w:t>
      </w:r>
    </w:p>
    <w:p>
      <w:pPr>
        <w:pStyle w:val="8"/>
        <w:adjustRightInd w:val="0"/>
        <w:snapToGrid w:val="0"/>
        <w:spacing w:line="360" w:lineRule="auto"/>
        <w:ind w:right="-512" w:rightChars="-244" w:firstLine="480" w:firstLineChars="200"/>
        <w:jc w:val="left"/>
        <w:rPr>
          <w:rFonts w:ascii="宋体" w:hAnsi="宋体" w:cs="仿宋_GB2312"/>
          <w:sz w:val="24"/>
          <w:szCs w:val="28"/>
          <w:lang w:val="zh-CN"/>
        </w:rPr>
      </w:pPr>
      <w:r>
        <w:rPr>
          <w:rFonts w:hint="eastAsia" w:ascii="宋体" w:hAnsi="宋体"/>
          <w:sz w:val="24"/>
          <w:szCs w:val="28"/>
        </w:rPr>
        <w:t>联系方式：</w:t>
      </w:r>
      <w:r>
        <w:rPr>
          <w:rFonts w:ascii="宋体" w:hAnsi="宋体"/>
          <w:sz w:val="24"/>
          <w:szCs w:val="28"/>
        </w:rPr>
        <w:t>15617243151</w:t>
      </w:r>
    </w:p>
    <w:p>
      <w:pPr>
        <w:spacing w:line="360" w:lineRule="auto"/>
        <w:ind w:right="-512" w:rightChars="-244"/>
        <w:jc w:val="right"/>
        <w:rPr>
          <w:rFonts w:ascii="宋体" w:hAnsi="宋体" w:cs="仿宋_GB2312"/>
          <w:sz w:val="24"/>
          <w:szCs w:val="28"/>
          <w:lang w:val="zh-CN"/>
        </w:rPr>
      </w:pPr>
    </w:p>
    <w:p>
      <w:pPr>
        <w:spacing w:line="360" w:lineRule="auto"/>
        <w:ind w:right="-512" w:rightChars="-244"/>
        <w:jc w:val="right"/>
        <w:rPr>
          <w:rFonts w:ascii="宋体" w:hAnsi="宋体" w:cs="仿宋_GB2312"/>
          <w:sz w:val="24"/>
          <w:szCs w:val="28"/>
          <w:lang w:val="zh-CN"/>
        </w:rPr>
      </w:pPr>
      <w:r>
        <w:rPr>
          <w:rFonts w:hint="eastAsia" w:ascii="宋体" w:hAnsi="宋体"/>
          <w:sz w:val="24"/>
          <w:szCs w:val="28"/>
          <w:lang w:val="zh-CN"/>
        </w:rPr>
        <w:t>许昌市生态环境局建安分局</w:t>
      </w:r>
    </w:p>
    <w:p>
      <w:pPr>
        <w:spacing w:line="360" w:lineRule="auto"/>
        <w:ind w:right="-512" w:rightChars="-244"/>
        <w:jc w:val="right"/>
        <w:rPr>
          <w:rFonts w:ascii="宋体" w:hAnsi="宋体" w:cs="仿宋_GB2312"/>
          <w:sz w:val="24"/>
          <w:szCs w:val="28"/>
        </w:rPr>
      </w:pPr>
      <w:r>
        <w:rPr>
          <w:rFonts w:hint="eastAsia" w:ascii="宋体" w:hAnsi="宋体" w:cs="仿宋_GB2312"/>
          <w:sz w:val="24"/>
          <w:szCs w:val="28"/>
        </w:rPr>
        <w:t>2023年8月1</w:t>
      </w:r>
      <w:r>
        <w:rPr>
          <w:rFonts w:hint="eastAsia" w:ascii="宋体" w:hAnsi="宋体" w:cs="仿宋_GB2312"/>
          <w:sz w:val="24"/>
          <w:szCs w:val="28"/>
          <w:lang w:val="en-US" w:eastAsia="zh-CN"/>
        </w:rPr>
        <w:t>7</w:t>
      </w:r>
      <w:r>
        <w:rPr>
          <w:rFonts w:hint="eastAsia" w:ascii="宋体" w:hAnsi="宋体" w:cs="仿宋_GB2312"/>
          <w:sz w:val="24"/>
          <w:szCs w:val="28"/>
        </w:rPr>
        <w:t>日</w:t>
      </w:r>
    </w:p>
    <w:p>
      <w:pPr>
        <w:spacing w:line="360" w:lineRule="auto"/>
        <w:ind w:right="-512" w:rightChars="-244"/>
        <w:jc w:val="left"/>
        <w:rPr>
          <w:rFonts w:ascii="宋体" w:hAnsi="宋体" w:cs="宋体"/>
          <w:b/>
          <w:bCs/>
          <w:sz w:val="24"/>
          <w:szCs w:val="24"/>
        </w:rPr>
      </w:pPr>
      <w:r>
        <w:rPr>
          <w:rFonts w:ascii="宋体" w:hAnsi="宋体" w:cs="宋体"/>
          <w:b/>
          <w:bCs/>
          <w:sz w:val="24"/>
          <w:szCs w:val="24"/>
        </w:rPr>
        <w:t>温馨提示：本项目为全流程电子化交易项目，请注意以下事项。</w:t>
      </w:r>
    </w:p>
    <w:p>
      <w:pPr>
        <w:numPr>
          <w:ilvl w:val="0"/>
          <w:numId w:val="1"/>
        </w:numPr>
        <w:spacing w:line="360" w:lineRule="auto"/>
        <w:ind w:right="-512" w:rightChars="-244"/>
        <w:jc w:val="left"/>
        <w:rPr>
          <w:rFonts w:ascii="宋体" w:hAnsi="宋体" w:cs="宋体"/>
          <w:sz w:val="24"/>
          <w:szCs w:val="24"/>
        </w:rPr>
      </w:pPr>
      <w:r>
        <w:rPr>
          <w:rFonts w:ascii="宋体" w:hAnsi="宋体" w:cs="宋体"/>
          <w:sz w:val="24"/>
          <w:szCs w:val="24"/>
        </w:rPr>
        <w:t xml:space="preserve">供应商参加本项目投标，需提前自行联系CA服务机构办理数字认证证书并进行电子签章。 </w:t>
      </w:r>
    </w:p>
    <w:p>
      <w:pPr>
        <w:numPr>
          <w:ilvl w:val="0"/>
          <w:numId w:val="1"/>
        </w:numPr>
        <w:spacing w:line="360" w:lineRule="auto"/>
        <w:ind w:right="-512" w:rightChars="-244"/>
        <w:jc w:val="left"/>
        <w:rPr>
          <w:rFonts w:ascii="宋体" w:hAnsi="宋体" w:cs="宋体"/>
          <w:sz w:val="24"/>
          <w:szCs w:val="24"/>
        </w:rPr>
      </w:pPr>
      <w:r>
        <w:rPr>
          <w:rFonts w:ascii="宋体" w:hAnsi="宋体" w:cs="宋体"/>
          <w:sz w:val="24"/>
          <w:szCs w:val="24"/>
        </w:rPr>
        <w:t>磋商文件下载、响应文件制作、提交、远程不见面开标（电子</w:t>
      </w:r>
      <w:r>
        <w:rPr>
          <w:rFonts w:hint="eastAsia" w:ascii="宋体" w:hAnsi="宋体" w:cs="宋体"/>
          <w:sz w:val="24"/>
          <w:szCs w:val="24"/>
        </w:rPr>
        <w:t>响应文件</w:t>
      </w:r>
      <w:r>
        <w:rPr>
          <w:rFonts w:ascii="宋体" w:hAnsi="宋体" w:cs="宋体"/>
          <w:sz w:val="24"/>
          <w:szCs w:val="24"/>
        </w:rPr>
        <w:t>的解密）环节，供应商须使用同一个CA数字证书（证书须在有效期内并可正常使用）。</w:t>
      </w:r>
    </w:p>
    <w:p>
      <w:pPr>
        <w:numPr>
          <w:ilvl w:val="0"/>
          <w:numId w:val="1"/>
        </w:numPr>
        <w:spacing w:line="360" w:lineRule="auto"/>
        <w:ind w:right="-512" w:rightChars="-244"/>
        <w:jc w:val="left"/>
        <w:rPr>
          <w:rFonts w:ascii="宋体" w:hAnsi="宋体" w:cs="宋体"/>
          <w:b/>
          <w:bCs/>
          <w:sz w:val="24"/>
          <w:szCs w:val="24"/>
        </w:rPr>
      </w:pPr>
      <w:r>
        <w:rPr>
          <w:rFonts w:ascii="宋体" w:hAnsi="宋体" w:cs="宋体"/>
          <w:b/>
          <w:bCs/>
          <w:sz w:val="24"/>
          <w:szCs w:val="24"/>
        </w:rPr>
        <w:t xml:space="preserve">电子响应文件的制作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3.1供应商登录《全国公共资源交易平台(河南省▪许昌市)》公共资源交易系统 （http://ggzy.xuchang.gov.cn/）下载“许昌</w:t>
      </w:r>
      <w:r>
        <w:rPr>
          <w:rFonts w:hint="eastAsia" w:ascii="宋体" w:hAnsi="宋体" w:cs="宋体"/>
          <w:sz w:val="24"/>
          <w:szCs w:val="24"/>
        </w:rPr>
        <w:t>响应文件</w:t>
      </w:r>
      <w:r>
        <w:rPr>
          <w:rFonts w:ascii="宋体" w:hAnsi="宋体" w:cs="宋体"/>
          <w:sz w:val="24"/>
          <w:szCs w:val="24"/>
        </w:rPr>
        <w:t>制作系统 SEARUN 最新版本”， 制作</w:t>
      </w:r>
      <w:r>
        <w:rPr>
          <w:rFonts w:hint="eastAsia" w:ascii="宋体" w:hAnsi="宋体" w:cs="宋体"/>
          <w:sz w:val="24"/>
          <w:szCs w:val="24"/>
        </w:rPr>
        <w:t>响应文件</w:t>
      </w:r>
      <w:r>
        <w:rPr>
          <w:rFonts w:ascii="宋体" w:hAnsi="宋体" w:cs="宋体"/>
          <w:sz w:val="24"/>
          <w:szCs w:val="24"/>
        </w:rPr>
        <w:t xml:space="preserve">。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3.2供应商对同一项目多个标段进行投标的，应分别下载所投标段的</w:t>
      </w:r>
      <w:r>
        <w:rPr>
          <w:rFonts w:hint="eastAsia" w:ascii="宋体" w:hAnsi="宋体" w:cs="宋体"/>
          <w:sz w:val="24"/>
          <w:szCs w:val="24"/>
        </w:rPr>
        <w:t>磋商文件</w:t>
      </w:r>
      <w:r>
        <w:rPr>
          <w:rFonts w:ascii="宋体" w:hAnsi="宋体" w:cs="宋体"/>
          <w:sz w:val="24"/>
          <w:szCs w:val="24"/>
        </w:rPr>
        <w:t xml:space="preserve">，按标段制作 </w:t>
      </w:r>
      <w:r>
        <w:rPr>
          <w:rFonts w:hint="eastAsia" w:ascii="宋体" w:hAnsi="宋体" w:cs="宋体"/>
          <w:sz w:val="24"/>
          <w:szCs w:val="24"/>
        </w:rPr>
        <w:t>响应文件</w:t>
      </w:r>
      <w:r>
        <w:rPr>
          <w:rFonts w:ascii="宋体" w:hAnsi="宋体" w:cs="宋体"/>
          <w:sz w:val="24"/>
          <w:szCs w:val="24"/>
        </w:rPr>
        <w:t>。一个标段对应生成一个文件夹（xxxx 项目xx标段）,其中后缀名为“.file”的文件用于投标。</w:t>
      </w:r>
    </w:p>
    <w:p>
      <w:pPr>
        <w:numPr>
          <w:ilvl w:val="0"/>
          <w:numId w:val="1"/>
        </w:numPr>
        <w:spacing w:line="360" w:lineRule="auto"/>
        <w:ind w:right="-512" w:rightChars="-244"/>
        <w:jc w:val="left"/>
        <w:rPr>
          <w:rFonts w:ascii="宋体" w:hAnsi="宋体" w:cs="宋体"/>
          <w:sz w:val="24"/>
          <w:szCs w:val="24"/>
        </w:rPr>
      </w:pPr>
      <w:r>
        <w:rPr>
          <w:rFonts w:ascii="宋体" w:hAnsi="宋体" w:cs="宋体"/>
          <w:b/>
          <w:bCs/>
          <w:sz w:val="24"/>
          <w:szCs w:val="24"/>
        </w:rPr>
        <w:t>加密电子响应文件的提交</w:t>
      </w:r>
      <w:r>
        <w:rPr>
          <w:rFonts w:ascii="宋体" w:hAnsi="宋体" w:cs="宋体"/>
          <w:sz w:val="24"/>
          <w:szCs w:val="24"/>
        </w:rPr>
        <w:t xml:space="preserve">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4.1供应商对同一项目多个标段进行投标的，加密电子响应文件应按标段分别提交。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4.2加密电子响应文件成功提交后，《全国公共资源交易平台(河南省▪许昌市)》公共资源交易系统（http://ggzy.xuchang.gov.cn/）生成“</w:t>
      </w:r>
      <w:r>
        <w:rPr>
          <w:rFonts w:hint="eastAsia" w:ascii="宋体" w:hAnsi="宋体" w:cs="宋体"/>
          <w:sz w:val="24"/>
          <w:szCs w:val="24"/>
        </w:rPr>
        <w:t>响应文件</w:t>
      </w:r>
      <w:r>
        <w:rPr>
          <w:rFonts w:ascii="宋体" w:hAnsi="宋体" w:cs="宋体"/>
          <w:sz w:val="24"/>
          <w:szCs w:val="24"/>
        </w:rPr>
        <w:t>提交回执单”。</w:t>
      </w:r>
    </w:p>
    <w:p>
      <w:pPr>
        <w:numPr>
          <w:ilvl w:val="0"/>
          <w:numId w:val="1"/>
        </w:numPr>
        <w:spacing w:line="360" w:lineRule="auto"/>
        <w:ind w:right="-512" w:rightChars="-244"/>
        <w:jc w:val="left"/>
        <w:rPr>
          <w:rFonts w:ascii="宋体" w:hAnsi="宋体" w:cs="宋体"/>
          <w:b/>
          <w:bCs/>
          <w:sz w:val="24"/>
          <w:szCs w:val="24"/>
        </w:rPr>
      </w:pPr>
      <w:r>
        <w:rPr>
          <w:rFonts w:ascii="宋体" w:hAnsi="宋体" w:cs="宋体"/>
          <w:b/>
          <w:bCs/>
          <w:sz w:val="24"/>
          <w:szCs w:val="24"/>
        </w:rPr>
        <w:t>远程不见面开标（电子响应文件的解密）</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5.1本项目采用远程“不见面”开标方式，投标前请详细阅读全国公共资源交易平台（河南省·许昌市）首页“资料下载”栏目的《许昌市不见面操作手册》。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5.2供应商提前设置不见面开标浏览器，并于开标时间前登录本项目不见面开标大厅，按照规定的开标时间准时参加网上开标。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5.3根据采购代理机构在“文字互动”对话框的通知，供应商选择功能栏“解密环节”按钮进行电子</w:t>
      </w:r>
      <w:r>
        <w:rPr>
          <w:rFonts w:hint="eastAsia" w:ascii="宋体" w:hAnsi="宋体" w:cs="宋体"/>
          <w:sz w:val="24"/>
          <w:szCs w:val="24"/>
        </w:rPr>
        <w:t>响应文件</w:t>
      </w:r>
      <w:r>
        <w:rPr>
          <w:rFonts w:ascii="宋体" w:hAnsi="宋体" w:cs="宋体"/>
          <w:sz w:val="24"/>
          <w:szCs w:val="24"/>
        </w:rPr>
        <w:t>解密（供应商解密应自采购代理机构点击“开标开始”按钮后 120分钟内完成）。供应商未解密或因供应商原因解密失败的，其投标将被拒绝。</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5.4开标活动结束时，供应商应在《开标记录表》上进行电子签章。供应商未签章的，视同认可开标结果。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5.5供应商对开标过程和开标记录如有疑义，可在本项目不见面开标大厅“文字互动”对话框或“新增质疑”处在线提出询问。 </w:t>
      </w:r>
    </w:p>
    <w:p>
      <w:pPr>
        <w:numPr>
          <w:ilvl w:val="0"/>
          <w:numId w:val="1"/>
        </w:numPr>
        <w:spacing w:line="360" w:lineRule="auto"/>
        <w:ind w:right="-512" w:rightChars="-244"/>
        <w:jc w:val="left"/>
        <w:rPr>
          <w:rFonts w:ascii="宋体" w:hAnsi="宋体" w:cs="宋体"/>
          <w:b/>
          <w:bCs/>
          <w:sz w:val="24"/>
          <w:szCs w:val="24"/>
        </w:rPr>
      </w:pPr>
      <w:r>
        <w:rPr>
          <w:rFonts w:ascii="宋体" w:hAnsi="宋体" w:cs="宋体"/>
          <w:b/>
          <w:bCs/>
          <w:sz w:val="24"/>
          <w:szCs w:val="24"/>
        </w:rPr>
        <w:t>评</w:t>
      </w:r>
      <w:r>
        <w:rPr>
          <w:rFonts w:hint="eastAsia" w:ascii="宋体" w:hAnsi="宋体" w:cs="宋体"/>
          <w:b/>
          <w:bCs/>
          <w:sz w:val="24"/>
          <w:szCs w:val="24"/>
        </w:rPr>
        <w:t>审</w:t>
      </w:r>
      <w:r>
        <w:rPr>
          <w:rFonts w:ascii="宋体" w:hAnsi="宋体" w:cs="宋体"/>
          <w:b/>
          <w:bCs/>
          <w:sz w:val="24"/>
          <w:szCs w:val="24"/>
        </w:rPr>
        <w:t xml:space="preserve">依据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6.1全流程电子化交易（不见面开标）项目，</w:t>
      </w:r>
      <w:r>
        <w:rPr>
          <w:rFonts w:hint="eastAsia" w:ascii="宋体" w:hAnsi="宋体" w:cs="宋体"/>
          <w:sz w:val="24"/>
          <w:szCs w:val="24"/>
        </w:rPr>
        <w:t>磋商小组</w:t>
      </w:r>
      <w:r>
        <w:rPr>
          <w:rFonts w:ascii="宋体" w:hAnsi="宋体" w:cs="宋体"/>
          <w:sz w:val="24"/>
          <w:szCs w:val="24"/>
        </w:rPr>
        <w:t>以成功上传、解密的电子</w:t>
      </w:r>
      <w:r>
        <w:rPr>
          <w:rFonts w:hint="eastAsia" w:ascii="宋体" w:hAnsi="宋体" w:cs="宋体"/>
          <w:sz w:val="24"/>
          <w:szCs w:val="24"/>
        </w:rPr>
        <w:t>响应文件</w:t>
      </w:r>
      <w:r>
        <w:rPr>
          <w:rFonts w:ascii="宋体" w:hAnsi="宋体" w:cs="宋体"/>
          <w:sz w:val="24"/>
          <w:szCs w:val="24"/>
        </w:rPr>
        <w:t xml:space="preserve">为依据评审。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6.2评</w:t>
      </w:r>
      <w:r>
        <w:rPr>
          <w:rFonts w:hint="eastAsia" w:ascii="宋体" w:hAnsi="宋体" w:cs="宋体"/>
          <w:sz w:val="24"/>
          <w:szCs w:val="24"/>
        </w:rPr>
        <w:t>审</w:t>
      </w:r>
      <w:r>
        <w:rPr>
          <w:rFonts w:ascii="宋体" w:hAnsi="宋体" w:cs="宋体"/>
          <w:sz w:val="24"/>
          <w:szCs w:val="24"/>
        </w:rPr>
        <w:t>期间</w:t>
      </w:r>
      <w:r>
        <w:rPr>
          <w:rFonts w:hint="eastAsia" w:ascii="宋体" w:hAnsi="宋体" w:cs="宋体"/>
          <w:sz w:val="24"/>
          <w:szCs w:val="24"/>
        </w:rPr>
        <w:t>，供应商须时刻关注《全国公共资源交易平台(河南省▪许昌市)》公共资源交易系统</w:t>
      </w:r>
      <w:r>
        <w:rPr>
          <w:rFonts w:ascii="宋体" w:hAnsi="宋体" w:cs="宋体"/>
          <w:sz w:val="24"/>
          <w:szCs w:val="24"/>
        </w:rPr>
        <w:t>。</w:t>
      </w:r>
      <w:r>
        <w:rPr>
          <w:rFonts w:hint="eastAsia" w:ascii="宋体" w:hAnsi="宋体" w:cs="宋体"/>
          <w:sz w:val="24"/>
          <w:szCs w:val="24"/>
        </w:rPr>
        <w:t>磋商小组</w:t>
      </w:r>
      <w:r>
        <w:rPr>
          <w:rFonts w:ascii="宋体" w:hAnsi="宋体" w:cs="宋体"/>
          <w:sz w:val="24"/>
          <w:szCs w:val="24"/>
        </w:rPr>
        <w:t xml:space="preserve">如要求供应商作出澄清、说明或者补正等，供应商应在磋商小组要求的评标期间合理的时间内通过电子邮件形式提供。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1）最后报价（加盖公章，或者由法定代表人或其授权的代表签字）；提交方式：供应商须使用CA数字证书登录《全国公共资源交易平台(河南省▪许昌市)》公共资源交易系统（http://ggzy.xuchang.gov.cn:8088/ggzy/）进行最后报价，最后报价应包括： ①总报价②分项报价。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注：①磋商小组要求供应商提交最后报价时，在磋商小组规定时间内，供应商未提交最后报价（包括总报价及分项报价）。</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②磋商文件第二章“采购需求”中“采购清单”以工程量清单提供的，供应商应以工程量清单方式提交最后报价</w:t>
      </w:r>
      <w:r>
        <w:rPr>
          <w:rFonts w:hint="eastAsia" w:ascii="宋体" w:hAnsi="宋体" w:cs="宋体"/>
          <w:sz w:val="24"/>
          <w:szCs w:val="24"/>
        </w:rPr>
        <w:t>，</w:t>
      </w:r>
      <w:r>
        <w:rPr>
          <w:rFonts w:hint="eastAsia" w:ascii="宋体" w:hAnsi="宋体" w:cs="宋体"/>
          <w:sz w:val="24"/>
          <w:szCs w:val="24"/>
          <w:lang w:val="zh-CN"/>
        </w:rPr>
        <w:t xml:space="preserve">提交最后报价的供应商不得少于3家。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③请供应商根据项目情况，可提前准备分项报价。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磋商小组如要求供应商提供“澄清、说明或者更正”</w:t>
      </w:r>
      <w:r>
        <w:rPr>
          <w:rFonts w:hint="eastAsia" w:ascii="宋体" w:hAnsi="宋体" w:cs="宋体"/>
          <w:sz w:val="24"/>
          <w:szCs w:val="24"/>
        </w:rPr>
        <w:t>；</w:t>
      </w:r>
      <w:r>
        <w:rPr>
          <w:rFonts w:ascii="宋体" w:hAnsi="宋体" w:cs="宋体"/>
          <w:sz w:val="24"/>
          <w:szCs w:val="24"/>
        </w:rPr>
        <w:t>“按照磋商文件的变动情况和磋商小组的要求重新提交响应文件”；“最终设计方案或解决方案”的，供应商提供的书面材料应加盖公章，或者由法定代表人或其授权的代表签字后通过电子邮件形式提供。</w:t>
      </w:r>
    </w:p>
    <w:p>
      <w:pPr>
        <w:spacing w:line="360" w:lineRule="auto"/>
        <w:ind w:left="120" w:right="-512" w:rightChars="-244" w:firstLine="240" w:firstLineChars="100"/>
        <w:jc w:val="left"/>
        <w:rPr>
          <w:rFonts w:ascii="宋体" w:hAnsi="宋体" w:cs="宋体"/>
          <w:sz w:val="24"/>
          <w:szCs w:val="24"/>
        </w:rPr>
      </w:pP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第二章 采购需求</w:t>
      </w:r>
    </w:p>
    <w:p>
      <w:pPr>
        <w:spacing w:line="440" w:lineRule="exact"/>
        <w:ind w:right="-512" w:rightChars="-244"/>
        <w:jc w:val="left"/>
        <w:rPr>
          <w:rFonts w:ascii="宋体" w:hAnsi="宋体" w:cs="宋体"/>
          <w:b/>
          <w:sz w:val="24"/>
          <w:szCs w:val="24"/>
        </w:rPr>
      </w:pPr>
      <w:r>
        <w:rPr>
          <w:rFonts w:hint="eastAsia" w:ascii="宋体" w:hAnsi="宋体" w:cs="宋体"/>
          <w:b/>
          <w:sz w:val="24"/>
          <w:szCs w:val="24"/>
        </w:rPr>
        <w:t>一、项目概况</w:t>
      </w:r>
    </w:p>
    <w:p>
      <w:pPr>
        <w:spacing w:line="440" w:lineRule="exact"/>
        <w:ind w:right="-512" w:rightChars="-244" w:firstLine="480" w:firstLineChars="200"/>
        <w:jc w:val="left"/>
        <w:rPr>
          <w:rFonts w:ascii="宋体" w:hAnsi="宋体"/>
          <w:sz w:val="24"/>
          <w:szCs w:val="24"/>
        </w:rPr>
      </w:pPr>
      <w:r>
        <w:rPr>
          <w:rFonts w:hint="eastAsia" w:asciiTheme="minorEastAsia" w:hAnsiTheme="minorEastAsia" w:eastAsiaTheme="minorEastAsia"/>
          <w:sz w:val="24"/>
          <w:szCs w:val="24"/>
        </w:rPr>
        <w:t>建安区国控站点周边大气污染防治精细化管理提升项目，在建安区兴业大厦院内建设8套雾森系统面对院内北侧及西侧围墙部分补充绿化并配备雾森系统，在创业大厦院内建设1</w:t>
      </w:r>
      <w:r>
        <w:rPr>
          <w:rFonts w:asciiTheme="minorEastAsia" w:hAnsiTheme="minorEastAsia" w:eastAsiaTheme="minorEastAsia"/>
          <w:sz w:val="24"/>
          <w:szCs w:val="24"/>
        </w:rPr>
        <w:t>7</w:t>
      </w:r>
      <w:r>
        <w:rPr>
          <w:rFonts w:hint="eastAsia" w:asciiTheme="minorEastAsia" w:hAnsiTheme="minorEastAsia" w:eastAsiaTheme="minorEastAsia"/>
          <w:sz w:val="24"/>
          <w:szCs w:val="24"/>
        </w:rPr>
        <w:t>套雾森系统</w:t>
      </w:r>
      <w:r>
        <w:rPr>
          <w:rFonts w:hint="eastAsia" w:ascii="宋体" w:hAnsi="宋体"/>
          <w:sz w:val="24"/>
          <w:szCs w:val="24"/>
        </w:rPr>
        <w:t>。</w:t>
      </w:r>
    </w:p>
    <w:p>
      <w:pPr>
        <w:spacing w:line="440" w:lineRule="exact"/>
        <w:ind w:right="-512" w:rightChars="-244"/>
        <w:jc w:val="left"/>
        <w:rPr>
          <w:rFonts w:ascii="宋体" w:hAnsi="宋体" w:cs="宋体"/>
          <w:b/>
          <w:sz w:val="24"/>
          <w:szCs w:val="24"/>
        </w:rPr>
      </w:pPr>
      <w:r>
        <w:rPr>
          <w:rFonts w:hint="eastAsia" w:ascii="宋体" w:hAnsi="宋体" w:cs="微软雅黑"/>
          <w:b/>
          <w:sz w:val="24"/>
          <w:szCs w:val="24"/>
        </w:rPr>
        <w:t>★</w:t>
      </w:r>
      <w:r>
        <w:rPr>
          <w:rFonts w:hint="eastAsia" w:ascii="宋体" w:hAnsi="宋体" w:cs="宋体"/>
          <w:b/>
          <w:sz w:val="24"/>
          <w:szCs w:val="24"/>
        </w:rPr>
        <w:t>二、采购需求</w:t>
      </w:r>
    </w:p>
    <w:p>
      <w:pPr>
        <w:spacing w:line="440" w:lineRule="exact"/>
        <w:ind w:right="-512" w:rightChars="-244" w:firstLine="480" w:firstLineChars="200"/>
        <w:jc w:val="left"/>
        <w:rPr>
          <w:rFonts w:ascii="宋体" w:hAnsi="宋体"/>
          <w:sz w:val="24"/>
          <w:szCs w:val="24"/>
          <w:lang w:val="zh-CN"/>
        </w:rPr>
      </w:pPr>
      <w:r>
        <w:rPr>
          <w:rFonts w:hint="eastAsia" w:ascii="宋体" w:hAnsi="宋体"/>
          <w:sz w:val="24"/>
          <w:szCs w:val="24"/>
          <w:lang w:val="zh-CN"/>
        </w:rPr>
        <w:t>详见磋商文件附件。</w:t>
      </w:r>
    </w:p>
    <w:p>
      <w:pPr>
        <w:spacing w:line="440" w:lineRule="exact"/>
        <w:ind w:right="-512" w:rightChars="-244" w:firstLine="482" w:firstLineChars="200"/>
        <w:jc w:val="left"/>
        <w:rPr>
          <w:rFonts w:ascii="宋体" w:hAnsi="宋体"/>
          <w:b/>
          <w:bCs/>
          <w:sz w:val="24"/>
          <w:szCs w:val="24"/>
        </w:rPr>
      </w:pPr>
      <w:r>
        <w:rPr>
          <w:rFonts w:hint="eastAsia" w:ascii="宋体" w:hAnsi="宋体"/>
          <w:b/>
          <w:bCs/>
          <w:sz w:val="24"/>
          <w:szCs w:val="24"/>
        </w:rPr>
        <w:t>本采购清单中所列技术规格或主要参数为最低要求，不允许负偏离，否则将承担 其响应被视为非实质性响应的风险。</w:t>
      </w:r>
    </w:p>
    <w:p>
      <w:pPr>
        <w:spacing w:line="440" w:lineRule="exact"/>
        <w:ind w:right="-512" w:rightChars="-244"/>
        <w:jc w:val="left"/>
        <w:rPr>
          <w:rFonts w:ascii="宋体" w:hAnsi="宋体" w:cs="微软雅黑"/>
          <w:b/>
          <w:sz w:val="24"/>
          <w:szCs w:val="24"/>
          <w:lang w:val="zh-CN"/>
        </w:rPr>
      </w:pPr>
      <w:r>
        <w:rPr>
          <w:rFonts w:hint="eastAsia" w:ascii="宋体" w:hAnsi="宋体" w:cs="微软雅黑"/>
          <w:b/>
          <w:sz w:val="24"/>
          <w:szCs w:val="24"/>
        </w:rPr>
        <w:t>三、</w:t>
      </w:r>
      <w:r>
        <w:rPr>
          <w:rFonts w:hint="eastAsia" w:ascii="宋体" w:hAnsi="宋体" w:cs="微软雅黑"/>
          <w:b/>
          <w:sz w:val="24"/>
          <w:szCs w:val="24"/>
          <w:lang w:val="zh-CN"/>
        </w:rPr>
        <w:t>采购标的执行标准</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 xml:space="preserve">1、《建设工程工程量清单计价规范》（GB50500-2013）、《河南省通用安装工程预算定额》(HA02-31-2016)、《河南省市政工程预算定额》(HAA1-31-2016)及相关配套文件的规定； </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2、人工价格指数按豫建标定【2022】2号文调整，税金按建办标函【2019】193号文9%计取。</w:t>
      </w:r>
    </w:p>
    <w:p>
      <w:pPr>
        <w:widowControl/>
        <w:shd w:val="clear" w:color="auto" w:fill="FFFFFF"/>
        <w:spacing w:line="440" w:lineRule="exact"/>
        <w:ind w:right="-512" w:rightChars="-244"/>
        <w:contextualSpacing/>
        <w:jc w:val="left"/>
        <w:rPr>
          <w:rFonts w:ascii="宋体" w:hAnsi="宋体" w:cs="宋体"/>
          <w:b/>
          <w:sz w:val="24"/>
          <w:szCs w:val="24"/>
          <w:lang w:val="zh-CN"/>
        </w:rPr>
      </w:pPr>
      <w:r>
        <w:rPr>
          <w:rFonts w:hint="eastAsia" w:ascii="宋体" w:hAnsi="宋体"/>
          <w:b/>
          <w:sz w:val="24"/>
          <w:szCs w:val="24"/>
        </w:rPr>
        <w:t>★四</w:t>
      </w:r>
      <w:r>
        <w:rPr>
          <w:rFonts w:hint="eastAsia" w:ascii="宋体" w:hAnsi="宋体" w:cs="宋体"/>
          <w:b/>
          <w:sz w:val="24"/>
          <w:szCs w:val="24"/>
          <w:lang w:val="zh-CN"/>
        </w:rPr>
        <w:t>、服务</w:t>
      </w:r>
      <w:r>
        <w:rPr>
          <w:rFonts w:hint="eastAsia" w:ascii="宋体" w:hAnsi="宋体" w:cs="宋体"/>
          <w:b/>
          <w:sz w:val="24"/>
          <w:szCs w:val="24"/>
        </w:rPr>
        <w:t>标准</w:t>
      </w:r>
      <w:r>
        <w:rPr>
          <w:rFonts w:hint="eastAsia" w:ascii="宋体" w:hAnsi="宋体" w:cs="宋体"/>
          <w:b/>
          <w:sz w:val="24"/>
          <w:szCs w:val="24"/>
          <w:lang w:val="zh-CN"/>
        </w:rPr>
        <w:t>、期限等要求</w:t>
      </w:r>
    </w:p>
    <w:p>
      <w:pPr>
        <w:spacing w:line="440" w:lineRule="exact"/>
        <w:ind w:right="-512" w:rightChars="-244" w:firstLine="480" w:firstLineChars="200"/>
        <w:rPr>
          <w:rFonts w:ascii="宋体" w:hAnsi="宋体"/>
          <w:sz w:val="24"/>
          <w:szCs w:val="24"/>
        </w:rPr>
      </w:pPr>
      <w:r>
        <w:rPr>
          <w:rFonts w:hint="eastAsia" w:ascii="宋体" w:hAnsi="宋体"/>
          <w:sz w:val="24"/>
          <w:szCs w:val="28"/>
        </w:rPr>
        <w:t>1、</w:t>
      </w:r>
      <w:r>
        <w:rPr>
          <w:rFonts w:hint="eastAsia" w:ascii="宋体" w:hAnsi="宋体"/>
          <w:sz w:val="24"/>
          <w:szCs w:val="24"/>
        </w:rPr>
        <w:t>合同履行期限：自合同签订之日起60日历天。</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2、质量要求：合格（符合国家现行规范、规程、规定、标准的要求）。</w:t>
      </w:r>
    </w:p>
    <w:p>
      <w:pPr>
        <w:spacing w:line="440" w:lineRule="exact"/>
        <w:ind w:right="-512" w:rightChars="-244" w:firstLine="480" w:firstLineChars="200"/>
        <w:jc w:val="left"/>
        <w:rPr>
          <w:rFonts w:ascii="宋体" w:hAnsi="宋体"/>
          <w:sz w:val="24"/>
          <w:szCs w:val="24"/>
        </w:rPr>
      </w:pPr>
      <w:r>
        <w:rPr>
          <w:rFonts w:hint="eastAsia" w:ascii="宋体" w:hAnsi="宋体"/>
          <w:sz w:val="24"/>
          <w:szCs w:val="28"/>
        </w:rPr>
        <w:t>3</w:t>
      </w:r>
      <w:r>
        <w:rPr>
          <w:rFonts w:hint="eastAsia" w:ascii="宋体" w:hAnsi="宋体"/>
          <w:sz w:val="24"/>
          <w:szCs w:val="24"/>
        </w:rPr>
        <w:t>、履约地点：采购人指定地点。</w:t>
      </w:r>
    </w:p>
    <w:p>
      <w:pPr>
        <w:spacing w:line="440" w:lineRule="exact"/>
        <w:ind w:right="-512" w:rightChars="-244"/>
        <w:contextualSpacing/>
        <w:rPr>
          <w:rFonts w:ascii="宋体" w:hAnsi="宋体"/>
          <w:b/>
          <w:sz w:val="24"/>
          <w:szCs w:val="24"/>
        </w:rPr>
      </w:pPr>
      <w:r>
        <w:rPr>
          <w:rFonts w:hint="eastAsia" w:ascii="宋体" w:hAnsi="宋体"/>
          <w:b/>
          <w:sz w:val="24"/>
          <w:szCs w:val="24"/>
        </w:rPr>
        <w:t>★五、采购标的的其他技术、服务等要求</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 xml:space="preserve">2、供应商应就本项目完整投标，否则为无效投标。 </w:t>
      </w:r>
    </w:p>
    <w:p>
      <w:pPr>
        <w:widowControl/>
        <w:spacing w:line="440" w:lineRule="exact"/>
        <w:ind w:right="-512" w:rightChars="-244"/>
        <w:jc w:val="left"/>
        <w:rPr>
          <w:rFonts w:ascii="宋体" w:hAnsi="宋体" w:cs="宋体"/>
          <w:b/>
          <w:sz w:val="24"/>
          <w:szCs w:val="24"/>
        </w:rPr>
      </w:pPr>
      <w:r>
        <w:rPr>
          <w:rFonts w:hint="eastAsia" w:ascii="宋体" w:hAnsi="宋体" w:cs="宋体"/>
          <w:b/>
          <w:sz w:val="24"/>
          <w:szCs w:val="24"/>
        </w:rPr>
        <w:t>六、验收标准</w:t>
      </w:r>
    </w:p>
    <w:p>
      <w:pPr>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2、按照磋商文件要求、响应文件响应和承诺验收。</w:t>
      </w:r>
    </w:p>
    <w:p>
      <w:pPr>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3、按照国家及行业相关标准验收。</w:t>
      </w:r>
    </w:p>
    <w:p>
      <w:pPr>
        <w:spacing w:line="440" w:lineRule="exact"/>
        <w:ind w:right="-512" w:rightChars="-244"/>
        <w:jc w:val="left"/>
        <w:rPr>
          <w:rFonts w:ascii="宋体" w:hAnsi="宋体" w:cs="宋体"/>
          <w:b/>
          <w:bCs/>
          <w:sz w:val="24"/>
          <w:szCs w:val="24"/>
        </w:rPr>
      </w:pPr>
      <w:r>
        <w:rPr>
          <w:rFonts w:hint="eastAsia" w:ascii="宋体" w:hAnsi="宋体"/>
          <w:b/>
          <w:sz w:val="24"/>
          <w:szCs w:val="24"/>
        </w:rPr>
        <w:t>★</w:t>
      </w:r>
      <w:r>
        <w:rPr>
          <w:rFonts w:hint="eastAsia" w:ascii="宋体" w:hAnsi="宋体" w:cs="宋体"/>
          <w:b/>
          <w:bCs/>
          <w:sz w:val="24"/>
          <w:szCs w:val="24"/>
        </w:rPr>
        <w:t>七、本项目预算金额：3299282.64元（财政资金），超出预算金额的磋商响应无效。</w:t>
      </w:r>
    </w:p>
    <w:p>
      <w:pPr>
        <w:spacing w:line="440" w:lineRule="exact"/>
        <w:ind w:right="-512" w:rightChars="-244"/>
        <w:jc w:val="left"/>
        <w:rPr>
          <w:rFonts w:ascii="宋体" w:hAnsi="宋体" w:cs="宋体"/>
          <w:b/>
          <w:bCs/>
          <w:sz w:val="24"/>
          <w:szCs w:val="24"/>
        </w:rPr>
      </w:pPr>
      <w:r>
        <w:rPr>
          <w:rFonts w:hint="eastAsia" w:ascii="宋体" w:hAnsi="宋体" w:cs="宋体"/>
          <w:b/>
          <w:bCs/>
          <w:sz w:val="24"/>
          <w:szCs w:val="24"/>
        </w:rPr>
        <w:t>八、支付方式：</w:t>
      </w:r>
    </w:p>
    <w:p>
      <w:pPr>
        <w:spacing w:line="360" w:lineRule="auto"/>
        <w:ind w:right="-512" w:rightChars="-244" w:firstLine="480" w:firstLineChars="200"/>
        <w:jc w:val="left"/>
        <w:rPr>
          <w:rFonts w:ascii="宋体" w:hAnsi="宋体" w:cs="宋体"/>
          <w:sz w:val="24"/>
          <w:szCs w:val="24"/>
          <w:lang w:val="zh-CN"/>
        </w:rPr>
      </w:pPr>
      <w:r>
        <w:rPr>
          <w:rFonts w:hint="eastAsia" w:ascii="宋体" w:hAnsi="宋体" w:cs="宋体"/>
          <w:sz w:val="24"/>
          <w:szCs w:val="24"/>
        </w:rPr>
        <w:t>1、支付方式：</w:t>
      </w:r>
      <w:r>
        <w:rPr>
          <w:rFonts w:hint="eastAsia" w:ascii="宋体" w:hAnsi="宋体" w:cs="宋体"/>
          <w:sz w:val="24"/>
          <w:szCs w:val="24"/>
          <w:lang w:val="zh-CN"/>
        </w:rPr>
        <w:t>按照合同约定。</w:t>
      </w:r>
    </w:p>
    <w:p>
      <w:pPr>
        <w:spacing w:line="360" w:lineRule="auto"/>
        <w:ind w:right="-512" w:rightChars="-244" w:firstLine="480" w:firstLineChars="200"/>
        <w:jc w:val="left"/>
        <w:rPr>
          <w:rFonts w:ascii="宋体" w:hAnsi="宋体" w:cs="宋体"/>
          <w:sz w:val="24"/>
          <w:szCs w:val="24"/>
        </w:rPr>
      </w:pPr>
      <w:r>
        <w:rPr>
          <w:rFonts w:hint="eastAsia" w:ascii="宋体" w:hAnsi="宋体" w:cs="宋体"/>
          <w:sz w:val="24"/>
          <w:szCs w:val="24"/>
        </w:rPr>
        <w:t>2、支付时间及条件：以双方签订合同为准。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供应商须知前附表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磋商文件中凡标有★条款均为实质性要求条款，响应文件须完全响应，未实质响应的，按照无效投标处理。</w:t>
      </w:r>
    </w:p>
    <w:tbl>
      <w:tblPr>
        <w:tblStyle w:val="1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spacing w:line="360" w:lineRule="auto"/>
              <w:jc w:val="left"/>
              <w:rPr>
                <w:rFonts w:ascii="宋体" w:hAnsi="宋体" w:cs="宋体"/>
                <w:bCs/>
                <w:sz w:val="24"/>
                <w:szCs w:val="24"/>
                <w:lang w:val="zh-CN"/>
              </w:rPr>
            </w:pPr>
            <w:r>
              <w:rPr>
                <w:rFonts w:hint="eastAsia" w:ascii="宋体" w:hAnsi="宋体" w:cs="宋体"/>
                <w:bCs/>
                <w:sz w:val="24"/>
                <w:szCs w:val="24"/>
                <w:lang w:val="zh-CN"/>
              </w:rPr>
              <w:t>项目名称：建安区国控站点周边大气污染防治精细化管理提升项目</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项目编号：建安政采竞磋商字〔2023〕26号</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项目内容：在建安区兴业大厦院内建设8套雾森系统面对院内北侧及西侧围墙部分补充绿化并配备雾森系统，在创业大厦院内建设17套雾森系统</w:t>
            </w:r>
            <w:r>
              <w:rPr>
                <w:rFonts w:hint="eastAsia" w:ascii="宋体" w:hAnsi="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jc w:val="left"/>
              <w:rPr>
                <w:rFonts w:ascii="宋体" w:hAnsi="宋体" w:cs="仿宋_GB2312"/>
                <w:sz w:val="24"/>
                <w:szCs w:val="24"/>
                <w:lang w:val="zh-CN"/>
              </w:rPr>
            </w:pPr>
            <w:r>
              <w:rPr>
                <w:rFonts w:hint="eastAsia" w:ascii="宋体" w:hAnsi="宋体" w:cs="仿宋_GB2312"/>
                <w:sz w:val="24"/>
                <w:szCs w:val="24"/>
                <w:lang w:val="zh-CN"/>
              </w:rPr>
              <w:t>名    称：许昌市生态环境局建安分局</w:t>
            </w:r>
          </w:p>
          <w:p>
            <w:pPr>
              <w:autoSpaceDE w:val="0"/>
              <w:autoSpaceDN w:val="0"/>
              <w:adjustRightInd w:val="0"/>
              <w:spacing w:line="360" w:lineRule="auto"/>
              <w:jc w:val="left"/>
              <w:rPr>
                <w:rFonts w:ascii="宋体" w:hAnsi="宋体" w:cs="仿宋_GB2312"/>
                <w:sz w:val="24"/>
                <w:szCs w:val="24"/>
                <w:lang w:val="zh-CN"/>
              </w:rPr>
            </w:pPr>
            <w:r>
              <w:rPr>
                <w:rFonts w:hint="eastAsia" w:ascii="宋体" w:hAnsi="宋体" w:cs="仿宋_GB2312"/>
                <w:sz w:val="24"/>
                <w:szCs w:val="24"/>
              </w:rPr>
              <w:t>地    址：许昌市建安区兴业大厦2楼</w:t>
            </w:r>
          </w:p>
          <w:p>
            <w:pPr>
              <w:autoSpaceDE w:val="0"/>
              <w:autoSpaceDN w:val="0"/>
              <w:adjustRightInd w:val="0"/>
              <w:spacing w:line="360" w:lineRule="auto"/>
              <w:jc w:val="left"/>
              <w:rPr>
                <w:rFonts w:ascii="宋体" w:hAnsi="宋体" w:cs="仿宋_GB2312"/>
                <w:sz w:val="24"/>
                <w:szCs w:val="24"/>
                <w:lang w:val="zh-CN"/>
              </w:rPr>
            </w:pPr>
            <w:r>
              <w:rPr>
                <w:rFonts w:hint="eastAsia" w:ascii="宋体" w:hAnsi="宋体" w:cs="仿宋_GB2312"/>
                <w:sz w:val="24"/>
                <w:szCs w:val="24"/>
                <w:lang w:val="zh-CN"/>
              </w:rPr>
              <w:t>联 系 人：孟秋锋</w:t>
            </w:r>
          </w:p>
          <w:p>
            <w:pPr>
              <w:autoSpaceDE w:val="0"/>
              <w:autoSpaceDN w:val="0"/>
              <w:adjustRightInd w:val="0"/>
              <w:spacing w:line="360" w:lineRule="auto"/>
              <w:jc w:val="left"/>
              <w:rPr>
                <w:rFonts w:ascii="宋体" w:hAnsi="宋体" w:cs="宋体"/>
                <w:bCs/>
                <w:sz w:val="24"/>
                <w:szCs w:val="24"/>
                <w:highlight w:val="yellow"/>
                <w:lang w:val="zh-CN"/>
              </w:rPr>
            </w:pPr>
            <w:r>
              <w:rPr>
                <w:rFonts w:hint="eastAsia" w:ascii="宋体" w:hAnsi="宋体" w:cs="仿宋_GB2312"/>
                <w:sz w:val="24"/>
                <w:szCs w:val="24"/>
                <w:lang w:val="zh-CN"/>
              </w:rPr>
              <w:t>联系方式：13837460204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名    称：河南天扬工程项目管理有限公司</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仿宋_GB2312"/>
                <w:sz w:val="24"/>
                <w:szCs w:val="24"/>
              </w:rPr>
              <w:t>地    址：许昌市建安区镜水路</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人：万亚楠</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w:t>
            </w:r>
            <w:r>
              <w:rPr>
                <w:rFonts w:ascii="宋体" w:hAnsi="宋体" w:cs="宋体"/>
                <w:bCs/>
                <w:sz w:val="24"/>
                <w:szCs w:val="24"/>
                <w:lang w:val="zh-CN"/>
              </w:rPr>
              <w:t>15617243151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★供应商资格</w:t>
            </w:r>
          </w:p>
        </w:tc>
        <w:tc>
          <w:tcPr>
            <w:tcW w:w="6739"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 xml:space="preserve">一、中小企业或者残疾人福利性单位声明函 </w:t>
            </w:r>
          </w:p>
          <w:p>
            <w:pPr>
              <w:autoSpaceDE w:val="0"/>
              <w:autoSpaceDN w:val="0"/>
              <w:adjustRightInd w:val="0"/>
              <w:spacing w:line="360" w:lineRule="auto"/>
              <w:jc w:val="left"/>
              <w:rPr>
                <w:rFonts w:ascii="宋体" w:hAnsi="宋体" w:cs="仿宋_GB2312"/>
                <w:sz w:val="24"/>
                <w:szCs w:val="24"/>
                <w:lang w:val="zh-CN"/>
              </w:rPr>
            </w:pPr>
            <w:r>
              <w:rPr>
                <w:rFonts w:hint="eastAsia" w:ascii="宋体" w:hAnsi="宋体" w:cs="仿宋_GB2312"/>
                <w:sz w:val="24"/>
                <w:szCs w:val="24"/>
                <w:lang w:val="zh-CN"/>
              </w:rPr>
              <w:t xml:space="preserve">1．中小企业出具《中小企业声明函》 </w:t>
            </w:r>
          </w:p>
          <w:p>
            <w:pPr>
              <w:autoSpaceDE w:val="0"/>
              <w:autoSpaceDN w:val="0"/>
              <w:adjustRightInd w:val="0"/>
              <w:spacing w:line="360" w:lineRule="auto"/>
              <w:jc w:val="left"/>
              <w:rPr>
                <w:rFonts w:ascii="宋体" w:hAnsi="宋体" w:cs="仿宋_GB2312"/>
                <w:sz w:val="24"/>
                <w:szCs w:val="24"/>
                <w:lang w:val="zh-CN"/>
              </w:rPr>
            </w:pPr>
            <w:r>
              <w:rPr>
                <w:rFonts w:hint="eastAsia" w:ascii="宋体" w:hAnsi="宋体" w:cs="仿宋_GB2312"/>
                <w:sz w:val="24"/>
                <w:szCs w:val="24"/>
                <w:lang w:val="zh-CN"/>
              </w:rPr>
              <w:t>2．残疾人福利性单位出具《残疾人福利企业声明函》</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二、符合《政府采购法》第二十二条规定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1、供应商在投标时，提供《许昌市建安区政府采购供应商信用承诺函》（详见磋商文件第八章3.6格式），无需再提交上述证明材料。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kern w:val="0"/>
                <w:sz w:val="24"/>
                <w:szCs w:val="24"/>
              </w:rPr>
            </w:pPr>
            <w:r>
              <w:rPr>
                <w:rFonts w:hint="eastAsia" w:ascii="宋体" w:hAnsi="宋体" w:cs="宋体"/>
                <w:bCs/>
                <w:sz w:val="24"/>
                <w:szCs w:val="24"/>
              </w:rPr>
              <w:t>3299282.64元（财政资金），大写：叁佰贰拾玖万玖仟贰佰捌拾贰元陆角肆分，</w:t>
            </w: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ascii="宋体" w:hAnsi="宋体" w:cs="宋体"/>
                <w:b/>
                <w:sz w:val="24"/>
                <w:szCs w:val="24"/>
              </w:rPr>
            </w:pPr>
          </w:p>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w:t>
            </w:r>
            <w:r>
              <w:rPr>
                <w:rFonts w:hint="eastAsia" w:ascii="宋体" w:hAnsi="宋体" w:cs="宋体"/>
                <w:sz w:val="24"/>
                <w:szCs w:val="24"/>
              </w:rPr>
              <w:t>磋商有效期</w:t>
            </w:r>
          </w:p>
          <w:p>
            <w:pPr>
              <w:autoSpaceDE w:val="0"/>
              <w:autoSpaceDN w:val="0"/>
              <w:adjustRightInd w:val="0"/>
              <w:spacing w:line="360" w:lineRule="auto"/>
              <w:jc w:val="center"/>
              <w:rPr>
                <w:rFonts w:ascii="宋体" w:hAnsi="宋体" w:cs="宋体"/>
                <w:sz w:val="24"/>
                <w:szCs w:val="24"/>
              </w:rPr>
            </w:pP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90天（自提交磋商文件的截止之日起算）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成交供应商磋商有效期延至合同验收之日，成交供应商全部合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rPr>
              <w:t>成交供应商将本项目的非主体、非关键性工作分包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电子响应文件递交地点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电子响应文件应按规定在投标截止时间（开标时间）之前成功提交至《全国公共资源交易平台(河南省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 xml:space="preserve">响应文件提交截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 xml:space="preserve">止、磋商响应截止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及磋商时间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rPr>
              <w:t>2023年</w:t>
            </w:r>
            <w:r>
              <w:rPr>
                <w:rFonts w:hint="eastAsia" w:ascii="宋体" w:hAnsi="宋体" w:cs="宋体"/>
                <w:b/>
                <w:sz w:val="24"/>
                <w:szCs w:val="24"/>
                <w:lang w:eastAsia="zh-CN"/>
              </w:rPr>
              <w:t>9月1日</w:t>
            </w:r>
            <w:r>
              <w:rPr>
                <w:rFonts w:hint="eastAsia" w:ascii="宋体" w:hAnsi="宋体" w:cs="宋体"/>
                <w:b/>
                <w:sz w:val="24"/>
                <w:szCs w:val="24"/>
              </w:rPr>
              <w:t>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许昌市建安区公共资源交易中心四楼开标一室</w:t>
            </w:r>
            <w:r>
              <w:rPr>
                <w:rFonts w:hint="eastAsia" w:ascii="宋体" w:hAnsi="宋体"/>
                <w:b/>
                <w:sz w:val="24"/>
                <w:shd w:val="clear" w:color="000000" w:fill="FFFFFF"/>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rPr>
              <w:t>磋商保证金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磋商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采购人澄清或修改磋商文件时间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 xml:space="preserve">供应商对磋商文件 </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响应文件份数</w:t>
            </w:r>
          </w:p>
        </w:tc>
        <w:tc>
          <w:tcPr>
            <w:tcW w:w="6739"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电子响应文件：成功上传至《全国公共资源交易平台（河南省·许昌市）》公共资源交易系统加密电子响应文件1份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注:供应商提交的电子响应文件，必须是通过“许昌响应文件制作系统SEARUN最新版本”制作，并经过签章和加密后生成的电子响应文件。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响应文件的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磋商小组组建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Cambria Math"/>
                <w:sz w:val="24"/>
                <w:szCs w:val="24"/>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1、本项目属于专门面向中小企业采购的项目；本次采购标的对应的中小企业划分标准所属行业：建筑业。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依据发改价格(2015]299号文件和豫招协［2023］002号文件规定计取。一次性以银行划账、电汇、汇票或支票的形式支付。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30</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31</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widowControl/>
              <w:spacing w:line="360" w:lineRule="auto"/>
              <w:jc w:val="left"/>
              <w:rPr>
                <w:rFonts w:ascii="宋体" w:hAnsi="宋体" w:cs="宋体"/>
                <w:bCs/>
                <w:sz w:val="24"/>
                <w:szCs w:val="24"/>
                <w:lang w:val="zh-CN"/>
              </w:rPr>
            </w:pPr>
            <w:r>
              <w:rPr>
                <w:rFonts w:hint="eastAsia" w:ascii="宋体" w:hAnsi="宋体" w:cs="仿宋_GB2312"/>
                <w:spacing w:val="-2"/>
                <w:sz w:val="24"/>
                <w:szCs w:val="24"/>
                <w:lang w:val="zh-CN"/>
              </w:rPr>
              <w:t>中标人在接到中标通知时，须向</w:t>
            </w:r>
            <w:r>
              <w:rPr>
                <w:rFonts w:hint="eastAsia" w:ascii="宋体" w:hAnsi="宋体" w:cs="仿宋_GB2312"/>
                <w:spacing w:val="-2"/>
                <w:sz w:val="24"/>
                <w:szCs w:val="24"/>
              </w:rPr>
              <w:t>采购代理机构</w:t>
            </w:r>
            <w:r>
              <w:rPr>
                <w:rFonts w:hint="eastAsia" w:ascii="宋体" w:hAnsi="宋体" w:cs="仿宋_GB2312"/>
                <w:spacing w:val="-2"/>
                <w:sz w:val="24"/>
                <w:szCs w:val="24"/>
                <w:lang w:val="zh-CN"/>
              </w:rPr>
              <w:t>发送投标报价及分项报价一览表（包含主要中标标的的名称、规格型号、数量、单价、服务要求等）电子文档，并同时通知代理机构联系人，代理机构邮箱：3532138875@qq.com。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32</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33</w:t>
            </w:r>
          </w:p>
        </w:tc>
        <w:tc>
          <w:tcPr>
            <w:tcW w:w="2268" w:type="dxa"/>
            <w:vAlign w:val="center"/>
          </w:tcPr>
          <w:p>
            <w:pPr>
              <w:autoSpaceDE w:val="0"/>
              <w:autoSpaceDN w:val="0"/>
              <w:adjustRightInd w:val="0"/>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最后报价</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根据磋商小组要求，供应商须使用CA数字证书登录《全国公共 </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①总报价②分项报价。 </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注： </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①磋商小组要求供应商提交最后报价时，在磋商小组规定时间内，所有实质性响应的供应商在规定时间内提交最后报价，提交最后报价的供应商不得少于3家。 </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②磋商文件第二章“采购需求”中“采购清单”以工程量清单 </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提供的，供应商应以工程量清单方式提交最后报价。 </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34</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不同供应商电子响应文件记录的网卡MAC地址、CPU序号、硬盘序列号等硬件特征码均相同时，视为‘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供应商的响应文件</w:t>
            </w:r>
            <w:r>
              <w:rPr>
                <w:rFonts w:ascii="宋体" w:hAnsi="宋体" w:cs="宋体"/>
                <w:bCs/>
                <w:sz w:val="24"/>
                <w:szCs w:val="24"/>
                <w:lang w:val="zh-CN"/>
              </w:rPr>
              <w:t>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供应商</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cs="宋体"/>
                <w:bCs/>
                <w:sz w:val="24"/>
                <w:szCs w:val="24"/>
                <w:lang w:val="zh-CN"/>
              </w:rPr>
              <w:t>3</w:t>
            </w:r>
            <w:r>
              <w:rPr>
                <w:rFonts w:hint="eastAsia" w:ascii="宋体" w:hAnsi="宋体" w:cs="宋体"/>
                <w:bCs/>
                <w:sz w:val="24"/>
                <w:szCs w:val="24"/>
              </w:rPr>
              <w:t>5</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供应商资格核验</w:t>
            </w:r>
          </w:p>
        </w:tc>
        <w:tc>
          <w:tcPr>
            <w:tcW w:w="6739" w:type="dxa"/>
            <w:vAlign w:val="center"/>
          </w:tcPr>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60" w:lineRule="exact"/>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460" w:lineRule="exact"/>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1、供应商是法人（法人包括企业法人、机关法人、事业单位法人和社会团体法人），提供本单位：</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rPr>
              <w:t>2022年度</w:t>
            </w:r>
            <w:r>
              <w:rPr>
                <w:rFonts w:hint="eastAsia" w:ascii="宋体" w:hAnsi="宋体" w:cs="宋体"/>
                <w:bCs/>
                <w:sz w:val="24"/>
                <w:szCs w:val="24"/>
                <w:lang w:val="zh-CN"/>
              </w:rPr>
              <w:t>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2、供应商（其他组织和自然人）提供本单位：</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rPr>
              <w:t>2022年度</w:t>
            </w:r>
            <w:r>
              <w:rPr>
                <w:rFonts w:hint="eastAsia" w:ascii="宋体" w:hAnsi="宋体" w:cs="宋体"/>
                <w:bCs/>
                <w:sz w:val="24"/>
                <w:szCs w:val="24"/>
                <w:lang w:val="zh-CN"/>
              </w:rPr>
              <w:t>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autoSpaceDE w:val="0"/>
              <w:autoSpaceDN w:val="0"/>
              <w:adjustRightInd w:val="0"/>
              <w:spacing w:line="460" w:lineRule="exact"/>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参加本次政府采购项目投标截止时间前一年内任意一个月缴纳税收凭据。（依法免税的供应商，应提供相应文件证明依法免税）</w:t>
            </w:r>
          </w:p>
          <w:p>
            <w:pPr>
              <w:autoSpaceDE w:val="0"/>
              <w:autoSpaceDN w:val="0"/>
              <w:adjustRightInd w:val="0"/>
              <w:spacing w:line="460" w:lineRule="exact"/>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60" w:lineRule="exact"/>
              <w:contextualSpacing/>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供应商</w:t>
            </w:r>
            <w:r>
              <w:rPr>
                <w:rFonts w:ascii="宋体" w:hAnsi="宋体" w:cs="宋体"/>
                <w:bCs/>
                <w:sz w:val="24"/>
                <w:szCs w:val="24"/>
                <w:lang w:val="zh-CN"/>
              </w:rPr>
              <w:t xml:space="preserve">具备履行合同所必须的设备和专业技术能力承诺函或声明（承诺函或声明格式自拟）。 </w:t>
            </w:r>
          </w:p>
          <w:p>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autoSpaceDE w:val="0"/>
              <w:autoSpaceDN w:val="0"/>
              <w:adjustRightInd w:val="0"/>
              <w:spacing w:line="460" w:lineRule="exact"/>
              <w:contextualSpacing/>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供应商</w:t>
            </w:r>
            <w:r>
              <w:rPr>
                <w:rFonts w:ascii="宋体" w:hAnsi="宋体" w:cs="宋体"/>
                <w:bCs/>
                <w:sz w:val="24"/>
                <w:szCs w:val="24"/>
                <w:lang w:val="zh-CN"/>
              </w:rPr>
              <w:t>“参加政府采购活动前3年内在经营活动中没有重大违法记录的书面声明”。 重大违法记录，是指</w:t>
            </w:r>
            <w:r>
              <w:rPr>
                <w:rFonts w:hint="eastAsia" w:ascii="宋体" w:hAnsi="宋体" w:cs="宋体"/>
                <w:bCs/>
                <w:sz w:val="24"/>
                <w:szCs w:val="24"/>
                <w:lang w:val="zh-CN"/>
              </w:rPr>
              <w:t>供应商</w:t>
            </w:r>
            <w:r>
              <w:rPr>
                <w:rFonts w:ascii="宋体" w:hAnsi="宋体" w:cs="宋体"/>
                <w:bCs/>
                <w:sz w:val="24"/>
                <w:szCs w:val="24"/>
                <w:lang w:val="zh-CN"/>
              </w:rPr>
              <w:t xml:space="preserve">因违法经营受到刑事处罚或者责令停产停业、吊销许可证或者执照、较大数额罚款等行政处罚。 </w:t>
            </w:r>
          </w:p>
          <w:p>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七、</w:t>
            </w:r>
            <w:r>
              <w:rPr>
                <w:rFonts w:hint="eastAsia" w:ascii="宋体" w:hAnsi="宋体" w:cs="宋体"/>
                <w:b/>
                <w:sz w:val="24"/>
                <w:szCs w:val="24"/>
                <w:lang w:val="zh-CN"/>
              </w:rPr>
              <w:t>未被列入“信用中国”网站(www.creditchina.gov.cn/)失信被执行人、税收违法黑名单的投标人；“中国政府采购网” (www.ccgp.gov.cn/)政府采购严重违法失信行为记录名单的投标人；“中国社会组织政务服务平台”网站（https://chinanpo.mca.gov.cn/）严重违法失信名单的社会组织。</w:t>
            </w:r>
          </w:p>
          <w:p>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 xml:space="preserve">（联合体形式投标的，联合体成员存在不良信用记录，视同联合体存在不良信用记录）。 </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 xml:space="preserve">①“信用中国”网站（www.creditchina.gov.cn/） </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 xml:space="preserve">②“中国政府采购网”（www.ccgp.gov.cn/） </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 xml:space="preserve">③“中国社会组织政务服务平台”网站（https://chinanpo.mca.gov.cn/）（仅查询社会组织）； </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 xml:space="preserve">2、截止时间：同投标截止时间； </w:t>
            </w:r>
          </w:p>
          <w:p>
            <w:pPr>
              <w:autoSpaceDE w:val="0"/>
              <w:autoSpaceDN w:val="0"/>
              <w:adjustRightInd w:val="0"/>
              <w:spacing w:line="460" w:lineRule="exact"/>
              <w:contextualSpacing/>
              <w:rPr>
                <w:lang w:val="zh-CN"/>
              </w:rPr>
            </w:pPr>
            <w:r>
              <w:rPr>
                <w:rFonts w:hint="eastAsia" w:ascii="宋体" w:hAnsi="宋体" w:cs="宋体"/>
                <w:bCs/>
                <w:sz w:val="24"/>
                <w:szCs w:val="24"/>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widowControl/>
        <w:jc w:val="center"/>
      </w:pPr>
      <w:r>
        <w:rPr>
          <w:rFonts w:ascii="宋体"/>
        </w:rPr>
        <w:br w:type="page"/>
      </w:r>
      <w:r>
        <w:rPr>
          <w:rFonts w:hint="eastAsia" w:ascii="宋体" w:hAnsi="宋体" w:cs="宋体"/>
          <w:b/>
          <w:bCs/>
          <w:color w:val="000000"/>
          <w:kern w:val="0"/>
          <w:sz w:val="31"/>
          <w:szCs w:val="31"/>
          <w:lang w:bidi="ar"/>
        </w:rPr>
        <w:t>第四章 供应商须知</w:t>
      </w:r>
    </w:p>
    <w:p>
      <w:pPr>
        <w:autoSpaceDE w:val="0"/>
        <w:autoSpaceDN w:val="0"/>
        <w:adjustRightInd w:val="0"/>
        <w:snapToGrid w:val="0"/>
        <w:spacing w:line="360" w:lineRule="auto"/>
        <w:ind w:right="-512" w:rightChars="-244" w:firstLine="482" w:firstLineChars="200"/>
        <w:jc w:val="center"/>
        <w:rPr>
          <w:rFonts w:ascii="宋体" w:hAnsi="宋体" w:cs="宋体"/>
          <w:b/>
          <w:bCs/>
          <w:kern w:val="0"/>
          <w:sz w:val="24"/>
          <w:szCs w:val="24"/>
        </w:rPr>
      </w:pPr>
      <w:r>
        <w:rPr>
          <w:rFonts w:hint="eastAsia" w:ascii="宋体" w:hAnsi="宋体" w:cs="宋体"/>
          <w:b/>
          <w:bCs/>
          <w:kern w:val="0"/>
          <w:sz w:val="24"/>
          <w:szCs w:val="24"/>
        </w:rPr>
        <w:t>一、概念释义</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1、适用范围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1.1本磋商文件仅适用于本次“磋商邀请”中所述采购项目。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1.2本磋商文件解释权属于“磋商邀请”所述的采购人。 </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rPr>
        <w:t xml:space="preserve">2、定义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2.1“采购项目”：“供应商须知前附表”中所述的采购项目。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2.2“采购人”：“供应商须知前附表”中所述的组织本次招标的代理机构或采购人。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2.3“采购人”：是指依法进行政府采购的国家机关、事业单位、团体组织。采购人名称、地址、电话、联系人见“供应商须知前附表”。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2.4“代理机构”：接受采购人委托，代理采购项目的采购代理机构。代理机构名称、地址、电话、联系人见“供应商须知前附表”。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采购代理机构及其分支机构不得在所代理的采购项目中投标或者代理投标，不得为所代理的采购项目的供应商参加本项目提供投标咨询。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2.5“潜在供应商”指符合《中华人民共和国政府采购法》及相关法律法规和本磋商磋商文件的各项规定，且按照本项目磋商公告及磋商磋商文件规定的方式获取磋商磋商文件的法人、其他组织或者自然人。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2.6“供应商”：是指符合《中华人民共和国政府采购法》及相关法律法规和本磋商磋商文件的各项规定，响应招标、参加投标竞争，从采购人处按规定获取磋商磋商文件， 并按照磋商磋商文件要求向采购人提交响应文件的法人、其他组织或者自然人。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2.7.1磋商文件列明不允许或未列明允许进口产品参加投标的，均视为拒绝进口产品参加投标。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2.7.2如磋商文件中已说明，经财政部门审核同意，允许部分或全部产品采购进口产品，供应商既可提供本国产品，也可以提供进口产品。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2.8磋商文件中凡标有“★”的条款均系实质性要求条款。</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rPr>
        <w:t>3.合格的供应商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3.1在中华人民共和国境内注册，具有本项目生产、制造、供应或实施能力，符合、承认并承诺履行本磋商文件各项规定的法人、其他组织或者自然人。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3.2符合本项目“投标邀请”和“供应商须知前附表”中规定的合格供应商所必须具备的条件。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3.3.1查询渠道：“信用中国”网站（www.creditchina.gov.cn）、“中国政府采购网”（www.ccgp.gov.cn）、“中国社会组织政务服务平台”网站（</w:t>
      </w:r>
      <w:r>
        <w:rPr>
          <w:rFonts w:hint="eastAsia" w:ascii="宋体" w:hAnsi="宋体" w:cs="宋体"/>
          <w:bCs/>
          <w:sz w:val="24"/>
          <w:szCs w:val="24"/>
        </w:rPr>
        <w:t>https://chinanpo.mca.gov.cn/</w:t>
      </w:r>
      <w:r>
        <w:rPr>
          <w:rFonts w:hint="eastAsia" w:ascii="宋体" w:hAnsi="宋体" w:cs="宋体"/>
          <w:kern w:val="0"/>
          <w:sz w:val="24"/>
          <w:szCs w:val="24"/>
        </w:rPr>
        <w:t xml:space="preserve">）；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3.3.2截止时间：同投标截止时间；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3.3.3信用信息查询记录和证据留存具体方式：经磋商小组确认的查询结果网页截图作为查询记录和证据，与其他磋商文件一并保存；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3.4单位负责人为同一人或者存在直接控股、管理关系的不同供应商，不得同时参加本项目响应。违反规定的，相关响应均无效。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3.5为采购项目提供整体设计、规范编制或者项目管理、监理、检测等服务的供应商，不得再参加该采购项目的其他采购活动。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3.6“投标邀请”和“供应商须知前附表”规定接受联合体投标的，除应符合本章第3.1项和3.2项要求外，还应遵守以下规定：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3.6.1在响应文件中向采购人提交联合体协议书，明确联合体各方承担的工作和义务；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3.6.3采购人根据采购项目的特殊要求规定供应商特定条件的，联合体各方中至少应当有一方符合采购规定的特定条件。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3.6.4联合体各方不得再单独参加或者与其他供应商另外组成联合体参加同一合同项下的政府采购活动；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3.6.5联合体各方应当共同与采购人签订采购合同，就采购合同约定的事项对采购人承担连带责任。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rPr>
        <w:t>4.合格的货物和服务</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》。供应商不能提供超出此目录范畴外的替代品。</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5.磋商费用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不论磋商的结果如何，供应商均应自行承担所有与磋商有关的全部费用，采购人在任何情况下均无义务和责任承担这些费用。</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本项目收取代理费用。详见供应商须知前附表。</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8.其他</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本“供应商须知”的条款如与“采购邀请”、“采购需求”、“供应商须知前附表”和“对响应文件审查与评审”就同一内容的表述不一致的，以“采购邀请”、“ 采购需求”、</w:t>
      </w:r>
    </w:p>
    <w:p>
      <w:pPr>
        <w:autoSpaceDE w:val="0"/>
        <w:autoSpaceDN w:val="0"/>
        <w:adjustRightInd w:val="0"/>
        <w:snapToGrid w:val="0"/>
        <w:spacing w:line="360" w:lineRule="auto"/>
        <w:ind w:right="-512" w:rightChars="-244"/>
        <w:jc w:val="left"/>
        <w:rPr>
          <w:rFonts w:ascii="宋体" w:hAnsi="宋体" w:cs="宋体"/>
          <w:spacing w:val="-3"/>
          <w:kern w:val="0"/>
          <w:sz w:val="24"/>
          <w:szCs w:val="24"/>
        </w:rPr>
      </w:pPr>
      <w:r>
        <w:rPr>
          <w:rFonts w:hint="eastAsia" w:ascii="宋体" w:hAnsi="宋体" w:cs="宋体"/>
          <w:spacing w:val="-3"/>
          <w:kern w:val="0"/>
          <w:sz w:val="24"/>
          <w:szCs w:val="24"/>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二、磋商文件说明</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9.磋商文件构成</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9.1磋商文件由以下部分组成：</w:t>
      </w:r>
    </w:p>
    <w:p>
      <w:pPr>
        <w:numPr>
          <w:ilvl w:val="0"/>
          <w:numId w:val="2"/>
        </w:num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磋商邀请（磋商公告）</w:t>
      </w:r>
    </w:p>
    <w:p>
      <w:pPr>
        <w:numPr>
          <w:ilvl w:val="0"/>
          <w:numId w:val="2"/>
        </w:num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采购需求</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（3）供应商须知前附表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（4）供应商须知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（5）政府采购政策功能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（6）对响应文件审查与评审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（7）拟签订的合同文本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（8）响应文件有关格式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（9）本项目磋商文件的澄清、答复、修改、补充内容（如有的话）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10.现场考察、磋商前答疑会（如有）</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10.1采购人根据采购项目的具体情况，可以在磋商文件公告期满后，组织已获取磋商文件的供应商现场考察或者召开磋商前答疑会。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10.5现场考察及参加磋商前答疑会所发生的费用及一切责任由供应商自行承担。</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11.磋商文件的澄清或修改</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11.1在磋商响应截止期前，无论出于何种原因，采购人可主动地或在解答供应商提出的澄清问题时对磋商文件进行修改。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三、响应文件的编制</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12.响应的语言及计量单位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12.2响应文件计量单位，磋商文件已有明确规定的，使用磋商文件规定的计量单位；磋商文件没有规定的，一律采用中华人民共和国法定计量单位。</w:t>
      </w:r>
    </w:p>
    <w:p>
      <w:pPr>
        <w:autoSpaceDE w:val="0"/>
        <w:autoSpaceDN w:val="0"/>
        <w:adjustRightInd w:val="0"/>
        <w:snapToGrid w:val="0"/>
        <w:spacing w:line="360" w:lineRule="auto"/>
        <w:ind w:right="-512" w:rightChars="-244"/>
        <w:jc w:val="left"/>
        <w:rPr>
          <w:rFonts w:ascii="宋体" w:hAnsi="宋体" w:cs="宋体"/>
          <w:kern w:val="0"/>
          <w:sz w:val="24"/>
          <w:szCs w:val="24"/>
        </w:rPr>
      </w:pPr>
      <w:r>
        <w:rPr>
          <w:rFonts w:hint="eastAsia" w:ascii="宋体" w:hAnsi="宋体" w:cs="宋体"/>
          <w:b/>
          <w:bCs/>
          <w:kern w:val="0"/>
          <w:sz w:val="24"/>
          <w:szCs w:val="24"/>
        </w:rPr>
        <w:t>13.报价</w:t>
      </w:r>
      <w:r>
        <w:rPr>
          <w:rFonts w:hint="eastAsia" w:ascii="宋体" w:hAnsi="宋体" w:cs="宋体"/>
          <w:kern w:val="0"/>
          <w:sz w:val="24"/>
          <w:szCs w:val="24"/>
        </w:rPr>
        <w:t xml:space="preserve">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13.1本次磋商项目的报价均以人民币为计算单位。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13.2采购人不得向供应商人索要或者接受其给予的赠品、回扣或者与采购无关的其他商品、服务。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13.3供应商应对项目要求的全部内容进行报价，少报漏报将导致其投标为非实质性响应予以拒绝。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13.5本项目所涉及的运输、施工、安装、集成、调试、验收、备品和工具等费用均包含在响应报价中。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13.6本次招标不接受可选择或可调整的投标方案和报价，任何有选择的或可调整的投标方案和报价将被视为非实质性响应投标而作无效投标处理。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13.8最低报价不能作为成交的保证。</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14.响应有效期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14.2响应有效期内供应商撤销响应文件的，供应商将承担违背投标承诺函的责任追究。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14.4成交供应商的响应文件作为项目合同的附件，其有效期至成交供应商全部合同义务履行完毕为止。</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15.响应文件构成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15.1响应文件的构成应符合法律法规及磋商文件的要求。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15.2供应商应当按照磋商文件的要求编制响应文件。响应文件应当对磋商文件提出的要求和条件作出明确响应。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15.3响应文件由资格证明材料、符合性证明材料、其它材料等组成。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15.5供应商登录许昌公共资源交易系统下载“许昌响应文件制作系统SEARUN 最新版 </w:t>
      </w:r>
    </w:p>
    <w:p>
      <w:pPr>
        <w:autoSpaceDE w:val="0"/>
        <w:autoSpaceDN w:val="0"/>
        <w:adjustRightInd w:val="0"/>
        <w:snapToGrid w:val="0"/>
        <w:spacing w:line="360" w:lineRule="auto"/>
        <w:ind w:right="-512" w:rightChars="-244"/>
        <w:jc w:val="left"/>
        <w:rPr>
          <w:rFonts w:ascii="宋体" w:hAnsi="宋体" w:cs="宋体"/>
          <w:kern w:val="0"/>
          <w:sz w:val="24"/>
          <w:szCs w:val="24"/>
        </w:rPr>
      </w:pPr>
      <w:r>
        <w:rPr>
          <w:rFonts w:hint="eastAsia" w:ascii="宋体" w:hAnsi="宋体" w:cs="宋体"/>
          <w:kern w:val="0"/>
          <w:sz w:val="24"/>
          <w:szCs w:val="24"/>
        </w:rPr>
        <w:t xml:space="preserve">本”，按磋商文件要求根据所响应标段制作电子响应文件。 一个标段对应生成一个文件夹（xxxx项目xx标段）,后缀名为“.file”的文件用于电子响应使用。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15.6电子响应文件制作技术咨询：0374-2961598。</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 xml:space="preserve">16.响应文件格式 </w:t>
      </w:r>
    </w:p>
    <w:p>
      <w:pPr>
        <w:pStyle w:val="23"/>
        <w:autoSpaceDE w:val="0"/>
        <w:autoSpaceDN w:val="0"/>
        <w:adjustRightInd w:val="0"/>
        <w:snapToGrid w:val="0"/>
        <w:spacing w:line="360" w:lineRule="auto"/>
        <w:ind w:right="-512" w:rightChars="-244" w:firstLine="480"/>
        <w:jc w:val="left"/>
        <w:rPr>
          <w:rFonts w:ascii="宋体" w:hAnsi="宋体" w:cs="宋体"/>
          <w:kern w:val="0"/>
          <w:sz w:val="24"/>
          <w:szCs w:val="24"/>
        </w:rPr>
      </w:pPr>
      <w:r>
        <w:rPr>
          <w:rFonts w:hint="eastAsia" w:ascii="宋体" w:hAnsi="宋体" w:cs="宋体"/>
          <w:kern w:val="0"/>
          <w:sz w:val="24"/>
          <w:szCs w:val="24"/>
        </w:rPr>
        <w:t>16.1供应商编制的响应文件应当满足磋商文件规定的基本格式要求。</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16.2供应商应按磋商文件提供的格式编写响应文件。磋商文件未提供标准格式的供应商可自行拟定。</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17.磋商保证金</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17.1按照河南省《关于优化政府采购营商环境有关问题的通知》（豫财购（2019）4号文）的要求，本项目不予收取投标保证金，供应商应提供投标承诺函。</w:t>
      </w:r>
    </w:p>
    <w:p>
      <w:pPr>
        <w:autoSpaceDE w:val="0"/>
        <w:autoSpaceDN w:val="0"/>
        <w:adjustRightInd w:val="0"/>
        <w:snapToGrid w:val="0"/>
        <w:spacing w:line="360" w:lineRule="auto"/>
        <w:ind w:right="-512" w:rightChars="-244" w:firstLine="480" w:firstLineChars="200"/>
        <w:jc w:val="left"/>
        <w:rPr>
          <w:rFonts w:ascii="宋体" w:hAnsi="宋体" w:cs="宋体"/>
          <w:sz w:val="24"/>
          <w:szCs w:val="24"/>
        </w:rPr>
      </w:pPr>
      <w:r>
        <w:rPr>
          <w:rFonts w:hint="eastAsia" w:ascii="宋体" w:hAnsi="宋体" w:cs="宋体"/>
          <w:kern w:val="0"/>
          <w:sz w:val="24"/>
          <w:szCs w:val="24"/>
        </w:rPr>
        <w:t>17.2供应商应按照磋商文件要求，在响应文件中提供投标承诺函，明确所应当履行的责任和义务，诚信履约，并自觉接受行政监管部门的监督管理。</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 xml:space="preserve">18.磋商文件的数量和签署盖章 </w:t>
      </w:r>
    </w:p>
    <w:p>
      <w:pPr>
        <w:pStyle w:val="23"/>
        <w:autoSpaceDE w:val="0"/>
        <w:autoSpaceDN w:val="0"/>
        <w:adjustRightInd w:val="0"/>
        <w:snapToGrid w:val="0"/>
        <w:spacing w:line="360" w:lineRule="auto"/>
        <w:ind w:right="-512" w:rightChars="-244" w:firstLine="480"/>
        <w:jc w:val="left"/>
        <w:rPr>
          <w:rFonts w:ascii="宋体" w:hAnsi="宋体" w:cs="宋体"/>
          <w:kern w:val="0"/>
          <w:sz w:val="24"/>
          <w:szCs w:val="24"/>
        </w:rPr>
      </w:pPr>
      <w:r>
        <w:rPr>
          <w:rFonts w:hint="eastAsia" w:ascii="宋体" w:hAnsi="宋体" w:cs="宋体"/>
          <w:kern w:val="0"/>
          <w:sz w:val="24"/>
          <w:szCs w:val="24"/>
        </w:rPr>
        <w:t xml:space="preserve">18.1供应商应提交响应文件份数见“供应商须知前附表”。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四、响应文件的递交</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19.磋商响应截止时间</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20.迟交的响应文件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磋商响应文件截止时间之后上传的响应文件，采购人将拒绝接收。</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21.响应文件的修改和撤回</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21.2供应商补充、修改的内容并作为响应文件的组成部分。补充或修改应当按磋商文件要求签署、盖章、递交，并应注明“修改”或“补充”字样。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21.3供应商不得在投标有效期内撤销响应文件，否则将依法自行承担不利后果。</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22.除供应商须知前附表另有规定外，供应商所提交的电子响应文件不予退还。</w:t>
      </w:r>
    </w:p>
    <w:p>
      <w:pPr>
        <w:widowControl/>
        <w:jc w:val="center"/>
      </w:pPr>
      <w:r>
        <w:rPr>
          <w:rFonts w:hint="eastAsia" w:ascii="宋体" w:hAnsi="宋体" w:cs="宋体"/>
          <w:b/>
          <w:bCs/>
          <w:color w:val="000000"/>
          <w:kern w:val="0"/>
          <w:sz w:val="24"/>
          <w:szCs w:val="24"/>
          <w:lang w:bidi="ar"/>
        </w:rPr>
        <w:t>五、响应文件开启和磋商</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23.响应文件开启</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23.1采购人将按磋商文件规定的磋商响应截止时间和地点解密电子响应文件。 由代理机构主持，供应商无须到现场。磋商小组成员不得参加开标活动。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23.2.1电子响应文件的解密：全流程电子化交易项目电子响应文件采用双重加密。 解密需分标段进行两次解密。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23.2.1.1供应商解密：供应商使用本单位CA数字证书进行远程解密。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23.2.1.2代理机构解密：代理机构按电子响应文件到达交易系统的先后顺序，使用本单位CA数字证书进行再次解密。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23.2.1.3因供应商原因电子响应文件解密失败的，其响应文件将被拒绝。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23.3供应商不足3家的，本项目磋商活动终止。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23.6响应文件解密活动结束时，供应商应在《开标记录表》上进行电子签章。供应商未签章的，视同认可开标结果。</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24.资格审查</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rPr>
        <w:t>开标结束后，磋商小组依法对供应商的资格进行审查。合格供应商不足3家的，不得磋商。</w:t>
      </w:r>
    </w:p>
    <w:p>
      <w:pPr>
        <w:autoSpaceDE w:val="0"/>
        <w:autoSpaceDN w:val="0"/>
        <w:adjustRightInd w:val="0"/>
        <w:snapToGrid w:val="0"/>
        <w:spacing w:line="360" w:lineRule="auto"/>
        <w:ind w:right="-512" w:rightChars="-244"/>
        <w:jc w:val="left"/>
        <w:rPr>
          <w:rFonts w:ascii="宋体" w:hAnsi="宋体" w:cs="宋体"/>
          <w:kern w:val="0"/>
          <w:sz w:val="24"/>
          <w:szCs w:val="24"/>
        </w:rPr>
      </w:pPr>
      <w:r>
        <w:rPr>
          <w:rFonts w:hint="eastAsia" w:ascii="宋体" w:hAnsi="宋体" w:cs="宋体"/>
          <w:b/>
          <w:bCs/>
          <w:kern w:val="0"/>
          <w:sz w:val="24"/>
          <w:szCs w:val="24"/>
        </w:rPr>
        <w:t>25.磋商小组的组成</w:t>
      </w:r>
      <w:r>
        <w:rPr>
          <w:rFonts w:hint="eastAsia" w:ascii="宋体" w:hAnsi="宋体" w:cs="宋体"/>
          <w:kern w:val="0"/>
          <w:sz w:val="24"/>
          <w:szCs w:val="24"/>
        </w:rPr>
        <w:t xml:space="preserve">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25.1.1采购人将依法组建磋商小组，磋商小组由评审专家组成，成员人数应当为3人以上单数组成。评审专家依法从政府采购评审专家库中随机抽取。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25.3磋商小组成员与供应商存在下列利害关系之一的,应当回避：</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25.3.1参加采购活动前三年内,与供应商存在劳动关系,或者担任过供应商的董事、监事,或者是供应商的控股股东或实际控制人；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25.3.2与供应商的法定代表人或者负责人有夫妻、直系血亲、三代以内旁系血亲或者近姻亲关系；</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25.3.3与供应商有其他可能影响政府采购活动公平、公正进行的关系。</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25.5采购人不得担任磋商小组组长。</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25.6磋商小组成员名单在成交结果公告前应当保密。</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26.符合性审查</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26.1磋商小组依据有关法律法规和磋商文件的规定，对符合资格的供应商的响应文件进行符合性审查，以确定其是否满足磋商文件的实质性要求。</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26.2审查、评价磋商文件是否符合磋商文件的商务、技术等实质性要求。</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26.3可要求供应商对响应文件有关事项作出澄清或者说明。</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27.响应文件的澄清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27.1对于响应文件中含义不明确、同类问题表述不一致或者有明显文字和计算错误的内容，磋商小组应当以书面形式要求供应商作出必要的澄清、说明或者补正。</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27.3供应商的澄清文件是其响应文件的组成部分。</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28.响应文件报价出现前后不一致的修正</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28.1磋商文件中开标一览表(报价表)内容与响应文件中相应内容不一致的， 以开标一览表(报价表)为准；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28.2大写金额和小写金额不一致的，以大写金额为准；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28.3单价金额小数点或者百分比有明显错位的，以开标一览表的总价为准，并修改单价；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29.投标无效情形</w:t>
      </w:r>
    </w:p>
    <w:p>
      <w:pPr>
        <w:autoSpaceDE w:val="0"/>
        <w:autoSpaceDN w:val="0"/>
        <w:adjustRightInd w:val="0"/>
        <w:snapToGrid w:val="0"/>
        <w:spacing w:line="360" w:lineRule="auto"/>
        <w:ind w:right="-512" w:rightChars="-244" w:firstLine="482" w:firstLineChars="200"/>
        <w:jc w:val="left"/>
        <w:rPr>
          <w:rFonts w:ascii="宋体" w:hAnsi="宋体" w:cs="宋体"/>
          <w:kern w:val="0"/>
          <w:sz w:val="24"/>
          <w:szCs w:val="24"/>
        </w:rPr>
      </w:pPr>
      <w:r>
        <w:rPr>
          <w:rFonts w:hint="eastAsia" w:ascii="宋体" w:hAnsi="宋体" w:cs="宋体"/>
          <w:b/>
          <w:bCs/>
          <w:kern w:val="0"/>
          <w:sz w:val="24"/>
          <w:szCs w:val="24"/>
        </w:rPr>
        <w:t>29.1响应文件属下列情况之一的，按照无效投标处理：</w:t>
      </w:r>
      <w:r>
        <w:rPr>
          <w:rFonts w:hint="eastAsia" w:ascii="宋体" w:hAnsi="宋体" w:cs="宋体"/>
          <w:kern w:val="0"/>
          <w:sz w:val="24"/>
          <w:szCs w:val="24"/>
        </w:rPr>
        <w:t xml:space="preserve">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29.1.1未按照磋商文件的规定提交《许昌市建安区政府采购供应商信用承诺函》的；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29.1.2未按照磋商文件的规定提交磋商承诺函的；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29.1.3响应文件未按磋商文件要求签署、盖章的；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29.1.4资格证明文件不全或没有满足磋商文件规定的供应商资格要求的；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29.1.5报价超过磋商文件中规定的预算金额的；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29.1.6响应文件内容模糊不清，无法辨认的；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29.1.7响应文件含有采购人不能接受的附加条件的；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29.1.8不按磋商小组要求澄清、说明或补正的；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29.1.9响应文件没有法定代表人签字或签字人没有法定代表人有效委托书的；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29.1.10响应文件中载明的标准和方法等不符合磋商文件要求的；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29.1.11不符合项目质量要求的； </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rPr>
        <w:t xml:space="preserve">29.2 有下列情形之一的，视为供应商串通投标，其响应无效：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29.2.1不同供应商的响应文件由同一单位或者个人编制；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29.2.3不同供应商委托同一单位或者个人办理响应事宜；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29.2.4不同供应商的响应文件载明的项目管理成员或者联系人员为同一人；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29.2.5不同供应商的响应文件异常一致或者投标报价呈规律性差异；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29.2.6不同供应商的响应文件相互混装。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29.6对响应文件进行一致性分析，分析响应文件是否有雷同现象，判定供应商是否有串通投标行为。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29.7法律、法规和磋商文件规定的其他无效情形。</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30.相同品牌供应商的认定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31.响应文件的比较与评价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磋商小组按照磋商文件中规定的评标方法和标准，对符合性审查合格的响应文件进行商务和技术评估，综合比较与评价。</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32.评标方法、评标标准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32.1评标方法分为最低评标价法和综合评分法。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32.1.1综合评分法，是指响应文件满足磋商文件全部实质性要求，且按照评审因素的量化指标评审得分最高的供应商为成交候选人的评标方法。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32.2价格分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磋商报价得分=(磋商基准价/最后磋商报价)×100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32.2.2评标过程中，不得去掉报价中的最高报价和最低报价。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32.2.3因落实政府采购政策进行价格调整的，以调整后的价格计算磋商基准价和磋商报价。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32.3本次磋商具体磋商方法、磋商标准见（第六章 对响应文件审查与评审）。</w:t>
      </w:r>
    </w:p>
    <w:p>
      <w:pPr>
        <w:autoSpaceDE w:val="0"/>
        <w:autoSpaceDN w:val="0"/>
        <w:adjustRightInd w:val="0"/>
        <w:snapToGrid w:val="0"/>
        <w:spacing w:line="360" w:lineRule="auto"/>
        <w:ind w:right="-512" w:rightChars="-244"/>
        <w:jc w:val="left"/>
        <w:rPr>
          <w:rFonts w:ascii="宋体" w:hAnsi="宋体" w:cs="宋体"/>
          <w:b/>
          <w:kern w:val="0"/>
          <w:sz w:val="24"/>
          <w:szCs w:val="24"/>
        </w:rPr>
      </w:pPr>
      <w:r>
        <w:rPr>
          <w:rFonts w:hint="eastAsia" w:ascii="宋体" w:hAnsi="宋体" w:cs="宋体"/>
          <w:b/>
          <w:kern w:val="0"/>
          <w:sz w:val="24"/>
          <w:szCs w:val="24"/>
        </w:rPr>
        <w:t>33.磋商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33.1磋商小组与通过符合性审查合格的响应文件，即实质性响应磋商文件的供应商分别进行磋商。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33.2磋商小组所有成员应当集中与单一供应商分别进行磋商，并给予所有参加磋商的供应商平等的磋商机会。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33.3在磋商中，磋商的任何一方不得透露与磋商有关的其他供应商的技术资料、价格和其他信息。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33.6磋商文件不能详细列明采购标的的技术、服务要求，需经磋商由供应商提供最终服务方案或解决方案的，磋商结束后，磋商小组应当按照少数服从多数的原则投票推荐3家以上供应商的服务方案或者解决方案，并要求其在规定时间内提交最后报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33.7如磋商中出现符合《财政部关于政府采购竞争性磋商采购方式管理暂行办法有关问题的补充通知》（财库〔2015〕124号）中的情形，则按财政部通知要求执行。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33.9已提交响应文件的供应商，在提交最后报价之前，可以根据磋商情况退出磋商。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33.10按照《关于推进全流程电子化交易和在线监管工作有关问题的通知》（许公管办[2019]3号）规定，评审专家应严格按照要求查看“硬件特征码相” 关信息并进行评审。</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34.推荐成交候选人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35.评审意见无效情形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磋商小组及其成员有下列行为之一的，其评审意见无效：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(1)确定参与评标至评标结束前私自接触供应商；</w:t>
      </w:r>
    </w:p>
    <w:p>
      <w:pPr>
        <w:autoSpaceDE w:val="0"/>
        <w:autoSpaceDN w:val="0"/>
        <w:adjustRightInd w:val="0"/>
        <w:snapToGrid w:val="0"/>
        <w:spacing w:line="360" w:lineRule="auto"/>
        <w:ind w:right="-512" w:rightChars="-244"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(2)接受供应商提出的与响应文件不一致的澄清或者说明；</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36.保密</w:t>
      </w:r>
    </w:p>
    <w:p>
      <w:pPr>
        <w:autoSpaceDE w:val="0"/>
        <w:autoSpaceDN w:val="0"/>
        <w:adjustRightInd w:val="0"/>
        <w:snapToGrid w:val="0"/>
        <w:spacing w:line="360" w:lineRule="auto"/>
        <w:ind w:right="-512" w:rightChars="-244"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36.1评审专家应当遵守评审工作纪律，不得泄露评审文件、评审情况和评审中获悉的商业秘密。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right="-512" w:rightChars="-244"/>
        <w:jc w:val="center"/>
        <w:rPr>
          <w:rFonts w:ascii="宋体" w:hAnsi="宋体" w:cs="宋体"/>
          <w:b/>
          <w:kern w:val="0"/>
          <w:sz w:val="28"/>
          <w:szCs w:val="24"/>
        </w:rPr>
      </w:pPr>
      <w:r>
        <w:rPr>
          <w:rFonts w:hint="eastAsia" w:ascii="宋体" w:hAnsi="宋体" w:cs="宋体"/>
          <w:b/>
          <w:kern w:val="0"/>
          <w:sz w:val="28"/>
          <w:szCs w:val="24"/>
        </w:rPr>
        <w:t>六、定标和授予合同</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37.确定中标人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37.2采购人在收到评标报告1个工作日内未按评标报告推荐的成交候选人顺序确定成交人，又不能说明合法理由的，视同按评标报告推荐的顺序确定排名第一的成交候选人为成交人。</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 xml:space="preserve">38.成交公告、发出成交通知书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38.1采购人确认成交人后，采购人在发布公告成交结果的同时，通知成交人核验投标时由信用承诺函替代的证明材料。经核验无误后，发出成交通知书。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38.2成交通知书发出后，采购人不得违法改变成交结果，成交人无正当理由不得放弃成交。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38.3成交人在接到成交通知时，须向代理机构发送投标报价及分项报价一览表（包含主要成交标的的名称、规格型号、数量、单价、服务要求等）电子文档，并同时通知代理机构联系人。</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39.质疑提出与答复</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39.2.2对采购过程、成交结果提出的质疑，合格供应商符合法定数量时，可以从合格的成交候选人中另行确定成交供应商的，应当依法另行确定成交供应商；否则应当重新开展采购活动。</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40.签订合同</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采购人自采购合同签订之日起，1个工作日内到许昌市建安区财政局采购办进行合同备案，并登陆“河南省政府采购网”进行网上备案。</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41.履约保证金</w:t>
      </w:r>
    </w:p>
    <w:p>
      <w:pPr>
        <w:autoSpaceDE w:val="0"/>
        <w:autoSpaceDN w:val="0"/>
        <w:adjustRightInd w:val="0"/>
        <w:snapToGrid w:val="0"/>
        <w:spacing w:line="360" w:lineRule="auto"/>
        <w:ind w:right="-512" w:rightChars="-244" w:firstLine="480" w:firstLineChars="200"/>
        <w:jc w:val="left"/>
        <w:rPr>
          <w:rFonts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 xml:space="preserve">42.政府采购合同融资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42.1缓解中小企业融资难题 </w:t>
      </w:r>
    </w:p>
    <w:p>
      <w:pPr>
        <w:pStyle w:val="23"/>
        <w:autoSpaceDE w:val="0"/>
        <w:autoSpaceDN w:val="0"/>
        <w:adjustRightInd w:val="0"/>
        <w:snapToGrid w:val="0"/>
        <w:spacing w:line="360" w:lineRule="auto"/>
        <w:ind w:right="-512" w:rightChars="-244" w:firstLine="240" w:firstLineChars="100"/>
        <w:jc w:val="left"/>
        <w:rPr>
          <w:rFonts w:ascii="宋体" w:hAnsi="宋体"/>
          <w:sz w:val="24"/>
        </w:rPr>
      </w:pPr>
      <w:r>
        <w:rPr>
          <w:rFonts w:hint="eastAsia" w:ascii="宋体" w:hAnsi="宋体"/>
          <w:sz w:val="24"/>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42.2合作金融机构（排名不分先后）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1）合作金融机构名称：中原银行许昌分行（小微金融部）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联系人及电话：陈阳 13137407575 方金龙 15836539901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地址：许昌市建安大道与紫云路交汇处中原银行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2）合作金融机构名称：浦发银行许昌分行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联系人及电话：赵勇 0374-7313569、7313502 18937459920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地址：许昌市许继大道1163号许继花园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3）合作金融机构名称：交通银行许昌分行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联系人：宋纪刚 0374-2369912 13733951305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地址：许昌市莲城大道114号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4）合作金融机构名称：光大银行许昌分行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联系人：李东磊 0374-2928168 18569936868地址：许昌市魏都区八一路文峰路交叉口西北角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5）合作金融机构名称：招商银行许昌分行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联系人及电话：崔星迪 0374-5376058 18839983051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地址：许昌市建安大道中段新天下AB座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6）合作金融机构名称：邮储银行许昌市分行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联系人及电话：张彦峰13839001972 武松涛18839902679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徐亚爽15038297574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地址：许昌市莲城大道邮储银行莲城支行二楼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7）合作金融机构名称：中国银行许昌分行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联系人及电话：白炜 13938772680 刘晓飞 0374-3338596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地址：许昌市魏都区建设路1488号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8）合作金融机构名称：中信银行郑州红专路支行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联系人：韩晨 13253490679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地址：郑州市金水区经三路北26号中信银行郑州红专路支行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9）合作金融机构名称：郑州银行许昌分行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联系人：王晶 0374-2298011 18339062222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地址：河南省许昌市魏都区莲城大道与魏文路交叉口西南角亨通君成国际大厦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42.3“许昌市政府采购合同融资金融产品推介名录”链接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http://xuchang.hngp.gov.cn/xuchang/content?infoId=1606365368231095&amp;ch </w:t>
      </w:r>
    </w:p>
    <w:p>
      <w:pPr>
        <w:pStyle w:val="23"/>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annelCode=H711001</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43. 其他</w:t>
      </w:r>
    </w:p>
    <w:p>
      <w:pPr>
        <w:tabs>
          <w:tab w:val="left" w:pos="1260"/>
        </w:tabs>
        <w:autoSpaceDE w:val="0"/>
        <w:autoSpaceDN w:val="0"/>
        <w:spacing w:line="360" w:lineRule="auto"/>
        <w:ind w:firstLine="480" w:firstLineChars="200"/>
        <w:contextualSpacing/>
        <w:jc w:val="left"/>
        <w:rPr>
          <w:rFonts w:ascii="宋体" w:hAnsi="宋体"/>
          <w:sz w:val="24"/>
        </w:rPr>
      </w:pPr>
      <w:r>
        <w:rPr>
          <w:rFonts w:hint="eastAsia" w:ascii="宋体" w:hAnsi="宋体"/>
          <w:sz w:val="24"/>
        </w:rPr>
        <w:t>本次磋商文件未尽事项，以法律法规规定的为准。</w:t>
      </w:r>
    </w:p>
    <w:p>
      <w:pPr>
        <w:pStyle w:val="5"/>
        <w:rPr>
          <w:rFonts w:hint="default" w:ascii="宋体" w:cs="Times New Roman"/>
          <w:sz w:val="24"/>
          <w:szCs w:val="22"/>
        </w:rPr>
      </w:pPr>
    </w:p>
    <w:p>
      <w:pPr>
        <w:pStyle w:val="5"/>
        <w:ind w:right="-512" w:rightChars="-244"/>
        <w:rPr>
          <w:rFonts w:hint="default"/>
        </w:rPr>
      </w:pPr>
    </w:p>
    <w:p>
      <w:pPr>
        <w:pStyle w:val="21"/>
        <w:ind w:right="-512" w:rightChars="-244"/>
      </w:pPr>
    </w:p>
    <w:p>
      <w:pPr>
        <w:ind w:right="-512" w:rightChars="-244"/>
      </w:pPr>
    </w:p>
    <w:p>
      <w:pPr>
        <w:ind w:right="-512" w:rightChars="-244"/>
        <w:jc w:val="center"/>
        <w:rPr>
          <w:rFonts w:ascii="宋体" w:hAnsi="宋体" w:cs="宋体"/>
          <w:b/>
          <w:sz w:val="36"/>
          <w:szCs w:val="36"/>
        </w:rPr>
      </w:pPr>
    </w:p>
    <w:p>
      <w:pPr>
        <w:pStyle w:val="5"/>
        <w:ind w:right="-512" w:rightChars="-244"/>
        <w:rPr>
          <w:rFonts w:hint="default"/>
        </w:rPr>
      </w:pPr>
    </w:p>
    <w:p>
      <w:pPr>
        <w:ind w:right="-512" w:rightChars="-244"/>
      </w:pPr>
    </w:p>
    <w:p>
      <w:pPr>
        <w:pStyle w:val="5"/>
        <w:ind w:right="-512" w:rightChars="-244"/>
        <w:rPr>
          <w:rFonts w:hint="default"/>
        </w:rPr>
      </w:pPr>
    </w:p>
    <w:p>
      <w:pPr>
        <w:pStyle w:val="5"/>
        <w:ind w:right="-512" w:rightChars="-244"/>
        <w:rPr>
          <w:rFonts w:hint="default"/>
        </w:rPr>
      </w:pPr>
    </w:p>
    <w:p>
      <w:pPr>
        <w:pStyle w:val="21"/>
        <w:ind w:right="-512" w:rightChars="-244"/>
      </w:pPr>
    </w:p>
    <w:p>
      <w:pPr>
        <w:ind w:right="-512" w:rightChars="-244"/>
      </w:pPr>
    </w:p>
    <w:p>
      <w:pPr>
        <w:pStyle w:val="5"/>
        <w:ind w:right="-512" w:rightChars="-244"/>
        <w:rPr>
          <w:rFonts w:hint="default"/>
        </w:rPr>
      </w:pPr>
    </w:p>
    <w:p>
      <w:pPr>
        <w:ind w:right="-512" w:rightChars="-244"/>
        <w:rPr>
          <w:rFonts w:ascii="宋体" w:hAnsi="宋体" w:cs="宋体"/>
          <w:b/>
          <w:sz w:val="36"/>
          <w:szCs w:val="36"/>
        </w:rPr>
      </w:pP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第五章 政府采购政策功能</w:t>
      </w:r>
    </w:p>
    <w:p>
      <w:pPr>
        <w:ind w:right="-512" w:rightChars="-244"/>
        <w:rPr>
          <w:rFonts w:ascii="宋体" w:hAnsi="宋体" w:cs="宋体"/>
          <w:b/>
          <w:kern w:val="0"/>
          <w:sz w:val="36"/>
          <w:szCs w:val="36"/>
        </w:rPr>
      </w:pP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82" w:firstLineChars="200"/>
        <w:contextualSpacing/>
        <w:rPr>
          <w:rFonts w:ascii="宋体" w:hAnsi="宋体"/>
          <w:b/>
          <w:bCs/>
          <w:sz w:val="24"/>
          <w:lang w:val="zh-CN"/>
        </w:rPr>
      </w:pPr>
      <w:r>
        <w:rPr>
          <w:rFonts w:hint="eastAsia" w:ascii="宋体" w:hAnsi="宋体"/>
          <w:b/>
          <w:bCs/>
          <w:sz w:val="24"/>
          <w:lang w:val="zh-CN"/>
        </w:rPr>
        <w:t>一、节约能源、保护环境</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按照《财政部、发展改革委、生态环境部、市场监管总局关于调整优化节能产品、环境标志产品政府采购执行机制的通知》（财库〔2019〕9号）和</w:t>
      </w:r>
      <w:r>
        <w:rPr>
          <w:rFonts w:hint="eastAsia" w:ascii="宋体" w:hAnsi="宋体"/>
          <w:sz w:val="24"/>
        </w:rPr>
        <w:t>财政部、生态环境部</w:t>
      </w:r>
      <w:r>
        <w:rPr>
          <w:rFonts w:hint="eastAsia" w:ascii="宋体" w:hAnsi="宋体"/>
          <w:sz w:val="24"/>
          <w:lang w:val="zh-CN"/>
        </w:rPr>
        <w:t>《关于印发环境标志产品政府采购品目清单的通知》</w:t>
      </w:r>
      <w:r>
        <w:rPr>
          <w:rFonts w:hint="eastAsia" w:ascii="宋体" w:hAnsi="宋体"/>
          <w:sz w:val="24"/>
        </w:rPr>
        <w:t>（财库[2019]18号）以及</w:t>
      </w:r>
      <w:r>
        <w:rPr>
          <w:rFonts w:hint="eastAsia" w:ascii="宋体" w:hAnsi="宋体"/>
          <w:sz w:val="24"/>
          <w:lang w:val="zh-CN"/>
        </w:rPr>
        <w:t>财政部、发展改革委</w:t>
      </w:r>
      <w:r>
        <w:rPr>
          <w:rFonts w:hint="eastAsia" w:ascii="宋体" w:hAnsi="宋体"/>
          <w:sz w:val="24"/>
        </w:rPr>
        <w:t>《关于印发节能产品政府采购品目清单的通知》（财库[2019]19号）</w:t>
      </w:r>
      <w:r>
        <w:rPr>
          <w:rFonts w:hint="eastAsia" w:ascii="宋体" w:hAnsi="宋体"/>
          <w:sz w:val="24"/>
          <w:lang w:val="zh-CN"/>
        </w:rPr>
        <w:t>，</w:t>
      </w:r>
      <w:r>
        <w:rPr>
          <w:rFonts w:hint="eastAsia" w:ascii="宋体" w:hAnsi="宋体"/>
          <w:sz w:val="24"/>
        </w:rPr>
        <w:t>采购政府强</w:t>
      </w:r>
      <w:r>
        <w:rPr>
          <w:rFonts w:hint="eastAsia" w:ascii="宋体" w:hAnsi="宋体"/>
          <w:sz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82" w:firstLineChars="200"/>
        <w:contextualSpacing/>
        <w:rPr>
          <w:rFonts w:ascii="宋体" w:hAnsi="宋体"/>
          <w:b/>
          <w:bCs/>
          <w:sz w:val="24"/>
          <w:lang w:val="zh-CN"/>
        </w:rPr>
      </w:pPr>
      <w:r>
        <w:rPr>
          <w:rFonts w:hint="eastAsia" w:ascii="宋体" w:hAnsi="宋体"/>
          <w:b/>
          <w:bCs/>
          <w:sz w:val="24"/>
          <w:lang w:val="zh-CN"/>
        </w:rPr>
        <w:t>二、促进中小企业发展（不含民办非企业）</w:t>
      </w:r>
    </w:p>
    <w:p>
      <w:pPr>
        <w:spacing w:line="360" w:lineRule="auto"/>
        <w:ind w:right="-512" w:rightChars="-244" w:firstLine="480" w:firstLineChars="200"/>
        <w:contextualSpacing/>
        <w:rPr>
          <w:rFonts w:ascii="宋体" w:hAnsi="宋体"/>
          <w:sz w:val="24"/>
        </w:rPr>
      </w:pPr>
      <w:r>
        <w:rPr>
          <w:rFonts w:hint="eastAsia" w:ascii="宋体" w:hAnsi="宋体"/>
          <w:sz w:val="24"/>
        </w:rPr>
        <w:t>（一）</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ascii="宋体" w:hAnsi="宋体"/>
          <w:sz w:val="24"/>
        </w:rPr>
      </w:pPr>
      <w:r>
        <w:rPr>
          <w:rFonts w:hint="eastAsia" w:ascii="宋体" w:hAnsi="宋体"/>
          <w:sz w:val="24"/>
        </w:rPr>
        <w:t>（二）非</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ascii="宋体" w:hAnsi="宋体"/>
          <w:sz w:val="24"/>
          <w:lang w:val="zh-CN"/>
        </w:rPr>
      </w:pPr>
      <w:r>
        <w:rPr>
          <w:rFonts w:hint="eastAsia" w:ascii="宋体" w:hAnsi="宋体"/>
          <w:sz w:val="24"/>
        </w:rPr>
        <w:t>1、</w:t>
      </w:r>
      <w:r>
        <w:rPr>
          <w:rFonts w:hint="eastAsia" w:ascii="宋体" w:hAnsi="宋体"/>
          <w:sz w:val="24"/>
          <w:lang w:val="zh-CN"/>
        </w:rPr>
        <w:t>根据财政部、工业和信息化部《政府采购促进中小企业发展管理办法》（财库[2020]46号）</w:t>
      </w:r>
      <w:r>
        <w:rPr>
          <w:rFonts w:hint="eastAsia" w:ascii="宋体" w:hAnsi="宋体"/>
          <w:sz w:val="24"/>
        </w:rPr>
        <w:t>、《关于进一步加大政府采购支持中小企业力度的通知》（财库〔2022〕19号）</w:t>
      </w:r>
      <w:r>
        <w:rPr>
          <w:rFonts w:hint="eastAsia" w:ascii="宋体" w:hAnsi="宋体"/>
          <w:sz w:val="24"/>
          <w:lang w:val="zh-CN"/>
        </w:rPr>
        <w:t>规定，对符合该办法规定的小型和微型企业报价给予10%-20%的扣除，用扣除后的价格参与评审。</w:t>
      </w:r>
    </w:p>
    <w:p>
      <w:pPr>
        <w:spacing w:line="360" w:lineRule="auto"/>
        <w:ind w:right="-512" w:rightChars="-244" w:firstLine="480" w:firstLineChars="200"/>
        <w:contextualSpacing/>
        <w:rPr>
          <w:rFonts w:ascii="宋体" w:hAnsi="宋体"/>
          <w:sz w:val="24"/>
        </w:rPr>
      </w:pPr>
      <w:r>
        <w:rPr>
          <w:rFonts w:hint="eastAsia" w:ascii="宋体" w:hAnsi="宋体"/>
          <w:sz w:val="24"/>
        </w:rPr>
        <w:t>2、在货物采购项目中，供应商提供的货物既有中小企业制造货物，也有大型企业制造货物的，不享受</w:t>
      </w:r>
      <w:r>
        <w:rPr>
          <w:rFonts w:hint="eastAsia" w:ascii="宋体" w:hAnsi="宋体"/>
          <w:sz w:val="24"/>
          <w:lang w:val="zh-CN"/>
        </w:rPr>
        <w:t>《政府采购促进中小企业发展管理办法》（财库[2020]46号）</w:t>
      </w:r>
      <w:r>
        <w:rPr>
          <w:rFonts w:hint="eastAsia" w:ascii="宋体" w:hAnsi="宋体"/>
          <w:sz w:val="24"/>
        </w:rPr>
        <w:t>规定的中小企业扶持政策。</w:t>
      </w:r>
    </w:p>
    <w:p>
      <w:pPr>
        <w:spacing w:line="360" w:lineRule="auto"/>
        <w:ind w:right="-512" w:rightChars="-244" w:firstLine="480" w:firstLineChars="200"/>
        <w:contextualSpacing/>
        <w:rPr>
          <w:rFonts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right="-512" w:rightChars="-244" w:firstLine="480" w:firstLineChars="200"/>
        <w:contextualSpacing/>
        <w:rPr>
          <w:rFonts w:ascii="宋体" w:hAnsi="宋体"/>
          <w:sz w:val="24"/>
        </w:rPr>
      </w:pPr>
      <w:r>
        <w:rPr>
          <w:rFonts w:hint="eastAsia" w:ascii="宋体" w:hAnsi="宋体"/>
          <w:sz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right="-512" w:rightChars="-244" w:firstLine="480" w:firstLineChars="200"/>
        <w:contextualSpacing/>
        <w:rPr>
          <w:rFonts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82" w:firstLineChars="200"/>
        <w:contextualSpacing/>
        <w:rPr>
          <w:rFonts w:ascii="宋体" w:hAnsi="宋体"/>
          <w:b/>
          <w:bCs/>
          <w:sz w:val="24"/>
          <w:lang w:val="zh-CN"/>
        </w:rPr>
      </w:pPr>
      <w:r>
        <w:rPr>
          <w:rFonts w:hint="eastAsia" w:ascii="宋体" w:hAnsi="宋体"/>
          <w:b/>
          <w:bCs/>
          <w:sz w:val="24"/>
          <w:lang w:val="zh-CN"/>
        </w:rPr>
        <w:t>三、支持监狱企业发展</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82" w:firstLineChars="200"/>
        <w:contextualSpacing/>
        <w:rPr>
          <w:rFonts w:ascii="宋体" w:hAnsi="宋体"/>
          <w:b/>
          <w:bCs/>
          <w:sz w:val="24"/>
          <w:lang w:val="zh-CN"/>
        </w:rPr>
      </w:pPr>
      <w:r>
        <w:rPr>
          <w:rFonts w:hint="eastAsia" w:ascii="宋体" w:hAnsi="宋体"/>
          <w:b/>
          <w:bCs/>
          <w:sz w:val="24"/>
          <w:lang w:val="zh-CN"/>
        </w:rPr>
        <w:t>四、促进残疾人就业</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4"/>
        </w:rPr>
        <w:t>残疾人福利性单位属于小型、微型企业的，不重复享受政策。</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对响应文件审查与评审</w:t>
      </w:r>
    </w:p>
    <w:p>
      <w:pPr>
        <w:pStyle w:val="8"/>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8"/>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2</w:t>
            </w:r>
          </w:p>
        </w:tc>
        <w:tc>
          <w:tcPr>
            <w:tcW w:w="2410" w:type="dxa"/>
            <w:vAlign w:val="center"/>
          </w:tcPr>
          <w:p>
            <w:pPr>
              <w:spacing w:line="360" w:lineRule="auto"/>
              <w:jc w:val="center"/>
              <w:rPr>
                <w:rFonts w:ascii="宋体" w:hAnsi="宋体"/>
                <w:b/>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jc w:val="center"/>
              <w:rPr>
                <w:rFonts w:ascii="宋体" w:hAnsi="宋体"/>
                <w:b/>
                <w:bCs/>
                <w:szCs w:val="21"/>
              </w:rPr>
            </w:pPr>
            <w:r>
              <w:rPr>
                <w:rFonts w:hint="eastAsia" w:ascii="宋体" w:hAnsi="宋体"/>
                <w:b/>
                <w:szCs w:val="21"/>
              </w:rPr>
              <w:t>供应商须具备的特殊资质证书</w:t>
            </w:r>
          </w:p>
        </w:tc>
        <w:tc>
          <w:tcPr>
            <w:tcW w:w="5954" w:type="dxa"/>
            <w:vAlign w:val="center"/>
          </w:tcPr>
          <w:p>
            <w:pPr>
              <w:spacing w:line="360" w:lineRule="auto"/>
              <w:jc w:val="left"/>
              <w:rPr>
                <w:rFonts w:ascii="宋体" w:hAnsi="宋体"/>
                <w:b/>
                <w:bCs/>
                <w:szCs w:val="21"/>
              </w:rPr>
            </w:pPr>
            <w:r>
              <w:rPr>
                <w:rFonts w:hint="eastAsia" w:ascii="宋体" w:hAnsi="宋体"/>
                <w:bCs/>
                <w:szCs w:val="21"/>
              </w:rPr>
              <w:t>供应商须具备建设行政主管部门颁发的市政公用工程施工总承包叁级及以上资质，且具有有效的安全生产许可证。拟派项目负责人须具有市政公用工程专业二级及以上注册建造师资格，且具有有效的安全生产考核合格证，并未担任其他在建项目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rPr>
              <w:t>磋商</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jc w:val="center"/>
              <w:rPr>
                <w:rFonts w:ascii="宋体" w:hAnsi="宋体"/>
                <w:szCs w:val="21"/>
              </w:rPr>
            </w:pPr>
            <w:r>
              <w:rPr>
                <w:rFonts w:hint="eastAsia" w:ascii="宋体" w:hAnsi="宋体"/>
                <w:b/>
                <w:szCs w:val="21"/>
              </w:rPr>
              <w:t>磋商承诺函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rPr>
              <w:t>供应商身份证明及授权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①企业（银行、保险、石油石化、电力、电信等行业除外）、事业单位和社会团体供应商以法人身份参加投标的，法定代表人应与实际提交的“营业执照等证明文件”载明的一致。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8"/>
        <w:spacing w:line="360" w:lineRule="auto"/>
        <w:ind w:right="-512" w:rightChars="-244"/>
        <w:contextualSpacing/>
        <w:jc w:val="left"/>
        <w:rPr>
          <w:rFonts w:ascii="宋体" w:hAnsi="宋体" w:cs="宋体"/>
          <w:b/>
          <w:bCs/>
          <w:sz w:val="24"/>
        </w:rPr>
      </w:pPr>
      <w:r>
        <w:rPr>
          <w:rFonts w:hint="eastAsia" w:ascii="宋体" w:hAnsi="宋体" w:cs="宋体"/>
          <w:b/>
          <w:bCs/>
          <w:sz w:val="24"/>
        </w:rPr>
        <w:t>二、评标</w:t>
      </w:r>
    </w:p>
    <w:p>
      <w:pPr>
        <w:pStyle w:val="8"/>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8"/>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8"/>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（二）磋商小组负责具体评标事务，并独立履行下列职责</w:t>
      </w:r>
    </w:p>
    <w:p>
      <w:pPr>
        <w:pStyle w:val="8"/>
        <w:spacing w:line="360" w:lineRule="auto"/>
        <w:ind w:right="-512" w:rightChars="-244" w:firstLine="482" w:firstLineChars="200"/>
        <w:contextualSpacing/>
        <w:jc w:val="left"/>
        <w:rPr>
          <w:rFonts w:ascii="宋体" w:hAnsi="宋体" w:cs="宋体"/>
          <w:b/>
          <w:bCs/>
          <w:sz w:val="24"/>
          <w:szCs w:val="24"/>
        </w:rPr>
      </w:pPr>
      <w:r>
        <w:rPr>
          <w:rFonts w:hint="eastAsia" w:ascii="宋体" w:hAnsi="宋体" w:cs="宋体"/>
          <w:b/>
          <w:bCs/>
          <w:sz w:val="24"/>
          <w:szCs w:val="24"/>
        </w:rPr>
        <w:t>1、审查、评价响应文件是否符合磋商文件的商务、技术等实质性要求；</w:t>
      </w:r>
    </w:p>
    <w:p>
      <w:pPr>
        <w:pStyle w:val="8"/>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rPr>
        <w:t>磋商小组对符合资格的供应商的响应文件进行符合性审查，以确定其是否满足磋商文件的商务、技术等实质性要求。</w:t>
      </w:r>
    </w:p>
    <w:p>
      <w:pPr>
        <w:pStyle w:val="8"/>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注：符合性审查中所涉及到的证书及材料，均应在电子响应文件中提供原件扫描件（或图片）。</w:t>
      </w:r>
    </w:p>
    <w:p>
      <w:pPr>
        <w:pStyle w:val="8"/>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2、要求供应商对响应文件有关事项作出澄清或者说明；</w:t>
      </w:r>
    </w:p>
    <w:p>
      <w:pPr>
        <w:pStyle w:val="8"/>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对于响应文件中含义不明确、同类问题表述不一致或者有明显文字和计算错误的内容，磋商小组应当以书面形式要求供应商作出必要的澄清、说明或者补正。</w:t>
      </w:r>
    </w:p>
    <w:p>
      <w:pPr>
        <w:pStyle w:val="8"/>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供应商的澄清、说明或者补正应当采用书面形式，并加盖公章，或者由法定代表人或其授权的代表签字。供应商的澄清、说明或者补正不得超出响应文件的范围或者改变响应文件的实质性内容。</w:t>
      </w:r>
    </w:p>
    <w:p>
      <w:pPr>
        <w:pStyle w:val="8"/>
        <w:spacing w:line="360" w:lineRule="auto"/>
        <w:ind w:right="-512" w:rightChars="-244" w:firstLine="465"/>
        <w:contextualSpacing/>
        <w:jc w:val="left"/>
        <w:rPr>
          <w:rFonts w:ascii="宋体" w:hAnsi="宋体" w:cs="宋体"/>
          <w:b/>
          <w:bCs/>
          <w:sz w:val="24"/>
          <w:szCs w:val="24"/>
        </w:rPr>
      </w:pPr>
      <w:r>
        <w:rPr>
          <w:rFonts w:hint="eastAsia" w:ascii="宋体" w:hAnsi="宋体" w:cs="宋体"/>
          <w:b/>
          <w:bCs/>
          <w:sz w:val="24"/>
          <w:szCs w:val="24"/>
        </w:rPr>
        <w:t>3、对响应文件进行比较和评价；</w:t>
      </w:r>
    </w:p>
    <w:p>
      <w:pPr>
        <w:pStyle w:val="8"/>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8"/>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注：评标标准中所涉及到的证书及材料，均应在电子响应文件中提供原件扫描件（或图片）。</w:t>
      </w:r>
    </w:p>
    <w:p>
      <w:pPr>
        <w:pStyle w:val="8"/>
        <w:spacing w:line="360" w:lineRule="auto"/>
        <w:ind w:right="-512" w:rightChars="-244" w:firstLine="465"/>
        <w:contextualSpacing/>
        <w:jc w:val="left"/>
        <w:rPr>
          <w:rFonts w:ascii="宋体" w:hAnsi="宋体" w:cs="宋体"/>
          <w:b/>
          <w:bCs/>
          <w:sz w:val="24"/>
          <w:szCs w:val="24"/>
          <w:lang w:val="zh-CN"/>
        </w:rPr>
      </w:pPr>
      <w:r>
        <w:rPr>
          <w:rFonts w:hint="eastAsia" w:ascii="宋体" w:hAnsi="宋体" w:cs="宋体"/>
          <w:b/>
          <w:bCs/>
          <w:sz w:val="24"/>
          <w:szCs w:val="24"/>
          <w:lang w:val="zh-CN"/>
        </w:rPr>
        <w:t>（1）价格分计算</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8"/>
        <w:spacing w:line="360" w:lineRule="auto"/>
        <w:ind w:right="-512" w:rightChars="-244" w:firstLine="465"/>
        <w:contextualSpacing/>
        <w:jc w:val="left"/>
        <w:rPr>
          <w:rFonts w:ascii="宋体" w:hAnsi="宋体" w:cs="宋体"/>
          <w:b/>
          <w:bCs/>
          <w:sz w:val="24"/>
          <w:szCs w:val="24"/>
          <w:lang w:val="zh-CN"/>
        </w:rPr>
      </w:pPr>
      <w:r>
        <w:rPr>
          <w:rFonts w:hint="eastAsia" w:ascii="宋体" w:hAnsi="宋体" w:cs="宋体"/>
          <w:b/>
          <w:bCs/>
          <w:sz w:val="24"/>
          <w:szCs w:val="24"/>
          <w:lang w:val="zh-CN"/>
        </w:rPr>
        <w:t>（2）关于相同品牌产品（服务类项目不适用本条款规定）</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pPr>
        <w:pStyle w:val="8"/>
        <w:spacing w:line="360" w:lineRule="auto"/>
        <w:ind w:right="-512" w:rightChars="-244" w:firstLine="465"/>
        <w:contextualSpacing/>
        <w:jc w:val="left"/>
        <w:rPr>
          <w:rFonts w:ascii="宋体" w:hAnsi="宋体" w:cs="宋体"/>
          <w:b/>
          <w:bCs/>
          <w:sz w:val="24"/>
          <w:szCs w:val="24"/>
          <w:lang w:val="zh-CN"/>
        </w:rPr>
      </w:pPr>
      <w:r>
        <w:rPr>
          <w:rFonts w:hint="eastAsia" w:ascii="宋体" w:hAnsi="宋体" w:cs="宋体"/>
          <w:b/>
          <w:bCs/>
          <w:sz w:val="24"/>
          <w:szCs w:val="24"/>
          <w:lang w:val="zh-CN"/>
        </w:rPr>
        <w:t>（3）强制采购节能产品和优先采购节能产品、优先采购环保产品</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8"/>
        <w:spacing w:line="360" w:lineRule="auto"/>
        <w:ind w:right="-512" w:rightChars="-244" w:firstLine="465"/>
        <w:contextualSpacing/>
        <w:jc w:val="left"/>
        <w:rPr>
          <w:rFonts w:ascii="宋体" w:hAnsi="宋体" w:cs="宋体"/>
          <w:b/>
          <w:bCs/>
          <w:sz w:val="24"/>
          <w:szCs w:val="24"/>
          <w:lang w:val="zh-CN"/>
        </w:rPr>
      </w:pPr>
      <w:r>
        <w:rPr>
          <w:rFonts w:hint="eastAsia" w:ascii="宋体" w:hAnsi="宋体" w:cs="宋体"/>
          <w:b/>
          <w:bCs/>
          <w:sz w:val="24"/>
          <w:szCs w:val="24"/>
          <w:lang w:val="zh-CN"/>
        </w:rPr>
        <w:t>（4）关于强制性产品认证</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2)供应商所投产品如被列入《信息安全产品强制性认证目录》，则响应文件中应根据本项目招标文件“第二章 项目需求”提供：</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①中国信息安全认证中心官网（http://www.isccc.gov.cn/index.shtml）产品查询结果截图并加盖供应商公章；</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②中国信息安全认证中心颁发的《中国国家信息安全产品认证证书》加盖供应商公章的原件扫描件（或图片）。</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注：仅需提供序号①～②其中之一即可。</w:t>
      </w:r>
    </w:p>
    <w:p>
      <w:pPr>
        <w:pStyle w:val="8"/>
        <w:spacing w:line="360" w:lineRule="auto"/>
        <w:ind w:right="-512" w:rightChars="-244" w:firstLine="465"/>
        <w:contextualSpacing/>
        <w:jc w:val="left"/>
        <w:rPr>
          <w:rFonts w:ascii="宋体" w:hAnsi="宋体" w:cs="宋体"/>
          <w:b/>
          <w:bCs/>
          <w:sz w:val="24"/>
          <w:szCs w:val="24"/>
          <w:lang w:val="zh-CN"/>
        </w:rPr>
      </w:pPr>
      <w:r>
        <w:rPr>
          <w:rFonts w:hint="eastAsia" w:ascii="宋体" w:hAnsi="宋体" w:cs="宋体"/>
          <w:b/>
          <w:bCs/>
          <w:sz w:val="24"/>
          <w:szCs w:val="24"/>
          <w:lang w:val="zh-CN"/>
        </w:rPr>
        <w:t>（5）支持脱贫攻坚（物业服务项目）</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2）符合性审查资料未按磋商文件要求签署、盖章的；</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3）有下列情形之一的，视为供应商串通投标，其投标无效：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a.不同供应商的响应文件由同一单位或者个人编制；</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b.不同供应商委托同一单位或者个人办理投标事宜；</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c.不同供应商的响应文件载明的项目管理成员或者联系人员为同一人；</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d.不同供应商的响应文件异常一致或者投标报价呈规律性差异。</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80" w:firstLineChars="200"/>
        <w:contextualSpacing/>
        <w:rPr>
          <w:rFonts w:ascii="宋体" w:hAnsi="宋体" w:cs="仿宋_GB2312"/>
          <w:b/>
          <w:sz w:val="24"/>
          <w:szCs w:val="24"/>
        </w:rPr>
      </w:pPr>
      <w:r>
        <w:rPr>
          <w:rFonts w:hint="eastAsia" w:ascii="宋体" w:hAnsi="宋体" w:cs="仿宋_GB2312"/>
          <w:sz w:val="24"/>
          <w:szCs w:val="24"/>
          <w:lang w:val="zh-CN"/>
        </w:rPr>
        <w:t>5）</w:t>
      </w:r>
      <w:r>
        <w:rPr>
          <w:rFonts w:ascii="宋体" w:hAnsi="宋体" w:cs="仿宋_GB2312"/>
          <w:sz w:val="24"/>
          <w:szCs w:val="24"/>
          <w:lang w:val="zh-CN"/>
        </w:rPr>
        <w:t>法律、法规和</w:t>
      </w:r>
      <w:r>
        <w:rPr>
          <w:rFonts w:hint="eastAsia" w:ascii="宋体" w:hAnsi="宋体" w:cs="仿宋_GB2312"/>
          <w:sz w:val="24"/>
          <w:szCs w:val="24"/>
          <w:lang w:val="zh-CN"/>
        </w:rPr>
        <w:t>磋商文件</w:t>
      </w:r>
      <w:r>
        <w:rPr>
          <w:rFonts w:ascii="宋体" w:hAnsi="宋体" w:cs="仿宋_GB2312"/>
          <w:sz w:val="24"/>
          <w:szCs w:val="24"/>
          <w:lang w:val="zh-CN"/>
        </w:rPr>
        <w:t>规定的其他无效情形。</w:t>
      </w:r>
    </w:p>
    <w:p>
      <w:pPr>
        <w:pStyle w:val="8"/>
        <w:spacing w:line="360" w:lineRule="auto"/>
        <w:ind w:right="-512" w:rightChars="-244"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6</w:t>
      </w:r>
      <w:r>
        <w:rPr>
          <w:rFonts w:hint="eastAsia" w:ascii="宋体" w:hAnsi="宋体" w:cs="仿宋_GB2312"/>
          <w:b/>
          <w:sz w:val="24"/>
          <w:szCs w:val="24"/>
          <w:lang w:val="zh-CN"/>
        </w:rPr>
        <w:t>）评标标准</w:t>
      </w:r>
    </w:p>
    <w:p>
      <w:pPr>
        <w:widowControl/>
        <w:shd w:val="clear" w:color="auto" w:fill="FFFFFF"/>
        <w:spacing w:line="360" w:lineRule="auto"/>
        <w:ind w:right="-512" w:rightChars="-244"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15"/>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6716"/>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682" w:type="dxa"/>
            <w:noWrap/>
            <w:vAlign w:val="center"/>
          </w:tcPr>
          <w:p>
            <w:pPr>
              <w:spacing w:line="360" w:lineRule="auto"/>
              <w:ind w:right="-512" w:rightChars="-244" w:firstLine="240" w:firstLineChars="100"/>
              <w:rPr>
                <w:rFonts w:ascii="宋体"/>
                <w:sz w:val="24"/>
                <w:szCs w:val="24"/>
              </w:rPr>
            </w:pPr>
            <w:r>
              <w:rPr>
                <w:rFonts w:hint="eastAsia" w:ascii="宋体" w:hAnsi="宋体"/>
                <w:sz w:val="24"/>
                <w:szCs w:val="24"/>
              </w:rPr>
              <w:t>分值构成</w:t>
            </w:r>
          </w:p>
          <w:p>
            <w:pPr>
              <w:spacing w:line="360" w:lineRule="auto"/>
              <w:ind w:right="-512" w:rightChars="-244"/>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785" w:type="dxa"/>
            <w:gridSpan w:val="2"/>
            <w:noWrap/>
            <w:vAlign w:val="center"/>
          </w:tcPr>
          <w:p>
            <w:pPr>
              <w:spacing w:line="360" w:lineRule="auto"/>
              <w:ind w:right="-512" w:rightChars="-244" w:firstLine="480" w:firstLineChars="200"/>
              <w:rPr>
                <w:rFonts w:ascii="宋体"/>
                <w:sz w:val="24"/>
                <w:szCs w:val="24"/>
              </w:rPr>
            </w:pPr>
            <w:r>
              <w:rPr>
                <w:rFonts w:hint="eastAsia" w:ascii="宋体" w:hAnsi="宋体"/>
                <w:sz w:val="24"/>
                <w:szCs w:val="24"/>
              </w:rPr>
              <w:t>价格分值：</w:t>
            </w:r>
            <w:r>
              <w:rPr>
                <w:rFonts w:ascii="宋体" w:hAnsi="宋体"/>
                <w:sz w:val="24"/>
                <w:szCs w:val="24"/>
                <w:u w:val="single"/>
              </w:rPr>
              <w:t>30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rPr>
              <w:t>30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技术部分：</w:t>
            </w:r>
            <w:r>
              <w:rPr>
                <w:rFonts w:ascii="宋体" w:hAnsi="宋体"/>
                <w:sz w:val="24"/>
                <w:szCs w:val="24"/>
                <w:u w:val="single"/>
              </w:rPr>
              <w:t>4</w:t>
            </w:r>
            <w:r>
              <w:rPr>
                <w:rFonts w:hint="eastAsia" w:ascii="宋体" w:hAnsi="宋体"/>
                <w:sz w:val="24"/>
                <w:szCs w:val="24"/>
                <w:u w:val="single"/>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67" w:type="dxa"/>
            <w:gridSpan w:val="3"/>
            <w:noWrap/>
            <w:vAlign w:val="center"/>
          </w:tcPr>
          <w:p>
            <w:pPr>
              <w:ind w:right="-512" w:rightChars="-244"/>
              <w:jc w:val="center"/>
              <w:rPr>
                <w:rFonts w:ascii="宋体"/>
                <w:b/>
                <w:sz w:val="24"/>
                <w:szCs w:val="24"/>
              </w:rPr>
            </w:pPr>
            <w:r>
              <w:rPr>
                <w:rFonts w:hint="eastAsia" w:ascii="宋体" w:hAnsi="宋体"/>
                <w:b/>
                <w:bCs/>
                <w:sz w:val="24"/>
                <w:szCs w:val="24"/>
              </w:rPr>
              <w:t>价格部分（满分2</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2" w:type="dxa"/>
            <w:noWrap/>
            <w:vAlign w:val="center"/>
          </w:tcPr>
          <w:p>
            <w:pPr>
              <w:ind w:right="-512" w:rightChars="-244" w:firstLine="241" w:firstLineChars="100"/>
              <w:rPr>
                <w:rFonts w:ascii="宋体"/>
                <w:b/>
                <w:sz w:val="24"/>
                <w:szCs w:val="24"/>
              </w:rPr>
            </w:pPr>
            <w:r>
              <w:rPr>
                <w:rFonts w:hint="eastAsia" w:ascii="宋体" w:hAnsi="宋体"/>
                <w:b/>
                <w:sz w:val="24"/>
                <w:szCs w:val="24"/>
              </w:rPr>
              <w:t>评分因素</w:t>
            </w:r>
          </w:p>
        </w:tc>
        <w:tc>
          <w:tcPr>
            <w:tcW w:w="6716"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069" w:type="dxa"/>
            <w:noWrap/>
            <w:vAlign w:val="center"/>
          </w:tcPr>
          <w:p>
            <w:pPr>
              <w:ind w:right="-512" w:rightChars="-244" w:firstLine="241" w:firstLineChars="100"/>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682" w:type="dxa"/>
            <w:noWrap/>
            <w:vAlign w:val="center"/>
          </w:tcPr>
          <w:p>
            <w:pPr>
              <w:spacing w:line="360" w:lineRule="auto"/>
              <w:ind w:right="-512" w:rightChars="-244"/>
              <w:rPr>
                <w:rFonts w:ascii="宋体"/>
                <w:sz w:val="24"/>
                <w:szCs w:val="24"/>
              </w:rPr>
            </w:pPr>
            <w:r>
              <w:rPr>
                <w:rFonts w:hint="eastAsia" w:ascii="宋体"/>
                <w:sz w:val="24"/>
                <w:szCs w:val="24"/>
              </w:rPr>
              <w:t>最终磋商报价</w:t>
            </w:r>
          </w:p>
          <w:p>
            <w:pPr>
              <w:spacing w:line="360" w:lineRule="auto"/>
              <w:ind w:right="-512" w:rightChars="-244" w:firstLine="240" w:firstLineChars="100"/>
              <w:rPr>
                <w:rFonts w:ascii="宋体"/>
                <w:sz w:val="24"/>
                <w:szCs w:val="24"/>
              </w:rPr>
            </w:pPr>
            <w:r>
              <w:rPr>
                <w:rFonts w:hint="eastAsia" w:ascii="宋体"/>
                <w:sz w:val="24"/>
                <w:szCs w:val="24"/>
              </w:rPr>
              <w:t>评分标准</w:t>
            </w:r>
          </w:p>
        </w:tc>
        <w:tc>
          <w:tcPr>
            <w:tcW w:w="6716" w:type="dxa"/>
            <w:noWrap/>
            <w:vAlign w:val="center"/>
          </w:tcPr>
          <w:p>
            <w:pPr>
              <w:spacing w:line="440" w:lineRule="exact"/>
              <w:ind w:right="-512" w:rightChars="-244"/>
              <w:rPr>
                <w:sz w:val="24"/>
                <w:szCs w:val="24"/>
              </w:rPr>
            </w:pPr>
            <w:r>
              <w:rPr>
                <w:rFonts w:hint="eastAsia"/>
                <w:sz w:val="24"/>
                <w:szCs w:val="24"/>
              </w:rPr>
              <w:t>投标报价得分采用低价优先法计算，即满足磋商文件要求且</w:t>
            </w:r>
          </w:p>
          <w:p>
            <w:pPr>
              <w:spacing w:line="440" w:lineRule="exact"/>
              <w:ind w:right="-512" w:rightChars="-244"/>
              <w:rPr>
                <w:rFonts w:ascii="宋体"/>
                <w:sz w:val="24"/>
                <w:szCs w:val="24"/>
              </w:rPr>
            </w:pPr>
            <w:r>
              <w:rPr>
                <w:rFonts w:hint="eastAsia"/>
                <w:sz w:val="24"/>
                <w:szCs w:val="24"/>
              </w:rPr>
              <w:t>最低的最终磋商报价为磋商基准价，其价格分为满分20</w:t>
            </w:r>
            <w:r>
              <w:rPr>
                <w:rFonts w:hint="eastAsia" w:ascii="宋体"/>
                <w:sz w:val="24"/>
                <w:szCs w:val="24"/>
              </w:rPr>
              <w:t>分。</w:t>
            </w:r>
          </w:p>
          <w:p>
            <w:pPr>
              <w:spacing w:line="440" w:lineRule="exact"/>
              <w:ind w:right="-512" w:rightChars="-244"/>
              <w:rPr>
                <w:rFonts w:ascii="宋体"/>
                <w:sz w:val="24"/>
                <w:szCs w:val="24"/>
              </w:rPr>
            </w:pPr>
            <w:r>
              <w:rPr>
                <w:rFonts w:hint="eastAsia" w:ascii="宋体"/>
                <w:sz w:val="24"/>
                <w:szCs w:val="24"/>
              </w:rPr>
              <w:t>其他供应商的报价得分计算：</w:t>
            </w:r>
          </w:p>
          <w:p>
            <w:pPr>
              <w:spacing w:line="440" w:lineRule="exact"/>
              <w:ind w:right="-512" w:rightChars="-244"/>
              <w:rPr>
                <w:rFonts w:ascii="宋体"/>
                <w:sz w:val="24"/>
                <w:szCs w:val="24"/>
              </w:rPr>
            </w:pPr>
            <w:r>
              <w:rPr>
                <w:rFonts w:hint="eastAsia" w:ascii="宋体"/>
                <w:sz w:val="24"/>
                <w:szCs w:val="24"/>
              </w:rPr>
              <w:t>报价得分=(磋商基准价／最终磋商报价)×</w:t>
            </w:r>
            <w:r>
              <w:rPr>
                <w:rFonts w:ascii="宋体"/>
                <w:sz w:val="24"/>
                <w:szCs w:val="24"/>
              </w:rPr>
              <w:t>3</w:t>
            </w:r>
            <w:r>
              <w:rPr>
                <w:rFonts w:hint="eastAsia" w:ascii="宋体"/>
                <w:sz w:val="24"/>
                <w:szCs w:val="24"/>
              </w:rPr>
              <w:t>0计算按四舍五</w:t>
            </w:r>
          </w:p>
          <w:p>
            <w:pPr>
              <w:spacing w:line="440" w:lineRule="exact"/>
              <w:ind w:right="-512" w:rightChars="-244"/>
              <w:rPr>
                <w:rFonts w:ascii="宋体"/>
                <w:sz w:val="24"/>
                <w:szCs w:val="24"/>
              </w:rPr>
            </w:pPr>
            <w:r>
              <w:rPr>
                <w:rFonts w:hint="eastAsia" w:ascii="宋体"/>
                <w:sz w:val="24"/>
                <w:szCs w:val="24"/>
              </w:rPr>
              <w:t>入法则,保留小数点后两位。</w:t>
            </w:r>
          </w:p>
          <w:p>
            <w:pPr>
              <w:spacing w:line="440" w:lineRule="exact"/>
              <w:ind w:right="-512" w:rightChars="-244"/>
              <w:rPr>
                <w:rFonts w:ascii="宋体"/>
                <w:b/>
                <w:bCs/>
                <w:sz w:val="24"/>
                <w:szCs w:val="24"/>
              </w:rPr>
            </w:pPr>
            <w:r>
              <w:rPr>
                <w:rFonts w:hint="eastAsia" w:ascii="宋体"/>
                <w:b/>
                <w:bCs/>
                <w:sz w:val="24"/>
                <w:szCs w:val="24"/>
              </w:rPr>
              <w:t>注：磋商小组认为供应商的报价明显低于其他通过符合性审</w:t>
            </w:r>
          </w:p>
          <w:p>
            <w:pPr>
              <w:spacing w:line="440" w:lineRule="exact"/>
              <w:ind w:right="-512" w:rightChars="-244"/>
              <w:rPr>
                <w:rFonts w:ascii="宋体"/>
                <w:b/>
                <w:bCs/>
                <w:sz w:val="24"/>
                <w:szCs w:val="24"/>
              </w:rPr>
            </w:pPr>
            <w:r>
              <w:rPr>
                <w:rFonts w:hint="eastAsia" w:ascii="宋体"/>
                <w:b/>
                <w:bCs/>
                <w:sz w:val="24"/>
                <w:szCs w:val="24"/>
              </w:rPr>
              <w:t>查供应商的报价，有可能影响服务质量或者不能诚信履约的</w:t>
            </w:r>
          </w:p>
          <w:p>
            <w:pPr>
              <w:spacing w:line="440" w:lineRule="exact"/>
              <w:ind w:right="-512" w:rightChars="-244"/>
              <w:rPr>
                <w:rFonts w:ascii="宋体"/>
                <w:b/>
                <w:bCs/>
                <w:sz w:val="24"/>
                <w:szCs w:val="24"/>
              </w:rPr>
            </w:pPr>
            <w:r>
              <w:rPr>
                <w:rFonts w:hint="eastAsia" w:ascii="宋体"/>
                <w:b/>
                <w:bCs/>
                <w:sz w:val="24"/>
                <w:szCs w:val="24"/>
              </w:rPr>
              <w:t>，应当要求该供应商作出书面说明并提供相关证明材料。供</w:t>
            </w:r>
          </w:p>
          <w:p>
            <w:pPr>
              <w:spacing w:line="440" w:lineRule="exact"/>
              <w:ind w:right="-512" w:rightChars="-244"/>
              <w:rPr>
                <w:rFonts w:ascii="宋体"/>
                <w:b/>
                <w:bCs/>
                <w:sz w:val="24"/>
                <w:szCs w:val="24"/>
              </w:rPr>
            </w:pPr>
            <w:r>
              <w:rPr>
                <w:rFonts w:hint="eastAsia" w:ascii="宋体"/>
                <w:b/>
                <w:bCs/>
                <w:sz w:val="24"/>
                <w:szCs w:val="24"/>
              </w:rPr>
              <w:t>应商不能合理说明或者不能提供相关证明材料的，按无效标</w:t>
            </w:r>
          </w:p>
          <w:p>
            <w:pPr>
              <w:spacing w:line="440" w:lineRule="exact"/>
              <w:ind w:right="-512" w:rightChars="-244"/>
              <w:rPr>
                <w:rFonts w:ascii="宋体"/>
                <w:sz w:val="24"/>
                <w:szCs w:val="24"/>
              </w:rPr>
            </w:pPr>
            <w:r>
              <w:rPr>
                <w:rFonts w:hint="eastAsia" w:ascii="宋体"/>
                <w:b/>
                <w:bCs/>
                <w:sz w:val="24"/>
                <w:szCs w:val="24"/>
              </w:rPr>
              <w:t>处理。</w:t>
            </w:r>
          </w:p>
        </w:tc>
        <w:tc>
          <w:tcPr>
            <w:tcW w:w="1069" w:type="dxa"/>
            <w:noWrap/>
            <w:vAlign w:val="center"/>
          </w:tcPr>
          <w:p>
            <w:pPr>
              <w:ind w:right="-512" w:rightChars="-244" w:firstLine="240" w:firstLineChars="100"/>
              <w:rPr>
                <w:rFonts w:ascii="宋体"/>
                <w:sz w:val="24"/>
                <w:szCs w:val="24"/>
              </w:rPr>
            </w:pPr>
            <w:r>
              <w:rPr>
                <w:rFonts w:ascii="宋体" w:hAnsi="宋体"/>
                <w:sz w:val="24"/>
                <w:szCs w:val="24"/>
              </w:rPr>
              <w:t>30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467" w:type="dxa"/>
            <w:gridSpan w:val="3"/>
            <w:noWrap/>
            <w:vAlign w:val="center"/>
          </w:tcPr>
          <w:p>
            <w:pPr>
              <w:ind w:right="-512" w:rightChars="-244"/>
              <w:jc w:val="center"/>
              <w:rPr>
                <w:rFonts w:ascii="宋体"/>
                <w:b/>
                <w:sz w:val="24"/>
                <w:szCs w:val="24"/>
              </w:rPr>
            </w:pPr>
            <w:r>
              <w:rPr>
                <w:rFonts w:hint="eastAsia" w:ascii="宋体" w:hAnsi="宋体"/>
                <w:b/>
                <w:sz w:val="24"/>
                <w:szCs w:val="24"/>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682" w:type="dxa"/>
            <w:noWrap/>
            <w:vAlign w:val="center"/>
          </w:tcPr>
          <w:p>
            <w:pPr>
              <w:ind w:right="-512" w:rightChars="-244"/>
              <w:jc w:val="center"/>
              <w:rPr>
                <w:rFonts w:ascii="宋体" w:hAnsi="宋体"/>
                <w:b/>
                <w:sz w:val="24"/>
                <w:szCs w:val="24"/>
              </w:rPr>
            </w:pPr>
            <w:r>
              <w:rPr>
                <w:rFonts w:hint="eastAsia" w:ascii="宋体" w:hAnsi="宋体"/>
                <w:b/>
                <w:sz w:val="24"/>
                <w:szCs w:val="24"/>
              </w:rPr>
              <w:t>评分因素</w:t>
            </w:r>
          </w:p>
        </w:tc>
        <w:tc>
          <w:tcPr>
            <w:tcW w:w="6716" w:type="dxa"/>
            <w:vAlign w:val="center"/>
          </w:tcPr>
          <w:p>
            <w:pPr>
              <w:ind w:right="-512" w:rightChars="-244"/>
              <w:jc w:val="center"/>
              <w:rPr>
                <w:rFonts w:ascii="宋体" w:hAnsi="宋体"/>
                <w:b/>
                <w:sz w:val="24"/>
                <w:szCs w:val="24"/>
              </w:rPr>
            </w:pPr>
            <w:r>
              <w:rPr>
                <w:rFonts w:hint="eastAsia" w:ascii="宋体" w:hAnsi="宋体"/>
                <w:b/>
                <w:sz w:val="24"/>
                <w:szCs w:val="24"/>
              </w:rPr>
              <w:t>评分标准</w:t>
            </w:r>
          </w:p>
        </w:tc>
        <w:tc>
          <w:tcPr>
            <w:tcW w:w="1069" w:type="dxa"/>
            <w:vAlign w:val="center"/>
          </w:tcPr>
          <w:p>
            <w:pPr>
              <w:ind w:right="-512" w:rightChars="-244" w:firstLine="241" w:firstLineChars="100"/>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682" w:type="dxa"/>
            <w:noWrap/>
            <w:vAlign w:val="center"/>
          </w:tcPr>
          <w:p>
            <w:pPr>
              <w:widowControl/>
              <w:spacing w:line="360" w:lineRule="auto"/>
              <w:ind w:firstLine="240" w:firstLineChars="100"/>
              <w:jc w:val="left"/>
              <w:rPr>
                <w:rFonts w:ascii="宋体"/>
                <w:sz w:val="24"/>
                <w:szCs w:val="24"/>
              </w:rPr>
            </w:pPr>
            <w:r>
              <w:rPr>
                <w:rFonts w:hint="eastAsia" w:ascii="宋体"/>
                <w:sz w:val="24"/>
                <w:szCs w:val="24"/>
              </w:rPr>
              <w:t>企业业绩</w:t>
            </w:r>
          </w:p>
        </w:tc>
        <w:tc>
          <w:tcPr>
            <w:tcW w:w="6716" w:type="dxa"/>
            <w:vAlign w:val="center"/>
          </w:tcPr>
          <w:p>
            <w:pPr>
              <w:widowControl/>
              <w:spacing w:line="360" w:lineRule="auto"/>
              <w:jc w:val="left"/>
              <w:rPr>
                <w:rFonts w:ascii="宋体"/>
                <w:sz w:val="24"/>
                <w:szCs w:val="24"/>
              </w:rPr>
            </w:pPr>
            <w:r>
              <w:rPr>
                <w:rFonts w:hint="eastAsia" w:ascii="宋体"/>
                <w:sz w:val="24"/>
                <w:szCs w:val="24"/>
              </w:rPr>
              <w:t>自20</w:t>
            </w:r>
            <w:r>
              <w:rPr>
                <w:rFonts w:ascii="宋体"/>
                <w:sz w:val="24"/>
                <w:szCs w:val="24"/>
              </w:rPr>
              <w:t>20</w:t>
            </w:r>
            <w:r>
              <w:rPr>
                <w:rFonts w:hint="eastAsia" w:ascii="宋体"/>
                <w:sz w:val="24"/>
                <w:szCs w:val="24"/>
              </w:rPr>
              <w:t>年1月1日以来（以合同签订时间为准）具有市政工程业绩者的，每项得3分，最高得9分。（以中标（成交）通知书和施工合同或竣工验收报告和施工合同为准，提供原件扫描件或图片）</w:t>
            </w:r>
          </w:p>
        </w:tc>
        <w:tc>
          <w:tcPr>
            <w:tcW w:w="1069" w:type="dxa"/>
            <w:vAlign w:val="center"/>
          </w:tcPr>
          <w:p>
            <w:pPr>
              <w:widowControl/>
              <w:spacing w:line="360" w:lineRule="auto"/>
              <w:ind w:firstLine="240" w:firstLineChars="100"/>
              <w:jc w:val="left"/>
              <w:rPr>
                <w:rFonts w:ascii="宋体"/>
                <w:sz w:val="24"/>
                <w:szCs w:val="24"/>
              </w:rPr>
            </w:pPr>
            <w:r>
              <w:rPr>
                <w:rFonts w:hint="eastAsia" w:ascii="宋体"/>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682" w:type="dxa"/>
            <w:noWrap/>
            <w:vAlign w:val="center"/>
          </w:tcPr>
          <w:p>
            <w:pPr>
              <w:spacing w:line="360" w:lineRule="auto"/>
              <w:ind w:right="-512" w:rightChars="-244"/>
              <w:jc w:val="left"/>
              <w:rPr>
                <w:rFonts w:ascii="宋体"/>
                <w:sz w:val="24"/>
                <w:szCs w:val="24"/>
              </w:rPr>
            </w:pPr>
            <w:r>
              <w:rPr>
                <w:rFonts w:hint="eastAsia" w:ascii="宋体" w:hAnsi="宋体" w:cs="宋体"/>
                <w:sz w:val="24"/>
                <w:szCs w:val="24"/>
              </w:rPr>
              <w:t>专业人员配备</w:t>
            </w:r>
          </w:p>
        </w:tc>
        <w:tc>
          <w:tcPr>
            <w:tcW w:w="6716" w:type="dxa"/>
            <w:vAlign w:val="center"/>
          </w:tcPr>
          <w:p>
            <w:pPr>
              <w:spacing w:line="360" w:lineRule="auto"/>
              <w:ind w:right="-512" w:rightChars="-244"/>
              <w:jc w:val="left"/>
              <w:rPr>
                <w:rFonts w:ascii="宋体" w:hAnsi="宋体" w:cs="宋体"/>
                <w:sz w:val="24"/>
                <w:szCs w:val="24"/>
              </w:rPr>
            </w:pPr>
            <w:r>
              <w:rPr>
                <w:rFonts w:hint="eastAsia" w:ascii="宋体" w:hAnsi="宋体" w:cs="宋体"/>
                <w:sz w:val="24"/>
                <w:szCs w:val="24"/>
              </w:rPr>
              <w:t>项目组人员有施工员、质量员、安全员、材料员、资料员的，</w:t>
            </w:r>
          </w:p>
          <w:p>
            <w:pPr>
              <w:spacing w:line="360" w:lineRule="auto"/>
              <w:ind w:right="-512" w:rightChars="-244"/>
              <w:jc w:val="left"/>
              <w:rPr>
                <w:rFonts w:ascii="宋体" w:hAnsi="宋体" w:cs="宋体"/>
                <w:sz w:val="24"/>
                <w:szCs w:val="24"/>
              </w:rPr>
            </w:pPr>
            <w:r>
              <w:rPr>
                <w:rFonts w:hint="eastAsia" w:ascii="宋体" w:hAnsi="宋体" w:cs="宋体"/>
                <w:sz w:val="24"/>
                <w:szCs w:val="24"/>
              </w:rPr>
              <w:t>提供完整的，得10分，每缺一个扣2分，扣完为止。本项最</w:t>
            </w:r>
          </w:p>
          <w:p>
            <w:pPr>
              <w:spacing w:line="360" w:lineRule="auto"/>
              <w:ind w:right="-512" w:rightChars="-244"/>
              <w:jc w:val="left"/>
              <w:rPr>
                <w:rFonts w:ascii="宋体"/>
                <w:sz w:val="24"/>
                <w:szCs w:val="24"/>
              </w:rPr>
            </w:pPr>
            <w:r>
              <w:rPr>
                <w:rFonts w:hint="eastAsia" w:ascii="宋体" w:hAnsi="宋体" w:cs="宋体"/>
                <w:sz w:val="24"/>
                <w:szCs w:val="24"/>
              </w:rPr>
              <w:t>高得10分。</w:t>
            </w:r>
          </w:p>
        </w:tc>
        <w:tc>
          <w:tcPr>
            <w:tcW w:w="1069" w:type="dxa"/>
            <w:vAlign w:val="center"/>
          </w:tcPr>
          <w:p>
            <w:pPr>
              <w:widowControl/>
              <w:spacing w:line="360" w:lineRule="auto"/>
              <w:ind w:firstLine="240" w:firstLineChars="100"/>
              <w:jc w:val="left"/>
              <w:rPr>
                <w:rFonts w:ascii="宋体"/>
                <w:sz w:val="24"/>
                <w:szCs w:val="24"/>
              </w:rPr>
            </w:pPr>
            <w:r>
              <w:rPr>
                <w:rFonts w:hint="eastAsia" w:ascii="宋体"/>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682" w:type="dxa"/>
            <w:noWrap/>
            <w:vAlign w:val="center"/>
          </w:tcPr>
          <w:p>
            <w:pPr>
              <w:spacing w:line="360" w:lineRule="auto"/>
              <w:ind w:right="-512" w:rightChars="-244" w:firstLine="240" w:firstLineChars="100"/>
              <w:jc w:val="left"/>
              <w:rPr>
                <w:rFonts w:ascii="宋体" w:hAnsi="宋体" w:cs="宋体"/>
                <w:sz w:val="24"/>
                <w:szCs w:val="24"/>
              </w:rPr>
            </w:pPr>
            <w:r>
              <w:rPr>
                <w:rFonts w:hint="eastAsia" w:ascii="宋体" w:hAnsi="宋体" w:cs="宋体"/>
                <w:sz w:val="24"/>
                <w:szCs w:val="24"/>
              </w:rPr>
              <w:t>信誉及荣誉</w:t>
            </w:r>
          </w:p>
          <w:p>
            <w:pPr>
              <w:spacing w:line="360" w:lineRule="auto"/>
              <w:ind w:right="-512" w:rightChars="-244"/>
              <w:jc w:val="left"/>
              <w:rPr>
                <w:rFonts w:ascii="宋体"/>
                <w:sz w:val="24"/>
                <w:szCs w:val="24"/>
              </w:rPr>
            </w:pPr>
          </w:p>
        </w:tc>
        <w:tc>
          <w:tcPr>
            <w:tcW w:w="6716" w:type="dxa"/>
            <w:vAlign w:val="center"/>
          </w:tcPr>
          <w:p>
            <w:pPr>
              <w:numPr>
                <w:ilvl w:val="0"/>
                <w:numId w:val="3"/>
              </w:numPr>
              <w:spacing w:line="360" w:lineRule="auto"/>
              <w:ind w:right="-512" w:rightChars="-244"/>
              <w:jc w:val="left"/>
              <w:rPr>
                <w:rFonts w:ascii="宋体" w:hAnsi="宋体" w:cs="宋体"/>
                <w:sz w:val="24"/>
                <w:szCs w:val="24"/>
              </w:rPr>
            </w:pPr>
            <w:r>
              <w:rPr>
                <w:rFonts w:hint="eastAsia" w:ascii="宋体" w:hAnsi="宋体" w:cs="宋体"/>
                <w:sz w:val="24"/>
                <w:szCs w:val="24"/>
              </w:rPr>
              <w:t>企业近三年度纳税信用等级为B级及以上的得2分，(以</w:t>
            </w:r>
          </w:p>
          <w:p>
            <w:pPr>
              <w:spacing w:line="360" w:lineRule="auto"/>
              <w:ind w:right="-512" w:rightChars="-244"/>
              <w:jc w:val="left"/>
              <w:rPr>
                <w:rFonts w:ascii="宋体" w:hAnsi="宋体" w:cs="宋体"/>
                <w:sz w:val="24"/>
                <w:szCs w:val="24"/>
              </w:rPr>
            </w:pPr>
            <w:r>
              <w:rPr>
                <w:rFonts w:hint="eastAsia" w:ascii="宋体" w:hAnsi="宋体" w:cs="宋体"/>
                <w:sz w:val="24"/>
                <w:szCs w:val="24"/>
              </w:rPr>
              <w:t xml:space="preserve">税务部门颁发的信用等级证书或国家税务总局网上截图为准)。 </w:t>
            </w:r>
          </w:p>
          <w:p>
            <w:pPr>
              <w:numPr>
                <w:ilvl w:val="0"/>
                <w:numId w:val="3"/>
              </w:numPr>
              <w:spacing w:line="360" w:lineRule="auto"/>
              <w:ind w:right="-512" w:rightChars="-244"/>
              <w:jc w:val="left"/>
              <w:rPr>
                <w:rFonts w:ascii="宋体" w:hAnsi="宋体" w:cs="宋体"/>
                <w:sz w:val="24"/>
                <w:szCs w:val="24"/>
              </w:rPr>
            </w:pPr>
            <w:r>
              <w:rPr>
                <w:rFonts w:hint="eastAsia" w:ascii="宋体" w:hAnsi="宋体" w:cs="宋体"/>
                <w:sz w:val="24"/>
                <w:szCs w:val="24"/>
              </w:rPr>
              <w:t>企业信用等级为“AAA”级的得3分，“AA”级的得2分，</w:t>
            </w:r>
          </w:p>
          <w:p>
            <w:pPr>
              <w:spacing w:line="360" w:lineRule="auto"/>
              <w:ind w:right="-512" w:rightChars="-244"/>
              <w:jc w:val="left"/>
              <w:rPr>
                <w:rFonts w:ascii="宋体" w:hAnsi="宋体" w:cs="宋体"/>
                <w:sz w:val="24"/>
                <w:szCs w:val="24"/>
              </w:rPr>
            </w:pPr>
            <w:r>
              <w:rPr>
                <w:rFonts w:hint="eastAsia" w:ascii="宋体" w:hAnsi="宋体" w:cs="宋体"/>
                <w:sz w:val="24"/>
                <w:szCs w:val="24"/>
              </w:rPr>
              <w:t>“A”级的得1分。（以证书或信用评级机构出具的有效的企业</w:t>
            </w:r>
          </w:p>
          <w:p>
            <w:pPr>
              <w:spacing w:line="360" w:lineRule="auto"/>
              <w:ind w:right="-512" w:rightChars="-244"/>
              <w:jc w:val="left"/>
              <w:rPr>
                <w:rFonts w:ascii="宋体"/>
                <w:sz w:val="24"/>
                <w:szCs w:val="24"/>
              </w:rPr>
            </w:pPr>
            <w:r>
              <w:rPr>
                <w:rFonts w:hint="eastAsia" w:ascii="宋体" w:hAnsi="宋体" w:cs="宋体"/>
                <w:sz w:val="24"/>
                <w:szCs w:val="24"/>
              </w:rPr>
              <w:t>信用报告为准）</w:t>
            </w:r>
          </w:p>
        </w:tc>
        <w:tc>
          <w:tcPr>
            <w:tcW w:w="1069" w:type="dxa"/>
            <w:vAlign w:val="center"/>
          </w:tcPr>
          <w:p>
            <w:pPr>
              <w:widowControl/>
              <w:spacing w:line="360" w:lineRule="auto"/>
              <w:ind w:firstLine="240" w:firstLineChars="100"/>
              <w:jc w:val="left"/>
              <w:rPr>
                <w:rFonts w:ascii="宋体"/>
                <w:sz w:val="24"/>
                <w:szCs w:val="24"/>
              </w:rPr>
            </w:pPr>
            <w:r>
              <w:rPr>
                <w:rFonts w:hint="eastAsia" w:asci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682" w:type="dxa"/>
            <w:noWrap/>
            <w:vAlign w:val="center"/>
          </w:tcPr>
          <w:p>
            <w:pPr>
              <w:spacing w:line="360" w:lineRule="auto"/>
              <w:ind w:right="-512" w:rightChars="-244" w:firstLine="240" w:firstLineChars="100"/>
              <w:jc w:val="left"/>
              <w:rPr>
                <w:rFonts w:ascii="宋体"/>
                <w:sz w:val="24"/>
                <w:szCs w:val="24"/>
              </w:rPr>
            </w:pPr>
            <w:r>
              <w:rPr>
                <w:rFonts w:hint="eastAsia" w:ascii="宋体" w:hAnsi="宋体" w:cs="宋体"/>
                <w:sz w:val="24"/>
                <w:szCs w:val="24"/>
              </w:rPr>
              <w:t>服务承诺</w:t>
            </w:r>
          </w:p>
        </w:tc>
        <w:tc>
          <w:tcPr>
            <w:tcW w:w="6716" w:type="dxa"/>
            <w:vAlign w:val="center"/>
          </w:tcPr>
          <w:p>
            <w:pPr>
              <w:spacing w:line="360" w:lineRule="auto"/>
              <w:ind w:right="-512" w:rightChars="-244"/>
              <w:jc w:val="left"/>
              <w:rPr>
                <w:rFonts w:ascii="宋体" w:hAnsi="宋体" w:cs="宋体"/>
                <w:sz w:val="24"/>
                <w:szCs w:val="24"/>
              </w:rPr>
            </w:pPr>
            <w:r>
              <w:rPr>
                <w:rFonts w:hint="eastAsia" w:ascii="宋体" w:hAnsi="宋体" w:cs="宋体"/>
                <w:sz w:val="24"/>
                <w:szCs w:val="24"/>
              </w:rPr>
              <w:t>根据承诺内容及针对采购人排忧解难情况及其他承诺情况等进</w:t>
            </w:r>
          </w:p>
          <w:p>
            <w:pPr>
              <w:spacing w:line="360" w:lineRule="auto"/>
              <w:ind w:right="-512" w:rightChars="-244"/>
              <w:jc w:val="left"/>
              <w:rPr>
                <w:rFonts w:ascii="宋体" w:hAnsi="宋体" w:cs="宋体"/>
                <w:sz w:val="24"/>
                <w:szCs w:val="24"/>
              </w:rPr>
            </w:pPr>
            <w:r>
              <w:rPr>
                <w:rFonts w:hint="eastAsia" w:ascii="宋体" w:hAnsi="宋体" w:cs="宋体"/>
                <w:sz w:val="24"/>
                <w:szCs w:val="24"/>
              </w:rPr>
              <w:t>行对比。优于其他供应商承诺的得6分；比较优秀的得4分；</w:t>
            </w:r>
          </w:p>
          <w:p>
            <w:pPr>
              <w:spacing w:line="360" w:lineRule="auto"/>
              <w:ind w:right="-512" w:rightChars="-244"/>
              <w:jc w:val="left"/>
              <w:rPr>
                <w:rFonts w:ascii="宋体" w:hAnsi="宋体" w:cs="宋体"/>
                <w:sz w:val="24"/>
                <w:szCs w:val="24"/>
              </w:rPr>
            </w:pPr>
            <w:r>
              <w:rPr>
                <w:rFonts w:hint="eastAsia" w:ascii="宋体" w:hAnsi="宋体" w:cs="宋体"/>
                <w:sz w:val="24"/>
                <w:szCs w:val="24"/>
              </w:rPr>
              <w:t>一般得2分；未提供本项承诺的不得分。</w:t>
            </w:r>
          </w:p>
          <w:p>
            <w:pPr>
              <w:spacing w:line="360" w:lineRule="auto"/>
              <w:ind w:right="-512" w:rightChars="-244"/>
              <w:jc w:val="left"/>
              <w:rPr>
                <w:rFonts w:ascii="宋体"/>
                <w:sz w:val="24"/>
                <w:szCs w:val="24"/>
              </w:rPr>
            </w:pPr>
            <w:r>
              <w:rPr>
                <w:rFonts w:hint="eastAsia" w:ascii="宋体" w:hAnsi="宋体" w:cs="宋体"/>
                <w:sz w:val="24"/>
                <w:szCs w:val="24"/>
              </w:rPr>
              <w:t>注：承诺内容必须具有可行性，一旦承诺必须兑现。</w:t>
            </w:r>
          </w:p>
        </w:tc>
        <w:tc>
          <w:tcPr>
            <w:tcW w:w="1069" w:type="dxa"/>
            <w:vAlign w:val="center"/>
          </w:tcPr>
          <w:p>
            <w:pPr>
              <w:widowControl/>
              <w:spacing w:line="360" w:lineRule="auto"/>
              <w:ind w:firstLine="240" w:firstLineChars="100"/>
              <w:jc w:val="left"/>
              <w:rPr>
                <w:rFonts w:ascii="宋体"/>
                <w:sz w:val="24"/>
                <w:szCs w:val="24"/>
              </w:rPr>
            </w:pPr>
            <w:r>
              <w:rPr>
                <w:rFonts w:hint="eastAsia" w:ascii="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467" w:type="dxa"/>
            <w:gridSpan w:val="3"/>
            <w:noWrap/>
            <w:vAlign w:val="center"/>
          </w:tcPr>
          <w:p>
            <w:pPr>
              <w:ind w:right="-512" w:rightChars="-244"/>
              <w:jc w:val="center"/>
              <w:rPr>
                <w:rFonts w:ascii="宋体"/>
                <w:b/>
                <w:sz w:val="24"/>
                <w:szCs w:val="24"/>
              </w:rPr>
            </w:pPr>
            <w:r>
              <w:rPr>
                <w:rFonts w:hint="eastAsia" w:ascii="宋体" w:hAnsi="宋体"/>
                <w:b/>
                <w:sz w:val="24"/>
                <w:szCs w:val="24"/>
              </w:rPr>
              <w:t>技术部分（满分</w:t>
            </w:r>
            <w:r>
              <w:rPr>
                <w:rFonts w:ascii="宋体" w:hAnsi="宋体"/>
                <w:b/>
                <w:sz w:val="24"/>
                <w:szCs w:val="24"/>
              </w:rPr>
              <w:t>4</w:t>
            </w:r>
            <w:r>
              <w:rPr>
                <w:rFonts w:hint="eastAsia" w:ascii="宋体" w:hAnsi="宋体"/>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82" w:type="dxa"/>
            <w:noWrap/>
            <w:vAlign w:val="center"/>
          </w:tcPr>
          <w:p>
            <w:pPr>
              <w:ind w:right="-512" w:rightChars="-244" w:firstLine="241" w:firstLineChars="100"/>
              <w:rPr>
                <w:rFonts w:ascii="宋体"/>
                <w:b/>
                <w:sz w:val="24"/>
                <w:szCs w:val="24"/>
              </w:rPr>
            </w:pPr>
            <w:r>
              <w:rPr>
                <w:rFonts w:hint="eastAsia" w:ascii="宋体" w:hAnsi="宋体"/>
                <w:b/>
                <w:sz w:val="24"/>
                <w:szCs w:val="24"/>
              </w:rPr>
              <w:t>评分因素</w:t>
            </w:r>
          </w:p>
        </w:tc>
        <w:tc>
          <w:tcPr>
            <w:tcW w:w="6716"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069" w:type="dxa"/>
            <w:noWrap/>
            <w:vAlign w:val="center"/>
          </w:tcPr>
          <w:p>
            <w:pPr>
              <w:ind w:right="-512" w:rightChars="-244" w:firstLine="241" w:firstLineChars="100"/>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682" w:type="dxa"/>
            <w:noWrap/>
            <w:vAlign w:val="center"/>
          </w:tcPr>
          <w:p>
            <w:pPr>
              <w:widowControl/>
              <w:spacing w:line="360" w:lineRule="auto"/>
              <w:ind w:firstLine="240" w:firstLineChars="100"/>
              <w:jc w:val="left"/>
              <w:rPr>
                <w:rFonts w:ascii="宋体"/>
                <w:sz w:val="24"/>
                <w:szCs w:val="24"/>
              </w:rPr>
            </w:pPr>
          </w:p>
          <w:p>
            <w:pPr>
              <w:widowControl/>
              <w:spacing w:line="360" w:lineRule="auto"/>
              <w:ind w:firstLine="240" w:firstLineChars="100"/>
              <w:jc w:val="left"/>
              <w:rPr>
                <w:rFonts w:ascii="宋体"/>
                <w:sz w:val="24"/>
                <w:szCs w:val="24"/>
              </w:rPr>
            </w:pPr>
          </w:p>
          <w:p>
            <w:pPr>
              <w:widowControl/>
              <w:spacing w:line="360" w:lineRule="auto"/>
              <w:ind w:firstLine="240" w:firstLineChars="100"/>
              <w:jc w:val="left"/>
              <w:rPr>
                <w:rFonts w:ascii="宋体"/>
                <w:sz w:val="24"/>
                <w:szCs w:val="24"/>
              </w:rPr>
            </w:pPr>
          </w:p>
          <w:p>
            <w:pPr>
              <w:widowControl/>
              <w:spacing w:line="360" w:lineRule="auto"/>
              <w:ind w:firstLine="240" w:firstLineChars="100"/>
              <w:jc w:val="left"/>
              <w:rPr>
                <w:rFonts w:ascii="宋体"/>
                <w:sz w:val="24"/>
                <w:szCs w:val="24"/>
              </w:rPr>
            </w:pPr>
          </w:p>
          <w:p>
            <w:pPr>
              <w:widowControl/>
              <w:spacing w:line="360" w:lineRule="auto"/>
              <w:ind w:firstLine="240" w:firstLineChars="100"/>
              <w:jc w:val="left"/>
              <w:rPr>
                <w:rFonts w:ascii="宋体"/>
                <w:sz w:val="24"/>
                <w:szCs w:val="24"/>
              </w:rPr>
            </w:pPr>
          </w:p>
          <w:p>
            <w:pPr>
              <w:widowControl/>
              <w:spacing w:line="360" w:lineRule="auto"/>
              <w:ind w:firstLine="240" w:firstLineChars="100"/>
              <w:jc w:val="left"/>
              <w:rPr>
                <w:rFonts w:ascii="宋体"/>
                <w:sz w:val="24"/>
                <w:szCs w:val="24"/>
              </w:rPr>
            </w:pPr>
          </w:p>
          <w:p>
            <w:pPr>
              <w:widowControl/>
              <w:spacing w:line="360" w:lineRule="auto"/>
              <w:ind w:firstLine="240" w:firstLineChars="100"/>
              <w:jc w:val="left"/>
              <w:rPr>
                <w:rFonts w:ascii="宋体"/>
                <w:sz w:val="24"/>
                <w:szCs w:val="24"/>
              </w:rPr>
            </w:pPr>
          </w:p>
          <w:p>
            <w:pPr>
              <w:widowControl/>
              <w:spacing w:line="360" w:lineRule="auto"/>
              <w:ind w:firstLine="240" w:firstLineChars="100"/>
              <w:jc w:val="left"/>
              <w:rPr>
                <w:rFonts w:ascii="宋体"/>
                <w:sz w:val="24"/>
                <w:szCs w:val="24"/>
              </w:rPr>
            </w:pPr>
          </w:p>
          <w:p>
            <w:pPr>
              <w:widowControl/>
              <w:spacing w:line="360" w:lineRule="auto"/>
              <w:ind w:firstLine="240" w:firstLineChars="100"/>
              <w:jc w:val="left"/>
              <w:rPr>
                <w:rFonts w:ascii="宋体"/>
                <w:sz w:val="24"/>
                <w:szCs w:val="24"/>
              </w:rPr>
            </w:pPr>
          </w:p>
          <w:p>
            <w:pPr>
              <w:widowControl/>
              <w:spacing w:line="360" w:lineRule="auto"/>
              <w:ind w:firstLine="240" w:firstLineChars="100"/>
              <w:jc w:val="left"/>
              <w:rPr>
                <w:rFonts w:ascii="宋体"/>
                <w:sz w:val="24"/>
                <w:szCs w:val="24"/>
              </w:rPr>
            </w:pPr>
            <w:r>
              <w:rPr>
                <w:rFonts w:hint="eastAsia" w:ascii="宋体"/>
                <w:sz w:val="24"/>
                <w:szCs w:val="24"/>
              </w:rPr>
              <w:t>技术方案</w:t>
            </w:r>
          </w:p>
        </w:tc>
        <w:tc>
          <w:tcPr>
            <w:tcW w:w="6716" w:type="dxa"/>
            <w:noWrap/>
            <w:vAlign w:val="center"/>
          </w:tcPr>
          <w:p>
            <w:pPr>
              <w:spacing w:line="360" w:lineRule="auto"/>
              <w:jc w:val="left"/>
              <w:rPr>
                <w:rFonts w:ascii="宋体" w:hAnsi="宋体" w:cs="宋体"/>
                <w:sz w:val="24"/>
                <w:szCs w:val="24"/>
              </w:rPr>
            </w:pPr>
            <w:r>
              <w:rPr>
                <w:rFonts w:hint="eastAsia" w:ascii="宋体" w:hAnsi="宋体" w:cs="宋体"/>
                <w:sz w:val="24"/>
                <w:szCs w:val="24"/>
              </w:rPr>
              <w:t>1、</w:t>
            </w:r>
            <w:r>
              <w:rPr>
                <w:rFonts w:ascii="宋体" w:hAnsi="宋体" w:cs="宋体"/>
                <w:sz w:val="24"/>
                <w:szCs w:val="24"/>
              </w:rPr>
              <w:t>主要施工方法和施工方案：编制规范，方案内施工工序、人材机投入等内容详实的得</w:t>
            </w:r>
            <w:r>
              <w:rPr>
                <w:rFonts w:hint="eastAsia" w:ascii="宋体" w:hAnsi="宋体" w:cs="宋体"/>
                <w:sz w:val="24"/>
                <w:szCs w:val="24"/>
              </w:rPr>
              <w:t>6</w:t>
            </w:r>
            <w:r>
              <w:rPr>
                <w:rFonts w:ascii="宋体" w:hAnsi="宋体" w:cs="宋体"/>
                <w:sz w:val="24"/>
                <w:szCs w:val="24"/>
              </w:rPr>
              <w:t>分，不缺项且有简单描述的得</w:t>
            </w:r>
            <w:r>
              <w:rPr>
                <w:rFonts w:hint="eastAsia" w:ascii="宋体" w:hAnsi="宋体" w:cs="宋体"/>
                <w:sz w:val="24"/>
                <w:szCs w:val="24"/>
              </w:rPr>
              <w:t>3</w:t>
            </w:r>
            <w:r>
              <w:rPr>
                <w:rFonts w:ascii="宋体" w:hAnsi="宋体" w:cs="宋体"/>
                <w:sz w:val="24"/>
                <w:szCs w:val="24"/>
              </w:rPr>
              <w:t xml:space="preserve">分，不提供不得分。 </w:t>
            </w:r>
          </w:p>
          <w:p>
            <w:pPr>
              <w:spacing w:line="360" w:lineRule="auto"/>
              <w:jc w:val="left"/>
              <w:rPr>
                <w:rFonts w:ascii="宋体" w:hAnsi="宋体" w:cs="宋体"/>
                <w:sz w:val="24"/>
                <w:szCs w:val="24"/>
              </w:rPr>
            </w:pPr>
            <w:r>
              <w:rPr>
                <w:rFonts w:hint="eastAsia" w:ascii="宋体" w:hAnsi="宋体" w:cs="宋体"/>
                <w:sz w:val="24"/>
                <w:szCs w:val="24"/>
              </w:rPr>
              <w:t>2、</w:t>
            </w:r>
            <w:r>
              <w:rPr>
                <w:rFonts w:ascii="宋体" w:hAnsi="宋体" w:cs="宋体"/>
                <w:sz w:val="24"/>
                <w:szCs w:val="24"/>
              </w:rPr>
              <w:t>质量保证措施：有质量管理目标、质量管理体系和职责，质量控制体系及措施等内容详实的得</w:t>
            </w:r>
            <w:r>
              <w:rPr>
                <w:rFonts w:hint="eastAsia" w:ascii="宋体" w:hAnsi="宋体" w:cs="宋体"/>
                <w:sz w:val="24"/>
                <w:szCs w:val="24"/>
              </w:rPr>
              <w:t>6</w:t>
            </w:r>
            <w:r>
              <w:rPr>
                <w:rFonts w:ascii="宋体" w:hAnsi="宋体" w:cs="宋体"/>
                <w:sz w:val="24"/>
                <w:szCs w:val="24"/>
              </w:rPr>
              <w:t>分，不缺项且有简单描述的得</w:t>
            </w:r>
            <w:r>
              <w:rPr>
                <w:rFonts w:hint="eastAsia" w:ascii="宋体" w:hAnsi="宋体" w:cs="宋体"/>
                <w:sz w:val="24"/>
                <w:szCs w:val="24"/>
              </w:rPr>
              <w:t>3</w:t>
            </w:r>
            <w:r>
              <w:rPr>
                <w:rFonts w:ascii="宋体" w:hAnsi="宋体" w:cs="宋体"/>
                <w:sz w:val="24"/>
                <w:szCs w:val="24"/>
              </w:rPr>
              <w:t xml:space="preserve">分，不提供不得分。 </w:t>
            </w:r>
          </w:p>
          <w:p>
            <w:pPr>
              <w:spacing w:line="360" w:lineRule="auto"/>
              <w:jc w:val="left"/>
              <w:rPr>
                <w:rFonts w:ascii="宋体" w:hAnsi="宋体" w:cs="宋体"/>
                <w:sz w:val="24"/>
                <w:szCs w:val="24"/>
              </w:rPr>
            </w:pPr>
            <w:r>
              <w:rPr>
                <w:rFonts w:hint="eastAsia" w:ascii="宋体" w:hAnsi="宋体" w:cs="宋体"/>
                <w:sz w:val="24"/>
                <w:szCs w:val="24"/>
              </w:rPr>
              <w:t>3、</w:t>
            </w:r>
            <w:r>
              <w:rPr>
                <w:rFonts w:ascii="宋体" w:hAnsi="宋体" w:cs="宋体"/>
                <w:sz w:val="24"/>
                <w:szCs w:val="24"/>
              </w:rPr>
              <w:t>工期保证措施：有工期目标和工期保证体系，进度控制和管理措施，内容详实的得</w:t>
            </w:r>
            <w:r>
              <w:rPr>
                <w:rFonts w:hint="eastAsia" w:ascii="宋体" w:hAnsi="宋体" w:cs="宋体"/>
                <w:sz w:val="24"/>
                <w:szCs w:val="24"/>
              </w:rPr>
              <w:t>5</w:t>
            </w:r>
            <w:r>
              <w:rPr>
                <w:rFonts w:ascii="宋体" w:hAnsi="宋体" w:cs="宋体"/>
                <w:sz w:val="24"/>
                <w:szCs w:val="24"/>
              </w:rPr>
              <w:t>分，不缺项且有简单描述的得</w:t>
            </w:r>
            <w:r>
              <w:rPr>
                <w:rFonts w:hint="eastAsia" w:ascii="宋体" w:hAnsi="宋体" w:cs="宋体"/>
                <w:sz w:val="24"/>
                <w:szCs w:val="24"/>
              </w:rPr>
              <w:t>2</w:t>
            </w:r>
            <w:r>
              <w:rPr>
                <w:rFonts w:ascii="宋体" w:hAnsi="宋体" w:cs="宋体"/>
                <w:sz w:val="24"/>
                <w:szCs w:val="24"/>
              </w:rPr>
              <w:t xml:space="preserve">分，不提供不得分。 </w:t>
            </w:r>
          </w:p>
          <w:p>
            <w:pPr>
              <w:spacing w:line="360" w:lineRule="auto"/>
              <w:jc w:val="left"/>
              <w:rPr>
                <w:rFonts w:ascii="宋体" w:hAnsi="宋体" w:cs="宋体"/>
                <w:sz w:val="24"/>
                <w:szCs w:val="24"/>
              </w:rPr>
            </w:pPr>
            <w:r>
              <w:rPr>
                <w:rFonts w:hint="eastAsia" w:ascii="宋体" w:hAnsi="宋体" w:cs="宋体"/>
                <w:sz w:val="24"/>
                <w:szCs w:val="24"/>
              </w:rPr>
              <w:t>4、</w:t>
            </w:r>
            <w:r>
              <w:rPr>
                <w:rFonts w:ascii="宋体" w:hAnsi="宋体" w:cs="宋体"/>
                <w:sz w:val="24"/>
                <w:szCs w:val="24"/>
              </w:rPr>
              <w:t>安全保证措施：有安全生产管理目标，有安全生产管理体系、责任体系，有安全生产管理制度和措施，内容详实的得</w:t>
            </w:r>
            <w:r>
              <w:rPr>
                <w:rFonts w:hint="eastAsia" w:ascii="宋体" w:hAnsi="宋体" w:cs="宋体"/>
                <w:sz w:val="24"/>
                <w:szCs w:val="24"/>
              </w:rPr>
              <w:t>6</w:t>
            </w:r>
            <w:r>
              <w:rPr>
                <w:rFonts w:ascii="宋体" w:hAnsi="宋体" w:cs="宋体"/>
                <w:sz w:val="24"/>
                <w:szCs w:val="24"/>
              </w:rPr>
              <w:t>分，不缺项且有简单描述的得</w:t>
            </w:r>
            <w:r>
              <w:rPr>
                <w:rFonts w:hint="eastAsia" w:ascii="宋体" w:hAnsi="宋体" w:cs="宋体"/>
                <w:sz w:val="24"/>
                <w:szCs w:val="24"/>
              </w:rPr>
              <w:t>3</w:t>
            </w:r>
            <w:r>
              <w:rPr>
                <w:rFonts w:ascii="宋体" w:hAnsi="宋体" w:cs="宋体"/>
                <w:sz w:val="24"/>
                <w:szCs w:val="24"/>
              </w:rPr>
              <w:t>分，不提供不得分。</w:t>
            </w:r>
          </w:p>
          <w:p>
            <w:pPr>
              <w:spacing w:line="360" w:lineRule="auto"/>
              <w:jc w:val="left"/>
              <w:rPr>
                <w:rFonts w:ascii="宋体" w:hAnsi="宋体" w:cs="宋体"/>
                <w:sz w:val="24"/>
                <w:szCs w:val="24"/>
              </w:rPr>
            </w:pPr>
            <w:r>
              <w:rPr>
                <w:rFonts w:ascii="宋体" w:hAnsi="宋体" w:cs="宋体"/>
                <w:sz w:val="24"/>
                <w:szCs w:val="24"/>
              </w:rPr>
              <w:t>5、环境保护体系和保证措施：有如防尘措施、防噪措施、危废物品处置、建筑垃圾处理等，内容详实的得</w:t>
            </w:r>
            <w:r>
              <w:rPr>
                <w:rFonts w:hint="eastAsia" w:ascii="宋体" w:hAnsi="宋体" w:cs="宋体"/>
                <w:sz w:val="24"/>
                <w:szCs w:val="24"/>
              </w:rPr>
              <w:t>6</w:t>
            </w:r>
            <w:r>
              <w:rPr>
                <w:rFonts w:ascii="宋体" w:hAnsi="宋体" w:cs="宋体"/>
                <w:sz w:val="24"/>
                <w:szCs w:val="24"/>
              </w:rPr>
              <w:t>分，不缺项且有简单描述的得</w:t>
            </w:r>
            <w:r>
              <w:rPr>
                <w:rFonts w:hint="eastAsia" w:ascii="宋体" w:hAnsi="宋体" w:cs="宋体"/>
                <w:sz w:val="24"/>
                <w:szCs w:val="24"/>
              </w:rPr>
              <w:t>3</w:t>
            </w:r>
            <w:r>
              <w:rPr>
                <w:rFonts w:ascii="宋体" w:hAnsi="宋体" w:cs="宋体"/>
                <w:sz w:val="24"/>
                <w:szCs w:val="24"/>
              </w:rPr>
              <w:t>分，不提供不得分。</w:t>
            </w:r>
          </w:p>
          <w:p>
            <w:pPr>
              <w:spacing w:line="360" w:lineRule="auto"/>
              <w:jc w:val="left"/>
              <w:rPr>
                <w:rFonts w:ascii="宋体" w:hAnsi="宋体" w:cs="宋体"/>
                <w:sz w:val="24"/>
                <w:szCs w:val="24"/>
              </w:rPr>
            </w:pPr>
            <w:r>
              <w:rPr>
                <w:rFonts w:hint="eastAsia" w:ascii="宋体" w:hAnsi="宋体" w:cs="宋体"/>
                <w:sz w:val="24"/>
                <w:szCs w:val="24"/>
              </w:rPr>
              <w:t>6、</w:t>
            </w:r>
            <w:r>
              <w:rPr>
                <w:rFonts w:ascii="宋体" w:hAnsi="宋体" w:cs="宋体"/>
                <w:sz w:val="24"/>
                <w:szCs w:val="24"/>
              </w:rPr>
              <w:t>施工管理：组织科学合理，有组织架构图和岗位职责，内容详实的得</w:t>
            </w:r>
            <w:r>
              <w:rPr>
                <w:rFonts w:hint="eastAsia" w:ascii="宋体" w:hAnsi="宋体" w:cs="宋体"/>
                <w:sz w:val="24"/>
                <w:szCs w:val="24"/>
              </w:rPr>
              <w:t>5</w:t>
            </w:r>
            <w:r>
              <w:rPr>
                <w:rFonts w:ascii="宋体" w:hAnsi="宋体" w:cs="宋体"/>
                <w:sz w:val="24"/>
                <w:szCs w:val="24"/>
              </w:rPr>
              <w:t>分，不缺项且有简单描述的得</w:t>
            </w:r>
            <w:r>
              <w:rPr>
                <w:rFonts w:hint="eastAsia" w:ascii="宋体" w:hAnsi="宋体" w:cs="宋体"/>
                <w:sz w:val="24"/>
                <w:szCs w:val="24"/>
              </w:rPr>
              <w:t>2</w:t>
            </w:r>
            <w:r>
              <w:rPr>
                <w:rFonts w:ascii="宋体" w:hAnsi="宋体" w:cs="宋体"/>
                <w:sz w:val="24"/>
                <w:szCs w:val="24"/>
              </w:rPr>
              <w:t xml:space="preserve">分，不提供不得分。 </w:t>
            </w:r>
          </w:p>
          <w:p>
            <w:pPr>
              <w:widowControl/>
              <w:spacing w:line="440" w:lineRule="exact"/>
              <w:jc w:val="left"/>
              <w:rPr>
                <w:rFonts w:ascii="宋体" w:hAnsi="宋体" w:cs="宋体"/>
                <w:color w:val="000000"/>
                <w:kern w:val="0"/>
                <w:sz w:val="24"/>
                <w:szCs w:val="24"/>
                <w:lang w:bidi="ar"/>
              </w:rPr>
            </w:pPr>
            <w:r>
              <w:rPr>
                <w:rFonts w:ascii="宋体" w:hAnsi="宋体" w:cs="宋体"/>
                <w:sz w:val="24"/>
                <w:szCs w:val="24"/>
              </w:rPr>
              <w:t>7、资源配备计划：施工管理组织完善，任务明确，职责清晰，有施工机械配备计划，有物资、人员配备计划和资金使用计划，内容详实的得</w:t>
            </w:r>
            <w:r>
              <w:rPr>
                <w:rFonts w:hint="eastAsia" w:ascii="宋体" w:hAnsi="宋体" w:cs="宋体"/>
                <w:sz w:val="24"/>
                <w:szCs w:val="24"/>
              </w:rPr>
              <w:t>6</w:t>
            </w:r>
            <w:r>
              <w:rPr>
                <w:rFonts w:ascii="宋体" w:hAnsi="宋体" w:cs="宋体"/>
                <w:sz w:val="24"/>
                <w:szCs w:val="24"/>
              </w:rPr>
              <w:t>分，不缺项且有简单描述的得</w:t>
            </w:r>
            <w:r>
              <w:rPr>
                <w:rFonts w:hint="eastAsia" w:ascii="宋体" w:hAnsi="宋体" w:cs="宋体"/>
                <w:sz w:val="24"/>
                <w:szCs w:val="24"/>
              </w:rPr>
              <w:t>3</w:t>
            </w:r>
            <w:r>
              <w:rPr>
                <w:rFonts w:ascii="宋体" w:hAnsi="宋体" w:cs="宋体"/>
                <w:sz w:val="24"/>
                <w:szCs w:val="24"/>
              </w:rPr>
              <w:t>分，不提供不得分。</w:t>
            </w:r>
          </w:p>
        </w:tc>
        <w:tc>
          <w:tcPr>
            <w:tcW w:w="1069" w:type="dxa"/>
            <w:noWrap/>
            <w:vAlign w:val="center"/>
          </w:tcPr>
          <w:p>
            <w:pPr>
              <w:widowControl/>
              <w:spacing w:line="440" w:lineRule="exact"/>
              <w:ind w:firstLine="240" w:firstLineChars="100"/>
              <w:jc w:val="left"/>
              <w:rPr>
                <w:rFonts w:ascii="宋体" w:hAnsi="宋体" w:cs="宋体"/>
                <w:color w:val="000000"/>
                <w:kern w:val="0"/>
                <w:sz w:val="24"/>
                <w:szCs w:val="24"/>
                <w:lang w:bidi="ar"/>
              </w:rPr>
            </w:pPr>
          </w:p>
          <w:p>
            <w:pPr>
              <w:widowControl/>
              <w:spacing w:line="440" w:lineRule="exact"/>
              <w:ind w:firstLine="240" w:firstLineChars="100"/>
              <w:jc w:val="left"/>
              <w:rPr>
                <w:rFonts w:ascii="宋体" w:hAnsi="宋体" w:cs="宋体"/>
                <w:color w:val="000000"/>
                <w:kern w:val="0"/>
                <w:sz w:val="24"/>
                <w:szCs w:val="24"/>
                <w:lang w:bidi="ar"/>
              </w:rPr>
            </w:pPr>
          </w:p>
          <w:p>
            <w:pPr>
              <w:widowControl/>
              <w:spacing w:line="440" w:lineRule="exact"/>
              <w:ind w:firstLine="240" w:firstLineChars="100"/>
              <w:jc w:val="left"/>
              <w:rPr>
                <w:rFonts w:ascii="宋体" w:hAnsi="宋体" w:cs="宋体"/>
                <w:color w:val="000000"/>
                <w:kern w:val="0"/>
                <w:sz w:val="24"/>
                <w:szCs w:val="24"/>
                <w:lang w:bidi="ar"/>
              </w:rPr>
            </w:pPr>
          </w:p>
          <w:p>
            <w:pPr>
              <w:widowControl/>
              <w:spacing w:line="440" w:lineRule="exact"/>
              <w:ind w:firstLine="240" w:firstLineChars="100"/>
              <w:jc w:val="left"/>
              <w:rPr>
                <w:rFonts w:ascii="宋体" w:hAnsi="宋体" w:cs="宋体"/>
                <w:color w:val="000000"/>
                <w:kern w:val="0"/>
                <w:sz w:val="24"/>
                <w:szCs w:val="24"/>
                <w:lang w:bidi="ar"/>
              </w:rPr>
            </w:pPr>
          </w:p>
          <w:p>
            <w:pPr>
              <w:widowControl/>
              <w:spacing w:line="440" w:lineRule="exact"/>
              <w:ind w:firstLine="240" w:firstLineChars="100"/>
              <w:jc w:val="left"/>
              <w:rPr>
                <w:rFonts w:ascii="宋体" w:hAnsi="宋体" w:cs="宋体"/>
                <w:color w:val="000000"/>
                <w:kern w:val="0"/>
                <w:sz w:val="24"/>
                <w:szCs w:val="24"/>
                <w:lang w:bidi="ar"/>
              </w:rPr>
            </w:pPr>
          </w:p>
          <w:p>
            <w:pPr>
              <w:widowControl/>
              <w:spacing w:line="440" w:lineRule="exact"/>
              <w:ind w:firstLine="240" w:firstLineChars="100"/>
              <w:jc w:val="left"/>
              <w:rPr>
                <w:rFonts w:ascii="宋体" w:hAnsi="宋体" w:cs="宋体"/>
                <w:color w:val="000000"/>
                <w:kern w:val="0"/>
                <w:sz w:val="24"/>
                <w:szCs w:val="24"/>
                <w:lang w:bidi="ar"/>
              </w:rPr>
            </w:pPr>
          </w:p>
          <w:p>
            <w:pPr>
              <w:widowControl/>
              <w:spacing w:line="440" w:lineRule="exact"/>
              <w:ind w:firstLine="240" w:firstLineChars="100"/>
              <w:jc w:val="left"/>
              <w:rPr>
                <w:rFonts w:ascii="宋体" w:hAnsi="宋体" w:cs="宋体"/>
                <w:color w:val="000000"/>
                <w:kern w:val="0"/>
                <w:sz w:val="24"/>
                <w:szCs w:val="24"/>
                <w:lang w:bidi="ar"/>
              </w:rPr>
            </w:pPr>
          </w:p>
          <w:p>
            <w:pPr>
              <w:widowControl/>
              <w:spacing w:line="440" w:lineRule="exact"/>
              <w:ind w:firstLine="240" w:firstLineChars="100"/>
              <w:jc w:val="left"/>
              <w:rPr>
                <w:rFonts w:ascii="宋体" w:hAnsi="宋体" w:cs="宋体"/>
                <w:color w:val="000000"/>
                <w:kern w:val="0"/>
                <w:sz w:val="24"/>
                <w:szCs w:val="24"/>
                <w:lang w:bidi="ar"/>
              </w:rPr>
            </w:pPr>
          </w:p>
          <w:p>
            <w:pPr>
              <w:widowControl/>
              <w:spacing w:line="440" w:lineRule="exact"/>
              <w:ind w:firstLine="240" w:firstLineChars="100"/>
              <w:jc w:val="left"/>
              <w:rPr>
                <w:rFonts w:ascii="宋体" w:hAnsi="宋体" w:cs="宋体"/>
                <w:color w:val="000000"/>
                <w:kern w:val="0"/>
                <w:sz w:val="24"/>
                <w:szCs w:val="24"/>
                <w:lang w:bidi="ar"/>
              </w:rPr>
            </w:pPr>
          </w:p>
          <w:p>
            <w:pPr>
              <w:widowControl/>
              <w:spacing w:line="440" w:lineRule="exact"/>
              <w:ind w:firstLine="240" w:firstLineChars="1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40分</w:t>
            </w:r>
          </w:p>
        </w:tc>
      </w:tr>
    </w:tbl>
    <w:p>
      <w:pPr>
        <w:pStyle w:val="8"/>
        <w:spacing w:line="360" w:lineRule="auto"/>
        <w:ind w:right="-512" w:rightChars="-244"/>
        <w:contextualSpacing/>
        <w:rPr>
          <w:rFonts w:ascii="宋体" w:hAnsi="宋体" w:cs="仿宋_GB2312"/>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7</w:t>
      </w:r>
      <w:r>
        <w:rPr>
          <w:rFonts w:hint="eastAsia" w:ascii="宋体" w:hAnsi="宋体" w:cs="仿宋_GB2312"/>
          <w:b/>
          <w:sz w:val="24"/>
          <w:szCs w:val="24"/>
          <w:lang w:val="zh-CN"/>
        </w:rPr>
        <w:t>）</w:t>
      </w:r>
      <w:r>
        <w:rPr>
          <w:rFonts w:ascii="宋体" w:hAnsi="宋体" w:cs="仿宋_GB2312"/>
          <w:b/>
          <w:sz w:val="24"/>
          <w:szCs w:val="24"/>
          <w:lang w:val="zh-CN"/>
        </w:rPr>
        <w:t>评标结果汇总完成后，除下列情形外，任何人不得修改评标结果：</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3） 磋商小组</w:t>
      </w:r>
      <w:r>
        <w:rPr>
          <w:rFonts w:ascii="宋体" w:hAnsi="宋体"/>
          <w:bCs/>
          <w:sz w:val="24"/>
          <w:szCs w:val="24"/>
          <w:lang w:val="en-GB"/>
        </w:rPr>
        <w:t>成员对客观评审因素评分不一致的；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w:t>
      </w:r>
      <w:r>
        <w:rPr>
          <w:rFonts w:hint="eastAsia" w:ascii="宋体" w:hAnsi="宋体"/>
          <w:bCs/>
          <w:sz w:val="24"/>
          <w:szCs w:val="24"/>
          <w:lang w:val="en-GB"/>
        </w:rPr>
        <w:t>磋商小组</w:t>
      </w:r>
      <w:r>
        <w:rPr>
          <w:rFonts w:ascii="宋体" w:hAnsi="宋体"/>
          <w:bCs/>
          <w:sz w:val="24"/>
          <w:szCs w:val="24"/>
          <w:lang w:val="en-GB"/>
        </w:rPr>
        <w:t>认定评分畸高、畸低的。</w:t>
      </w:r>
    </w:p>
    <w:p>
      <w:pPr>
        <w:spacing w:line="360" w:lineRule="auto"/>
        <w:ind w:right="-512" w:rightChars="-244"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w:t>
      </w:r>
      <w:r>
        <w:rPr>
          <w:rFonts w:hint="eastAsia" w:ascii="宋体" w:hAnsi="宋体"/>
          <w:bCs/>
          <w:sz w:val="24"/>
          <w:szCs w:val="24"/>
          <w:lang w:val="en-GB"/>
        </w:rPr>
        <w:t>磋商小组</w:t>
      </w:r>
      <w:r>
        <w:rPr>
          <w:rFonts w:ascii="宋体" w:hAnsi="宋体"/>
          <w:bCs/>
          <w:sz w:val="24"/>
          <w:szCs w:val="24"/>
          <w:lang w:val="en-GB"/>
        </w:rPr>
        <w:t>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w:t>
      </w:r>
      <w:r>
        <w:rPr>
          <w:rFonts w:hint="eastAsia" w:ascii="宋体" w:hAnsi="宋体"/>
          <w:bCs/>
          <w:sz w:val="24"/>
          <w:szCs w:val="24"/>
          <w:lang w:val="en-GB"/>
        </w:rPr>
        <w:t>磋商小组</w:t>
      </w:r>
      <w:r>
        <w:rPr>
          <w:rFonts w:ascii="宋体" w:hAnsi="宋体"/>
          <w:bCs/>
          <w:sz w:val="24"/>
          <w:szCs w:val="24"/>
          <w:lang w:val="en-GB"/>
        </w:rPr>
        <w:t>进行重新评审，重新评审改变评标结果的，书面报告本级财政部门。</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供应商</w:t>
      </w:r>
      <w:r>
        <w:rPr>
          <w:rFonts w:ascii="宋体" w:hAnsi="宋体"/>
          <w:bCs/>
          <w:sz w:val="24"/>
          <w:szCs w:val="24"/>
          <w:lang w:val="en-GB"/>
        </w:rPr>
        <w:t>对本条第一款情形提出质疑的，采购人或者采购代理机构可以组织原</w:t>
      </w:r>
      <w:r>
        <w:rPr>
          <w:rFonts w:hint="eastAsia" w:ascii="宋体" w:hAnsi="宋体"/>
          <w:bCs/>
          <w:sz w:val="24"/>
          <w:szCs w:val="24"/>
          <w:lang w:val="en-GB"/>
        </w:rPr>
        <w:t>磋商小组</w:t>
      </w:r>
      <w:r>
        <w:rPr>
          <w:rFonts w:ascii="宋体" w:hAnsi="宋体"/>
          <w:bCs/>
          <w:sz w:val="24"/>
          <w:szCs w:val="24"/>
          <w:lang w:val="en-GB"/>
        </w:rPr>
        <w:t>进行重新评审，重新评审改变评标结果的，应当书面报告本级财政部门。</w:t>
      </w:r>
    </w:p>
    <w:p>
      <w:pPr>
        <w:widowControl/>
        <w:spacing w:line="360" w:lineRule="auto"/>
        <w:jc w:val="left"/>
        <w:rPr>
          <w:rFonts w:ascii="宋体" w:hAnsi="宋体" w:cs="仿宋_GB2312"/>
          <w:b/>
          <w:sz w:val="24"/>
          <w:szCs w:val="24"/>
          <w:lang w:val="en-GB"/>
        </w:rPr>
      </w:pPr>
      <w:r>
        <w:rPr>
          <w:rFonts w:hint="eastAsia" w:ascii="宋体" w:hAnsi="宋体"/>
          <w:b/>
          <w:sz w:val="24"/>
          <w:szCs w:val="24"/>
          <w:lang w:val="en-GB"/>
        </w:rPr>
        <w:t>（</w:t>
      </w:r>
      <w:r>
        <w:rPr>
          <w:rFonts w:hint="eastAsia" w:ascii="宋体" w:hAnsi="宋体"/>
          <w:b/>
          <w:sz w:val="24"/>
          <w:szCs w:val="24"/>
        </w:rPr>
        <w:t>8</w:t>
      </w:r>
      <w:r>
        <w:rPr>
          <w:rFonts w:hint="eastAsia" w:ascii="宋体" w:hAnsi="宋体"/>
          <w:b/>
          <w:sz w:val="24"/>
          <w:szCs w:val="24"/>
          <w:lang w:val="en-GB"/>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idowControl/>
        <w:spacing w:line="360" w:lineRule="auto"/>
        <w:jc w:val="left"/>
        <w:rPr>
          <w:rFonts w:ascii="宋体" w:hAnsi="宋体" w:cs="仿宋_GB2312"/>
          <w:b/>
          <w:sz w:val="24"/>
          <w:szCs w:val="24"/>
          <w:lang w:val="en-GB"/>
        </w:rPr>
      </w:pPr>
      <w:r>
        <w:rPr>
          <w:rFonts w:hint="eastAsia" w:ascii="宋体" w:hAnsi="宋体" w:cs="宋体"/>
          <w:b/>
          <w:bCs/>
          <w:color w:val="000000"/>
          <w:kern w:val="0"/>
          <w:sz w:val="24"/>
          <w:szCs w:val="24"/>
          <w:lang w:bidi="ar"/>
        </w:rPr>
        <w:t>（</w:t>
      </w:r>
      <w:r>
        <w:rPr>
          <w:rFonts w:hint="eastAsia" w:ascii="宋体" w:hAnsi="宋体" w:cs="仿宋_GB2312"/>
          <w:b/>
          <w:sz w:val="24"/>
          <w:szCs w:val="24"/>
        </w:rPr>
        <w:t xml:space="preserve">9）推荐成交候选供应商 </w:t>
      </w:r>
    </w:p>
    <w:p>
      <w:pPr>
        <w:spacing w:line="360" w:lineRule="auto"/>
        <w:ind w:right="-512" w:rightChars="-244" w:firstLine="480" w:firstLineChars="200"/>
        <w:rPr>
          <w:lang w:val="en-GB"/>
        </w:rPr>
      </w:pPr>
      <w:r>
        <w:rPr>
          <w:rFonts w:hint="eastAsia" w:ascii="宋体" w:hAnsi="宋体"/>
          <w:bCs/>
          <w:sz w:val="24"/>
          <w:szCs w:val="24"/>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contextualSpacing/>
        <w:rPr>
          <w:rFonts w:ascii="宋体" w:hAnsi="宋体" w:cs="仿宋_GB2312"/>
          <w:spacing w:val="-4"/>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10</w:t>
      </w:r>
      <w:r>
        <w:rPr>
          <w:rFonts w:hint="eastAsia" w:ascii="宋体" w:hAnsi="宋体" w:cs="仿宋_GB2312"/>
          <w:b/>
          <w:sz w:val="24"/>
          <w:szCs w:val="24"/>
          <w:lang w:val="zh-CN"/>
        </w:rPr>
        <w:t>）磋商小组争议处理</w:t>
      </w:r>
    </w:p>
    <w:p>
      <w:pPr>
        <w:spacing w:line="360" w:lineRule="auto"/>
        <w:ind w:right="-512" w:rightChars="-244" w:firstLine="480" w:firstLineChars="200"/>
        <w:rPr>
          <w:rFonts w:ascii="宋体" w:hAnsi="宋体"/>
          <w:bCs/>
          <w:sz w:val="24"/>
          <w:szCs w:val="24"/>
          <w:lang w:val="zh-CN"/>
        </w:rPr>
      </w:pPr>
      <w:r>
        <w:rPr>
          <w:rFonts w:hint="eastAsia" w:ascii="宋体" w:hAnsi="宋体"/>
          <w:bCs/>
          <w:sz w:val="24"/>
          <w:szCs w:val="24"/>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jc w:val="left"/>
        <w:rPr>
          <w:rFonts w:ascii="宋体" w:hAnsi="宋体" w:cs="仿宋_GB2312"/>
          <w:b/>
          <w:sz w:val="24"/>
          <w:szCs w:val="24"/>
          <w:lang w:val="zh-CN"/>
        </w:rPr>
      </w:pPr>
      <w:r>
        <w:rPr>
          <w:rFonts w:hint="eastAsia" w:ascii="宋体" w:hAnsi="宋体" w:cs="仿宋_GB2312"/>
          <w:b/>
          <w:sz w:val="24"/>
          <w:szCs w:val="24"/>
        </w:rPr>
        <w:t>4、确定成交候选人名单，以及根据采购人委托直接确定成交人。</w:t>
      </w:r>
    </w:p>
    <w:p>
      <w:pPr>
        <w:pStyle w:val="21"/>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5"/>
        <w:ind w:right="-512" w:rightChars="-244"/>
        <w:rPr>
          <w:rFonts w:hint="default"/>
        </w:rPr>
      </w:pPr>
    </w:p>
    <w:p>
      <w:pPr>
        <w:tabs>
          <w:tab w:val="left" w:pos="5000"/>
        </w:tabs>
        <w:spacing w:line="360" w:lineRule="auto"/>
        <w:ind w:firstLine="490"/>
        <w:rPr>
          <w:rFonts w:ascii="Times New Roman" w:hAnsi="宋体"/>
          <w:b/>
          <w:color w:val="000000"/>
          <w:sz w:val="28"/>
          <w:szCs w:val="28"/>
        </w:rPr>
      </w:pPr>
      <w:bookmarkStart w:id="24" w:name="_Toc278443514"/>
      <w:r>
        <w:rPr>
          <w:rFonts w:hint="eastAsia" w:hAnsi="宋体" w:cs="黑体"/>
          <w:b/>
          <w:sz w:val="32"/>
          <w:szCs w:val="32"/>
        </w:rPr>
        <w:t xml:space="preserve"> </w:t>
      </w:r>
      <w:bookmarkEnd w:id="24"/>
      <w:r>
        <w:rPr>
          <w:rFonts w:hint="eastAsia" w:hAnsi="宋体" w:cs="黑体"/>
          <w:bCs/>
          <w:sz w:val="28"/>
          <w:szCs w:val="28"/>
        </w:rPr>
        <w:t>采用由中华人民共和国住房和城乡建设部与国家工商行政管理局联合制定的《建设工程施工合同示范文本》（GF-2017-0201）签订合同。</w:t>
      </w:r>
    </w:p>
    <w:p>
      <w:pPr>
        <w:spacing w:line="360" w:lineRule="auto"/>
        <w:ind w:firstLine="482" w:firstLineChars="200"/>
        <w:rPr>
          <w:rFonts w:hAnsi="宋体"/>
          <w:b/>
          <w:bCs/>
          <w:sz w:val="24"/>
        </w:rPr>
      </w:pPr>
    </w:p>
    <w:p>
      <w:pPr>
        <w:spacing w:line="360" w:lineRule="auto"/>
        <w:ind w:firstLine="482" w:firstLineChars="200"/>
        <w:rPr>
          <w:rFonts w:hAnsi="宋体"/>
          <w:b/>
          <w:bCs/>
          <w:sz w:val="24"/>
        </w:rPr>
      </w:pPr>
      <w:r>
        <w:rPr>
          <w:rFonts w:hint="eastAsia" w:hAnsi="宋体"/>
          <w:b/>
          <w:bCs/>
          <w:sz w:val="24"/>
        </w:rPr>
        <w:t>其他未尽事宜在签订合同时发包人与承包人商定或在补充协议中具体约定。</w:t>
      </w:r>
    </w:p>
    <w:p>
      <w:pPr>
        <w:tabs>
          <w:tab w:val="left" w:pos="5000"/>
        </w:tabs>
        <w:spacing w:line="360" w:lineRule="auto"/>
        <w:ind w:firstLine="490"/>
        <w:rPr>
          <w:rFonts w:hAnsi="宋体" w:cs="黑体"/>
          <w:b/>
          <w:sz w:val="32"/>
          <w:szCs w:val="32"/>
        </w:rPr>
      </w:pPr>
    </w:p>
    <w:p>
      <w:pPr>
        <w:pageBreakBefore/>
        <w:ind w:right="-512" w:rightChars="-244"/>
        <w:jc w:val="center"/>
        <w:outlineLvl w:val="0"/>
        <w:rPr>
          <w:rFonts w:ascii="宋体" w:hAnsi="宋体"/>
          <w:b/>
          <w:sz w:val="36"/>
          <w:szCs w:val="36"/>
        </w:rPr>
      </w:pPr>
      <w:r>
        <w:rPr>
          <w:rFonts w:hint="eastAsia" w:ascii="宋体" w:hAnsi="宋体" w:cs="宋体"/>
          <w:b/>
          <w:sz w:val="36"/>
          <w:szCs w:val="36"/>
        </w:rPr>
        <w:t>第八章 响应文件有关格式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5"/>
        <w:jc w:val="center"/>
        <w:rPr>
          <w:rFonts w:hint="default" w:ascii="宋体"/>
          <w:sz w:val="24"/>
        </w:rPr>
      </w:pPr>
      <w:r>
        <w:rPr>
          <w:rFonts w:ascii="宋体"/>
          <w:sz w:val="24"/>
        </w:rPr>
        <w:t xml:space="preserve">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ascii="宋体" w:hAnsi="宋体" w:cs="宋体"/>
          <w:sz w:val="24"/>
          <w:u w:val="single"/>
        </w:rPr>
      </w:pPr>
      <w:bookmarkStart w:id="25" w:name="_Toc7428_WPSOffice_Level1"/>
      <w:bookmarkStart w:id="26" w:name="_Toc27760_WPSOffice_Level1"/>
      <w:r>
        <w:rPr>
          <w:rFonts w:hint="eastAsia" w:ascii="宋体" w:hAnsi="宋体" w:cs="宋体"/>
          <w:sz w:val="28"/>
          <w:szCs w:val="28"/>
        </w:rPr>
        <w:t>供应商名称（全称并加盖公章）：</w:t>
      </w:r>
      <w:bookmarkEnd w:id="25"/>
      <w:bookmarkEnd w:id="26"/>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p>
    <w:p>
      <w:pPr>
        <w:spacing w:line="480" w:lineRule="auto"/>
        <w:ind w:firstLine="560" w:firstLineChars="200"/>
        <w:rPr>
          <w:rFonts w:ascii="宋体" w:hAnsi="宋体" w:cs="宋体"/>
          <w:b/>
          <w:bCs/>
          <w:sz w:val="28"/>
          <w:szCs w:val="28"/>
        </w:rPr>
      </w:pPr>
      <w:bookmarkStart w:id="27" w:name="_Toc28157_WPSOffice_Level1"/>
      <w:bookmarkStart w:id="28" w:name="_Toc4840_WPSOffice_Level1"/>
      <w:r>
        <w:rPr>
          <w:rFonts w:hint="eastAsia" w:ascii="宋体" w:hAnsi="宋体" w:cs="宋体"/>
          <w:sz w:val="28"/>
          <w:szCs w:val="28"/>
        </w:rPr>
        <w:t>法定代表人或委托代理人（签字）：</w:t>
      </w:r>
      <w:bookmarkEnd w:id="27"/>
      <w:bookmarkEnd w:id="28"/>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p>
    <w:p>
      <w:pPr>
        <w:spacing w:line="480" w:lineRule="auto"/>
        <w:ind w:firstLine="560" w:firstLineChars="200"/>
        <w:rPr>
          <w:rFonts w:ascii="宋体" w:hAnsi="宋体" w:cs="宋体"/>
          <w:sz w:val="24"/>
        </w:rPr>
      </w:pPr>
      <w:bookmarkStart w:id="29" w:name="_Toc2311_WPSOffice_Level1"/>
      <w:bookmarkStart w:id="30" w:name="_Toc15640_WPSOffice_Level1"/>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bookmarkEnd w:id="29"/>
      <w:bookmarkEnd w:id="30"/>
    </w:p>
    <w:p>
      <w:pPr>
        <w:ind w:right="-512" w:rightChars="-244" w:firstLine="1446" w:firstLineChars="400"/>
        <w:rPr>
          <w:rFonts w:ascii="宋体" w:hAnsi="宋体" w:cs="黑体"/>
          <w:b/>
          <w:bCs/>
          <w:sz w:val="44"/>
          <w:szCs w:val="44"/>
          <w:lang w:val="zh-CN"/>
        </w:rPr>
      </w:pPr>
      <w:r>
        <w:rPr>
          <w:rFonts w:ascii="宋体" w:hAnsi="宋体"/>
          <w:b/>
          <w:snapToGrid w:val="0"/>
          <w:kern w:val="0"/>
          <w:sz w:val="36"/>
          <w:szCs w:val="36"/>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二、报价一览表</w:t>
      </w:r>
    </w:p>
    <w:p>
      <w:pPr>
        <w:spacing w:before="50" w:after="156" w:afterLines="50" w:line="360" w:lineRule="auto"/>
        <w:ind w:right="-512" w:rightChars="-244"/>
        <w:contextualSpacing/>
        <w:jc w:val="left"/>
        <w:rPr>
          <w:rFonts w:ascii="宋体" w:hAnsi="宋体"/>
          <w:sz w:val="24"/>
          <w:szCs w:val="24"/>
        </w:rPr>
      </w:pP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pacing w:line="360" w:lineRule="auto"/>
        <w:ind w:right="-512" w:rightChars="-244"/>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1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投标报价（</w:t>
            </w:r>
            <w:r>
              <w:rPr>
                <w:rFonts w:hint="eastAsia" w:ascii="宋体" w:hAnsi="宋体" w:cs="Arial"/>
                <w:sz w:val="24"/>
                <w:szCs w:val="24"/>
              </w:rPr>
              <w:t>元</w:t>
            </w:r>
            <w:r>
              <w:rPr>
                <w:rFonts w:hint="eastAsia" w:ascii="宋体" w:hAnsi="宋体" w:cs="宋体"/>
                <w:b/>
                <w:sz w:val="24"/>
                <w:szCs w:val="24"/>
                <w:lang w:val="zh-CN"/>
              </w:rPr>
              <w:t>）</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1217"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ind w:right="-512" w:rightChars="-244"/>
        <w:rPr>
          <w:rFonts w:ascii="宋体" w:cs="宋体"/>
          <w:sz w:val="24"/>
          <w:lang w:val="zh-CN"/>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ind w:right="-512" w:rightChars="-244"/>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8"/>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ind w:right="-512" w:rightChars="-244"/>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right="-512" w:rightChars="-244"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被正式授权并代表供应商</w:t>
      </w:r>
      <w:r>
        <w:rPr>
          <w:rFonts w:hint="eastAsia" w:ascii="宋体" w:hAnsi="宋体"/>
          <w:snapToGrid w:val="0"/>
          <w:kern w:val="0"/>
          <w:sz w:val="24"/>
          <w:szCs w:val="24"/>
          <w:u w:val="single"/>
        </w:rPr>
        <w:t xml:space="preserve">    （供应商名称、地址）</w:t>
      </w:r>
      <w:r>
        <w:rPr>
          <w:rFonts w:hint="eastAsia" w:ascii="宋体" w:hAnsi="宋体"/>
          <w:snapToGrid w:val="0"/>
          <w:kern w:val="0"/>
          <w:sz w:val="24"/>
          <w:szCs w:val="24"/>
        </w:rPr>
        <w:t>提交。</w:t>
      </w:r>
    </w:p>
    <w:p>
      <w:pPr>
        <w:pStyle w:val="8"/>
        <w:adjustRightInd w:val="0"/>
        <w:spacing w:line="360" w:lineRule="auto"/>
        <w:ind w:right="-512" w:rightChars="-244" w:firstLine="480" w:firstLineChars="200"/>
        <w:contextualSpacing/>
        <w:rPr>
          <w:rFonts w:ascii="宋体" w:hAnsi="宋体" w:cs="Times New Roman"/>
          <w:snapToGrid w:val="0"/>
          <w:kern w:val="0"/>
          <w:sz w:val="24"/>
          <w:szCs w:val="24"/>
          <w:u w:val="single"/>
        </w:rPr>
      </w:pPr>
      <w:r>
        <w:rPr>
          <w:rFonts w:hint="eastAsia" w:ascii="宋体" w:hAnsi="宋体" w:cs="Times New Roman"/>
          <w:snapToGrid w:val="0"/>
          <w:kern w:val="0"/>
          <w:sz w:val="24"/>
          <w:szCs w:val="24"/>
          <w:u w:val="single"/>
        </w:rPr>
        <w:t>我方确认收到贵方提供的    （项目名称、项目编号）磋商文件的全部内容。</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已完全理解并接受磋商文件的各项规定和要求及资金支付规定，对磋商文件的合理性、合法性不再有异议。</w:t>
      </w:r>
    </w:p>
    <w:p>
      <w:pPr>
        <w:adjustRightInd w:val="0"/>
        <w:spacing w:line="360" w:lineRule="auto"/>
        <w:ind w:right="-512" w:rightChars="-244"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(供应商名称)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作为供应商正式授权</w:t>
      </w:r>
      <w:r>
        <w:rPr>
          <w:rFonts w:hint="eastAsia" w:ascii="宋体" w:hAnsi="宋体"/>
          <w:snapToGrid w:val="0"/>
          <w:kern w:val="0"/>
          <w:sz w:val="24"/>
          <w:szCs w:val="24"/>
          <w:u w:val="single"/>
        </w:rPr>
        <w:t xml:space="preserve">(授权代表全名, 职务)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我方已完全明白磋商文件的所有条款要求，并申明如下：</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一、按磋商文件提供的全部货物与相关服务的投标总价详见《开标一览表》。</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六、我方如果中标，将保证履行磋商文件及其澄清、修改文件（如果有）中的全部责任和义务，按质、按量、按期完成《项目需求》及《合同书》中的全部任务。</w:t>
      </w:r>
    </w:p>
    <w:p>
      <w:pPr>
        <w:pStyle w:val="12"/>
        <w:adjustRightInd w:val="0"/>
        <w:spacing w:before="0" w:beforeAutospacing="0" w:after="0" w:afterAutospacing="0" w:line="360" w:lineRule="auto"/>
        <w:ind w:right="-512" w:rightChars="-244" w:firstLine="480" w:firstLineChars="200"/>
        <w:contextualSpacing/>
        <w:rPr>
          <w:rFonts w:ascii="宋体"/>
        </w:rPr>
      </w:pPr>
      <w:r>
        <w:rPr>
          <w:rFonts w:hint="eastAsia" w:ascii="宋体" w:cs="Courier New"/>
        </w:rPr>
        <w:t>七、我方在此保证所提交的所有文件和全部说明是真实的和正确的。</w:t>
      </w:r>
    </w:p>
    <w:p>
      <w:pPr>
        <w:pStyle w:val="8"/>
        <w:adjustRightInd w:val="0"/>
        <w:spacing w:line="360" w:lineRule="auto"/>
        <w:ind w:right="-512" w:rightChars="-244"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8"/>
        <w:adjustRightInd w:val="0"/>
        <w:spacing w:line="360" w:lineRule="auto"/>
        <w:ind w:right="-512" w:rightChars="-244"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8"/>
        <w:adjustRightInd w:val="0"/>
        <w:spacing w:line="360" w:lineRule="auto"/>
        <w:ind w:right="-512" w:rightChars="-244"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8"/>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8"/>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十一、我方对在本函及响应文件中所作的所有承诺承担法律责任。</w:t>
      </w:r>
    </w:p>
    <w:p>
      <w:pPr>
        <w:pStyle w:val="8"/>
        <w:adjustRightInd w:val="0"/>
        <w:snapToGrid w:val="0"/>
        <w:spacing w:line="360" w:lineRule="auto"/>
        <w:ind w:right="-512" w:rightChars="-244"/>
        <w:rPr>
          <w:rFonts w:ascii="宋体" w:hAnsi="宋体"/>
          <w:szCs w:val="24"/>
        </w:rPr>
      </w:pPr>
    </w:p>
    <w:p>
      <w:pPr>
        <w:pStyle w:val="8"/>
        <w:adjustRightInd w:val="0"/>
        <w:snapToGrid w:val="0"/>
        <w:spacing w:line="360" w:lineRule="auto"/>
        <w:ind w:right="-512" w:rightChars="-244"/>
        <w:rPr>
          <w:rFonts w:ascii="宋体" w:hAnsi="宋体"/>
          <w:szCs w:val="24"/>
        </w:rPr>
      </w:pPr>
    </w:p>
    <w:p>
      <w:pPr>
        <w:adjustRightInd w:val="0"/>
        <w:snapToGrid w:val="0"/>
        <w:spacing w:line="360" w:lineRule="auto"/>
        <w:ind w:right="-512" w:rightChars="-244"/>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ind w:right="-512" w:rightChars="-244"/>
        <w:rPr>
          <w:rFonts w:ascii="宋体" w:hAnsi="宋体"/>
          <w:sz w:val="24"/>
          <w:szCs w:val="24"/>
        </w:rPr>
      </w:pPr>
      <w:r>
        <w:rPr>
          <w:rFonts w:hint="eastAsia" w:ascii="宋体" w:hAnsi="宋体"/>
          <w:sz w:val="24"/>
          <w:szCs w:val="24"/>
        </w:rPr>
        <w:t>地    址：.  邮政编码：.</w:t>
      </w:r>
    </w:p>
    <w:p>
      <w:pPr>
        <w:adjustRightInd w:val="0"/>
        <w:snapToGrid w:val="0"/>
        <w:spacing w:line="360" w:lineRule="auto"/>
        <w:ind w:right="-512" w:rightChars="-244"/>
        <w:rPr>
          <w:rFonts w:ascii="宋体" w:hAnsi="宋体"/>
          <w:sz w:val="24"/>
          <w:szCs w:val="24"/>
        </w:rPr>
      </w:pPr>
      <w:r>
        <w:rPr>
          <w:rFonts w:hint="eastAsia" w:ascii="宋体" w:hAnsi="宋体"/>
          <w:sz w:val="24"/>
          <w:szCs w:val="24"/>
        </w:rPr>
        <w:t>电    话：.  传    真：.</w:t>
      </w:r>
    </w:p>
    <w:p>
      <w:pPr>
        <w:adjustRightInd w:val="0"/>
        <w:snapToGrid w:val="0"/>
        <w:spacing w:line="360" w:lineRule="auto"/>
        <w:ind w:right="-512" w:rightChars="-244"/>
        <w:rPr>
          <w:rFonts w:ascii="宋体" w:hAnsi="宋体"/>
          <w:sz w:val="24"/>
          <w:szCs w:val="24"/>
          <w:u w:val="single"/>
        </w:rPr>
      </w:pPr>
      <w:r>
        <w:rPr>
          <w:rFonts w:hint="eastAsia" w:ascii="宋体" w:hAnsi="宋体"/>
          <w:sz w:val="24"/>
          <w:szCs w:val="24"/>
        </w:rPr>
        <w:t>供应商代表姓名：.  职    务：.</w:t>
      </w:r>
    </w:p>
    <w:p>
      <w:pPr>
        <w:adjustRightInd w:val="0"/>
        <w:snapToGrid w:val="0"/>
        <w:spacing w:line="360" w:lineRule="auto"/>
        <w:ind w:right="-512" w:rightChars="-244"/>
        <w:rPr>
          <w:rFonts w:ascii="宋体" w:hAnsi="宋体" w:cs="宋体"/>
          <w:sz w:val="24"/>
          <w:szCs w:val="24"/>
          <w:u w:val="single"/>
        </w:rPr>
      </w:pPr>
    </w:p>
    <w:p>
      <w:pPr>
        <w:adjustRightInd w:val="0"/>
        <w:snapToGrid w:val="0"/>
        <w:spacing w:line="360" w:lineRule="auto"/>
        <w:ind w:right="-512" w:rightChars="-244"/>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ind w:right="-512" w:rightChars="-244"/>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right="-512" w:rightChars="-244"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5"/>
        <w:rPr>
          <w:rFonts w:hint="default" w:ascii="宋体"/>
          <w:b/>
          <w:bCs/>
          <w:sz w:val="36"/>
          <w:szCs w:val="36"/>
        </w:rPr>
      </w:pPr>
    </w:p>
    <w:p>
      <w:pPr>
        <w:pStyle w:val="11"/>
      </w:pP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25"/>
        <w:spacing w:line="480" w:lineRule="auto"/>
        <w:ind w:right="-512" w:rightChars="-244"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25"/>
        <w:spacing w:line="480" w:lineRule="auto"/>
        <w:ind w:right="-512" w:rightChars="-244" w:firstLine="540" w:firstLineChars="225"/>
        <w:jc w:val="left"/>
        <w:rPr>
          <w:rFonts w:hAnsi="宋体"/>
          <w:szCs w:val="24"/>
        </w:rPr>
      </w:pPr>
      <w:r>
        <w:rPr>
          <w:rFonts w:hint="eastAsia" w:hAnsi="宋体"/>
          <w:szCs w:val="24"/>
        </w:rPr>
        <w:t>地址：</w:t>
      </w:r>
    </w:p>
    <w:p>
      <w:pPr>
        <w:pStyle w:val="25"/>
        <w:spacing w:line="480" w:lineRule="auto"/>
        <w:ind w:right="-512" w:rightChars="-244"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25"/>
        <w:spacing w:line="480" w:lineRule="auto"/>
        <w:ind w:right="-512" w:rightChars="-244"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25"/>
        <w:spacing w:line="480" w:lineRule="auto"/>
        <w:ind w:right="-512" w:rightChars="-244"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25"/>
        <w:spacing w:line="480" w:lineRule="auto"/>
        <w:ind w:right="-512" w:rightChars="-244" w:firstLine="540" w:firstLineChars="225"/>
        <w:jc w:val="left"/>
        <w:rPr>
          <w:rFonts w:hAnsi="宋体"/>
          <w:szCs w:val="24"/>
        </w:rPr>
      </w:pPr>
    </w:p>
    <w:p>
      <w:pPr>
        <w:pStyle w:val="25"/>
        <w:spacing w:line="480" w:lineRule="auto"/>
        <w:ind w:right="-512" w:rightChars="-244" w:firstLine="540" w:firstLineChars="225"/>
        <w:jc w:val="left"/>
        <w:rPr>
          <w:rFonts w:hAnsi="宋体"/>
          <w:szCs w:val="24"/>
        </w:rPr>
      </w:pPr>
    </w:p>
    <w:p>
      <w:pPr>
        <w:pStyle w:val="25"/>
        <w:spacing w:line="480" w:lineRule="auto"/>
        <w:ind w:left="-538" w:leftChars="-256" w:right="-512" w:rightChars="-244"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25"/>
        <w:spacing w:line="480" w:lineRule="auto"/>
        <w:ind w:left="-538" w:leftChars="-256" w:right="-512" w:rightChars="-244" w:firstLine="616" w:firstLineChars="257"/>
        <w:jc w:val="center"/>
        <w:rPr>
          <w:rFonts w:hAnsi="宋体"/>
          <w:bCs/>
          <w:szCs w:val="24"/>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spacing w:line="480" w:lineRule="auto"/>
        <w:ind w:right="-512" w:rightChars="-244"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26"/>
        <w:spacing w:before="60" w:line="480" w:lineRule="auto"/>
        <w:ind w:right="-512" w:rightChars="-244" w:firstLine="3900" w:firstLineChars="1625"/>
        <w:rPr>
          <w:rFonts w:ascii="宋体" w:hAnsi="宋体" w:cs="Arial"/>
          <w:szCs w:val="24"/>
        </w:rPr>
      </w:pPr>
      <w:r>
        <w:rPr>
          <w:rFonts w:hint="eastAsia" w:ascii="宋体" w:hAnsi="宋体" w:cs="Arial"/>
          <w:szCs w:val="24"/>
        </w:rPr>
        <w:t>签署日期：   年   月  日</w:t>
      </w:r>
    </w:p>
    <w:p>
      <w:pPr>
        <w:pStyle w:val="27"/>
        <w:spacing w:line="480" w:lineRule="auto"/>
        <w:ind w:right="-512" w:rightChars="-244"/>
        <w:rPr>
          <w:rFonts w:ascii="宋体" w:hAnsi="宋体" w:cs="Arial"/>
          <w:szCs w:val="24"/>
        </w:rPr>
      </w:pPr>
    </w:p>
    <w:p>
      <w:pPr>
        <w:ind w:right="-512" w:rightChars="-244"/>
      </w:pPr>
    </w:p>
    <w:p>
      <w:pPr>
        <w:spacing w:line="320" w:lineRule="exact"/>
        <w:ind w:right="-512" w:rightChars="-244"/>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13"/>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w:t>
      </w:r>
      <w:r>
        <w:rPr>
          <w:rFonts w:hint="eastAsia" w:ascii="宋体" w:hAnsi="宋体" w:cs="Arial"/>
          <w:sz w:val="24"/>
          <w:szCs w:val="24"/>
          <w:u w:val="single"/>
        </w:rPr>
        <w:t xml:space="preserve">                     </w:t>
      </w:r>
      <w:r>
        <w:rPr>
          <w:rFonts w:hint="eastAsia" w:ascii="宋体" w:hAnsi="宋体" w:cs="Arial"/>
          <w:sz w:val="24"/>
          <w:szCs w:val="24"/>
        </w:rPr>
        <w:t>项目的磋商响应活动，并代表我方全权办理针对上述项目的磋商、响应文件澄清、签约等一切具体事务和签署相关文件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right="-512" w:rightChars="-244"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right="-512" w:rightChars="-244"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1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jc w:val="center"/>
        </w:trPr>
        <w:tc>
          <w:tcPr>
            <w:tcW w:w="4637" w:type="dxa"/>
            <w:vAlign w:val="center"/>
          </w:tcPr>
          <w:p>
            <w:pPr>
              <w:ind w:right="-512" w:rightChars="-244"/>
              <w:rPr>
                <w:rFonts w:ascii="宋体" w:hAnsi="宋体"/>
                <w:szCs w:val="21"/>
              </w:rPr>
            </w:pPr>
            <w:r>
              <w:rPr>
                <w:rFonts w:hint="eastAsia" w:ascii="宋体" w:hAnsi="宋体"/>
                <w:szCs w:val="21"/>
              </w:rPr>
              <w:t>法定代表人（单位负责人）身份证（正面）</w:t>
            </w:r>
          </w:p>
        </w:tc>
        <w:tc>
          <w:tcPr>
            <w:tcW w:w="4332" w:type="dxa"/>
            <w:vAlign w:val="center"/>
          </w:tcPr>
          <w:p>
            <w:pPr>
              <w:ind w:right="-512" w:rightChars="-244"/>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ascii="宋体" w:hAnsi="宋体"/>
                <w:szCs w:val="21"/>
              </w:rPr>
            </w:pPr>
            <w:r>
              <w:rPr>
                <w:rFonts w:hint="eastAsia" w:ascii="宋体" w:hAnsi="宋体"/>
                <w:szCs w:val="21"/>
              </w:rPr>
              <w:t>法定代表人（单位负责人）授权代表身份证</w:t>
            </w:r>
          </w:p>
          <w:p>
            <w:pPr>
              <w:ind w:right="-512" w:rightChars="-244" w:firstLine="1890" w:firstLineChars="900"/>
              <w:rPr>
                <w:rFonts w:ascii="宋体" w:hAnsi="宋体"/>
                <w:szCs w:val="21"/>
              </w:rPr>
            </w:pPr>
            <w:r>
              <w:rPr>
                <w:rFonts w:hint="eastAsia" w:ascii="宋体" w:hAnsi="宋体"/>
                <w:szCs w:val="21"/>
              </w:rPr>
              <w:t>（正面）</w:t>
            </w:r>
          </w:p>
        </w:tc>
        <w:tc>
          <w:tcPr>
            <w:tcW w:w="4346" w:type="dxa"/>
            <w:gridSpan w:val="2"/>
            <w:vAlign w:val="center"/>
          </w:tcPr>
          <w:p>
            <w:pPr>
              <w:ind w:right="-512" w:rightChars="-244"/>
              <w:rPr>
                <w:rFonts w:ascii="宋体" w:hAnsi="宋体"/>
                <w:szCs w:val="21"/>
              </w:rPr>
            </w:pPr>
            <w:r>
              <w:rPr>
                <w:rFonts w:hint="eastAsia" w:ascii="宋体" w:hAnsi="宋体"/>
                <w:szCs w:val="21"/>
              </w:rPr>
              <w:t>法定代表人（单位负责人）授权代表身份证</w:t>
            </w:r>
          </w:p>
          <w:p>
            <w:pPr>
              <w:ind w:right="-512" w:rightChars="-244" w:firstLine="1890" w:firstLineChars="900"/>
              <w:rPr>
                <w:rFonts w:ascii="宋体" w:hAnsi="宋体"/>
                <w:szCs w:val="21"/>
              </w:rPr>
            </w:pPr>
            <w:r>
              <w:rPr>
                <w:rFonts w:hint="eastAsia" w:ascii="宋体" w:hAnsi="宋体"/>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sz w:val="36"/>
          <w:szCs w:val="36"/>
        </w:rPr>
        <w:br w:type="page"/>
      </w:r>
      <w:r>
        <w:rPr>
          <w:rFonts w:hint="eastAsia" w:ascii="宋体" w:hAnsi="宋体" w:cs="宋体"/>
          <w:b/>
          <w:bCs/>
          <w:sz w:val="36"/>
          <w:szCs w:val="36"/>
        </w:rPr>
        <w:t xml:space="preserve">3.4 </w:t>
      </w:r>
      <w:r>
        <w:rPr>
          <w:rFonts w:hint="eastAsia" w:ascii="宋体" w:hAnsi="宋体" w:cs="宋体"/>
          <w:b/>
          <w:bCs/>
          <w:color w:val="000000"/>
          <w:sz w:val="36"/>
          <w:szCs w:val="36"/>
        </w:rPr>
        <w:t>中小企业声明函（工程、服务）</w:t>
      </w:r>
    </w:p>
    <w:p>
      <w:pPr>
        <w:spacing w:line="360" w:lineRule="auto"/>
        <w:ind w:firstLine="808" w:firstLineChars="337"/>
        <w:jc w:val="left"/>
        <w:rPr>
          <w:sz w:val="24"/>
          <w:szCs w:val="24"/>
        </w:rPr>
      </w:pPr>
      <w:r>
        <w:rPr>
          <w:sz w:val="24"/>
          <w:szCs w:val="24"/>
        </w:rPr>
        <w:t>本公司郑重声明，根据《政府采购促进中小企业发展管理办法》（财库﹝2020﹞46号）的规定，本公司参加</w:t>
      </w:r>
      <w:r>
        <w:rPr>
          <w:i/>
          <w:sz w:val="24"/>
          <w:szCs w:val="24"/>
          <w:u w:val="single"/>
        </w:rPr>
        <w:t>（单位名称）</w:t>
      </w:r>
      <w:r>
        <w:rPr>
          <w:sz w:val="24"/>
          <w:szCs w:val="24"/>
        </w:rPr>
        <w:t>的</w:t>
      </w:r>
      <w:r>
        <w:rPr>
          <w:i/>
          <w:sz w:val="24"/>
          <w:szCs w:val="24"/>
          <w:u w:val="single"/>
        </w:rPr>
        <w:t>（项目名称）</w:t>
      </w:r>
      <w:r>
        <w:rPr>
          <w:sz w:val="24"/>
          <w:szCs w:val="24"/>
        </w:rPr>
        <w:t>采购活动，提供的</w:t>
      </w:r>
      <w:r>
        <w:rPr>
          <w:rFonts w:hint="eastAsia"/>
          <w:sz w:val="24"/>
          <w:szCs w:val="24"/>
        </w:rPr>
        <w:t>服务</w:t>
      </w:r>
      <w:r>
        <w:rPr>
          <w:sz w:val="24"/>
          <w:szCs w:val="24"/>
        </w:rPr>
        <w:t>全部由符合政策要求的中小企业</w:t>
      </w:r>
      <w:r>
        <w:rPr>
          <w:rFonts w:hint="eastAsia"/>
          <w:sz w:val="24"/>
          <w:szCs w:val="24"/>
        </w:rPr>
        <w:t>承接</w:t>
      </w:r>
      <w:r>
        <w:rPr>
          <w:sz w:val="24"/>
          <w:szCs w:val="24"/>
        </w:rPr>
        <w:t>。</w:t>
      </w:r>
      <w:r>
        <w:rPr>
          <w:rFonts w:hint="eastAsia"/>
          <w:sz w:val="24"/>
          <w:szCs w:val="24"/>
        </w:rPr>
        <w:t>承接企业</w:t>
      </w:r>
      <w:r>
        <w:rPr>
          <w:sz w:val="24"/>
          <w:szCs w:val="24"/>
        </w:rPr>
        <w:t>的具体情况如下：</w:t>
      </w:r>
    </w:p>
    <w:p>
      <w:pPr>
        <w:spacing w:line="360" w:lineRule="auto"/>
        <w:ind w:firstLine="808" w:firstLineChars="337"/>
        <w:jc w:val="left"/>
        <w:rPr>
          <w:sz w:val="24"/>
          <w:szCs w:val="24"/>
        </w:rPr>
      </w:pPr>
      <w:r>
        <w:rPr>
          <w:sz w:val="24"/>
          <w:szCs w:val="24"/>
        </w:rPr>
        <w:t xml:space="preserve">1. </w:t>
      </w:r>
      <w:r>
        <w:rPr>
          <w:i/>
          <w:sz w:val="24"/>
          <w:szCs w:val="24"/>
          <w:u w:val="single"/>
        </w:rPr>
        <w:t>（标的名称）</w:t>
      </w:r>
      <w:r>
        <w:rPr>
          <w:sz w:val="24"/>
          <w:szCs w:val="24"/>
        </w:rPr>
        <w:t>，属于</w:t>
      </w:r>
      <w:r>
        <w:rPr>
          <w:i/>
          <w:sz w:val="24"/>
          <w:szCs w:val="24"/>
          <w:u w:val="single"/>
        </w:rPr>
        <w:t>（采购文件中明确的所属行业）</w:t>
      </w:r>
      <w:r>
        <w:rPr>
          <w:sz w:val="24"/>
          <w:szCs w:val="24"/>
        </w:rPr>
        <w:t>行业；</w:t>
      </w:r>
      <w:r>
        <w:rPr>
          <w:rFonts w:hint="eastAsia"/>
          <w:sz w:val="24"/>
          <w:szCs w:val="24"/>
        </w:rPr>
        <w:t>承接企业</w:t>
      </w:r>
      <w:r>
        <w:rPr>
          <w:sz w:val="24"/>
          <w:szCs w:val="24"/>
        </w:rPr>
        <w:t>为</w:t>
      </w:r>
      <w:r>
        <w:rPr>
          <w:i/>
          <w:sz w:val="24"/>
          <w:szCs w:val="24"/>
          <w:u w:val="single"/>
        </w:rPr>
        <w:t>（企业名称）</w:t>
      </w:r>
      <w:r>
        <w:rPr>
          <w:sz w:val="24"/>
          <w:szCs w:val="24"/>
        </w:rPr>
        <w:t>，从业人员</w:t>
      </w:r>
      <w:r>
        <w:rPr>
          <w:rFonts w:hint="eastAsia"/>
          <w:sz w:val="24"/>
          <w:szCs w:val="24"/>
          <w:u w:val="single"/>
        </w:rPr>
        <w:t xml:space="preserve">    </w:t>
      </w:r>
      <w:r>
        <w:rPr>
          <w:sz w:val="24"/>
          <w:szCs w:val="24"/>
        </w:rPr>
        <w:t>人，营业收入为</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万元，资产总额为</w:t>
      </w:r>
      <w:r>
        <w:rPr>
          <w:rFonts w:hint="eastAsia"/>
          <w:sz w:val="24"/>
          <w:szCs w:val="24"/>
          <w:u w:val="single"/>
        </w:rPr>
        <w:t xml:space="preserve"> </w:t>
      </w:r>
      <w:r>
        <w:rPr>
          <w:sz w:val="24"/>
          <w:szCs w:val="24"/>
          <w:u w:val="single"/>
        </w:rPr>
        <w:t xml:space="preserve">   </w:t>
      </w:r>
      <w:r>
        <w:rPr>
          <w:sz w:val="24"/>
          <w:szCs w:val="24"/>
        </w:rPr>
        <w:t>万元，属于</w:t>
      </w:r>
      <w:r>
        <w:rPr>
          <w:i/>
          <w:sz w:val="24"/>
          <w:szCs w:val="24"/>
          <w:u w:val="single"/>
        </w:rPr>
        <w:t>（中型企业、小型企业、微型企业）</w:t>
      </w:r>
      <w:r>
        <w:rPr>
          <w:sz w:val="24"/>
          <w:szCs w:val="24"/>
        </w:rPr>
        <w:t>；</w:t>
      </w:r>
    </w:p>
    <w:p>
      <w:pPr>
        <w:spacing w:line="360" w:lineRule="auto"/>
        <w:ind w:firstLine="808" w:firstLineChars="337"/>
        <w:jc w:val="left"/>
        <w:rPr>
          <w:sz w:val="24"/>
          <w:szCs w:val="24"/>
        </w:rPr>
      </w:pPr>
      <w:r>
        <w:rPr>
          <w:sz w:val="24"/>
          <w:szCs w:val="24"/>
        </w:rPr>
        <w:t xml:space="preserve">…… </w:t>
      </w:r>
    </w:p>
    <w:p>
      <w:pPr>
        <w:spacing w:line="360" w:lineRule="auto"/>
        <w:ind w:firstLine="808" w:firstLineChars="337"/>
        <w:jc w:val="left"/>
        <w:rPr>
          <w:sz w:val="24"/>
          <w:szCs w:val="24"/>
        </w:rPr>
      </w:pPr>
      <w:r>
        <w:rPr>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808" w:firstLineChars="337"/>
        <w:jc w:val="left"/>
        <w:rPr>
          <w:sz w:val="24"/>
          <w:szCs w:val="24"/>
        </w:rPr>
      </w:pPr>
    </w:p>
    <w:p>
      <w:pPr>
        <w:spacing w:line="360" w:lineRule="auto"/>
        <w:ind w:firstLine="808" w:firstLineChars="337"/>
        <w:jc w:val="left"/>
        <w:rPr>
          <w:sz w:val="24"/>
          <w:szCs w:val="24"/>
        </w:rPr>
      </w:pPr>
    </w:p>
    <w:p>
      <w:pPr>
        <w:spacing w:line="480" w:lineRule="auto"/>
        <w:jc w:val="left"/>
        <w:rPr>
          <w:sz w:val="24"/>
          <w:szCs w:val="24"/>
        </w:rPr>
      </w:pPr>
      <w:r>
        <w:rPr>
          <w:sz w:val="24"/>
          <w:szCs w:val="24"/>
        </w:rPr>
        <w:t>企业名称（盖章）：</w:t>
      </w:r>
    </w:p>
    <w:p>
      <w:pPr>
        <w:spacing w:line="480" w:lineRule="auto"/>
        <w:jc w:val="left"/>
        <w:rPr>
          <w:rFonts w:ascii="等线" w:hAnsi="等线" w:cs="Arial"/>
          <w:color w:val="000000"/>
          <w:sz w:val="24"/>
          <w:szCs w:val="24"/>
        </w:rPr>
      </w:pPr>
      <w:r>
        <w:rPr>
          <w:sz w:val="24"/>
          <w:szCs w:val="24"/>
        </w:rPr>
        <w:t>日期：</w:t>
      </w:r>
    </w:p>
    <w:p>
      <w:pPr>
        <w:spacing w:line="480" w:lineRule="auto"/>
        <w:ind w:left="4358" w:leftChars="2075"/>
        <w:rPr>
          <w:rFonts w:ascii="等线" w:hAnsi="等线" w:cs="Arial"/>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w:t>
      </w:r>
      <w:r>
        <w:rPr>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w:t>
      </w:r>
      <w:r>
        <w:rPr>
          <w:rFonts w:ascii="宋体" w:hAnsi="宋体" w:cs="Arial"/>
          <w:color w:val="000000"/>
          <w:kern w:val="0"/>
          <w:sz w:val="24"/>
          <w:szCs w:val="24"/>
        </w:rPr>
        <w:t>中小企业参加政府采购活动，应当出具</w:t>
      </w:r>
      <w:r>
        <w:rPr>
          <w:sz w:val="24"/>
          <w:szCs w:val="24"/>
        </w:rPr>
        <w:t>《中小企业声明函》，否则不得享受相关中小企业扶持政</w:t>
      </w:r>
      <w:r>
        <w:rPr>
          <w:rFonts w:ascii="宋体" w:hAnsi="宋体" w:cs="Arial"/>
          <w:color w:val="000000"/>
          <w:kern w:val="0"/>
          <w:sz w:val="24"/>
          <w:szCs w:val="24"/>
        </w:rPr>
        <w:t>策。</w:t>
      </w: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80" w:firstLineChars="200"/>
        <w:rPr>
          <w:rFonts w:ascii="宋体" w:cs="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号）的规定，本单位为</w:t>
      </w:r>
      <w:r>
        <w:rPr>
          <w:rFonts w:hint="eastAsia" w:ascii="宋体" w:hAnsi="宋体" w:cs="宋体"/>
          <w:sz w:val="24"/>
          <w:szCs w:val="24"/>
          <w:u w:val="single"/>
        </w:rPr>
        <w:t xml:space="preserve">       </w:t>
      </w:r>
      <w:r>
        <w:rPr>
          <w:rFonts w:hint="eastAsia" w:ascii="宋体" w:hAnsi="宋体" w:cs="宋体"/>
          <w:sz w:val="24"/>
          <w:szCs w:val="24"/>
        </w:rPr>
        <w:t>（符合/不符合）条件的残疾人福利性单位，且本单位参加单位的项目采购活动提供本单位制造的货物（由本单位承担工程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360" w:lineRule="auto"/>
        <w:rPr>
          <w:rFonts w:ascii="宋体" w:cs="宋体"/>
          <w:sz w:val="24"/>
          <w:szCs w:val="24"/>
        </w:rPr>
      </w:pPr>
    </w:p>
    <w:p>
      <w:pPr>
        <w:spacing w:line="360" w:lineRule="auto"/>
        <w:rPr>
          <w:rFonts w:ascii="宋体" w:cs="宋体"/>
          <w:sz w:val="24"/>
          <w:szCs w:val="24"/>
        </w:rPr>
      </w:pPr>
    </w:p>
    <w:p>
      <w:pPr>
        <w:spacing w:line="360" w:lineRule="auto"/>
        <w:ind w:firstLine="5520" w:firstLineChars="2300"/>
        <w:rPr>
          <w:rFonts w:ascii="宋体" w:cs="宋体"/>
          <w:sz w:val="24"/>
          <w:szCs w:val="24"/>
        </w:rPr>
      </w:pPr>
      <w:r>
        <w:rPr>
          <w:rFonts w:hint="eastAsia" w:ascii="宋体" w:hAnsi="宋体" w:cs="宋体"/>
          <w:sz w:val="24"/>
          <w:szCs w:val="24"/>
        </w:rPr>
        <w:t>单位名称（盖章）：</w:t>
      </w:r>
    </w:p>
    <w:p>
      <w:pPr>
        <w:spacing w:line="360" w:lineRule="auto"/>
        <w:ind w:firstLine="5520" w:firstLineChars="2300"/>
        <w:rPr>
          <w:rFonts w:ascii="宋体" w:cs="宋体"/>
          <w:sz w:val="24"/>
          <w:szCs w:val="24"/>
        </w:rPr>
      </w:pPr>
      <w:r>
        <w:rPr>
          <w:rFonts w:hint="eastAsia" w:ascii="宋体" w:hAnsi="宋体" w:cs="宋体"/>
          <w:sz w:val="24"/>
          <w:szCs w:val="24"/>
        </w:rPr>
        <w:t>日    期：  年  月  日</w:t>
      </w: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olor w:val="000000"/>
        </w:rPr>
      </w:pPr>
      <w:r>
        <w:rPr>
          <w:rFonts w:hint="eastAsia" w:ascii="宋体" w:hAnsi="宋体"/>
          <w:b/>
          <w:bCs/>
          <w:sz w:val="36"/>
          <w:szCs w:val="36"/>
        </w:rPr>
        <w:t>3.6 许昌市建安区政府采购供应商信用承诺函</w:t>
      </w:r>
    </w:p>
    <w:p>
      <w:pPr>
        <w:spacing w:line="560" w:lineRule="exact"/>
        <w:ind w:right="-512" w:rightChars="-244"/>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right="-512" w:rightChars="-244" w:firstLine="436" w:firstLineChars="200"/>
        <w:rPr>
          <w:rFonts w:ascii="宋体" w:hAnsi="宋体" w:cs="仿宋_GB2312"/>
          <w:spacing w:val="-11"/>
          <w:sz w:val="24"/>
          <w:szCs w:val="24"/>
        </w:rPr>
      </w:pP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ind w:right="-512" w:rightChars="-244"/>
        <w:rPr>
          <w:rFonts w:ascii="仿宋_GB2312" w:hAnsi="仿宋_GB2312" w:eastAsia="仿宋_GB2312" w:cs="仿宋_GB2312"/>
          <w:sz w:val="32"/>
          <w:szCs w:val="32"/>
        </w:rPr>
      </w:pPr>
    </w:p>
    <w:p>
      <w:pPr>
        <w:spacing w:line="560" w:lineRule="exact"/>
        <w:ind w:right="-512" w:rightChars="-244"/>
        <w:rPr>
          <w:rFonts w:ascii="华文仿宋" w:hAnsi="华文仿宋" w:eastAsia="华文仿宋" w:cs="华文仿宋"/>
          <w:szCs w:val="21"/>
        </w:rPr>
      </w:pPr>
    </w:p>
    <w:p>
      <w:pPr>
        <w:spacing w:line="560" w:lineRule="exact"/>
        <w:ind w:right="-512" w:rightChars="-244"/>
        <w:rPr>
          <w:rFonts w:ascii="宋体" w:hAnsi="宋体" w:cs="华文仿宋"/>
          <w:b/>
          <w:bCs/>
          <w:sz w:val="22"/>
        </w:rPr>
      </w:pPr>
      <w:r>
        <w:rPr>
          <w:rFonts w:hint="eastAsia" w:ascii="宋体" w:hAnsi="宋体" w:cs="华文仿宋"/>
          <w:b/>
          <w:bCs/>
          <w:sz w:val="22"/>
        </w:rPr>
        <w:t>注：1.供应商须在响应文件中按此模板提供承诺函，未提供视为未实质性响应磋商文件要求，按无效投标处理。</w:t>
      </w:r>
    </w:p>
    <w:p>
      <w:pPr>
        <w:spacing w:line="560" w:lineRule="exact"/>
        <w:ind w:right="-512" w:rightChars="-244"/>
        <w:rPr>
          <w:rFonts w:ascii="宋体" w:hAnsi="宋体" w:cs="华文仿宋"/>
          <w:b/>
          <w:bCs/>
          <w:sz w:val="22"/>
        </w:rPr>
      </w:pPr>
      <w:r>
        <w:rPr>
          <w:rFonts w:hint="eastAsia" w:ascii="宋体" w:hAnsi="宋体" w:cs="华文仿宋"/>
          <w:b/>
          <w:bCs/>
          <w:sz w:val="22"/>
        </w:rPr>
        <w:t>2.供应商的法定代表人或者授权代表的签字或盖章应真实、有效，如由授权代表签字或盖章的，应提供“法定代表人授权书”。</w:t>
      </w:r>
    </w:p>
    <w:p>
      <w:pPr>
        <w:ind w:right="-512" w:rightChars="-244"/>
      </w:pPr>
    </w:p>
    <w:p>
      <w:pPr>
        <w:pStyle w:val="13"/>
        <w:ind w:right="-512" w:rightChars="-244" w:firstLine="361"/>
        <w:jc w:val="center"/>
        <w:rPr>
          <w:rFonts w:hint="default" w:ascii="宋体"/>
          <w:b/>
          <w:bCs/>
          <w:sz w:val="36"/>
          <w:szCs w:val="36"/>
        </w:rPr>
      </w:pPr>
    </w:p>
    <w:p>
      <w:pPr>
        <w:pStyle w:val="13"/>
        <w:ind w:right="-512" w:rightChars="-244" w:firstLine="361"/>
        <w:jc w:val="center"/>
        <w:rPr>
          <w:rFonts w:hint="default" w:ascii="宋体"/>
          <w:b/>
          <w:bCs/>
          <w:sz w:val="36"/>
          <w:szCs w:val="36"/>
        </w:rPr>
      </w:pPr>
    </w:p>
    <w:p>
      <w:pPr>
        <w:pStyle w:val="13"/>
        <w:ind w:right="-512" w:rightChars="-244" w:firstLine="361"/>
        <w:jc w:val="center"/>
        <w:rPr>
          <w:rFonts w:hint="default" w:ascii="宋体"/>
          <w:b/>
          <w:bCs/>
          <w:sz w:val="36"/>
          <w:szCs w:val="36"/>
        </w:rPr>
      </w:pPr>
    </w:p>
    <w:p>
      <w:pPr>
        <w:pStyle w:val="13"/>
        <w:ind w:right="-512" w:rightChars="-244" w:firstLine="361"/>
        <w:jc w:val="center"/>
        <w:rPr>
          <w:rFonts w:hint="default" w:ascii="宋体"/>
          <w:b/>
          <w:bCs/>
          <w:sz w:val="36"/>
          <w:szCs w:val="36"/>
        </w:rPr>
      </w:pPr>
    </w:p>
    <w:p>
      <w:pPr>
        <w:pStyle w:val="13"/>
        <w:ind w:right="-512" w:rightChars="-244" w:firstLine="361"/>
        <w:jc w:val="center"/>
        <w:rPr>
          <w:rFonts w:hint="default" w:ascii="宋体"/>
          <w:b/>
          <w:bCs/>
          <w:sz w:val="36"/>
          <w:szCs w:val="36"/>
        </w:rPr>
      </w:pPr>
    </w:p>
    <w:p>
      <w:pPr>
        <w:pStyle w:val="14"/>
        <w:ind w:left="420" w:firstLine="420"/>
        <w:rPr>
          <w:rFonts w:hint="default"/>
          <w:lang w:eastAsia="zh-CN"/>
        </w:rPr>
      </w:pPr>
    </w:p>
    <w:p>
      <w:pPr>
        <w:pStyle w:val="13"/>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rPr>
        <w:t>7</w:t>
      </w:r>
      <w:r>
        <w:rPr>
          <w:rFonts w:ascii="宋体" w:hAnsi="宋体" w:cs="宋体"/>
          <w:b/>
          <w:bCs/>
          <w:sz w:val="36"/>
          <w:szCs w:val="36"/>
        </w:rPr>
        <w:t xml:space="preserve"> </w:t>
      </w:r>
      <w:r>
        <w:rPr>
          <w:rFonts w:hint="eastAsia" w:ascii="宋体" w:hAnsi="宋体" w:cs="宋体"/>
          <w:b/>
          <w:bCs/>
          <w:sz w:val="36"/>
          <w:szCs w:val="36"/>
        </w:rPr>
        <w:t>磋商承诺函</w:t>
      </w:r>
    </w:p>
    <w:p>
      <w:pPr>
        <w:spacing w:before="156" w:beforeLines="50" w:after="156" w:afterLines="50" w:line="480" w:lineRule="auto"/>
        <w:contextualSpacing/>
        <w:rPr>
          <w:rFonts w:ascii="宋体" w:hAnsi="宋体" w:cs="宋体"/>
          <w:sz w:val="24"/>
          <w:szCs w:val="24"/>
          <w:lang w:val="zh-CN"/>
        </w:rPr>
      </w:pPr>
      <w:r>
        <w:rPr>
          <w:rFonts w:hint="eastAsia" w:ascii="宋体" w:hAnsi="宋体" w:cs="宋体"/>
          <w:sz w:val="24"/>
          <w:szCs w:val="24"/>
          <w:lang w:val="zh-CN"/>
        </w:rPr>
        <w:t>本企业郑重承诺：</w:t>
      </w:r>
    </w:p>
    <w:p>
      <w:pPr>
        <w:spacing w:before="156" w:beforeLines="50" w:line="48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经研究，我方自愿参与贵方</w:t>
      </w:r>
      <w:r>
        <w:rPr>
          <w:rFonts w:hint="eastAsia" w:ascii="宋体" w:hAnsi="宋体" w:cs="宋体"/>
          <w:sz w:val="24"/>
          <w:szCs w:val="24"/>
          <w:u w:val="single"/>
        </w:rPr>
        <w:t xml:space="preserve">    </w:t>
      </w:r>
      <w:r>
        <w:rPr>
          <w:rFonts w:hint="eastAsia" w:ascii="宋体" w:hAnsi="宋体" w:cs="宋体"/>
          <w:sz w:val="24"/>
          <w:szCs w:val="24"/>
          <w:lang w:val="zh-CN"/>
        </w:rPr>
        <w:t>年____月</w:t>
      </w:r>
      <w:r>
        <w:rPr>
          <w:rFonts w:hint="eastAsia" w:ascii="宋体" w:hAnsi="宋体" w:cs="宋体"/>
          <w:sz w:val="24"/>
          <w:szCs w:val="24"/>
          <w:u w:val="single"/>
        </w:rPr>
        <w:t xml:space="preserve">    </w:t>
      </w:r>
      <w:r>
        <w:rPr>
          <w:rFonts w:hint="eastAsia" w:ascii="宋体" w:hAnsi="宋体" w:cs="宋体"/>
          <w:sz w:val="24"/>
          <w:szCs w:val="24"/>
          <w:lang w:val="zh-CN"/>
        </w:rPr>
        <w:t>日</w:t>
      </w:r>
      <w:r>
        <w:rPr>
          <w:rFonts w:hint="eastAsia" w:ascii="宋体" w:hAnsi="宋体" w:cs="宋体"/>
          <w:sz w:val="24"/>
          <w:szCs w:val="24"/>
          <w:u w:val="single"/>
          <w:lang w:val="zh-CN"/>
        </w:rPr>
        <w:t>_</w:t>
      </w:r>
      <w:r>
        <w:rPr>
          <w:rFonts w:hint="eastAsia" w:ascii="宋体" w:hAnsi="宋体" w:cs="宋体"/>
          <w:sz w:val="24"/>
          <w:szCs w:val="24"/>
          <w:u w:val="single"/>
        </w:rPr>
        <w:t xml:space="preserve">   </w:t>
      </w:r>
      <w:r>
        <w:rPr>
          <w:rFonts w:hint="eastAsia" w:ascii="宋体" w:hAnsi="宋体" w:cs="宋体"/>
          <w:sz w:val="24"/>
          <w:szCs w:val="24"/>
          <w:lang w:val="zh-CN"/>
        </w:rPr>
        <w:t>（招标编号、项目名称）</w:t>
      </w:r>
      <w:r>
        <w:rPr>
          <w:rFonts w:hint="eastAsia" w:ascii="宋体" w:hAnsi="宋体" w:cs="宋体"/>
          <w:sz w:val="24"/>
          <w:szCs w:val="24"/>
          <w:u w:val="single"/>
        </w:rPr>
        <w:t xml:space="preserve">          </w:t>
      </w:r>
      <w:r>
        <w:rPr>
          <w:rFonts w:hint="eastAsia" w:ascii="宋体" w:hAnsi="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一、在投标有效期内撤销投标文件；</w:t>
      </w:r>
    </w:p>
    <w:p>
      <w:pPr>
        <w:spacing w:before="156" w:beforeLines="50" w:line="48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二、在投标文件中提供虚假材料；</w:t>
      </w:r>
    </w:p>
    <w:p>
      <w:pPr>
        <w:spacing w:before="156" w:beforeLines="50" w:line="48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156" w:beforeLines="50" w:line="48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四、与采购人、其他供应商或者采购代理机构恶意串通；</w:t>
      </w:r>
    </w:p>
    <w:p>
      <w:pPr>
        <w:spacing w:before="156" w:beforeLines="50" w:line="48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spacing w:line="480" w:lineRule="auto"/>
        <w:rPr>
          <w:sz w:val="24"/>
          <w:szCs w:val="24"/>
          <w:u w:val="single"/>
        </w:rPr>
      </w:pPr>
    </w:p>
    <w:p>
      <w:pPr>
        <w:rPr>
          <w:sz w:val="24"/>
          <w:szCs w:val="24"/>
          <w:u w:val="single"/>
        </w:rPr>
      </w:pPr>
    </w:p>
    <w:p>
      <w:pPr>
        <w:spacing w:line="480" w:lineRule="auto"/>
        <w:ind w:firstLine="4980" w:firstLineChars="2075"/>
        <w:rPr>
          <w:rFonts w:ascii="宋体" w:hAnsi="宋体" w:cs="Arial"/>
          <w:sz w:val="24"/>
          <w:szCs w:val="24"/>
        </w:rPr>
      </w:pPr>
      <w:r>
        <w:rPr>
          <w:rFonts w:hint="eastAsia" w:ascii="宋体" w:hAnsi="宋体" w:cs="宋体"/>
          <w:sz w:val="24"/>
          <w:szCs w:val="24"/>
          <w:lang w:val="zh-CN"/>
        </w:rPr>
        <w:t>供应商名称（</w:t>
      </w:r>
      <w:r>
        <w:rPr>
          <w:rFonts w:hint="eastAsia" w:ascii="宋体" w:hAnsi="宋体" w:cs="Arial"/>
          <w:sz w:val="24"/>
          <w:szCs w:val="24"/>
        </w:rPr>
        <w:t>并加盖公章</w:t>
      </w:r>
      <w:r>
        <w:rPr>
          <w:rFonts w:hint="eastAsia" w:ascii="宋体" w:hAnsi="宋体" w:cs="宋体"/>
          <w:sz w:val="24"/>
          <w:szCs w:val="24"/>
          <w:lang w:val="zh-CN"/>
        </w:rPr>
        <w:t>）：</w:t>
      </w:r>
      <w:r>
        <w:rPr>
          <w:rFonts w:hint="eastAsia" w:ascii="宋体" w:hAnsi="宋体" w:cs="Arial"/>
          <w:sz w:val="24"/>
          <w:szCs w:val="24"/>
        </w:rPr>
        <w:t>　　　　　　　　　</w:t>
      </w:r>
    </w:p>
    <w:p>
      <w:pPr>
        <w:spacing w:line="480" w:lineRule="auto"/>
        <w:ind w:firstLine="4980" w:firstLineChars="2075"/>
        <w:rPr>
          <w:rFonts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3.8 供应商提供与参加本项目投标的其他供应商之间，单位负责人不为同一人并且不存在直接控股、管理关系承诺函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9</w:t>
      </w:r>
      <w:r>
        <w:rPr>
          <w:rFonts w:ascii="宋体" w:hAnsi="宋体"/>
          <w:b/>
          <w:bCs/>
          <w:sz w:val="32"/>
          <w:szCs w:val="32"/>
        </w:rPr>
        <w:t xml:space="preserve"> </w:t>
      </w:r>
      <w:r>
        <w:rPr>
          <w:rFonts w:hint="eastAsia" w:ascii="宋体" w:hAnsi="宋体"/>
          <w:b/>
          <w:bCs/>
          <w:sz w:val="32"/>
          <w:szCs w:val="32"/>
        </w:rPr>
        <w:t>供应商</w:t>
      </w:r>
      <w:r>
        <w:rPr>
          <w:rFonts w:ascii="宋体" w:hAnsi="宋体"/>
          <w:b/>
          <w:bCs/>
          <w:sz w:val="32"/>
          <w:szCs w:val="32"/>
        </w:rPr>
        <w:t xml:space="preserve">提供未为本项目提供整体设计、规范编制或者项目管理、监理、检测等服务承诺函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4.1 分项报价表</w:t>
      </w:r>
    </w:p>
    <w:p>
      <w:pPr>
        <w:autoSpaceDE w:val="0"/>
        <w:autoSpaceDN w:val="0"/>
        <w:adjustRightInd w:val="0"/>
        <w:spacing w:line="360" w:lineRule="auto"/>
        <w:ind w:right="-512" w:rightChars="-244"/>
        <w:outlineLvl w:val="0"/>
        <w:rPr>
          <w:rFonts w:hAnsi="宋体"/>
          <w:b/>
          <w:snapToGrid w:val="0"/>
          <w:kern w:val="0"/>
          <w:szCs w:val="21"/>
        </w:rPr>
      </w:pPr>
    </w:p>
    <w:p>
      <w:pPr>
        <w:autoSpaceDE w:val="0"/>
        <w:autoSpaceDN w:val="0"/>
        <w:adjustRightInd w:val="0"/>
        <w:spacing w:line="480" w:lineRule="auto"/>
        <w:ind w:right="-512" w:rightChars="-244"/>
        <w:jc w:val="center"/>
        <w:rPr>
          <w:rFonts w:ascii="宋体" w:hAnsi="宋体" w:cs="宋体"/>
          <w:szCs w:val="21"/>
        </w:rPr>
      </w:pPr>
      <w:r>
        <w:rPr>
          <w:rFonts w:hint="eastAsia" w:ascii="宋体" w:hAnsi="宋体" w:cs="宋体"/>
          <w:szCs w:val="21"/>
        </w:rPr>
        <w:t>（投标人根据已发布的工程量清单进行编制）</w:t>
      </w:r>
    </w:p>
    <w:p>
      <w:pPr>
        <w:autoSpaceDE w:val="0"/>
        <w:autoSpaceDN w:val="0"/>
        <w:adjustRightInd w:val="0"/>
        <w:spacing w:line="480" w:lineRule="auto"/>
        <w:ind w:right="-512" w:rightChars="-244"/>
        <w:rPr>
          <w:rFonts w:ascii="宋体" w:hAnsi="宋体" w:cs="宋体"/>
          <w:szCs w:val="21"/>
        </w:rPr>
      </w:pPr>
    </w:p>
    <w:p>
      <w:pPr>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2"/>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480" w:lineRule="auto"/>
        <w:ind w:right="-512" w:rightChars="-244"/>
        <w:rPr>
          <w:rFonts w:ascii="宋体" w:hAnsi="宋体" w:cs="宋体"/>
          <w:sz w:val="24"/>
          <w:lang w:val="zh-CN"/>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4.2 技术方案（实施方案）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4.3业绩情况表</w:t>
      </w:r>
    </w:p>
    <w:p>
      <w:pPr>
        <w:spacing w:before="50" w:after="156" w:afterLines="50" w:line="360" w:lineRule="auto"/>
        <w:ind w:right="-512" w:rightChars="-244"/>
        <w:contextualSpacing/>
        <w:jc w:val="left"/>
        <w:rPr>
          <w:rFonts w:ascii="宋体" w:hAnsi="宋体"/>
          <w:szCs w:val="21"/>
        </w:rPr>
      </w:pPr>
      <w:r>
        <w:rPr>
          <w:rFonts w:hint="eastAsia" w:ascii="宋体" w:hAnsi="宋体"/>
          <w:szCs w:val="21"/>
        </w:rPr>
        <w:t>项目编号：</w:t>
      </w:r>
    </w:p>
    <w:p>
      <w:pPr>
        <w:snapToGrid w:val="0"/>
        <w:spacing w:line="360" w:lineRule="auto"/>
        <w:ind w:right="-512" w:rightChars="-244"/>
        <w:rPr>
          <w:rFonts w:hAnsi="宋体"/>
          <w:b/>
          <w:snapToGrid w:val="0"/>
          <w:kern w:val="0"/>
          <w:szCs w:val="21"/>
        </w:rPr>
      </w:pPr>
      <w:r>
        <w:rPr>
          <w:rFonts w:hint="eastAsia" w:ascii="宋体" w:hAnsi="宋体"/>
          <w:szCs w:val="21"/>
        </w:rPr>
        <w:t xml:space="preserve">项目名称：   </w:t>
      </w: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4"/>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4"/>
              <w:spacing w:line="360" w:lineRule="auto"/>
              <w:rPr>
                <w:rFonts w:ascii="宋体" w:hAnsi="宋体" w:eastAsia="宋体" w:cs="宋体"/>
                <w:sz w:val="21"/>
                <w:szCs w:val="21"/>
              </w:rPr>
            </w:pPr>
          </w:p>
        </w:tc>
        <w:tc>
          <w:tcPr>
            <w:tcW w:w="3579" w:type="dxa"/>
            <w:vAlign w:val="center"/>
          </w:tcPr>
          <w:p>
            <w:pPr>
              <w:pStyle w:val="4"/>
              <w:spacing w:line="360" w:lineRule="auto"/>
              <w:rPr>
                <w:rFonts w:ascii="宋体" w:hAnsi="宋体" w:eastAsia="宋体" w:cs="宋体"/>
                <w:sz w:val="21"/>
                <w:szCs w:val="21"/>
              </w:rPr>
            </w:pPr>
          </w:p>
        </w:tc>
        <w:tc>
          <w:tcPr>
            <w:tcW w:w="1440" w:type="dxa"/>
            <w:vAlign w:val="center"/>
          </w:tcPr>
          <w:p>
            <w:pPr>
              <w:pStyle w:val="4"/>
              <w:spacing w:line="360" w:lineRule="auto"/>
              <w:rPr>
                <w:rFonts w:ascii="宋体" w:hAnsi="宋体" w:eastAsia="宋体" w:cs="宋体"/>
                <w:sz w:val="21"/>
                <w:szCs w:val="21"/>
              </w:rPr>
            </w:pPr>
          </w:p>
        </w:tc>
        <w:tc>
          <w:tcPr>
            <w:tcW w:w="1706" w:type="dxa"/>
            <w:vAlign w:val="center"/>
          </w:tcPr>
          <w:p>
            <w:pPr>
              <w:pStyle w:val="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4"/>
              <w:spacing w:line="360" w:lineRule="auto"/>
              <w:rPr>
                <w:rFonts w:ascii="宋体" w:hAnsi="宋体" w:eastAsia="宋体" w:cs="宋体"/>
                <w:sz w:val="21"/>
                <w:szCs w:val="21"/>
              </w:rPr>
            </w:pPr>
          </w:p>
        </w:tc>
        <w:tc>
          <w:tcPr>
            <w:tcW w:w="3579" w:type="dxa"/>
            <w:vAlign w:val="center"/>
          </w:tcPr>
          <w:p>
            <w:pPr>
              <w:pStyle w:val="4"/>
              <w:spacing w:line="360" w:lineRule="auto"/>
              <w:rPr>
                <w:rFonts w:ascii="宋体" w:hAnsi="宋体" w:eastAsia="宋体" w:cs="宋体"/>
                <w:sz w:val="21"/>
                <w:szCs w:val="21"/>
              </w:rPr>
            </w:pPr>
          </w:p>
        </w:tc>
        <w:tc>
          <w:tcPr>
            <w:tcW w:w="1440" w:type="dxa"/>
            <w:vAlign w:val="center"/>
          </w:tcPr>
          <w:p>
            <w:pPr>
              <w:pStyle w:val="4"/>
              <w:spacing w:line="360" w:lineRule="auto"/>
              <w:rPr>
                <w:rFonts w:ascii="宋体" w:hAnsi="宋体" w:eastAsia="宋体" w:cs="宋体"/>
                <w:sz w:val="21"/>
                <w:szCs w:val="21"/>
              </w:rPr>
            </w:pPr>
          </w:p>
        </w:tc>
        <w:tc>
          <w:tcPr>
            <w:tcW w:w="1706" w:type="dxa"/>
            <w:vAlign w:val="center"/>
          </w:tcPr>
          <w:p>
            <w:pPr>
              <w:pStyle w:val="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4"/>
              <w:spacing w:line="360" w:lineRule="auto"/>
              <w:rPr>
                <w:rFonts w:ascii="宋体" w:hAnsi="宋体" w:eastAsia="宋体" w:cs="宋体"/>
                <w:sz w:val="21"/>
                <w:szCs w:val="21"/>
              </w:rPr>
            </w:pPr>
          </w:p>
        </w:tc>
        <w:tc>
          <w:tcPr>
            <w:tcW w:w="3579" w:type="dxa"/>
            <w:vAlign w:val="center"/>
          </w:tcPr>
          <w:p>
            <w:pPr>
              <w:pStyle w:val="4"/>
              <w:spacing w:line="360" w:lineRule="auto"/>
              <w:rPr>
                <w:rFonts w:ascii="宋体" w:hAnsi="宋体" w:eastAsia="宋体" w:cs="宋体"/>
                <w:sz w:val="21"/>
                <w:szCs w:val="21"/>
              </w:rPr>
            </w:pPr>
          </w:p>
        </w:tc>
        <w:tc>
          <w:tcPr>
            <w:tcW w:w="1440" w:type="dxa"/>
            <w:vAlign w:val="center"/>
          </w:tcPr>
          <w:p>
            <w:pPr>
              <w:pStyle w:val="4"/>
              <w:spacing w:line="360" w:lineRule="auto"/>
              <w:rPr>
                <w:rFonts w:ascii="宋体" w:hAnsi="宋体" w:eastAsia="宋体" w:cs="宋体"/>
                <w:sz w:val="21"/>
                <w:szCs w:val="21"/>
              </w:rPr>
            </w:pPr>
          </w:p>
        </w:tc>
        <w:tc>
          <w:tcPr>
            <w:tcW w:w="1706" w:type="dxa"/>
            <w:vAlign w:val="center"/>
          </w:tcPr>
          <w:p>
            <w:pPr>
              <w:pStyle w:val="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cs="宋体"/>
                <w:szCs w:val="21"/>
              </w:rPr>
            </w:pPr>
          </w:p>
        </w:tc>
        <w:tc>
          <w:tcPr>
            <w:tcW w:w="3579" w:type="dxa"/>
            <w:vAlign w:val="center"/>
          </w:tcPr>
          <w:p>
            <w:pPr>
              <w:rPr>
                <w:rFonts w:ascii="宋体" w:cs="宋体"/>
                <w:szCs w:val="21"/>
              </w:rPr>
            </w:pPr>
          </w:p>
        </w:tc>
        <w:tc>
          <w:tcPr>
            <w:tcW w:w="1440" w:type="dxa"/>
            <w:vAlign w:val="center"/>
          </w:tcPr>
          <w:p>
            <w:pPr>
              <w:rPr>
                <w:rFonts w:ascii="宋体" w:cs="宋体"/>
                <w:szCs w:val="21"/>
              </w:rPr>
            </w:pPr>
          </w:p>
        </w:tc>
        <w:tc>
          <w:tcPr>
            <w:tcW w:w="1706" w:type="dxa"/>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cs="宋体"/>
                <w:szCs w:val="21"/>
              </w:rPr>
            </w:pPr>
          </w:p>
        </w:tc>
        <w:tc>
          <w:tcPr>
            <w:tcW w:w="3579" w:type="dxa"/>
            <w:vAlign w:val="center"/>
          </w:tcPr>
          <w:p>
            <w:pPr>
              <w:rPr>
                <w:rFonts w:ascii="宋体" w:cs="宋体"/>
                <w:szCs w:val="21"/>
              </w:rPr>
            </w:pPr>
          </w:p>
        </w:tc>
        <w:tc>
          <w:tcPr>
            <w:tcW w:w="1440" w:type="dxa"/>
            <w:vAlign w:val="center"/>
          </w:tcPr>
          <w:p>
            <w:pPr>
              <w:rPr>
                <w:rFonts w:ascii="宋体" w:cs="宋体"/>
                <w:szCs w:val="21"/>
              </w:rPr>
            </w:pPr>
          </w:p>
        </w:tc>
        <w:tc>
          <w:tcPr>
            <w:tcW w:w="1706" w:type="dxa"/>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Cs w:val="21"/>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 xml:space="preserve">4.4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pPr>
    </w:p>
    <w:p>
      <w:pPr>
        <w:ind w:right="-512" w:rightChars="-244"/>
      </w:pPr>
    </w:p>
    <w:p>
      <w:pPr>
        <w:spacing w:line="360" w:lineRule="auto"/>
        <w:ind w:right="-512" w:rightChars="-244"/>
        <w:jc w:val="center"/>
        <w:rPr>
          <w:rFonts w:ascii="宋体" w:hAnsi="宋体"/>
          <w:b/>
          <w:bCs/>
          <w:sz w:val="28"/>
          <w:szCs w:val="28"/>
        </w:rPr>
      </w:pPr>
      <w:r>
        <w:rPr>
          <w:rFonts w:hint="eastAsia" w:ascii="宋体" w:hAnsi="宋体"/>
          <w:b/>
          <w:bCs/>
          <w:sz w:val="28"/>
          <w:szCs w:val="28"/>
        </w:rPr>
        <w:t>除磋商文件另有规定外，供应商认为需要提交的其他证明材料或资料加盖供应商的单位公章后应在此项下提交。</w:t>
      </w:r>
    </w:p>
    <w:p/>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88CF2"/>
    <w:multiLevelType w:val="singleLevel"/>
    <w:tmpl w:val="D1B88CF2"/>
    <w:lvl w:ilvl="0" w:tentative="0">
      <w:start w:val="1"/>
      <w:numFmt w:val="decimal"/>
      <w:suff w:val="nothing"/>
      <w:lvlText w:val="%1、"/>
      <w:lvlJc w:val="left"/>
      <w:pPr>
        <w:ind w:left="120" w:firstLine="0"/>
      </w:pPr>
    </w:lvl>
  </w:abstractNum>
  <w:abstractNum w:abstractNumId="1">
    <w:nsid w:val="075B0644"/>
    <w:multiLevelType w:val="singleLevel"/>
    <w:tmpl w:val="075B0644"/>
    <w:lvl w:ilvl="0" w:tentative="0">
      <w:start w:val="1"/>
      <w:numFmt w:val="decimal"/>
      <w:suff w:val="nothing"/>
      <w:lvlText w:val="%1、"/>
      <w:lvlJc w:val="left"/>
    </w:lvl>
  </w:abstractNum>
  <w:abstractNum w:abstractNumId="2">
    <w:nsid w:val="68F0CF0D"/>
    <w:multiLevelType w:val="singleLevel"/>
    <w:tmpl w:val="68F0CF0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zZiOWIzNjgwNTRkMjFlOGY3N2IyZDVlZDc2NWMifQ=="/>
  </w:docVars>
  <w:rsids>
    <w:rsidRoot w:val="58D116D7"/>
    <w:rsid w:val="00096E4F"/>
    <w:rsid w:val="001574B0"/>
    <w:rsid w:val="00223033"/>
    <w:rsid w:val="00635985"/>
    <w:rsid w:val="00712B36"/>
    <w:rsid w:val="008B46E9"/>
    <w:rsid w:val="008C087D"/>
    <w:rsid w:val="00A67391"/>
    <w:rsid w:val="00B076D0"/>
    <w:rsid w:val="00BE5A21"/>
    <w:rsid w:val="00BF0299"/>
    <w:rsid w:val="00D02216"/>
    <w:rsid w:val="00D06BC2"/>
    <w:rsid w:val="00D95FF1"/>
    <w:rsid w:val="00F041C6"/>
    <w:rsid w:val="00FA42DC"/>
    <w:rsid w:val="00FB3025"/>
    <w:rsid w:val="00FF152D"/>
    <w:rsid w:val="062A2414"/>
    <w:rsid w:val="0A3A3A19"/>
    <w:rsid w:val="0DA51051"/>
    <w:rsid w:val="0E635199"/>
    <w:rsid w:val="17AD0D3B"/>
    <w:rsid w:val="1FBA64F8"/>
    <w:rsid w:val="2FD53DA6"/>
    <w:rsid w:val="336A5B3C"/>
    <w:rsid w:val="36285839"/>
    <w:rsid w:val="3F261466"/>
    <w:rsid w:val="3FFC44B1"/>
    <w:rsid w:val="405F5A31"/>
    <w:rsid w:val="41002CFA"/>
    <w:rsid w:val="43EE6514"/>
    <w:rsid w:val="44F76D3C"/>
    <w:rsid w:val="46610B16"/>
    <w:rsid w:val="48D94587"/>
    <w:rsid w:val="4BFF0B99"/>
    <w:rsid w:val="53590166"/>
    <w:rsid w:val="58D116D7"/>
    <w:rsid w:val="5C8E2B48"/>
    <w:rsid w:val="5EE148F6"/>
    <w:rsid w:val="65F345E7"/>
    <w:rsid w:val="66320FB2"/>
    <w:rsid w:val="6CDF064C"/>
    <w:rsid w:val="6D794AC3"/>
    <w:rsid w:val="708A3DA2"/>
    <w:rsid w:val="7705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rPr>
      <w:rFonts w:ascii="Arial" w:hAnsi="Arial" w:eastAsia="黑体" w:cs="Arial"/>
      <w:sz w:val="20"/>
      <w:szCs w:val="20"/>
    </w:rPr>
  </w:style>
  <w:style w:type="paragraph" w:styleId="5">
    <w:name w:val="Body Text"/>
    <w:basedOn w:val="1"/>
    <w:next w:val="6"/>
    <w:qFormat/>
    <w:uiPriority w:val="99"/>
    <w:pPr>
      <w:spacing w:after="120"/>
    </w:pPr>
    <w:rPr>
      <w:rFonts w:hint="eastAsia" w:hAnsi="宋体" w:cs="宋体"/>
      <w:szCs w:val="34"/>
    </w:rPr>
  </w:style>
  <w:style w:type="paragraph" w:styleId="6">
    <w:name w:val="toc 2"/>
    <w:basedOn w:val="1"/>
    <w:next w:val="1"/>
    <w:qFormat/>
    <w:uiPriority w:val="0"/>
    <w:pPr>
      <w:spacing w:before="120"/>
      <w:ind w:left="210"/>
      <w:jc w:val="left"/>
    </w:pPr>
    <w:rPr>
      <w:rFonts w:ascii="Times New Roman" w:hAnsi="Times New Roman"/>
      <w:i/>
      <w:iCs/>
      <w:sz w:val="20"/>
      <w:szCs w:val="24"/>
    </w:rPr>
  </w:style>
  <w:style w:type="paragraph" w:styleId="7">
    <w:name w:val="Body Text Indent"/>
    <w:basedOn w:val="1"/>
    <w:next w:val="1"/>
    <w:qFormat/>
    <w:uiPriority w:val="99"/>
    <w:pPr>
      <w:spacing w:after="120"/>
      <w:ind w:left="420" w:leftChars="200"/>
    </w:pPr>
  </w:style>
  <w:style w:type="paragraph" w:styleId="8">
    <w:name w:val="Plain Text"/>
    <w:basedOn w:val="1"/>
    <w:qFormat/>
    <w:uiPriority w:val="0"/>
    <w:rPr>
      <w:rFonts w:hAnsi="Courier New" w:cs="Courier New"/>
      <w:szCs w:val="21"/>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Body Text 2"/>
    <w:basedOn w:val="1"/>
    <w:next w:val="5"/>
    <w:qFormat/>
    <w:uiPriority w:val="0"/>
    <w:pPr>
      <w:widowControl/>
      <w:spacing w:before="100" w:beforeAutospacing="1" w:after="100" w:afterAutospacing="1"/>
      <w:jc w:val="left"/>
    </w:pPr>
    <w:rPr>
      <w:rFonts w:ascii="宋体" w:hAnsi="宋体"/>
      <w:kern w:val="0"/>
      <w:sz w:val="24"/>
    </w:rPr>
  </w:style>
  <w:style w:type="paragraph" w:styleId="12">
    <w:name w:val="Normal (Web)"/>
    <w:basedOn w:val="1"/>
    <w:qFormat/>
    <w:uiPriority w:val="99"/>
    <w:pPr>
      <w:widowControl/>
      <w:spacing w:before="100" w:beforeAutospacing="1" w:after="100" w:afterAutospacing="1"/>
      <w:jc w:val="left"/>
    </w:pPr>
    <w:rPr>
      <w:rFonts w:hAnsi="宋体" w:cs="宋体"/>
      <w:sz w:val="24"/>
    </w:rPr>
  </w:style>
  <w:style w:type="paragraph" w:styleId="13">
    <w:name w:val="Body Text First Indent"/>
    <w:basedOn w:val="5"/>
    <w:next w:val="14"/>
    <w:qFormat/>
    <w:uiPriority w:val="99"/>
    <w:pPr>
      <w:ind w:firstLine="420" w:firstLineChars="100"/>
    </w:pPr>
  </w:style>
  <w:style w:type="paragraph" w:styleId="14">
    <w:name w:val="Body Text First Indent 2"/>
    <w:basedOn w:val="7"/>
    <w:next w:val="1"/>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character" w:styleId="17">
    <w:name w:val="FollowedHyperlink"/>
    <w:basedOn w:val="16"/>
    <w:qFormat/>
    <w:uiPriority w:val="0"/>
    <w:rPr>
      <w:color w:val="000000"/>
      <w:u w:val="none"/>
    </w:rPr>
  </w:style>
  <w:style w:type="character" w:styleId="18">
    <w:name w:val="Emphasis"/>
    <w:basedOn w:val="16"/>
    <w:qFormat/>
    <w:uiPriority w:val="0"/>
  </w:style>
  <w:style w:type="character" w:styleId="19">
    <w:name w:val="Hyperlink"/>
    <w:basedOn w:val="16"/>
    <w:qFormat/>
    <w:uiPriority w:val="99"/>
    <w:rPr>
      <w:color w:val="000000"/>
      <w:u w:val="none"/>
    </w:rPr>
  </w:style>
  <w:style w:type="paragraph" w:customStyle="1" w:styleId="20">
    <w:name w:val="Blockquote"/>
    <w:basedOn w:val="1"/>
    <w:next w:val="1"/>
    <w:qFormat/>
    <w:uiPriority w:val="0"/>
    <w:pPr>
      <w:autoSpaceDE w:val="0"/>
      <w:autoSpaceDN w:val="0"/>
      <w:adjustRightInd w:val="0"/>
      <w:ind w:left="360" w:right="360"/>
      <w:jc w:val="left"/>
    </w:pPr>
    <w:rPr>
      <w:kern w:val="0"/>
      <w:sz w:val="24"/>
      <w:szCs w:val="20"/>
    </w:rPr>
  </w:style>
  <w:style w:type="paragraph" w:customStyle="1" w:styleId="21">
    <w:name w:val="_Style 2"/>
    <w:basedOn w:val="1"/>
    <w:next w:val="1"/>
    <w:qFormat/>
    <w:uiPriority w:val="0"/>
    <w:pPr>
      <w:ind w:firstLine="420" w:firstLineChars="200"/>
    </w:pPr>
  </w:style>
  <w:style w:type="character" w:customStyle="1" w:styleId="22">
    <w:name w:val="NormalCharacter"/>
    <w:qFormat/>
    <w:uiPriority w:val="0"/>
  </w:style>
  <w:style w:type="paragraph" w:styleId="23">
    <w:name w:val="List Paragraph"/>
    <w:basedOn w:val="1"/>
    <w:qFormat/>
    <w:uiPriority w:val="99"/>
    <w:pPr>
      <w:ind w:firstLine="420" w:firstLineChars="200"/>
    </w:pPr>
  </w:style>
  <w:style w:type="paragraph" w:customStyle="1" w:styleId="24">
    <w:name w:val="Table Paragraph"/>
    <w:basedOn w:val="1"/>
    <w:qFormat/>
    <w:uiPriority w:val="1"/>
    <w:rPr>
      <w:rFonts w:ascii="宋体" w:hAnsi="宋体" w:cs="宋体"/>
      <w:szCs w:val="20"/>
      <w:lang w:val="zh-CN" w:bidi="zh-CN"/>
    </w:rPr>
  </w:style>
  <w:style w:type="paragraph" w:customStyle="1" w:styleId="25">
    <w:name w:val="正文文本缩进1"/>
    <w:basedOn w:val="1"/>
    <w:qFormat/>
    <w:uiPriority w:val="0"/>
    <w:pPr>
      <w:spacing w:line="360" w:lineRule="auto"/>
      <w:ind w:firstLine="480" w:firstLineChars="200"/>
    </w:pPr>
    <w:rPr>
      <w:rFonts w:ascii="宋体"/>
      <w:kern w:val="0"/>
      <w:sz w:val="24"/>
      <w:szCs w:val="20"/>
    </w:rPr>
  </w:style>
  <w:style w:type="paragraph" w:customStyle="1" w:styleId="26">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27">
    <w:name w:val="日期1"/>
    <w:basedOn w:val="1"/>
    <w:next w:val="1"/>
    <w:qFormat/>
    <w:uiPriority w:val="0"/>
    <w:rPr>
      <w:kern w:val="0"/>
      <w:sz w:val="24"/>
      <w:szCs w:val="20"/>
    </w:rPr>
  </w:style>
  <w:style w:type="paragraph" w:customStyle="1" w:styleId="28">
    <w:name w:val="_Style 7"/>
    <w:basedOn w:val="1"/>
    <w:next w:val="23"/>
    <w:qFormat/>
    <w:uiPriority w:val="99"/>
    <w:pPr>
      <w:ind w:firstLine="420" w:firstLineChars="200"/>
    </w:pPr>
  </w:style>
  <w:style w:type="character" w:customStyle="1" w:styleId="29">
    <w:name w:val="red"/>
    <w:basedOn w:val="16"/>
    <w:qFormat/>
    <w:uiPriority w:val="0"/>
    <w:rPr>
      <w:color w:val="FF0000"/>
      <w:sz w:val="18"/>
      <w:szCs w:val="18"/>
    </w:rPr>
  </w:style>
  <w:style w:type="character" w:customStyle="1" w:styleId="30">
    <w:name w:val="red1"/>
    <w:basedOn w:val="16"/>
    <w:qFormat/>
    <w:uiPriority w:val="0"/>
    <w:rPr>
      <w:color w:val="FF0000"/>
      <w:sz w:val="18"/>
      <w:szCs w:val="18"/>
    </w:rPr>
  </w:style>
  <w:style w:type="character" w:customStyle="1" w:styleId="31">
    <w:name w:val="red2"/>
    <w:basedOn w:val="16"/>
    <w:qFormat/>
    <w:uiPriority w:val="0"/>
    <w:rPr>
      <w:color w:val="FF0000"/>
    </w:rPr>
  </w:style>
  <w:style w:type="character" w:customStyle="1" w:styleId="32">
    <w:name w:val="red3"/>
    <w:basedOn w:val="16"/>
    <w:qFormat/>
    <w:uiPriority w:val="0"/>
    <w:rPr>
      <w:color w:val="CC0000"/>
    </w:rPr>
  </w:style>
  <w:style w:type="character" w:customStyle="1" w:styleId="33">
    <w:name w:val="right"/>
    <w:basedOn w:val="16"/>
    <w:qFormat/>
    <w:uiPriority w:val="0"/>
    <w:rPr>
      <w:color w:val="999999"/>
      <w:sz w:val="18"/>
      <w:szCs w:val="18"/>
    </w:rPr>
  </w:style>
  <w:style w:type="character" w:customStyle="1" w:styleId="34">
    <w:name w:val="hover"/>
    <w:basedOn w:val="16"/>
    <w:qFormat/>
    <w:uiPriority w:val="0"/>
  </w:style>
  <w:style w:type="character" w:customStyle="1" w:styleId="35">
    <w:name w:val="blue"/>
    <w:basedOn w:val="16"/>
    <w:qFormat/>
    <w:uiPriority w:val="0"/>
    <w:rPr>
      <w:color w:val="0371C6"/>
      <w:sz w:val="21"/>
      <w:szCs w:val="21"/>
    </w:rPr>
  </w:style>
  <w:style w:type="character" w:customStyle="1" w:styleId="36">
    <w:name w:val="green"/>
    <w:basedOn w:val="16"/>
    <w:qFormat/>
    <w:uiPriority w:val="0"/>
    <w:rPr>
      <w:color w:val="66AE00"/>
      <w:sz w:val="18"/>
      <w:szCs w:val="18"/>
    </w:rPr>
  </w:style>
  <w:style w:type="character" w:customStyle="1" w:styleId="37">
    <w:name w:val="green1"/>
    <w:basedOn w:val="16"/>
    <w:qFormat/>
    <w:uiPriority w:val="0"/>
    <w:rPr>
      <w:color w:val="66AE00"/>
      <w:sz w:val="18"/>
      <w:szCs w:val="18"/>
    </w:rPr>
  </w:style>
  <w:style w:type="character" w:customStyle="1" w:styleId="38">
    <w:name w:val="gb-jt"/>
    <w:basedOn w:val="16"/>
    <w:qFormat/>
    <w:uiPriority w:val="0"/>
  </w:style>
  <w:style w:type="character" w:customStyle="1" w:styleId="39">
    <w:name w:val="active4"/>
    <w:basedOn w:val="16"/>
    <w:qFormat/>
    <w:uiPriority w:val="0"/>
    <w:rPr>
      <w:color w:val="FFFFFF"/>
      <w:shd w:val="clear" w:color="auto" w:fill="2B7AFC"/>
    </w:rPr>
  </w:style>
  <w:style w:type="character" w:customStyle="1" w:styleId="40">
    <w:name w:val="hover25"/>
    <w:basedOn w:val="16"/>
    <w:qFormat/>
    <w:uiPriority w:val="0"/>
  </w:style>
  <w:style w:type="character" w:customStyle="1" w:styleId="41">
    <w:name w:val="hover24"/>
    <w:basedOn w:val="16"/>
    <w:qFormat/>
    <w:uiPriority w:val="0"/>
  </w:style>
  <w:style w:type="character" w:customStyle="1" w:styleId="42">
    <w:name w:val="未处理的提及1"/>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17919</Words>
  <Characters>18996</Characters>
  <Lines>999</Lines>
  <Paragraphs>1025</Paragraphs>
  <TotalTime>38</TotalTime>
  <ScaleCrop>false</ScaleCrop>
  <LinksUpToDate>false</LinksUpToDate>
  <CharactersWithSpaces>35890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2023-01-03T03:35:00Z</dcterms:created>
  <dc:creator>八色花</dc:creator>
  <cp:lastModifiedBy>八色花</cp:lastModifiedBy>
  <cp:lastPrinted>2023-08-16T02:56:15Z</cp:lastPrinted>
  <dcterms:modified xsi:type="dcterms:W3CDTF">2023-08-16T03:12:04Z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971D55EE9A534D2799D028F8A309FA3D_13</vt:lpwstr>
  </property>
</Properties>
</file>