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ind w:firstLine="0" w:firstLineChars="0"/>
        <w:jc w:val="center"/>
        <w:rPr>
          <w:rFonts w:ascii="华文隶书" w:eastAsia="华文隶书"/>
          <w:bCs/>
          <w:color w:val="auto"/>
          <w:w w:val="90"/>
          <w:sz w:val="36"/>
          <w:szCs w:val="36"/>
        </w:rPr>
      </w:pPr>
      <w:bookmarkStart w:id="5" w:name="_GoBack"/>
      <w:r>
        <w:rPr>
          <w:rFonts w:hint="eastAsia" w:ascii="黑体" w:hAnsi="黑体" w:eastAsia="黑体" w:cs="黑体"/>
          <w:bCs/>
          <w:color w:val="auto"/>
          <w:sz w:val="36"/>
          <w:szCs w:val="36"/>
        </w:rPr>
        <w:t>禹州市第二人民医院购置口腔CT医疗设备采购项目</w:t>
      </w: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6"/>
        <w:ind w:firstLine="0" w:firstLineChars="0"/>
        <w:rPr>
          <w:rFonts w:ascii="华文隶书" w:eastAsia="华文隶书"/>
          <w:bCs/>
          <w:color w:val="auto"/>
          <w:w w:val="90"/>
          <w:sz w:val="40"/>
          <w:szCs w:val="40"/>
        </w:rPr>
      </w:pPr>
    </w:p>
    <w:p>
      <w:pPr>
        <w:pStyle w:val="37"/>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13"/>
        <w:rPr>
          <w:color w:val="auto"/>
        </w:rPr>
      </w:pPr>
    </w:p>
    <w:p>
      <w:pPr>
        <w:pStyle w:val="34"/>
        <w:rPr>
          <w:color w:val="auto"/>
        </w:rPr>
      </w:pPr>
    </w:p>
    <w:p>
      <w:pPr>
        <w:pStyle w:val="35"/>
        <w:rPr>
          <w:color w:val="auto"/>
        </w:rPr>
      </w:pPr>
    </w:p>
    <w:p>
      <w:pPr>
        <w:pStyle w:val="9"/>
        <w:numPr>
          <w:ilvl w:val="3"/>
          <w:numId w:val="0"/>
        </w:numPr>
        <w:rPr>
          <w:color w:val="auto"/>
        </w:rPr>
      </w:pPr>
    </w:p>
    <w:p>
      <w:pPr>
        <w:rPr>
          <w:rFonts w:ascii="微软简隶书" w:eastAsia="微软简隶书"/>
          <w:color w:val="auto"/>
        </w:rPr>
      </w:pPr>
    </w:p>
    <w:p>
      <w:pPr>
        <w:rPr>
          <w:rFonts w:ascii="微软简隶书" w:eastAsia="微软简隶书"/>
          <w:color w:val="auto"/>
        </w:rPr>
      </w:pPr>
    </w:p>
    <w:p>
      <w:pPr>
        <w:ind w:firstLine="2249" w:firstLineChars="700"/>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采购编号：YZCG-D</w:t>
      </w:r>
      <w:r>
        <w:rPr>
          <w:rFonts w:hint="eastAsia" w:ascii="宋体" w:hAnsi="宋体" w:eastAsia="宋体" w:cs="宋体"/>
          <w:b/>
          <w:bCs/>
          <w:color w:val="auto"/>
          <w:sz w:val="32"/>
          <w:szCs w:val="32"/>
        </w:rPr>
        <w:t>LT2023</w:t>
      </w:r>
      <w:r>
        <w:rPr>
          <w:rFonts w:hint="eastAsia" w:ascii="宋体" w:hAnsi="宋体" w:eastAsia="宋体" w:cs="宋体"/>
          <w:b/>
          <w:bCs/>
          <w:color w:val="auto"/>
          <w:sz w:val="32"/>
          <w:szCs w:val="32"/>
          <w:lang w:val="en-US" w:eastAsia="zh-CN"/>
        </w:rPr>
        <w:t xml:space="preserve">075 </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采购单位：禹州市</w:t>
      </w:r>
      <w:r>
        <w:rPr>
          <w:rFonts w:hint="eastAsia" w:ascii="宋体" w:hAnsi="宋体" w:eastAsia="宋体" w:cs="宋体"/>
          <w:b/>
          <w:bCs/>
          <w:color w:val="auto"/>
          <w:sz w:val="32"/>
          <w:szCs w:val="32"/>
          <w:lang w:eastAsia="zh-CN"/>
        </w:rPr>
        <w:t>第二人民医院</w:t>
      </w:r>
    </w:p>
    <w:p>
      <w:pPr>
        <w:ind w:firstLine="2249" w:firstLineChars="700"/>
        <w:rPr>
          <w:rFonts w:ascii="宋体" w:hAnsi="宋体" w:eastAsia="宋体" w:cs="宋体"/>
          <w:b/>
          <w:bCs/>
          <w:color w:val="auto"/>
          <w:sz w:val="32"/>
          <w:szCs w:val="32"/>
        </w:rPr>
      </w:pPr>
      <w:r>
        <w:rPr>
          <w:rFonts w:hint="eastAsia" w:ascii="宋体" w:hAnsi="宋体" w:eastAsia="宋体" w:cs="宋体"/>
          <w:b/>
          <w:bCs/>
          <w:color w:val="auto"/>
          <w:sz w:val="32"/>
          <w:szCs w:val="32"/>
        </w:rPr>
        <w:t>代理机构：许昌丰元咨询管理有限公司</w:t>
      </w:r>
    </w:p>
    <w:p>
      <w:pPr>
        <w:ind w:firstLine="3534" w:firstLineChars="1100"/>
        <w:rPr>
          <w:rFonts w:ascii="宋体" w:hAnsi="宋体" w:eastAsia="宋体" w:cs="宋体"/>
          <w:b/>
          <w:bCs/>
          <w:color w:val="auto"/>
          <w:sz w:val="32"/>
          <w:szCs w:val="32"/>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color w:val="auto"/>
          <w:sz w:val="32"/>
          <w:szCs w:val="32"/>
        </w:rPr>
        <w:t>二〇二三年</w:t>
      </w:r>
      <w:r>
        <w:rPr>
          <w:rFonts w:hint="eastAsia" w:ascii="宋体" w:hAnsi="宋体" w:eastAsia="宋体" w:cs="宋体"/>
          <w:b/>
          <w:bCs/>
          <w:color w:val="auto"/>
          <w:sz w:val="32"/>
          <w:szCs w:val="32"/>
          <w:lang w:eastAsia="zh-CN"/>
        </w:rPr>
        <w:t>八</w:t>
      </w:r>
      <w:r>
        <w:rPr>
          <w:rFonts w:hint="eastAsia" w:ascii="宋体" w:hAnsi="宋体" w:eastAsia="宋体" w:cs="宋体"/>
          <w:b/>
          <w:bCs/>
          <w:color w:val="auto"/>
          <w:sz w:val="32"/>
          <w:szCs w:val="32"/>
        </w:rPr>
        <w:t>月</w:t>
      </w:r>
    </w:p>
    <w:p>
      <w:pPr>
        <w:widowControl/>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color w:val="auto"/>
        </w:rPr>
      </w:pPr>
      <w:r>
        <w:rPr>
          <w:rFonts w:hint="eastAsia" w:cs="宋体" w:asciiTheme="majorEastAsia" w:hAnsiTheme="majorEastAsia" w:eastAsiaTheme="majorEastAsia"/>
          <w:b/>
          <w:color w:val="auto"/>
          <w:kern w:val="0"/>
          <w:sz w:val="32"/>
          <w:szCs w:val="32"/>
        </w:rPr>
        <w:t>第一章</w:t>
      </w:r>
      <w:r>
        <w:rPr>
          <w:rFonts w:hint="eastAsia" w:cs="宋体" w:asciiTheme="majorEastAsia" w:hAnsiTheme="majorEastAsia" w:eastAsiaTheme="majorEastAsia"/>
          <w:b/>
          <w:color w:val="auto"/>
          <w:kern w:val="0"/>
          <w:sz w:val="32"/>
          <w:szCs w:val="32"/>
          <w:lang w:val="en-US" w:eastAsia="zh-CN"/>
        </w:rPr>
        <w:t xml:space="preserve"> </w:t>
      </w:r>
      <w:r>
        <w:rPr>
          <w:rFonts w:hint="eastAsia" w:cs="宋体" w:asciiTheme="majorEastAsia" w:hAnsiTheme="majorEastAsia" w:eastAsiaTheme="majorEastAsia"/>
          <w:b/>
          <w:color w:val="auto"/>
          <w:kern w:val="0"/>
          <w:sz w:val="32"/>
          <w:szCs w:val="32"/>
        </w:rPr>
        <w:t>谈判邀请</w:t>
      </w:r>
    </w:p>
    <w:p>
      <w:pPr>
        <w:tabs>
          <w:tab w:val="left" w:pos="7095"/>
        </w:tabs>
        <w:spacing w:line="360" w:lineRule="auto"/>
        <w:contextualSpacing/>
        <w:rPr>
          <w:rFonts w:hAnsi="宋体"/>
          <w:b/>
          <w:bCs/>
          <w:color w:val="auto"/>
          <w:szCs w:val="21"/>
        </w:rPr>
      </w:pPr>
      <w:r>
        <w:rPr>
          <w:rFonts w:hint="eastAsia" w:hAnsi="宋体"/>
          <w:b/>
          <w:bCs/>
          <w:color w:val="auto"/>
          <w:szCs w:val="21"/>
        </w:rPr>
        <w:t>项目概况</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禹州市第二人民医院购置口腔CT医疗设备采购项目</w:t>
      </w:r>
      <w:r>
        <w:rPr>
          <w:rFonts w:hint="eastAsia" w:hAnsi="宋体"/>
          <w:color w:val="auto"/>
          <w:szCs w:val="21"/>
        </w:rPr>
        <w:t>的潜在投标人应在谈判响应截止时间前均可登录《全国公共资源交易平台（河南省·许昌市）》“投标人/供应商登录”入口（http://ggzy.xuchang.gov.cn:8088/ggzy/）自行免费下载获取招标文件，并于20</w:t>
      </w:r>
      <w:r>
        <w:rPr>
          <w:rFonts w:hint="eastAsia" w:hAnsi="宋体"/>
          <w:color w:val="auto"/>
          <w:szCs w:val="21"/>
        </w:rPr>
        <w:t>23年</w:t>
      </w:r>
      <w:r>
        <w:rPr>
          <w:rFonts w:hint="eastAsia" w:hAnsi="宋体"/>
          <w:color w:val="auto"/>
          <w:szCs w:val="21"/>
          <w:lang w:val="en-US" w:eastAsia="zh-CN"/>
        </w:rPr>
        <w:t>08</w:t>
      </w:r>
      <w:r>
        <w:rPr>
          <w:rFonts w:hint="eastAsia" w:hAnsi="宋体"/>
          <w:color w:val="auto"/>
          <w:szCs w:val="21"/>
        </w:rPr>
        <w:t>月</w:t>
      </w:r>
      <w:r>
        <w:rPr>
          <w:rFonts w:hint="eastAsia" w:hAnsi="宋体"/>
          <w:color w:val="auto"/>
          <w:szCs w:val="21"/>
          <w:lang w:val="en-US" w:eastAsia="zh-CN"/>
        </w:rPr>
        <w:t xml:space="preserve"> 10 </w:t>
      </w:r>
      <w:r>
        <w:rPr>
          <w:rFonts w:hint="eastAsia" w:hAnsi="宋体"/>
          <w:color w:val="auto"/>
          <w:szCs w:val="21"/>
        </w:rPr>
        <w:t>日</w:t>
      </w:r>
      <w:r>
        <w:rPr>
          <w:rFonts w:hint="eastAsia" w:hAnsi="宋体"/>
          <w:color w:val="auto"/>
          <w:szCs w:val="21"/>
          <w:lang w:val="en-US" w:eastAsia="zh-CN"/>
        </w:rPr>
        <w:t xml:space="preserve">08 </w:t>
      </w:r>
      <w:r>
        <w:rPr>
          <w:rFonts w:hint="eastAsia" w:hAnsi="宋体"/>
          <w:color w:val="auto"/>
          <w:szCs w:val="21"/>
        </w:rPr>
        <w:t xml:space="preserve">时 30 </w:t>
      </w:r>
      <w:r>
        <w:rPr>
          <w:rFonts w:hint="eastAsia" w:hAnsi="宋体"/>
          <w:color w:val="auto"/>
          <w:szCs w:val="21"/>
        </w:rPr>
        <w:t>分（北京时间）前递交响应文件。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一、项目基本情况</w:t>
      </w:r>
    </w:p>
    <w:p>
      <w:pPr>
        <w:tabs>
          <w:tab w:val="left" w:pos="7095"/>
        </w:tabs>
        <w:spacing w:line="360" w:lineRule="auto"/>
        <w:ind w:firstLine="420" w:firstLineChars="200"/>
        <w:contextualSpacing/>
        <w:rPr>
          <w:rFonts w:hint="default" w:eastAsiaTheme="minorEastAsia"/>
          <w:color w:val="auto"/>
          <w:lang w:val="en-US" w:eastAsia="zh-CN"/>
        </w:rPr>
      </w:pPr>
      <w:r>
        <w:rPr>
          <w:rFonts w:hint="eastAsia" w:hAnsi="宋体"/>
          <w:color w:val="auto"/>
          <w:szCs w:val="21"/>
        </w:rPr>
        <w:t>1.项目编号：YZCG</w:t>
      </w:r>
      <w:r>
        <w:rPr>
          <w:rFonts w:hint="eastAsia" w:hAnsi="宋体"/>
          <w:color w:val="auto"/>
          <w:szCs w:val="21"/>
        </w:rPr>
        <w:t>-DLT2023</w:t>
      </w:r>
      <w:r>
        <w:rPr>
          <w:rFonts w:hint="eastAsia" w:hAnsi="宋体"/>
          <w:color w:val="auto"/>
          <w:szCs w:val="21"/>
          <w:lang w:val="en-US" w:eastAsia="zh-CN"/>
        </w:rPr>
        <w:t>075</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2.项目名称：</w:t>
      </w:r>
      <w:r>
        <w:rPr>
          <w:rFonts w:hint="eastAsia" w:hAnsi="宋体"/>
          <w:color w:val="auto"/>
          <w:szCs w:val="21"/>
        </w:rPr>
        <w:t>禹州市第二人民医院购置口腔CT医疗设备采购项目</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3.采购方式：竞争性谈判</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4.预算金额：</w:t>
      </w:r>
      <w:r>
        <w:rPr>
          <w:rFonts w:hint="eastAsia" w:hAnsi="宋体"/>
          <w:color w:val="auto"/>
          <w:szCs w:val="21"/>
          <w:lang w:val="en-US" w:eastAsia="zh-CN"/>
        </w:rPr>
        <w:t>55</w:t>
      </w:r>
      <w:r>
        <w:rPr>
          <w:rFonts w:hint="eastAsia" w:hAnsi="宋体"/>
          <w:color w:val="auto"/>
          <w:szCs w:val="21"/>
        </w:rPr>
        <w:t>0</w:t>
      </w:r>
      <w:r>
        <w:rPr>
          <w:rFonts w:hint="eastAsia" w:hAnsi="宋体"/>
          <w:color w:val="auto"/>
          <w:szCs w:val="21"/>
        </w:rPr>
        <w:t>000.00元</w:t>
      </w:r>
    </w:p>
    <w:p>
      <w:pPr>
        <w:tabs>
          <w:tab w:val="left" w:pos="7095"/>
        </w:tabs>
        <w:spacing w:line="360" w:lineRule="auto"/>
        <w:ind w:firstLine="525" w:firstLineChars="250"/>
        <w:contextualSpacing/>
        <w:rPr>
          <w:rFonts w:hAnsi="宋体"/>
          <w:color w:val="auto"/>
          <w:szCs w:val="21"/>
        </w:rPr>
      </w:pPr>
      <w:r>
        <w:rPr>
          <w:rFonts w:hint="eastAsia" w:hAnsi="宋体"/>
          <w:color w:val="auto"/>
          <w:szCs w:val="21"/>
        </w:rPr>
        <w:t>最高限价：</w:t>
      </w:r>
      <w:r>
        <w:rPr>
          <w:rFonts w:hint="eastAsia" w:hAnsi="宋体"/>
          <w:color w:val="auto"/>
          <w:szCs w:val="21"/>
          <w:lang w:val="en-US" w:eastAsia="zh-CN"/>
        </w:rPr>
        <w:t>55</w:t>
      </w:r>
      <w:r>
        <w:rPr>
          <w:rFonts w:hint="eastAsia" w:hAnsi="宋体"/>
          <w:color w:val="auto"/>
          <w:szCs w:val="21"/>
        </w:rPr>
        <w:t>0000.00</w:t>
      </w:r>
      <w:r>
        <w:rPr>
          <w:rFonts w:hint="eastAsia" w:hAnsi="宋体"/>
          <w:color w:val="auto"/>
          <w:szCs w:val="21"/>
        </w:rPr>
        <w:t xml:space="preserve">元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5.采购需求（包括但不限于标的的名称、数量、简要技术需求或服务要求等）</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禹州市第二人民医院购置口腔CT医疗设备采购项目</w:t>
      </w:r>
      <w:r>
        <w:rPr>
          <w:rFonts w:hint="eastAsia" w:hAnsi="宋体"/>
          <w:color w:val="auto"/>
          <w:szCs w:val="21"/>
          <w:lang w:val="en-US" w:eastAsia="zh-CN"/>
        </w:rPr>
        <w:t>，购置口腔CT设备一台</w:t>
      </w:r>
      <w:r>
        <w:rPr>
          <w:rFonts w:hint="eastAsia" w:hAnsi="宋体"/>
          <w:color w:val="auto"/>
          <w:szCs w:val="21"/>
        </w:rPr>
        <w:t>（详见谈判文件）。</w:t>
      </w:r>
    </w:p>
    <w:p>
      <w:pPr>
        <w:tabs>
          <w:tab w:val="left" w:pos="7095"/>
        </w:tabs>
        <w:spacing w:line="384" w:lineRule="auto"/>
        <w:ind w:firstLine="420" w:firstLineChars="200"/>
        <w:contextualSpacing/>
        <w:rPr>
          <w:rFonts w:hAnsi="宋体"/>
          <w:color w:val="auto"/>
          <w:szCs w:val="21"/>
        </w:rPr>
      </w:pPr>
      <w:r>
        <w:rPr>
          <w:rFonts w:hint="eastAsia" w:hAnsi="宋体"/>
          <w:color w:val="auto"/>
          <w:szCs w:val="21"/>
        </w:rPr>
        <w:t>6.合同履行期限：合同签订后</w:t>
      </w:r>
      <w:r>
        <w:rPr>
          <w:rFonts w:hint="eastAsia" w:hAnsi="宋体"/>
          <w:color w:val="auto"/>
          <w:szCs w:val="21"/>
          <w:lang w:val="en-US" w:eastAsia="zh-CN"/>
        </w:rPr>
        <w:t>7个工作日</w:t>
      </w:r>
      <w:r>
        <w:rPr>
          <w:rFonts w:hint="eastAsia" w:hAnsi="宋体"/>
          <w:color w:val="auto"/>
          <w:szCs w:val="21"/>
        </w:rPr>
        <w:t>内</w:t>
      </w:r>
      <w:r>
        <w:rPr>
          <w:rFonts w:hint="eastAsia" w:ascii="宋体" w:hAnsi="宋体" w:eastAsia="宋体" w:cs="宋体"/>
          <w:color w:val="auto"/>
          <w:szCs w:val="21"/>
          <w:shd w:val="clear" w:color="auto" w:fill="FFFFFF"/>
        </w:rPr>
        <w:t>完成采购、安装、调试</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7.本项目是否接受联合体投标：否</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8.是否接受进口产品：否</w:t>
      </w:r>
    </w:p>
    <w:p>
      <w:pPr>
        <w:tabs>
          <w:tab w:val="left" w:pos="7095"/>
        </w:tabs>
        <w:spacing w:line="384" w:lineRule="auto"/>
        <w:ind w:firstLine="420" w:firstLineChars="200"/>
        <w:contextualSpacing/>
        <w:rPr>
          <w:rFonts w:hint="eastAsia" w:eastAsiaTheme="minorEastAsia"/>
          <w:color w:val="auto"/>
          <w:lang w:val="en-US" w:eastAsia="zh-CN"/>
        </w:rPr>
      </w:pPr>
      <w:r>
        <w:rPr>
          <w:rFonts w:hint="eastAsia" w:hAnsi="宋体"/>
          <w:color w:val="auto"/>
          <w:szCs w:val="21"/>
        </w:rPr>
        <w:t>9.是否专门面向中小企业：</w:t>
      </w:r>
      <w:r>
        <w:rPr>
          <w:rFonts w:hint="eastAsia" w:hAnsi="宋体"/>
          <w:color w:val="auto"/>
          <w:szCs w:val="21"/>
          <w:lang w:eastAsia="zh-CN"/>
        </w:rPr>
        <w:t>否</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二、供应商资格要求：</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1.满足《中华人民共和国政府采购法》第二十二条规定。</w:t>
      </w:r>
    </w:p>
    <w:p>
      <w:pPr>
        <w:tabs>
          <w:tab w:val="left" w:pos="7095"/>
        </w:tabs>
        <w:spacing w:line="384" w:lineRule="auto"/>
        <w:ind w:firstLine="420" w:firstLineChars="200"/>
        <w:contextualSpacing/>
        <w:rPr>
          <w:rFonts w:asciiTheme="majorEastAsia" w:hAnsiTheme="majorEastAsia" w:eastAsiaTheme="majorEastAsia" w:cstheme="majorEastAsia"/>
          <w:color w:val="auto"/>
          <w:szCs w:val="21"/>
        </w:rPr>
      </w:pPr>
      <w:r>
        <w:rPr>
          <w:rFonts w:hint="eastAsia" w:hAnsi="宋体"/>
          <w:color w:val="auto"/>
          <w:szCs w:val="21"/>
        </w:rPr>
        <w:t>2.落实政府采购政策满足的资格要求：</w:t>
      </w:r>
      <w:r>
        <w:rPr>
          <w:rFonts w:hint="eastAsia" w:asciiTheme="majorEastAsia" w:hAnsiTheme="majorEastAsia" w:eastAsiaTheme="majorEastAsia" w:cstheme="majorEastAsia"/>
          <w:color w:val="auto"/>
          <w:szCs w:val="21"/>
        </w:rPr>
        <w:t>本项目落实节约</w:t>
      </w:r>
      <w:r>
        <w:rPr>
          <w:rFonts w:hint="eastAsia" w:asciiTheme="majorEastAsia" w:hAnsiTheme="majorEastAsia" w:eastAsiaTheme="majorEastAsia" w:cstheme="majorEastAsia"/>
          <w:color w:val="auto"/>
          <w:szCs w:val="21"/>
        </w:rPr>
        <w:t>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rPr>
        <w:t>。</w:t>
      </w:r>
    </w:p>
    <w:p>
      <w:pPr>
        <w:tabs>
          <w:tab w:val="left" w:pos="7095"/>
        </w:tabs>
        <w:spacing w:line="360" w:lineRule="auto"/>
        <w:ind w:firstLine="420" w:firstLineChars="200"/>
        <w:contextualSpacing/>
        <w:rPr>
          <w:rFonts w:hint="eastAsia" w:hAnsi="宋体"/>
          <w:color w:val="auto"/>
          <w:szCs w:val="21"/>
        </w:rPr>
      </w:pPr>
      <w:r>
        <w:rPr>
          <w:rFonts w:hint="eastAsia" w:hAnsi="宋体"/>
          <w:color w:val="auto"/>
          <w:szCs w:val="21"/>
        </w:rPr>
        <w:t>3.本项目的特定资格要求：</w:t>
      </w:r>
    </w:p>
    <w:p>
      <w:pPr>
        <w:tabs>
          <w:tab w:val="left" w:pos="7095"/>
        </w:tabs>
        <w:spacing w:line="384" w:lineRule="auto"/>
        <w:ind w:firstLine="420" w:firstLineChars="200"/>
        <w:contextualSpacing/>
        <w:rPr>
          <w:rFonts w:hint="eastAsia" w:hAnsi="宋体"/>
          <w:color w:val="auto"/>
          <w:szCs w:val="21"/>
          <w:lang w:val="en-US" w:eastAsia="zh-CN"/>
        </w:rPr>
      </w:pPr>
      <w:r>
        <w:rPr>
          <w:rFonts w:hint="eastAsia" w:hAnsi="宋体"/>
          <w:color w:val="auto"/>
          <w:szCs w:val="21"/>
          <w:lang w:val="en-US" w:eastAsia="zh-CN"/>
        </w:rPr>
        <w:t>3.1供应商须具有相应范围的《医疗器械生产许可证》或《医疗器械经营许可证》；</w:t>
      </w:r>
    </w:p>
    <w:p>
      <w:pPr>
        <w:tabs>
          <w:tab w:val="left" w:pos="7095"/>
        </w:tabs>
        <w:spacing w:line="360" w:lineRule="auto"/>
        <w:ind w:firstLine="420" w:firstLineChars="200"/>
        <w:contextualSpacing/>
        <w:rPr>
          <w:rFonts w:hAnsi="宋体"/>
          <w:color w:val="auto"/>
          <w:szCs w:val="21"/>
        </w:rPr>
      </w:pPr>
      <w:r>
        <w:rPr>
          <w:rFonts w:hint="eastAsia" w:hAnsi="宋体"/>
          <w:color w:val="auto"/>
          <w:szCs w:val="21"/>
          <w:lang w:val="en-US" w:eastAsia="zh-CN"/>
        </w:rPr>
        <w:t>3.2</w:t>
      </w:r>
      <w:r>
        <w:rPr>
          <w:rFonts w:hint="eastAsia" w:hAnsi="宋体"/>
          <w:color w:val="auto"/>
          <w:szCs w:val="21"/>
        </w:rPr>
        <w:t>被委托人须是本单位职工，须提供公司为本人缴纳社会保险证明。</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三、获取谈判文件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即日起至投标截止时间，登录《全国公共资源交易平台（河南省·许昌市）》“投标人/供应 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四、响应文件的提交方式及注意事项 </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五、谈判截止时间、谈判时间及地点</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w:t>
      </w:r>
      <w:r>
        <w:rPr>
          <w:rFonts w:hint="eastAsia" w:hAnsi="宋体"/>
          <w:color w:val="auto"/>
          <w:szCs w:val="21"/>
        </w:rPr>
        <w:t>20</w:t>
      </w:r>
      <w:r>
        <w:rPr>
          <w:rFonts w:hint="eastAsia" w:hAnsi="宋体"/>
          <w:color w:val="auto"/>
          <w:szCs w:val="21"/>
        </w:rPr>
        <w:t>23年</w:t>
      </w:r>
      <w:r>
        <w:rPr>
          <w:rFonts w:hint="eastAsia" w:hAnsi="宋体"/>
          <w:color w:val="auto"/>
          <w:szCs w:val="21"/>
          <w:lang w:val="en-US" w:eastAsia="zh-CN"/>
        </w:rPr>
        <w:t>08</w:t>
      </w:r>
      <w:r>
        <w:rPr>
          <w:rFonts w:hint="eastAsia" w:hAnsi="宋体"/>
          <w:color w:val="auto"/>
          <w:szCs w:val="21"/>
        </w:rPr>
        <w:t>月</w:t>
      </w:r>
      <w:r>
        <w:rPr>
          <w:rFonts w:hint="eastAsia" w:hAnsi="宋体"/>
          <w:color w:val="auto"/>
          <w:szCs w:val="21"/>
          <w:lang w:val="en-US" w:eastAsia="zh-CN"/>
        </w:rPr>
        <w:t xml:space="preserve"> 10 </w:t>
      </w:r>
      <w:r>
        <w:rPr>
          <w:rFonts w:hint="eastAsia" w:hAnsi="宋体"/>
          <w:color w:val="auto"/>
          <w:szCs w:val="21"/>
        </w:rPr>
        <w:t>日</w:t>
      </w:r>
      <w:r>
        <w:rPr>
          <w:rFonts w:hint="eastAsia" w:hAnsi="宋体"/>
          <w:color w:val="auto"/>
          <w:szCs w:val="21"/>
          <w:lang w:val="en-US" w:eastAsia="zh-CN"/>
        </w:rPr>
        <w:t xml:space="preserve">08 </w:t>
      </w:r>
      <w:r>
        <w:rPr>
          <w:rFonts w:hint="eastAsia" w:hAnsi="宋体"/>
          <w:color w:val="auto"/>
          <w:szCs w:val="21"/>
        </w:rPr>
        <w:t xml:space="preserve">时 30 </w:t>
      </w:r>
      <w:r>
        <w:rPr>
          <w:rFonts w:hint="eastAsia" w:hAnsi="宋体"/>
          <w:color w:val="auto"/>
          <w:szCs w:val="21"/>
        </w:rPr>
        <w:t>分</w:t>
      </w:r>
      <w:r>
        <w:rPr>
          <w:rFonts w:hint="eastAsia" w:ascii="宋体" w:hAnsi="宋体" w:eastAsia="宋体" w:cs="宋体"/>
          <w:color w:val="auto"/>
          <w:szCs w:val="21"/>
          <w:shd w:val="clear" w:color="auto" w:fill="FFFFFF"/>
        </w:rPr>
        <w:t>（北京时间），逾期提交或不符合规定的响应文件恕不接受。</w:t>
      </w:r>
    </w:p>
    <w:p>
      <w:pPr>
        <w:spacing w:line="440" w:lineRule="exact"/>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0" w:firstLineChars="200"/>
        <w:rPr>
          <w:color w:val="auto"/>
        </w:rPr>
      </w:pPr>
      <w:r>
        <w:rPr>
          <w:rFonts w:hint="eastAsia" w:ascii="宋体" w:hAnsi="宋体" w:eastAsia="宋体" w:cs="宋体"/>
          <w:color w:val="auto"/>
          <w:szCs w:val="21"/>
          <w:shd w:val="clear" w:color="auto" w:fill="FFFFFF"/>
        </w:rPr>
        <w:t>3、谈判响应文件开启地点：禹州市公共资源交易中心九楼第</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lang w:val="en-US" w:eastAsia="zh-CN"/>
        </w:rPr>
        <w:t xml:space="preserve"> 1</w:t>
      </w:r>
      <w:r>
        <w:rPr>
          <w:rFonts w:hint="eastAsia" w:ascii="宋体" w:hAnsi="宋体" w:eastAsia="宋体" w:cs="宋体"/>
          <w:color w:val="auto"/>
          <w:szCs w:val="21"/>
          <w:shd w:val="clear" w:color="auto" w:fill="FFFFFF"/>
        </w:rPr>
        <w:t>室。（</w:t>
      </w:r>
      <w:r>
        <w:rPr>
          <w:rFonts w:hint="eastAsia" w:ascii="宋体" w:hAnsi="宋体" w:eastAsia="宋体" w:cs="宋体"/>
          <w:color w:val="auto"/>
          <w:szCs w:val="21"/>
          <w:shd w:val="clear" w:color="auto" w:fill="FFFFFF"/>
        </w:rPr>
        <w:t>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六、开标注意事项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七、发布公告的媒介</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 xml:space="preserve">本次谈判公告同时在《河南省政府采购网》《许昌市政府采购网》《全国公共资源交易平台（河南省·许昌市）》上发布。 </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八、联系方式</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1.采购人信息</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lang w:val="en-US" w:eastAsia="zh-CN"/>
        </w:rPr>
        <w:t>禹州市第二人民医院</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lang w:val="en-US" w:eastAsia="zh-CN"/>
        </w:rPr>
        <w:t>禹州市滨河大道西段</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朱</w:t>
      </w:r>
      <w:r>
        <w:rPr>
          <w:rFonts w:hint="eastAsia" w:asciiTheme="majorEastAsia" w:hAnsiTheme="majorEastAsia" w:eastAsiaTheme="majorEastAsia" w:cstheme="majorEastAsia"/>
          <w:color w:val="auto"/>
          <w:szCs w:val="21"/>
          <w:lang w:eastAsia="zh-CN"/>
        </w:rPr>
        <w:t>先生</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0374-8171116</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2.采购代理机构信息</w:t>
      </w:r>
    </w:p>
    <w:p>
      <w:pPr>
        <w:spacing w:line="384" w:lineRule="auto"/>
        <w:ind w:firstLine="420" w:firstLineChars="200"/>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spacing w:line="384" w:lineRule="auto"/>
        <w:ind w:firstLine="420" w:firstLineChars="200"/>
        <w:jc w:val="left"/>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p>
      <w:pPr>
        <w:spacing w:line="440" w:lineRule="exact"/>
        <w:ind w:firstLine="420" w:firstLineChars="200"/>
        <w:jc w:val="left"/>
        <w:rPr>
          <w:rFonts w:hAnsi="宋体"/>
          <w:b/>
          <w:color w:val="auto"/>
          <w:szCs w:val="21"/>
        </w:rPr>
      </w:pPr>
      <w:r>
        <w:rPr>
          <w:rFonts w:hint="eastAsia" w:hAnsi="宋体"/>
          <w:color w:val="auto"/>
          <w:szCs w:val="21"/>
        </w:rPr>
        <w:t>3.监督单位：禹州市政府采购监督管理办公室</w:t>
      </w:r>
    </w:p>
    <w:p>
      <w:pPr>
        <w:spacing w:line="360" w:lineRule="auto"/>
        <w:rPr>
          <w:rFonts w:hAnsi="宋体"/>
          <w:b/>
          <w:color w:val="auto"/>
          <w:szCs w:val="21"/>
        </w:rPr>
      </w:pPr>
      <w:r>
        <w:rPr>
          <w:rFonts w:hint="eastAsia" w:hAnsi="宋体"/>
          <w:b/>
          <w:color w:val="auto"/>
          <w:szCs w:val="21"/>
        </w:rPr>
        <w:t>温馨提示：</w:t>
      </w:r>
    </w:p>
    <w:p>
      <w:pPr>
        <w:tabs>
          <w:tab w:val="left" w:pos="7095"/>
        </w:tabs>
        <w:spacing w:line="360" w:lineRule="auto"/>
        <w:ind w:firstLine="422" w:firstLineChars="200"/>
        <w:contextualSpacing/>
        <w:rPr>
          <w:rFonts w:hAnsi="宋体"/>
          <w:b/>
          <w:color w:val="auto"/>
          <w:szCs w:val="21"/>
        </w:rPr>
      </w:pPr>
      <w:r>
        <w:rPr>
          <w:rFonts w:hint="eastAsia" w:hAnsi="宋体"/>
          <w:b/>
          <w:color w:val="auto"/>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供应商应按谈判文件规定编制、提交、解密电子响应文件。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电子文件下载、制作、提交期间和远程不见面谈判（</w:t>
      </w:r>
      <w:r>
        <w:rPr>
          <w:rFonts w:hint="eastAsia" w:hAnsi="宋体"/>
          <w:color w:val="auto"/>
          <w:szCs w:val="21"/>
        </w:rPr>
        <w:t>电子响应文件的解密</w:t>
      </w:r>
      <w:r>
        <w:rPr>
          <w:rFonts w:hint="eastAsia" w:hAnsi="宋体"/>
          <w:b/>
          <w:color w:val="auto"/>
          <w:szCs w:val="21"/>
        </w:rPr>
        <w:t>）环节，供应商须使用同一个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供应商对同一项目多个标段进行响应的，应分别下载所投标段的谈判文件，按标段制作电子响应文件，并</w:t>
      </w:r>
      <w:r>
        <w:rPr>
          <w:rFonts w:hAnsi="宋体"/>
          <w:color w:val="auto"/>
          <w:szCs w:val="21"/>
        </w:rPr>
        <w:t>按</w:t>
      </w:r>
      <w:r>
        <w:rPr>
          <w:rFonts w:hint="eastAsia" w:hAnsi="宋体"/>
          <w:color w:val="auto"/>
          <w:szCs w:val="21"/>
        </w:rPr>
        <w:t>谈判</w:t>
      </w:r>
      <w:r>
        <w:rPr>
          <w:rFonts w:hAnsi="宋体"/>
          <w:color w:val="auto"/>
          <w:szCs w:val="21"/>
        </w:rPr>
        <w:t>文件要求在相应位置加盖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电子响应文件应按规定在谈判响应截止时间（谈判时间）之前成功提交至《全国公共资源交易平台(河南省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Cs w:val="21"/>
        </w:rPr>
        <w:t>http://221.14.6.70:8088/ggzy/</w:t>
      </w:r>
      <w:r>
        <w:rPr>
          <w:rStyle w:val="32"/>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5.远程不见面谈判（</w:t>
      </w:r>
      <w:r>
        <w:rPr>
          <w:rFonts w:hint="eastAsia" w:hAnsi="宋体"/>
          <w:b/>
          <w:color w:val="auto"/>
          <w:szCs w:val="21"/>
        </w:rPr>
        <w:t>电子响应文件的解密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1</w:t>
      </w:r>
      <w:r>
        <w:rPr>
          <w:rFonts w:hint="eastAsia" w:hAnsi="宋体"/>
          <w:color w:val="auto"/>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color w:val="auto"/>
          <w:kern w:val="0"/>
          <w:szCs w:val="21"/>
        </w:rPr>
        <w:t>因供应商原因解密失败的，其响应文件将被拒绝。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auto"/>
          <w:szCs w:val="21"/>
        </w:rPr>
      </w:pPr>
      <w:r>
        <w:rPr>
          <w:rFonts w:hint="eastAsia" w:asciiTheme="minorEastAsia" w:hAnsiTheme="minorEastAsia"/>
          <w:b/>
          <w:color w:val="auto"/>
          <w:szCs w:val="21"/>
        </w:rPr>
        <w:t>6.评审依据</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firstLine="420" w:firstLineChars="200"/>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tabs>
          <w:tab w:val="left" w:pos="7095"/>
        </w:tabs>
        <w:spacing w:line="360" w:lineRule="auto"/>
        <w:ind w:firstLine="420"/>
        <w:contextualSpacing/>
        <w:rPr>
          <w:rFonts w:asciiTheme="minorEastAsia" w:hAnsiTheme="minorEastAsia"/>
          <w:color w:val="auto"/>
          <w:szCs w:val="21"/>
          <w:lang w:val="zh-CN"/>
        </w:rPr>
      </w:pPr>
      <w:r>
        <w:rPr>
          <w:rFonts w:hint="eastAsia" w:asciiTheme="minorEastAsia" w:hAnsiTheme="minorEastAsia"/>
          <w:color w:val="auto"/>
          <w:szCs w:val="21"/>
          <w:lang w:val="zh-CN"/>
        </w:rPr>
        <w:t>注：</w:t>
      </w:r>
      <w:r>
        <w:rPr>
          <w:rFonts w:hint="eastAsia" w:asciiTheme="minorEastAsia" w:hAnsiTheme="minorEastAsia"/>
          <w:color w:val="auto"/>
          <w:szCs w:val="21"/>
        </w:rPr>
        <w:t>①谈判小组要求供应商提交最后报价时，</w:t>
      </w:r>
      <w:r>
        <w:rPr>
          <w:rFonts w:hint="eastAsia" w:asciiTheme="minorEastAsia" w:hAnsiTheme="minorEastAsia"/>
          <w:color w:val="auto"/>
          <w:szCs w:val="21"/>
          <w:lang w:val="zh-CN"/>
        </w:rPr>
        <w:t>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color w:val="auto"/>
          <w:szCs w:val="21"/>
        </w:rPr>
      </w:pPr>
      <w:r>
        <w:rPr>
          <w:rFonts w:hint="eastAsia" w:asciiTheme="minorEastAsia" w:hAnsiTheme="minorEastAsia"/>
          <w:color w:val="auto"/>
          <w:szCs w:val="21"/>
        </w:rPr>
        <w:t>③请供应商根据项目情况，可提前准备分项报价。</w:t>
      </w:r>
    </w:p>
    <w:p>
      <w:pPr>
        <w:numPr>
          <w:ilvl w:val="0"/>
          <w:numId w:val="4"/>
        </w:num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firstLine="210" w:firstLineChars="100"/>
        <w:contextualSpacing/>
        <w:rPr>
          <w:rFonts w:cs="宋体" w:asciiTheme="majorEastAsia" w:hAnsiTheme="majorEastAsia" w:eastAsiaTheme="majorEastAsia"/>
          <w:b/>
          <w:color w:val="auto"/>
          <w:kern w:val="0"/>
          <w:sz w:val="32"/>
          <w:szCs w:val="32"/>
        </w:rPr>
      </w:pPr>
      <w:r>
        <w:rPr>
          <w:rFonts w:hint="eastAsia" w:asciiTheme="minorEastAsia" w:hAnsiTheme="minorEastAsia"/>
          <w:color w:val="auto"/>
          <w:szCs w:val="21"/>
        </w:rPr>
        <w:t>（3）如因供应商（参加谈判的法定代表人或其授权代表）未按照本项目谈判文件第八章“响应文件有关格式”要求，在响应文件中未预留手机号码或因供应商自身原因导致谈判小组无法联系供应商参加谈判《最后报价》的，其风险由供应商自行承担，采购人与代理机构不承担任何责任。</w:t>
      </w: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tabs>
          <w:tab w:val="left" w:pos="1149"/>
        </w:tabs>
        <w:spacing w:line="360" w:lineRule="auto"/>
        <w:ind w:firstLine="422" w:firstLineChars="200"/>
        <w:jc w:val="left"/>
        <w:rPr>
          <w:rFonts w:hint="eastAsia" w:asciiTheme="majorEastAsia" w:hAnsiTheme="majorEastAsia" w:eastAsiaTheme="majorEastAsia"/>
          <w:b/>
          <w:color w:val="auto"/>
          <w:szCs w:val="21"/>
        </w:rPr>
      </w:pPr>
      <w:r>
        <w:rPr>
          <w:rFonts w:hint="eastAsia" w:ascii="新宋体" w:hAnsi="新宋体" w:eastAsia="新宋体" w:cs="新宋体"/>
          <w:b/>
          <w:bCs/>
          <w:color w:val="auto"/>
          <w:szCs w:val="21"/>
          <w:lang w:val="zh-CN"/>
        </w:rPr>
        <w:t>一、采购需求及参数：</w:t>
      </w:r>
    </w:p>
    <w:p>
      <w:pPr>
        <w:pStyle w:val="2"/>
        <w:rPr>
          <w:rFonts w:cs="黑体" w:asciiTheme="majorEastAsia" w:hAnsiTheme="majorEastAsia" w:eastAsiaTheme="majorEastAsia"/>
          <w:color w:val="auto"/>
          <w:szCs w:val="21"/>
        </w:rPr>
      </w:pPr>
      <w:r>
        <w:rPr>
          <w:rFonts w:hint="eastAsia"/>
          <w:color w:val="auto"/>
          <w:lang w:eastAsia="zh-CN"/>
        </w:rPr>
        <w:t>参数详见附件。</w:t>
      </w:r>
    </w:p>
    <w:p>
      <w:pPr>
        <w:keepNext w:val="0"/>
        <w:keepLines w:val="0"/>
        <w:pageBreakBefore w:val="0"/>
        <w:widowControl w:val="0"/>
        <w:tabs>
          <w:tab w:val="left" w:pos="1149"/>
        </w:tabs>
        <w:kinsoku/>
        <w:overflowPunct/>
        <w:topLinePunct w:val="0"/>
        <w:autoSpaceDE/>
        <w:autoSpaceDN/>
        <w:bidi w:val="0"/>
        <w:spacing w:line="356" w:lineRule="auto"/>
        <w:ind w:firstLine="422" w:firstLineChars="200"/>
        <w:textAlignment w:val="auto"/>
        <w:rPr>
          <w:b/>
          <w:color w:val="auto"/>
        </w:rPr>
      </w:pPr>
      <w:r>
        <w:rPr>
          <w:rFonts w:hint="eastAsia" w:ascii="新宋体" w:hAnsi="新宋体" w:eastAsia="新宋体" w:cs="新宋体"/>
          <w:b/>
          <w:color w:val="auto"/>
          <w:szCs w:val="21"/>
        </w:rPr>
        <w:t>注： 参数不允许负偏离，否则为无效投标。</w:t>
      </w:r>
    </w:p>
    <w:p>
      <w:pPr>
        <w:keepNext w:val="0"/>
        <w:keepLines w:val="0"/>
        <w:pageBreakBefore w:val="0"/>
        <w:widowControl w:val="0"/>
        <w:kinsoku/>
        <w:overflowPunct/>
        <w:topLinePunct w:val="0"/>
        <w:autoSpaceDE/>
        <w:autoSpaceDN/>
        <w:bidi w:val="0"/>
        <w:spacing w:line="356" w:lineRule="auto"/>
        <w:ind w:firstLine="422" w:firstLineChars="200"/>
        <w:contextualSpacing/>
        <w:textAlignment w:val="auto"/>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二、采购标的执行标准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执行国家相关标准。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1、强制性产品认证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2、信息安全产品强制性认证</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如投标人所投产品被列入《信息安全产品强制性认证目录》，投标人不能提供出此目录范畴外的替代品并须在投标文件中提供：</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（1）中国信息安全认证中心官网(http://www.isccc.gov.cn/index.shtml)产品查询结果截图并加盖投标人公章；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（2）中国信息安全认证中心颁发的《中国国家信息安全产品认证证书》的原件扫描件(或图片)并加盖投标人公章。</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注:仅需提供序号（1）~（2）其中之一即可。</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三、采购标的的其他技术、服务等要求</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、投标人应就本项目完整投标，报价含税费等综合费用，</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、所投产品必须符合招标文件规定标准的全新正品现货，</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、投标人须明确投标产品的厂家、产地、品牌、型号等参数，</w:t>
      </w:r>
      <w:r>
        <w:rPr>
          <w:rFonts w:hint="eastAsia" w:cs="仿宋_GB2312" w:asciiTheme="minorEastAsia" w:hAnsiTheme="minorEastAsia"/>
          <w:b/>
          <w:bCs/>
          <w:color w:val="auto"/>
          <w:szCs w:val="21"/>
          <w:lang w:val="zh-CN"/>
        </w:rPr>
        <w:t>否则为无效投标。</w:t>
      </w:r>
    </w:p>
    <w:p>
      <w:pPr>
        <w:keepNext w:val="0"/>
        <w:keepLines w:val="0"/>
        <w:pageBreakBefore w:val="0"/>
        <w:widowControl w:val="0"/>
        <w:kinsoku/>
        <w:overflowPunct/>
        <w:topLinePunct w:val="0"/>
        <w:autoSpaceDE/>
        <w:autoSpaceDN/>
        <w:bidi w:val="0"/>
        <w:spacing w:line="356" w:lineRule="auto"/>
        <w:ind w:firstLine="420" w:firstLineChars="200"/>
        <w:textAlignment w:val="auto"/>
        <w:rPr>
          <w:rFonts w:ascii="宋体" w:hAnsi="宋体"/>
          <w:color w:val="auto"/>
          <w:szCs w:val="21"/>
        </w:rPr>
      </w:pPr>
      <w:r>
        <w:rPr>
          <w:rFonts w:hint="eastAsia" w:ascii="宋体" w:hAnsi="宋体"/>
          <w:color w:val="auto"/>
          <w:szCs w:val="21"/>
        </w:rPr>
        <w:t>4、接到报修后8小时内响应，24小时内到场，除需更换配件外，48小时内解决故障。</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5、设备</w:t>
      </w:r>
      <w:r>
        <w:rPr>
          <w:rFonts w:hint="eastAsia" w:ascii="宋体" w:hAnsi="宋体"/>
          <w:color w:val="auto"/>
          <w:szCs w:val="21"/>
        </w:rPr>
        <w:t>整体免费保修1年（包括所有部件、耗材），终身维修，1年后免除人工费用只收取材料及耗材费。</w:t>
      </w:r>
    </w:p>
    <w:p>
      <w:pPr>
        <w:keepNext w:val="0"/>
        <w:keepLines w:val="0"/>
        <w:pageBreakBefore w:val="0"/>
        <w:widowControl w:val="0"/>
        <w:kinsoku/>
        <w:overflowPunct/>
        <w:topLinePunct w:val="0"/>
        <w:autoSpaceDE/>
        <w:autoSpaceDN/>
        <w:bidi w:val="0"/>
        <w:spacing w:line="356" w:lineRule="auto"/>
        <w:textAlignment w:val="auto"/>
        <w:rPr>
          <w:rFonts w:ascii="宋体" w:hAnsi="宋体"/>
          <w:color w:val="auto"/>
          <w:szCs w:val="21"/>
        </w:rPr>
      </w:pPr>
      <w:r>
        <w:rPr>
          <w:rFonts w:hint="eastAsia" w:ascii="宋体" w:hAnsi="宋体"/>
          <w:color w:val="auto"/>
          <w:szCs w:val="21"/>
        </w:rPr>
        <w:t xml:space="preserve">    6、设备的质量保证期，从设备安装调试验收合格之日起计。在保证期内因设备本身的质量问题发生故障，负责免费修理和更换零部件。对达不到使用要求者，经双方协商，可以更换设备，由中标单位承担所发生的全部费用。</w:t>
      </w:r>
    </w:p>
    <w:p>
      <w:pPr>
        <w:keepNext w:val="0"/>
        <w:keepLines w:val="0"/>
        <w:pageBreakBefore w:val="0"/>
        <w:widowControl w:val="0"/>
        <w:kinsoku/>
        <w:overflowPunct/>
        <w:topLinePunct w:val="0"/>
        <w:autoSpaceDE/>
        <w:autoSpaceDN/>
        <w:bidi w:val="0"/>
        <w:adjustRightInd w:val="0"/>
        <w:snapToGrid w:val="0"/>
        <w:spacing w:line="356" w:lineRule="auto"/>
        <w:ind w:firstLine="420" w:firstLineChars="200"/>
        <w:textAlignment w:val="auto"/>
        <w:rPr>
          <w:rFonts w:ascii="宋体" w:hAnsi="宋体"/>
          <w:color w:val="auto"/>
          <w:szCs w:val="21"/>
        </w:rPr>
      </w:pPr>
      <w:r>
        <w:rPr>
          <w:rFonts w:hint="eastAsia" w:ascii="宋体" w:hAnsi="宋体"/>
          <w:color w:val="auto"/>
          <w:szCs w:val="21"/>
        </w:rPr>
        <w:t>7、在质保期内到设备使用寿命止，由中标单位对设备出现的质量问题负责处理解决。</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rPr>
        <w:t>8</w:t>
      </w:r>
      <w:r>
        <w:rPr>
          <w:rFonts w:hint="eastAsia" w:cs="宋体" w:asciiTheme="minorEastAsia" w:hAnsiTheme="minorEastAsia"/>
          <w:color w:val="auto"/>
          <w:kern w:val="0"/>
          <w:szCs w:val="21"/>
          <w:lang w:val="zh-CN"/>
        </w:rPr>
        <w:t>、本项目为交钥匙工程（包括设备、材料、元件等购置、安装调试、验收、与其它施工单位协作所产生的费用等）</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9、交货地点：采购人指定地点，现场交货，中标人负责办理运输，保证运输到户，并提供免费安装调试，对此项作出承诺。为了确保项目按时按质完成，实施方案应由项目负责人签字，否则无效投标。</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10、投标人应具有完善的善后服务。投标人须明确质保期限，须明确维修地址、负责人、联系人和联系电话，维修点具备什么样的维修能力等详细资料。</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11、中标人需按合同约定时间供货，逾期1天扣除合同额的5%，中标人须现场提供技术指导，直至配合完成整个项目的竣工验收等工作。</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四、验收标准</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1、按照国家相关标准、行业标准、地方标准或其他标准、规范验收。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2、按照招标文件要求、投标文件响应和承诺验收。</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cs="仿宋_GB2312" w:asciiTheme="minorEastAsia" w:hAnsiTheme="minorEastAsia"/>
          <w:color w:val="auto"/>
          <w:szCs w:val="21"/>
          <w:lang w:val="zh-CN"/>
        </w:rPr>
      </w:pPr>
      <w:r>
        <w:rPr>
          <w:rFonts w:hint="eastAsia" w:cs="仿宋_GB2312" w:asciiTheme="minorEastAsia" w:hAnsiTheme="minorEastAsia"/>
          <w:color w:val="auto"/>
          <w:szCs w:val="21"/>
        </w:rPr>
        <w:t>3、本项目验收如需要第三方验收，中标方将承担所有产生的费用。</w:t>
      </w:r>
    </w:p>
    <w:p>
      <w:pPr>
        <w:keepNext w:val="0"/>
        <w:keepLines w:val="0"/>
        <w:pageBreakBefore w:val="0"/>
        <w:widowControl w:val="0"/>
        <w:kinsoku/>
        <w:wordWrap w:val="0"/>
        <w:overflowPunct/>
        <w:topLinePunct w:val="0"/>
        <w:autoSpaceDE/>
        <w:autoSpaceDN/>
        <w:bidi w:val="0"/>
        <w:spacing w:line="356" w:lineRule="auto"/>
        <w:ind w:firstLine="422" w:firstLineChars="200"/>
        <w:contextualSpacing/>
        <w:textAlignment w:val="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rPr>
        <w:t>五</w:t>
      </w:r>
      <w:r>
        <w:rPr>
          <w:rFonts w:hint="eastAsia" w:cs="仿宋_GB2312" w:asciiTheme="minorEastAsia" w:hAnsiTheme="minorEastAsia"/>
          <w:b/>
          <w:bCs/>
          <w:color w:val="auto"/>
          <w:szCs w:val="21"/>
          <w:lang w:val="zh-CN"/>
        </w:rPr>
        <w:t>、资金支付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autoSpaceDE w:val="0"/>
        <w:autoSpaceDN w:val="0"/>
        <w:adjustRightInd w:val="0"/>
        <w:ind w:firstLine="2891" w:firstLineChars="900"/>
        <w:rPr>
          <w:rFonts w:hint="eastAsia"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3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43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tabs>
                <w:tab w:val="left" w:pos="7095"/>
              </w:tabs>
              <w:spacing w:line="384"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hAnsi="宋体"/>
                <w:color w:val="auto"/>
                <w:szCs w:val="21"/>
              </w:rPr>
              <w:t>禹州市第二人民医院购置口腔CT医疗设备采购项目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w:t>
            </w:r>
            <w:r>
              <w:rPr>
                <w:rFonts w:hint="eastAsia" w:asciiTheme="majorEastAsia" w:hAnsiTheme="majorEastAsia" w:eastAsiaTheme="majorEastAsia" w:cstheme="majorEastAsia"/>
                <w:color w:val="auto"/>
                <w:szCs w:val="21"/>
                <w:lang w:val="en-US" w:eastAsia="zh-CN"/>
              </w:rPr>
              <w:t>禹州市第二人民医院</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lang w:val="en-US" w:eastAsia="zh-CN"/>
              </w:rPr>
              <w:t>禹州市滨河大道西段</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朱先生</w:t>
            </w:r>
            <w:r>
              <w:rPr>
                <w:rFonts w:hint="eastAsia" w:asciiTheme="majorEastAsia" w:hAnsiTheme="majorEastAsia" w:eastAsiaTheme="majorEastAsia" w:cstheme="majorEastAsia"/>
                <w:color w:val="auto"/>
                <w:szCs w:val="21"/>
                <w:lang w:val="en-US" w:eastAsia="zh-CN"/>
              </w:rPr>
              <w:t xml:space="preserve"> </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lang w:val="en-US" w:eastAsia="zh-CN"/>
              </w:rPr>
              <w:t>0374-8171116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spacing w:line="384" w:lineRule="auto"/>
              <w:jc w:val="left"/>
              <w:rPr>
                <w:rFonts w:hint="eastAsia"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eastAsia="zh-CN"/>
              </w:rPr>
              <w:t>名称</w:t>
            </w:r>
            <w:r>
              <w:rPr>
                <w:rFonts w:hint="eastAsia" w:asciiTheme="majorEastAsia" w:hAnsiTheme="majorEastAsia" w:eastAsiaTheme="majorEastAsia" w:cstheme="majorEastAsia"/>
                <w:bCs/>
                <w:color w:val="auto"/>
                <w:szCs w:val="21"/>
              </w:rPr>
              <w:t>：许昌丰元咨询管理有限公司</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地址：禹州市颍北大道6号</w:t>
            </w:r>
          </w:p>
          <w:p>
            <w:pPr>
              <w:spacing w:line="384" w:lineRule="auto"/>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rPr>
              <w:t>联系人：</w:t>
            </w:r>
            <w:r>
              <w:rPr>
                <w:rFonts w:hint="eastAsia" w:asciiTheme="majorEastAsia" w:hAnsiTheme="majorEastAsia" w:eastAsiaTheme="majorEastAsia" w:cstheme="majorEastAsia"/>
                <w:bCs/>
                <w:color w:val="auto"/>
                <w:szCs w:val="21"/>
                <w:lang w:val="en-US" w:eastAsia="zh-CN"/>
              </w:rPr>
              <w:t>连女士</w:t>
            </w:r>
          </w:p>
          <w:p>
            <w:pPr>
              <w:spacing w:line="384" w:lineRule="auto"/>
              <w:jc w:val="left"/>
              <w:rPr>
                <w:rFonts w:cs="仿宋_GB2312" w:asciiTheme="minorEastAsia" w:hAnsiTheme="minorEastAsia"/>
                <w:color w:val="auto"/>
                <w:szCs w:val="21"/>
              </w:rPr>
            </w:pPr>
            <w:r>
              <w:rPr>
                <w:rFonts w:hint="eastAsia" w:asciiTheme="majorEastAsia" w:hAnsiTheme="majorEastAsia" w:eastAsiaTheme="majorEastAsia" w:cstheme="majorEastAsia"/>
                <w:bCs/>
                <w:color w:val="auto"/>
                <w:szCs w:val="21"/>
              </w:rPr>
              <w:t>联系</w:t>
            </w:r>
            <w:r>
              <w:rPr>
                <w:rFonts w:hint="eastAsia" w:asciiTheme="majorEastAsia" w:hAnsiTheme="majorEastAsia" w:eastAsiaTheme="majorEastAsia" w:cstheme="majorEastAsia"/>
                <w:bCs/>
                <w:color w:val="auto"/>
                <w:szCs w:val="21"/>
                <w:lang w:val="en-US" w:eastAsia="zh-CN"/>
              </w:rPr>
              <w:t>电话：0374-8281999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38"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436"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rFonts w:cs="仿宋_GB2312" w:asciiTheme="minorEastAsia" w:hAnsiTheme="minorEastAsia"/>
                <w:b/>
                <w:color w:val="auto"/>
                <w:szCs w:val="21"/>
                <w:shd w:val="clear" w:color="auto" w:fill="FFFFFF"/>
              </w:rPr>
            </w:pPr>
            <w:r>
              <w:rPr>
                <w:rFonts w:hint="eastAsia" w:cs="仿宋_GB2312" w:asciiTheme="minorEastAsia" w:hAnsiTheme="minorEastAsia"/>
                <w:b/>
                <w:color w:val="auto"/>
                <w:szCs w:val="21"/>
                <w:shd w:val="clear" w:color="auto" w:fill="FFFFFF"/>
              </w:rPr>
              <w:t>符合《政府采购法》第二十二条规定</w:t>
            </w:r>
          </w:p>
          <w:p>
            <w:pPr>
              <w:pStyle w:val="2"/>
              <w:ind w:left="0" w:leftChars="0" w:firstLine="0" w:firstLineChars="0"/>
              <w:rPr>
                <w:color w:val="auto"/>
              </w:rPr>
            </w:pPr>
            <w:r>
              <w:rPr>
                <w:rFonts w:hint="eastAsia"/>
                <w:color w:val="auto"/>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436"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pPr>
              <w:numPr>
                <w:ilvl w:val="0"/>
                <w:numId w:val="5"/>
              </w:numPr>
              <w:autoSpaceDE w:val="0"/>
              <w:autoSpaceDN w:val="0"/>
              <w:adjustRightInd w:val="0"/>
              <w:spacing w:line="360" w:lineRule="auto"/>
              <w:ind w:right="-11"/>
              <w:rPr>
                <w:color w:val="auto"/>
                <w:lang w:val="zh-CN"/>
              </w:rPr>
            </w:pP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spacing w:line="360" w:lineRule="auto"/>
              <w:ind w:firstLine="422" w:firstLineChars="200"/>
              <w:rPr>
                <w:color w:val="auto"/>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rPr>
            </w:pPr>
            <w:r>
              <w:rPr>
                <w:rFonts w:hint="eastAsia" w:ascii="宋体" w:hAnsi="宋体" w:eastAsia="宋体" w:cs="宋体"/>
                <w:color w:val="auto"/>
                <w:szCs w:val="21"/>
                <w:shd w:val="clear" w:color="auto" w:fill="FFFFFF"/>
                <w:lang w:val="en-US" w:eastAsia="zh-CN"/>
              </w:rPr>
              <w:t>55</w:t>
            </w:r>
            <w:r>
              <w:rPr>
                <w:rFonts w:hint="eastAsia" w:ascii="宋体" w:hAnsi="宋体" w:eastAsia="宋体" w:cs="宋体"/>
                <w:color w:val="auto"/>
                <w:szCs w:val="21"/>
                <w:shd w:val="clear" w:color="auto" w:fill="FFFFFF"/>
              </w:rPr>
              <w:t>0000.0</w:t>
            </w:r>
            <w:r>
              <w:rPr>
                <w:rFonts w:hint="eastAsia" w:ascii="宋体" w:hAnsi="宋体" w:eastAsia="宋体" w:cs="宋体"/>
                <w:color w:val="auto"/>
                <w:szCs w:val="21"/>
                <w:shd w:val="clear" w:color="auto" w:fill="FFFFFF"/>
              </w:rPr>
              <w:t>0 元</w:t>
            </w:r>
            <w:r>
              <w:rPr>
                <w:rFonts w:hint="eastAsia" w:cs="宋体" w:asciiTheme="minorEastAsia" w:hAnsiTheme="minorEastAsia"/>
                <w:bCs/>
                <w:color w:val="auto"/>
                <w:szCs w:val="21"/>
                <w:lang w:val="zh-CN"/>
              </w:rPr>
              <w:t>，超出最高限价的响应无效</w:t>
            </w:r>
            <w:r>
              <w:rPr>
                <w:rFonts w:hint="eastAsia" w:cs="宋体" w:asciiTheme="minorEastAsia" w:hAnsi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436"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hAnsi="宋体"/>
                <w:color w:val="auto"/>
                <w:szCs w:val="21"/>
              </w:rPr>
              <w:t>20</w:t>
            </w:r>
            <w:r>
              <w:rPr>
                <w:rFonts w:hint="eastAsia" w:hAnsi="宋体"/>
                <w:color w:val="auto"/>
                <w:szCs w:val="21"/>
              </w:rPr>
              <w:t>23年</w:t>
            </w:r>
            <w:r>
              <w:rPr>
                <w:rFonts w:hint="eastAsia" w:hAnsi="宋体"/>
                <w:color w:val="auto"/>
                <w:szCs w:val="21"/>
                <w:lang w:val="en-US" w:eastAsia="zh-CN"/>
              </w:rPr>
              <w:t>08</w:t>
            </w:r>
            <w:r>
              <w:rPr>
                <w:rFonts w:hint="eastAsia" w:hAnsi="宋体"/>
                <w:color w:val="auto"/>
                <w:szCs w:val="21"/>
              </w:rPr>
              <w:t>月</w:t>
            </w:r>
            <w:r>
              <w:rPr>
                <w:rFonts w:hint="eastAsia" w:hAnsi="宋体"/>
                <w:color w:val="auto"/>
                <w:szCs w:val="21"/>
                <w:lang w:val="en-US" w:eastAsia="zh-CN"/>
              </w:rPr>
              <w:t xml:space="preserve"> 10 </w:t>
            </w:r>
            <w:r>
              <w:rPr>
                <w:rFonts w:hint="eastAsia" w:hAnsi="宋体"/>
                <w:color w:val="auto"/>
                <w:szCs w:val="21"/>
              </w:rPr>
              <w:t>日</w:t>
            </w:r>
            <w:r>
              <w:rPr>
                <w:rFonts w:hint="eastAsia" w:hAnsi="宋体"/>
                <w:color w:val="auto"/>
                <w:szCs w:val="21"/>
                <w:lang w:val="en-US" w:eastAsia="zh-CN"/>
              </w:rPr>
              <w:t xml:space="preserve">08 </w:t>
            </w:r>
            <w:r>
              <w:rPr>
                <w:rFonts w:hint="eastAsia" w:hAnsi="宋体"/>
                <w:color w:val="auto"/>
                <w:szCs w:val="21"/>
              </w:rPr>
              <w:t xml:space="preserve">时 30 </w:t>
            </w:r>
            <w:r>
              <w:rPr>
                <w:rFonts w:hint="eastAsia" w:hAnsi="宋体"/>
                <w:color w:val="auto"/>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1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436"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pPr>
              <w:pStyle w:val="13"/>
              <w:rPr>
                <w:color w:val="auto"/>
                <w:sz w:val="22"/>
              </w:rPr>
            </w:pPr>
            <w:r>
              <w:rPr>
                <w:rFonts w:hint="eastAsia"/>
                <w:color w:val="auto"/>
                <w:sz w:val="22"/>
              </w:rPr>
              <w:t>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436"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436"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436"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2、根据财政部、工业和信息化部发布的《政府采购促进中小企业发展管理办法》（财库〔2020〕46号）、</w:t>
            </w:r>
            <w:r>
              <w:rPr>
                <w:rFonts w:hint="eastAsia" w:ascii="ˎ̥" w:hAnsi="ˎ̥"/>
                <w:color w:val="auto"/>
              </w:rPr>
              <w:t>《关于进一步加大政府采购支持中小企业力度的通知》（财库〔2022〕19号）规定，对小型和微型企业投标价格给予20%</w:t>
            </w:r>
            <w:r>
              <w:rPr>
                <w:rFonts w:hint="eastAsia" w:ascii="ˎ̥" w:hAnsi="ˎ̥"/>
                <w:color w:val="auto"/>
              </w:rPr>
              <w:t>的扣除，用扣除后的价格参与评审。</w:t>
            </w:r>
          </w:p>
          <w:p>
            <w:pPr>
              <w:numPr>
                <w:ilvl w:val="0"/>
                <w:numId w:val="0"/>
              </w:numPr>
              <w:autoSpaceDE w:val="0"/>
              <w:autoSpaceDN w:val="0"/>
              <w:adjustRightInd w:val="0"/>
              <w:spacing w:line="360" w:lineRule="auto"/>
              <w:contextualSpacing/>
              <w:rPr>
                <w:rFonts w:hint="eastAsia" w:ascii="ˎ̥" w:hAnsi="ˎ̥"/>
                <w:color w:val="auto"/>
              </w:rPr>
            </w:pPr>
            <w:r>
              <w:rPr>
                <w:rFonts w:hint="eastAsia" w:ascii="ˎ̥" w:hAnsi="ˎ̥"/>
                <w:color w:val="auto"/>
                <w:lang w:val="en-US" w:eastAsia="zh-CN"/>
              </w:rPr>
              <w:t>3、</w:t>
            </w:r>
            <w:r>
              <w:rPr>
                <w:rFonts w:hint="eastAsia" w:ascii="ˎ̥" w:hAnsi="ˎ̥"/>
                <w:color w:val="auto"/>
              </w:rPr>
              <w:t>本次</w:t>
            </w:r>
            <w:r>
              <w:rPr>
                <w:rFonts w:ascii="ˎ̥" w:hAnsi="ˎ̥"/>
                <w:color w:val="auto"/>
              </w:rPr>
              <w:t>采购标的对应的中小企业划分标准所属行业</w:t>
            </w:r>
            <w:r>
              <w:rPr>
                <w:rFonts w:hint="eastAsia" w:ascii="ˎ̥" w:hAnsi="ˎ̥"/>
                <w:color w:val="auto"/>
              </w:rPr>
              <w:t>：</w:t>
            </w:r>
            <w:r>
              <w:rPr>
                <w:rFonts w:hint="eastAsia" w:ascii="ˎ̥" w:hAnsi="ˎ̥"/>
                <w:color w:val="auto"/>
                <w:lang w:eastAsia="zh-CN"/>
              </w:rPr>
              <w:t>制造业</w:t>
            </w:r>
            <w:r>
              <w:rPr>
                <w:rFonts w:hint="eastAsia" w:ascii="ˎ̥" w:hAnsi="ˎ̥"/>
                <w:color w:val="auto"/>
              </w:rPr>
              <w:t>。</w:t>
            </w:r>
          </w:p>
          <w:p>
            <w:pPr>
              <w:spacing w:line="360" w:lineRule="auto"/>
              <w:contextualSpacing/>
              <w:rPr>
                <w:rFonts w:cs="仿宋_GB2312" w:asciiTheme="minorEastAsia" w:hAnsiTheme="minorEastAsia"/>
                <w:color w:val="auto"/>
                <w:szCs w:val="21"/>
              </w:rPr>
            </w:pPr>
            <w:r>
              <w:rPr>
                <w:rFonts w:hint="eastAsia" w:ascii="ˎ̥" w:hAnsi="ˎ̥"/>
                <w:color w:val="auto"/>
                <w:lang w:val="en-US" w:eastAsia="zh-CN"/>
              </w:rPr>
              <w:t>4</w:t>
            </w:r>
            <w:r>
              <w:rPr>
                <w:rFonts w:hint="eastAsia" w:ascii="ˎ̥" w:hAnsi="ˎ̥"/>
                <w:color w:val="auto"/>
              </w:rPr>
              <w:t>、本项目不接受联合体投标。</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5</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lang w:val="en-US" w:eastAsia="zh-CN"/>
              </w:rPr>
              <w:t>6</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436"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436"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30</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hint="eastAsia"/>
                <w:color w:val="auto"/>
                <w:lang w:eastAsia="zh-CN"/>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lang w:eastAsia="zh-CN"/>
              </w:rPr>
            </w:pPr>
            <w:r>
              <w:rPr>
                <w:rFonts w:hint="eastAsia"/>
                <w:color w:val="auto"/>
                <w:sz w:val="21"/>
                <w:szCs w:val="21"/>
                <w:lang w:eastAsia="zh-CN"/>
              </w:rPr>
              <w:t>招标代理服务收费按差额定率累计法计算：</w:t>
            </w:r>
          </w:p>
          <w:p>
            <w:pPr>
              <w:pStyle w:val="14"/>
              <w:ind w:firstLine="340" w:firstLineChars="100"/>
              <w:rPr>
                <w:rFonts w:cs="宋体" w:asciiTheme="minorEastAsia" w:hAnsiTheme="minorEastAsia"/>
                <w:bCs/>
                <w:color w:val="auto"/>
                <w:szCs w:val="21"/>
                <w:lang w:val="zh-CN"/>
              </w:rPr>
            </w:pPr>
            <w:r>
              <w:rPr>
                <w:rFonts w:hint="eastAsia"/>
                <w:color w:val="auto"/>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31</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spacing w:line="384" w:lineRule="auto"/>
              <w:ind w:firstLine="420" w:firstLineChars="200"/>
              <w:jc w:val="left"/>
              <w:rPr>
                <w:rFonts w:hint="eastAsia" w:cs="宋体" w:asciiTheme="minorEastAsia" w:hAnsiTheme="minorEastAsia" w:eastAsiaTheme="minorEastAsia"/>
                <w:bCs/>
                <w:color w:val="auto"/>
                <w:szCs w:val="21"/>
                <w:lang w:eastAsia="zh-CN"/>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32</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33</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注：</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contextualSpacing/>
              <w:rPr>
                <w:rFonts w:hAnsi="宋体" w:cs="宋体"/>
                <w:color w:val="auto"/>
                <w:szCs w:val="21"/>
                <w:lang w:val="zh-CN"/>
              </w:rPr>
            </w:pPr>
            <w:r>
              <w:rPr>
                <w:rFonts w:hint="eastAsia" w:hAnsi="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ˎ̥" w:hAnsi="ˎ̥"/>
                <w:color w:val="auto"/>
              </w:rPr>
            </w:pPr>
            <w:r>
              <w:rPr>
                <w:rFonts w:hint="eastAsia" w:hAnsi="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不同供应商电子投标文件制作硬件特征码（网卡MAC地址、CPU序号、硬盘序列号）均一致时，视为‘</w:t>
            </w:r>
            <w:r>
              <w:rPr>
                <w:rFonts w:ascii="ˎ̥" w:hAnsi="ˎ̥"/>
                <w:color w:val="auto"/>
              </w:rPr>
              <w:t>不同</w:t>
            </w:r>
            <w:r>
              <w:rPr>
                <w:rFonts w:hint="eastAsia" w:ascii="ˎ̥" w:hAnsi="ˎ̥"/>
                <w:color w:val="auto"/>
              </w:rPr>
              <w:t>投标人的投标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autoSpaceDE w:val="0"/>
              <w:autoSpaceDN w:val="0"/>
              <w:adjustRightInd w:val="0"/>
              <w:spacing w:line="360" w:lineRule="auto"/>
              <w:contextualSpacing/>
              <w:rPr>
                <w:rFonts w:ascii="ˎ̥" w:hAnsi="ˎ̥"/>
                <w:color w:val="auto"/>
              </w:rPr>
            </w:pPr>
            <w:r>
              <w:rPr>
                <w:rFonts w:hint="eastAsia" w:ascii="ˎ̥" w:hAnsi="ˎ̥"/>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color w:val="auto"/>
              </w:rPr>
            </w:pPr>
            <w:r>
              <w:rPr>
                <w:rFonts w:hint="eastAsia" w:ascii="ˎ̥" w:hAnsi="ˎ̥"/>
                <w:color w:val="auto"/>
              </w:rPr>
              <w:t>2、项目编号以本谈判文件中的采购编号为准。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8"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6</w:t>
            </w:r>
          </w:p>
        </w:tc>
        <w:tc>
          <w:tcPr>
            <w:tcW w:w="2436"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pPr>
              <w:autoSpaceDE w:val="0"/>
              <w:autoSpaceDN w:val="0"/>
              <w:adjustRightInd w:val="0"/>
              <w:spacing w:line="360" w:lineRule="auto"/>
              <w:ind w:right="-11"/>
              <w:rPr>
                <w:color w:val="auto"/>
                <w:lang w:val="zh-CN"/>
              </w:rPr>
            </w:pPr>
            <w:r>
              <w:rPr>
                <w:rFonts w:hint="eastAsia" w:ascii="ˎ̥" w:hAnsi="ˎ̥"/>
                <w:color w:val="auto"/>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w:t>
            </w:r>
            <w:r>
              <w:rPr>
                <w:rFonts w:hint="eastAsia"/>
                <w:color w:val="auto"/>
                <w:lang w:val="en-US" w:eastAsia="zh-CN"/>
              </w:rPr>
              <w:t>2022年度</w:t>
            </w:r>
            <w:r>
              <w:rPr>
                <w:rFonts w:hint="eastAsia"/>
                <w:color w:val="auto"/>
              </w:rPr>
              <w:t>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asciiTheme="majorEastAsia" w:hAnsiTheme="majorEastAsia" w:eastAsiaTheme="majorEastAsia" w:cstheme="majorEastAsia"/>
                <w:color w:val="auto"/>
                <w:szCs w:val="21"/>
              </w:rPr>
              <w:t>“中国社会组织政务服务平台”网站（</w:t>
            </w:r>
            <w:r>
              <w:rPr>
                <w:rFonts w:cs="宋体" w:asciiTheme="minorEastAsia" w:hAnsiTheme="minorEastAsia"/>
                <w:color w:val="auto"/>
                <w:kern w:val="0"/>
                <w:szCs w:val="21"/>
              </w:rPr>
              <w:t>https://chinanpo.mca.gov.cn</w:t>
            </w:r>
            <w:r>
              <w:rPr>
                <w:rFonts w:hint="eastAsia" w:asciiTheme="majorEastAsia" w:hAnsiTheme="majorEastAsia" w:eastAsiaTheme="majorEastAsia" w:cstheme="majorEastAsia"/>
                <w:color w:val="auto"/>
                <w:szCs w:val="21"/>
              </w:rPr>
              <w:t>）（仅查询社会组织）</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rFonts w:ascii="ˎ̥" w:hAnsi="ˎ̥"/>
                <w:color w:val="auto"/>
              </w:rPr>
            </w:pPr>
            <w:r>
              <w:rPr>
                <w:rFonts w:hint="eastAsia"/>
                <w:color w:val="auto"/>
              </w:rPr>
              <w:t>③“中国社会组织政务服务平台”网站（</w:t>
            </w:r>
            <w:r>
              <w:rPr>
                <w:rFonts w:cs="宋体" w:asciiTheme="minorEastAsia" w:hAnsiTheme="minorEastAsia"/>
                <w:color w:val="auto"/>
                <w:kern w:val="0"/>
                <w:szCs w:val="21"/>
              </w:rPr>
              <w:t>https://chinanpo.mca.gov.cn</w:t>
            </w:r>
            <w:r>
              <w:rPr>
                <w:rFonts w:hint="eastAsia"/>
                <w:color w:val="auto"/>
              </w:rPr>
              <w:t>）（仅查询社会组织）；</w:t>
            </w:r>
          </w:p>
        </w:tc>
      </w:tr>
    </w:tbl>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pStyle w:val="36"/>
        <w:ind w:firstLine="0" w:firstLineChars="0"/>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pPr>
        <w:pStyle w:val="57"/>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应</w:t>
      </w:r>
      <w:r>
        <w:rPr>
          <w:rFonts w:cs="宋体" w:asciiTheme="minorEastAsia" w:hAnsiTheme="minorEastAsia"/>
          <w:color w:val="auto"/>
          <w:kern w:val="0"/>
          <w:szCs w:val="21"/>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仿宋_GB2312" w:asciiTheme="minorEastAsia" w:hAnsiTheme="minorEastAsia"/>
          <w:b/>
          <w:color w:val="auto"/>
          <w:szCs w:val="21"/>
          <w:shd w:val="clear" w:color="auto" w:fill="FFFFFF"/>
        </w:rPr>
        <w:t>税收</w:t>
      </w:r>
      <w:r>
        <w:rPr>
          <w:rFonts w:cs="仿宋_GB2312" w:asciiTheme="minorEastAsia" w:hAnsiTheme="minorEastAsia"/>
          <w:b/>
          <w:color w:val="auto"/>
          <w:szCs w:val="21"/>
          <w:shd w:val="clear" w:color="auto" w:fill="FFFFFF"/>
        </w:rPr>
        <w:t>违法黑名单</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w:t>
      </w:r>
      <w:r>
        <w:rPr>
          <w:rFonts w:hint="eastAsia" w:asciiTheme="majorEastAsia" w:hAnsiTheme="majorEastAsia" w:eastAsiaTheme="majorEastAsia" w:cstheme="majorEastAsia"/>
          <w:color w:val="auto"/>
          <w:szCs w:val="21"/>
        </w:rPr>
        <w:t>“中国社会组织政务服务平台”网站（</w:t>
      </w:r>
      <w:r>
        <w:rPr>
          <w:rFonts w:hint="eastAsia" w:ascii="宋体" w:hAnsi="宋体" w:eastAsia="宋体" w:cs="宋体"/>
          <w:color w:val="auto"/>
          <w:szCs w:val="21"/>
        </w:rPr>
        <w:t>chinanpo.mca.gov.cn</w:t>
      </w:r>
      <w:r>
        <w:rPr>
          <w:rFonts w:hint="eastAsia" w:asciiTheme="majorEastAsia" w:hAnsiTheme="majorEastAsia" w:eastAsiaTheme="majorEastAsia" w:cstheme="majorEastAsia"/>
          <w:color w:val="auto"/>
          <w:szCs w:val="21"/>
        </w:rPr>
        <w:t>）</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4.4</w:t>
      </w:r>
      <w:r>
        <w:rPr>
          <w:rFonts w:hint="eastAsia"/>
          <w:color w:val="auto"/>
          <w:szCs w:val="21"/>
          <w:shd w:val="clear" w:color="auto" w:fill="FFFFFF"/>
        </w:rPr>
        <w:t>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0" w:name="baidusnap0"/>
      <w:bookmarkEnd w:id="0"/>
      <w:r>
        <w:rPr>
          <w:rFonts w:hint="eastAsia" w:cs="宋体" w:asciiTheme="minorEastAsia" w:hAnsiTheme="minorEastAsia"/>
          <w:color w:val="auto"/>
          <w:kern w:val="0"/>
          <w:szCs w:val="21"/>
        </w:rPr>
        <w:t>《关于信息安全产品实施政府采购的通知》（财库[2010]48号）要求，供应商所投产品如被列入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pPr>
        <w:pStyle w:val="57"/>
        <w:autoSpaceDE w:val="0"/>
        <w:autoSpaceDN w:val="0"/>
        <w:spacing w:line="360" w:lineRule="auto"/>
        <w:contextualSpacing/>
        <w:rPr>
          <w:rFonts w:cs="宋体" w:asciiTheme="minorEastAsia" w:hAnsiTheme="minorEastAsia"/>
          <w:bCs/>
          <w:color w:val="auto"/>
          <w:kern w:val="0"/>
          <w:szCs w:val="21"/>
        </w:rPr>
      </w:pPr>
      <w:r>
        <w:rPr>
          <w:rFonts w:hint="eastAsia" w:cs="宋体" w:asciiTheme="minorEastAsia" w:hAnsiTheme="minorEastAsia"/>
          <w:bCs/>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宋体" w:hAnsi="宋体" w:cs="宋体"/>
          <w:color w:val="auto"/>
          <w:szCs w:val="21"/>
        </w:rPr>
        <w:t>招标代理服务费由中标人支付，</w:t>
      </w:r>
      <w:r>
        <w:rPr>
          <w:rFonts w:hint="eastAsia"/>
          <w:color w:val="auto"/>
          <w:lang w:eastAsia="zh-CN"/>
        </w:rPr>
        <w:t>按照豫招协</w:t>
      </w:r>
      <w:r>
        <w:rPr>
          <w:rFonts w:hint="eastAsia"/>
          <w:color w:val="auto"/>
        </w:rPr>
        <w:t>〔</w:t>
      </w:r>
      <w:r>
        <w:rPr>
          <w:color w:val="auto"/>
        </w:rPr>
        <w:t>20</w:t>
      </w:r>
      <w:r>
        <w:rPr>
          <w:rFonts w:hint="eastAsia"/>
          <w:color w:val="auto"/>
          <w:lang w:val="en-US" w:eastAsia="zh-CN"/>
        </w:rPr>
        <w:t>23</w:t>
      </w:r>
      <w:r>
        <w:rPr>
          <w:rFonts w:hint="eastAsia"/>
          <w:color w:val="auto"/>
        </w:rPr>
        <w:t>〕</w:t>
      </w:r>
      <w:r>
        <w:rPr>
          <w:rFonts w:hint="eastAsia"/>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w:t>
      </w:r>
      <w:r>
        <w:rPr>
          <w:rFonts w:hint="eastAsia" w:ascii="宋体" w:hAnsi="宋体" w:cs="宋体"/>
          <w:color w:val="auto"/>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9.谈判文件构成</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rPr>
        <w:t>响应文件须单独提供廉政方案，并由单位法定代表人（单位负责人）签字，否则将否决其投标。</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r>
        <w:rPr>
          <w:rFonts w:hint="eastAsia" w:cs="宋体" w:asciiTheme="minorEastAsia" w:hAnsiTheme="minorEastAsia"/>
          <w:color w:val="auto"/>
          <w:kern w:val="0"/>
          <w:szCs w:val="21"/>
        </w:rPr>
        <w:t>单独承诺响应报价包含对在一切产生的费用，以及对在运输安装过程中的一切安全问题负责，否则为无效投标。</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12.7最低报价不能做为成交的保证。</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14.响应文件构成</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r>
        <w:rPr>
          <w:rFonts w:hint="eastAsia" w:cs="宋体" w:asciiTheme="minorEastAsia" w:hAnsiTheme="minorEastAsia"/>
          <w:color w:val="auto"/>
          <w:kern w:val="0"/>
          <w:szCs w:val="21"/>
        </w:rPr>
        <w:t>，且须承诺在合同履行期限内完成，并保证验收合格，否则为无效投标</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14.3响应文件由资格证明材料、符合性证明材料、其它材料等组成。</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15.响应文件格式</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16.谈判保证金</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17.谈判文件的数量和签署盖章</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pPr>
        <w:pStyle w:val="57"/>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18.谈判响应截止时间</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19.迟交的响应文件</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谈判响应文件截止时间之后上传的响应文件，采购人、采购代理机构将将拒绝接收。</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20.响应文件的修改和撤回</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pPr>
        <w:pStyle w:val="57"/>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7"/>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22.2.2供应商解密：供应商使用本单位CA数字证书进行远程解密。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22.2.3采购代理机构解密：</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22.2.4供应商未在规定时间内解密或</w:t>
      </w:r>
      <w:r>
        <w:rPr>
          <w:rFonts w:hint="eastAsia" w:cs="宋体" w:asciiTheme="minorEastAsia" w:hAnsiTheme="minorEastAsia"/>
          <w:color w:val="auto"/>
          <w:kern w:val="0"/>
          <w:szCs w:val="21"/>
        </w:rPr>
        <w:t>因供应商原因解密失败的，其响应文件将被拒绝。</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22.4响应文件解密过程由采购代理机构负责记录。</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7"/>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22.6响应文件</w:t>
      </w:r>
      <w:r>
        <w:rPr>
          <w:rFonts w:hint="eastAsia" w:hAnsi="宋体"/>
          <w:color w:val="auto"/>
          <w:szCs w:val="21"/>
        </w:rPr>
        <w:t>解密活动结束时，供应商应在《开标记录表》上进行电子签章。供应商未签章的，视同认可解密结果。</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23.谈判小组组成</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23.1.2达到公开</w:t>
      </w:r>
      <w:r>
        <w:rPr>
          <w:rFonts w:ascii="ˎ̥" w:hAnsi="ˎ̥"/>
          <w:color w:val="auto"/>
        </w:rPr>
        <w:t>招标数额标准的货物或者服务采购项目，或者达到招标规模标准的政府采购工程，竞争性谈判小组应当由5人以上单数组成</w:t>
      </w:r>
      <w:r>
        <w:rPr>
          <w:rFonts w:hint="eastAsia" w:ascii="ˎ̥" w:hAnsi="ˎ̥"/>
          <w:color w:val="auto"/>
        </w:rPr>
        <w:t>。</w:t>
      </w:r>
    </w:p>
    <w:p>
      <w:pPr>
        <w:pStyle w:val="57"/>
        <w:numPr>
          <w:ilvl w:val="1"/>
          <w:numId w:val="6"/>
        </w:numPr>
        <w:autoSpaceDE w:val="0"/>
        <w:autoSpaceDN w:val="0"/>
        <w:spacing w:line="360" w:lineRule="auto"/>
        <w:ind w:firstLineChars="0"/>
        <w:contextualSpacing/>
        <w:rPr>
          <w:rFonts w:ascii="ˎ̥" w:hAnsi="ˎ̥"/>
          <w:vanish/>
          <w:color w:val="auto"/>
        </w:rPr>
      </w:pP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23.2采购人</w:t>
      </w:r>
      <w:r>
        <w:rPr>
          <w:rFonts w:ascii="ˎ̥" w:hAnsi="ˎ̥"/>
          <w:color w:val="auto"/>
        </w:rPr>
        <w:t>不得以评审专家身份参加本部门或本单位采购项目的评审</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23.3谈判小组成员与供应商存在下列利害关系之一的,应当回避：</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23.3.1参加采购活动前三年内,与供应商存在劳动关系,或者担任过供应商的董事、监事,或者是供应商的控股股东或实际控制人；</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23.3.2与供应商的法定代表人或者负责人有夫妻、直系血亲、三代以内旁系血亲或者近姻亲关系；</w:t>
      </w:r>
    </w:p>
    <w:p>
      <w:pPr>
        <w:pStyle w:val="57"/>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23.3.3与供应</w:t>
      </w:r>
      <w:r>
        <w:rPr>
          <w:rFonts w:hint="eastAsia" w:ascii="ˎ̥" w:hAnsi="ˎ̥"/>
          <w:color w:val="auto"/>
        </w:rPr>
        <w:t>商有其他可能影响政府采购活动公平、公正进行的关系。</w:t>
      </w:r>
    </w:p>
    <w:p>
      <w:pPr>
        <w:pStyle w:val="57"/>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23.5采购人不得担任谈判小组组长。</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23.6谈判小组成员名单在成交结果公告前应当保密。</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24.资格审查和符合性审查</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pPr>
        <w:pStyle w:val="57"/>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7"/>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7"/>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7"/>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pPr>
        <w:pStyle w:val="57"/>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r>
        <w:rPr>
          <w:rFonts w:hint="eastAsia" w:cs="宋体" w:asciiTheme="minorEastAsia" w:hAnsiTheme="minorEastAsia"/>
          <w:color w:val="auto"/>
          <w:kern w:val="0"/>
          <w:szCs w:val="21"/>
        </w:rPr>
        <w:t>为确保后期项目的实施，供应商的售后服务承诺须经单位法定代表人（单位负责人）签字确认，否则为无效响应。</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25.响应文件的澄清</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25.1谈判小</w:t>
      </w:r>
      <w:r>
        <w:rPr>
          <w:rFonts w:ascii="ˎ̥" w:hAnsi="ˎ̥"/>
          <w:color w:val="auto"/>
        </w:rPr>
        <w:t>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26.响应文件报价出现前后不一致的修正</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27.1.5投标文件内容模糊清，无法辨认的；</w:t>
      </w:r>
    </w:p>
    <w:p>
      <w:pPr>
        <w:pStyle w:val="57"/>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28.7最后报价是供应商响应文件的有效组成部分。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28.8已提交响应文件的供应商，在提交最后报价之前，可以根据谈判情况退出谈判。</w:t>
      </w:r>
    </w:p>
    <w:p>
      <w:pPr>
        <w:pStyle w:val="57"/>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28.9按照《</w:t>
      </w:r>
      <w:r>
        <w:rPr>
          <w:rFonts w:hint="eastAsia" w:ascii="ˎ̥" w:hAnsi="ˎ̥"/>
          <w:color w:val="auto"/>
        </w:rPr>
        <w:t>关于推进全流程电子化交易和在线监管工作有关问题的通知》（许公管办[2019]3号）规定，评审专家应严格按照要求查看“硬件特征码相” 关信息并进行评审。</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pPr>
        <w:pStyle w:val="57"/>
        <w:autoSpaceDE w:val="0"/>
        <w:autoSpaceDN w:val="0"/>
        <w:spacing w:line="360" w:lineRule="auto"/>
        <w:contextualSpacing/>
        <w:rPr>
          <w:rFonts w:cs="宋体" w:asciiTheme="minorEastAsia" w:hAnsiTheme="minorEastAsia"/>
          <w:b/>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30.确定成交供应商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30.2采购人</w:t>
      </w:r>
      <w:r>
        <w:rPr>
          <w:rFonts w:ascii="ˎ̥" w:hAnsi="ˎ̥"/>
          <w:color w:val="auto"/>
        </w:rPr>
        <w:t>逾期未确定成交供应商且不提出异议的，视为确定评审报告提出的最后报价最低的供应商为成交供应商</w:t>
      </w:r>
      <w:r>
        <w:rPr>
          <w:rFonts w:hint="eastAsia" w:ascii="ˎ̥" w:hAnsi="ˎ̥"/>
          <w:color w:val="auto"/>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31.终止采购活动的情形</w:t>
      </w:r>
    </w:p>
    <w:p>
      <w:pPr>
        <w:pStyle w:val="57"/>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7"/>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pPr>
        <w:pStyle w:val="57"/>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pPr>
        <w:pStyle w:val="57"/>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pPr>
        <w:pStyle w:val="57"/>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32.成交公告、发出成交通知书</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33.质疑提出与答复</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34.签订合同</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w:t>
      </w:r>
      <w:r>
        <w:rPr>
          <w:rFonts w:hint="eastAsia" w:cs="宋体" w:asciiTheme="minorEastAsia" w:hAnsiTheme="minorEastAsia"/>
          <w:color w:val="auto"/>
          <w:kern w:val="0"/>
          <w:szCs w:val="21"/>
          <w:lang w:val="en-US" w:eastAsia="zh-CN"/>
        </w:rPr>
        <w:t>1</w:t>
      </w:r>
      <w:r>
        <w:rPr>
          <w:rFonts w:cs="宋体" w:asciiTheme="minorEastAsia" w:hAnsiTheme="minorEastAsia"/>
          <w:color w:val="auto"/>
          <w:kern w:val="0"/>
          <w:szCs w:val="21"/>
        </w:rPr>
        <w:t>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r>
        <w:rPr>
          <w:rFonts w:hint="eastAsia" w:ascii="宋体" w:hAnsi="宋体" w:cs="宋体"/>
          <w:color w:val="auto"/>
          <w:kern w:val="0"/>
          <w:szCs w:val="21"/>
          <w:lang w:eastAsia="zh-CN"/>
        </w:rPr>
        <w:t>供应商需对此做出承诺，否决为无效投标。</w:t>
      </w:r>
    </w:p>
    <w:p>
      <w:pPr>
        <w:pStyle w:val="57"/>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57"/>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35.履约保证金</w:t>
      </w:r>
    </w:p>
    <w:p>
      <w:pPr>
        <w:autoSpaceDE w:val="0"/>
        <w:autoSpaceDN w:val="0"/>
        <w:spacing w:line="360" w:lineRule="auto"/>
        <w:ind w:firstLine="420" w:firstLineChars="200"/>
        <w:contextualSpacing/>
        <w:rPr>
          <w:color w:val="auto"/>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7"/>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36.政府采购合同融资</w:t>
      </w:r>
    </w:p>
    <w:p>
      <w:pPr>
        <w:pStyle w:val="57"/>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left="964"/>
        <w:contextualSpacing/>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9"/>
        <w:numPr>
          <w:ilvl w:val="3"/>
          <w:numId w:val="0"/>
        </w:numPr>
        <w:rPr>
          <w:color w:val="auto"/>
        </w:rPr>
      </w:pPr>
    </w:p>
    <w:p>
      <w:pPr>
        <w:rPr>
          <w:color w:val="auto"/>
        </w:rPr>
      </w:pPr>
    </w:p>
    <w:p>
      <w:pPr>
        <w:pStyle w:val="2"/>
        <w:rPr>
          <w:color w:val="auto"/>
        </w:rPr>
      </w:pPr>
    </w:p>
    <w:p>
      <w:pPr>
        <w:rPr>
          <w:color w:val="auto"/>
        </w:rPr>
      </w:pPr>
    </w:p>
    <w:p>
      <w:pPr>
        <w:autoSpaceDE w:val="0"/>
        <w:autoSpaceDN w:val="0"/>
        <w:spacing w:line="360" w:lineRule="auto"/>
        <w:ind w:left="964" w:firstLine="1446" w:firstLineChars="450"/>
        <w:contextualSpacing/>
        <w:jc w:val="left"/>
        <w:rPr>
          <w:color w:val="auto"/>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hint="default" w:cs="仿宋_GB2312" w:asciiTheme="minorEastAsia" w:hAnsiTheme="minorEastAsia" w:eastAsiaTheme="minorEastAsia"/>
          <w:color w:val="auto"/>
          <w:szCs w:val="21"/>
          <w:lang w:val="en-US" w:eastAsia="zh-CN"/>
        </w:rPr>
      </w:pPr>
      <w:r>
        <w:rPr>
          <w:rFonts w:hint="eastAsia" w:ascii="ˎ̥" w:hAnsi="ˎ̥"/>
          <w:color w:val="auto"/>
        </w:rPr>
        <w:t>1、</w:t>
      </w:r>
      <w:r>
        <w:rPr>
          <w:rFonts w:hint="eastAsia" w:cs="仿宋_GB2312" w:asciiTheme="minorEastAsia" w:hAnsiTheme="minorEastAsia"/>
          <w:color w:val="auto"/>
          <w:szCs w:val="21"/>
        </w:rPr>
        <w:t>如</w:t>
      </w:r>
      <w:r>
        <w:rPr>
          <w:rFonts w:hint="eastAsia" w:cs="仿宋_GB2312" w:asciiTheme="minorEastAsia" w:hAnsiTheme="minorEastAsia"/>
          <w:color w:val="auto"/>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报价函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2</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pPr>
              <w:spacing w:line="360" w:lineRule="auto"/>
              <w:jc w:val="center"/>
              <w:rPr>
                <w:rFonts w:cs="宋体" w:asciiTheme="minorEastAsia" w:hAnsiTheme="minorEastAsia"/>
                <w:bCs/>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w:t>
            </w:r>
            <w:r>
              <w:rPr>
                <w:rFonts w:hint="eastAsia" w:ascii="宋体" w:hAnsi="宋体" w:cs="微软雅黑"/>
                <w:bCs/>
                <w:color w:val="auto"/>
                <w:szCs w:val="21"/>
              </w:rPr>
              <w:t>谈判文件</w:t>
            </w:r>
            <w:r>
              <w:rPr>
                <w:rFonts w:hint="eastAsia" w:cs="宋体" w:asciiTheme="minorEastAsia" w:hAnsiTheme="minorEastAsia"/>
                <w:bCs/>
                <w:color w:val="auto"/>
                <w:szCs w:val="21"/>
                <w:lang w:val="zh-CN"/>
              </w:rPr>
              <w:t>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3</w:t>
            </w:r>
          </w:p>
        </w:tc>
        <w:tc>
          <w:tcPr>
            <w:tcW w:w="2410" w:type="dxa"/>
            <w:vAlign w:val="center"/>
          </w:tcPr>
          <w:p>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中小企业声明函</w:t>
            </w:r>
          </w:p>
        </w:tc>
        <w:tc>
          <w:tcPr>
            <w:tcW w:w="5954" w:type="dxa"/>
            <w:vAlign w:val="center"/>
          </w:tcPr>
          <w:p>
            <w:pPr>
              <w:spacing w:line="360" w:lineRule="auto"/>
              <w:jc w:val="left"/>
              <w:rPr>
                <w:rFonts w:cs="宋体" w:asciiTheme="minorEastAsia" w:hAnsiTheme="minorEastAsia"/>
                <w:bCs/>
                <w:color w:val="auto"/>
                <w:szCs w:val="21"/>
                <w:lang w:val="zh-CN"/>
              </w:rPr>
            </w:pPr>
            <w:r>
              <w:rPr>
                <w:rFonts w:hint="eastAsia" w:ascii="宋体" w:hAnsi="宋体" w:cs="微软雅黑"/>
                <w:bCs/>
                <w:color w:val="auto"/>
                <w:szCs w:val="21"/>
              </w:rPr>
              <w:t>按照谈判文件第八章</w:t>
            </w:r>
            <w:r>
              <w:rPr>
                <w:rFonts w:hint="eastAsia" w:ascii="宋体" w:hAnsi="宋体" w:cs="微软雅黑"/>
                <w:bCs/>
                <w:color w:val="auto"/>
                <w:szCs w:val="21"/>
                <w:lang w:val="en-US" w:eastAsia="zh-CN"/>
              </w:rPr>
              <w:t>3.6</w:t>
            </w:r>
            <w:r>
              <w:rPr>
                <w:rFonts w:hint="eastAsia" w:ascii="宋体" w:hAnsi="宋体" w:cs="微软雅黑"/>
                <w:bCs/>
                <w:color w:val="auto"/>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响应承诺函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firstLine="482" w:firstLineChars="200"/>
        <w:contextualSpacing/>
        <w:rPr>
          <w:rFonts w:cs="仿宋_GB2312" w:asciiTheme="minorEastAsia" w:hAnsiTheme="minorEastAsia" w:eastAsiaTheme="minorEastAsia"/>
          <w:b/>
          <w:color w:val="auto"/>
          <w:szCs w:val="24"/>
          <w:lang w:val="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pPr>
        <w:pStyle w:val="17"/>
        <w:spacing w:line="360" w:lineRule="auto"/>
        <w:ind w:firstLine="420" w:firstLineChars="200"/>
        <w:contextualSpacing/>
        <w:jc w:val="left"/>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则响应文件中应根据本项目谈判文件“第二章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注：仅需提供序号①～②其中之一即可。</w:t>
      </w:r>
    </w:p>
    <w:p>
      <w:pPr>
        <w:pStyle w:val="17"/>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（三）</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7"/>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w:t>
      </w:r>
      <w:r>
        <w:rPr>
          <w:rFonts w:hint="eastAsia" w:cs="仿宋_GB2312" w:asciiTheme="minorEastAsia" w:hAnsiTheme="minorEastAsia"/>
          <w:color w:val="auto"/>
          <w:szCs w:val="21"/>
          <w:lang w:val="en-US" w:eastAsia="zh-CN"/>
        </w:rPr>
        <w:t>20</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540"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693"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977"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540"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693" w:type="dxa"/>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宋体"/>
                <w:b/>
                <w:color w:val="auto"/>
                <w:szCs w:val="21"/>
                <w:lang w:val="en-GB"/>
              </w:rPr>
            </w:pPr>
            <w:r>
              <w:rPr>
                <w:rFonts w:hint="eastAsia" w:ascii="ˎ̥" w:hAnsi="ˎ̥" w:eastAsia="宋体"/>
                <w:color w:val="auto"/>
                <w:szCs w:val="21"/>
              </w:rPr>
              <w:t>扣除</w:t>
            </w:r>
            <w:r>
              <w:rPr>
                <w:rFonts w:hint="eastAsia" w:ascii="ˎ̥" w:hAnsi="ˎ̥" w:eastAsia="宋体"/>
                <w:color w:val="auto"/>
                <w:szCs w:val="21"/>
                <w:lang w:val="en-US" w:eastAsia="zh-CN"/>
              </w:rPr>
              <w:t xml:space="preserve">20 </w:t>
            </w:r>
            <w:r>
              <w:rPr>
                <w:rFonts w:hint="eastAsia" w:ascii="ˎ̥" w:hAnsi="ˎ̥" w:eastAsia="宋体"/>
                <w:color w:val="auto"/>
                <w:szCs w:val="21"/>
              </w:rPr>
              <w:t>%</w:t>
            </w:r>
          </w:p>
        </w:tc>
        <w:tc>
          <w:tcPr>
            <w:tcW w:w="2977" w:type="dxa"/>
            <w:vMerge w:val="restart"/>
            <w:shd w:val="clear" w:color="auto" w:fill="auto"/>
            <w:vAlign w:val="center"/>
          </w:tcPr>
          <w:p>
            <w:pPr>
              <w:jc w:val="center"/>
              <w:rPr>
                <w:color w:val="auto"/>
                <w:szCs w:val="21"/>
                <w:lang w:val="en-GB"/>
              </w:rPr>
            </w:pPr>
            <w:r>
              <w:rPr>
                <w:rFonts w:hint="eastAsia"/>
                <w:color w:val="auto"/>
                <w:szCs w:val="21"/>
                <w:lang w:val="en-GB"/>
              </w:rPr>
              <w:t>评标价格＝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US" w:eastAsia="zh-CN"/>
              </w:rPr>
              <w:t xml:space="preserve"> 20 </w:t>
            </w:r>
            <w:r>
              <w:rPr>
                <w:rFonts w:hint="eastAsia"/>
                <w:color w:val="auto"/>
                <w:szCs w:val="21"/>
                <w:lang w:val="en-GB"/>
              </w:rPr>
              <w:t>%</w:t>
            </w:r>
            <w:r>
              <w:rPr>
                <w:rFonts w:hint="eastAsia" w:ascii="宋体" w:hAnsi="宋体"/>
                <w:color w:val="auto"/>
                <w:szCs w:val="21"/>
                <w:lang w:val="en-GB"/>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联合体各方均为</w:t>
            </w:r>
          </w:p>
          <w:p>
            <w:pPr>
              <w:jc w:val="center"/>
              <w:rPr>
                <w:rFonts w:ascii="宋体" w:hAnsi="宋体"/>
                <w:b/>
                <w:color w:val="auto"/>
                <w:szCs w:val="21"/>
              </w:rPr>
            </w:pPr>
            <w:r>
              <w:rPr>
                <w:rFonts w:hint="eastAsia" w:ascii="宋体" w:hAnsi="宋体"/>
                <w:color w:val="auto"/>
                <w:szCs w:val="21"/>
                <w:lang w:val="en-GB"/>
              </w:rPr>
              <w:t>小型、微型企业</w:t>
            </w:r>
          </w:p>
        </w:tc>
        <w:tc>
          <w:tcPr>
            <w:tcW w:w="2693" w:type="dxa"/>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color w:val="auto"/>
                <w:szCs w:val="21"/>
              </w:rPr>
            </w:pPr>
            <w:r>
              <w:rPr>
                <w:rFonts w:hint="eastAsia" w:ascii="宋体" w:hAnsi="宋体"/>
                <w:color w:val="auto"/>
                <w:szCs w:val="21"/>
              </w:rPr>
              <w:t>扣除</w:t>
            </w:r>
            <w:r>
              <w:rPr>
                <w:rFonts w:hint="eastAsia" w:ascii="宋体" w:hAnsi="宋体"/>
                <w:color w:val="auto"/>
                <w:szCs w:val="21"/>
                <w:lang w:val="en-US" w:eastAsia="zh-CN"/>
              </w:rPr>
              <w:t xml:space="preserve"> 20 </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977"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540" w:type="dxa"/>
            <w:vAlign w:val="center"/>
          </w:tcPr>
          <w:p>
            <w:pPr>
              <w:jc w:val="center"/>
              <w:rPr>
                <w:rFonts w:ascii="宋体" w:hAnsi="宋体"/>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6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hint="eastAsia" w:ascii="宋体" w:hAnsi="宋体"/>
                <w:color w:val="auto"/>
                <w:szCs w:val="21"/>
                <w:u w:val="single"/>
                <w:lang w:val="en-US" w:eastAsia="zh-CN"/>
              </w:rPr>
              <w:t xml:space="preserve"> 6</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US" w:eastAsia="zh-CN"/>
              </w:rPr>
              <w:t xml:space="preserve"> 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540"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693" w:type="dxa"/>
            <w:vAlign w:val="center"/>
          </w:tcPr>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hint="eastAsia" w:ascii="宋体" w:hAnsi="宋体"/>
                <w:color w:val="auto"/>
                <w:szCs w:val="21"/>
                <w:u w:val="single"/>
                <w:lang w:val="en-US" w:eastAsia="zh-CN"/>
              </w:rPr>
              <w:t xml:space="preserve"> 20 </w:t>
            </w:r>
            <w:r>
              <w:rPr>
                <w:rFonts w:hint="eastAsia" w:ascii="宋体" w:hAnsi="宋体"/>
                <w:color w:val="auto"/>
                <w:szCs w:val="21"/>
              </w:rPr>
              <w:t>%</w:t>
            </w:r>
          </w:p>
        </w:tc>
        <w:tc>
          <w:tcPr>
            <w:tcW w:w="2977"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US" w:eastAsia="zh-CN"/>
              </w:rPr>
              <w:t xml:space="preserve">20 </w:t>
            </w:r>
            <w:r>
              <w:rPr>
                <w:rFonts w:hint="eastAsia"/>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color w:val="auto"/>
                <w:lang w:val="en-US"/>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p>
    <w:p>
      <w:pPr>
        <w:spacing w:line="360" w:lineRule="auto"/>
        <w:ind w:firstLine="420" w:firstLineChars="200"/>
        <w:rPr>
          <w:rFonts w:cs="仿宋_GB2312" w:asciiTheme="minorEastAsia" w:hAnsiTheme="minorEastAsia"/>
          <w:color w:val="auto"/>
          <w:szCs w:val="21"/>
          <w:lang w:val="zh-CN"/>
        </w:rPr>
      </w:pPr>
      <w:r>
        <w:rPr>
          <w:rFonts w:hint="eastAsia" w:cs="仿宋_GB2312" w:asciiTheme="minorEastAsia" w:hAnsiTheme="minorEastAsia"/>
          <w:color w:val="auto"/>
          <w:szCs w:val="21"/>
          <w:lang w:val="en-US" w:eastAsia="zh-CN"/>
        </w:rPr>
        <w:t>e</w:t>
      </w:r>
      <w:r>
        <w:rPr>
          <w:rFonts w:hint="eastAsia" w:cs="仿宋_GB2312" w:asciiTheme="minorEastAsia" w:hAnsiTheme="minorEastAsia"/>
          <w:color w:val="auto"/>
          <w:szCs w:val="21"/>
          <w:lang w:val="zh-CN"/>
        </w:rPr>
        <w:t>、小型和微型企业不包括民办非企业单位。</w:t>
      </w:r>
    </w:p>
    <w:p>
      <w:pPr>
        <w:pStyle w:val="17"/>
        <w:spacing w:line="360" w:lineRule="auto"/>
        <w:contextualSpacing/>
        <w:rPr>
          <w:rFonts w:cs="仿宋_GB2312" w:asciiTheme="minorEastAsia" w:hAnsiTheme="minorEastAsia" w:eastAsiaTheme="minorEastAsia"/>
          <w:b/>
          <w:color w:val="auto"/>
          <w:sz w:val="21"/>
          <w:szCs w:val="21"/>
          <w:lang w:val="zh-CN"/>
        </w:rPr>
      </w:pPr>
    </w:p>
    <w:p>
      <w:pPr>
        <w:pStyle w:val="6"/>
        <w:numPr>
          <w:ilvl w:val="0"/>
          <w:numId w:val="0"/>
        </w:numPr>
        <w:ind w:left="288" w:leftChars="0"/>
        <w:rPr>
          <w:rFonts w:hint="eastAsia"/>
          <w:color w:val="auto"/>
          <w:lang w:val="zh-CN" w:eastAsia="zh-CN"/>
        </w:rPr>
      </w:pP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hint="eastAsia" w:cs="仿宋_GB2312" w:asciiTheme="minorEastAsia" w:hAnsiTheme="minorEastAsia" w:eastAsiaTheme="minorEastAsia"/>
          <w:color w:val="auto"/>
          <w:kern w:val="2"/>
          <w:sz w:val="21"/>
          <w:szCs w:val="21"/>
          <w:lang w:val="zh-CN" w:eastAsia="zh-CN" w:bidi="ar-SA"/>
        </w:rPr>
      </w:pPr>
      <w:r>
        <w:rPr>
          <w:rFonts w:hint="eastAsia" w:cs="仿宋_GB2312" w:asciiTheme="minorEastAsia" w:hAnsiTheme="minorEastAsia" w:eastAsiaTheme="minorEastAsia"/>
          <w:color w:val="auto"/>
          <w:kern w:val="2"/>
          <w:sz w:val="21"/>
          <w:szCs w:val="21"/>
          <w:lang w:val="zh-CN" w:eastAsia="zh-CN" w:bidi="ar-SA"/>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color w:val="auto"/>
          <w:sz w:val="21"/>
          <w:szCs w:val="21"/>
          <w:lang w:val="zh-CN"/>
        </w:rPr>
      </w:pPr>
    </w:p>
    <w:p>
      <w:pPr>
        <w:pStyle w:val="17"/>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6"/>
        <w:numPr>
          <w:ilvl w:val="0"/>
          <w:numId w:val="0"/>
        </w:numPr>
        <w:ind w:left="288" w:leftChars="0"/>
        <w:rPr>
          <w:color w:val="auto"/>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拟签订的合同文本</w:t>
      </w:r>
    </w:p>
    <w:p>
      <w:pPr>
        <w:jc w:val="center"/>
        <w:rPr>
          <w:color w:val="auto"/>
          <w:kern w:val="0"/>
          <w:sz w:val="40"/>
          <w:szCs w:val="40"/>
        </w:rPr>
      </w:pPr>
      <w:bookmarkStart w:id="2" w:name="bookmark111"/>
      <w:bookmarkStart w:id="3" w:name="bookmark110"/>
      <w:bookmarkStart w:id="4" w:name="bookmark112"/>
      <w:r>
        <w:rPr>
          <w:color w:val="auto"/>
          <w:kern w:val="0"/>
          <w:sz w:val="40"/>
          <w:szCs w:val="40"/>
        </w:rPr>
        <w:t>政府采购货物合同（范本）</w:t>
      </w:r>
      <w:bookmarkEnd w:id="2"/>
      <w:bookmarkEnd w:id="3"/>
      <w:bookmarkEnd w:id="4"/>
    </w:p>
    <w:p>
      <w:pPr>
        <w:rPr>
          <w:rFonts w:ascii="Calibri" w:hAnsi="Calibri"/>
          <w:color w:val="auto"/>
        </w:rPr>
      </w:pP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合同编号：</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 订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甲方（采购人）：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乙方（中标人）：</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 所 地：</w:t>
      </w:r>
      <w:r>
        <w:rPr>
          <w:rFonts w:hint="eastAsia" w:ascii="宋体" w:hAnsi="宋体" w:eastAsia="宋体" w:cs="宋体"/>
          <w:color w:val="auto"/>
          <w:sz w:val="21"/>
          <w:szCs w:val="21"/>
          <w:u w:val="single"/>
          <w:lang w:val="zh-CN"/>
        </w:rPr>
        <w:t xml:space="preserve">                          </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日参加了</w:t>
      </w:r>
      <w:r>
        <w:rPr>
          <w:rFonts w:hint="eastAsia" w:ascii="宋体" w:hAnsi="宋体" w:eastAsia="宋体" w:cs="宋体"/>
          <w:color w:val="auto"/>
          <w:sz w:val="21"/>
          <w:szCs w:val="21"/>
          <w:u w:val="single"/>
          <w:lang w:val="zh-CN"/>
        </w:rPr>
        <w:t>（采购代理机构）</w:t>
      </w:r>
      <w:r>
        <w:rPr>
          <w:rFonts w:hint="eastAsia" w:ascii="宋体" w:hAnsi="宋体" w:eastAsia="宋体" w:cs="宋体"/>
          <w:color w:val="auto"/>
          <w:sz w:val="21"/>
          <w:szCs w:val="21"/>
          <w:lang w:val="zh-CN"/>
        </w:rPr>
        <w:t>组织的“</w:t>
      </w:r>
      <w:r>
        <w:rPr>
          <w:rFonts w:hint="eastAsia" w:ascii="宋体" w:hAnsi="宋体" w:eastAsia="宋体" w:cs="宋体"/>
          <w:color w:val="auto"/>
          <w:sz w:val="21"/>
          <w:szCs w:val="21"/>
          <w:u w:val="single"/>
          <w:lang w:val="zh-CN"/>
        </w:rPr>
        <w:t>（项目名称及项目编号）</w:t>
      </w:r>
      <w:r>
        <w:rPr>
          <w:rFonts w:hint="eastAsia" w:ascii="宋体" w:hAnsi="宋体" w:eastAsia="宋体" w:cs="宋体"/>
          <w:color w:val="auto"/>
          <w:sz w:val="21"/>
          <w:szCs w:val="21"/>
          <w:lang w:val="zh-CN"/>
        </w:rPr>
        <w:t>”政府采购活动，经评标委员会评审确定乙方为</w:t>
      </w:r>
      <w:r>
        <w:rPr>
          <w:rFonts w:hint="eastAsia" w:ascii="宋体" w:hAnsi="宋体" w:eastAsia="宋体" w:cs="宋体"/>
          <w:color w:val="auto"/>
          <w:sz w:val="21"/>
          <w:szCs w:val="21"/>
          <w:u w:val="single"/>
          <w:lang w:val="zh-CN"/>
        </w:rPr>
        <w:t>（包及包名称）</w:t>
      </w:r>
      <w:r>
        <w:rPr>
          <w:rFonts w:hint="eastAsia" w:ascii="宋体" w:hAnsi="宋体" w:eastAsia="宋体" w:cs="宋体"/>
          <w:color w:val="auto"/>
          <w:sz w:val="21"/>
          <w:szCs w:val="21"/>
          <w:lang w:val="zh-CN"/>
        </w:rPr>
        <w:t>中标人，按照《中华人民共和国民法典》、《中华人民共和国政府采购法》和相关的法律法规规定，以及招标文件规定，经甲乙双方协商一致，签订本政府采购合同。</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第一条货物条款</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乙方向甲方提供以下货物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货物名称</w:t>
            </w:r>
          </w:p>
        </w:tc>
        <w:tc>
          <w:tcPr>
            <w:tcW w:w="5013"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品牌、规格型号（技术参数）</w:t>
            </w:r>
          </w:p>
        </w:tc>
        <w:tc>
          <w:tcPr>
            <w:tcW w:w="884" w:type="dxa"/>
            <w:noWrap/>
            <w:vAlign w:val="center"/>
          </w:tcPr>
          <w:p>
            <w:pPr>
              <w:spacing w:line="440" w:lineRule="exact"/>
              <w:ind w:firstLine="105"/>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884"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1179" w:type="dxa"/>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pPr>
              <w:spacing w:line="440" w:lineRule="exact"/>
              <w:jc w:val="center"/>
              <w:rPr>
                <w:rFonts w:hint="eastAsia" w:ascii="宋体" w:hAnsi="宋体" w:eastAsia="宋体" w:cs="宋体"/>
                <w:color w:val="auto"/>
                <w:sz w:val="21"/>
                <w:szCs w:val="21"/>
                <w:lang w:val="zh-CN"/>
              </w:rPr>
            </w:pPr>
          </w:p>
        </w:tc>
        <w:tc>
          <w:tcPr>
            <w:tcW w:w="5013"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884" w:type="dxa"/>
            <w:noWrap/>
            <w:vAlign w:val="center"/>
          </w:tcPr>
          <w:p>
            <w:pPr>
              <w:spacing w:line="440" w:lineRule="exact"/>
              <w:jc w:val="center"/>
              <w:rPr>
                <w:rFonts w:hint="eastAsia" w:ascii="宋体" w:hAnsi="宋体" w:eastAsia="宋体" w:cs="宋体"/>
                <w:color w:val="auto"/>
                <w:sz w:val="21"/>
                <w:szCs w:val="21"/>
                <w:lang w:val="zh-CN"/>
              </w:rPr>
            </w:pPr>
          </w:p>
        </w:tc>
        <w:tc>
          <w:tcPr>
            <w:tcW w:w="1179" w:type="dxa"/>
            <w:noWrap/>
            <w:vAlign w:val="center"/>
          </w:tcPr>
          <w:p>
            <w:pPr>
              <w:spacing w:line="440" w:lineRule="exact"/>
              <w:jc w:val="center"/>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pPr>
              <w:spacing w:line="44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合计</w:t>
            </w:r>
          </w:p>
        </w:tc>
        <w:tc>
          <w:tcPr>
            <w:tcW w:w="2947" w:type="dxa"/>
            <w:gridSpan w:val="3"/>
            <w:noWrap/>
            <w:vAlign w:val="center"/>
          </w:tcPr>
          <w:p>
            <w:pPr>
              <w:spacing w:line="440" w:lineRule="exact"/>
              <w:jc w:val="center"/>
              <w:rPr>
                <w:rFonts w:hint="eastAsia" w:ascii="宋体" w:hAnsi="宋体" w:eastAsia="宋体" w:cs="宋体"/>
                <w:color w:val="auto"/>
                <w:sz w:val="21"/>
                <w:szCs w:val="21"/>
                <w:lang w:val="zh-CN"/>
              </w:rPr>
            </w:pPr>
          </w:p>
        </w:tc>
      </w:tr>
    </w:tbl>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注：如上述表格不适用相关货物的，具体品牌、数量、规格型号（技术参数）及质保期等可用附件形式列明，作为本合同组成部分。……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第二条合同总金额</w:t>
      </w:r>
    </w:p>
    <w:p>
      <w:pPr>
        <w:spacing w:line="400" w:lineRule="exact"/>
        <w:ind w:firstLine="420" w:firstLineChars="200"/>
        <w:rPr>
          <w:rFonts w:hint="eastAsia" w:ascii="宋体" w:hAnsi="宋体" w:eastAsia="宋体" w:cs="宋体"/>
          <w:color w:val="auto"/>
          <w:sz w:val="21"/>
          <w:szCs w:val="21"/>
          <w:u w:val="single"/>
          <w:lang w:val="zh-CN"/>
        </w:rPr>
      </w:pPr>
      <w:r>
        <w:rPr>
          <w:rFonts w:hint="eastAsia" w:ascii="宋体" w:hAnsi="宋体" w:eastAsia="宋体" w:cs="宋体"/>
          <w:color w:val="auto"/>
          <w:sz w:val="21"/>
          <w:szCs w:val="21"/>
          <w:lang w:val="zh-CN"/>
        </w:rPr>
        <w:t>合同总金额为人民币（大写）：</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第三条质量要求及技术标准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1.货物原产地：</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2.货物的质量要求：……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3.货物的技术标准：……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第四条交货</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1.交货日期：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2.交货地点：……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第五条包装、装运及运输</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1.乙方负责包装、装运和运输，由于不适当的包装、装运和运输造成货物有任何损坏均由乙方负责。</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2.包装费、运费及相关费用已包含在合同总金额内。</w:t>
      </w:r>
    </w:p>
    <w:p>
      <w:pPr>
        <w:autoSpaceDE w:val="0"/>
        <w:autoSpaceDN w:val="0"/>
        <w:adjustRightInd w:val="0"/>
        <w:spacing w:line="400" w:lineRule="exact"/>
        <w:ind w:firstLine="482"/>
        <w:rPr>
          <w:rFonts w:hint="eastAsia" w:ascii="宋体" w:hAnsi="宋体" w:eastAsia="宋体" w:cs="宋体"/>
          <w:color w:val="auto"/>
          <w:sz w:val="21"/>
          <w:szCs w:val="21"/>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rPr>
        <w:t>根据财政部等三部门《关于印发&lt;商品包装政府采购需求标准（试行）&gt;、&lt;快递包装政府采购需求标准（试行）&gt;的通知》规定，对乙方提出的具体包装要求：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第六条货款支付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1.货物运到交货地点，经甲乙双方共同验收合格后由甲方负责办理货款支付手续。</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2.允许并鼓励乙方提供电子发票，甲方自收到发票之日起2个工作日内支付资金，并不得附加未经约定的其他条件。</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3.付款方式</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3.1预付款比例：</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％，于政府采购合同签订生效并具备实施条件后2个工作日内支付。</w:t>
      </w:r>
    </w:p>
    <w:p>
      <w:pPr>
        <w:tabs>
          <w:tab w:val="left" w:pos="840"/>
        </w:tabs>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第七条履约保证金</w:t>
      </w:r>
    </w:p>
    <w:p>
      <w:pPr>
        <w:autoSpaceDE w:val="0"/>
        <w:autoSpaceDN w:val="0"/>
        <w:adjustRightInd w:val="0"/>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根据许昌市优化政府采购营商环境要求，项目不收取履约保证金。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第八条售后服务及承诺</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1.乙方有完善的服务体系，有能力提供持续的、本地化售后服务。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3.供货及服务范围：乙方负责货物的供应、运输、安装调试、免费培训、售后服务。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第九条</w:t>
      </w:r>
      <w:r>
        <w:rPr>
          <w:rFonts w:hint="eastAsia" w:ascii="宋体" w:hAnsi="宋体" w:eastAsia="宋体" w:cs="宋体"/>
          <w:color w:val="auto"/>
          <w:kern w:val="1"/>
          <w:sz w:val="21"/>
          <w:szCs w:val="21"/>
        </w:rPr>
        <w:t>验收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1.货物运抵现场后，采购人将对货物数量、质量、规格等进行检验。如发现货物和规格或者两者都与合同不符，采购人有权限根据检验结果要求中标人立即更换或者提出索赔要求。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2.开箱检查设备外观，如有损伤或质量缺陷，乙方应及时更换。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3.依据合同设备清单，对设备品牌、规格型号（技术参数）、数量、质保书等必备附件进行检查。</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6.根据财</w:t>
      </w:r>
      <w:r>
        <w:rPr>
          <w:rFonts w:hint="eastAsia" w:ascii="宋体" w:hAnsi="宋体" w:eastAsia="宋体" w:cs="宋体"/>
          <w:color w:val="auto"/>
          <w:sz w:val="21"/>
          <w:szCs w:val="21"/>
        </w:rPr>
        <w:t>政部等三部门《关于印发&lt;商品包装政府采购需求标准（试行）&gt;、&lt;快递包装政府采购需求标准（试行）&gt;的通知》规定,</w:t>
      </w:r>
      <w:r>
        <w:rPr>
          <w:rFonts w:hint="eastAsia" w:ascii="宋体" w:hAnsi="宋体" w:eastAsia="宋体" w:cs="宋体"/>
          <w:color w:val="auto"/>
          <w:sz w:val="21"/>
          <w:szCs w:val="21"/>
          <w:lang w:val="zh-CN"/>
        </w:rPr>
        <w:t>采购文件对商品包装和快递包装提出具体要求的，</w:t>
      </w:r>
      <w:r>
        <w:rPr>
          <w:rFonts w:hint="eastAsia" w:ascii="宋体" w:hAnsi="宋体" w:eastAsia="宋体" w:cs="宋体"/>
          <w:color w:val="auto"/>
          <w:sz w:val="21"/>
          <w:szCs w:val="21"/>
        </w:rPr>
        <w:t>对乙方所提供包装的履约验收要求（必要时要求乙方在履约验收环节出具检测报告）：</w:t>
      </w:r>
      <w:r>
        <w:rPr>
          <w:rFonts w:hint="eastAsia" w:ascii="宋体" w:hAnsi="宋体" w:eastAsia="宋体" w:cs="宋体"/>
          <w:color w:val="auto"/>
          <w:sz w:val="21"/>
          <w:szCs w:val="21"/>
          <w:u w:val="single"/>
          <w:lang w:val="zh-CN"/>
        </w:rPr>
        <w:t xml:space="preserve">                        </w:t>
      </w:r>
    </w:p>
    <w:p>
      <w:pPr>
        <w:numPr>
          <w:ilvl w:val="0"/>
          <w:numId w:val="11"/>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权利瑕疵担当</w:t>
      </w:r>
    </w:p>
    <w:p>
      <w:pPr>
        <w:numPr>
          <w:ilvl w:val="0"/>
          <w:numId w:val="12"/>
        </w:numPr>
        <w:spacing w:line="40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乙方保证对其出售的标的物享有合法的权利；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2.乙方应保证在其出售的标的物上不存在任何未曾向甲方透露的担保物权，如抵押权、质押权、留置权等；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3.乙方应保证其所出售的标的物没有侵害任何第三人的知识产权和商业秘密等权利；</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4.如甲方使用该标的物构成上述侵权的，则由乙方承担全部责任。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第十一条知识产权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2.乙方为执行本合同而提供的技术资料或者其他相关资料、软件等由甲方永久免费使用。</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第十二条甲方责任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1.及时办理付款手续。</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2.负责提供工作场地，协助乙方办理有关事宜。</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3.对合同条款及所知悉的乙方商业秘密负有保密义务。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第十三条乙方责任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1.保证所供货物均为投标文件承诺的货物，符合相关质量检测标准，具有该产品的出厂标准或国家鉴定证书,保证其全部部件为全新的未使用的且符合相关质量要求。</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2.保证货物的售后服务，严格依据投标文件及相关承诺，对货物及系统进行保修、维护等服务。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3.保证其所供货物不存在侵犯第三方知识产权的行为，否则由此产生的损失由乙方承担。</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第十四条违约责任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1.甲乙双方任意一方无故终止合同的，违约方应当按照合同总金额的%向守约方支付违约金。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2.乙方逾期交付货物时，每逾</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‰的滞纳金。逾期交货超过</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日的，甲方有权决定是否继续履行合同，如甲方决定终止履行合同的，乙方应按照第1款的规定赔偿甲方违约金。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%的违约金，如果违约金不足以支付甲方所受损失的，甲方有权要求其赔偿。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4.在质保期内产品出现质量问题，乙方必须在接到甲方通知后</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小时内到达现场解决，否则甲方有权另请单位解决，由此产生的费用由乙方承担，产生的损失由乙方赔偿。</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5.甲方逾期支付资金的违约责任：</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6.因甲方原因导致变更、中止或者终止政府采购合同的，甲方对供应商受到的损失予以赔偿或者补偿：</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7.甲乙双方违背其他合同条款，违约方赔偿对方损失。</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第十五条不可抗力</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第十六条保密</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乙方违反本合同所规定的保密义务，应按照本合同总金额的</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%支付违约金。</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第十七条争议解决</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甲乙双方在合同履行中发生争议，应通过协商解决。如协商不成，可以向合同签订地法院提起诉讼。</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第十八条合同生效及其它</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1.除招标文件规定且甲方事先书面同意外，乙方不得部分或者全部转让、分包履行其应履行的合同项下的义务。</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2.合同由甲、乙双方法定代表人（或者授权代表）签字并加盖单位公章，以最后一方签字日期为合同生效日期。</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3.本合同一式份，甲方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份。</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第十九条  政府采购合同融资</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第二十条本合同附件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1.中标通知书；</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2.政府采购招标文件（含招标文件的澄清、修改等）；</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3.乙方投标文件；</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4.中标人在评标过程中做出的有关澄清、说明、承诺或者补正文件（材料）。</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   方：                               乙   方：</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单位名称(公章)：                        单位名称(公章)：</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法定代表人（授权代表）签字：            法定代表人（授权代表）签字：</w:t>
      </w:r>
    </w:p>
    <w:p>
      <w:pPr>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   话：                               电   话：</w:t>
      </w:r>
    </w:p>
    <w:p>
      <w:pPr>
        <w:spacing w:line="400" w:lineRule="exact"/>
        <w:ind w:firstLine="420" w:firstLineChars="200"/>
        <w:rPr>
          <w:rFonts w:hint="eastAsia" w:ascii="宋体" w:hAnsi="宋体" w:eastAsia="宋体" w:cs="宋体"/>
          <w:color w:val="auto"/>
          <w:sz w:val="21"/>
          <w:szCs w:val="21"/>
          <w:lang w:val="zh-CN"/>
        </w:rPr>
      </w:pPr>
    </w:p>
    <w:p>
      <w:pPr>
        <w:spacing w:line="360" w:lineRule="auto"/>
        <w:contextualSpacing/>
        <w:jc w:val="center"/>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年  月  日                                 年  月  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color w:val="auto"/>
          <w:sz w:val="44"/>
          <w:szCs w:val="44"/>
          <w:lang w:val="zh-CN"/>
        </w:rPr>
      </w:pPr>
      <w:r>
        <w:rPr>
          <w:rFonts w:hint="eastAsia" w:cs="宋体" w:asciiTheme="majorEastAsia" w:hAnsiTheme="majorEastAsia" w:eastAsiaTheme="majorEastAsia"/>
          <w:b/>
          <w:color w:val="auto"/>
          <w:kern w:val="0"/>
          <w:sz w:val="32"/>
          <w:szCs w:val="32"/>
        </w:rPr>
        <w:t>第八章 响应文件有关格式</w:t>
      </w:r>
    </w:p>
    <w:p>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2"/>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rPr>
              <w:t>11</w:t>
            </w:r>
          </w:p>
        </w:tc>
        <w:tc>
          <w:tcPr>
            <w:tcW w:w="3751" w:type="dxa"/>
            <w:gridSpan w:val="2"/>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2"/>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1058" w:type="dxa"/>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1058" w:type="dxa"/>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693" w:type="dxa"/>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rPr>
          <w:rFonts w:asciiTheme="majorEastAsia" w:hAnsiTheme="majorEastAsia" w:eastAsiaTheme="majorEastAsia"/>
          <w:b/>
          <w:snapToGrid w:val="0"/>
          <w:color w:val="auto"/>
          <w:kern w:val="0"/>
          <w:sz w:val="28"/>
          <w:szCs w:val="28"/>
        </w:rPr>
      </w:pPr>
    </w:p>
    <w:p>
      <w:pPr>
        <w:pStyle w:val="17"/>
        <w:numPr>
          <w:ilvl w:val="0"/>
          <w:numId w:val="13"/>
        </w:numPr>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报价一览表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9"/>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u w:val="single"/>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（项目名称、项目编号）采购的竞争性谈判公告及谈判邀请，_______（姓名和职务）被正式授权并代表供应商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（项目名称、项目编号）谈判文件的全部内容。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9"/>
        <w:numPr>
          <w:ilvl w:val="3"/>
          <w:numId w:val="0"/>
        </w:numPr>
        <w:rPr>
          <w:color w:val="auto"/>
        </w:rPr>
      </w:pP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9"/>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9"/>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w:t>
      </w:r>
      <w:r>
        <w:rPr>
          <w:rFonts w:hint="eastAsia" w:asciiTheme="minorEastAsia" w:hAnsiTheme="minorEastAsia"/>
          <w:color w:val="auto"/>
          <w:sz w:val="21"/>
          <w:szCs w:val="21"/>
          <w:lang w:eastAsia="zh-CN"/>
        </w:rPr>
        <w:t>签字：</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联系电话（手机）：</w:t>
      </w: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firstLine="472" w:firstLineChars="225"/>
        <w:jc w:val="left"/>
        <w:rPr>
          <w:rFonts w:asciiTheme="minorEastAsia" w:hAnsiTheme="minorEastAsia"/>
          <w:color w:val="auto"/>
          <w:sz w:val="21"/>
          <w:szCs w:val="21"/>
        </w:rPr>
      </w:pPr>
    </w:p>
    <w:p>
      <w:pPr>
        <w:pStyle w:val="59"/>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9"/>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2"/>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1"/>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w:t>
      </w:r>
      <w:r>
        <w:rPr>
          <w:rFonts w:hint="eastAsia" w:cs="Arial" w:asciiTheme="minorEastAsia" w:hAnsiTheme="minorEastAsia"/>
          <w:color w:val="auto"/>
          <w:szCs w:val="21"/>
          <w:lang w:val="en-US" w:eastAsia="zh-CN"/>
        </w:rPr>
        <w:t>和</w:t>
      </w:r>
      <w:r>
        <w:rPr>
          <w:rFonts w:hint="eastAsia" w:cs="Arial"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w:t>
      </w:r>
      <w:r>
        <w:rPr>
          <w:rFonts w:hint="eastAsia" w:asciiTheme="minorEastAsia" w:hAnsiTheme="minorEastAsia"/>
          <w:color w:val="auto"/>
          <w:szCs w:val="21"/>
          <w:lang w:eastAsia="zh-CN"/>
        </w:rPr>
        <w:t>和</w:t>
      </w:r>
      <w:r>
        <w:rPr>
          <w:rFonts w:hint="eastAsia" w:asciiTheme="minorEastAsia" w:hAnsiTheme="minorEastAsia"/>
          <w:color w:val="auto"/>
          <w:szCs w:val="21"/>
        </w:rPr>
        <w:t>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7"/>
        <w:gridCol w:w="448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98" w:hRule="atLeast"/>
        </w:trPr>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49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50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w:t>
            </w:r>
            <w:r>
              <w:rPr>
                <w:rFonts w:hint="eastAsia" w:asciiTheme="minorEastAsia" w:hAnsiTheme="minorEastAsia"/>
                <w:color w:val="auto"/>
                <w:szCs w:val="21"/>
                <w:lang w:eastAsia="zh-CN"/>
              </w:rPr>
              <w:t>反</w:t>
            </w:r>
            <w:r>
              <w:rPr>
                <w:rFonts w:hint="eastAsia" w:asciiTheme="minorEastAsia" w:hAnsiTheme="minorEastAsia"/>
                <w:color w:val="auto"/>
                <w:szCs w:val="21"/>
              </w:rPr>
              <w:t>面）</w:t>
            </w:r>
          </w:p>
        </w:tc>
      </w:tr>
    </w:tbl>
    <w:p>
      <w:pPr>
        <w:spacing w:beforeLines="50" w:afterLines="50" w:line="360" w:lineRule="auto"/>
        <w:ind w:right="420"/>
        <w:rPr>
          <w:rFonts w:cs="宋体" w:asciiTheme="minorEastAsia" w:hAnsiTheme="minorEastAsia"/>
          <w:color w:val="auto"/>
          <w:sz w:val="24"/>
          <w:szCs w:val="24"/>
          <w:lang w:val="zh-CN"/>
        </w:rPr>
      </w:pPr>
    </w:p>
    <w:p>
      <w:pPr>
        <w:pStyle w:val="2"/>
        <w:rPr>
          <w:color w:val="auto"/>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3.4禹州市政府采购供应商信用承诺函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spacing w:beforeLines="50" w:afterLines="50" w:line="360" w:lineRule="auto"/>
        <w:ind w:right="420"/>
        <w:rPr>
          <w:rFonts w:cs="宋体" w:asciiTheme="minorEastAsia" w:hAnsiTheme="minorEastAsia"/>
          <w:color w:val="auto"/>
          <w:sz w:val="24"/>
          <w:szCs w:val="24"/>
          <w:lang w:val="zh-CN"/>
        </w:rPr>
      </w:pPr>
    </w:p>
    <w:p>
      <w:pPr>
        <w:pStyle w:val="9"/>
        <w:numPr>
          <w:ilvl w:val="3"/>
          <w:numId w:val="0"/>
        </w:numPr>
        <w:rPr>
          <w:color w:val="auto"/>
          <w:lang w:val="zh-CN"/>
        </w:rPr>
      </w:pPr>
    </w:p>
    <w:p>
      <w:pPr>
        <w:rPr>
          <w:color w:val="auto"/>
          <w:lang w:val="zh-CN"/>
        </w:rPr>
      </w:pPr>
    </w:p>
    <w:p>
      <w:pPr>
        <w:pStyle w:val="9"/>
        <w:numPr>
          <w:ilvl w:val="3"/>
          <w:numId w:val="0"/>
        </w:num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Theme="minorEastAsia" w:hAnsiTheme="minorEastAsia"/>
          <w:snapToGrid w:val="0"/>
          <w:color w:val="auto"/>
          <w:kern w:val="0"/>
          <w:szCs w:val="21"/>
          <w:u w:val="single"/>
        </w:rPr>
        <w:t>（采购人名称）</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pStyle w:val="13"/>
        <w:rPr>
          <w:color w:val="auto"/>
          <w:lang w:val="zh-CN"/>
        </w:rPr>
      </w:pPr>
    </w:p>
    <w:p>
      <w:pPr>
        <w:pStyle w:val="34"/>
        <w:rPr>
          <w:color w:val="auto"/>
          <w:lang w:val="zh-CN"/>
        </w:rPr>
      </w:pPr>
    </w:p>
    <w:p>
      <w:pPr>
        <w:pStyle w:val="35"/>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3.6 </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480" w:lineRule="auto"/>
        <w:jc w:val="left"/>
        <w:rPr>
          <w:color w:val="auto"/>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color w:val="auto"/>
        </w:rPr>
        <w:t>：</w:t>
      </w:r>
    </w:p>
    <w:p>
      <w:pPr>
        <w:spacing w:line="480" w:lineRule="auto"/>
        <w:jc w:val="left"/>
        <w:rPr>
          <w:rFonts w:cs="Arial" w:asciiTheme="minorEastAsia" w:hAnsiTheme="minorEastAsia"/>
          <w:color w:val="auto"/>
          <w:szCs w:val="21"/>
        </w:rPr>
      </w:pPr>
      <w:r>
        <w:rPr>
          <w:color w:val="auto"/>
        </w:rPr>
        <w:t>日期：</w:t>
      </w:r>
    </w:p>
    <w:p>
      <w:pPr>
        <w:spacing w:line="480" w:lineRule="auto"/>
        <w:ind w:left="4358" w:leftChars="2075"/>
        <w:rPr>
          <w:rFonts w:cs="Arial" w:asciiTheme="minorEastAsia" w:hAnsiTheme="minorEastAsia"/>
          <w:color w:val="auto"/>
          <w:szCs w:val="21"/>
        </w:rPr>
      </w:pP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6"/>
        <w:ind w:left="0" w:leftChars="0" w:firstLine="0" w:firstLineChars="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 xml:space="preserve">3.7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rPr>
          <w:rFonts w:ascii="宋体" w:hAnsi="宋体"/>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pStyle w:val="13"/>
        <w:rPr>
          <w:color w:val="auto"/>
          <w:lang w:val="zh-CN"/>
        </w:rPr>
      </w:pPr>
    </w:p>
    <w:p>
      <w:pPr>
        <w:pStyle w:val="34"/>
        <w:rPr>
          <w:color w:val="auto"/>
          <w:lang w:val="zh-CN"/>
        </w:rPr>
      </w:pPr>
    </w:p>
    <w:p>
      <w:pPr>
        <w:pStyle w:val="35"/>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rPr>
          <w:color w:val="auto"/>
          <w:lang w:val="zh-CN"/>
        </w:rPr>
      </w:pPr>
    </w:p>
    <w:p>
      <w:pPr>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8</w:t>
      </w:r>
      <w:r>
        <w:rPr>
          <w:rFonts w:hint="eastAsia" w:ascii="宋体" w:hAnsi="宋体"/>
          <w:b/>
          <w:bCs/>
          <w:color w:val="auto"/>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w:t>
            </w:r>
          </w:p>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outlineLvl w:val="0"/>
        <w:rPr>
          <w:rFonts w:ascii="宋体" w:hAnsi="宋体"/>
          <w:b/>
          <w:bCs/>
          <w:color w:val="auto"/>
          <w:sz w:val="24"/>
          <w:szCs w:val="24"/>
        </w:rPr>
      </w:pPr>
    </w:p>
    <w:p>
      <w:pPr>
        <w:pStyle w:val="2"/>
        <w:ind w:firstLine="482"/>
        <w:rPr>
          <w:rFonts w:ascii="宋体" w:hAnsi="宋体"/>
          <w:b/>
          <w:bCs/>
          <w:color w:val="auto"/>
          <w:sz w:val="24"/>
          <w:szCs w:val="24"/>
        </w:rPr>
      </w:pPr>
    </w:p>
    <w:p>
      <w:pPr>
        <w:rPr>
          <w:rFonts w:ascii="宋体" w:hAnsi="宋体"/>
          <w:b/>
          <w:bCs/>
          <w:color w:val="auto"/>
          <w:sz w:val="24"/>
          <w:szCs w:val="24"/>
        </w:rPr>
      </w:pPr>
    </w:p>
    <w:p>
      <w:pPr>
        <w:pStyle w:val="2"/>
        <w:ind w:firstLine="482"/>
        <w:rPr>
          <w:rFonts w:ascii="宋体" w:hAnsi="宋体"/>
          <w:b/>
          <w:bCs/>
          <w:color w:val="auto"/>
          <w:sz w:val="24"/>
          <w:szCs w:val="24"/>
        </w:rPr>
      </w:pPr>
    </w:p>
    <w:p>
      <w:pPr>
        <w:rPr>
          <w:rFonts w:ascii="宋体" w:hAnsi="宋体"/>
          <w:b/>
          <w:bCs/>
          <w:color w:val="auto"/>
          <w:sz w:val="24"/>
          <w:szCs w:val="24"/>
        </w:rPr>
      </w:pPr>
    </w:p>
    <w:p>
      <w:pPr>
        <w:pStyle w:val="2"/>
        <w:ind w:firstLine="482"/>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rPr>
          <w:rFonts w:cs="宋体" w:asciiTheme="minorEastAsia" w:hAnsiTheme="minorEastAsia"/>
          <w:color w:val="auto"/>
          <w:szCs w:val="21"/>
          <w:lang w:val="zh-CN"/>
        </w:rPr>
      </w:pPr>
    </w:p>
    <w:p>
      <w:pPr>
        <w:pStyle w:val="2"/>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11"/>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1"/>
              <w:spacing w:line="360" w:lineRule="auto"/>
              <w:rPr>
                <w:rFonts w:ascii="宋体" w:hAnsi="宋体" w:eastAsia="宋体" w:cs="Times New Roman"/>
                <w:color w:val="auto"/>
                <w:sz w:val="21"/>
                <w:szCs w:val="21"/>
              </w:rPr>
            </w:pPr>
          </w:p>
        </w:tc>
        <w:tc>
          <w:tcPr>
            <w:tcW w:w="3579" w:type="dxa"/>
            <w:vAlign w:val="center"/>
          </w:tcPr>
          <w:p>
            <w:pPr>
              <w:pStyle w:val="11"/>
              <w:spacing w:line="360" w:lineRule="auto"/>
              <w:rPr>
                <w:rFonts w:ascii="宋体" w:hAnsi="宋体" w:eastAsia="宋体" w:cs="Times New Roman"/>
                <w:color w:val="auto"/>
                <w:sz w:val="21"/>
                <w:szCs w:val="21"/>
              </w:rPr>
            </w:pPr>
          </w:p>
        </w:tc>
        <w:tc>
          <w:tcPr>
            <w:tcW w:w="1440" w:type="dxa"/>
            <w:vAlign w:val="center"/>
          </w:tcPr>
          <w:p>
            <w:pPr>
              <w:pStyle w:val="11"/>
              <w:spacing w:line="360" w:lineRule="auto"/>
              <w:rPr>
                <w:rFonts w:ascii="宋体" w:hAnsi="宋体" w:eastAsia="宋体" w:cs="Times New Roman"/>
                <w:color w:val="auto"/>
                <w:sz w:val="21"/>
                <w:szCs w:val="21"/>
              </w:rPr>
            </w:pPr>
          </w:p>
        </w:tc>
        <w:tc>
          <w:tcPr>
            <w:tcW w:w="1706" w:type="dxa"/>
            <w:vAlign w:val="center"/>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pStyle w:val="9"/>
        <w:numPr>
          <w:ilvl w:val="3"/>
          <w:numId w:val="0"/>
        </w:numPr>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9"/>
        <w:numPr>
          <w:ilvl w:val="3"/>
          <w:numId w:val="0"/>
        </w:numPr>
        <w:rPr>
          <w:color w:val="auto"/>
        </w:rPr>
      </w:pPr>
    </w:p>
    <w:p>
      <w:pPr>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11"/>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1"/>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11"/>
              <w:spacing w:line="360" w:lineRule="auto"/>
              <w:rPr>
                <w:rFonts w:ascii="宋体" w:hAnsi="宋体" w:eastAsia="宋体" w:cs="Times New Roman"/>
                <w:color w:val="auto"/>
                <w:sz w:val="21"/>
                <w:szCs w:val="21"/>
              </w:rPr>
            </w:pPr>
          </w:p>
        </w:tc>
        <w:tc>
          <w:tcPr>
            <w:tcW w:w="1518" w:type="dxa"/>
            <w:vAlign w:val="center"/>
          </w:tcPr>
          <w:p>
            <w:pPr>
              <w:pStyle w:val="11"/>
              <w:spacing w:line="360" w:lineRule="auto"/>
              <w:rPr>
                <w:rFonts w:ascii="宋体" w:hAnsi="宋体" w:eastAsia="宋体" w:cs="Times New Roman"/>
                <w:color w:val="auto"/>
                <w:sz w:val="21"/>
                <w:szCs w:val="21"/>
              </w:rPr>
            </w:pPr>
          </w:p>
        </w:tc>
        <w:tc>
          <w:tcPr>
            <w:tcW w:w="1240" w:type="dxa"/>
          </w:tcPr>
          <w:p>
            <w:pPr>
              <w:pStyle w:val="11"/>
              <w:spacing w:line="360" w:lineRule="auto"/>
              <w:rPr>
                <w:rFonts w:ascii="宋体" w:hAnsi="宋体" w:eastAsia="宋体" w:cs="Times New Roman"/>
                <w:color w:val="auto"/>
                <w:sz w:val="21"/>
                <w:szCs w:val="21"/>
              </w:rPr>
            </w:pPr>
          </w:p>
        </w:tc>
        <w:tc>
          <w:tcPr>
            <w:tcW w:w="1648" w:type="dxa"/>
          </w:tcPr>
          <w:p>
            <w:pPr>
              <w:pStyle w:val="11"/>
              <w:spacing w:line="360" w:lineRule="auto"/>
              <w:rPr>
                <w:rFonts w:ascii="宋体" w:hAnsi="宋体" w:eastAsia="宋体" w:cs="Times New Roman"/>
                <w:color w:val="auto"/>
                <w:sz w:val="21"/>
                <w:szCs w:val="21"/>
              </w:rPr>
            </w:pPr>
          </w:p>
        </w:tc>
        <w:tc>
          <w:tcPr>
            <w:tcW w:w="1600" w:type="dxa"/>
          </w:tcPr>
          <w:p>
            <w:pPr>
              <w:pStyle w:val="11"/>
              <w:spacing w:line="360" w:lineRule="auto"/>
              <w:rPr>
                <w:rFonts w:ascii="宋体" w:hAnsi="宋体" w:eastAsia="宋体" w:cs="Times New Roman"/>
                <w:color w:val="auto"/>
                <w:sz w:val="21"/>
                <w:szCs w:val="21"/>
              </w:rPr>
            </w:pPr>
          </w:p>
        </w:tc>
        <w:tc>
          <w:tcPr>
            <w:tcW w:w="1417" w:type="dxa"/>
          </w:tcPr>
          <w:p>
            <w:pPr>
              <w:pStyle w:val="11"/>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9</w:t>
      </w:r>
      <w:r>
        <w:rPr>
          <w:rFonts w:hint="eastAsia" w:ascii="宋体" w:hAnsi="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cs="黑体" w:asciiTheme="minorEastAsia" w:hAnsiTheme="minorEastAsia"/>
          <w:b/>
          <w:bCs/>
          <w:color w:val="auto"/>
          <w:sz w:val="44"/>
          <w:szCs w:val="44"/>
          <w:lang w:val="zh-CN"/>
        </w:rPr>
      </w:pPr>
      <w:r>
        <w:rPr>
          <w:rFonts w:hint="eastAsia" w:ascii="宋体" w:hAnsi="宋体" w:cs="Arial"/>
          <w:color w:val="auto"/>
          <w:kern w:val="0"/>
          <w:szCs w:val="21"/>
        </w:rPr>
        <w:t>供应商所投产品涉及国家有属强制性规定的，须承诺其所投产品符合国家强制性要求（如CCC认证，格式自拟）</w:t>
      </w:r>
    </w:p>
    <w:p>
      <w:pPr>
        <w:pStyle w:val="9"/>
        <w:numPr>
          <w:ilvl w:val="3"/>
          <w:numId w:val="0"/>
        </w:numPr>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val="0"/>
          <w:bCs w:val="0"/>
          <w:color w:val="auto"/>
          <w:sz w:val="21"/>
          <w:szCs w:val="21"/>
        </w:rPr>
      </w:pPr>
      <w:r>
        <w:rPr>
          <w:rFonts w:ascii="宋体" w:hAnsi="宋体"/>
          <w:b w:val="0"/>
          <w:bCs w:val="0"/>
          <w:color w:val="auto"/>
          <w:sz w:val="21"/>
          <w:szCs w:val="21"/>
        </w:rPr>
        <w:t>除</w:t>
      </w:r>
      <w:r>
        <w:rPr>
          <w:rFonts w:hint="eastAsia" w:ascii="宋体" w:hAnsi="宋体"/>
          <w:b w:val="0"/>
          <w:bCs w:val="0"/>
          <w:color w:val="auto"/>
          <w:sz w:val="21"/>
          <w:szCs w:val="21"/>
        </w:rPr>
        <w:t>谈判</w:t>
      </w:r>
      <w:r>
        <w:rPr>
          <w:rFonts w:ascii="宋体" w:hAnsi="宋体"/>
          <w:b w:val="0"/>
          <w:bCs w:val="0"/>
          <w:color w:val="auto"/>
          <w:sz w:val="21"/>
          <w:szCs w:val="21"/>
        </w:rPr>
        <w:t>文件另有规定外，</w:t>
      </w:r>
      <w:r>
        <w:rPr>
          <w:rFonts w:hint="eastAsia" w:ascii="宋体" w:hAnsi="宋体"/>
          <w:b w:val="0"/>
          <w:bCs w:val="0"/>
          <w:color w:val="auto"/>
          <w:sz w:val="21"/>
          <w:szCs w:val="21"/>
        </w:rPr>
        <w:t>供应商</w:t>
      </w:r>
      <w:r>
        <w:rPr>
          <w:rFonts w:ascii="宋体" w:hAnsi="宋体"/>
          <w:b w:val="0"/>
          <w:bCs w:val="0"/>
          <w:color w:val="auto"/>
          <w:sz w:val="21"/>
          <w:szCs w:val="21"/>
        </w:rPr>
        <w:t>认为需要提交的其他证明材料或资料加盖</w:t>
      </w:r>
      <w:r>
        <w:rPr>
          <w:rFonts w:hint="eastAsia" w:ascii="宋体" w:hAnsi="宋体"/>
          <w:b w:val="0"/>
          <w:bCs w:val="0"/>
          <w:color w:val="auto"/>
          <w:sz w:val="21"/>
          <w:szCs w:val="21"/>
        </w:rPr>
        <w:t>供应商</w:t>
      </w:r>
      <w:r>
        <w:rPr>
          <w:rFonts w:ascii="宋体" w:hAnsi="宋体"/>
          <w:b w:val="0"/>
          <w:bCs w:val="0"/>
          <w:color w:val="auto"/>
          <w:sz w:val="21"/>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5"/>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ˎ̥">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93672"/>
    <w:multiLevelType w:val="singleLevel"/>
    <w:tmpl w:val="EF493672"/>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428C85BE"/>
    <w:multiLevelType w:val="singleLevel"/>
    <w:tmpl w:val="428C85BE"/>
    <w:lvl w:ilvl="0" w:tentative="0">
      <w:start w:val="2"/>
      <w:numFmt w:val="chineseCounting"/>
      <w:suff w:val="space"/>
      <w:lvlText w:val="%1、"/>
      <w:lvlJc w:val="left"/>
      <w:rPr>
        <w:rFonts w:hint="eastAsia"/>
      </w:rPr>
    </w:lvl>
  </w:abstractNum>
  <w:abstractNum w:abstractNumId="7">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9F817E8"/>
    <w:multiLevelType w:val="singleLevel"/>
    <w:tmpl w:val="59F817E8"/>
    <w:lvl w:ilvl="0" w:tentative="0">
      <w:start w:val="1"/>
      <w:numFmt w:val="chineseCounting"/>
      <w:pStyle w:val="67"/>
      <w:suff w:val="nothing"/>
      <w:lvlText w:val="%1、"/>
      <w:lvlJc w:val="left"/>
    </w:lvl>
  </w:abstractNum>
  <w:abstractNum w:abstractNumId="9">
    <w:nsid w:val="630FA47E"/>
    <w:multiLevelType w:val="singleLevel"/>
    <w:tmpl w:val="630FA47E"/>
    <w:lvl w:ilvl="0" w:tentative="0">
      <w:start w:val="1"/>
      <w:numFmt w:val="chineseCounting"/>
      <w:suff w:val="nothing"/>
      <w:lvlText w:val="%1、"/>
      <w:lvlJc w:val="left"/>
      <w:rPr>
        <w:rFonts w:hint="eastAsia"/>
      </w:rPr>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2"/>
  </w:num>
  <w:num w:numId="3">
    <w:abstractNumId w:val="8"/>
  </w:num>
  <w:num w:numId="4">
    <w:abstractNumId w:val="0"/>
  </w:num>
  <w:num w:numId="5">
    <w:abstractNumId w:val="9"/>
  </w:num>
  <w:num w:numId="6">
    <w:abstractNumId w:val="12"/>
  </w:num>
  <w:num w:numId="7">
    <w:abstractNumId w:val="3"/>
  </w:num>
  <w:num w:numId="8">
    <w:abstractNumId w:val="10"/>
  </w:num>
  <w:num w:numId="9">
    <w:abstractNumId w:val="11"/>
  </w:num>
  <w:num w:numId="10">
    <w:abstractNumId w:val="5"/>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598A"/>
    <w:rsid w:val="000173D4"/>
    <w:rsid w:val="000227BF"/>
    <w:rsid w:val="00023076"/>
    <w:rsid w:val="00030B34"/>
    <w:rsid w:val="00031CF4"/>
    <w:rsid w:val="000418F9"/>
    <w:rsid w:val="00046E42"/>
    <w:rsid w:val="0005454B"/>
    <w:rsid w:val="0007027E"/>
    <w:rsid w:val="00072339"/>
    <w:rsid w:val="00074D05"/>
    <w:rsid w:val="000800D2"/>
    <w:rsid w:val="00080389"/>
    <w:rsid w:val="00083387"/>
    <w:rsid w:val="0008414A"/>
    <w:rsid w:val="00090009"/>
    <w:rsid w:val="00091C9C"/>
    <w:rsid w:val="00095387"/>
    <w:rsid w:val="00096224"/>
    <w:rsid w:val="0009640F"/>
    <w:rsid w:val="000A02BB"/>
    <w:rsid w:val="000A73BC"/>
    <w:rsid w:val="000B3383"/>
    <w:rsid w:val="000B36D7"/>
    <w:rsid w:val="000B4057"/>
    <w:rsid w:val="000B44D3"/>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25A07"/>
    <w:rsid w:val="00134A7E"/>
    <w:rsid w:val="001415B4"/>
    <w:rsid w:val="00147BC4"/>
    <w:rsid w:val="00152541"/>
    <w:rsid w:val="00154EA8"/>
    <w:rsid w:val="001618ED"/>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0524"/>
    <w:rsid w:val="001E25D9"/>
    <w:rsid w:val="001E592F"/>
    <w:rsid w:val="001E76C9"/>
    <w:rsid w:val="001F7199"/>
    <w:rsid w:val="00206982"/>
    <w:rsid w:val="002078AE"/>
    <w:rsid w:val="00210B90"/>
    <w:rsid w:val="00213F11"/>
    <w:rsid w:val="00214892"/>
    <w:rsid w:val="00224D01"/>
    <w:rsid w:val="00231307"/>
    <w:rsid w:val="00234627"/>
    <w:rsid w:val="00241A41"/>
    <w:rsid w:val="002426C4"/>
    <w:rsid w:val="002436B4"/>
    <w:rsid w:val="00246A17"/>
    <w:rsid w:val="00252623"/>
    <w:rsid w:val="00255732"/>
    <w:rsid w:val="002559C0"/>
    <w:rsid w:val="00257206"/>
    <w:rsid w:val="002615C0"/>
    <w:rsid w:val="00262B6F"/>
    <w:rsid w:val="00264014"/>
    <w:rsid w:val="002659C7"/>
    <w:rsid w:val="00266F45"/>
    <w:rsid w:val="00267EE6"/>
    <w:rsid w:val="002709BD"/>
    <w:rsid w:val="002732E0"/>
    <w:rsid w:val="00276150"/>
    <w:rsid w:val="002847E1"/>
    <w:rsid w:val="002871DE"/>
    <w:rsid w:val="002872FE"/>
    <w:rsid w:val="002908DD"/>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46744"/>
    <w:rsid w:val="003509A7"/>
    <w:rsid w:val="003518EF"/>
    <w:rsid w:val="0037221E"/>
    <w:rsid w:val="00375394"/>
    <w:rsid w:val="003812AE"/>
    <w:rsid w:val="00382E5B"/>
    <w:rsid w:val="00386F17"/>
    <w:rsid w:val="003916C5"/>
    <w:rsid w:val="0039230E"/>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3CF2"/>
    <w:rsid w:val="004B620B"/>
    <w:rsid w:val="004B6F24"/>
    <w:rsid w:val="004C1117"/>
    <w:rsid w:val="004C2A4D"/>
    <w:rsid w:val="004D0712"/>
    <w:rsid w:val="004D3082"/>
    <w:rsid w:val="004D7BED"/>
    <w:rsid w:val="004E0DFB"/>
    <w:rsid w:val="004E450C"/>
    <w:rsid w:val="004E547A"/>
    <w:rsid w:val="004E5E79"/>
    <w:rsid w:val="004F1683"/>
    <w:rsid w:val="004F1700"/>
    <w:rsid w:val="00501F13"/>
    <w:rsid w:val="0050326F"/>
    <w:rsid w:val="00504A26"/>
    <w:rsid w:val="00506193"/>
    <w:rsid w:val="0051114C"/>
    <w:rsid w:val="00513C0A"/>
    <w:rsid w:val="00520164"/>
    <w:rsid w:val="005222C3"/>
    <w:rsid w:val="005254AD"/>
    <w:rsid w:val="00527604"/>
    <w:rsid w:val="00532D1B"/>
    <w:rsid w:val="00535B8D"/>
    <w:rsid w:val="00536DD2"/>
    <w:rsid w:val="00540B2F"/>
    <w:rsid w:val="005411DE"/>
    <w:rsid w:val="00546251"/>
    <w:rsid w:val="005462AC"/>
    <w:rsid w:val="0055332A"/>
    <w:rsid w:val="00555EDE"/>
    <w:rsid w:val="0056657E"/>
    <w:rsid w:val="00567C1C"/>
    <w:rsid w:val="005701A3"/>
    <w:rsid w:val="005711DE"/>
    <w:rsid w:val="00571763"/>
    <w:rsid w:val="00573241"/>
    <w:rsid w:val="00575C9D"/>
    <w:rsid w:val="005779B2"/>
    <w:rsid w:val="00581F58"/>
    <w:rsid w:val="00586CD2"/>
    <w:rsid w:val="00592785"/>
    <w:rsid w:val="005940FF"/>
    <w:rsid w:val="00596914"/>
    <w:rsid w:val="005A0C27"/>
    <w:rsid w:val="005A19A9"/>
    <w:rsid w:val="005A225E"/>
    <w:rsid w:val="005A33DA"/>
    <w:rsid w:val="005A49BE"/>
    <w:rsid w:val="005A7E7E"/>
    <w:rsid w:val="005B1144"/>
    <w:rsid w:val="005B14F6"/>
    <w:rsid w:val="005B180E"/>
    <w:rsid w:val="005B39AC"/>
    <w:rsid w:val="005B4048"/>
    <w:rsid w:val="005B511E"/>
    <w:rsid w:val="005B7E03"/>
    <w:rsid w:val="005C09F8"/>
    <w:rsid w:val="005C21AE"/>
    <w:rsid w:val="005C4642"/>
    <w:rsid w:val="005D1597"/>
    <w:rsid w:val="005D4EBE"/>
    <w:rsid w:val="005D51C3"/>
    <w:rsid w:val="005D6674"/>
    <w:rsid w:val="005F4274"/>
    <w:rsid w:val="00600324"/>
    <w:rsid w:val="00603ED5"/>
    <w:rsid w:val="00605FD5"/>
    <w:rsid w:val="00612130"/>
    <w:rsid w:val="00614C74"/>
    <w:rsid w:val="00622142"/>
    <w:rsid w:val="006230E7"/>
    <w:rsid w:val="00630932"/>
    <w:rsid w:val="00631795"/>
    <w:rsid w:val="0063252A"/>
    <w:rsid w:val="00636AAD"/>
    <w:rsid w:val="00637A19"/>
    <w:rsid w:val="0064175E"/>
    <w:rsid w:val="00642E4D"/>
    <w:rsid w:val="00645105"/>
    <w:rsid w:val="00650176"/>
    <w:rsid w:val="00651710"/>
    <w:rsid w:val="00652F79"/>
    <w:rsid w:val="0065322E"/>
    <w:rsid w:val="006533B0"/>
    <w:rsid w:val="00654154"/>
    <w:rsid w:val="0065447A"/>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C4E06"/>
    <w:rsid w:val="006C6F1B"/>
    <w:rsid w:val="006D0369"/>
    <w:rsid w:val="006D2CF0"/>
    <w:rsid w:val="006D2D95"/>
    <w:rsid w:val="006D71B0"/>
    <w:rsid w:val="006D71DF"/>
    <w:rsid w:val="006E21C6"/>
    <w:rsid w:val="006F1019"/>
    <w:rsid w:val="006F15D2"/>
    <w:rsid w:val="006F7C4F"/>
    <w:rsid w:val="007050C8"/>
    <w:rsid w:val="00714D78"/>
    <w:rsid w:val="00724498"/>
    <w:rsid w:val="007303E5"/>
    <w:rsid w:val="00733E11"/>
    <w:rsid w:val="00736C7C"/>
    <w:rsid w:val="0075258E"/>
    <w:rsid w:val="00752DA3"/>
    <w:rsid w:val="007622D4"/>
    <w:rsid w:val="00763CD2"/>
    <w:rsid w:val="0076522A"/>
    <w:rsid w:val="007707E3"/>
    <w:rsid w:val="00772353"/>
    <w:rsid w:val="0077399E"/>
    <w:rsid w:val="00775E81"/>
    <w:rsid w:val="0078097A"/>
    <w:rsid w:val="00783715"/>
    <w:rsid w:val="007873DE"/>
    <w:rsid w:val="0078746E"/>
    <w:rsid w:val="0078798E"/>
    <w:rsid w:val="00791B7A"/>
    <w:rsid w:val="007A1051"/>
    <w:rsid w:val="007A5A56"/>
    <w:rsid w:val="007A7C26"/>
    <w:rsid w:val="007B2B51"/>
    <w:rsid w:val="007B7FCE"/>
    <w:rsid w:val="007C0625"/>
    <w:rsid w:val="007C1E03"/>
    <w:rsid w:val="007C74CE"/>
    <w:rsid w:val="007E5B97"/>
    <w:rsid w:val="007E6BFA"/>
    <w:rsid w:val="007E6FAA"/>
    <w:rsid w:val="007F042C"/>
    <w:rsid w:val="007F216A"/>
    <w:rsid w:val="007F22FC"/>
    <w:rsid w:val="007F4688"/>
    <w:rsid w:val="008040FC"/>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77984"/>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99D"/>
    <w:rsid w:val="00946F0D"/>
    <w:rsid w:val="00951D5E"/>
    <w:rsid w:val="009564F5"/>
    <w:rsid w:val="0096341B"/>
    <w:rsid w:val="00965EE4"/>
    <w:rsid w:val="009703B2"/>
    <w:rsid w:val="00971959"/>
    <w:rsid w:val="00971CF1"/>
    <w:rsid w:val="00971DF8"/>
    <w:rsid w:val="009739C3"/>
    <w:rsid w:val="009748D7"/>
    <w:rsid w:val="009757E6"/>
    <w:rsid w:val="00983B30"/>
    <w:rsid w:val="009853BF"/>
    <w:rsid w:val="0098663F"/>
    <w:rsid w:val="00992786"/>
    <w:rsid w:val="00992A2E"/>
    <w:rsid w:val="00992AB2"/>
    <w:rsid w:val="00996D87"/>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4FA2"/>
    <w:rsid w:val="009D63BC"/>
    <w:rsid w:val="009E135A"/>
    <w:rsid w:val="009E2327"/>
    <w:rsid w:val="009E2A41"/>
    <w:rsid w:val="009E3AD6"/>
    <w:rsid w:val="009E53E2"/>
    <w:rsid w:val="009F2898"/>
    <w:rsid w:val="009F3688"/>
    <w:rsid w:val="00A0082D"/>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B6C"/>
    <w:rsid w:val="00A95C8D"/>
    <w:rsid w:val="00A95EA0"/>
    <w:rsid w:val="00A96F5A"/>
    <w:rsid w:val="00AA0B3A"/>
    <w:rsid w:val="00AA23BA"/>
    <w:rsid w:val="00AA6F4A"/>
    <w:rsid w:val="00AB15FD"/>
    <w:rsid w:val="00AB37ED"/>
    <w:rsid w:val="00AC081D"/>
    <w:rsid w:val="00AC5A33"/>
    <w:rsid w:val="00AC766D"/>
    <w:rsid w:val="00AC7F46"/>
    <w:rsid w:val="00AD442D"/>
    <w:rsid w:val="00AD77A9"/>
    <w:rsid w:val="00AE142E"/>
    <w:rsid w:val="00AE3026"/>
    <w:rsid w:val="00AE3F48"/>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0CD0"/>
    <w:rsid w:val="00B44C64"/>
    <w:rsid w:val="00B44FF5"/>
    <w:rsid w:val="00B51CBD"/>
    <w:rsid w:val="00B52793"/>
    <w:rsid w:val="00B5412E"/>
    <w:rsid w:val="00B6230B"/>
    <w:rsid w:val="00B62649"/>
    <w:rsid w:val="00B62715"/>
    <w:rsid w:val="00B723D2"/>
    <w:rsid w:val="00B72ABF"/>
    <w:rsid w:val="00B734DD"/>
    <w:rsid w:val="00B7472A"/>
    <w:rsid w:val="00B80BDE"/>
    <w:rsid w:val="00B81DDB"/>
    <w:rsid w:val="00B87403"/>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4562"/>
    <w:rsid w:val="00BF49BB"/>
    <w:rsid w:val="00BF6206"/>
    <w:rsid w:val="00BF6B3B"/>
    <w:rsid w:val="00C02173"/>
    <w:rsid w:val="00C0537F"/>
    <w:rsid w:val="00C13A29"/>
    <w:rsid w:val="00C14BFB"/>
    <w:rsid w:val="00C21F92"/>
    <w:rsid w:val="00C24F01"/>
    <w:rsid w:val="00C25F2B"/>
    <w:rsid w:val="00C27457"/>
    <w:rsid w:val="00C318AC"/>
    <w:rsid w:val="00C32265"/>
    <w:rsid w:val="00C32DA0"/>
    <w:rsid w:val="00C3589C"/>
    <w:rsid w:val="00C35F7B"/>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1686"/>
    <w:rsid w:val="00C83353"/>
    <w:rsid w:val="00C8359A"/>
    <w:rsid w:val="00C84321"/>
    <w:rsid w:val="00C87D15"/>
    <w:rsid w:val="00C958B7"/>
    <w:rsid w:val="00C968BF"/>
    <w:rsid w:val="00CA3DC9"/>
    <w:rsid w:val="00CB1679"/>
    <w:rsid w:val="00CC1F2F"/>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5B1F"/>
    <w:rsid w:val="00D75FD1"/>
    <w:rsid w:val="00D821B0"/>
    <w:rsid w:val="00D82300"/>
    <w:rsid w:val="00D82E65"/>
    <w:rsid w:val="00D955CB"/>
    <w:rsid w:val="00D96B66"/>
    <w:rsid w:val="00DA2DBB"/>
    <w:rsid w:val="00DB0E94"/>
    <w:rsid w:val="00DB3D3C"/>
    <w:rsid w:val="00DB4EA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38C7"/>
    <w:rsid w:val="00E34CB3"/>
    <w:rsid w:val="00E410FF"/>
    <w:rsid w:val="00E47083"/>
    <w:rsid w:val="00E52555"/>
    <w:rsid w:val="00E52CC2"/>
    <w:rsid w:val="00E5529D"/>
    <w:rsid w:val="00E60BAE"/>
    <w:rsid w:val="00E635CF"/>
    <w:rsid w:val="00E7064E"/>
    <w:rsid w:val="00E7195A"/>
    <w:rsid w:val="00E722B7"/>
    <w:rsid w:val="00E73C1D"/>
    <w:rsid w:val="00E77ABE"/>
    <w:rsid w:val="00E8777D"/>
    <w:rsid w:val="00E909DB"/>
    <w:rsid w:val="00E923D8"/>
    <w:rsid w:val="00E971A0"/>
    <w:rsid w:val="00EA0AC6"/>
    <w:rsid w:val="00EA2482"/>
    <w:rsid w:val="00EA2C50"/>
    <w:rsid w:val="00EA7A5F"/>
    <w:rsid w:val="00EB129D"/>
    <w:rsid w:val="00EB28B0"/>
    <w:rsid w:val="00EC484B"/>
    <w:rsid w:val="00EC4B87"/>
    <w:rsid w:val="00EC5194"/>
    <w:rsid w:val="00EC600B"/>
    <w:rsid w:val="00ED390E"/>
    <w:rsid w:val="00ED5C44"/>
    <w:rsid w:val="00ED72AF"/>
    <w:rsid w:val="00ED7B22"/>
    <w:rsid w:val="00EE03C4"/>
    <w:rsid w:val="00EE07D8"/>
    <w:rsid w:val="00EE2C71"/>
    <w:rsid w:val="00EE74E8"/>
    <w:rsid w:val="00EF0221"/>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655"/>
    <w:rsid w:val="00F64A3F"/>
    <w:rsid w:val="00F66AF5"/>
    <w:rsid w:val="00F67C47"/>
    <w:rsid w:val="00F77BE2"/>
    <w:rsid w:val="00F80181"/>
    <w:rsid w:val="00F80C67"/>
    <w:rsid w:val="00F82BA2"/>
    <w:rsid w:val="00F92BFB"/>
    <w:rsid w:val="00F9441A"/>
    <w:rsid w:val="00FA0047"/>
    <w:rsid w:val="00FA44E8"/>
    <w:rsid w:val="00FA6EDD"/>
    <w:rsid w:val="00FB2E22"/>
    <w:rsid w:val="00FB5348"/>
    <w:rsid w:val="00FB5796"/>
    <w:rsid w:val="00FB6F1A"/>
    <w:rsid w:val="00FC04EC"/>
    <w:rsid w:val="00FC302B"/>
    <w:rsid w:val="00FC5DCD"/>
    <w:rsid w:val="00FD14EE"/>
    <w:rsid w:val="00FD2FCB"/>
    <w:rsid w:val="00FD37A3"/>
    <w:rsid w:val="00FE5AD6"/>
    <w:rsid w:val="00FF04A6"/>
    <w:rsid w:val="011D2710"/>
    <w:rsid w:val="015E675E"/>
    <w:rsid w:val="01AC6CD8"/>
    <w:rsid w:val="01CD2E9D"/>
    <w:rsid w:val="02257485"/>
    <w:rsid w:val="023B7AFE"/>
    <w:rsid w:val="033321E5"/>
    <w:rsid w:val="036412FD"/>
    <w:rsid w:val="03642F3A"/>
    <w:rsid w:val="05251973"/>
    <w:rsid w:val="05D102A2"/>
    <w:rsid w:val="0652201E"/>
    <w:rsid w:val="065C4178"/>
    <w:rsid w:val="066C351A"/>
    <w:rsid w:val="067D3496"/>
    <w:rsid w:val="06E371F8"/>
    <w:rsid w:val="070E3765"/>
    <w:rsid w:val="07733ED3"/>
    <w:rsid w:val="07777916"/>
    <w:rsid w:val="079A26F9"/>
    <w:rsid w:val="079A689E"/>
    <w:rsid w:val="0804293C"/>
    <w:rsid w:val="082C4FE6"/>
    <w:rsid w:val="088E2DA9"/>
    <w:rsid w:val="09C37472"/>
    <w:rsid w:val="0A2D0C1C"/>
    <w:rsid w:val="0A473E93"/>
    <w:rsid w:val="0A746776"/>
    <w:rsid w:val="0A927DA2"/>
    <w:rsid w:val="0AD32B7F"/>
    <w:rsid w:val="0AFF60DE"/>
    <w:rsid w:val="0B193A26"/>
    <w:rsid w:val="0B8C6B1D"/>
    <w:rsid w:val="0C0F6428"/>
    <w:rsid w:val="0C981A08"/>
    <w:rsid w:val="0C9B273A"/>
    <w:rsid w:val="0CDC0459"/>
    <w:rsid w:val="0CE85A8D"/>
    <w:rsid w:val="0D185B61"/>
    <w:rsid w:val="0D2622BF"/>
    <w:rsid w:val="0D6026F2"/>
    <w:rsid w:val="0D6975D2"/>
    <w:rsid w:val="0DD3723A"/>
    <w:rsid w:val="0E14442A"/>
    <w:rsid w:val="0EAA0890"/>
    <w:rsid w:val="0EDC43A3"/>
    <w:rsid w:val="0EE9262B"/>
    <w:rsid w:val="0EE97B8E"/>
    <w:rsid w:val="0EED42F1"/>
    <w:rsid w:val="0EF80A44"/>
    <w:rsid w:val="0F0F0F63"/>
    <w:rsid w:val="0F3B3D47"/>
    <w:rsid w:val="0F961F0A"/>
    <w:rsid w:val="0FDD7B3F"/>
    <w:rsid w:val="109630D4"/>
    <w:rsid w:val="10D5709A"/>
    <w:rsid w:val="115B1E2A"/>
    <w:rsid w:val="11A93813"/>
    <w:rsid w:val="1215360D"/>
    <w:rsid w:val="123E4294"/>
    <w:rsid w:val="12EC456E"/>
    <w:rsid w:val="12F9459F"/>
    <w:rsid w:val="13557D81"/>
    <w:rsid w:val="13706DBD"/>
    <w:rsid w:val="13C72FDB"/>
    <w:rsid w:val="13F255EB"/>
    <w:rsid w:val="144362BE"/>
    <w:rsid w:val="14737324"/>
    <w:rsid w:val="148D6DCE"/>
    <w:rsid w:val="14A37090"/>
    <w:rsid w:val="14D86122"/>
    <w:rsid w:val="14EA3CF5"/>
    <w:rsid w:val="150C4F0B"/>
    <w:rsid w:val="155F3801"/>
    <w:rsid w:val="15812B15"/>
    <w:rsid w:val="15C72F70"/>
    <w:rsid w:val="1644527A"/>
    <w:rsid w:val="16884EA2"/>
    <w:rsid w:val="16F60120"/>
    <w:rsid w:val="17636C96"/>
    <w:rsid w:val="176B676D"/>
    <w:rsid w:val="176C0575"/>
    <w:rsid w:val="177E15D6"/>
    <w:rsid w:val="17B30CC5"/>
    <w:rsid w:val="17C42EFF"/>
    <w:rsid w:val="17CD65DD"/>
    <w:rsid w:val="17EA51A2"/>
    <w:rsid w:val="185B5194"/>
    <w:rsid w:val="18856BD6"/>
    <w:rsid w:val="18BA00F9"/>
    <w:rsid w:val="194D2A56"/>
    <w:rsid w:val="1A181462"/>
    <w:rsid w:val="1A393593"/>
    <w:rsid w:val="1A464258"/>
    <w:rsid w:val="1AB634E7"/>
    <w:rsid w:val="1BAC3676"/>
    <w:rsid w:val="1BD03EF1"/>
    <w:rsid w:val="1BFD3750"/>
    <w:rsid w:val="1C0D0E22"/>
    <w:rsid w:val="1C3C6048"/>
    <w:rsid w:val="1CA75985"/>
    <w:rsid w:val="1CCF1ADD"/>
    <w:rsid w:val="1CD8278F"/>
    <w:rsid w:val="1D3D2567"/>
    <w:rsid w:val="1D9A4838"/>
    <w:rsid w:val="1DD64980"/>
    <w:rsid w:val="1DE978C4"/>
    <w:rsid w:val="1DEF574F"/>
    <w:rsid w:val="1E2051B0"/>
    <w:rsid w:val="1E521E5C"/>
    <w:rsid w:val="1ED878F4"/>
    <w:rsid w:val="1F1675B1"/>
    <w:rsid w:val="1F221463"/>
    <w:rsid w:val="1FDB1308"/>
    <w:rsid w:val="201B693E"/>
    <w:rsid w:val="20AB5326"/>
    <w:rsid w:val="21200178"/>
    <w:rsid w:val="2137422A"/>
    <w:rsid w:val="216C09A3"/>
    <w:rsid w:val="219A6736"/>
    <w:rsid w:val="219F0AC7"/>
    <w:rsid w:val="226513C9"/>
    <w:rsid w:val="234D4272"/>
    <w:rsid w:val="23F32A04"/>
    <w:rsid w:val="245F1FE8"/>
    <w:rsid w:val="24844ADB"/>
    <w:rsid w:val="24B72FF5"/>
    <w:rsid w:val="24DD02C0"/>
    <w:rsid w:val="24E915BF"/>
    <w:rsid w:val="251534E7"/>
    <w:rsid w:val="254D4EA0"/>
    <w:rsid w:val="262640BE"/>
    <w:rsid w:val="27821D05"/>
    <w:rsid w:val="27DA0D58"/>
    <w:rsid w:val="27E7184E"/>
    <w:rsid w:val="27FE437C"/>
    <w:rsid w:val="280110F2"/>
    <w:rsid w:val="284941DC"/>
    <w:rsid w:val="28F633C2"/>
    <w:rsid w:val="29A97796"/>
    <w:rsid w:val="2A1F45FB"/>
    <w:rsid w:val="2A5C4C80"/>
    <w:rsid w:val="2A9B65A1"/>
    <w:rsid w:val="2AA71F8F"/>
    <w:rsid w:val="2AC228C2"/>
    <w:rsid w:val="2AC33130"/>
    <w:rsid w:val="2AEB1F08"/>
    <w:rsid w:val="2B8A2452"/>
    <w:rsid w:val="2BB232BD"/>
    <w:rsid w:val="2BBB0CAB"/>
    <w:rsid w:val="2BF73FF5"/>
    <w:rsid w:val="2C12402E"/>
    <w:rsid w:val="2C2B746F"/>
    <w:rsid w:val="2C8B3664"/>
    <w:rsid w:val="2CB55A9D"/>
    <w:rsid w:val="2E5B51FD"/>
    <w:rsid w:val="2E5C09FD"/>
    <w:rsid w:val="2EA75B0A"/>
    <w:rsid w:val="2EC8588E"/>
    <w:rsid w:val="2ECF07BC"/>
    <w:rsid w:val="2F0F4330"/>
    <w:rsid w:val="2F9D4845"/>
    <w:rsid w:val="30033BF1"/>
    <w:rsid w:val="301A7EDF"/>
    <w:rsid w:val="310B75DF"/>
    <w:rsid w:val="3163741B"/>
    <w:rsid w:val="316A69FC"/>
    <w:rsid w:val="318B7228"/>
    <w:rsid w:val="32493792"/>
    <w:rsid w:val="32733DFC"/>
    <w:rsid w:val="32A366B2"/>
    <w:rsid w:val="32BA2D96"/>
    <w:rsid w:val="32C20171"/>
    <w:rsid w:val="3363327C"/>
    <w:rsid w:val="34AE374B"/>
    <w:rsid w:val="3560378B"/>
    <w:rsid w:val="35827561"/>
    <w:rsid w:val="35AD3EF5"/>
    <w:rsid w:val="35B07A97"/>
    <w:rsid w:val="35B53B02"/>
    <w:rsid w:val="35E717ED"/>
    <w:rsid w:val="36AC44ED"/>
    <w:rsid w:val="36DC44A4"/>
    <w:rsid w:val="371619FA"/>
    <w:rsid w:val="37256657"/>
    <w:rsid w:val="373607C6"/>
    <w:rsid w:val="375C57D8"/>
    <w:rsid w:val="37C170DA"/>
    <w:rsid w:val="38DF726B"/>
    <w:rsid w:val="38FB618B"/>
    <w:rsid w:val="396963F9"/>
    <w:rsid w:val="398F18A7"/>
    <w:rsid w:val="3A490B50"/>
    <w:rsid w:val="3A4B28EC"/>
    <w:rsid w:val="3A6A2923"/>
    <w:rsid w:val="3A860534"/>
    <w:rsid w:val="3AB0548E"/>
    <w:rsid w:val="3B1F0857"/>
    <w:rsid w:val="3B1F636E"/>
    <w:rsid w:val="3B281E80"/>
    <w:rsid w:val="3B2A07E1"/>
    <w:rsid w:val="3B5B4B17"/>
    <w:rsid w:val="3BA20695"/>
    <w:rsid w:val="3C3257B6"/>
    <w:rsid w:val="3C3E7500"/>
    <w:rsid w:val="3C575DCE"/>
    <w:rsid w:val="3C7649A9"/>
    <w:rsid w:val="3C99413F"/>
    <w:rsid w:val="3CA62872"/>
    <w:rsid w:val="3CF133C8"/>
    <w:rsid w:val="3D2C725B"/>
    <w:rsid w:val="3E0D4F54"/>
    <w:rsid w:val="3E824BC6"/>
    <w:rsid w:val="3FB66E29"/>
    <w:rsid w:val="4057096D"/>
    <w:rsid w:val="40E9662B"/>
    <w:rsid w:val="40F12E27"/>
    <w:rsid w:val="417325FA"/>
    <w:rsid w:val="41E424CB"/>
    <w:rsid w:val="42042EE5"/>
    <w:rsid w:val="42430E4B"/>
    <w:rsid w:val="42745016"/>
    <w:rsid w:val="42747AC2"/>
    <w:rsid w:val="43F565F9"/>
    <w:rsid w:val="4427077C"/>
    <w:rsid w:val="44300D79"/>
    <w:rsid w:val="4474302A"/>
    <w:rsid w:val="45107DD5"/>
    <w:rsid w:val="454D157F"/>
    <w:rsid w:val="459C04E5"/>
    <w:rsid w:val="45AF2DEC"/>
    <w:rsid w:val="45E43B02"/>
    <w:rsid w:val="467847B1"/>
    <w:rsid w:val="4685446D"/>
    <w:rsid w:val="4748383D"/>
    <w:rsid w:val="476D64A6"/>
    <w:rsid w:val="47D81C67"/>
    <w:rsid w:val="480C2163"/>
    <w:rsid w:val="483327C3"/>
    <w:rsid w:val="484A2A04"/>
    <w:rsid w:val="48623B31"/>
    <w:rsid w:val="487B1FD3"/>
    <w:rsid w:val="487F52F6"/>
    <w:rsid w:val="48DD1682"/>
    <w:rsid w:val="48FE1123"/>
    <w:rsid w:val="4918629F"/>
    <w:rsid w:val="493E22E0"/>
    <w:rsid w:val="497D28F0"/>
    <w:rsid w:val="4A895B10"/>
    <w:rsid w:val="4B4635F5"/>
    <w:rsid w:val="4B49722A"/>
    <w:rsid w:val="4BA17E79"/>
    <w:rsid w:val="4C130973"/>
    <w:rsid w:val="4C952604"/>
    <w:rsid w:val="4CB44E0F"/>
    <w:rsid w:val="4CD07AB6"/>
    <w:rsid w:val="4CEE64C1"/>
    <w:rsid w:val="4D6F2CBC"/>
    <w:rsid w:val="4DA218C8"/>
    <w:rsid w:val="4E6F2656"/>
    <w:rsid w:val="4EAA4484"/>
    <w:rsid w:val="4EC04089"/>
    <w:rsid w:val="4EC512BE"/>
    <w:rsid w:val="4F4541AF"/>
    <w:rsid w:val="4F492AE7"/>
    <w:rsid w:val="4FD60A2B"/>
    <w:rsid w:val="4FFF435B"/>
    <w:rsid w:val="505E73A8"/>
    <w:rsid w:val="50777382"/>
    <w:rsid w:val="50C40376"/>
    <w:rsid w:val="51363D96"/>
    <w:rsid w:val="518365E9"/>
    <w:rsid w:val="532F0A7B"/>
    <w:rsid w:val="5441470B"/>
    <w:rsid w:val="551D69F3"/>
    <w:rsid w:val="55213467"/>
    <w:rsid w:val="552255BD"/>
    <w:rsid w:val="552C60AE"/>
    <w:rsid w:val="55423AE9"/>
    <w:rsid w:val="557003EF"/>
    <w:rsid w:val="55765394"/>
    <w:rsid w:val="559346D9"/>
    <w:rsid w:val="55CD5ACF"/>
    <w:rsid w:val="55D41375"/>
    <w:rsid w:val="561E2226"/>
    <w:rsid w:val="567177FF"/>
    <w:rsid w:val="56E10C5F"/>
    <w:rsid w:val="570D2635"/>
    <w:rsid w:val="571E77BD"/>
    <w:rsid w:val="572801D7"/>
    <w:rsid w:val="57321D93"/>
    <w:rsid w:val="575A15AB"/>
    <w:rsid w:val="575D02CE"/>
    <w:rsid w:val="5785131D"/>
    <w:rsid w:val="57D83E10"/>
    <w:rsid w:val="589954DC"/>
    <w:rsid w:val="58E77692"/>
    <w:rsid w:val="59115A9D"/>
    <w:rsid w:val="591E1CF6"/>
    <w:rsid w:val="5927426C"/>
    <w:rsid w:val="59B06C06"/>
    <w:rsid w:val="59B12A1A"/>
    <w:rsid w:val="5A482C64"/>
    <w:rsid w:val="5AAC31FA"/>
    <w:rsid w:val="5AB00F9E"/>
    <w:rsid w:val="5AD3266C"/>
    <w:rsid w:val="5B6B0515"/>
    <w:rsid w:val="5BA0191B"/>
    <w:rsid w:val="5BAB69DB"/>
    <w:rsid w:val="5C4442F2"/>
    <w:rsid w:val="5C727A2A"/>
    <w:rsid w:val="5CCF49AE"/>
    <w:rsid w:val="5CD214C7"/>
    <w:rsid w:val="5CD379FF"/>
    <w:rsid w:val="5CDF79EE"/>
    <w:rsid w:val="5D0F245D"/>
    <w:rsid w:val="5D520EA4"/>
    <w:rsid w:val="5D9728C7"/>
    <w:rsid w:val="5DB53F06"/>
    <w:rsid w:val="5DBC5230"/>
    <w:rsid w:val="5DFB2CE6"/>
    <w:rsid w:val="5E613959"/>
    <w:rsid w:val="5E6C1665"/>
    <w:rsid w:val="5F3B723E"/>
    <w:rsid w:val="5F6B55EC"/>
    <w:rsid w:val="5FCA2E7D"/>
    <w:rsid w:val="5FCD53E2"/>
    <w:rsid w:val="5FEB7EAE"/>
    <w:rsid w:val="60755A9B"/>
    <w:rsid w:val="607C7F63"/>
    <w:rsid w:val="608821DD"/>
    <w:rsid w:val="60F77E3E"/>
    <w:rsid w:val="614A4B79"/>
    <w:rsid w:val="616A214F"/>
    <w:rsid w:val="61B41E84"/>
    <w:rsid w:val="61CF4D7A"/>
    <w:rsid w:val="621D6EE4"/>
    <w:rsid w:val="62256567"/>
    <w:rsid w:val="6243006B"/>
    <w:rsid w:val="624B4636"/>
    <w:rsid w:val="625247BE"/>
    <w:rsid w:val="627C174A"/>
    <w:rsid w:val="6292525E"/>
    <w:rsid w:val="62CD7249"/>
    <w:rsid w:val="640038EE"/>
    <w:rsid w:val="644B413F"/>
    <w:rsid w:val="64680489"/>
    <w:rsid w:val="64DF582C"/>
    <w:rsid w:val="64EA2CC0"/>
    <w:rsid w:val="654B64F1"/>
    <w:rsid w:val="656D5A41"/>
    <w:rsid w:val="65A83B86"/>
    <w:rsid w:val="662C3C0B"/>
    <w:rsid w:val="6666518A"/>
    <w:rsid w:val="66A36C22"/>
    <w:rsid w:val="6765707C"/>
    <w:rsid w:val="67F95D09"/>
    <w:rsid w:val="68133FA1"/>
    <w:rsid w:val="68853B44"/>
    <w:rsid w:val="68B92688"/>
    <w:rsid w:val="69983BC4"/>
    <w:rsid w:val="69C2222A"/>
    <w:rsid w:val="69DB7ED9"/>
    <w:rsid w:val="6AEA6BF1"/>
    <w:rsid w:val="6AFF61FD"/>
    <w:rsid w:val="6B1322D3"/>
    <w:rsid w:val="6BC54C0A"/>
    <w:rsid w:val="6C187E23"/>
    <w:rsid w:val="6C225202"/>
    <w:rsid w:val="6C331F42"/>
    <w:rsid w:val="6D003FEE"/>
    <w:rsid w:val="6D7F41B1"/>
    <w:rsid w:val="6DA76189"/>
    <w:rsid w:val="6DCC1A87"/>
    <w:rsid w:val="6DEA209F"/>
    <w:rsid w:val="6E371B75"/>
    <w:rsid w:val="6E3D3992"/>
    <w:rsid w:val="6E8F3771"/>
    <w:rsid w:val="6FCF56A0"/>
    <w:rsid w:val="708E3211"/>
    <w:rsid w:val="70A46938"/>
    <w:rsid w:val="70FC66ED"/>
    <w:rsid w:val="713779A1"/>
    <w:rsid w:val="71570483"/>
    <w:rsid w:val="718E5927"/>
    <w:rsid w:val="719B1FB7"/>
    <w:rsid w:val="71EB4281"/>
    <w:rsid w:val="71ED2F81"/>
    <w:rsid w:val="725310CC"/>
    <w:rsid w:val="72827E86"/>
    <w:rsid w:val="72BC4BA5"/>
    <w:rsid w:val="742E153F"/>
    <w:rsid w:val="748B1FFA"/>
    <w:rsid w:val="74F31E31"/>
    <w:rsid w:val="75082170"/>
    <w:rsid w:val="755440B2"/>
    <w:rsid w:val="75BC2C57"/>
    <w:rsid w:val="76173278"/>
    <w:rsid w:val="768E15B5"/>
    <w:rsid w:val="76DA1652"/>
    <w:rsid w:val="76FC7A2C"/>
    <w:rsid w:val="770D75B6"/>
    <w:rsid w:val="77374253"/>
    <w:rsid w:val="776412E5"/>
    <w:rsid w:val="776E4D1A"/>
    <w:rsid w:val="77765373"/>
    <w:rsid w:val="77C720FB"/>
    <w:rsid w:val="78535399"/>
    <w:rsid w:val="78F7773F"/>
    <w:rsid w:val="794F0514"/>
    <w:rsid w:val="79703A50"/>
    <w:rsid w:val="79C40BAA"/>
    <w:rsid w:val="79F54969"/>
    <w:rsid w:val="7A3A3C5D"/>
    <w:rsid w:val="7A4C3D6B"/>
    <w:rsid w:val="7A5423D9"/>
    <w:rsid w:val="7A6A6246"/>
    <w:rsid w:val="7A9343F5"/>
    <w:rsid w:val="7B40242B"/>
    <w:rsid w:val="7B63605C"/>
    <w:rsid w:val="7B7E6E23"/>
    <w:rsid w:val="7B7F0BFB"/>
    <w:rsid w:val="7BA54B1B"/>
    <w:rsid w:val="7BA57168"/>
    <w:rsid w:val="7C314A06"/>
    <w:rsid w:val="7C433F8A"/>
    <w:rsid w:val="7C5B3AC3"/>
    <w:rsid w:val="7C9A726F"/>
    <w:rsid w:val="7CA91E7F"/>
    <w:rsid w:val="7CDF1A1D"/>
    <w:rsid w:val="7D6A2E66"/>
    <w:rsid w:val="7DCC1688"/>
    <w:rsid w:val="7DE36F48"/>
    <w:rsid w:val="7DED0700"/>
    <w:rsid w:val="7E76666C"/>
    <w:rsid w:val="7EC84FDE"/>
    <w:rsid w:val="7F0005FE"/>
    <w:rsid w:val="7F075501"/>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10">
    <w:name w:val="heading 5"/>
    <w:basedOn w:val="1"/>
    <w:next w:val="1"/>
    <w:semiHidden/>
    <w:unhideWhenUsed/>
    <w:qFormat/>
    <w:uiPriority w:val="9"/>
    <w:pPr>
      <w:keepNext/>
      <w:keepLines/>
      <w:spacing w:before="280" w:after="290"/>
      <w:jc w:val="center"/>
      <w:outlineLvl w:val="4"/>
    </w:pPr>
    <w:rPr>
      <w:rFonts w:ascii="Calibri" w:hAnsi="Calibri"/>
      <w:b/>
      <w:bCs/>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8"/>
    <w:semiHidden/>
    <w:unhideWhenUsed/>
    <w:qFormat/>
    <w:uiPriority w:val="99"/>
    <w:pPr>
      <w:adjustRightInd/>
      <w:spacing w:line="240" w:lineRule="auto"/>
      <w:ind w:firstLine="420" w:firstLineChars="200"/>
      <w:jc w:val="both"/>
      <w:textAlignment w:val="auto"/>
    </w:pPr>
    <w:rPr>
      <w:kern w:val="2"/>
      <w:sz w:val="21"/>
      <w:szCs w:val="22"/>
    </w:rPr>
  </w:style>
  <w:style w:type="paragraph" w:styleId="3">
    <w:name w:val="Body Text Indent"/>
    <w:basedOn w:val="1"/>
    <w:next w:val="4"/>
    <w:link w:val="45"/>
    <w:qFormat/>
    <w:uiPriority w:val="0"/>
    <w:pPr>
      <w:adjustRightInd w:val="0"/>
      <w:spacing w:after="120" w:line="360" w:lineRule="atLeast"/>
      <w:ind w:left="420" w:leftChars="200"/>
      <w:jc w:val="left"/>
      <w:textAlignment w:val="baseline"/>
    </w:pPr>
    <w:rPr>
      <w:kern w:val="0"/>
      <w:sz w:val="24"/>
      <w:szCs w:val="20"/>
    </w:rPr>
  </w:style>
  <w:style w:type="paragraph" w:styleId="4">
    <w:name w:val="Normal Indent"/>
    <w:basedOn w:val="1"/>
    <w:next w:val="5"/>
    <w:qFormat/>
    <w:uiPriority w:val="0"/>
    <w:pPr>
      <w:ind w:firstLine="425"/>
    </w:pPr>
    <w:rPr>
      <w:rFonts w:ascii="Times New Roman" w:hAnsi="Times New Roman" w:eastAsia="宋体" w:cs="Times New Roman"/>
      <w:szCs w:val="20"/>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2"/>
    <w:qFormat/>
    <w:uiPriority w:val="0"/>
    <w:rPr>
      <w:rFonts w:ascii="Times New Roman" w:hAnsi="Times New Roman" w:eastAsia="宋体" w:cs="Times New Roman"/>
      <w:color w:val="FF0000"/>
      <w:sz w:val="24"/>
      <w:szCs w:val="24"/>
    </w:rPr>
  </w:style>
  <w:style w:type="paragraph" w:styleId="13">
    <w:name w:val="Body Text"/>
    <w:basedOn w:val="1"/>
    <w:next w:val="14"/>
    <w:link w:val="43"/>
    <w:semiHidden/>
    <w:unhideWhenUsed/>
    <w:qFormat/>
    <w:uiPriority w:val="99"/>
    <w:pPr>
      <w:spacing w:after="120"/>
    </w:pPr>
  </w:style>
  <w:style w:type="paragraph" w:styleId="14">
    <w:name w:val="Body Text First Indent"/>
    <w:basedOn w:val="13"/>
    <w:next w:val="2"/>
    <w:link w:val="54"/>
    <w:qFormat/>
    <w:uiPriority w:val="0"/>
    <w:pPr>
      <w:ind w:firstLine="420" w:firstLineChars="100"/>
    </w:pPr>
    <w:rPr>
      <w:rFonts w:ascii="宋体" w:hAnsi="Times New Roman" w:eastAsia="宋体" w:cs="Times New Roman"/>
      <w:kern w:val="0"/>
      <w:sz w:val="34"/>
      <w:szCs w:val="20"/>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6"/>
    <w:qFormat/>
    <w:uiPriority w:val="0"/>
    <w:rPr>
      <w:rFonts w:eastAsia="宋体"/>
      <w:sz w:val="24"/>
    </w:rPr>
  </w:style>
  <w:style w:type="paragraph" w:styleId="18">
    <w:name w:val="Date"/>
    <w:basedOn w:val="1"/>
    <w:next w:val="1"/>
    <w:link w:val="47"/>
    <w:unhideWhenUsed/>
    <w:qFormat/>
    <w:uiPriority w:val="99"/>
    <w:pPr>
      <w:ind w:left="100" w:leftChars="2500"/>
    </w:pPr>
  </w:style>
  <w:style w:type="paragraph" w:styleId="19">
    <w:name w:val="Balloon Text"/>
    <w:basedOn w:val="1"/>
    <w:link w:val="49"/>
    <w:semiHidden/>
    <w:unhideWhenUsed/>
    <w:qFormat/>
    <w:uiPriority w:val="99"/>
    <w:rPr>
      <w:sz w:val="18"/>
      <w:szCs w:val="18"/>
    </w:rPr>
  </w:style>
  <w:style w:type="paragraph" w:styleId="20">
    <w:name w:val="footer"/>
    <w:basedOn w:val="1"/>
    <w:link w:val="5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unhideWhenUsed/>
    <w:qFormat/>
    <w:uiPriority w:val="0"/>
    <w:rPr>
      <w:color w:val="0000FF"/>
      <w:u w:val="single"/>
    </w:rPr>
  </w:style>
  <w:style w:type="paragraph" w:customStyle="1" w:styleId="33">
    <w:name w:val="List Paragraph1"/>
    <w:basedOn w:val="1"/>
    <w:next w:val="1"/>
    <w:qFormat/>
    <w:uiPriority w:val="0"/>
    <w:pPr>
      <w:ind w:firstLine="420" w:firstLineChars="200"/>
    </w:pPr>
    <w:rPr>
      <w:rFonts w:ascii="Calibri" w:hAnsi="Calibri" w:cs="宋体"/>
    </w:r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列出段落1"/>
    <w:basedOn w:val="1"/>
    <w:qFormat/>
    <w:uiPriority w:val="0"/>
    <w:pPr>
      <w:ind w:firstLine="420" w:firstLineChars="200"/>
    </w:pPr>
  </w:style>
  <w:style w:type="paragraph" w:customStyle="1" w:styleId="37">
    <w:name w:val="*正文"/>
    <w:basedOn w:val="1"/>
    <w:qFormat/>
    <w:uiPriority w:val="0"/>
    <w:pPr>
      <w:keepNext/>
      <w:keepLines/>
      <w:spacing w:line="360" w:lineRule="auto"/>
      <w:ind w:firstLine="200" w:firstLineChars="200"/>
    </w:pPr>
    <w:rPr>
      <w:rFonts w:ascii="宋体" w:hAnsi="宋体"/>
    </w:rPr>
  </w:style>
  <w:style w:type="character" w:customStyle="1" w:styleId="38">
    <w:name w:val="标题 1 Char"/>
    <w:basedOn w:val="29"/>
    <w:link w:val="6"/>
    <w:qFormat/>
    <w:uiPriority w:val="0"/>
    <w:rPr>
      <w:rFonts w:ascii="Calibri" w:hAnsi="Calibri" w:eastAsia="宋体" w:cs="Times New Roman"/>
      <w:b/>
      <w:bCs/>
      <w:kern w:val="44"/>
      <w:sz w:val="44"/>
      <w:szCs w:val="44"/>
    </w:rPr>
  </w:style>
  <w:style w:type="character" w:customStyle="1" w:styleId="39">
    <w:name w:val="标题 2 Char"/>
    <w:basedOn w:val="29"/>
    <w:link w:val="7"/>
    <w:qFormat/>
    <w:uiPriority w:val="0"/>
    <w:rPr>
      <w:rFonts w:ascii="Arial" w:hAnsi="Arial" w:eastAsia="黑体" w:cs="Times New Roman"/>
      <w:b/>
      <w:bCs/>
      <w:kern w:val="0"/>
      <w:sz w:val="32"/>
      <w:szCs w:val="32"/>
    </w:rPr>
  </w:style>
  <w:style w:type="character" w:customStyle="1" w:styleId="40">
    <w:name w:val="标题 3 Char"/>
    <w:basedOn w:val="29"/>
    <w:link w:val="8"/>
    <w:qFormat/>
    <w:uiPriority w:val="0"/>
    <w:rPr>
      <w:rFonts w:ascii="宋体" w:hAnsi="宋体" w:eastAsia="宋体" w:cs="Times New Roman"/>
      <w:b/>
      <w:color w:val="000000"/>
      <w:kern w:val="0"/>
      <w:sz w:val="24"/>
      <w:szCs w:val="20"/>
      <w:lang w:val="en-GB"/>
    </w:rPr>
  </w:style>
  <w:style w:type="character" w:customStyle="1" w:styleId="41">
    <w:name w:val="标题 4 Char"/>
    <w:basedOn w:val="29"/>
    <w:link w:val="9"/>
    <w:qFormat/>
    <w:uiPriority w:val="0"/>
    <w:rPr>
      <w:rFonts w:ascii="Arial" w:hAnsi="Arial" w:eastAsia="黑体" w:cs="Times New Roman"/>
      <w:b/>
      <w:bCs/>
      <w:kern w:val="0"/>
      <w:sz w:val="28"/>
      <w:szCs w:val="28"/>
    </w:rPr>
  </w:style>
  <w:style w:type="character" w:customStyle="1" w:styleId="42">
    <w:name w:val="正文文本 3 Char"/>
    <w:basedOn w:val="29"/>
    <w:link w:val="12"/>
    <w:qFormat/>
    <w:uiPriority w:val="0"/>
    <w:rPr>
      <w:rFonts w:ascii="Times New Roman" w:hAnsi="Times New Roman" w:eastAsia="宋体" w:cs="Times New Roman"/>
      <w:color w:val="FF0000"/>
      <w:sz w:val="24"/>
      <w:szCs w:val="24"/>
    </w:rPr>
  </w:style>
  <w:style w:type="character" w:customStyle="1" w:styleId="43">
    <w:name w:val="正文文本 Char"/>
    <w:basedOn w:val="29"/>
    <w:link w:val="13"/>
    <w:semiHidden/>
    <w:qFormat/>
    <w:uiPriority w:val="99"/>
  </w:style>
  <w:style w:type="character" w:customStyle="1" w:styleId="44">
    <w:name w:val="正文文本缩进 Char"/>
    <w:basedOn w:val="29"/>
    <w:link w:val="3"/>
    <w:qFormat/>
    <w:uiPriority w:val="0"/>
  </w:style>
  <w:style w:type="character" w:customStyle="1" w:styleId="45">
    <w:name w:val="正文文本缩进 Char1"/>
    <w:basedOn w:val="29"/>
    <w:link w:val="3"/>
    <w:qFormat/>
    <w:uiPriority w:val="0"/>
    <w:rPr>
      <w:kern w:val="0"/>
      <w:sz w:val="24"/>
      <w:szCs w:val="20"/>
    </w:rPr>
  </w:style>
  <w:style w:type="character" w:customStyle="1" w:styleId="46">
    <w:name w:val="纯文本 Char"/>
    <w:basedOn w:val="29"/>
    <w:link w:val="17"/>
    <w:qFormat/>
    <w:uiPriority w:val="0"/>
    <w:rPr>
      <w:rFonts w:eastAsia="宋体"/>
      <w:sz w:val="24"/>
    </w:rPr>
  </w:style>
  <w:style w:type="character" w:customStyle="1" w:styleId="47">
    <w:name w:val="日期 Char"/>
    <w:basedOn w:val="29"/>
    <w:link w:val="18"/>
    <w:qFormat/>
    <w:uiPriority w:val="99"/>
  </w:style>
  <w:style w:type="character" w:customStyle="1" w:styleId="48">
    <w:name w:val="批注框文本 Char"/>
    <w:basedOn w:val="29"/>
    <w:link w:val="19"/>
    <w:semiHidden/>
    <w:qFormat/>
    <w:uiPriority w:val="99"/>
    <w:rPr>
      <w:sz w:val="18"/>
      <w:szCs w:val="18"/>
    </w:rPr>
  </w:style>
  <w:style w:type="character" w:customStyle="1" w:styleId="49">
    <w:name w:val="批注框文本 Char1"/>
    <w:basedOn w:val="29"/>
    <w:link w:val="19"/>
    <w:semiHidden/>
    <w:qFormat/>
    <w:uiPriority w:val="99"/>
    <w:rPr>
      <w:sz w:val="18"/>
      <w:szCs w:val="18"/>
    </w:rPr>
  </w:style>
  <w:style w:type="character" w:customStyle="1" w:styleId="50">
    <w:name w:val="页脚 Char"/>
    <w:basedOn w:val="29"/>
    <w:link w:val="20"/>
    <w:qFormat/>
    <w:uiPriority w:val="99"/>
    <w:rPr>
      <w:sz w:val="18"/>
      <w:szCs w:val="18"/>
    </w:rPr>
  </w:style>
  <w:style w:type="character" w:customStyle="1" w:styleId="51">
    <w:name w:val="页眉 Char"/>
    <w:basedOn w:val="29"/>
    <w:link w:val="22"/>
    <w:qFormat/>
    <w:uiPriority w:val="99"/>
    <w:rPr>
      <w:sz w:val="18"/>
      <w:szCs w:val="18"/>
    </w:rPr>
  </w:style>
  <w:style w:type="character" w:customStyle="1" w:styleId="52">
    <w:name w:val="HTML 预设格式 Char"/>
    <w:basedOn w:val="29"/>
    <w:link w:val="25"/>
    <w:semiHidden/>
    <w:qFormat/>
    <w:uiPriority w:val="99"/>
    <w:rPr>
      <w:rFonts w:ascii="宋体" w:hAnsi="宋体" w:eastAsia="宋体" w:cs="宋体"/>
      <w:kern w:val="0"/>
      <w:sz w:val="24"/>
      <w:szCs w:val="24"/>
    </w:rPr>
  </w:style>
  <w:style w:type="character" w:customStyle="1" w:styleId="53">
    <w:name w:val="HTML 预设格式 Char1"/>
    <w:basedOn w:val="29"/>
    <w:link w:val="25"/>
    <w:semiHidden/>
    <w:qFormat/>
    <w:uiPriority w:val="99"/>
    <w:rPr>
      <w:rFonts w:ascii="Courier New" w:hAnsi="Courier New" w:cs="Courier New"/>
      <w:sz w:val="20"/>
      <w:szCs w:val="20"/>
    </w:rPr>
  </w:style>
  <w:style w:type="character" w:customStyle="1" w:styleId="54">
    <w:name w:val="正文首行缩进 Char"/>
    <w:basedOn w:val="43"/>
    <w:link w:val="14"/>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7">
    <w:name w:val="List Paragraph"/>
    <w:basedOn w:val="1"/>
    <w:unhideWhenUsed/>
    <w:qFormat/>
    <w:uiPriority w:val="34"/>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29"/>
    <w:qFormat/>
    <w:uiPriority w:val="0"/>
  </w:style>
  <w:style w:type="paragraph" w:customStyle="1" w:styleId="66">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首行缩进 2 Char"/>
    <w:basedOn w:val="45"/>
    <w:link w:val="2"/>
    <w:semiHidden/>
    <w:qFormat/>
    <w:uiPriority w:val="99"/>
    <w:rPr>
      <w:kern w:val="2"/>
      <w:sz w:val="21"/>
      <w:szCs w:val="22"/>
    </w:rPr>
  </w:style>
  <w:style w:type="character" w:customStyle="1" w:styleId="69">
    <w:name w:val="font01"/>
    <w:basedOn w:val="29"/>
    <w:qFormat/>
    <w:uiPriority w:val="0"/>
    <w:rPr>
      <w:rFonts w:hint="eastAsia" w:ascii="宋体" w:hAnsi="宋体" w:eastAsia="宋体" w:cs="宋体"/>
      <w:color w:val="000000"/>
      <w:sz w:val="22"/>
      <w:szCs w:val="22"/>
      <w:u w:val="none"/>
    </w:rPr>
  </w:style>
  <w:style w:type="character" w:customStyle="1" w:styleId="70">
    <w:name w:val="font31"/>
    <w:basedOn w:val="29"/>
    <w:qFormat/>
    <w:uiPriority w:val="0"/>
    <w:rPr>
      <w:rFonts w:ascii="Calibri" w:hAnsi="Calibri" w:cs="Calibri"/>
      <w:b/>
      <w:color w:val="000000"/>
      <w:sz w:val="18"/>
      <w:szCs w:val="18"/>
      <w:u w:val="none"/>
    </w:rPr>
  </w:style>
  <w:style w:type="character" w:customStyle="1" w:styleId="71">
    <w:name w:val="font121"/>
    <w:basedOn w:val="29"/>
    <w:qFormat/>
    <w:uiPriority w:val="0"/>
    <w:rPr>
      <w:rFonts w:hint="eastAsia" w:ascii="宋体" w:hAnsi="宋体" w:eastAsia="宋体" w:cs="宋体"/>
      <w:color w:val="000000"/>
      <w:sz w:val="18"/>
      <w:szCs w:val="18"/>
      <w:u w:val="none"/>
    </w:rPr>
  </w:style>
  <w:style w:type="character" w:customStyle="1" w:styleId="72">
    <w:name w:val="font91"/>
    <w:basedOn w:val="29"/>
    <w:qFormat/>
    <w:uiPriority w:val="0"/>
    <w:rPr>
      <w:rFonts w:hint="eastAsia" w:ascii="宋体" w:hAnsi="宋体" w:eastAsia="宋体" w:cs="宋体"/>
      <w:color w:val="000000"/>
      <w:sz w:val="18"/>
      <w:szCs w:val="18"/>
      <w:u w:val="none"/>
    </w:rPr>
  </w:style>
  <w:style w:type="character" w:customStyle="1" w:styleId="73">
    <w:name w:val="font112"/>
    <w:basedOn w:val="29"/>
    <w:qFormat/>
    <w:uiPriority w:val="0"/>
    <w:rPr>
      <w:rFonts w:hint="eastAsia" w:ascii="宋体" w:hAnsi="宋体" w:eastAsia="宋体" w:cs="宋体"/>
      <w:color w:val="FF0000"/>
      <w:sz w:val="18"/>
      <w:szCs w:val="18"/>
      <w:u w:val="none"/>
    </w:rPr>
  </w:style>
  <w:style w:type="character" w:customStyle="1" w:styleId="74">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5">
    <w:name w:val="UserStyle_1"/>
    <w:basedOn w:val="74"/>
    <w:qFormat/>
    <w:uiPriority w:val="0"/>
    <w:rPr>
      <w:rFonts w:ascii="宋体" w:hAnsi="宋体" w:eastAsia="宋体"/>
      <w:color w:val="000000"/>
      <w:sz w:val="24"/>
      <w:szCs w:val="24"/>
    </w:rPr>
  </w:style>
  <w:style w:type="character" w:customStyle="1" w:styleId="76">
    <w:name w:val="UserStyle_0"/>
    <w:basedOn w:val="74"/>
    <w:qFormat/>
    <w:uiPriority w:val="0"/>
    <w:rPr>
      <w:rFonts w:ascii="MS Gothic" w:hAnsi="MS Gothic" w:eastAsia="MS Gothic"/>
      <w:color w:val="000000"/>
      <w:sz w:val="24"/>
      <w:szCs w:val="24"/>
    </w:rPr>
  </w:style>
  <w:style w:type="paragraph" w:customStyle="1" w:styleId="77">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8">
    <w:name w:val="p0"/>
    <w:basedOn w:val="1"/>
    <w:qFormat/>
    <w:uiPriority w:val="0"/>
    <w:pPr>
      <w:widowControl/>
    </w:pPr>
    <w:rPr>
      <w:rFonts w:ascii="Times New Roman" w:hAnsi="Times New Roman" w:eastAsia="宋体" w:cs="Times New Roman"/>
      <w:kern w:val="0"/>
      <w:szCs w:val="21"/>
    </w:rPr>
  </w:style>
  <w:style w:type="paragraph" w:customStyle="1" w:styleId="79">
    <w:name w:val="179"/>
    <w:basedOn w:val="1"/>
    <w:qFormat/>
    <w:uiPriority w:val="0"/>
    <w:pPr>
      <w:ind w:firstLine="420" w:firstLineChars="200"/>
    </w:pPr>
    <w:rPr>
      <w:rFonts w:ascii="Calibri" w:hAnsi="Calibri" w:eastAsia="宋体" w:cs="Times New Roman"/>
    </w:rPr>
  </w:style>
  <w:style w:type="character" w:customStyle="1" w:styleId="80">
    <w:name w:val="font51"/>
    <w:basedOn w:val="29"/>
    <w:qFormat/>
    <w:uiPriority w:val="0"/>
    <w:rPr>
      <w:rFonts w:hint="eastAsia" w:ascii="宋体" w:hAnsi="宋体" w:eastAsia="宋体" w:cs="宋体"/>
      <w:color w:val="000000"/>
      <w:sz w:val="18"/>
      <w:szCs w:val="18"/>
      <w:u w:val="none"/>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784E3-8471-4A88-856B-70894EBDB99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34415</Words>
  <Characters>36544</Characters>
  <Lines>275</Lines>
  <Paragraphs>77</Paragraphs>
  <TotalTime>0</TotalTime>
  <ScaleCrop>false</ScaleCrop>
  <LinksUpToDate>false</LinksUpToDate>
  <CharactersWithSpaces>37497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河南省科信建设咨询有限公司:河南省科信建设咨询有限公司</cp:lastModifiedBy>
  <cp:lastPrinted>2023-02-03T02:25:00Z</cp:lastPrinted>
  <dcterms:modified xsi:type="dcterms:W3CDTF">2023-08-07T00:18:29Z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051091EB99A4474ABD99145219203627</vt:lpwstr>
  </property>
</Properties>
</file>