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YZCG-DLG2023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 xml:space="preserve">074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禹州市环境卫生服务中心中转站压缩设备及环卫</w:t>
      </w:r>
    </w:p>
    <w:p>
      <w:pPr>
        <w:pStyle w:val="10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专用车辆项目</w:t>
      </w:r>
    </w:p>
    <w:p>
      <w:pPr>
        <w:pStyle w:val="10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招标公告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禹州市环境卫生服务中心中转站压缩设备及环卫专用车辆项目</w:t>
      </w:r>
      <w:r>
        <w:rPr>
          <w:rFonts w:hint="eastAsia" w:hAnsi="宋体"/>
          <w:color w:val="auto"/>
          <w:szCs w:val="21"/>
        </w:rPr>
        <w:t>招标项目的潜在投标人应在投标截止时间前登录《全国公共资源交易平台（河南省·许昌市）》“投标人/供应商登录”入口（http://ggzy.xuchang.gov.cn:8088/ggzy/）自行免费下载获取招标文件，并于</w:t>
      </w:r>
      <w:r>
        <w:rPr>
          <w:rFonts w:hint="eastAsia" w:hAnsi="宋体"/>
          <w:color w:val="auto"/>
          <w:szCs w:val="21"/>
        </w:rPr>
        <w:t>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22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分（北京时间）前递交投标文件。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1.项目编号：YZC</w:t>
      </w:r>
      <w:r>
        <w:rPr>
          <w:rFonts w:hint="eastAsia" w:hAnsi="宋体"/>
          <w:color w:val="auto"/>
          <w:szCs w:val="21"/>
        </w:rPr>
        <w:t>G-DLG2023</w:t>
      </w:r>
      <w:r>
        <w:rPr>
          <w:rFonts w:hint="eastAsia" w:hAnsi="宋体"/>
          <w:color w:val="auto"/>
          <w:szCs w:val="21"/>
          <w:lang w:val="en-US" w:eastAsia="zh-CN"/>
        </w:rPr>
        <w:t xml:space="preserve">074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禹州市环境卫生服务中心中转站压缩设备及环卫专用车辆项目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3.采购方式：公开招标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</w:rPr>
        <w:t>658</w:t>
      </w:r>
      <w:r>
        <w:rPr>
          <w:rFonts w:hint="eastAsia" w:hAnsi="宋体"/>
          <w:color w:val="auto"/>
          <w:szCs w:val="21"/>
          <w:lang w:val="en-US" w:eastAsia="zh-CN"/>
        </w:rPr>
        <w:t>0000</w:t>
      </w:r>
      <w:r>
        <w:rPr>
          <w:rFonts w:hint="eastAsia" w:hAnsi="宋体"/>
          <w:color w:val="auto"/>
          <w:szCs w:val="21"/>
        </w:rPr>
        <w:t>.00</w:t>
      </w:r>
      <w:r>
        <w:rPr>
          <w:rFonts w:hint="eastAsia" w:ascii="宋体" w:hAnsi="宋体" w:eastAsia="宋体" w:cs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</w:rPr>
        <w:t>658</w:t>
      </w:r>
      <w:r>
        <w:rPr>
          <w:rFonts w:hint="eastAsia" w:hAnsi="宋体"/>
          <w:color w:val="auto"/>
          <w:szCs w:val="21"/>
          <w:lang w:val="en-US" w:eastAsia="zh-CN"/>
        </w:rPr>
        <w:t>0000</w:t>
      </w:r>
      <w:r>
        <w:rPr>
          <w:rFonts w:hint="eastAsia" w:hAnsi="宋体"/>
          <w:color w:val="auto"/>
          <w:szCs w:val="21"/>
        </w:rPr>
        <w:t>.00</w:t>
      </w:r>
      <w:r>
        <w:rPr>
          <w:rFonts w:hint="eastAsia" w:ascii="宋体" w:hAnsi="宋体" w:eastAsia="宋体" w:cs="宋体"/>
          <w:color w:val="auto"/>
          <w:szCs w:val="21"/>
        </w:rPr>
        <w:t xml:space="preserve">元 </w:t>
      </w:r>
    </w:p>
    <w:tbl>
      <w:tblPr>
        <w:tblStyle w:val="1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</w:t>
            </w:r>
            <w:r>
              <w:rPr>
                <w:rFonts w:hint="eastAsia" w:hAnsi="宋体"/>
                <w:color w:val="auto"/>
                <w:szCs w:val="21"/>
              </w:rPr>
              <w:t>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074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30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禹州市环境卫生服务中心中转站压缩设备及环卫专用车辆项目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658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0000</w:t>
            </w:r>
            <w:r>
              <w:rPr>
                <w:rFonts w:hint="eastAsia" w:hAnsi="宋体"/>
                <w:color w:val="auto"/>
                <w:szCs w:val="21"/>
              </w:rPr>
              <w:t>.00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658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0000</w:t>
            </w:r>
            <w:r>
              <w:rPr>
                <w:rFonts w:hint="eastAsia" w:hAnsi="宋体"/>
                <w:color w:val="auto"/>
                <w:szCs w:val="21"/>
              </w:rPr>
              <w:t>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禹州市环境卫生服务中心中转站压缩设备及环卫专用车辆项目</w:t>
      </w:r>
      <w:r>
        <w:rPr>
          <w:rFonts w:hint="eastAsia" w:hAnsi="宋体"/>
          <w:color w:val="auto"/>
          <w:szCs w:val="21"/>
          <w:lang w:eastAsia="zh-CN"/>
        </w:rPr>
        <w:t>，采购</w:t>
      </w:r>
      <w:r>
        <w:rPr>
          <w:rFonts w:hint="eastAsia" w:hAnsi="宋体"/>
          <w:color w:val="auto"/>
          <w:szCs w:val="21"/>
          <w:lang w:eastAsia="zh-CN"/>
        </w:rPr>
        <w:t>压缩设备6套、环卫专用车辆12台，实现垃圾密</w:t>
      </w:r>
      <w:r>
        <w:rPr>
          <w:rFonts w:hint="eastAsia" w:hAnsi="宋体"/>
          <w:color w:val="auto"/>
          <w:szCs w:val="21"/>
          <w:lang w:eastAsia="zh-CN"/>
        </w:rPr>
        <w:t>闭清运，道路清扫保洁及道路扬尘治理</w:t>
      </w:r>
      <w:r>
        <w:rPr>
          <w:rFonts w:hint="eastAsia" w:hAnsi="宋体"/>
          <w:color w:val="auto"/>
          <w:szCs w:val="21"/>
        </w:rPr>
        <w:t>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hAnsi="宋体"/>
          <w:color w:val="auto"/>
          <w:szCs w:val="21"/>
          <w:lang w:eastAsia="zh-CN"/>
        </w:rPr>
        <w:t>自合</w:t>
      </w:r>
      <w:r>
        <w:rPr>
          <w:rFonts w:hint="eastAsia" w:hAnsi="宋体"/>
          <w:color w:val="auto"/>
          <w:szCs w:val="21"/>
          <w:lang w:eastAsia="zh-CN"/>
        </w:rPr>
        <w:t>同签订之日起</w:t>
      </w:r>
      <w:r>
        <w:rPr>
          <w:rFonts w:hint="eastAsia" w:hAnsi="宋体"/>
          <w:color w:val="auto"/>
          <w:szCs w:val="21"/>
          <w:lang w:val="en-US" w:eastAsia="zh-CN"/>
        </w:rPr>
        <w:t>30个工作日。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9.是否专门面向中小企业：否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auto"/>
          <w:szCs w:val="21"/>
        </w:rPr>
        <w:t>供应商须具有履行合同所必需的设备和专业技术能力。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三、获取招标文件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</w:t>
      </w:r>
      <w:r>
        <w:rPr>
          <w:rFonts w:hint="eastAsia" w:hAnsi="宋体"/>
          <w:color w:val="auto"/>
          <w:szCs w:val="21"/>
        </w:rPr>
        <w:t>：2023年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01 </w:t>
      </w:r>
      <w:r>
        <w:rPr>
          <w:rFonts w:hint="eastAsia" w:hAnsi="宋体"/>
          <w:color w:val="auto"/>
          <w:szCs w:val="21"/>
        </w:rPr>
        <w:t>日 至 2023年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22 </w:t>
      </w:r>
      <w:r>
        <w:rPr>
          <w:rFonts w:hint="eastAsia" w:hAnsi="宋体"/>
          <w:color w:val="auto"/>
          <w:szCs w:val="21"/>
        </w:rPr>
        <w:t>日，每</w:t>
      </w:r>
      <w:r>
        <w:rPr>
          <w:rFonts w:hint="eastAsia" w:hAnsi="宋体"/>
          <w:color w:val="auto"/>
          <w:szCs w:val="21"/>
        </w:rPr>
        <w:t>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2.地点：投标截止时间前登录《全国公共资源交易平台（河南省·许昌市）》“投标人/供应商登录”入口（http://ggzy.xuchang.gov.cn:8088/ggzy/）自行免费下载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四、投标截止时间及地点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22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 30分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2.地点：本项目采用网上投标，请符合投标条件的投标人使用CA数字证书加密上传投标文件。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五、开标时间及地点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2023年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22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08 </w:t>
      </w:r>
      <w:r>
        <w:rPr>
          <w:rFonts w:hint="eastAsia" w:hAnsi="宋体"/>
          <w:color w:val="auto"/>
          <w:szCs w:val="21"/>
        </w:rPr>
        <w:t>时 30分</w:t>
      </w:r>
      <w:r>
        <w:rPr>
          <w:rFonts w:hint="eastAsia" w:hAnsi="宋体"/>
          <w:color w:val="auto"/>
          <w:szCs w:val="21"/>
        </w:rPr>
        <w:t>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投标人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招标公告期限为五个工作日。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电话：0374-8112523</w:t>
      </w: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    项目编号以本招标文件中的采购编号为准，采</w:t>
      </w:r>
      <w:r>
        <w:rPr>
          <w:rFonts w:hint="eastAsia" w:hAnsi="宋体"/>
          <w:color w:val="auto"/>
          <w:szCs w:val="21"/>
          <w:lang w:val="en-US" w:eastAsia="zh-CN"/>
        </w:rPr>
        <w:t>购编号：YZCG-DLG2023074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名称：禹州市环境卫生服务中心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地址：禹州市钧官窑路185号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联系人：赵先生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联系电话：13782221972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 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33143ed-6081-415f-9fe1-3719b1bf9f48"/>
  </w:docVars>
  <w:rsids>
    <w:rsidRoot w:val="6FC14EB8"/>
    <w:rsid w:val="00054361"/>
    <w:rsid w:val="00083856"/>
    <w:rsid w:val="0008589B"/>
    <w:rsid w:val="0011206B"/>
    <w:rsid w:val="00126491"/>
    <w:rsid w:val="00220730"/>
    <w:rsid w:val="00236772"/>
    <w:rsid w:val="00257F88"/>
    <w:rsid w:val="002F0651"/>
    <w:rsid w:val="00384296"/>
    <w:rsid w:val="003F06D3"/>
    <w:rsid w:val="004476DE"/>
    <w:rsid w:val="00467DCE"/>
    <w:rsid w:val="004E505B"/>
    <w:rsid w:val="0054418D"/>
    <w:rsid w:val="00563163"/>
    <w:rsid w:val="005A25DB"/>
    <w:rsid w:val="00626402"/>
    <w:rsid w:val="00793998"/>
    <w:rsid w:val="007E6974"/>
    <w:rsid w:val="00910BB9"/>
    <w:rsid w:val="00925F25"/>
    <w:rsid w:val="0094246D"/>
    <w:rsid w:val="009C5C6A"/>
    <w:rsid w:val="00AE74DF"/>
    <w:rsid w:val="00B81C02"/>
    <w:rsid w:val="00B820CC"/>
    <w:rsid w:val="00BC0966"/>
    <w:rsid w:val="00C52FED"/>
    <w:rsid w:val="00DA5194"/>
    <w:rsid w:val="00ED081B"/>
    <w:rsid w:val="00EE7581"/>
    <w:rsid w:val="00F06421"/>
    <w:rsid w:val="00F23EE8"/>
    <w:rsid w:val="00F51B45"/>
    <w:rsid w:val="00F62936"/>
    <w:rsid w:val="013B57C8"/>
    <w:rsid w:val="025D7B9F"/>
    <w:rsid w:val="02661F84"/>
    <w:rsid w:val="029C7664"/>
    <w:rsid w:val="042661BD"/>
    <w:rsid w:val="05191440"/>
    <w:rsid w:val="07A37A40"/>
    <w:rsid w:val="093E0C81"/>
    <w:rsid w:val="09D973F0"/>
    <w:rsid w:val="0B293A5F"/>
    <w:rsid w:val="0D63594E"/>
    <w:rsid w:val="0DC02A29"/>
    <w:rsid w:val="0DEA35D7"/>
    <w:rsid w:val="117B6FDE"/>
    <w:rsid w:val="119E0EEA"/>
    <w:rsid w:val="130628D8"/>
    <w:rsid w:val="14D33543"/>
    <w:rsid w:val="17086943"/>
    <w:rsid w:val="18116993"/>
    <w:rsid w:val="1AC272B5"/>
    <w:rsid w:val="1B59200F"/>
    <w:rsid w:val="1BA77F35"/>
    <w:rsid w:val="1DDE692B"/>
    <w:rsid w:val="1E3417FF"/>
    <w:rsid w:val="1F221CF8"/>
    <w:rsid w:val="1F914E56"/>
    <w:rsid w:val="20472039"/>
    <w:rsid w:val="21C019ED"/>
    <w:rsid w:val="22520A20"/>
    <w:rsid w:val="23F748C5"/>
    <w:rsid w:val="242F6132"/>
    <w:rsid w:val="24F47F9A"/>
    <w:rsid w:val="250126A8"/>
    <w:rsid w:val="25112BAA"/>
    <w:rsid w:val="25581738"/>
    <w:rsid w:val="25D64C34"/>
    <w:rsid w:val="27604658"/>
    <w:rsid w:val="288B5901"/>
    <w:rsid w:val="2E4A497A"/>
    <w:rsid w:val="2ECD538A"/>
    <w:rsid w:val="301F2D1D"/>
    <w:rsid w:val="306000B1"/>
    <w:rsid w:val="317672F1"/>
    <w:rsid w:val="341140DB"/>
    <w:rsid w:val="34E26A56"/>
    <w:rsid w:val="37C340EC"/>
    <w:rsid w:val="399F0DA8"/>
    <w:rsid w:val="3ADB3ABB"/>
    <w:rsid w:val="3DEE4511"/>
    <w:rsid w:val="3F075C81"/>
    <w:rsid w:val="40C83FF8"/>
    <w:rsid w:val="411C0608"/>
    <w:rsid w:val="422F3761"/>
    <w:rsid w:val="42A86A4F"/>
    <w:rsid w:val="48406524"/>
    <w:rsid w:val="49EF3AEA"/>
    <w:rsid w:val="4C3F23DE"/>
    <w:rsid w:val="4D8A7F66"/>
    <w:rsid w:val="4E3D322C"/>
    <w:rsid w:val="4E4F5496"/>
    <w:rsid w:val="500A3C2D"/>
    <w:rsid w:val="51C961B3"/>
    <w:rsid w:val="52794B8E"/>
    <w:rsid w:val="52876E7A"/>
    <w:rsid w:val="58C44394"/>
    <w:rsid w:val="58E82C2D"/>
    <w:rsid w:val="59CB4969"/>
    <w:rsid w:val="59D23357"/>
    <w:rsid w:val="5ABA3984"/>
    <w:rsid w:val="5B245E69"/>
    <w:rsid w:val="5DA24229"/>
    <w:rsid w:val="64145F33"/>
    <w:rsid w:val="66AE6E64"/>
    <w:rsid w:val="67391B54"/>
    <w:rsid w:val="684F3C7A"/>
    <w:rsid w:val="68A847B6"/>
    <w:rsid w:val="69AC398E"/>
    <w:rsid w:val="6BCE14C4"/>
    <w:rsid w:val="6CAF38B6"/>
    <w:rsid w:val="6FC14EB8"/>
    <w:rsid w:val="6FEA072C"/>
    <w:rsid w:val="725F6F08"/>
    <w:rsid w:val="73025D8D"/>
    <w:rsid w:val="738022BD"/>
    <w:rsid w:val="73891774"/>
    <w:rsid w:val="743E2807"/>
    <w:rsid w:val="74432700"/>
    <w:rsid w:val="77040D55"/>
    <w:rsid w:val="78053506"/>
    <w:rsid w:val="78983B8D"/>
    <w:rsid w:val="7BE261CB"/>
    <w:rsid w:val="7CD66B2B"/>
    <w:rsid w:val="7D133F23"/>
    <w:rsid w:val="7E9F4AAE"/>
    <w:rsid w:val="7ECD7F51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icon_gys"/>
    <w:basedOn w:val="14"/>
    <w:qFormat/>
    <w:uiPriority w:val="0"/>
    <w:rPr>
      <w:sz w:val="21"/>
      <w:szCs w:val="21"/>
    </w:rPr>
  </w:style>
  <w:style w:type="character" w:customStyle="1" w:styleId="19">
    <w:name w:val="xiadan"/>
    <w:basedOn w:val="14"/>
    <w:qFormat/>
    <w:uiPriority w:val="0"/>
    <w:rPr>
      <w:shd w:val="clear" w:color="auto" w:fill="E4393C"/>
    </w:rPr>
  </w:style>
  <w:style w:type="character" w:customStyle="1" w:styleId="20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21">
    <w:name w:val="first-child2"/>
    <w:basedOn w:val="14"/>
    <w:qFormat/>
    <w:uiPriority w:val="0"/>
    <w:rPr>
      <w:color w:val="1F3149"/>
      <w:sz w:val="24"/>
      <w:szCs w:val="24"/>
    </w:rPr>
  </w:style>
  <w:style w:type="character" w:customStyle="1" w:styleId="22">
    <w:name w:val="fr"/>
    <w:basedOn w:val="14"/>
    <w:qFormat/>
    <w:uiPriority w:val="0"/>
  </w:style>
  <w:style w:type="character" w:customStyle="1" w:styleId="23">
    <w:name w:val="icon_ds"/>
    <w:basedOn w:val="14"/>
    <w:qFormat/>
    <w:uiPriority w:val="0"/>
  </w:style>
  <w:style w:type="character" w:customStyle="1" w:styleId="24">
    <w:name w:val="icon_ds1"/>
    <w:basedOn w:val="14"/>
    <w:qFormat/>
    <w:uiPriority w:val="0"/>
    <w:rPr>
      <w:sz w:val="21"/>
      <w:szCs w:val="21"/>
    </w:rPr>
  </w:style>
  <w:style w:type="character" w:customStyle="1" w:styleId="25">
    <w:name w:val="first-child"/>
    <w:basedOn w:val="14"/>
    <w:qFormat/>
    <w:uiPriority w:val="0"/>
    <w:rPr>
      <w:color w:val="1F3149"/>
      <w:sz w:val="24"/>
      <w:szCs w:val="24"/>
    </w:rPr>
  </w:style>
  <w:style w:type="character" w:customStyle="1" w:styleId="26">
    <w:name w:val="hover18"/>
    <w:basedOn w:val="14"/>
    <w:qFormat/>
    <w:uiPriority w:val="0"/>
  </w:style>
  <w:style w:type="character" w:customStyle="1" w:styleId="27">
    <w:name w:val="hover17"/>
    <w:basedOn w:val="14"/>
    <w:qFormat/>
    <w:uiPriority w:val="0"/>
  </w:style>
  <w:style w:type="character" w:customStyle="1" w:styleId="28">
    <w:name w:val="hover"/>
    <w:basedOn w:val="14"/>
    <w:qFormat/>
    <w:uiPriority w:val="0"/>
  </w:style>
  <w:style w:type="character" w:customStyle="1" w:styleId="29">
    <w:name w:val="hover16"/>
    <w:basedOn w:val="14"/>
    <w:qFormat/>
    <w:uiPriority w:val="0"/>
  </w:style>
  <w:style w:type="character" w:customStyle="1" w:styleId="30">
    <w:name w:val="hover15"/>
    <w:basedOn w:val="14"/>
    <w:qFormat/>
    <w:uiPriority w:val="0"/>
  </w:style>
  <w:style w:type="character" w:customStyle="1" w:styleId="31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33">
    <w:name w:val="red2"/>
    <w:basedOn w:val="14"/>
    <w:qFormat/>
    <w:uiPriority w:val="0"/>
    <w:rPr>
      <w:color w:val="CC0000"/>
    </w:rPr>
  </w:style>
  <w:style w:type="character" w:customStyle="1" w:styleId="34">
    <w:name w:val="red3"/>
    <w:basedOn w:val="14"/>
    <w:qFormat/>
    <w:uiPriority w:val="0"/>
    <w:rPr>
      <w:color w:val="FF0000"/>
    </w:rPr>
  </w:style>
  <w:style w:type="character" w:customStyle="1" w:styleId="35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4"/>
    <w:qFormat/>
    <w:uiPriority w:val="0"/>
  </w:style>
  <w:style w:type="character" w:customStyle="1" w:styleId="38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9">
    <w:name w:val="hover25"/>
    <w:basedOn w:val="14"/>
    <w:qFormat/>
    <w:uiPriority w:val="0"/>
  </w:style>
  <w:style w:type="character" w:customStyle="1" w:styleId="40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41">
    <w:name w:val="active4"/>
    <w:basedOn w:val="14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1252</Words>
  <Characters>1575</Characters>
  <Lines>12</Lines>
  <Paragraphs>3</Paragraphs>
  <TotalTime>4</TotalTime>
  <ScaleCrop>false</ScaleCrop>
  <LinksUpToDate>false</LinksUpToDate>
  <CharactersWithSpaces>1602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2022-02-09T01:34:00Z</cp:lastPrinted>
  <dcterms:modified xsi:type="dcterms:W3CDTF">2023-08-01T02:12:00Z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