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禹州市教育体育局</w:t>
      </w:r>
    </w:p>
    <w:p>
      <w:pPr>
        <w:spacing w:line="600" w:lineRule="exact"/>
        <w:jc w:val="center"/>
        <w:rPr>
          <w:rFonts w:hint="eastAsia" w:ascii="黑体" w:hAnsi="黑体" w:eastAsia="黑体" w:cs="黑体"/>
          <w:b/>
          <w:bCs/>
          <w:sz w:val="36"/>
          <w:szCs w:val="36"/>
        </w:rPr>
      </w:pPr>
      <w:r>
        <w:rPr>
          <w:rFonts w:hint="eastAsia" w:ascii="微软雅黑" w:hAnsi="微软雅黑" w:eastAsia="微软雅黑" w:cs="微软雅黑"/>
          <w:b/>
          <w:bCs/>
          <w:sz w:val="44"/>
          <w:szCs w:val="44"/>
          <w:lang w:eastAsia="zh-CN"/>
        </w:rPr>
        <w:t>班班通及计算机等</w:t>
      </w:r>
      <w:r>
        <w:rPr>
          <w:rFonts w:hint="eastAsia" w:ascii="微软雅黑" w:hAnsi="微软雅黑" w:eastAsia="微软雅黑" w:cs="微软雅黑"/>
          <w:b/>
          <w:bCs/>
          <w:sz w:val="44"/>
          <w:szCs w:val="44"/>
        </w:rPr>
        <w:t>采购项目</w:t>
      </w:r>
    </w:p>
    <w:p>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(不见面开标)</w:t>
      </w:r>
    </w:p>
    <w:p>
      <w:pPr>
        <w:jc w:val="center"/>
        <w:rPr>
          <w:rFonts w:asciiTheme="majorEastAsia" w:hAnsiTheme="majorEastAsia" w:eastAsiaTheme="majorEastAsia" w:cstheme="majorEastAsia"/>
          <w:b/>
          <w:bCs/>
          <w:sz w:val="44"/>
          <w:szCs w:val="44"/>
        </w:rPr>
      </w:pP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
          <w:bCs/>
          <w:w w:val="90"/>
          <w:sz w:val="72"/>
          <w:szCs w:val="72"/>
        </w:rPr>
      </w:pPr>
      <w:r>
        <w:rPr>
          <w:rFonts w:hint="eastAsia" w:asciiTheme="majorEastAsia" w:hAnsiTheme="majorEastAsia" w:eastAsiaTheme="majorEastAsia" w:cstheme="majorEastAsia"/>
          <w:b/>
          <w:bCs/>
          <w:w w:val="90"/>
          <w:sz w:val="72"/>
          <w:szCs w:val="72"/>
        </w:rPr>
        <w:t>竞争性磋商文件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采购编号：YZCG-C202</w:t>
      </w:r>
      <w:r>
        <w:rPr>
          <w:rFonts w:hint="eastAsia" w:asciiTheme="majorEastAsia" w:hAnsiTheme="majorEastAsia" w:eastAsiaTheme="majorEastAsia" w:cstheme="majorEastAsia"/>
          <w:b/>
          <w:bCs/>
          <w:sz w:val="36"/>
          <w:szCs w:val="36"/>
          <w:lang w:val="en-US" w:eastAsia="zh-CN"/>
        </w:rPr>
        <w:t>3</w:t>
      </w:r>
      <w:r>
        <w:rPr>
          <w:rFonts w:hint="eastAsia" w:asciiTheme="majorEastAsia" w:hAnsiTheme="majorEastAsia" w:eastAsiaTheme="majorEastAsia" w:cstheme="majorEastAsia"/>
          <w:b/>
          <w:bCs/>
          <w:sz w:val="36"/>
          <w:szCs w:val="36"/>
        </w:rPr>
        <w:t>0</w:t>
      </w:r>
      <w:r>
        <w:rPr>
          <w:rFonts w:hint="eastAsia" w:asciiTheme="majorEastAsia" w:hAnsiTheme="majorEastAsia" w:eastAsiaTheme="majorEastAsia" w:cstheme="majorEastAsia"/>
          <w:b/>
          <w:bCs/>
          <w:sz w:val="36"/>
          <w:szCs w:val="36"/>
          <w:lang w:val="en-US" w:eastAsia="zh-CN"/>
        </w:rPr>
        <w:t>29</w:t>
      </w:r>
      <w:r>
        <w:rPr>
          <w:rFonts w:asciiTheme="majorEastAsia" w:hAnsiTheme="majorEastAsia" w:eastAsiaTheme="majorEastAsia" w:cstheme="majorEastAsia"/>
          <w:b/>
          <w:bCs/>
          <w:sz w:val="36"/>
          <w:szCs w:val="36"/>
        </w:rPr>
        <w:t xml:space="preserve"> </w:t>
      </w:r>
    </w:p>
    <w:p>
      <w:pPr>
        <w:ind w:firstLine="1066" w:firstLineChars="295"/>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  禹州市</w:t>
      </w:r>
      <w:r>
        <w:rPr>
          <w:rFonts w:hint="eastAsia" w:asciiTheme="majorEastAsia" w:hAnsiTheme="majorEastAsia" w:eastAsiaTheme="majorEastAsia" w:cstheme="majorEastAsia"/>
          <w:b/>
          <w:bCs/>
          <w:sz w:val="36"/>
          <w:szCs w:val="36"/>
          <w:lang w:val="en-US" w:eastAsia="zh-CN"/>
        </w:rPr>
        <w:t>教育体育局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三</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七</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jc w:val="center"/>
        <w:rPr>
          <w:rFonts w:cs="宋体" w:asciiTheme="majorEastAsia" w:hAnsiTheme="majorEastAsia" w:eastAsiaTheme="majorEastAsia"/>
          <w:b/>
          <w:kern w:val="0"/>
          <w:sz w:val="44"/>
          <w:szCs w:val="44"/>
        </w:rPr>
      </w:pPr>
    </w:p>
    <w:p>
      <w:pPr>
        <w:autoSpaceDE w:val="0"/>
        <w:autoSpaceDN w:val="0"/>
        <w:adjustRightInd w:val="0"/>
        <w:spacing w:line="700" w:lineRule="exact"/>
        <w:jc w:val="center"/>
        <w:rPr>
          <w:rFonts w:cs="宋体" w:asciiTheme="majorEastAsia" w:hAnsiTheme="majorEastAsia" w:eastAsiaTheme="majorEastAsia"/>
          <w:b/>
          <w:kern w:val="0"/>
          <w:sz w:val="44"/>
          <w:szCs w:val="44"/>
        </w:rPr>
      </w:pPr>
    </w:p>
    <w:p>
      <w:pPr>
        <w:autoSpaceDE w:val="0"/>
        <w:autoSpaceDN w:val="0"/>
        <w:adjustRightInd w:val="0"/>
        <w:spacing w:line="700" w:lineRule="exact"/>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磋商邀请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二、磋商文件说明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五、磋商和评审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numPr>
          <w:ilvl w:val="0"/>
          <w:numId w:val="2"/>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磋商邀请</w:t>
      </w:r>
    </w:p>
    <w:p>
      <w:pPr>
        <w:spacing w:line="60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禹州市政府采购中心受禹州市</w:t>
      </w:r>
      <w:r>
        <w:rPr>
          <w:rFonts w:hint="eastAsia" w:asciiTheme="majorEastAsia" w:hAnsiTheme="majorEastAsia" w:eastAsiaTheme="majorEastAsia" w:cstheme="majorEastAsia"/>
          <w:szCs w:val="21"/>
          <w:lang w:val="en-US" w:eastAsia="zh-CN"/>
        </w:rPr>
        <w:t>教育体育局</w:t>
      </w:r>
      <w:r>
        <w:rPr>
          <w:rFonts w:hint="eastAsia" w:asciiTheme="majorEastAsia" w:hAnsiTheme="majorEastAsia" w:eastAsiaTheme="majorEastAsia" w:cstheme="majorEastAsia"/>
          <w:szCs w:val="21"/>
        </w:rPr>
        <w:t>的委托，就“ 禹州市教育体育局</w:t>
      </w:r>
      <w:r>
        <w:rPr>
          <w:rFonts w:hint="eastAsia" w:asciiTheme="majorEastAsia" w:hAnsiTheme="majorEastAsia" w:eastAsiaTheme="majorEastAsia" w:cstheme="majorEastAsia"/>
          <w:szCs w:val="21"/>
          <w:lang w:eastAsia="zh-CN"/>
        </w:rPr>
        <w:t>班班通及计算机等</w:t>
      </w:r>
      <w:r>
        <w:rPr>
          <w:rFonts w:hint="eastAsia" w:asciiTheme="majorEastAsia" w:hAnsiTheme="majorEastAsia" w:eastAsiaTheme="majorEastAsia" w:cstheme="majorEastAsia"/>
          <w:szCs w:val="21"/>
        </w:rPr>
        <w:t>采购项目</w:t>
      </w:r>
      <w:r>
        <w:rPr>
          <w:rFonts w:hint="eastAsia" w:asciiTheme="majorEastAsia" w:hAnsiTheme="majorEastAsia" w:eastAsiaTheme="majorEastAsia" w:cstheme="majorEastAsia"/>
          <w:szCs w:val="21"/>
          <w:lang w:val="zh-CN"/>
        </w:rPr>
        <w:t>（不见面开标）</w:t>
      </w:r>
      <w:r>
        <w:rPr>
          <w:rFonts w:hint="eastAsia" w:asciiTheme="majorEastAsia" w:hAnsiTheme="majorEastAsia" w:eastAsiaTheme="majorEastAsia" w:cstheme="majorEastAsia"/>
          <w:szCs w:val="21"/>
        </w:rPr>
        <w:t>”进行竞争性磋商采购，欢迎合格的投标人前来投标。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13" w:firstLineChars="196"/>
        <w:jc w:val="left"/>
        <w:textAlignment w:val="auto"/>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一、项目基本情况</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1、采购人：禹州市</w:t>
      </w:r>
      <w:r>
        <w:rPr>
          <w:rFonts w:hint="eastAsia" w:asciiTheme="majorEastAsia" w:hAnsiTheme="majorEastAsia" w:eastAsiaTheme="majorEastAsia" w:cstheme="majorEastAsia"/>
          <w:szCs w:val="21"/>
          <w:lang w:val="en-US" w:eastAsia="zh-CN"/>
        </w:rPr>
        <w:t>教育体育局</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2、项目名称</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 xml:space="preserve">  禹州市教育体育局</w:t>
      </w:r>
      <w:r>
        <w:rPr>
          <w:rFonts w:hint="eastAsia" w:asciiTheme="majorEastAsia" w:hAnsiTheme="majorEastAsia" w:eastAsiaTheme="majorEastAsia" w:cstheme="majorEastAsia"/>
          <w:szCs w:val="21"/>
          <w:lang w:eastAsia="zh-CN"/>
        </w:rPr>
        <w:t>班班通及计算机等</w:t>
      </w:r>
      <w:r>
        <w:rPr>
          <w:rFonts w:hint="eastAsia" w:asciiTheme="majorEastAsia" w:hAnsiTheme="majorEastAsia" w:eastAsiaTheme="majorEastAsia" w:cstheme="majorEastAsia"/>
          <w:szCs w:val="21"/>
        </w:rPr>
        <w:t>采购项目</w:t>
      </w:r>
      <w:r>
        <w:rPr>
          <w:rFonts w:hint="eastAsia" w:asciiTheme="majorEastAsia" w:hAnsiTheme="majorEastAsia" w:eastAsiaTheme="majorEastAsia" w:cstheme="majorEastAsia"/>
          <w:szCs w:val="21"/>
          <w:lang w:val="zh-CN"/>
        </w:rPr>
        <w:t>（不见面开标）</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3、采购编号：YZCG-C202</w:t>
      </w:r>
      <w:r>
        <w:rPr>
          <w:rFonts w:hint="eastAsia" w:asciiTheme="majorEastAsia" w:hAnsiTheme="majorEastAsia" w:eastAsiaTheme="majorEastAsia" w:cstheme="majorEastAsia"/>
          <w:szCs w:val="21"/>
          <w:lang w:val="en-US" w:eastAsia="zh-CN"/>
        </w:rPr>
        <w:t>3029</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4、项目需求：</w:t>
      </w:r>
      <w:r>
        <w:rPr>
          <w:rFonts w:hint="eastAsia" w:asciiTheme="majorEastAsia" w:hAnsiTheme="majorEastAsia" w:eastAsiaTheme="majorEastAsia" w:cstheme="majorEastAsia"/>
          <w:szCs w:val="21"/>
          <w:lang w:val="en-US" w:eastAsia="zh-CN"/>
        </w:rPr>
        <w:t>智能交互平板、推拉绿板、视频展台等</w:t>
      </w:r>
      <w:r>
        <w:rPr>
          <w:rFonts w:hint="eastAsia" w:asciiTheme="majorEastAsia" w:hAnsiTheme="majorEastAsia" w:eastAsiaTheme="majorEastAsia" w:cstheme="majorEastAsia"/>
          <w:szCs w:val="21"/>
        </w:rPr>
        <w:t>（详见磋商文件）</w:t>
      </w:r>
    </w:p>
    <w:p>
      <w:pPr>
        <w:widowControl/>
        <w:shd w:val="clear" w:color="auto" w:fill="FFFFFF"/>
        <w:spacing w:line="440" w:lineRule="exact"/>
        <w:ind w:firstLine="420" w:firstLineChars="200"/>
        <w:jc w:val="lef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5、合同履约期限：合同签订后</w:t>
      </w:r>
      <w:r>
        <w:rPr>
          <w:rFonts w:hint="eastAsia" w:asciiTheme="majorEastAsia" w:hAnsiTheme="majorEastAsia" w:eastAsiaTheme="majorEastAsia" w:cstheme="majorEastAsia"/>
          <w:szCs w:val="21"/>
          <w:lang w:val="en-US" w:eastAsia="zh-CN"/>
        </w:rPr>
        <w:t>15</w:t>
      </w:r>
      <w:r>
        <w:rPr>
          <w:rFonts w:hint="eastAsia" w:asciiTheme="majorEastAsia" w:hAnsiTheme="majorEastAsia" w:eastAsiaTheme="majorEastAsia" w:cstheme="majorEastAsia"/>
          <w:szCs w:val="21"/>
        </w:rPr>
        <w:t>日历天内</w:t>
      </w:r>
      <w:r>
        <w:rPr>
          <w:rFonts w:hint="eastAsia" w:asciiTheme="majorEastAsia" w:hAnsiTheme="majorEastAsia" w:eastAsiaTheme="majorEastAsia" w:cstheme="majorEastAsia"/>
          <w:szCs w:val="21"/>
          <w:lang w:val="en-US" w:eastAsia="zh-CN"/>
        </w:rPr>
        <w:t>完成供货</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6、采购预算：</w:t>
      </w:r>
      <w:r>
        <w:rPr>
          <w:rFonts w:hint="eastAsia" w:asciiTheme="majorEastAsia" w:hAnsiTheme="majorEastAsia" w:eastAsiaTheme="majorEastAsia" w:cstheme="majorEastAsia"/>
          <w:szCs w:val="21"/>
          <w:lang w:val="en-US" w:eastAsia="zh-CN"/>
        </w:rPr>
        <w:t>1370000.00</w:t>
      </w:r>
      <w:r>
        <w:rPr>
          <w:rFonts w:hint="eastAsia" w:asciiTheme="majorEastAsia" w:hAnsiTheme="majorEastAsia" w:eastAsiaTheme="majorEastAsia" w:cstheme="majorEastAsia"/>
          <w:szCs w:val="21"/>
        </w:rPr>
        <w:t>元</w:t>
      </w:r>
    </w:p>
    <w:p>
      <w:pPr>
        <w:widowControl/>
        <w:shd w:val="clear" w:color="auto" w:fill="FFFFFF"/>
        <w:spacing w:line="440" w:lineRule="exact"/>
        <w:ind w:firstLine="310" w:firstLineChars="147"/>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417" w:firstLineChars="198"/>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三、供应商资格要求</w:t>
      </w:r>
    </w:p>
    <w:p>
      <w:pPr>
        <w:widowControl/>
        <w:numPr>
          <w:ilvl w:val="0"/>
          <w:numId w:val="3"/>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widowControl/>
        <w:shd w:val="clear" w:color="auto" w:fill="FFFFFF"/>
        <w:spacing w:line="440" w:lineRule="exact"/>
        <w:ind w:firstLine="482"/>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四、获取磋商文件的方式</w:t>
      </w:r>
    </w:p>
    <w:p>
      <w:pPr>
        <w:pStyle w:val="8"/>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11"/>
          <w:rFonts w:hint="eastAsia" w:cs="仿宋_GB2312" w:asciiTheme="minorEastAsia" w:hAnsiTheme="minorEastAsia" w:eastAsiaTheme="minorEastAsia"/>
          <w:color w:val="000000"/>
          <w:sz w:val="21"/>
          <w:szCs w:val="21"/>
          <w:shd w:val="clear" w:color="auto" w:fill="FFFFFF"/>
        </w:rPr>
        <w:t>http://</w:t>
      </w:r>
      <w:r>
        <w:rPr>
          <w:rStyle w:val="11"/>
          <w:rFonts w:cs="仿宋_GB2312" w:asciiTheme="minorEastAsia" w:hAnsiTheme="minorEastAsia" w:eastAsiaTheme="minorEastAsia"/>
          <w:color w:val="000000"/>
          <w:sz w:val="21"/>
          <w:szCs w:val="21"/>
          <w:shd w:val="clear" w:color="auto" w:fill="FFFFFF"/>
        </w:rPr>
        <w:t>ggzy.xuchang.gov.cn:8088/ggzy/eps/public/RegistAllJcxx.html</w:t>
      </w:r>
      <w:r>
        <w:rPr>
          <w:rStyle w:val="11"/>
          <w:rFonts w:hint="eastAsia" w:cs="仿宋_GB2312" w:asciiTheme="minorEastAsia" w:hAnsiTheme="minorEastAsia" w:eastAsiaTheme="minorEastAsia"/>
          <w:color w:val="000000"/>
          <w:sz w:val="21"/>
          <w:szCs w:val="21"/>
          <w:shd w:val="clear" w:color="auto" w:fill="FFFFFF"/>
        </w:rPr>
        <w:t>）</w:t>
      </w:r>
      <w:r>
        <w:rPr>
          <w:rStyle w:val="11"/>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8"/>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2、在磋商响应截止时间前均可登录《全国公共资源交易平台（河南省·许昌市）》“投标人/供应商登录”入口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11"/>
          <w:rFonts w:hint="eastAsia" w:cs="仿宋_GB2312" w:asciiTheme="minorEastAsia" w:hAnsiTheme="minorEastAsia" w:eastAsiaTheme="minorEastAsia"/>
          <w:color w:val="000000"/>
          <w:sz w:val="21"/>
          <w:szCs w:val="21"/>
          <w:shd w:val="clear" w:color="auto" w:fill="FFFFFF"/>
        </w:rPr>
        <w:t>（http://</w:t>
      </w:r>
      <w:r>
        <w:rPr>
          <w:rStyle w:val="11"/>
          <w:rFonts w:cs="仿宋_GB2312" w:asciiTheme="minorEastAsia" w:hAnsiTheme="minorEastAsia" w:eastAsiaTheme="minorEastAsia"/>
          <w:color w:val="000000"/>
          <w:sz w:val="21"/>
          <w:szCs w:val="21"/>
          <w:shd w:val="clear" w:color="auto" w:fill="FFFFFF"/>
        </w:rPr>
        <w:t>ggzy.xuchang.gov.cn:8088/ggzy/</w:t>
      </w:r>
      <w:r>
        <w:rPr>
          <w:rStyle w:val="11"/>
          <w:rFonts w:hint="eastAsia" w:cs="仿宋_GB2312" w:asciiTheme="minorEastAsia" w:hAnsiTheme="minorEastAsia" w:eastAsiaTheme="minorEastAsia"/>
          <w:color w:val="000000"/>
          <w:sz w:val="21"/>
          <w:szCs w:val="21"/>
          <w:shd w:val="clear" w:color="auto" w:fill="FFFFFF"/>
        </w:rPr>
        <w:t>）</w:t>
      </w:r>
      <w:r>
        <w:rPr>
          <w:rStyle w:val="11"/>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自行免费下载竞争性磋商文件（详见“常见问题解答-交易系统操作手册”）。</w:t>
      </w:r>
    </w:p>
    <w:p>
      <w:pPr>
        <w:pStyle w:val="8"/>
        <w:widowControl/>
        <w:shd w:val="clear" w:color="auto" w:fill="FFFFFF"/>
        <w:spacing w:line="360" w:lineRule="auto"/>
        <w:ind w:firstLine="420"/>
        <w:contextualSpacing/>
        <w:jc w:val="left"/>
        <w:rPr>
          <w:rFonts w:cs="仿宋_GB2312" w:asciiTheme="minorEastAsia" w:hAnsiTheme="minorEastAsia" w:eastAsiaTheme="minorEastAsia"/>
          <w:b/>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五、磋商截止时间、磋商时间及地点</w:t>
      </w:r>
    </w:p>
    <w:p>
      <w:pPr>
        <w:pStyle w:val="8"/>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仿宋_GB2312" w:asciiTheme="minorEastAsia" w:hAnsiTheme="minorEastAsia"/>
          <w:color w:val="000000"/>
          <w:szCs w:val="21"/>
          <w:shd w:val="clear" w:color="auto" w:fill="FFFFFF"/>
        </w:rPr>
        <w:t>1、</w:t>
      </w:r>
      <w:r>
        <w:rPr>
          <w:rFonts w:hint="eastAsia" w:cs="仿宋_GB2312" w:asciiTheme="minorEastAsia" w:hAnsiTheme="minorEastAsia" w:eastAsiaTheme="minorEastAsia"/>
          <w:sz w:val="21"/>
          <w:szCs w:val="21"/>
          <w:shd w:val="clear" w:color="auto" w:fill="FFFFFF"/>
        </w:rPr>
        <w:t>磋商截止及磋商时间</w:t>
      </w:r>
      <w:r>
        <w:rPr>
          <w:rFonts w:hint="eastAsia" w:cs="仿宋_GB2312" w:asciiTheme="minorEastAsia" w:hAnsiTheme="minorEastAsia"/>
          <w:color w:val="000000"/>
          <w:szCs w:val="21"/>
          <w:shd w:val="clear" w:color="auto" w:fill="FFFFFF"/>
        </w:rPr>
        <w:t>：202</w:t>
      </w:r>
      <w:r>
        <w:rPr>
          <w:rFonts w:hint="eastAsia" w:cs="仿宋_GB2312" w:asciiTheme="minorEastAsia" w:hAnsiTheme="minorEastAsia"/>
          <w:color w:val="000000"/>
          <w:szCs w:val="21"/>
          <w:shd w:val="clear" w:color="auto" w:fill="FFFFFF"/>
          <w:lang w:val="en-US" w:eastAsia="zh-CN"/>
        </w:rPr>
        <w:t>3</w:t>
      </w:r>
      <w:r>
        <w:rPr>
          <w:rFonts w:hint="eastAsia" w:cs="仿宋_GB2312" w:asciiTheme="minorEastAsia" w:hAnsiTheme="minorEastAsia"/>
          <w:color w:val="000000"/>
          <w:szCs w:val="21"/>
          <w:shd w:val="clear" w:color="auto" w:fill="FFFFFF"/>
        </w:rPr>
        <w:t>年</w:t>
      </w:r>
      <w:r>
        <w:rPr>
          <w:rFonts w:hint="eastAsia"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11</w:t>
      </w:r>
      <w:r>
        <w:rPr>
          <w:rFonts w:hint="eastAsia" w:cs="仿宋_GB2312" w:asciiTheme="minorEastAsia" w:hAnsiTheme="minorEastAsia"/>
          <w:color w:val="000000"/>
          <w:szCs w:val="21"/>
          <w:shd w:val="clear" w:color="auto" w:fill="FFFFFF"/>
        </w:rPr>
        <w:t xml:space="preserve">日 </w:t>
      </w:r>
      <w:r>
        <w:rPr>
          <w:rFonts w:hint="eastAsia"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rPr>
        <w:t>：30  （北京时间），</w:t>
      </w:r>
      <w:r>
        <w:rPr>
          <w:rFonts w:hint="eastAsia" w:cs="仿宋_GB2312" w:asciiTheme="minorEastAsia" w:hAnsiTheme="minorEastAsia" w:eastAsiaTheme="minorEastAsia"/>
          <w:sz w:val="21"/>
          <w:szCs w:val="21"/>
          <w:shd w:val="clear" w:color="auto" w:fill="FFFFFF"/>
        </w:rPr>
        <w:t>逾期提交或不符合规定的响应文件不予接受</w:t>
      </w:r>
      <w:r>
        <w:rPr>
          <w:rFonts w:hint="eastAsia" w:cs="仿宋_GB2312" w:asciiTheme="minorEastAsia" w:hAnsiTheme="minorEastAsia"/>
          <w:color w:val="000000"/>
          <w:szCs w:val="21"/>
          <w:shd w:val="clear" w:color="auto" w:fill="FFFFFF"/>
        </w:rPr>
        <w:t>。</w:t>
      </w:r>
    </w:p>
    <w:p>
      <w:pPr>
        <w:pStyle w:val="8"/>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2、磋商地点：禹州市公共资源交易中心九楼第二开标室。（本项目采用远程不见面竞争性磋商，供应商无须到达现场）。</w:t>
      </w:r>
    </w:p>
    <w:p>
      <w:pPr>
        <w:pStyle w:val="8"/>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六、本项目为全流程电子化交易项目，供应商须提交电子响应文件。</w:t>
      </w:r>
    </w:p>
    <w:p>
      <w:pPr>
        <w:pStyle w:val="8"/>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8"/>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磋商响应截止时间前，供应商应登录不见面开标大厅，按照磋商截止时间准时参加线上响应文件开启，在系统规定时间内对电子响应文件进行远程解密，未在规定时间内解密或因供应商原因解密失败的，其响应文件将被拒绝。</w:t>
      </w:r>
    </w:p>
    <w:p>
      <w:pPr>
        <w:pStyle w:val="8"/>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2" w:firstLineChars="200"/>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七、本次磋商公告同时在《中国政府采购网》《河南省政府采购网》《全国公共资源交易平台（河南省·许昌市）》发布等。</w:t>
      </w:r>
    </w:p>
    <w:p>
      <w:pPr>
        <w:widowControl/>
        <w:shd w:val="clear" w:color="auto" w:fill="FFFFFF"/>
        <w:spacing w:line="440" w:lineRule="exact"/>
        <w:ind w:firstLine="413" w:firstLineChars="196"/>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shd w:val="clear" w:color="auto" w:fill="FFFFFF"/>
        <w:spacing w:line="440" w:lineRule="exact"/>
        <w:ind w:firstLine="630" w:firstLineChars="300"/>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（二）采购单位：禹州市</w:t>
      </w:r>
      <w:r>
        <w:rPr>
          <w:rFonts w:hint="eastAsia" w:cs="仿宋_GB2312" w:asciiTheme="minorEastAsia" w:hAnsiTheme="minorEastAsia"/>
          <w:color w:val="000000"/>
          <w:szCs w:val="21"/>
          <w:shd w:val="clear" w:color="auto" w:fill="FFFFFF"/>
          <w:lang w:val="en-US" w:eastAsia="zh-CN"/>
        </w:rPr>
        <w:t>教育体育局</w:t>
      </w:r>
    </w:p>
    <w:p>
      <w:pPr>
        <w:widowControl/>
        <w:shd w:val="clear" w:color="auto" w:fill="FFFFFF"/>
        <w:spacing w:line="440" w:lineRule="exact"/>
        <w:ind w:left="640" w:leftChars="305" w:firstLine="525" w:firstLineChars="250"/>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禹王大道东段</w:t>
      </w:r>
    </w:p>
    <w:p>
      <w:pPr>
        <w:widowControl/>
        <w:shd w:val="clear" w:color="auto" w:fill="FFFFFF"/>
        <w:spacing w:line="440" w:lineRule="exact"/>
        <w:ind w:firstLine="1159" w:firstLineChars="552"/>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代</w:t>
      </w:r>
      <w:r>
        <w:rPr>
          <w:rFonts w:hint="eastAsia" w:cs="仿宋_GB2312" w:asciiTheme="minorEastAsia" w:hAnsiTheme="minorEastAsia"/>
          <w:color w:val="000000"/>
          <w:szCs w:val="21"/>
          <w:shd w:val="clear" w:color="auto" w:fill="FFFFFF"/>
        </w:rPr>
        <w:t>先生  联系电话：0374-</w:t>
      </w:r>
      <w:r>
        <w:rPr>
          <w:rFonts w:hint="eastAsia" w:cs="仿宋_GB2312" w:asciiTheme="minorEastAsia" w:hAnsiTheme="minorEastAsia"/>
          <w:color w:val="000000"/>
          <w:szCs w:val="21"/>
          <w:shd w:val="clear" w:color="auto" w:fill="FFFFFF"/>
          <w:lang w:val="en-US" w:eastAsia="zh-CN"/>
        </w:rPr>
        <w:t>8880023</w:t>
      </w: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4"/>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4"/>
        </w:numPr>
        <w:tabs>
          <w:tab w:val="left" w:pos="7095"/>
        </w:tabs>
        <w:spacing w:line="360" w:lineRule="auto"/>
        <w:contextualSpacing/>
        <w:rPr>
          <w:rFonts w:ascii="Calibri" w:hAnsi="宋体" w:eastAsia="宋体" w:cs="Times New Roman"/>
        </w:rPr>
      </w:pPr>
      <w:r>
        <w:rPr>
          <w:rFonts w:hint="eastAsia" w:ascii="Calibri" w:hAnsi="宋体" w:eastAsia="宋体" w:cs="Times New Roman"/>
        </w:rPr>
        <w:t>磋商文件下载、响应文件制作、提交、远程不见面开标（电子投标文件的解密）环节，供应商须使用同一个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5"/>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最新版本”，制作响应文件。</w:t>
      </w:r>
    </w:p>
    <w:p>
      <w:pPr>
        <w:numPr>
          <w:ilvl w:val="1"/>
          <w:numId w:val="6"/>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w:t>
      </w:r>
      <w:r>
        <w:rPr>
          <w:rFonts w:hint="eastAsia" w:asciiTheme="minorEastAsia" w:hAnsiTheme="minorEastAsia"/>
          <w:szCs w:val="21"/>
        </w:rPr>
        <w:t>磋商</w:t>
      </w:r>
      <w:r>
        <w:rPr>
          <w:rFonts w:hint="eastAsia" w:ascii="Calibri" w:hAnsi="宋体" w:eastAsia="宋体" w:cs="Times New Roman"/>
        </w:rPr>
        <w:t>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7"/>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电子响应文件的提交</w:t>
      </w:r>
    </w:p>
    <w:p>
      <w:pPr>
        <w:numPr>
          <w:ilvl w:val="1"/>
          <w:numId w:val="5"/>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8"/>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7"/>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5"/>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rPr>
        <w:t>许昌市不见面操作手册</w:t>
      </w:r>
      <w:r>
        <w:rPr>
          <w:rFonts w:ascii="微软雅黑" w:hAnsi="微软雅黑"/>
        </w:rPr>
        <w:t>（代理机构/投标人）</w:t>
      </w:r>
      <w:r>
        <w:rPr>
          <w:rFonts w:hint="eastAsia" w:ascii="Calibri" w:hAnsi="宋体" w:eastAsia="宋体" w:cs="Times New Roman"/>
        </w:rPr>
        <w:t>》。</w:t>
      </w:r>
    </w:p>
    <w:p>
      <w:pPr>
        <w:numPr>
          <w:ilvl w:val="0"/>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10"/>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供应商选择功能栏“解密环节”按钮进行电子响应文件解密（供应商解密应自采购代理机构点击“开标开始”按钮后120分钟内完成）。供应商未解密或因供应商原因解密失败的，其响应文件将被拒绝。</w:t>
      </w:r>
    </w:p>
    <w:p>
      <w:pPr>
        <w:numPr>
          <w:ilvl w:val="0"/>
          <w:numId w:val="11"/>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2"/>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3"/>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5"/>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Theme="minorEastAsia" w:hAnsiTheme="minorEastAsia"/>
          <w:szCs w:val="21"/>
        </w:rPr>
        <w:t>磋商</w:t>
      </w:r>
      <w:r>
        <w:rPr>
          <w:rFonts w:hint="eastAsia" w:ascii="宋体" w:hAnsi="宋体" w:eastAsia="宋体" w:cs="Times New Roman"/>
          <w:szCs w:val="21"/>
        </w:rPr>
        <w:t>小组</w:t>
      </w:r>
      <w:r>
        <w:rPr>
          <w:rFonts w:hint="eastAsia" w:ascii="Calibri" w:hAnsi="宋体" w:eastAsia="宋体" w:cs="Times New Roman"/>
        </w:rPr>
        <w:t>以成功上传、解密的电子响应文件为依据评审。</w:t>
      </w:r>
    </w:p>
    <w:p>
      <w:pPr>
        <w:numPr>
          <w:ilvl w:val="0"/>
          <w:numId w:val="14"/>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评审期间，供应商（参加磋商的法定代表人或其授权代表）应保持通讯手机畅通，并根据磋商小组要求在规定时间内提供：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①磋商小组要求供应商提交最后报价时，</w:t>
      </w:r>
      <w:r>
        <w:rPr>
          <w:rFonts w:hint="eastAsia" w:ascii="楷体" w:hAnsi="楷体" w:eastAsia="楷体" w:cs="仿宋_GB2312"/>
          <w:sz w:val="24"/>
          <w:szCs w:val="24"/>
          <w:lang w:val="zh-CN"/>
        </w:rPr>
        <w:t>在</w:t>
      </w:r>
      <w:r>
        <w:rPr>
          <w:rFonts w:hint="eastAsia" w:ascii="楷体" w:hAnsi="楷体" w:eastAsia="楷体"/>
          <w:sz w:val="24"/>
          <w:szCs w:val="24"/>
        </w:rPr>
        <w:t>磋商</w:t>
      </w:r>
      <w:r>
        <w:rPr>
          <w:rFonts w:hint="eastAsia" w:ascii="楷体" w:hAnsi="楷体" w:eastAsia="楷体" w:cs="仿宋_GB2312"/>
          <w:sz w:val="24"/>
          <w:szCs w:val="24"/>
          <w:lang w:val="zh-CN"/>
        </w:rPr>
        <w:t>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②磋商文件第二章“采购需求”中“采购清单”以工程量清单提供的，供应商应以工程量清单方式提交最后报价。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（2）磋商小组如要求供应商提供“澄清、说明或者更正”；“按照磋商文件的变动情况和磋商小组的要求重新提交响应文件”；“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pPr>
        <w:adjustRightInd w:val="0"/>
        <w:snapToGrid w:val="0"/>
        <w:spacing w:line="360" w:lineRule="auto"/>
        <w:rPr>
          <w:rFonts w:ascii="宋体" w:hAnsi="宋体"/>
          <w:szCs w:val="21"/>
        </w:rPr>
      </w:pPr>
    </w:p>
    <w:p>
      <w:pPr>
        <w:numPr>
          <w:ilvl w:val="0"/>
          <w:numId w:val="1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采购需求</w:t>
      </w:r>
    </w:p>
    <w:p>
      <w:pPr>
        <w:rPr>
          <w:rFonts w:cs="宋体" w:asciiTheme="majorEastAsia" w:hAnsiTheme="majorEastAsia" w:eastAsiaTheme="majorEastAsia"/>
          <w:b/>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firstLineChars="200"/>
        <w:jc w:val="both"/>
        <w:textAlignment w:val="auto"/>
        <w:rPr>
          <w:rFonts w:hint="eastAsia" w:ascii="新宋体" w:hAnsi="新宋体" w:eastAsia="新宋体" w:cs="新宋体"/>
          <w:b w:val="0"/>
          <w:bCs/>
          <w:kern w:val="2"/>
          <w:sz w:val="21"/>
          <w:szCs w:val="21"/>
          <w:lang w:val="zh-CN" w:eastAsia="zh-CN" w:bidi="ar-SA"/>
        </w:rPr>
      </w:pPr>
      <w:r>
        <w:rPr>
          <w:rFonts w:hint="eastAsia" w:cs="黑体" w:asciiTheme="minorEastAsia" w:hAnsiTheme="minorEastAsia"/>
          <w:b/>
          <w:bCs/>
          <w:color w:val="000000"/>
          <w:sz w:val="24"/>
          <w:szCs w:val="24"/>
          <w:shd w:val="clear" w:color="auto" w:fill="FFFFFF"/>
        </w:rPr>
        <w:t>一、</w:t>
      </w:r>
      <w:r>
        <w:rPr>
          <w:rFonts w:hint="eastAsia" w:ascii="新宋体" w:hAnsi="新宋体" w:eastAsia="新宋体" w:cs="新宋体"/>
          <w:b/>
          <w:szCs w:val="21"/>
          <w:lang w:val="zh-CN"/>
        </w:rPr>
        <w:t>本项目需实现的功能或者目标：</w:t>
      </w:r>
      <w:r>
        <w:rPr>
          <w:rFonts w:hint="eastAsia" w:ascii="新宋体" w:hAnsi="新宋体" w:eastAsia="新宋体" w:cs="新宋体"/>
          <w:b w:val="0"/>
          <w:bCs/>
          <w:szCs w:val="21"/>
          <w:lang w:val="zh-CN" w:eastAsia="zh-CN"/>
        </w:rPr>
        <w:t>能够</w:t>
      </w:r>
      <w:r>
        <w:rPr>
          <w:rFonts w:hint="eastAsia" w:ascii="新宋体" w:hAnsi="新宋体" w:eastAsia="新宋体" w:cs="新宋体"/>
          <w:b w:val="0"/>
          <w:bCs/>
          <w:szCs w:val="21"/>
          <w:lang w:val="en-US" w:eastAsia="zh-CN"/>
        </w:rPr>
        <w:t>满足我市几所实验学校等，秋季开学新增学位及设备更新的</w:t>
      </w:r>
      <w:r>
        <w:rPr>
          <w:rFonts w:hint="eastAsia" w:ascii="新宋体" w:hAnsi="新宋体" w:eastAsia="新宋体" w:cs="新宋体"/>
          <w:b w:val="0"/>
          <w:bCs/>
          <w:szCs w:val="21"/>
          <w:lang w:val="zh-CN"/>
        </w:rPr>
        <w:t>使用要求以及国家相关安全、环保、质量等要求。</w:t>
      </w:r>
    </w:p>
    <w:p>
      <w:pPr>
        <w:spacing w:line="360" w:lineRule="auto"/>
        <w:ind w:firstLine="482" w:firstLineChars="200"/>
        <w:rPr>
          <w:rFonts w:hint="eastAsia" w:ascii="新宋体" w:hAnsi="新宋体" w:eastAsia="新宋体" w:cs="新宋体"/>
          <w:b/>
          <w:szCs w:val="21"/>
          <w:lang w:val="zh-CN"/>
        </w:rPr>
      </w:pPr>
      <w:r>
        <w:rPr>
          <w:rFonts w:hint="eastAsia" w:cs="黑体" w:asciiTheme="minorEastAsia" w:hAnsiTheme="minorEastAsia"/>
          <w:b/>
          <w:bCs/>
          <w:color w:val="000000"/>
          <w:sz w:val="24"/>
          <w:szCs w:val="24"/>
          <w:shd w:val="clear" w:color="auto" w:fill="FFFFFF"/>
        </w:rPr>
        <w:t>二、</w:t>
      </w:r>
      <w:r>
        <w:rPr>
          <w:rFonts w:hint="eastAsia" w:ascii="新宋体" w:hAnsi="新宋体" w:eastAsia="新宋体" w:cs="新宋体"/>
          <w:b/>
          <w:szCs w:val="21"/>
          <w:lang w:val="zh-CN"/>
        </w:rPr>
        <w:t>采购清单：</w:t>
      </w:r>
    </w:p>
    <w:tbl>
      <w:tblPr>
        <w:tblStyle w:val="9"/>
        <w:tblpPr w:leftFromText="180" w:rightFromText="180" w:vertAnchor="text" w:horzAnchor="page" w:tblpX="956" w:tblpY="483"/>
        <w:tblOverlap w:val="never"/>
        <w:tblW w:w="101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4"/>
        <w:gridCol w:w="630"/>
        <w:gridCol w:w="6705"/>
        <w:gridCol w:w="645"/>
        <w:gridCol w:w="330"/>
        <w:gridCol w:w="610"/>
        <w:gridCol w:w="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114" w:type="dxa"/>
            <w:gridSpan w:val="7"/>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新宋体" w:hAnsi="新宋体" w:eastAsia="新宋体" w:cs="新宋体"/>
                <w:b w:val="0"/>
                <w:bCs/>
                <w:szCs w:val="21"/>
                <w:lang w:val="zh-CN" w:eastAsia="zh-CN"/>
              </w:rPr>
              <w:t>禹州市教育体育局班班通及计算机等采购项目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3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67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详细技术参数配置说明</w:t>
            </w:r>
          </w:p>
        </w:tc>
        <w:tc>
          <w:tcPr>
            <w:tcW w:w="64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33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所属</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szCs w:val="21"/>
              </w:rPr>
              <w:t>1</w:t>
            </w:r>
          </w:p>
        </w:tc>
        <w:tc>
          <w:tcPr>
            <w:tcW w:w="63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szCs w:val="21"/>
              </w:rPr>
              <w:t>智能交互平板</w:t>
            </w:r>
          </w:p>
        </w:tc>
        <w:tc>
          <w:tcPr>
            <w:tcW w:w="6705" w:type="dxa"/>
            <w:tcBorders>
              <w:top w:val="single" w:color="000000" w:sz="12" w:space="0"/>
              <w:left w:val="single" w:color="000000" w:sz="12" w:space="0"/>
              <w:bottom w:val="single" w:color="000000" w:sz="12" w:space="0"/>
              <w:right w:val="single" w:color="000000" w:sz="12" w:space="0"/>
            </w:tcBorders>
            <w:noWrap w:val="0"/>
            <w:vAlign w:val="top"/>
          </w:tcPr>
          <w:p>
            <w:pPr>
              <w:rPr>
                <w:rFonts w:ascii="宋体" w:hAnsi="宋体"/>
                <w:szCs w:val="21"/>
              </w:rPr>
            </w:pPr>
            <w:r>
              <w:rPr>
                <w:rFonts w:hint="eastAsia" w:ascii="宋体" w:hAnsi="宋体"/>
                <w:szCs w:val="21"/>
              </w:rPr>
              <w:t>一、显示及触控参数要求：</w:t>
            </w:r>
          </w:p>
          <w:p>
            <w:pPr>
              <w:pStyle w:val="13"/>
              <w:numPr>
                <w:ilvl w:val="0"/>
                <w:numId w:val="16"/>
              </w:numPr>
              <w:ind w:firstLineChars="0"/>
              <w:rPr>
                <w:rFonts w:ascii="宋体" w:hAnsi="宋体"/>
                <w:szCs w:val="21"/>
              </w:rPr>
            </w:pPr>
            <w:r>
              <w:rPr>
                <w:rFonts w:ascii="宋体" w:hAnsi="宋体" w:eastAsia="宋体" w:cs="宋体"/>
                <w:szCs w:val="21"/>
              </w:rPr>
              <w:t>屏幕采用</w:t>
            </w:r>
            <w:r>
              <w:rPr>
                <w:rFonts w:hint="eastAsia" w:ascii="宋体" w:hAnsi="宋体" w:eastAsia="宋体" w:cs="宋体"/>
                <w:szCs w:val="21"/>
              </w:rPr>
              <w:t>不小于75</w:t>
            </w:r>
            <w:r>
              <w:rPr>
                <w:rFonts w:ascii="宋体" w:hAnsi="宋体" w:eastAsia="宋体" w:cs="宋体"/>
                <w:szCs w:val="21"/>
              </w:rPr>
              <w:t>英寸</w:t>
            </w:r>
            <w:r>
              <w:rPr>
                <w:szCs w:val="21"/>
              </w:rPr>
              <w:t xml:space="preserve">UHD </w:t>
            </w:r>
            <w:r>
              <w:rPr>
                <w:rFonts w:ascii="宋体" w:hAnsi="宋体" w:cs="宋体"/>
                <w:szCs w:val="21"/>
              </w:rPr>
              <w:t>超高清液晶屏</w:t>
            </w:r>
            <w:r>
              <w:rPr>
                <w:rFonts w:hint="eastAsia" w:ascii="宋体" w:hAnsi="宋体"/>
                <w:szCs w:val="21"/>
              </w:rPr>
              <w:t>，显示比例16:9，具备防眩光效果，可视角度≥1</w:t>
            </w:r>
            <w:r>
              <w:rPr>
                <w:rFonts w:ascii="宋体" w:hAnsi="宋体"/>
                <w:szCs w:val="21"/>
              </w:rPr>
              <w:t>78</w:t>
            </w:r>
            <w:r>
              <w:rPr>
                <w:rFonts w:hint="eastAsia" w:ascii="宋体" w:hAnsi="宋体"/>
                <w:szCs w:val="21"/>
              </w:rPr>
              <w:t>°。</w:t>
            </w:r>
          </w:p>
          <w:p>
            <w:pPr>
              <w:pStyle w:val="13"/>
              <w:numPr>
                <w:ilvl w:val="0"/>
                <w:numId w:val="16"/>
              </w:numPr>
              <w:ind w:firstLineChars="0"/>
              <w:rPr>
                <w:rFonts w:ascii="宋体" w:hAnsi="宋体"/>
                <w:szCs w:val="21"/>
              </w:rPr>
            </w:pPr>
            <w:r>
              <w:rPr>
                <w:rFonts w:hint="eastAsia" w:ascii="宋体" w:hAnsi="宋体" w:cs="微软雅黑"/>
                <w:color w:val="000000"/>
                <w:kern w:val="0"/>
                <w:szCs w:val="21"/>
              </w:rPr>
              <w:t>★</w:t>
            </w:r>
            <w:r>
              <w:rPr>
                <w:rFonts w:hint="eastAsia" w:ascii="宋体" w:hAnsi="宋体"/>
                <w:bCs/>
                <w:color w:val="000000"/>
                <w:kern w:val="0"/>
                <w:szCs w:val="21"/>
              </w:rPr>
              <w:t>交互平板</w:t>
            </w:r>
            <w:r>
              <w:rPr>
                <w:rFonts w:hint="eastAsia" w:ascii="宋体" w:hAnsi="宋体" w:eastAsia="宋体"/>
                <w:szCs w:val="21"/>
              </w:rPr>
              <w:t>屏幕色彩覆盖率不低于100%</w:t>
            </w:r>
            <w:r>
              <w:rPr>
                <w:rFonts w:hint="eastAsia" w:ascii="宋体" w:hAnsi="宋体" w:eastAsia="宋体" w:cs="宋体"/>
                <w:szCs w:val="21"/>
              </w:rPr>
              <w:t>，</w:t>
            </w:r>
            <w:r>
              <w:rPr>
                <w:rFonts w:hint="eastAsia" w:ascii="宋体" w:hAnsi="宋体"/>
                <w:bCs/>
                <w:color w:val="000000"/>
                <w:kern w:val="0"/>
                <w:szCs w:val="21"/>
              </w:rPr>
              <w:t>最高灰阶256灰阶。</w:t>
            </w:r>
            <w:r>
              <w:rPr>
                <w:rFonts w:hint="eastAsia" w:ascii="宋体" w:hAnsi="宋体"/>
                <w:color w:val="000000"/>
                <w:kern w:val="0"/>
                <w:szCs w:val="21"/>
              </w:rPr>
              <w:t>物理分辨率：3840×2160可无损播放4</w:t>
            </w:r>
            <w:r>
              <w:rPr>
                <w:rFonts w:ascii="宋体" w:hAnsi="宋体"/>
                <w:color w:val="000000"/>
                <w:kern w:val="0"/>
                <w:szCs w:val="21"/>
              </w:rPr>
              <w:t>K</w:t>
            </w:r>
            <w:r>
              <w:rPr>
                <w:rFonts w:hint="eastAsia" w:ascii="宋体" w:hAnsi="宋体"/>
                <w:color w:val="000000"/>
                <w:kern w:val="0"/>
                <w:szCs w:val="21"/>
              </w:rPr>
              <w:t>片源</w:t>
            </w:r>
            <w:r>
              <w:rPr>
                <w:rFonts w:hint="eastAsia" w:ascii="宋体" w:hAnsi="宋体"/>
                <w:szCs w:val="21"/>
              </w:rPr>
              <w:t>。</w:t>
            </w:r>
          </w:p>
          <w:p>
            <w:pPr>
              <w:pStyle w:val="13"/>
              <w:numPr>
                <w:ilvl w:val="0"/>
                <w:numId w:val="16"/>
              </w:numPr>
              <w:ind w:firstLineChars="0"/>
              <w:rPr>
                <w:rFonts w:ascii="宋体" w:hAnsi="宋体"/>
                <w:szCs w:val="21"/>
              </w:rPr>
            </w:pPr>
            <w:r>
              <w:rPr>
                <w:rFonts w:hint="eastAsia" w:ascii="宋体" w:hAnsi="宋体"/>
                <w:color w:val="000000"/>
                <w:kern w:val="0"/>
                <w:szCs w:val="21"/>
              </w:rPr>
              <w:t>交互平板表面玻璃采用高强度钢化玻璃，硬度可达莫氏7级。</w:t>
            </w:r>
          </w:p>
          <w:p>
            <w:pPr>
              <w:pStyle w:val="13"/>
              <w:numPr>
                <w:ilvl w:val="0"/>
                <w:numId w:val="16"/>
              </w:numPr>
              <w:ind w:firstLineChars="0"/>
              <w:rPr>
                <w:rFonts w:ascii="宋体" w:hAnsi="宋体"/>
                <w:szCs w:val="21"/>
              </w:rPr>
            </w:pPr>
            <w:r>
              <w:rPr>
                <w:rFonts w:hint="eastAsia" w:ascii="宋体" w:hAnsi="宋体" w:cs="微软雅黑"/>
                <w:color w:val="000000"/>
                <w:kern w:val="0"/>
                <w:szCs w:val="21"/>
              </w:rPr>
              <w:t>★</w:t>
            </w:r>
            <w:r>
              <w:rPr>
                <w:rFonts w:hint="eastAsia" w:ascii="宋体" w:hAnsi="宋体" w:eastAsia="宋体"/>
                <w:szCs w:val="21"/>
              </w:rPr>
              <w:t>整机在Windows与Android系统下均支持不少于</w:t>
            </w:r>
            <w:r>
              <w:rPr>
                <w:rFonts w:ascii="宋体" w:hAnsi="宋体" w:eastAsia="宋体"/>
                <w:szCs w:val="21"/>
              </w:rPr>
              <w:t>2</w:t>
            </w:r>
            <w:r>
              <w:rPr>
                <w:rFonts w:hint="eastAsia" w:ascii="宋体" w:hAnsi="宋体" w:eastAsia="宋体"/>
                <w:szCs w:val="21"/>
              </w:rPr>
              <w:t>0点同时触控及书写，触控书写延迟≤15ms。</w:t>
            </w:r>
            <w:r>
              <w:rPr>
                <w:rFonts w:hint="eastAsia" w:ascii="宋体" w:hAnsi="宋体"/>
                <w:szCs w:val="21"/>
              </w:rPr>
              <w:t>触摸分辨率高于32767*32767。</w:t>
            </w:r>
          </w:p>
          <w:p>
            <w:pPr>
              <w:rPr>
                <w:rFonts w:ascii="宋体" w:hAnsi="宋体"/>
                <w:szCs w:val="21"/>
              </w:rPr>
            </w:pPr>
            <w:r>
              <w:rPr>
                <w:rFonts w:hint="eastAsia" w:ascii="宋体" w:hAnsi="宋体"/>
                <w:szCs w:val="21"/>
              </w:rPr>
              <w:t>二、嵌入式系统参数要求：</w:t>
            </w:r>
          </w:p>
          <w:p>
            <w:pPr>
              <w:pStyle w:val="13"/>
              <w:numPr>
                <w:ilvl w:val="0"/>
                <w:numId w:val="17"/>
              </w:numPr>
              <w:ind w:firstLineChars="0"/>
              <w:rPr>
                <w:rFonts w:ascii="宋体" w:hAnsi="宋体"/>
                <w:szCs w:val="21"/>
              </w:rPr>
            </w:pPr>
            <w:r>
              <w:rPr>
                <w:rFonts w:hint="eastAsia" w:ascii="宋体" w:hAnsi="宋体" w:cs="微软雅黑"/>
                <w:color w:val="000000"/>
                <w:kern w:val="0"/>
                <w:szCs w:val="21"/>
              </w:rPr>
              <w:t>★</w:t>
            </w:r>
            <w:r>
              <w:rPr>
                <w:rFonts w:hint="eastAsia" w:ascii="宋体" w:hAnsi="宋体"/>
                <w:color w:val="000000"/>
                <w:kern w:val="0"/>
                <w:szCs w:val="21"/>
              </w:rPr>
              <w:t>内置安卓教学辅助系统，采用四核</w:t>
            </w:r>
            <w:r>
              <w:rPr>
                <w:rFonts w:ascii="宋体" w:hAnsi="宋体"/>
                <w:color w:val="000000"/>
                <w:kern w:val="0"/>
                <w:szCs w:val="21"/>
              </w:rPr>
              <w:t>CPU</w:t>
            </w:r>
            <w:r>
              <w:rPr>
                <w:rFonts w:hint="eastAsia" w:ascii="宋体" w:hAnsi="宋体"/>
                <w:color w:val="000000"/>
                <w:kern w:val="0"/>
                <w:szCs w:val="21"/>
              </w:rPr>
              <w:t>， ROM不小于8G, RAM不小于2G, 安卓系统版本不低于11.0。</w:t>
            </w:r>
          </w:p>
          <w:p>
            <w:pPr>
              <w:pStyle w:val="13"/>
              <w:numPr>
                <w:ilvl w:val="0"/>
                <w:numId w:val="17"/>
              </w:numPr>
              <w:ind w:firstLineChars="0"/>
              <w:rPr>
                <w:rFonts w:ascii="宋体" w:hAnsi="宋体"/>
                <w:szCs w:val="21"/>
              </w:rPr>
            </w:pPr>
            <w:r>
              <w:rPr>
                <w:rFonts w:hint="eastAsia" w:ascii="宋体" w:hAnsi="宋体"/>
                <w:szCs w:val="21"/>
              </w:rPr>
              <w:t>整机在任意通道下通过手势识别调出板擦工具擦除批注内容。</w:t>
            </w:r>
          </w:p>
          <w:p>
            <w:pPr>
              <w:pStyle w:val="13"/>
              <w:numPr>
                <w:ilvl w:val="0"/>
                <w:numId w:val="17"/>
              </w:numPr>
              <w:ind w:firstLineChars="0"/>
              <w:rPr>
                <w:rFonts w:ascii="宋体" w:hAnsi="宋体"/>
                <w:szCs w:val="21"/>
              </w:rPr>
            </w:pPr>
            <w:r>
              <w:rPr>
                <w:rFonts w:hint="eastAsia" w:ascii="宋体" w:hAnsi="宋体"/>
                <w:szCs w:val="21"/>
              </w:rPr>
              <w:t>为方便老师使用，触摸中控菜单上的通道信号源支持自定义。</w:t>
            </w:r>
          </w:p>
          <w:p>
            <w:pPr>
              <w:pStyle w:val="13"/>
              <w:numPr>
                <w:ilvl w:val="0"/>
                <w:numId w:val="17"/>
              </w:numPr>
              <w:ind w:firstLineChars="0"/>
              <w:rPr>
                <w:rFonts w:ascii="宋体" w:hAnsi="宋体"/>
                <w:szCs w:val="21"/>
              </w:rPr>
            </w:pPr>
            <w:r>
              <w:rPr>
                <w:rFonts w:hint="eastAsia" w:ascii="宋体" w:hAnsi="宋体"/>
                <w:szCs w:val="21"/>
              </w:rPr>
              <w:t>能对TV多媒体USB所读取到的文件进行自动归类，可快速分类查找文档、板书、图片、音视频，检索后可直接在界面中打开。</w:t>
            </w:r>
          </w:p>
          <w:p>
            <w:pPr>
              <w:pStyle w:val="13"/>
              <w:numPr>
                <w:ilvl w:val="0"/>
                <w:numId w:val="17"/>
              </w:numPr>
              <w:ind w:firstLineChars="0"/>
              <w:rPr>
                <w:rFonts w:ascii="宋体" w:hAnsi="宋体"/>
                <w:szCs w:val="21"/>
              </w:rPr>
            </w:pPr>
            <w:r>
              <w:rPr>
                <w:rFonts w:hint="eastAsia" w:ascii="宋体" w:hAnsi="宋体" w:cs="微软雅黑"/>
                <w:color w:val="000000"/>
                <w:kern w:val="0"/>
                <w:szCs w:val="21"/>
              </w:rPr>
              <w:t>★</w:t>
            </w:r>
            <w:r>
              <w:rPr>
                <w:rFonts w:hint="eastAsia" w:ascii="宋体" w:hAnsi="宋体"/>
                <w:kern w:val="0"/>
                <w:szCs w:val="21"/>
              </w:rPr>
              <w:t>在windows与Android系统下可打通工具、网络、系统设置、书写批注、音量调节等应用，且在悬浮菜单、Android白板、windows白板、演示助手等工具下所有书写笔可实现相互联动。</w:t>
            </w:r>
          </w:p>
          <w:p>
            <w:pPr>
              <w:pStyle w:val="13"/>
              <w:numPr>
                <w:ilvl w:val="0"/>
                <w:numId w:val="17"/>
              </w:numPr>
              <w:ind w:firstLineChars="0"/>
              <w:rPr>
                <w:rFonts w:ascii="宋体" w:hAnsi="宋体"/>
                <w:szCs w:val="21"/>
              </w:rPr>
            </w:pPr>
            <w:r>
              <w:rPr>
                <w:rFonts w:hint="eastAsia" w:ascii="宋体" w:hAnsi="宋体"/>
                <w:szCs w:val="21"/>
              </w:rPr>
              <w:t>在同一局域网环境下，支持通过移动端扫描二维码的方式实现整机文件共享及板书内容共享。</w:t>
            </w:r>
          </w:p>
          <w:p>
            <w:pPr>
              <w:rPr>
                <w:rFonts w:ascii="宋体" w:hAnsi="宋体"/>
                <w:szCs w:val="21"/>
              </w:rPr>
            </w:pPr>
            <w:r>
              <w:rPr>
                <w:rFonts w:hint="eastAsia" w:ascii="宋体" w:hAnsi="宋体"/>
                <w:szCs w:val="21"/>
              </w:rPr>
              <w:t>三、内置电脑参数：</w:t>
            </w:r>
          </w:p>
          <w:p>
            <w:pPr>
              <w:pStyle w:val="13"/>
              <w:numPr>
                <w:ilvl w:val="0"/>
                <w:numId w:val="18"/>
              </w:numPr>
              <w:ind w:firstLineChars="0"/>
              <w:rPr>
                <w:rFonts w:ascii="宋体" w:hAnsi="宋体"/>
                <w:szCs w:val="21"/>
              </w:rPr>
            </w:pPr>
            <w:r>
              <w:rPr>
                <w:rFonts w:hint="eastAsia" w:ascii="宋体" w:hAnsi="宋体"/>
                <w:szCs w:val="21"/>
              </w:rPr>
              <w:t>采用抽拉内置式模块化电脑，采用Intel通用OPS标准80pin接口，PC模块可插入整机，可实现无单独接线的插拔。</w:t>
            </w:r>
          </w:p>
          <w:p>
            <w:pPr>
              <w:pStyle w:val="13"/>
              <w:numPr>
                <w:ilvl w:val="0"/>
                <w:numId w:val="18"/>
              </w:numPr>
              <w:ind w:firstLineChars="0"/>
              <w:rPr>
                <w:rFonts w:ascii="宋体" w:hAnsi="宋体"/>
                <w:szCs w:val="21"/>
              </w:rPr>
            </w:pPr>
            <w:r>
              <w:rPr>
                <w:rFonts w:hint="eastAsia" w:ascii="宋体" w:hAnsi="宋体"/>
                <w:szCs w:val="21"/>
              </w:rPr>
              <w:t>★内置电脑CPU不低于Intel</w:t>
            </w:r>
            <w:r>
              <w:rPr>
                <w:rFonts w:ascii="宋体" w:hAnsi="宋体"/>
                <w:szCs w:val="21"/>
              </w:rPr>
              <w:t>第</w:t>
            </w:r>
            <w:r>
              <w:rPr>
                <w:rFonts w:hint="eastAsia" w:ascii="宋体" w:hAnsi="宋体"/>
                <w:szCs w:val="21"/>
              </w:rPr>
              <w:t>11</w:t>
            </w:r>
            <w:r>
              <w:rPr>
                <w:rFonts w:ascii="宋体" w:hAnsi="宋体"/>
                <w:szCs w:val="21"/>
              </w:rPr>
              <w:t>代</w:t>
            </w:r>
            <w:r>
              <w:rPr>
                <w:rFonts w:hint="eastAsia" w:ascii="宋体" w:hAnsi="宋体"/>
                <w:szCs w:val="21"/>
              </w:rPr>
              <w:t>i5或以上配置；内存：≥8G DDR</w:t>
            </w:r>
            <w:r>
              <w:rPr>
                <w:rFonts w:ascii="宋体" w:hAnsi="宋体"/>
                <w:szCs w:val="21"/>
              </w:rPr>
              <w:t>4或以上配置</w:t>
            </w:r>
            <w:r>
              <w:rPr>
                <w:rFonts w:hint="eastAsia" w:ascii="宋体" w:hAnsi="宋体"/>
                <w:szCs w:val="21"/>
              </w:rPr>
              <w:t>;硬盘：≥256G固态硬盘或以上配置，</w:t>
            </w:r>
            <w:r>
              <w:rPr>
                <w:rFonts w:hint="eastAsia" w:ascii="宋体" w:hAnsi="宋体" w:eastAsia="宋体"/>
                <w:color w:val="000000"/>
                <w:szCs w:val="21"/>
              </w:rPr>
              <w:t>具备5个USB接口（其中至少包含3路USB3.0接口）。</w:t>
            </w:r>
          </w:p>
          <w:p>
            <w:pPr>
              <w:rPr>
                <w:rFonts w:ascii="宋体" w:hAnsi="宋体"/>
                <w:szCs w:val="21"/>
              </w:rPr>
            </w:pPr>
            <w:r>
              <w:rPr>
                <w:rFonts w:hint="eastAsia" w:ascii="宋体" w:hAnsi="宋体"/>
                <w:szCs w:val="21"/>
              </w:rPr>
              <w:t>四、整机要求：</w:t>
            </w:r>
          </w:p>
          <w:p>
            <w:pPr>
              <w:pStyle w:val="13"/>
              <w:numPr>
                <w:ilvl w:val="0"/>
                <w:numId w:val="19"/>
              </w:numPr>
              <w:ind w:firstLineChars="0"/>
              <w:rPr>
                <w:rFonts w:ascii="宋体" w:hAnsi="宋体"/>
                <w:szCs w:val="21"/>
              </w:rPr>
            </w:pPr>
            <w:r>
              <w:rPr>
                <w:rFonts w:hint="eastAsia" w:ascii="宋体" w:hAnsi="宋体" w:cs="微软雅黑"/>
                <w:color w:val="000000"/>
                <w:kern w:val="0"/>
                <w:szCs w:val="21"/>
              </w:rPr>
              <w:t>★</w:t>
            </w:r>
            <w:r>
              <w:rPr>
                <w:rFonts w:hint="eastAsia" w:ascii="宋体" w:hAnsi="宋体"/>
                <w:color w:val="000000"/>
                <w:kern w:val="0"/>
                <w:szCs w:val="21"/>
              </w:rPr>
              <w:t>前置接口采用隐藏式内嵌结构，</w:t>
            </w:r>
            <w:r>
              <w:rPr>
                <w:rFonts w:hint="eastAsia" w:ascii="宋体" w:hAnsi="宋体"/>
                <w:color w:val="000000"/>
                <w:szCs w:val="21"/>
              </w:rPr>
              <w:t>具有翻转式防护盖板，</w:t>
            </w:r>
            <w:r>
              <w:rPr>
                <w:rFonts w:hint="eastAsia" w:ascii="宋体" w:hAnsi="宋体"/>
                <w:color w:val="000000"/>
                <w:kern w:val="0"/>
                <w:szCs w:val="21"/>
              </w:rPr>
              <w:t>可防止前置接口粉尘堆积，避免造成损坏。</w:t>
            </w:r>
            <w:r>
              <w:rPr>
                <w:rFonts w:hint="eastAsia" w:ascii="宋体" w:hAnsi="宋体"/>
                <w:szCs w:val="21"/>
              </w:rPr>
              <w:t>为方便教师使用，常用按键均为前置设计，且具备电脑还原物理按键，不需专业人员即可轻松解决电脑系统故障。</w:t>
            </w:r>
          </w:p>
          <w:p>
            <w:pPr>
              <w:pStyle w:val="13"/>
              <w:numPr>
                <w:ilvl w:val="0"/>
                <w:numId w:val="19"/>
              </w:numPr>
              <w:ind w:firstLineChars="0"/>
              <w:rPr>
                <w:rFonts w:ascii="宋体" w:hAnsi="宋体"/>
                <w:szCs w:val="21"/>
              </w:rPr>
            </w:pPr>
            <w:r>
              <w:rPr>
                <w:rFonts w:hint="eastAsia" w:ascii="宋体" w:hAnsi="宋体" w:cs="微软雅黑"/>
                <w:color w:val="000000"/>
                <w:kern w:val="0"/>
                <w:szCs w:val="21"/>
              </w:rPr>
              <w:t>★</w:t>
            </w:r>
            <w:r>
              <w:rPr>
                <w:rFonts w:hint="eastAsia" w:ascii="宋体" w:hAnsi="宋体"/>
                <w:color w:val="000000"/>
                <w:kern w:val="0"/>
                <w:szCs w:val="21"/>
              </w:rPr>
              <w:t>为满足课堂视听需求，交互平板采用多声道组合音响，前置双扬声器功率</w:t>
            </w:r>
            <w:r>
              <w:rPr>
                <w:rFonts w:hint="eastAsia" w:ascii="宋体" w:hAnsi="宋体"/>
                <w:color w:val="000000"/>
                <w:kern w:val="0"/>
                <w:szCs w:val="21"/>
                <w:lang w:val="en-US" w:eastAsia="zh-CN"/>
              </w:rPr>
              <w:t>不小于</w:t>
            </w:r>
            <w:r>
              <w:rPr>
                <w:rFonts w:hint="eastAsia" w:ascii="宋体" w:hAnsi="宋体"/>
                <w:color w:val="000000"/>
                <w:kern w:val="0"/>
                <w:szCs w:val="21"/>
              </w:rPr>
              <w:t>3</w:t>
            </w:r>
            <w:r>
              <w:rPr>
                <w:rFonts w:ascii="宋体" w:hAnsi="宋体"/>
                <w:color w:val="000000"/>
                <w:kern w:val="0"/>
                <w:szCs w:val="21"/>
              </w:rPr>
              <w:t>0W</w:t>
            </w:r>
            <w:r>
              <w:rPr>
                <w:rFonts w:hint="eastAsia" w:ascii="宋体" w:hAnsi="宋体"/>
                <w:color w:val="000000"/>
                <w:szCs w:val="21"/>
              </w:rPr>
              <w:t>。</w:t>
            </w:r>
            <w:r>
              <w:rPr>
                <w:rFonts w:hint="eastAsia" w:ascii="宋体" w:hAnsi="宋体"/>
                <w:szCs w:val="21"/>
              </w:rPr>
              <w:t>交互平板具有前置笔槽结构，可便于用户存放粉笔等教学工具。</w:t>
            </w:r>
          </w:p>
          <w:p>
            <w:pPr>
              <w:pStyle w:val="13"/>
              <w:numPr>
                <w:ilvl w:val="0"/>
                <w:numId w:val="19"/>
              </w:numPr>
              <w:ind w:firstLineChars="0"/>
              <w:rPr>
                <w:rFonts w:ascii="宋体" w:hAnsi="宋体"/>
                <w:szCs w:val="21"/>
              </w:rPr>
            </w:pPr>
            <w:r>
              <w:rPr>
                <w:rFonts w:hint="eastAsia" w:ascii="宋体" w:hAnsi="宋体"/>
                <w:szCs w:val="21"/>
              </w:rPr>
              <w:t>★智能交互平板具有物理防蓝光功能，符合GB 40070-2021视力防护标准，蓝光危害为RG0豁免级。</w:t>
            </w:r>
            <w:r>
              <w:rPr>
                <w:rFonts w:hint="eastAsia" w:ascii="宋体" w:hAnsi="宋体" w:eastAsia="宋体"/>
                <w:szCs w:val="21"/>
              </w:rPr>
              <w:t>为方便用户售后维修，前置接口面板和前置按键面板具备隐藏式前拆式结构。</w:t>
            </w:r>
            <w:r>
              <w:rPr>
                <w:rFonts w:hint="eastAsia" w:ascii="宋体" w:hAnsi="宋体"/>
                <w:szCs w:val="21"/>
              </w:rPr>
              <w:t>设备支持录屏及简易录播功能，可将屏幕中显示的课件、音频内容与老师人声同时录制。</w:t>
            </w:r>
          </w:p>
          <w:p>
            <w:pPr>
              <w:pStyle w:val="13"/>
              <w:widowControl/>
              <w:numPr>
                <w:ilvl w:val="0"/>
                <w:numId w:val="19"/>
              </w:numPr>
              <w:ind w:firstLineChars="0"/>
              <w:jc w:val="left"/>
              <w:rPr>
                <w:rFonts w:ascii="宋体" w:hAnsi="宋体"/>
                <w:color w:val="000000"/>
                <w:kern w:val="0"/>
                <w:szCs w:val="21"/>
              </w:rPr>
            </w:pPr>
            <w:r>
              <w:rPr>
                <w:rFonts w:hint="eastAsia" w:ascii="宋体" w:hAnsi="宋体"/>
                <w:color w:val="000000"/>
                <w:szCs w:val="21"/>
              </w:rPr>
              <w:t>通过多指抓取屏幕任意位置可调出多任务处理窗口，并对正在运行的应用进行浏览、快速切换或结束进程</w:t>
            </w:r>
            <w:r>
              <w:rPr>
                <w:rFonts w:hint="eastAsia" w:ascii="宋体" w:hAnsi="宋体"/>
                <w:szCs w:val="21"/>
              </w:rPr>
              <w:t>。</w:t>
            </w:r>
          </w:p>
          <w:p>
            <w:pPr>
              <w:pStyle w:val="13"/>
              <w:numPr>
                <w:ilvl w:val="0"/>
                <w:numId w:val="19"/>
              </w:numPr>
              <w:ind w:firstLineChars="0"/>
              <w:rPr>
                <w:rFonts w:ascii="宋体" w:hAnsi="宋体" w:eastAsia="宋体"/>
                <w:szCs w:val="21"/>
              </w:rPr>
            </w:pPr>
            <w:r>
              <w:rPr>
                <w:rFonts w:hint="eastAsia" w:ascii="宋体" w:hAnsi="宋体" w:cs="微软雅黑"/>
                <w:color w:val="000000"/>
                <w:kern w:val="0"/>
                <w:szCs w:val="21"/>
              </w:rPr>
              <w:t>★</w:t>
            </w:r>
            <w:r>
              <w:rPr>
                <w:rFonts w:hint="eastAsia" w:ascii="宋体" w:hAnsi="宋体"/>
                <w:szCs w:val="21"/>
              </w:rPr>
              <w:t>为充分满足用户实际使用需求，前置面板需具有以下输入接口：不少于1路标准HDMI接口、</w:t>
            </w:r>
            <w:r>
              <w:rPr>
                <w:rFonts w:ascii="宋体" w:hAnsi="宋体"/>
                <w:szCs w:val="21"/>
              </w:rPr>
              <w:t>2</w:t>
            </w:r>
            <w:r>
              <w:rPr>
                <w:rFonts w:hint="eastAsia" w:ascii="宋体" w:hAnsi="宋体"/>
                <w:szCs w:val="21"/>
              </w:rPr>
              <w:t>路双通道USB3.0接口及1路U</w:t>
            </w:r>
            <w:r>
              <w:rPr>
                <w:rFonts w:ascii="宋体" w:hAnsi="宋体"/>
                <w:szCs w:val="21"/>
              </w:rPr>
              <w:t xml:space="preserve">SB </w:t>
            </w:r>
            <w:r>
              <w:rPr>
                <w:rFonts w:hint="eastAsia" w:ascii="宋体" w:hAnsi="宋体"/>
                <w:szCs w:val="21"/>
              </w:rPr>
              <w:t>Type-</w:t>
            </w:r>
            <w:r>
              <w:rPr>
                <w:rFonts w:ascii="宋体" w:hAnsi="宋体"/>
                <w:szCs w:val="21"/>
              </w:rPr>
              <w:t>C</w:t>
            </w:r>
            <w:r>
              <w:rPr>
                <w:rFonts w:hint="eastAsia" w:ascii="宋体" w:hAnsi="宋体"/>
                <w:szCs w:val="21"/>
              </w:rPr>
              <w:t>接口。</w:t>
            </w:r>
            <w:r>
              <w:rPr>
                <w:rFonts w:hint="eastAsia" w:ascii="宋体" w:hAnsi="宋体"/>
                <w:kern w:val="0"/>
                <w:szCs w:val="21"/>
              </w:rPr>
              <w:t>支持手势滑动操作，支持循环滑动切换主页、Windows桌面以及应用页；应用页可显示已安装应用及第三方合作应用，应用支持分类显示，分为课件制作、教学工具、管理辅助、数字资源四类。</w:t>
            </w:r>
          </w:p>
          <w:p>
            <w:pPr>
              <w:pStyle w:val="13"/>
              <w:numPr>
                <w:ilvl w:val="0"/>
                <w:numId w:val="19"/>
              </w:numPr>
              <w:ind w:firstLineChars="0"/>
              <w:rPr>
                <w:rFonts w:ascii="宋体" w:hAnsi="宋体"/>
                <w:szCs w:val="21"/>
              </w:rPr>
            </w:pPr>
            <w:r>
              <w:rPr>
                <w:rFonts w:hint="eastAsia" w:ascii="宋体" w:hAnsi="宋体"/>
                <w:bCs/>
                <w:color w:val="000000"/>
                <w:kern w:val="0"/>
                <w:szCs w:val="21"/>
              </w:rPr>
              <w:t>整机前置内置无线网络与蓝牙模块，PC 模块无任何外接或转接天线、网卡可实现 Wi-Fi 无线上网连接和 AP 无线热点发射；Wi-Fi 和 AP 热点均支持频2.4GHz/5GHz ，Wi-Fi 和 AP 热点工作距离≥10m。</w:t>
            </w:r>
            <w:r>
              <w:rPr>
                <w:rFonts w:ascii="宋体" w:hAnsi="宋体"/>
                <w:szCs w:val="21"/>
              </w:rPr>
              <w:t xml:space="preserve"> </w:t>
            </w:r>
          </w:p>
          <w:p>
            <w:pPr>
              <w:pStyle w:val="13"/>
              <w:numPr>
                <w:ilvl w:val="0"/>
                <w:numId w:val="19"/>
              </w:numPr>
              <w:ind w:firstLineChars="0"/>
              <w:rPr>
                <w:rFonts w:ascii="宋体" w:hAnsi="宋体"/>
                <w:szCs w:val="21"/>
              </w:rPr>
            </w:pPr>
            <w:r>
              <w:rPr>
                <w:rFonts w:hint="eastAsia" w:ascii="宋体" w:hAnsi="宋体" w:eastAsia="宋体" w:cs="宋体"/>
                <w:szCs w:val="21"/>
              </w:rPr>
              <w:t>★</w:t>
            </w:r>
            <w:r>
              <w:rPr>
                <w:rFonts w:hint="eastAsia" w:ascii="宋体" w:hAnsi="宋体" w:cs="微软雅黑"/>
                <w:color w:val="000000"/>
                <w:kern w:val="0"/>
                <w:szCs w:val="21"/>
              </w:rPr>
              <w:t>智能</w:t>
            </w:r>
            <w:r>
              <w:rPr>
                <w:rFonts w:hint="eastAsia" w:ascii="宋体" w:hAnsi="宋体" w:cs="宋体"/>
                <w:color w:val="000000"/>
                <w:szCs w:val="21"/>
              </w:rPr>
              <w:t>交互平板具有一体化2D降噪4K摄像头，像素不低于1300万，水平视角不小于120°，视角在120°的范围下，畸变不大于5%，全结构无外部连线与屏体齐平；高清摄像头模组支持远程巡课系统，并可对接人脸识别软件进行使用。</w:t>
            </w:r>
          </w:p>
          <w:p>
            <w:pPr>
              <w:pStyle w:val="13"/>
              <w:numPr>
                <w:ilvl w:val="0"/>
                <w:numId w:val="19"/>
              </w:numPr>
              <w:ind w:firstLineChars="0"/>
              <w:rPr>
                <w:rFonts w:ascii="宋体" w:hAnsi="宋体"/>
                <w:szCs w:val="21"/>
              </w:rPr>
            </w:pPr>
            <w:r>
              <w:rPr>
                <w:rFonts w:hint="eastAsia" w:ascii="宋体" w:hAnsi="宋体"/>
                <w:szCs w:val="21"/>
              </w:rPr>
              <w:t>★智能交互平板须整机符合G</w:t>
            </w:r>
            <w:r>
              <w:rPr>
                <w:rFonts w:ascii="宋体" w:hAnsi="宋体"/>
                <w:szCs w:val="21"/>
              </w:rPr>
              <w:t>B21520</w:t>
            </w:r>
            <w:r>
              <w:rPr>
                <w:rFonts w:hint="eastAsia" w:ascii="宋体" w:hAnsi="宋体"/>
                <w:szCs w:val="21"/>
              </w:rPr>
              <w:t>-</w:t>
            </w:r>
            <w:r>
              <w:rPr>
                <w:rFonts w:ascii="宋体" w:hAnsi="宋体"/>
                <w:szCs w:val="21"/>
              </w:rPr>
              <w:t>20</w:t>
            </w:r>
            <w:r>
              <w:rPr>
                <w:rFonts w:hint="eastAsia" w:ascii="宋体" w:hAnsi="宋体"/>
                <w:szCs w:val="21"/>
              </w:rPr>
              <w:t>15的能源效率等级1级要求，整机功耗不高于350W。</w:t>
            </w:r>
          </w:p>
          <w:p>
            <w:pPr>
              <w:rPr>
                <w:rFonts w:ascii="宋体" w:hAnsi="宋体"/>
                <w:szCs w:val="21"/>
              </w:rPr>
            </w:pPr>
            <w:r>
              <w:rPr>
                <w:rFonts w:hint="eastAsia" w:ascii="宋体" w:hAnsi="宋体"/>
                <w:szCs w:val="21"/>
              </w:rPr>
              <w:t>五、多媒体智慧教学软件要求：</w:t>
            </w:r>
          </w:p>
          <w:p>
            <w:pPr>
              <w:pStyle w:val="13"/>
              <w:numPr>
                <w:ilvl w:val="0"/>
                <w:numId w:val="20"/>
              </w:numPr>
              <w:ind w:firstLineChars="0"/>
              <w:rPr>
                <w:rFonts w:ascii="宋体" w:hAnsi="宋体"/>
                <w:szCs w:val="21"/>
              </w:rPr>
            </w:pPr>
            <w:r>
              <w:rPr>
                <w:rFonts w:hint="eastAsia" w:ascii="宋体" w:hAnsi="宋体"/>
                <w:szCs w:val="21"/>
              </w:rPr>
              <w:t>备授课一体化，具有备课模式及授课模式，且操作界面根据备课和授课使用场景不同而区别设计，符合用户使用需求。</w:t>
            </w:r>
          </w:p>
          <w:p>
            <w:pPr>
              <w:pStyle w:val="13"/>
              <w:numPr>
                <w:ilvl w:val="0"/>
                <w:numId w:val="20"/>
              </w:numPr>
              <w:ind w:firstLineChars="0"/>
              <w:rPr>
                <w:rFonts w:ascii="宋体" w:hAnsi="宋体"/>
                <w:szCs w:val="21"/>
              </w:rPr>
            </w:pPr>
            <w:r>
              <w:rPr>
                <w:rFonts w:hint="eastAsia" w:ascii="宋体" w:hAnsi="宋体"/>
                <w:szCs w:val="21"/>
              </w:rPr>
              <w:t>交互设备双侧软件快捷键具备一个自定义功能按键，可自定义常用软件功能如：幕布、时钟、截图等，软件菜单功能按钮</w:t>
            </w:r>
            <w:r>
              <w:rPr>
                <w:rFonts w:ascii="宋体" w:hAnsi="宋体"/>
                <w:szCs w:val="21"/>
              </w:rPr>
              <w:t>/图标配备明确中文标识</w:t>
            </w:r>
            <w:r>
              <w:rPr>
                <w:rFonts w:hint="eastAsia" w:ascii="宋体" w:hAnsi="宋体"/>
                <w:szCs w:val="21"/>
              </w:rPr>
              <w:t>。</w:t>
            </w:r>
          </w:p>
          <w:p>
            <w:pPr>
              <w:pStyle w:val="13"/>
              <w:numPr>
                <w:ilvl w:val="0"/>
                <w:numId w:val="20"/>
              </w:numPr>
              <w:ind w:firstLineChars="0"/>
              <w:rPr>
                <w:rFonts w:ascii="宋体" w:hAnsi="宋体"/>
                <w:szCs w:val="21"/>
              </w:rPr>
            </w:pPr>
            <w:r>
              <w:rPr>
                <w:rFonts w:hint="eastAsia" w:ascii="宋体" w:hAnsi="宋体" w:cs="微软雅黑"/>
                <w:color w:val="000000"/>
                <w:kern w:val="0"/>
                <w:szCs w:val="21"/>
              </w:rPr>
              <w:t>★</w:t>
            </w:r>
            <w:r>
              <w:rPr>
                <w:rFonts w:hint="eastAsia" w:ascii="宋体" w:hAnsi="宋体"/>
                <w:szCs w:val="21"/>
              </w:rPr>
              <w:t>具有教育云平台，支持云端备课，教师可直接登陆云平台进行备课及课件下载使用，教师注册即可获得不少于200G</w:t>
            </w:r>
            <w:r>
              <w:rPr>
                <w:rFonts w:ascii="宋体" w:hAnsi="宋体"/>
                <w:szCs w:val="21"/>
              </w:rPr>
              <w:t>B</w:t>
            </w:r>
            <w:r>
              <w:rPr>
                <w:rFonts w:hint="eastAsia" w:ascii="宋体" w:hAnsi="宋体"/>
                <w:szCs w:val="21"/>
              </w:rPr>
              <w:t>的云盘容量，无需用户通过完成特定任务才能获取，方便教师使用。</w:t>
            </w:r>
          </w:p>
          <w:p>
            <w:pPr>
              <w:pStyle w:val="13"/>
              <w:numPr>
                <w:ilvl w:val="0"/>
                <w:numId w:val="20"/>
              </w:numPr>
              <w:ind w:firstLineChars="0"/>
              <w:rPr>
                <w:rFonts w:ascii="宋体" w:hAnsi="宋体"/>
                <w:szCs w:val="21"/>
              </w:rPr>
            </w:pPr>
            <w:r>
              <w:rPr>
                <w:rFonts w:hint="eastAsia" w:ascii="宋体" w:hAnsi="宋体"/>
                <w:szCs w:val="21"/>
              </w:rPr>
              <w:t>支持分组管理云课件，用户可自定义分组名称，并根据需要将课件分类管理。</w:t>
            </w:r>
          </w:p>
          <w:p>
            <w:pPr>
              <w:pStyle w:val="13"/>
              <w:numPr>
                <w:ilvl w:val="0"/>
                <w:numId w:val="20"/>
              </w:numPr>
              <w:ind w:firstLineChars="0"/>
              <w:rPr>
                <w:rFonts w:ascii="宋体" w:hAnsi="宋体"/>
                <w:szCs w:val="21"/>
              </w:rPr>
            </w:pPr>
            <w:r>
              <w:rPr>
                <w:rFonts w:hint="eastAsia" w:ascii="宋体" w:hAnsi="宋体"/>
                <w:szCs w:val="21"/>
              </w:rPr>
              <w:t>支持用户在软件中打开pptx格式文件，且用户可在软件中自由编辑原文件中的图片、文字、表格等元素，并支持修改原文件中的动画。方便老师利用软件互动功能在原有PPT基础上修改课件。</w:t>
            </w:r>
          </w:p>
          <w:p>
            <w:pPr>
              <w:pStyle w:val="13"/>
              <w:numPr>
                <w:ilvl w:val="0"/>
                <w:numId w:val="20"/>
              </w:numPr>
              <w:ind w:firstLineChars="0"/>
              <w:rPr>
                <w:rFonts w:ascii="宋体" w:hAnsi="宋体"/>
                <w:szCs w:val="21"/>
              </w:rPr>
            </w:pPr>
            <w:r>
              <w:rPr>
                <w:rFonts w:hint="eastAsia" w:ascii="宋体" w:hAnsi="宋体"/>
                <w:szCs w:val="21"/>
              </w:rPr>
              <w:t>书写：支持多笔同时书写，可自由选择笔颜色及粗细，支持手势擦除。</w:t>
            </w:r>
          </w:p>
          <w:p>
            <w:pPr>
              <w:pStyle w:val="13"/>
              <w:numPr>
                <w:ilvl w:val="0"/>
                <w:numId w:val="20"/>
              </w:numPr>
              <w:ind w:firstLineChars="0"/>
              <w:rPr>
                <w:rFonts w:ascii="宋体" w:hAnsi="宋体"/>
                <w:szCs w:val="21"/>
              </w:rPr>
            </w:pPr>
            <w:r>
              <w:rPr>
                <w:rFonts w:hint="eastAsia" w:ascii="宋体" w:hAnsi="宋体"/>
                <w:szCs w:val="21"/>
              </w:rPr>
              <w:t>文件导入：支持授课时本地导入并打开图片、音频、视频等多媒体文件。</w:t>
            </w:r>
          </w:p>
          <w:p>
            <w:pPr>
              <w:pStyle w:val="13"/>
              <w:numPr>
                <w:ilvl w:val="0"/>
                <w:numId w:val="20"/>
              </w:numPr>
              <w:ind w:firstLineChars="0"/>
              <w:rPr>
                <w:rFonts w:ascii="宋体" w:hAnsi="宋体"/>
                <w:szCs w:val="21"/>
              </w:rPr>
            </w:pPr>
            <w:r>
              <w:rPr>
                <w:rFonts w:hint="eastAsia" w:ascii="宋体" w:hAnsi="宋体"/>
                <w:szCs w:val="21"/>
              </w:rPr>
              <w:t>思维导图：提供思维导图、鱼骨图及组织结构图编辑功能，可轻松增删或拖拽编辑内容节点，并支持在节点上插入图片、音频、视频、网页链接、课件页面链接。支持思维导图逐级、逐个节点展开，满足不同演示需求。</w:t>
            </w:r>
          </w:p>
          <w:p>
            <w:pPr>
              <w:pStyle w:val="13"/>
              <w:numPr>
                <w:ilvl w:val="0"/>
                <w:numId w:val="20"/>
              </w:numPr>
              <w:ind w:firstLineChars="0"/>
              <w:rPr>
                <w:rFonts w:ascii="宋体" w:hAnsi="宋体"/>
                <w:szCs w:val="21"/>
              </w:rPr>
            </w:pPr>
            <w:r>
              <w:rPr>
                <w:rFonts w:hint="eastAsia" w:ascii="宋体" w:hAnsi="宋体"/>
                <w:szCs w:val="21"/>
              </w:rPr>
              <w:t>PPT课件批注功能：PPT全屏播放时可自动开启工具菜单，支持工具菜单收起与打开，提供PPT课件的播放控制(如前后翻页)、聚光灯、放大镜和书写批注等功能,支持生成二维码，快速分享课件；</w:t>
            </w:r>
          </w:p>
          <w:p>
            <w:pPr>
              <w:pStyle w:val="13"/>
              <w:numPr>
                <w:ilvl w:val="0"/>
                <w:numId w:val="21"/>
              </w:numPr>
              <w:ind w:firstLineChars="0"/>
              <w:rPr>
                <w:rFonts w:ascii="宋体" w:hAnsi="宋体"/>
                <w:szCs w:val="21"/>
              </w:rPr>
            </w:pPr>
            <w:r>
              <w:rPr>
                <w:rFonts w:hint="eastAsia" w:ascii="宋体" w:hAnsi="宋体"/>
                <w:szCs w:val="21"/>
              </w:rPr>
              <w:t>多媒体课件制作工具：</w:t>
            </w:r>
          </w:p>
          <w:p>
            <w:pPr>
              <w:pStyle w:val="13"/>
              <w:numPr>
                <w:ilvl w:val="0"/>
                <w:numId w:val="22"/>
              </w:numPr>
              <w:ind w:firstLineChars="0"/>
              <w:rPr>
                <w:rFonts w:ascii="宋体" w:hAnsi="宋体"/>
                <w:szCs w:val="21"/>
              </w:rPr>
            </w:pPr>
            <w:r>
              <w:rPr>
                <w:rFonts w:hint="eastAsia" w:ascii="宋体" w:hAnsi="宋体"/>
                <w:szCs w:val="21"/>
              </w:rPr>
              <w:t>支持两种登录方式，账号密码直接登录，手机验证码快捷登录；还支持免登录打开本地课件，软件分为备课模式和授课模式，满足老师不同的教学场景需求；</w:t>
            </w:r>
          </w:p>
          <w:p>
            <w:pPr>
              <w:pStyle w:val="13"/>
              <w:numPr>
                <w:ilvl w:val="0"/>
                <w:numId w:val="22"/>
              </w:numPr>
              <w:ind w:firstLineChars="0"/>
              <w:rPr>
                <w:rFonts w:ascii="宋体" w:hAnsi="宋体"/>
                <w:szCs w:val="21"/>
              </w:rPr>
            </w:pPr>
            <w:r>
              <w:rPr>
                <w:rFonts w:hint="eastAsia" w:ascii="宋体" w:hAnsi="宋体"/>
                <w:szCs w:val="21"/>
              </w:rPr>
              <w:t>提供预置的高质量课件素材，教师可在网页端、移动端、电脑端进行内容的选择与组合，快速生成课件并浏览。所有制作的课件均实时保存至云端，教师只需登录即可查看。</w:t>
            </w:r>
          </w:p>
          <w:p>
            <w:pPr>
              <w:pStyle w:val="13"/>
              <w:numPr>
                <w:ilvl w:val="0"/>
                <w:numId w:val="22"/>
              </w:numPr>
              <w:ind w:firstLineChars="0"/>
              <w:rPr>
                <w:rFonts w:ascii="宋体" w:hAnsi="宋体"/>
                <w:szCs w:val="21"/>
              </w:rPr>
            </w:pPr>
            <w:r>
              <w:rPr>
                <w:rFonts w:hint="eastAsia" w:ascii="宋体" w:hAnsi="宋体"/>
                <w:szCs w:val="21"/>
              </w:rPr>
              <w:t>支持老师根据教材章节目录、知识点选择对应的教学内容，老师仅需要按每个教学环节选择所需的教学模块即可快速生成一份课件，每个课时均提供过量的教学内容模块，满足老师的个性化需求；</w:t>
            </w:r>
          </w:p>
          <w:p>
            <w:pPr>
              <w:pStyle w:val="13"/>
              <w:numPr>
                <w:ilvl w:val="0"/>
                <w:numId w:val="22"/>
              </w:numPr>
              <w:ind w:firstLineChars="0"/>
              <w:rPr>
                <w:rFonts w:ascii="宋体" w:hAnsi="宋体"/>
                <w:szCs w:val="21"/>
              </w:rPr>
            </w:pPr>
            <w:r>
              <w:rPr>
                <w:rFonts w:hint="eastAsia" w:ascii="宋体" w:hAnsi="宋体"/>
                <w:szCs w:val="21"/>
              </w:rPr>
              <w:t>教学模块提供教学设计和课件内容，部分课件提供课件批注，帮助老师更好地选择、运用课件内容；</w:t>
            </w:r>
          </w:p>
          <w:p>
            <w:pPr>
              <w:pStyle w:val="13"/>
              <w:numPr>
                <w:ilvl w:val="0"/>
                <w:numId w:val="22"/>
              </w:numPr>
              <w:ind w:firstLineChars="0"/>
              <w:rPr>
                <w:rFonts w:ascii="宋体" w:hAnsi="宋体"/>
                <w:szCs w:val="21"/>
              </w:rPr>
            </w:pPr>
            <w:r>
              <w:rPr>
                <w:rFonts w:hint="eastAsia" w:ascii="宋体" w:hAnsi="宋体"/>
                <w:szCs w:val="21"/>
              </w:rPr>
              <w:t>支持将做好的课件打印成纸质版或导出成PDF，支持将做好的课件以链接的形式分享，同时，还支持扫码分享到手机微信。</w:t>
            </w:r>
          </w:p>
          <w:p>
            <w:r>
              <w:rPr>
                <w:rFonts w:hint="eastAsia" w:ascii="宋体" w:hAnsi="宋体"/>
                <w:szCs w:val="21"/>
              </w:rPr>
              <w:t>七、</w:t>
            </w:r>
            <w:r>
              <w:rPr>
                <w:rFonts w:hint="eastAsia"/>
              </w:rPr>
              <w:t>多屏互动软件系统：</w:t>
            </w:r>
          </w:p>
          <w:p>
            <w:pPr>
              <w:pStyle w:val="13"/>
              <w:numPr>
                <w:ilvl w:val="0"/>
                <w:numId w:val="23"/>
              </w:numPr>
              <w:ind w:firstLineChars="0"/>
              <w:rPr>
                <w:rFonts w:ascii="宋体" w:hAnsi="宋体" w:eastAsia="宋体"/>
                <w:kern w:val="0"/>
                <w:szCs w:val="21"/>
              </w:rPr>
            </w:pPr>
            <w:r>
              <w:rPr>
                <w:rFonts w:hint="eastAsia" w:ascii="宋体" w:hAnsi="宋体" w:eastAsia="宋体"/>
                <w:kern w:val="0"/>
                <w:szCs w:val="21"/>
              </w:rPr>
              <w:t>支持手机端、电脑端与交互显示设备无线投屏，可将笔记本电脑、手机、平板等移动终端文件传至交互显示设备，方便教师在接收端打开并操作文件。</w:t>
            </w:r>
          </w:p>
          <w:p>
            <w:pPr>
              <w:pStyle w:val="13"/>
              <w:numPr>
                <w:ilvl w:val="0"/>
                <w:numId w:val="23"/>
              </w:numPr>
              <w:ind w:firstLineChars="0"/>
              <w:rPr>
                <w:rFonts w:ascii="宋体" w:hAnsi="宋体" w:eastAsia="宋体"/>
                <w:kern w:val="0"/>
                <w:szCs w:val="21"/>
              </w:rPr>
            </w:pPr>
            <w:r>
              <w:rPr>
                <w:rFonts w:hint="eastAsia" w:ascii="宋体" w:hAnsi="宋体" w:eastAsia="宋体"/>
                <w:kern w:val="0"/>
                <w:szCs w:val="21"/>
              </w:rPr>
              <w:t>手机端向交互显示设备扫码连接时自动与交互显示设备网络匹配。</w:t>
            </w:r>
          </w:p>
          <w:p>
            <w:pPr>
              <w:pStyle w:val="13"/>
              <w:numPr>
                <w:ilvl w:val="0"/>
                <w:numId w:val="23"/>
              </w:numPr>
              <w:ind w:firstLineChars="0"/>
              <w:rPr>
                <w:rFonts w:ascii="宋体" w:hAnsi="宋体" w:eastAsia="宋体"/>
                <w:kern w:val="0"/>
                <w:szCs w:val="21"/>
              </w:rPr>
            </w:pPr>
            <w:r>
              <w:rPr>
                <w:rFonts w:hint="eastAsia" w:ascii="宋体" w:hAnsi="宋体" w:eastAsia="宋体"/>
                <w:kern w:val="0"/>
                <w:szCs w:val="21"/>
              </w:rPr>
              <w:t>手机端在移动授课时，浏览网页、播放在线音视频等不消耗手机网络流量。</w:t>
            </w:r>
          </w:p>
          <w:p>
            <w:pPr>
              <w:pStyle w:val="13"/>
              <w:numPr>
                <w:ilvl w:val="0"/>
                <w:numId w:val="23"/>
              </w:numPr>
              <w:ind w:firstLineChars="0"/>
              <w:rPr>
                <w:rFonts w:ascii="宋体" w:hAnsi="宋体" w:eastAsia="宋体"/>
                <w:kern w:val="0"/>
                <w:szCs w:val="21"/>
              </w:rPr>
            </w:pPr>
            <w:r>
              <w:rPr>
                <w:rFonts w:hint="eastAsia" w:ascii="宋体" w:hAnsi="宋体" w:eastAsia="宋体"/>
                <w:kern w:val="0"/>
                <w:szCs w:val="21"/>
              </w:rPr>
              <w:t>支持多张图片图片、音视频等影像上传，可对上传图片进行裁剪、旋转双向批注/擦除功能。</w:t>
            </w:r>
          </w:p>
          <w:p>
            <w:pPr>
              <w:pStyle w:val="13"/>
              <w:numPr>
                <w:ilvl w:val="0"/>
                <w:numId w:val="23"/>
              </w:numPr>
              <w:ind w:firstLineChars="0"/>
              <w:rPr>
                <w:rFonts w:ascii="宋体" w:hAnsi="宋体" w:eastAsia="宋体"/>
                <w:kern w:val="0"/>
                <w:szCs w:val="21"/>
              </w:rPr>
            </w:pPr>
            <w:r>
              <w:rPr>
                <w:rFonts w:hint="eastAsia" w:ascii="宋体" w:hAnsi="宋体" w:cs="微软雅黑"/>
                <w:color w:val="000000"/>
                <w:kern w:val="0"/>
                <w:szCs w:val="21"/>
              </w:rPr>
              <w:t>★</w:t>
            </w:r>
            <w:r>
              <w:rPr>
                <w:rFonts w:hint="eastAsia" w:ascii="宋体" w:hAnsi="宋体" w:eastAsia="宋体"/>
                <w:kern w:val="0"/>
                <w:szCs w:val="21"/>
              </w:rPr>
              <w:t>支持Android、iOS、Windows系统的投屏画面，可支持不少于6个终端设备同时投屏，并自动分屏排布，可将任意一路画面全屏播放，并支持所投视频音频同时播放；支持多手机同时连接交互显示设备，可设置指定设备为主控设备。</w:t>
            </w:r>
          </w:p>
          <w:p>
            <w:pPr>
              <w:pStyle w:val="13"/>
              <w:numPr>
                <w:ilvl w:val="0"/>
                <w:numId w:val="23"/>
              </w:numPr>
              <w:ind w:left="420" w:leftChars="0" w:hanging="420" w:firstLineChars="0"/>
              <w:rPr>
                <w:rFonts w:hint="eastAsia" w:ascii="宋体" w:hAnsi="宋体" w:eastAsia="宋体" w:cs="宋体"/>
                <w:i w:val="0"/>
                <w:iCs w:val="0"/>
                <w:color w:val="000000"/>
                <w:sz w:val="18"/>
                <w:szCs w:val="18"/>
                <w:u w:val="none"/>
              </w:rPr>
            </w:pPr>
            <w:r>
              <w:rPr>
                <w:rFonts w:hint="eastAsia" w:ascii="宋体" w:hAnsi="宋体" w:eastAsia="宋体"/>
                <w:kern w:val="0"/>
                <w:szCs w:val="21"/>
              </w:rPr>
              <w:t>软件具有直播功能，直播时可切换前后镜头画面。</w:t>
            </w:r>
          </w:p>
        </w:tc>
        <w:tc>
          <w:tcPr>
            <w:tcW w:w="645" w:type="dxa"/>
            <w:tcBorders>
              <w:top w:val="single" w:color="000000" w:sz="12" w:space="0"/>
              <w:left w:val="single" w:color="000000" w:sz="12" w:space="0"/>
              <w:bottom w:val="single" w:color="000000" w:sz="12" w:space="0"/>
              <w:right w:val="single" w:color="000000" w:sz="12" w:space="0"/>
            </w:tcBorders>
            <w:noWrap w:val="0"/>
            <w:vAlign w:val="center"/>
          </w:tcPr>
          <w:p>
            <w:pPr>
              <w:pStyle w:val="13"/>
              <w:numPr>
                <w:ilvl w:val="0"/>
                <w:numId w:val="0"/>
              </w:numPr>
              <w:ind w:left="0" w:leftChars="0"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kern w:val="0"/>
                <w:szCs w:val="21"/>
                <w:lang w:val="en-US" w:eastAsia="zh-CN"/>
              </w:rPr>
              <w:t>85</w:t>
            </w:r>
          </w:p>
        </w:tc>
        <w:tc>
          <w:tcPr>
            <w:tcW w:w="330" w:type="dxa"/>
            <w:tcBorders>
              <w:top w:val="single" w:color="000000" w:sz="12" w:space="0"/>
              <w:left w:val="single" w:color="000000" w:sz="12" w:space="0"/>
              <w:bottom w:val="single" w:color="000000" w:sz="12" w:space="0"/>
              <w:right w:val="single" w:color="000000" w:sz="12" w:space="0"/>
            </w:tcBorders>
            <w:noWrap w:val="0"/>
            <w:vAlign w:val="center"/>
          </w:tcPr>
          <w:p>
            <w:pPr>
              <w:pStyle w:val="13"/>
              <w:numPr>
                <w:ilvl w:val="0"/>
                <w:numId w:val="0"/>
              </w:numPr>
              <w:ind w:left="0" w:leftChars="0" w:firstLine="0" w:firstLineChars="0"/>
              <w:jc w:val="center"/>
              <w:rPr>
                <w:rFonts w:hint="eastAsia" w:ascii="宋体" w:hAnsi="宋体" w:eastAsia="宋体" w:cs="宋体"/>
                <w:i w:val="0"/>
                <w:iCs w:val="0"/>
                <w:color w:val="000000"/>
                <w:sz w:val="18"/>
                <w:szCs w:val="18"/>
                <w:u w:val="none"/>
              </w:rPr>
            </w:pPr>
            <w:r>
              <w:rPr>
                <w:rFonts w:hint="eastAsia" w:ascii="宋体" w:hAnsi="宋体"/>
                <w:kern w:val="0"/>
                <w:szCs w:val="21"/>
                <w:lang w:val="en-US" w:eastAsia="zh-CN"/>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rPr>
              <w:t>2</w:t>
            </w:r>
          </w:p>
        </w:tc>
        <w:tc>
          <w:tcPr>
            <w:tcW w:w="63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i w:val="0"/>
                <w:iCs w:val="0"/>
                <w:color w:val="000000"/>
                <w:sz w:val="18"/>
                <w:szCs w:val="18"/>
                <w:u w:val="none"/>
              </w:rPr>
            </w:pPr>
            <w:r>
              <w:rPr>
                <w:rFonts w:hint="eastAsia" w:ascii="宋体" w:hAnsi="宋体" w:eastAsia="宋体" w:cs="宋体"/>
              </w:rPr>
              <w:t>多媒体设备集控管理平台</w:t>
            </w:r>
          </w:p>
        </w:tc>
        <w:tc>
          <w:tcPr>
            <w:tcW w:w="6705" w:type="dxa"/>
            <w:tcBorders>
              <w:top w:val="single" w:color="000000" w:sz="12" w:space="0"/>
              <w:left w:val="single" w:color="000000" w:sz="12" w:space="0"/>
              <w:bottom w:val="single" w:color="000000" w:sz="12" w:space="0"/>
              <w:right w:val="single" w:color="000000" w:sz="12" w:space="0"/>
            </w:tcBorders>
            <w:noWrap w:val="0"/>
            <w:vAlign w:val="top"/>
          </w:tcPr>
          <w:p>
            <w:pPr>
              <w:pStyle w:val="13"/>
              <w:numPr>
                <w:ilvl w:val="0"/>
                <w:numId w:val="24"/>
              </w:numPr>
              <w:ind w:firstLineChars="0"/>
              <w:rPr>
                <w:rFonts w:ascii="宋体" w:hAnsi="宋体" w:eastAsia="宋体" w:cs="仿宋"/>
                <w:color w:val="000000"/>
                <w:szCs w:val="21"/>
              </w:rPr>
            </w:pPr>
            <w:r>
              <w:rPr>
                <w:rFonts w:hint="eastAsia" w:ascii="宋体" w:hAnsi="宋体" w:eastAsia="宋体" w:cs="仿宋"/>
                <w:color w:val="000000"/>
                <w:szCs w:val="21"/>
              </w:rPr>
              <w:t>后台控制端采用 B/S 架构设计，可在 Windows、Linux、Android、IOS 等多种不同的操作系统上通过网页浏览器登录进行操作；</w:t>
            </w:r>
          </w:p>
          <w:p>
            <w:pPr>
              <w:pStyle w:val="13"/>
              <w:numPr>
                <w:ilvl w:val="0"/>
                <w:numId w:val="24"/>
              </w:numPr>
              <w:ind w:firstLineChars="0"/>
              <w:rPr>
                <w:rFonts w:ascii="宋体" w:hAnsi="宋体" w:eastAsia="宋体" w:cs="仿宋"/>
                <w:color w:val="000000"/>
                <w:szCs w:val="21"/>
              </w:rPr>
            </w:pPr>
            <w:r>
              <w:rPr>
                <w:rFonts w:hint="eastAsia" w:ascii="宋体" w:hAnsi="宋体" w:eastAsia="宋体" w:cs="仿宋"/>
                <w:color w:val="000000"/>
                <w:szCs w:val="21"/>
              </w:rPr>
              <w:t>安全管理：首次登录，切换环境登录时验证用户身份，保障系统安全性；</w:t>
            </w:r>
          </w:p>
          <w:p>
            <w:pPr>
              <w:pStyle w:val="13"/>
              <w:numPr>
                <w:ilvl w:val="0"/>
                <w:numId w:val="24"/>
              </w:numPr>
              <w:ind w:firstLineChars="0"/>
              <w:rPr>
                <w:rFonts w:ascii="宋体" w:hAnsi="宋体" w:eastAsia="宋体" w:cs="仿宋"/>
                <w:color w:val="000000"/>
                <w:szCs w:val="21"/>
              </w:rPr>
            </w:pPr>
            <w:r>
              <w:rPr>
                <w:rFonts w:hint="eastAsia" w:ascii="宋体" w:hAnsi="宋体" w:eastAsia="宋体" w:cs="仿宋"/>
                <w:color w:val="000000"/>
                <w:szCs w:val="21"/>
              </w:rPr>
              <w:t>多层级用户管理：可设置不同权限的管理员，分配地点管理校园设备；</w:t>
            </w:r>
          </w:p>
          <w:p>
            <w:pPr>
              <w:pStyle w:val="13"/>
              <w:numPr>
                <w:ilvl w:val="0"/>
                <w:numId w:val="24"/>
              </w:numPr>
              <w:ind w:firstLineChars="0"/>
              <w:rPr>
                <w:rFonts w:ascii="宋体" w:hAnsi="宋体" w:eastAsia="宋体" w:cs="仿宋"/>
                <w:color w:val="000000"/>
                <w:szCs w:val="21"/>
              </w:rPr>
            </w:pPr>
            <w:r>
              <w:rPr>
                <w:rFonts w:hint="eastAsia" w:ascii="宋体" w:hAnsi="宋体" w:eastAsia="宋体" w:cs="仿宋"/>
                <w:color w:val="000000"/>
                <w:szCs w:val="21"/>
              </w:rPr>
              <w:t>设备详情：查看局域网内所有设备的状态，包括在线、离线状态、教室名称、信号源、内存使用率、CPU使用率、C盘使用率，音量、音响模式、节能模式；</w:t>
            </w:r>
          </w:p>
          <w:p>
            <w:pPr>
              <w:pStyle w:val="13"/>
              <w:numPr>
                <w:ilvl w:val="0"/>
                <w:numId w:val="24"/>
              </w:numPr>
              <w:ind w:firstLineChars="0"/>
              <w:rPr>
                <w:rFonts w:ascii="宋体" w:hAnsi="宋体" w:eastAsia="宋体" w:cs="仿宋"/>
                <w:color w:val="000000"/>
                <w:szCs w:val="21"/>
              </w:rPr>
            </w:pPr>
            <w:r>
              <w:rPr>
                <w:rFonts w:hint="eastAsia" w:ascii="宋体" w:hAnsi="宋体" w:eastAsia="宋体" w:cs="仿宋"/>
                <w:color w:val="000000"/>
                <w:szCs w:val="21"/>
              </w:rPr>
              <w:t>远程监控：实时监控当前设备桌面，支持同时查看设备使用情况；</w:t>
            </w:r>
          </w:p>
          <w:p>
            <w:pPr>
              <w:pStyle w:val="13"/>
              <w:numPr>
                <w:ilvl w:val="0"/>
                <w:numId w:val="24"/>
              </w:numPr>
              <w:ind w:firstLineChars="0"/>
              <w:rPr>
                <w:rFonts w:ascii="宋体" w:hAnsi="宋体" w:eastAsia="宋体" w:cs="仿宋"/>
                <w:color w:val="000000"/>
                <w:szCs w:val="21"/>
              </w:rPr>
            </w:pPr>
            <w:r>
              <w:rPr>
                <w:rFonts w:hint="eastAsia" w:ascii="宋体" w:hAnsi="宋体" w:eastAsia="宋体" w:cs="仿宋"/>
                <w:color w:val="000000"/>
                <w:szCs w:val="21"/>
              </w:rPr>
              <w:t>即时/定时操作控制：批量对选定的受控设备进行关机、触控切换（屏幕触控锁定、解锁）、信号源切换、远程节能切换操作；</w:t>
            </w:r>
          </w:p>
          <w:p>
            <w:pPr>
              <w:pStyle w:val="13"/>
              <w:numPr>
                <w:ilvl w:val="0"/>
                <w:numId w:val="24"/>
              </w:numPr>
              <w:ind w:firstLineChars="0"/>
              <w:rPr>
                <w:rFonts w:ascii="宋体" w:hAnsi="宋体" w:eastAsia="宋体" w:cs="仿宋"/>
                <w:color w:val="000000"/>
                <w:szCs w:val="21"/>
              </w:rPr>
            </w:pPr>
            <w:r>
              <w:rPr>
                <w:rFonts w:hint="eastAsia" w:ascii="宋体" w:hAnsi="宋体" w:eastAsia="宋体" w:cs="仿宋"/>
                <w:color w:val="000000"/>
                <w:szCs w:val="21"/>
              </w:rPr>
              <w:t>远程控制：可远程控制所选择设备桌面，方便用户管理；</w:t>
            </w:r>
          </w:p>
          <w:p>
            <w:pPr>
              <w:pStyle w:val="13"/>
              <w:numPr>
                <w:ilvl w:val="0"/>
                <w:numId w:val="24"/>
              </w:numPr>
              <w:ind w:firstLineChars="0"/>
              <w:rPr>
                <w:rFonts w:ascii="宋体" w:hAnsi="宋体" w:eastAsia="宋体" w:cs="仿宋"/>
                <w:color w:val="000000"/>
                <w:szCs w:val="21"/>
              </w:rPr>
            </w:pPr>
            <w:r>
              <w:rPr>
                <w:rFonts w:hint="eastAsia" w:ascii="宋体" w:hAnsi="宋体" w:eastAsia="宋体" w:cs="仿宋"/>
                <w:color w:val="000000"/>
                <w:szCs w:val="21"/>
              </w:rPr>
              <w:t>控制列表：支持查看控制列表，查看立即控制、定时计划、信息发布、课间文化等内容；可对具体某项定时操作进行撤销；</w:t>
            </w:r>
          </w:p>
          <w:p>
            <w:pPr>
              <w:pStyle w:val="13"/>
              <w:numPr>
                <w:ilvl w:val="0"/>
                <w:numId w:val="24"/>
              </w:numPr>
              <w:ind w:firstLineChars="0"/>
              <w:rPr>
                <w:rFonts w:ascii="宋体" w:hAnsi="宋体" w:eastAsia="宋体" w:cs="仿宋"/>
                <w:color w:val="000000"/>
                <w:szCs w:val="21"/>
              </w:rPr>
            </w:pPr>
            <w:r>
              <w:rPr>
                <w:rFonts w:hint="eastAsia" w:ascii="宋体" w:hAnsi="宋体" w:eastAsia="宋体" w:cs="仿宋"/>
                <w:color w:val="000000"/>
                <w:szCs w:val="21"/>
              </w:rPr>
              <w:t xml:space="preserve">发布信息：可即时向任意选定的设备发布纯文本信息，支持常驻桌面型、滚动发布型及气泡弹出提示，可设置播放时长，支持再次编辑；支持设置字体及字体颜色； </w:t>
            </w:r>
          </w:p>
          <w:p>
            <w:pPr>
              <w:pStyle w:val="13"/>
              <w:numPr>
                <w:ilvl w:val="0"/>
                <w:numId w:val="24"/>
              </w:numPr>
              <w:ind w:firstLineChars="0"/>
              <w:rPr>
                <w:rFonts w:ascii="宋体" w:hAnsi="宋体" w:eastAsia="宋体" w:cs="仿宋"/>
                <w:color w:val="000000"/>
                <w:szCs w:val="21"/>
              </w:rPr>
            </w:pPr>
            <w:r>
              <w:rPr>
                <w:rFonts w:hint="eastAsia" w:ascii="宋体" w:hAnsi="宋体" w:eastAsia="宋体" w:cs="仿宋"/>
                <w:color w:val="000000"/>
                <w:szCs w:val="21"/>
              </w:rPr>
              <w:t xml:space="preserve">文件分发：支持多文件推送至任意选定的设备，包括文本、图片、pdf、word、excel、ppt、flash、音视频； </w:t>
            </w:r>
          </w:p>
          <w:p>
            <w:pPr>
              <w:pStyle w:val="13"/>
              <w:numPr>
                <w:ilvl w:val="0"/>
                <w:numId w:val="24"/>
              </w:numPr>
              <w:ind w:firstLineChars="0"/>
              <w:rPr>
                <w:rFonts w:ascii="宋体" w:hAnsi="宋体" w:eastAsia="宋体" w:cs="仿宋"/>
                <w:color w:val="000000"/>
                <w:szCs w:val="21"/>
              </w:rPr>
            </w:pPr>
            <w:r>
              <w:rPr>
                <w:rFonts w:hint="eastAsia" w:ascii="宋体" w:hAnsi="宋体" w:eastAsia="宋体" w:cs="仿宋"/>
                <w:color w:val="000000"/>
                <w:szCs w:val="21"/>
              </w:rPr>
              <w:t>软件管理：可上传软件至集控平台，自动下发至桌面，便于管理终端软件；</w:t>
            </w:r>
          </w:p>
          <w:p>
            <w:pPr>
              <w:pStyle w:val="13"/>
              <w:numPr>
                <w:ilvl w:val="0"/>
                <w:numId w:val="24"/>
              </w:numPr>
              <w:ind w:firstLineChars="0"/>
              <w:rPr>
                <w:rFonts w:ascii="宋体" w:hAnsi="宋体" w:eastAsia="宋体" w:cs="仿宋"/>
                <w:color w:val="000000"/>
                <w:szCs w:val="21"/>
              </w:rPr>
            </w:pPr>
            <w:r>
              <w:rPr>
                <w:rFonts w:hint="eastAsia" w:ascii="宋体" w:hAnsi="宋体" w:eastAsia="宋体" w:cs="仿宋"/>
                <w:color w:val="000000"/>
                <w:szCs w:val="21"/>
              </w:rPr>
              <w:t>课间文化：选择音/视频下发至大屏，自定义时间自动播放；无需部署本地服务器；</w:t>
            </w:r>
          </w:p>
          <w:p>
            <w:pPr>
              <w:pStyle w:val="24"/>
              <w:numPr>
                <w:ilvl w:val="0"/>
                <w:numId w:val="24"/>
              </w:numPr>
              <w:ind w:left="360" w:leftChars="0" w:hanging="360" w:firstLineChars="0"/>
              <w:jc w:val="left"/>
              <w:rPr>
                <w:rFonts w:hint="eastAsia" w:ascii="宋体" w:hAnsi="宋体" w:eastAsia="宋体" w:cs="宋体"/>
                <w:i w:val="0"/>
                <w:iCs w:val="0"/>
                <w:color w:val="000000"/>
                <w:sz w:val="18"/>
                <w:szCs w:val="18"/>
                <w:u w:val="none"/>
              </w:rPr>
            </w:pPr>
            <w:r>
              <w:rPr>
                <w:rFonts w:hint="eastAsia" w:ascii="宋体" w:hAnsi="宋体" w:eastAsia="宋体" w:cs="仿宋"/>
                <w:color w:val="000000"/>
                <w:szCs w:val="21"/>
              </w:rPr>
              <w:t>巡课管理：默认查看当前屏幕画面，可一键切换为摄像头画面，通过摄像头获取当前教室画面，同步教室声音；无需部署本地巡课服务器。</w:t>
            </w:r>
          </w:p>
        </w:tc>
        <w:tc>
          <w:tcPr>
            <w:tcW w:w="645" w:type="dxa"/>
            <w:tcBorders>
              <w:top w:val="single" w:color="000000" w:sz="12" w:space="0"/>
              <w:left w:val="single" w:color="000000" w:sz="12" w:space="0"/>
              <w:bottom w:val="single" w:color="000000" w:sz="12" w:space="0"/>
              <w:right w:val="single" w:color="000000" w:sz="12" w:space="0"/>
            </w:tcBorders>
            <w:noWrap w:val="0"/>
            <w:vAlign w:val="center"/>
          </w:tcPr>
          <w:p>
            <w:pPr>
              <w:pStyle w:val="24"/>
              <w:numPr>
                <w:ilvl w:val="0"/>
                <w:numId w:val="0"/>
              </w:numPr>
              <w:ind w:left="0" w:leftChars="0" w:firstLine="0" w:firstLineChars="0"/>
              <w:jc w:val="center"/>
              <w:rPr>
                <w:rFonts w:hint="eastAsia" w:ascii="宋体" w:hAnsi="宋体" w:eastAsia="宋体" w:cs="仿宋"/>
                <w:color w:val="000000"/>
                <w:szCs w:val="21"/>
                <w:lang w:val="en-US" w:eastAsia="zh-CN"/>
              </w:rPr>
            </w:pPr>
          </w:p>
          <w:p>
            <w:pPr>
              <w:pStyle w:val="24"/>
              <w:numPr>
                <w:ilvl w:val="0"/>
                <w:numId w:val="0"/>
              </w:numPr>
              <w:ind w:left="0" w:leftChars="0" w:firstLine="0" w:firstLineChars="0"/>
              <w:jc w:val="center"/>
              <w:rPr>
                <w:rFonts w:hint="eastAsia" w:ascii="宋体" w:hAnsi="宋体" w:eastAsia="宋体" w:cs="仿宋"/>
                <w:color w:val="000000"/>
                <w:szCs w:val="21"/>
                <w:lang w:val="en-US" w:eastAsia="zh-CN"/>
              </w:rPr>
            </w:pPr>
          </w:p>
          <w:p>
            <w:pPr>
              <w:pStyle w:val="24"/>
              <w:numPr>
                <w:ilvl w:val="0"/>
                <w:numId w:val="0"/>
              </w:numPr>
              <w:ind w:left="0" w:leftChars="0" w:firstLine="0" w:firstLineChars="0"/>
              <w:jc w:val="center"/>
              <w:rPr>
                <w:rFonts w:hint="eastAsia" w:ascii="宋体" w:hAnsi="宋体" w:eastAsia="宋体" w:cs="仿宋"/>
                <w:color w:val="000000"/>
                <w:szCs w:val="21"/>
                <w:lang w:val="en-US" w:eastAsia="zh-CN"/>
              </w:rPr>
            </w:pPr>
          </w:p>
          <w:p>
            <w:pPr>
              <w:pStyle w:val="24"/>
              <w:numPr>
                <w:ilvl w:val="0"/>
                <w:numId w:val="0"/>
              </w:numPr>
              <w:ind w:left="0" w:leftChars="0" w:firstLine="0" w:firstLineChars="0"/>
              <w:jc w:val="center"/>
              <w:rPr>
                <w:rFonts w:hint="eastAsia" w:ascii="宋体" w:hAnsi="宋体" w:eastAsia="宋体" w:cs="仿宋"/>
                <w:color w:val="000000"/>
                <w:szCs w:val="21"/>
                <w:lang w:val="en-US" w:eastAsia="zh-CN"/>
              </w:rPr>
            </w:pPr>
          </w:p>
          <w:p>
            <w:pPr>
              <w:pStyle w:val="24"/>
              <w:numPr>
                <w:ilvl w:val="0"/>
                <w:numId w:val="0"/>
              </w:numPr>
              <w:ind w:left="0" w:leftChars="0"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仿宋"/>
                <w:color w:val="000000"/>
                <w:szCs w:val="21"/>
                <w:lang w:val="en-US" w:eastAsia="zh-CN"/>
              </w:rPr>
              <w:t>1</w:t>
            </w:r>
          </w:p>
        </w:tc>
        <w:tc>
          <w:tcPr>
            <w:tcW w:w="330" w:type="dxa"/>
            <w:tcBorders>
              <w:top w:val="single" w:color="000000" w:sz="12" w:space="0"/>
              <w:left w:val="single" w:color="000000" w:sz="12" w:space="0"/>
              <w:bottom w:val="single" w:color="000000" w:sz="12" w:space="0"/>
              <w:right w:val="single" w:color="000000" w:sz="12" w:space="0"/>
            </w:tcBorders>
            <w:noWrap w:val="0"/>
            <w:vAlign w:val="center"/>
          </w:tcPr>
          <w:p>
            <w:pPr>
              <w:pStyle w:val="24"/>
              <w:numPr>
                <w:ilvl w:val="0"/>
                <w:numId w:val="0"/>
              </w:numPr>
              <w:ind w:left="0" w:leftChars="0" w:firstLine="0" w:firstLineChars="0"/>
              <w:jc w:val="center"/>
              <w:rPr>
                <w:rFonts w:hint="eastAsia" w:ascii="宋体" w:hAnsi="宋体" w:eastAsia="宋体" w:cs="仿宋"/>
                <w:color w:val="000000"/>
                <w:szCs w:val="21"/>
                <w:lang w:val="en-US" w:eastAsia="zh-CN"/>
              </w:rPr>
            </w:pPr>
          </w:p>
          <w:p>
            <w:pPr>
              <w:pStyle w:val="24"/>
              <w:numPr>
                <w:ilvl w:val="0"/>
                <w:numId w:val="0"/>
              </w:numPr>
              <w:ind w:left="0" w:leftChars="0" w:firstLine="0" w:firstLineChars="0"/>
              <w:jc w:val="center"/>
              <w:rPr>
                <w:rFonts w:hint="eastAsia" w:ascii="宋体" w:hAnsi="宋体" w:eastAsia="宋体" w:cs="仿宋"/>
                <w:color w:val="000000"/>
                <w:szCs w:val="21"/>
                <w:lang w:val="en-US" w:eastAsia="zh-CN"/>
              </w:rPr>
            </w:pPr>
          </w:p>
          <w:p>
            <w:pPr>
              <w:pStyle w:val="24"/>
              <w:numPr>
                <w:ilvl w:val="0"/>
                <w:numId w:val="0"/>
              </w:numPr>
              <w:ind w:left="0" w:leftChars="0" w:firstLine="0" w:firstLineChars="0"/>
              <w:jc w:val="center"/>
              <w:rPr>
                <w:rFonts w:hint="eastAsia" w:ascii="宋体" w:hAnsi="宋体" w:eastAsia="宋体" w:cs="仿宋"/>
                <w:color w:val="000000"/>
                <w:szCs w:val="21"/>
                <w:lang w:val="en-US" w:eastAsia="zh-CN"/>
              </w:rPr>
            </w:pPr>
          </w:p>
          <w:p>
            <w:pPr>
              <w:pStyle w:val="24"/>
              <w:numPr>
                <w:ilvl w:val="0"/>
                <w:numId w:val="0"/>
              </w:numPr>
              <w:ind w:left="0" w:leftChars="0" w:firstLine="0" w:firstLineChars="0"/>
              <w:jc w:val="center"/>
              <w:rPr>
                <w:rFonts w:hint="eastAsia" w:ascii="宋体" w:hAnsi="宋体" w:eastAsia="宋体" w:cs="仿宋"/>
                <w:color w:val="000000"/>
                <w:szCs w:val="21"/>
                <w:lang w:val="en-US" w:eastAsia="zh-CN"/>
              </w:rPr>
            </w:pPr>
          </w:p>
          <w:p>
            <w:pPr>
              <w:pStyle w:val="24"/>
              <w:numPr>
                <w:ilvl w:val="0"/>
                <w:numId w:val="0"/>
              </w:numPr>
              <w:ind w:left="0" w:leftChars="0"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仿宋"/>
                <w:color w:val="000000"/>
                <w:szCs w:val="21"/>
                <w:lang w:val="en-US" w:eastAsia="zh-CN"/>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adjustRightInd w:val="0"/>
              <w:snapToGrid w:val="0"/>
              <w:spacing w:line="300" w:lineRule="exact"/>
              <w:jc w:val="center"/>
              <w:rPr>
                <w:rFonts w:hint="eastAsia" w:ascii="宋体" w:hAnsi="宋体" w:eastAsia="宋体" w:cs="宋体"/>
                <w:i w:val="0"/>
                <w:iCs w:val="0"/>
                <w:color w:val="000000"/>
                <w:sz w:val="18"/>
                <w:szCs w:val="18"/>
                <w:u w:val="none"/>
              </w:rPr>
            </w:pPr>
            <w:r>
              <w:rPr>
                <w:rFonts w:hint="eastAsia" w:ascii="宋体" w:hAnsi="宋体" w:cs="宋体"/>
                <w:w w:val="99"/>
                <w:kern w:val="0"/>
                <w:szCs w:val="21"/>
                <w:lang w:bidi="ar"/>
              </w:rPr>
              <w:t>3</w:t>
            </w:r>
          </w:p>
        </w:tc>
        <w:tc>
          <w:tcPr>
            <w:tcW w:w="630" w:type="dxa"/>
            <w:tcBorders>
              <w:top w:val="single" w:color="000000" w:sz="12" w:space="0"/>
              <w:left w:val="single" w:color="000000" w:sz="12" w:space="0"/>
              <w:bottom w:val="single" w:color="000000" w:sz="12" w:space="0"/>
              <w:right w:val="single" w:color="000000" w:sz="12" w:space="0"/>
            </w:tcBorders>
            <w:noWrap w:val="0"/>
            <w:vAlign w:val="center"/>
          </w:tcPr>
          <w:p>
            <w:pPr>
              <w:adjustRightInd w:val="0"/>
              <w:snapToGrid w:val="0"/>
              <w:spacing w:line="300" w:lineRule="exact"/>
              <w:jc w:val="center"/>
              <w:rPr>
                <w:rFonts w:hint="eastAsia" w:ascii="宋体" w:hAnsi="宋体" w:eastAsia="宋体" w:cs="宋体"/>
                <w:i w:val="0"/>
                <w:iCs w:val="0"/>
                <w:color w:val="000000"/>
                <w:sz w:val="18"/>
                <w:szCs w:val="18"/>
                <w:u w:val="none"/>
              </w:rPr>
            </w:pPr>
            <w:r>
              <w:rPr>
                <w:rFonts w:hint="eastAsia" w:ascii="宋体" w:hAnsi="宋体" w:cs="宋体"/>
                <w:w w:val="99"/>
                <w:szCs w:val="21"/>
              </w:rPr>
              <w:t>视频展台</w:t>
            </w:r>
          </w:p>
        </w:tc>
        <w:tc>
          <w:tcPr>
            <w:tcW w:w="6705" w:type="dxa"/>
            <w:tcBorders>
              <w:top w:val="single" w:color="000000" w:sz="12" w:space="0"/>
              <w:left w:val="single" w:color="000000" w:sz="12" w:space="0"/>
              <w:bottom w:val="single" w:color="000000" w:sz="12" w:space="0"/>
              <w:right w:val="single" w:color="000000" w:sz="12" w:space="0"/>
            </w:tcBorders>
            <w:noWrap w:val="0"/>
            <w:vAlign w:val="top"/>
          </w:tcPr>
          <w:p>
            <w:pPr>
              <w:pStyle w:val="24"/>
              <w:numPr>
                <w:ilvl w:val="0"/>
                <w:numId w:val="25"/>
              </w:numPr>
              <w:ind w:firstLineChars="0"/>
              <w:jc w:val="left"/>
              <w:rPr>
                <w:rFonts w:ascii="宋体" w:hAnsi="宋体" w:eastAsia="宋体" w:cs="宋体"/>
                <w:szCs w:val="21"/>
              </w:rPr>
            </w:pPr>
            <w:r>
              <w:rPr>
                <w:rFonts w:ascii="宋体" w:hAnsi="宋体" w:eastAsia="宋体" w:cs="宋体"/>
                <w:szCs w:val="21"/>
              </w:rPr>
              <w:t>为保证托板表面平整性，托板采用单板结构。</w:t>
            </w:r>
          </w:p>
          <w:p>
            <w:pPr>
              <w:pStyle w:val="24"/>
              <w:numPr>
                <w:ilvl w:val="0"/>
                <w:numId w:val="25"/>
              </w:numPr>
              <w:ind w:firstLineChars="0"/>
              <w:jc w:val="left"/>
              <w:rPr>
                <w:rFonts w:ascii="宋体" w:hAnsi="宋体" w:eastAsia="宋体" w:cs="宋体"/>
                <w:szCs w:val="21"/>
              </w:rPr>
            </w:pPr>
            <w:r>
              <w:rPr>
                <w:rFonts w:ascii="宋体" w:hAnsi="宋体" w:eastAsia="宋体" w:cs="宋体"/>
                <w:szCs w:val="21"/>
              </w:rPr>
              <w:t>拍摄幅面不小于A4。</w:t>
            </w:r>
          </w:p>
          <w:p>
            <w:pPr>
              <w:pStyle w:val="24"/>
              <w:numPr>
                <w:ilvl w:val="0"/>
                <w:numId w:val="25"/>
              </w:numPr>
              <w:ind w:firstLineChars="0"/>
              <w:jc w:val="left"/>
              <w:rPr>
                <w:rFonts w:ascii="宋体" w:hAnsi="宋体" w:eastAsia="宋体" w:cs="宋体"/>
                <w:szCs w:val="21"/>
              </w:rPr>
            </w:pPr>
            <w:r>
              <w:rPr>
                <w:rFonts w:hint="eastAsia" w:ascii="宋体" w:hAnsi="宋体" w:eastAsia="宋体" w:cs="宋体"/>
                <w:szCs w:val="21"/>
              </w:rPr>
              <w:t>镜头</w:t>
            </w:r>
            <w:r>
              <w:rPr>
                <w:rFonts w:ascii="宋体" w:hAnsi="宋体" w:eastAsia="宋体" w:cs="宋体"/>
                <w:szCs w:val="21"/>
              </w:rPr>
              <w:t>要求采用</w:t>
            </w:r>
            <w:r>
              <w:rPr>
                <w:rFonts w:hint="eastAsia" w:ascii="宋体" w:hAnsi="宋体" w:eastAsia="宋体" w:cs="宋体"/>
                <w:szCs w:val="21"/>
              </w:rPr>
              <w:t>13</w:t>
            </w:r>
            <w:r>
              <w:rPr>
                <w:rFonts w:ascii="宋体" w:hAnsi="宋体" w:eastAsia="宋体" w:cs="宋体"/>
                <w:szCs w:val="21"/>
              </w:rPr>
              <w:t>00万定焦镜头</w:t>
            </w:r>
            <w:r>
              <w:rPr>
                <w:rFonts w:hint="eastAsia" w:ascii="宋体" w:hAnsi="宋体" w:eastAsia="宋体" w:cs="宋体"/>
                <w:szCs w:val="21"/>
              </w:rPr>
              <w:t>，解析度不低于1500TV线</w:t>
            </w:r>
            <w:r>
              <w:rPr>
                <w:rFonts w:ascii="宋体" w:hAnsi="宋体" w:eastAsia="宋体" w:cs="宋体"/>
                <w:szCs w:val="21"/>
              </w:rPr>
              <w:t>。</w:t>
            </w:r>
          </w:p>
          <w:p>
            <w:pPr>
              <w:pStyle w:val="24"/>
              <w:numPr>
                <w:ilvl w:val="0"/>
                <w:numId w:val="25"/>
              </w:numPr>
              <w:ind w:firstLineChars="0"/>
              <w:jc w:val="left"/>
              <w:rPr>
                <w:rFonts w:ascii="宋体" w:hAnsi="宋体" w:eastAsia="宋体" w:cs="宋体"/>
                <w:szCs w:val="21"/>
              </w:rPr>
            </w:pPr>
            <w:r>
              <w:rPr>
                <w:rFonts w:ascii="宋体" w:hAnsi="宋体" w:eastAsia="宋体" w:cs="宋体"/>
                <w:szCs w:val="21"/>
              </w:rPr>
              <w:t>工作电压：5V</w:t>
            </w:r>
            <w:r>
              <w:rPr>
                <w:rFonts w:hint="eastAsia" w:ascii="宋体" w:hAnsi="宋体" w:eastAsia="宋体" w:cs="宋体"/>
                <w:szCs w:val="21"/>
              </w:rPr>
              <w:t>。</w:t>
            </w:r>
          </w:p>
          <w:p>
            <w:pPr>
              <w:pStyle w:val="24"/>
              <w:numPr>
                <w:ilvl w:val="0"/>
                <w:numId w:val="25"/>
              </w:numPr>
              <w:ind w:firstLineChars="0"/>
              <w:jc w:val="left"/>
              <w:rPr>
                <w:rFonts w:ascii="宋体" w:hAnsi="宋体" w:eastAsia="宋体" w:cs="宋体"/>
                <w:szCs w:val="21"/>
              </w:rPr>
            </w:pPr>
            <w:r>
              <w:rPr>
                <w:rFonts w:ascii="宋体" w:hAnsi="宋体" w:eastAsia="宋体" w:cs="宋体"/>
                <w:szCs w:val="21"/>
              </w:rPr>
              <w:t>光源： LED灯补光</w:t>
            </w:r>
            <w:r>
              <w:rPr>
                <w:rFonts w:hint="eastAsia" w:ascii="宋体" w:hAnsi="宋体" w:eastAsia="宋体" w:cs="宋体"/>
                <w:szCs w:val="21"/>
              </w:rPr>
              <w:t>。</w:t>
            </w:r>
          </w:p>
          <w:p>
            <w:pPr>
              <w:pStyle w:val="24"/>
              <w:numPr>
                <w:ilvl w:val="0"/>
                <w:numId w:val="25"/>
              </w:numPr>
              <w:ind w:firstLineChars="0"/>
              <w:jc w:val="left"/>
              <w:rPr>
                <w:rFonts w:ascii="宋体" w:hAnsi="宋体" w:eastAsia="宋体" w:cs="宋体"/>
                <w:szCs w:val="21"/>
              </w:rPr>
            </w:pPr>
            <w:r>
              <w:rPr>
                <w:rFonts w:ascii="宋体" w:hAnsi="宋体" w:eastAsia="宋体" w:cs="宋体"/>
                <w:szCs w:val="21"/>
              </w:rPr>
              <w:t xml:space="preserve">对焦/白平衡：自动 </w:t>
            </w:r>
            <w:r>
              <w:rPr>
                <w:rFonts w:hint="eastAsia" w:ascii="宋体" w:hAnsi="宋体" w:eastAsia="宋体" w:cs="宋体"/>
                <w:szCs w:val="21"/>
              </w:rPr>
              <w:t>。</w:t>
            </w:r>
          </w:p>
          <w:p>
            <w:pPr>
              <w:pStyle w:val="24"/>
              <w:numPr>
                <w:ilvl w:val="0"/>
                <w:numId w:val="25"/>
              </w:numPr>
              <w:ind w:firstLineChars="0"/>
              <w:jc w:val="left"/>
              <w:rPr>
                <w:rFonts w:hint="eastAsia" w:ascii="宋体" w:hAnsi="宋体" w:eastAsia="宋体" w:cs="宋体"/>
                <w:szCs w:val="21"/>
              </w:rPr>
            </w:pPr>
            <w:r>
              <w:rPr>
                <w:rFonts w:ascii="宋体" w:hAnsi="宋体" w:eastAsia="宋体" w:cs="宋体"/>
                <w:szCs w:val="21"/>
              </w:rPr>
              <w:t>供电方式：USB供电</w:t>
            </w:r>
            <w:r>
              <w:rPr>
                <w:rFonts w:hint="eastAsia" w:ascii="宋体" w:hAnsi="宋体" w:eastAsia="宋体" w:cs="宋体"/>
                <w:szCs w:val="21"/>
              </w:rPr>
              <w:t>。</w:t>
            </w:r>
          </w:p>
          <w:p>
            <w:pPr>
              <w:pStyle w:val="24"/>
              <w:numPr>
                <w:ilvl w:val="0"/>
                <w:numId w:val="25"/>
              </w:numPr>
              <w:ind w:firstLineChars="0"/>
              <w:jc w:val="left"/>
              <w:rPr>
                <w:rFonts w:ascii="宋体" w:hAnsi="宋体" w:eastAsia="宋体" w:cs="宋体"/>
                <w:szCs w:val="21"/>
              </w:rPr>
            </w:pPr>
            <w:r>
              <w:rPr>
                <w:rFonts w:hint="eastAsia" w:ascii="宋体" w:hAnsi="宋体" w:eastAsia="宋体" w:cs="宋体"/>
                <w:szCs w:val="21"/>
              </w:rPr>
              <w:t>内置高灵敏麦克风，满足教学录制需求。</w:t>
            </w:r>
          </w:p>
          <w:p>
            <w:pPr>
              <w:pStyle w:val="24"/>
              <w:numPr>
                <w:ilvl w:val="0"/>
                <w:numId w:val="25"/>
              </w:numPr>
              <w:ind w:firstLineChars="0"/>
              <w:jc w:val="left"/>
              <w:rPr>
                <w:rFonts w:ascii="宋体" w:hAnsi="宋体" w:eastAsia="宋体" w:cs="宋体"/>
                <w:szCs w:val="21"/>
              </w:rPr>
            </w:pPr>
            <w:r>
              <w:rPr>
                <w:rFonts w:hint="eastAsia" w:ascii="宋体" w:hAnsi="宋体" w:eastAsia="宋体" w:cs="宋体"/>
                <w:szCs w:val="21"/>
              </w:rPr>
              <w:t>同屏对比支持多图联动缩放和单图缩放两种模式，并支持六张图片同屏对比，可在任意区域内批注书写，不局限于显示区域内批注书写，并可对单张图片进行旋转、全屏、缩放、删除等操作。</w:t>
            </w:r>
          </w:p>
          <w:p>
            <w:pPr>
              <w:pStyle w:val="24"/>
              <w:numPr>
                <w:ilvl w:val="0"/>
                <w:numId w:val="25"/>
              </w:numPr>
              <w:ind w:firstLineChars="0"/>
              <w:jc w:val="left"/>
              <w:rPr>
                <w:rFonts w:ascii="宋体" w:hAnsi="宋体" w:eastAsia="宋体" w:cs="宋体"/>
                <w:szCs w:val="21"/>
              </w:rPr>
            </w:pPr>
            <w:r>
              <w:rPr>
                <w:rFonts w:hint="eastAsia" w:ascii="宋体" w:hAnsi="宋体" w:eastAsia="宋体" w:cs="宋体"/>
                <w:szCs w:val="21"/>
              </w:rPr>
              <w:t>结合白板软件授课界面最少支持4副展示图片插入白板软件进行授课批注。</w:t>
            </w:r>
          </w:p>
          <w:p>
            <w:pPr>
              <w:pStyle w:val="24"/>
              <w:numPr>
                <w:ilvl w:val="0"/>
                <w:numId w:val="25"/>
              </w:numPr>
              <w:ind w:firstLineChars="0"/>
              <w:jc w:val="left"/>
              <w:rPr>
                <w:rFonts w:ascii="宋体" w:hAnsi="宋体" w:eastAsia="宋体" w:cs="宋体"/>
                <w:szCs w:val="21"/>
              </w:rPr>
            </w:pPr>
            <w:r>
              <w:rPr>
                <w:rFonts w:hint="eastAsia" w:ascii="宋体" w:hAnsi="宋体" w:eastAsia="宋体" w:cs="宋体"/>
                <w:szCs w:val="21"/>
              </w:rPr>
              <w:t>为增强文字显示对比度，具备AI拍照的功能，并可根据用户的实际使用需求开启或关闭。</w:t>
            </w:r>
          </w:p>
          <w:p>
            <w:pPr>
              <w:pStyle w:val="24"/>
              <w:numPr>
                <w:ilvl w:val="0"/>
                <w:numId w:val="25"/>
              </w:numPr>
              <w:ind w:firstLineChars="0"/>
              <w:jc w:val="left"/>
              <w:rPr>
                <w:rFonts w:ascii="宋体" w:hAnsi="宋体" w:eastAsia="宋体" w:cs="宋体"/>
                <w:szCs w:val="21"/>
              </w:rPr>
            </w:pPr>
            <w:r>
              <w:rPr>
                <w:rFonts w:hint="eastAsia" w:ascii="宋体" w:hAnsi="宋体" w:eastAsia="宋体" w:cs="宋体"/>
                <w:szCs w:val="21"/>
              </w:rPr>
              <w:t>可通过屏幕左下画面缩略图，在展示画面放大的情况下，快速移动到达画面任意位置，实现鸟瞰功能。</w:t>
            </w:r>
          </w:p>
          <w:p>
            <w:pPr>
              <w:pStyle w:val="24"/>
              <w:numPr>
                <w:ilvl w:val="0"/>
                <w:numId w:val="25"/>
              </w:numPr>
              <w:ind w:left="360" w:leftChars="0" w:hanging="360" w:firstLineChars="0"/>
              <w:jc w:val="left"/>
              <w:rPr>
                <w:rFonts w:hint="eastAsia" w:ascii="宋体" w:hAnsi="宋体" w:eastAsia="宋体" w:cs="宋体"/>
                <w:i w:val="0"/>
                <w:iCs w:val="0"/>
                <w:color w:val="000000"/>
                <w:sz w:val="18"/>
                <w:szCs w:val="18"/>
                <w:u w:val="none"/>
              </w:rPr>
            </w:pPr>
            <w:r>
              <w:rPr>
                <w:rFonts w:hint="eastAsia" w:ascii="宋体" w:hAnsi="宋体" w:eastAsia="宋体" w:cs="宋体"/>
                <w:szCs w:val="21"/>
              </w:rPr>
              <w:t>支持5指长按屏幕实现漫游，手背擦出，两指捏合放大缩小等多种手势操作，方便用户使用。</w:t>
            </w:r>
          </w:p>
        </w:tc>
        <w:tc>
          <w:tcPr>
            <w:tcW w:w="645" w:type="dxa"/>
            <w:tcBorders>
              <w:top w:val="single" w:color="000000" w:sz="12" w:space="0"/>
              <w:left w:val="single" w:color="000000" w:sz="12" w:space="0"/>
              <w:bottom w:val="single" w:color="000000" w:sz="12" w:space="0"/>
              <w:right w:val="single" w:color="000000" w:sz="12" w:space="0"/>
            </w:tcBorders>
            <w:noWrap w:val="0"/>
            <w:vAlign w:val="center"/>
          </w:tcPr>
          <w:p>
            <w:pPr>
              <w:pStyle w:val="24"/>
              <w:numPr>
                <w:ilvl w:val="0"/>
                <w:numId w:val="0"/>
              </w:numPr>
              <w:ind w:left="0" w:leftChars="0"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szCs w:val="21"/>
                <w:lang w:val="en-US" w:eastAsia="zh-CN"/>
              </w:rPr>
              <w:t>85</w:t>
            </w:r>
          </w:p>
        </w:tc>
        <w:tc>
          <w:tcPr>
            <w:tcW w:w="330" w:type="dxa"/>
            <w:tcBorders>
              <w:top w:val="single" w:color="000000" w:sz="12" w:space="0"/>
              <w:left w:val="single" w:color="000000" w:sz="12" w:space="0"/>
              <w:bottom w:val="single" w:color="000000" w:sz="12" w:space="0"/>
              <w:right w:val="single" w:color="000000" w:sz="12" w:space="0"/>
            </w:tcBorders>
            <w:noWrap w:val="0"/>
            <w:vAlign w:val="center"/>
          </w:tcPr>
          <w:p>
            <w:pPr>
              <w:pStyle w:val="24"/>
              <w:numPr>
                <w:ilvl w:val="0"/>
                <w:numId w:val="0"/>
              </w:numPr>
              <w:ind w:left="0" w:leftChars="0"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szCs w:val="21"/>
                <w:lang w:val="en-US" w:eastAsia="zh-CN"/>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7"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adjustRightInd w:val="0"/>
              <w:snapToGrid w:val="0"/>
              <w:spacing w:line="300" w:lineRule="exact"/>
              <w:jc w:val="center"/>
              <w:rPr>
                <w:rFonts w:hint="eastAsia" w:ascii="宋体" w:hAnsi="宋体" w:eastAsia="宋体" w:cs="宋体"/>
                <w:i w:val="0"/>
                <w:iCs w:val="0"/>
                <w:color w:val="000000"/>
                <w:sz w:val="18"/>
                <w:szCs w:val="18"/>
                <w:u w:val="none"/>
              </w:rPr>
            </w:pPr>
            <w:r>
              <w:rPr>
                <w:rFonts w:hint="eastAsia" w:ascii="宋体" w:hAnsi="宋体" w:cs="宋体"/>
                <w:w w:val="99"/>
                <w:kern w:val="0"/>
                <w:szCs w:val="21"/>
                <w:lang w:bidi="ar"/>
              </w:rPr>
              <w:t>4</w:t>
            </w:r>
          </w:p>
        </w:tc>
        <w:tc>
          <w:tcPr>
            <w:tcW w:w="630" w:type="dxa"/>
            <w:tcBorders>
              <w:top w:val="single" w:color="000000" w:sz="12" w:space="0"/>
              <w:left w:val="single" w:color="000000" w:sz="12" w:space="0"/>
              <w:bottom w:val="single" w:color="000000" w:sz="12" w:space="0"/>
              <w:right w:val="single" w:color="000000" w:sz="12" w:space="0"/>
            </w:tcBorders>
            <w:noWrap w:val="0"/>
            <w:vAlign w:val="center"/>
          </w:tcPr>
          <w:p>
            <w:pPr>
              <w:adjustRightInd w:val="0"/>
              <w:snapToGrid w:val="0"/>
              <w:spacing w:line="300" w:lineRule="exact"/>
              <w:jc w:val="center"/>
              <w:rPr>
                <w:rFonts w:hint="eastAsia" w:ascii="宋体" w:hAnsi="宋体" w:eastAsia="宋体" w:cs="宋体"/>
                <w:i w:val="0"/>
                <w:iCs w:val="0"/>
                <w:color w:val="000000"/>
                <w:sz w:val="18"/>
                <w:szCs w:val="18"/>
                <w:u w:val="none"/>
              </w:rPr>
            </w:pPr>
            <w:r>
              <w:rPr>
                <w:rFonts w:hint="eastAsia" w:ascii="宋体" w:hAnsi="宋体" w:cs="宋体"/>
                <w:bCs/>
                <w:spacing w:val="15"/>
                <w:szCs w:val="21"/>
              </w:rPr>
              <w:t>推拉绿板</w:t>
            </w:r>
          </w:p>
        </w:tc>
        <w:tc>
          <w:tcPr>
            <w:tcW w:w="6705" w:type="dxa"/>
            <w:tcBorders>
              <w:top w:val="single" w:color="000000" w:sz="12" w:space="0"/>
              <w:left w:val="single" w:color="000000" w:sz="12" w:space="0"/>
              <w:bottom w:val="single" w:color="000000" w:sz="12" w:space="0"/>
              <w:right w:val="single" w:color="000000" w:sz="12" w:space="0"/>
            </w:tcBorders>
            <w:noWrap w:val="0"/>
            <w:vAlign w:val="top"/>
          </w:tcPr>
          <w:p>
            <w:pPr>
              <w:spacing w:line="440" w:lineRule="exact"/>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结构规格：左右推拉，内外双层结构，外径≥1295×4000mm，具体根据实际情况适当调整，确保与教学一体机有效配套。 </w:t>
            </w:r>
          </w:p>
          <w:p>
            <w:pPr>
              <w:spacing w:line="440" w:lineRule="exact"/>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板面：采用韩国技术优质烤漆钢板，墨绿色(亚光），粗糙度为Ra1.6-3.2um ，光泽度≤12，没有明显眩光，面板正常使用寿命≥10年。</w:t>
            </w:r>
          </w:p>
          <w:p>
            <w:pPr>
              <w:spacing w:line="440" w:lineRule="exact"/>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黑板滑轮：采用上吊轮、下平轮，滑道隐藏在边框内，正面观看不露滑道滑轮。</w:t>
            </w:r>
          </w:p>
          <w:p>
            <w:pPr>
              <w:spacing w:line="440" w:lineRule="exact"/>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覆板：夹层选用聚苯乙烯泡沫板≥15mm，背板选用优质防锈热镀锌钢板，厚度0.2mm。用环保型双组份聚氨酯胶水，自动化流水线覆板作业，确保粘接牢固板面平整。</w:t>
            </w:r>
          </w:p>
          <w:p>
            <w:pPr>
              <w:spacing w:line="440" w:lineRule="exact"/>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外大框材料：采用电泳香槟色铝合金，横框规格≥70×50mm，立框规格≥90×50mm，边框经氧化、喷砂涂层处理，无明显眩光；横（立）框采用双层加强结构。</w:t>
            </w:r>
          </w:p>
          <w:p>
            <w:pPr>
              <w:pStyle w:val="27"/>
              <w:spacing w:line="400" w:lineRule="exact"/>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内板：采用与书写板同色隐形的铝合金包边设计，最大限度的增加书写板有效书写面积，使黑板在关闭状态时犹如整体，增强教师书写的流畅性及学生的感观舒适性。采用铝合金全封边固定，不得采用面板折弯充当左右边框设计，防止后期板面因受力而折弯变形；</w:t>
            </w:r>
          </w:p>
          <w:p>
            <w:pPr>
              <w:pStyle w:val="27"/>
              <w:spacing w:line="400" w:lineRule="exact"/>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内板包角：材料采用抗疲劳ABS工程阻燃塑料，模具成型，无锐角，规格为26*26*20mm颜色与板面一致，与包边书写面板同色，简洁美观。</w:t>
            </w:r>
          </w:p>
          <w:p>
            <w:pPr>
              <w:spacing w:line="440" w:lineRule="exact"/>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限位档：黑板边框内部两侧安装滑动板限位档，防止活动黑板开启时撞击立框。</w:t>
            </w:r>
          </w:p>
          <w:p>
            <w:pPr>
              <w:spacing w:line="440" w:lineRule="exact"/>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粉尘盒：安置在黑板底部两侧，储存清扫下来的粉笔末，可拆卸清洁。</w:t>
            </w:r>
          </w:p>
          <w:p>
            <w:pPr>
              <w:spacing w:line="440" w:lineRule="exact"/>
              <w:rPr>
                <w:rFonts w:hint="eastAsia" w:ascii="宋体" w:hAnsi="宋体" w:eastAsia="宋体" w:cs="宋体"/>
                <w:i w:val="0"/>
                <w:iCs w:val="0"/>
                <w:color w:val="000000"/>
                <w:sz w:val="18"/>
                <w:szCs w:val="18"/>
                <w:u w:val="none"/>
              </w:rPr>
            </w:pPr>
            <w:r>
              <w:rPr>
                <w:rFonts w:hint="eastAsia" w:ascii="宋体" w:hAnsi="宋体" w:eastAsia="宋体" w:cs="Times New Roman"/>
                <w:kern w:val="0"/>
                <w:sz w:val="21"/>
                <w:szCs w:val="21"/>
                <w:lang w:val="en-US" w:eastAsia="zh-CN" w:bidi="ar-SA"/>
              </w:rPr>
              <w:t>安全性：高档锁，一把钥匙可实现对本公司所有黑板的锁定。</w:t>
            </w:r>
          </w:p>
        </w:tc>
        <w:tc>
          <w:tcPr>
            <w:tcW w:w="645" w:type="dxa"/>
            <w:tcBorders>
              <w:top w:val="single" w:color="000000" w:sz="12" w:space="0"/>
              <w:left w:val="single" w:color="000000" w:sz="12" w:space="0"/>
              <w:bottom w:val="single" w:color="000000" w:sz="12" w:space="0"/>
              <w:right w:val="single" w:color="000000" w:sz="12" w:space="0"/>
            </w:tcBorders>
            <w:noWrap w:val="0"/>
            <w:vAlign w:val="center"/>
          </w:tcPr>
          <w:p>
            <w:pPr>
              <w:pStyle w:val="24"/>
              <w:numPr>
                <w:ilvl w:val="0"/>
                <w:numId w:val="0"/>
              </w:numPr>
              <w:ind w:left="0" w:leftChars="0"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szCs w:val="21"/>
                <w:lang w:val="en-US" w:eastAsia="zh-CN"/>
              </w:rPr>
              <w:t>85</w:t>
            </w:r>
          </w:p>
        </w:tc>
        <w:tc>
          <w:tcPr>
            <w:tcW w:w="330" w:type="dxa"/>
            <w:tcBorders>
              <w:top w:val="single" w:color="000000" w:sz="12" w:space="0"/>
              <w:left w:val="single" w:color="000000" w:sz="12" w:space="0"/>
              <w:bottom w:val="single" w:color="000000" w:sz="12" w:space="0"/>
              <w:right w:val="single" w:color="000000" w:sz="12" w:space="0"/>
            </w:tcBorders>
            <w:noWrap w:val="0"/>
            <w:vAlign w:val="center"/>
          </w:tcPr>
          <w:p>
            <w:pPr>
              <w:pStyle w:val="24"/>
              <w:numPr>
                <w:ilvl w:val="0"/>
                <w:numId w:val="0"/>
              </w:numPr>
              <w:ind w:left="0" w:leftChars="0"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szCs w:val="21"/>
                <w:lang w:val="en-US" w:eastAsia="zh-CN"/>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adjustRightInd w:val="0"/>
              <w:snapToGrid w:val="0"/>
              <w:spacing w:line="300" w:lineRule="exact"/>
              <w:jc w:val="center"/>
              <w:rPr>
                <w:rFonts w:hint="eastAsia" w:ascii="宋体" w:hAnsi="宋体" w:cs="宋体"/>
                <w:w w:val="99"/>
                <w:kern w:val="0"/>
                <w:szCs w:val="21"/>
                <w:lang w:bidi="ar"/>
              </w:rPr>
            </w:pPr>
            <w:r>
              <w:rPr>
                <w:rFonts w:hint="eastAsia" w:ascii="宋体" w:hAnsi="宋体" w:cs="宋体"/>
                <w:w w:val="99"/>
                <w:kern w:val="0"/>
                <w:szCs w:val="21"/>
                <w:lang w:val="en-US" w:eastAsia="zh-CN" w:bidi="ar"/>
              </w:rPr>
              <w:t>5</w:t>
            </w:r>
          </w:p>
        </w:tc>
        <w:tc>
          <w:tcPr>
            <w:tcW w:w="630" w:type="dxa"/>
            <w:tcBorders>
              <w:top w:val="single" w:color="000000" w:sz="12" w:space="0"/>
              <w:left w:val="single" w:color="000000" w:sz="12" w:space="0"/>
              <w:bottom w:val="single" w:color="000000" w:sz="12" w:space="0"/>
              <w:right w:val="single" w:color="000000" w:sz="12" w:space="0"/>
            </w:tcBorders>
            <w:noWrap w:val="0"/>
            <w:vAlign w:val="center"/>
          </w:tcPr>
          <w:p>
            <w:pPr>
              <w:adjustRightInd w:val="0"/>
              <w:snapToGrid w:val="0"/>
              <w:spacing w:line="300" w:lineRule="exact"/>
              <w:jc w:val="center"/>
              <w:rPr>
                <w:rFonts w:hint="eastAsia" w:ascii="宋体" w:hAnsi="宋体" w:cs="宋体"/>
                <w:bCs/>
                <w:spacing w:val="15"/>
                <w:szCs w:val="21"/>
              </w:rPr>
            </w:pPr>
            <w:r>
              <w:rPr>
                <w:rFonts w:hint="eastAsia" w:ascii="宋体" w:hAnsi="宋体" w:cs="宋体"/>
                <w:bCs/>
                <w:spacing w:val="15"/>
                <w:szCs w:val="21"/>
                <w:lang w:val="en-US" w:eastAsia="zh-CN"/>
              </w:rPr>
              <w:t>电脑</w:t>
            </w:r>
          </w:p>
        </w:tc>
        <w:tc>
          <w:tcPr>
            <w:tcW w:w="6705" w:type="dxa"/>
            <w:tcBorders>
              <w:top w:val="single" w:color="000000" w:sz="12" w:space="0"/>
              <w:left w:val="single" w:color="000000" w:sz="12" w:space="0"/>
              <w:bottom w:val="single" w:color="000000" w:sz="12" w:space="0"/>
              <w:right w:val="single" w:color="000000" w:sz="12" w:space="0"/>
            </w:tcBorders>
            <w:noWrap w:val="0"/>
            <w:vAlign w:val="top"/>
          </w:tcPr>
          <w:p>
            <w:pPr>
              <w:pStyle w:val="24"/>
              <w:numPr>
                <w:ilvl w:val="0"/>
                <w:numId w:val="0"/>
              </w:numPr>
              <w:ind w:leftChars="0"/>
              <w:jc w:val="left"/>
              <w:rPr>
                <w:rFonts w:hint="eastAsia" w:ascii="宋体" w:hAnsi="宋体" w:eastAsia="宋体" w:cs="宋体"/>
                <w:szCs w:val="21"/>
              </w:rPr>
            </w:pPr>
            <w:r>
              <w:rPr>
                <w:rFonts w:hint="eastAsia" w:ascii="宋体" w:hAnsi="宋体" w:eastAsia="宋体" w:cs="宋体"/>
                <w:szCs w:val="21"/>
              </w:rPr>
              <w:t>机型:≧23.8寸1920*1080分辨率窄边框宽屏一体机</w:t>
            </w:r>
          </w:p>
          <w:p>
            <w:pPr>
              <w:pStyle w:val="24"/>
              <w:numPr>
                <w:ilvl w:val="0"/>
                <w:numId w:val="0"/>
              </w:numPr>
              <w:ind w:leftChars="0"/>
              <w:jc w:val="left"/>
              <w:rPr>
                <w:rFonts w:hint="eastAsia" w:ascii="宋体" w:hAnsi="宋体" w:eastAsia="宋体" w:cs="宋体"/>
                <w:szCs w:val="21"/>
              </w:rPr>
            </w:pPr>
            <w:r>
              <w:rPr>
                <w:rFonts w:hint="eastAsia" w:ascii="宋体" w:hAnsi="宋体" w:eastAsia="宋体" w:cs="宋体"/>
                <w:szCs w:val="21"/>
              </w:rPr>
              <w:t>CPU: Intel Core I5-10400处理器（六核2.9GHz 主频、9M 缓存）</w:t>
            </w:r>
          </w:p>
          <w:p>
            <w:pPr>
              <w:pStyle w:val="24"/>
              <w:numPr>
                <w:ilvl w:val="0"/>
                <w:numId w:val="0"/>
              </w:numPr>
              <w:ind w:leftChars="0"/>
              <w:jc w:val="left"/>
              <w:rPr>
                <w:rFonts w:hint="eastAsia" w:ascii="宋体" w:hAnsi="宋体" w:eastAsia="宋体" w:cs="宋体"/>
                <w:szCs w:val="21"/>
              </w:rPr>
            </w:pPr>
            <w:r>
              <w:rPr>
                <w:rFonts w:hint="eastAsia" w:ascii="宋体" w:hAnsi="宋体" w:eastAsia="宋体" w:cs="宋体"/>
                <w:szCs w:val="21"/>
              </w:rPr>
              <w:t>内存:≥8G DDR4 2666MHz 内存</w:t>
            </w:r>
          </w:p>
          <w:p>
            <w:pPr>
              <w:pStyle w:val="24"/>
              <w:numPr>
                <w:ilvl w:val="0"/>
                <w:numId w:val="0"/>
              </w:numPr>
              <w:ind w:leftChars="0"/>
              <w:jc w:val="left"/>
              <w:rPr>
                <w:rFonts w:hint="eastAsia" w:ascii="宋体" w:hAnsi="宋体" w:eastAsia="宋体" w:cs="宋体"/>
                <w:szCs w:val="21"/>
              </w:rPr>
            </w:pPr>
            <w:r>
              <w:rPr>
                <w:rFonts w:hint="eastAsia" w:ascii="宋体" w:hAnsi="宋体" w:eastAsia="宋体" w:cs="宋体"/>
                <w:szCs w:val="21"/>
              </w:rPr>
              <w:t>显卡:集成显卡</w:t>
            </w:r>
          </w:p>
          <w:p>
            <w:pPr>
              <w:pStyle w:val="24"/>
              <w:numPr>
                <w:ilvl w:val="0"/>
                <w:numId w:val="0"/>
              </w:numPr>
              <w:ind w:leftChars="0"/>
              <w:jc w:val="left"/>
              <w:rPr>
                <w:rFonts w:hint="eastAsia" w:ascii="宋体" w:hAnsi="宋体" w:eastAsia="宋体" w:cs="宋体"/>
                <w:szCs w:val="21"/>
              </w:rPr>
            </w:pPr>
            <w:r>
              <w:rPr>
                <w:rFonts w:hint="eastAsia" w:ascii="宋体" w:hAnsi="宋体" w:eastAsia="宋体" w:cs="宋体"/>
                <w:szCs w:val="21"/>
              </w:rPr>
              <w:t>硬盘: ≥512G SSD固态硬盘；</w:t>
            </w:r>
          </w:p>
          <w:p>
            <w:pPr>
              <w:pStyle w:val="24"/>
              <w:numPr>
                <w:ilvl w:val="0"/>
                <w:numId w:val="0"/>
              </w:numPr>
              <w:ind w:leftChars="0"/>
              <w:jc w:val="left"/>
              <w:rPr>
                <w:rFonts w:hint="eastAsia" w:ascii="宋体" w:hAnsi="宋体" w:eastAsia="宋体" w:cs="宋体"/>
                <w:szCs w:val="21"/>
              </w:rPr>
            </w:pPr>
            <w:r>
              <w:rPr>
                <w:rFonts w:hint="eastAsia" w:ascii="宋体" w:hAnsi="宋体" w:eastAsia="宋体" w:cs="宋体"/>
                <w:szCs w:val="21"/>
              </w:rPr>
              <w:t>网卡:千兆自适应网卡+WIFI</w:t>
            </w:r>
          </w:p>
          <w:p>
            <w:pPr>
              <w:pStyle w:val="24"/>
              <w:numPr>
                <w:ilvl w:val="0"/>
                <w:numId w:val="0"/>
              </w:numPr>
              <w:ind w:leftChars="0"/>
              <w:jc w:val="left"/>
              <w:rPr>
                <w:rFonts w:hint="eastAsia" w:ascii="宋体" w:hAnsi="宋体" w:eastAsia="宋体" w:cs="宋体"/>
                <w:szCs w:val="21"/>
              </w:rPr>
            </w:pPr>
            <w:r>
              <w:rPr>
                <w:rFonts w:hint="eastAsia" w:ascii="宋体" w:hAnsi="宋体" w:eastAsia="宋体" w:cs="宋体"/>
                <w:szCs w:val="21"/>
              </w:rPr>
              <w:t>接口:支持HDMI输出,≥6个USB, COM*1，Mic-in，Line-out</w:t>
            </w:r>
          </w:p>
          <w:p>
            <w:pPr>
              <w:pStyle w:val="24"/>
              <w:numPr>
                <w:ilvl w:val="0"/>
                <w:numId w:val="0"/>
              </w:numPr>
              <w:tabs>
                <w:tab w:val="left" w:pos="4079"/>
              </w:tabs>
              <w:ind w:leftChars="0"/>
              <w:jc w:val="left"/>
              <w:rPr>
                <w:rFonts w:hint="eastAsia" w:ascii="宋体" w:hAnsi="宋体" w:eastAsia="宋体" w:cs="宋体"/>
                <w:szCs w:val="21"/>
                <w:lang w:eastAsia="zh-CN"/>
              </w:rPr>
            </w:pPr>
            <w:r>
              <w:rPr>
                <w:rFonts w:hint="eastAsia" w:ascii="宋体" w:hAnsi="宋体" w:eastAsia="宋体" w:cs="宋体"/>
                <w:szCs w:val="21"/>
              </w:rPr>
              <w:t>键盘、鼠标 原厂鼠标键盘</w:t>
            </w:r>
            <w:r>
              <w:rPr>
                <w:rFonts w:hint="eastAsia" w:ascii="宋体" w:hAnsi="宋体" w:eastAsia="宋体" w:cs="宋体"/>
                <w:szCs w:val="21"/>
                <w:lang w:eastAsia="zh-CN"/>
              </w:rPr>
              <w:tab/>
            </w:r>
          </w:p>
          <w:p>
            <w:pPr>
              <w:pStyle w:val="24"/>
              <w:numPr>
                <w:ilvl w:val="0"/>
                <w:numId w:val="0"/>
              </w:numPr>
              <w:ind w:leftChars="0"/>
              <w:jc w:val="left"/>
              <w:rPr>
                <w:rFonts w:hint="eastAsia" w:ascii="宋体" w:hAnsi="宋体" w:eastAsia="宋体" w:cs="宋体"/>
                <w:szCs w:val="21"/>
              </w:rPr>
            </w:pPr>
            <w:r>
              <w:rPr>
                <w:rFonts w:hint="eastAsia" w:ascii="宋体" w:hAnsi="宋体" w:eastAsia="宋体" w:cs="宋体"/>
                <w:szCs w:val="21"/>
              </w:rPr>
              <w:t>电源:功耗低于120W</w:t>
            </w:r>
          </w:p>
          <w:p>
            <w:pPr>
              <w:pStyle w:val="24"/>
              <w:numPr>
                <w:ilvl w:val="0"/>
                <w:numId w:val="0"/>
              </w:numPr>
              <w:ind w:leftChars="0"/>
              <w:jc w:val="left"/>
              <w:rPr>
                <w:rFonts w:hint="eastAsia" w:ascii="宋体" w:hAnsi="宋体" w:eastAsia="宋体" w:cs="宋体"/>
                <w:szCs w:val="21"/>
              </w:rPr>
            </w:pPr>
            <w:r>
              <w:rPr>
                <w:rFonts w:hint="eastAsia" w:ascii="宋体" w:hAnsi="宋体" w:eastAsia="宋体" w:cs="宋体"/>
                <w:szCs w:val="21"/>
              </w:rPr>
              <w:t>外观:可做-5~15度俯仰调节，可视角度178度</w:t>
            </w:r>
          </w:p>
          <w:p>
            <w:pPr>
              <w:pStyle w:val="24"/>
              <w:numPr>
                <w:ilvl w:val="0"/>
                <w:numId w:val="0"/>
              </w:numPr>
              <w:ind w:left="0" w:leftChars="0" w:firstLine="0" w:firstLineChars="0"/>
              <w:jc w:val="left"/>
              <w:rPr>
                <w:rFonts w:hint="eastAsia" w:ascii="宋体" w:hAnsi="宋体" w:eastAsia="宋体" w:cs="宋体"/>
                <w:i w:val="0"/>
                <w:iCs w:val="0"/>
                <w:color w:val="000000"/>
                <w:sz w:val="18"/>
                <w:szCs w:val="18"/>
                <w:u w:val="none"/>
              </w:rPr>
            </w:pPr>
          </w:p>
        </w:tc>
        <w:tc>
          <w:tcPr>
            <w:tcW w:w="645" w:type="dxa"/>
            <w:tcBorders>
              <w:top w:val="single" w:color="000000" w:sz="12" w:space="0"/>
              <w:left w:val="single" w:color="000000" w:sz="12" w:space="0"/>
              <w:bottom w:val="single" w:color="000000" w:sz="12" w:space="0"/>
              <w:right w:val="single" w:color="000000" w:sz="12" w:space="0"/>
            </w:tcBorders>
            <w:noWrap w:val="0"/>
            <w:vAlign w:val="center"/>
          </w:tcPr>
          <w:p>
            <w:pPr>
              <w:pStyle w:val="24"/>
              <w:numPr>
                <w:ilvl w:val="0"/>
                <w:numId w:val="0"/>
              </w:numPr>
              <w:ind w:left="0" w:leftChars="0" w:firstLine="0" w:firstLineChars="0"/>
              <w:jc w:val="cente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20 </w:t>
            </w:r>
          </w:p>
        </w:tc>
        <w:tc>
          <w:tcPr>
            <w:tcW w:w="330" w:type="dxa"/>
            <w:tcBorders>
              <w:top w:val="single" w:color="000000" w:sz="12" w:space="0"/>
              <w:left w:val="single" w:color="000000" w:sz="12" w:space="0"/>
              <w:bottom w:val="single" w:color="000000" w:sz="12" w:space="0"/>
              <w:right w:val="single" w:color="000000" w:sz="12" w:space="0"/>
            </w:tcBorders>
            <w:noWrap w:val="0"/>
            <w:vAlign w:val="center"/>
          </w:tcPr>
          <w:p>
            <w:pPr>
              <w:pStyle w:val="24"/>
              <w:numPr>
                <w:ilvl w:val="0"/>
                <w:numId w:val="0"/>
              </w:numPr>
              <w:ind w:left="0" w:leftChars="0" w:firstLine="0" w:firstLineChars="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w:t>
            </w:r>
          </w:p>
        </w:tc>
      </w:tr>
    </w:tbl>
    <w:p>
      <w:pPr>
        <w:pStyle w:val="2"/>
        <w:rPr>
          <w:rFonts w:hint="eastAsia"/>
          <w:lang w:val="zh-CN"/>
        </w:rPr>
      </w:pPr>
    </w:p>
    <w:p>
      <w:pPr>
        <w:widowControl/>
        <w:numPr>
          <w:ilvl w:val="0"/>
          <w:numId w:val="0"/>
        </w:numPr>
        <w:shd w:val="clear" w:color="auto" w:fill="FFFFFF"/>
        <w:spacing w:line="360" w:lineRule="auto"/>
        <w:ind w:firstLine="422" w:firstLineChars="200"/>
        <w:contextualSpacing/>
        <w:jc w:val="left"/>
        <w:rPr>
          <w:rFonts w:hint="default" w:ascii="新宋体" w:hAnsi="新宋体" w:eastAsia="新宋体" w:cs="新宋体"/>
          <w:b/>
          <w:bCs/>
          <w:i w:val="0"/>
          <w:iCs w:val="0"/>
          <w:kern w:val="2"/>
          <w:sz w:val="21"/>
          <w:szCs w:val="21"/>
          <w:lang w:val="en-US" w:eastAsia="zh-CN" w:bidi="ar-SA"/>
        </w:rPr>
      </w:pPr>
      <w:r>
        <w:rPr>
          <w:rFonts w:hint="eastAsia" w:ascii="新宋体" w:hAnsi="新宋体" w:eastAsia="新宋体" w:cs="新宋体"/>
          <w:b/>
          <w:bCs/>
          <w:i w:val="0"/>
          <w:iCs w:val="0"/>
          <w:kern w:val="2"/>
          <w:sz w:val="21"/>
          <w:szCs w:val="21"/>
          <w:lang w:val="en-US" w:eastAsia="zh-CN" w:bidi="ar-SA"/>
        </w:rPr>
        <w:t>三、</w:t>
      </w:r>
      <w:r>
        <w:rPr>
          <w:rFonts w:hint="eastAsia" w:ascii="新宋体" w:hAnsi="新宋体" w:eastAsia="新宋体" w:cs="新宋体"/>
          <w:b/>
          <w:bCs/>
          <w:i w:val="0"/>
          <w:iCs w:val="0"/>
          <w:kern w:val="2"/>
          <w:sz w:val="21"/>
          <w:szCs w:val="21"/>
          <w:lang w:val="zh-CN" w:eastAsia="zh-CN" w:bidi="ar-SA"/>
        </w:rPr>
        <w:t>采购标的执行标准：</w:t>
      </w:r>
      <w:r>
        <w:rPr>
          <w:rFonts w:hint="eastAsia" w:ascii="新宋体" w:hAnsi="新宋体" w:eastAsia="新宋体" w:cs="新宋体"/>
          <w:b/>
          <w:bCs/>
          <w:i w:val="0"/>
          <w:iCs w:val="0"/>
          <w:kern w:val="2"/>
          <w:sz w:val="21"/>
          <w:szCs w:val="21"/>
          <w:lang w:val="en-US" w:eastAsia="zh-CN" w:bidi="ar-SA"/>
        </w:rPr>
        <w:t>执行国家相关标准。</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2" w:firstLineChars="200"/>
        <w:textAlignment w:val="auto"/>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四、服务标准、期限、效率等要求：</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1、质保期为设备安装调试验收合格后三年，质保期内发生故障或质量问题，卖方在接到通知后</w:t>
      </w: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lang w:val="zh-CN" w:eastAsia="zh-CN" w:bidi="ar-SA"/>
        </w:rPr>
        <w:t>小时进行响应，</w:t>
      </w:r>
      <w:r>
        <w:rPr>
          <w:rFonts w:hint="eastAsia" w:ascii="宋体" w:hAnsi="宋体" w:eastAsia="宋体" w:cs="宋体"/>
          <w:kern w:val="2"/>
          <w:sz w:val="21"/>
          <w:szCs w:val="21"/>
          <w:lang w:val="en-US" w:eastAsia="zh-CN" w:bidi="ar-SA"/>
        </w:rPr>
        <w:t>4</w:t>
      </w:r>
      <w:r>
        <w:rPr>
          <w:rFonts w:hint="eastAsia" w:ascii="宋体" w:hAnsi="宋体" w:eastAsia="宋体" w:cs="宋体"/>
          <w:kern w:val="2"/>
          <w:sz w:val="21"/>
          <w:szCs w:val="21"/>
          <w:lang w:val="zh-CN" w:eastAsia="zh-CN" w:bidi="ar-SA"/>
        </w:rPr>
        <w:t>小时到达，</w:t>
      </w:r>
      <w:r>
        <w:rPr>
          <w:rFonts w:hint="eastAsia" w:ascii="宋体" w:hAnsi="宋体" w:eastAsia="宋体" w:cs="宋体"/>
          <w:kern w:val="2"/>
          <w:sz w:val="21"/>
          <w:szCs w:val="21"/>
          <w:lang w:val="en-US" w:eastAsia="zh-CN" w:bidi="ar-SA"/>
        </w:rPr>
        <w:t>24</w:t>
      </w:r>
      <w:r>
        <w:rPr>
          <w:rFonts w:hint="eastAsia" w:ascii="宋体" w:hAnsi="宋体" w:eastAsia="宋体" w:cs="宋体"/>
          <w:kern w:val="2"/>
          <w:sz w:val="21"/>
          <w:szCs w:val="21"/>
          <w:lang w:val="zh-CN" w:eastAsia="zh-CN" w:bidi="ar-SA"/>
        </w:rPr>
        <w:t>小时内处理问题，否则需提供备用机直至原设备修好为止；</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2、所投产品必须符合国家质量检测标准和本</w:t>
      </w:r>
      <w:r>
        <w:rPr>
          <w:rFonts w:hint="eastAsia" w:ascii="宋体" w:hAnsi="宋体" w:eastAsia="宋体" w:cs="宋体"/>
          <w:kern w:val="2"/>
          <w:sz w:val="21"/>
          <w:szCs w:val="21"/>
          <w:lang w:val="en-US" w:eastAsia="zh-CN" w:bidi="ar-SA"/>
        </w:rPr>
        <w:t>磋商</w:t>
      </w:r>
      <w:r>
        <w:rPr>
          <w:rFonts w:hint="eastAsia" w:ascii="宋体" w:hAnsi="宋体" w:eastAsia="宋体" w:cs="宋体"/>
          <w:kern w:val="2"/>
          <w:sz w:val="21"/>
          <w:szCs w:val="21"/>
          <w:lang w:val="zh-CN" w:eastAsia="zh-CN" w:bidi="ar-SA"/>
        </w:rPr>
        <w:t>文件规定的全新正品现货；本项目为交钥匙工程，采购方不再承担费用。</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3、投标商所投产品须符合国家环保要求；</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4、投标商应负责对买方操作人员进行使用培训，使其能够独立操作，并可以简单的维护和保养。</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2" w:firstLineChars="200"/>
        <w:textAlignment w:val="auto"/>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en-US" w:eastAsia="zh-CN" w:bidi="ar-SA"/>
        </w:rPr>
        <w:t>五、</w:t>
      </w:r>
      <w:r>
        <w:rPr>
          <w:rFonts w:hint="eastAsia" w:ascii="宋体" w:hAnsi="宋体" w:eastAsia="宋体" w:cs="宋体"/>
          <w:b/>
          <w:bCs/>
          <w:kern w:val="2"/>
          <w:sz w:val="21"/>
          <w:szCs w:val="21"/>
          <w:lang w:val="zh-CN" w:eastAsia="zh-CN" w:bidi="ar-SA"/>
        </w:rPr>
        <w:t>采购标的的其他技术、服务等要求</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1、投标方须明确投标产品的厂家、产地、品牌、型号等参数</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，否则为无效</w:t>
      </w:r>
      <w:r>
        <w:rPr>
          <w:rFonts w:hint="eastAsia" w:ascii="宋体" w:hAnsi="宋体" w:eastAsia="宋体" w:cs="宋体"/>
          <w:kern w:val="2"/>
          <w:sz w:val="21"/>
          <w:szCs w:val="21"/>
          <w:lang w:val="en-US" w:eastAsia="zh-CN" w:bidi="ar-SA"/>
        </w:rPr>
        <w:t>响应文件</w:t>
      </w:r>
      <w:r>
        <w:rPr>
          <w:rFonts w:hint="eastAsia" w:ascii="宋体" w:hAnsi="宋体" w:eastAsia="宋体" w:cs="宋体"/>
          <w:kern w:val="2"/>
          <w:sz w:val="21"/>
          <w:szCs w:val="21"/>
          <w:lang w:val="zh-CN" w:eastAsia="zh-CN" w:bidi="ar-SA"/>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2、投标人应就本项目完整投标，报价含税费、设备、材料、元件等购置、安装调试、验收、与其它施工单位协作所产生的费用等综合费用，否则为无效</w:t>
      </w:r>
      <w:r>
        <w:rPr>
          <w:rFonts w:hint="eastAsia" w:ascii="宋体" w:hAnsi="宋体" w:eastAsia="宋体" w:cs="宋体"/>
          <w:kern w:val="2"/>
          <w:sz w:val="21"/>
          <w:szCs w:val="21"/>
          <w:lang w:val="en-US" w:eastAsia="zh-CN" w:bidi="ar-SA"/>
        </w:rPr>
        <w:t>响应文件</w:t>
      </w:r>
      <w:r>
        <w:rPr>
          <w:rFonts w:hint="eastAsia" w:ascii="宋体" w:hAnsi="宋体" w:eastAsia="宋体" w:cs="宋体"/>
          <w:kern w:val="2"/>
          <w:sz w:val="21"/>
          <w:szCs w:val="21"/>
          <w:lang w:val="zh-CN" w:eastAsia="zh-CN" w:bidi="ar-SA"/>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CN" w:bidi="ar-SA"/>
        </w:rPr>
        <w:t>3、投标人须有完整的技术方案，否则为无效</w:t>
      </w:r>
      <w:r>
        <w:rPr>
          <w:rFonts w:hint="eastAsia" w:ascii="宋体" w:hAnsi="宋体" w:eastAsia="宋体" w:cs="宋体"/>
          <w:kern w:val="2"/>
          <w:sz w:val="21"/>
          <w:szCs w:val="21"/>
          <w:lang w:val="en-US" w:eastAsia="zh-CN" w:bidi="ar-SA"/>
        </w:rPr>
        <w:t>响应文件</w:t>
      </w:r>
      <w:r>
        <w:rPr>
          <w:rFonts w:hint="eastAsia" w:ascii="宋体" w:hAnsi="宋体" w:eastAsia="宋体" w:cs="宋体"/>
          <w:kern w:val="2"/>
          <w:sz w:val="21"/>
          <w:szCs w:val="21"/>
          <w:lang w:val="zh-CN" w:eastAsia="zh-CN" w:bidi="ar-SA"/>
        </w:rPr>
        <w:t>。</w:t>
      </w:r>
    </w:p>
    <w:p>
      <w:pPr>
        <w:widowControl/>
        <w:shd w:val="clear" w:color="auto" w:fill="FFFFFF"/>
        <w:spacing w:line="360" w:lineRule="auto"/>
        <w:ind w:firstLine="482" w:firstLineChars="200"/>
        <w:contextualSpacing/>
        <w:jc w:val="left"/>
        <w:rPr>
          <w:rFonts w:hint="eastAsia" w:ascii="宋体" w:cs="宋体"/>
          <w:b/>
          <w:bCs/>
          <w:sz w:val="24"/>
          <w:lang w:val="zh-CN"/>
        </w:rPr>
      </w:pPr>
      <w:r>
        <w:rPr>
          <w:rFonts w:hint="eastAsia" w:ascii="宋体" w:cs="宋体"/>
          <w:b/>
          <w:bCs/>
          <w:sz w:val="24"/>
          <w:lang w:val="en-US" w:eastAsia="zh-CN"/>
        </w:rPr>
        <w:t>注：</w:t>
      </w:r>
      <w:r>
        <w:rPr>
          <w:rFonts w:hint="eastAsia" w:ascii="宋体" w:cs="宋体"/>
          <w:b/>
          <w:bCs/>
          <w:sz w:val="24"/>
          <w:lang w:val="zh-CN"/>
        </w:rPr>
        <w:t>采购人确定</w:t>
      </w:r>
      <w:r>
        <w:rPr>
          <w:rFonts w:hint="eastAsia" w:ascii="宋体" w:cs="宋体"/>
          <w:b/>
          <w:bCs/>
          <w:sz w:val="24"/>
          <w:lang w:val="en-US" w:eastAsia="zh-CN"/>
        </w:rPr>
        <w:t>中标</w:t>
      </w:r>
      <w:r>
        <w:rPr>
          <w:rFonts w:hint="eastAsia" w:ascii="宋体" w:cs="宋体"/>
          <w:b/>
          <w:bCs/>
          <w:sz w:val="24"/>
          <w:lang w:val="zh-CN"/>
        </w:rPr>
        <w:t>人后，中标人须向禹州市政府采购中心发送投标报价及分项报价（如果货物需求中有分项的话）一览表电子档，并同时通知采购中心。邮箱：</w:t>
      </w:r>
      <w:r>
        <w:rPr>
          <w:rFonts w:hint="eastAsia" w:ascii="宋体" w:cs="宋体"/>
          <w:b/>
          <w:bCs/>
          <w:sz w:val="24"/>
          <w:lang w:val="zh-CN"/>
        </w:rPr>
        <w:fldChar w:fldCharType="begin"/>
      </w:r>
      <w:r>
        <w:rPr>
          <w:rFonts w:hint="eastAsia" w:ascii="宋体" w:cs="宋体"/>
          <w:b/>
          <w:bCs/>
          <w:sz w:val="24"/>
          <w:lang w:val="zh-CN"/>
        </w:rPr>
        <w:instrText xml:space="preserve"> HYPERLINK "mailto:YZGGZY2076770@163.com。" </w:instrText>
      </w:r>
      <w:r>
        <w:rPr>
          <w:rFonts w:hint="eastAsia" w:ascii="宋体" w:cs="宋体"/>
          <w:b/>
          <w:bCs/>
          <w:sz w:val="24"/>
          <w:lang w:val="zh-CN"/>
        </w:rPr>
        <w:fldChar w:fldCharType="separate"/>
      </w:r>
      <w:r>
        <w:rPr>
          <w:rStyle w:val="11"/>
          <w:rFonts w:hint="eastAsia" w:ascii="宋体" w:cs="宋体"/>
          <w:b/>
          <w:bCs/>
          <w:sz w:val="24"/>
          <w:lang w:val="zh-CN"/>
        </w:rPr>
        <w:t>YZGGZY2076770@163.com。</w:t>
      </w:r>
      <w:r>
        <w:rPr>
          <w:rFonts w:hint="eastAsia" w:ascii="宋体" w:cs="宋体"/>
          <w:b/>
          <w:bCs/>
          <w:sz w:val="24"/>
          <w:lang w:val="zh-CN"/>
        </w:rPr>
        <w:fldChar w:fldCharType="end"/>
      </w:r>
    </w:p>
    <w:p>
      <w:pPr>
        <w:topLinePunct/>
        <w:snapToGrid w:val="0"/>
        <w:spacing w:line="360" w:lineRule="auto"/>
        <w:ind w:firstLine="422" w:firstLineChars="200"/>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六、验收标准：</w:t>
      </w:r>
    </w:p>
    <w:p>
      <w:pPr>
        <w:widowControl/>
        <w:shd w:val="clear" w:color="auto" w:fill="FFFFFF"/>
        <w:spacing w:line="360" w:lineRule="auto"/>
        <w:ind w:firstLine="600"/>
        <w:jc w:val="left"/>
        <w:rPr>
          <w:rFonts w:ascii="新宋体" w:hAnsi="新宋体" w:eastAsia="新宋体" w:cs="新宋体"/>
          <w:kern w:val="0"/>
          <w:szCs w:val="21"/>
        </w:rPr>
      </w:pPr>
      <w:r>
        <w:rPr>
          <w:rFonts w:hint="eastAsia" w:ascii="新宋体" w:hAnsi="新宋体" w:eastAsia="新宋体" w:cs="新宋体"/>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1、按照国家相关标准、行业标准、地方标准或者其他标准、规范验收；</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2、按照磋商文件要求、投标文件响应和承诺验收；</w:t>
      </w:r>
    </w:p>
    <w:p>
      <w:pPr>
        <w:spacing w:line="360" w:lineRule="auto"/>
        <w:ind w:firstLine="420" w:firstLineChars="200"/>
      </w:pPr>
      <w:r>
        <w:rPr>
          <w:rFonts w:hint="eastAsia" w:ascii="新宋体" w:hAnsi="新宋体" w:eastAsia="新宋体" w:cs="新宋体"/>
          <w:kern w:val="0"/>
          <w:szCs w:val="21"/>
          <w:lang w:val="en-US" w:eastAsia="zh-CN"/>
        </w:rPr>
        <w:t>3、本项目产品质量由第三方验收，有关验收费用由中标方承担。</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560" w:lineRule="exact"/>
        <w:ind w:firstLine="600"/>
        <w:jc w:val="left"/>
        <w:rPr>
          <w:rFonts w:ascii="新宋体" w:hAnsi="新宋体" w:eastAsia="新宋体" w:cs="新宋体"/>
          <w:szCs w:val="21"/>
        </w:rPr>
      </w:pPr>
      <w:r>
        <w:rPr>
          <w:rFonts w:hint="eastAsia" w:ascii="新宋体" w:hAnsi="新宋体" w:eastAsia="新宋体" w:cs="新宋体"/>
          <w:kern w:val="0"/>
          <w:szCs w:val="21"/>
        </w:rPr>
        <w:t>（一）支付方式：</w:t>
      </w:r>
      <w:r>
        <w:rPr>
          <w:rFonts w:hint="eastAsia" w:ascii="新宋体" w:hAnsi="新宋体" w:eastAsia="新宋体" w:cs="新宋体"/>
          <w:szCs w:val="21"/>
        </w:rPr>
        <w:t>按照合同约定支付。</w:t>
      </w:r>
    </w:p>
    <w:p>
      <w:pPr>
        <w:widowControl/>
        <w:shd w:val="clear" w:color="auto" w:fill="FFFFFF"/>
        <w:spacing w:line="560" w:lineRule="exact"/>
        <w:ind w:firstLine="600"/>
        <w:jc w:val="left"/>
        <w:rPr>
          <w:rFonts w:ascii="新宋体" w:hAnsi="新宋体" w:eastAsia="新宋体" w:cs="新宋体"/>
          <w:kern w:val="0"/>
          <w:szCs w:val="21"/>
        </w:rPr>
      </w:pPr>
      <w:r>
        <w:rPr>
          <w:rFonts w:hint="eastAsia" w:ascii="新宋体" w:hAnsi="新宋体" w:eastAsia="新宋体" w:cs="新宋体"/>
          <w:kern w:val="0"/>
          <w:szCs w:val="21"/>
        </w:rPr>
        <w:t>（二）支付时间及条件：以合同为准。</w:t>
      </w:r>
    </w:p>
    <w:p>
      <w:pPr>
        <w:widowControl/>
        <w:shd w:val="clear" w:color="auto" w:fill="FFFFFF"/>
        <w:spacing w:line="560" w:lineRule="exact"/>
        <w:ind w:firstLine="600"/>
        <w:jc w:val="left"/>
        <w:rPr>
          <w:rFonts w:ascii="新宋体" w:hAnsi="新宋体" w:eastAsia="新宋体" w:cs="新宋体"/>
          <w:kern w:val="0"/>
          <w:szCs w:val="21"/>
        </w:rPr>
      </w:pPr>
    </w:p>
    <w:p>
      <w:pPr>
        <w:widowControl/>
        <w:jc w:val="center"/>
        <w:rPr>
          <w:rFonts w:cs="宋体" w:asciiTheme="majorEastAsia" w:hAnsiTheme="majorEastAsia" w:eastAsiaTheme="majorEastAsia"/>
          <w:b/>
          <w:kern w:val="0"/>
          <w:sz w:val="32"/>
          <w:szCs w:val="32"/>
        </w:rPr>
      </w:pPr>
    </w:p>
    <w:p>
      <w:pPr>
        <w:widowControl/>
        <w:jc w:val="both"/>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磋商文件中凡标有</w:t>
      </w:r>
      <w:r>
        <w:rPr>
          <w:rFonts w:hint="eastAsia" w:cs="微软雅黑" w:asciiTheme="minorEastAsia" w:hAnsiTheme="minorEastAsia"/>
          <w:b/>
          <w:szCs w:val="21"/>
        </w:rPr>
        <w:t>★</w:t>
      </w:r>
      <w:r>
        <w:rPr>
          <w:rFonts w:hint="eastAsia" w:cs="微软雅黑"/>
          <w:b/>
          <w:szCs w:val="21"/>
        </w:rPr>
        <w:t>条款均为实质性要求条款（技术参数中的除外），响应文件须完全响应，未实质响应的，按照无效响应处理。</w:t>
      </w:r>
    </w:p>
    <w:tbl>
      <w:tblPr>
        <w:tblStyle w:val="9"/>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560" w:lineRule="exact"/>
              <w:jc w:val="left"/>
              <w:rPr>
                <w:rFonts w:cs="仿宋" w:asciiTheme="minorEastAsia" w:hAnsiTheme="minorEastAsia"/>
                <w:szCs w:val="21"/>
              </w:rPr>
            </w:pPr>
            <w:r>
              <w:rPr>
                <w:rFonts w:hint="eastAsia" w:cs="仿宋_GB2312" w:asciiTheme="minorEastAsia" w:hAnsiTheme="minorEastAsia"/>
                <w:szCs w:val="21"/>
              </w:rPr>
              <w:t>项目名称：</w:t>
            </w:r>
            <w:r>
              <w:rPr>
                <w:rFonts w:hint="eastAsia" w:asciiTheme="majorEastAsia" w:hAnsiTheme="majorEastAsia" w:eastAsiaTheme="majorEastAsia" w:cstheme="majorEastAsia"/>
                <w:szCs w:val="21"/>
              </w:rPr>
              <w:t>禹州市教育体育局</w:t>
            </w:r>
            <w:r>
              <w:rPr>
                <w:rFonts w:hint="eastAsia" w:asciiTheme="majorEastAsia" w:hAnsiTheme="majorEastAsia" w:eastAsiaTheme="majorEastAsia" w:cstheme="majorEastAsia"/>
                <w:szCs w:val="21"/>
                <w:lang w:eastAsia="zh-CN"/>
              </w:rPr>
              <w:t>班班通及计算机等</w:t>
            </w:r>
            <w:r>
              <w:rPr>
                <w:rFonts w:hint="eastAsia" w:asciiTheme="majorEastAsia" w:hAnsiTheme="majorEastAsia" w:eastAsiaTheme="majorEastAsia" w:cstheme="majorEastAsia"/>
                <w:szCs w:val="21"/>
              </w:rPr>
              <w:t>采购项目</w:t>
            </w:r>
            <w:r>
              <w:rPr>
                <w:rFonts w:hint="eastAsia" w:cs="仿宋" w:asciiTheme="minorEastAsia" w:hAnsiTheme="minorEastAsia"/>
                <w:szCs w:val="21"/>
              </w:rPr>
              <w:t>(不见面开标)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采购编号：YZCG-C202</w:t>
            </w:r>
            <w:r>
              <w:rPr>
                <w:rFonts w:hint="eastAsia" w:cs="仿宋_GB2312" w:asciiTheme="minorEastAsia" w:hAnsiTheme="minorEastAsia"/>
                <w:szCs w:val="21"/>
                <w:lang w:val="en-US" w:eastAsia="zh-CN"/>
              </w:rPr>
              <w:t>3029</w:t>
            </w:r>
            <w:bookmarkStart w:id="2" w:name="_GoBack"/>
            <w:bookmarkEnd w:id="2"/>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交付（服务、完工）时间：合同签订后</w:t>
            </w:r>
            <w:r>
              <w:rPr>
                <w:rFonts w:hint="eastAsia" w:cs="仿宋_GB2312" w:asciiTheme="minorEastAsia" w:hAnsiTheme="minorEastAsia"/>
                <w:szCs w:val="21"/>
                <w:lang w:val="en-US" w:eastAsia="zh-CN"/>
              </w:rPr>
              <w:t>15</w:t>
            </w:r>
            <w:r>
              <w:rPr>
                <w:rFonts w:hint="eastAsia" w:cs="仿宋_GB2312" w:asciiTheme="minorEastAsia" w:hAnsiTheme="minorEastAsia"/>
                <w:szCs w:val="21"/>
              </w:rPr>
              <w:t>日历天内完成安装调试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hint="eastAsia"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val="en-US" w:eastAsia="zh-CN"/>
              </w:rPr>
              <w:t>教育体育局</w:t>
            </w:r>
          </w:p>
          <w:p>
            <w:pPr>
              <w:widowControl/>
              <w:shd w:val="clear" w:color="auto" w:fill="FFFFFF"/>
              <w:spacing w:line="440" w:lineRule="exact"/>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禹王大道东段</w:t>
            </w:r>
          </w:p>
          <w:p>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代</w:t>
            </w:r>
            <w:r>
              <w:rPr>
                <w:rFonts w:hint="eastAsia" w:cs="仿宋_GB2312" w:asciiTheme="minorEastAsia" w:hAnsiTheme="minorEastAsia"/>
                <w:color w:val="000000"/>
                <w:szCs w:val="21"/>
                <w:shd w:val="clear" w:color="auto" w:fill="FFFFFF"/>
              </w:rPr>
              <w:t>先生         联系电话：0374-</w:t>
            </w:r>
            <w:r>
              <w:rPr>
                <w:rFonts w:hint="eastAsia" w:cs="仿宋_GB2312" w:asciiTheme="minorEastAsia" w:hAnsiTheme="minorEastAsia"/>
                <w:color w:val="000000"/>
                <w:szCs w:val="21"/>
                <w:shd w:val="clear" w:color="auto" w:fill="FFFFFF"/>
                <w:lang w:val="en-US" w:eastAsia="zh-CN"/>
              </w:rPr>
              <w:t>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仿宋_GB2312" w:asciiTheme="minorEastAsia" w:hAnsiTheme="minorEastAsia"/>
                <w:szCs w:val="21"/>
              </w:rPr>
            </w:pPr>
          </w:p>
        </w:tc>
        <w:tc>
          <w:tcPr>
            <w:tcW w:w="6813" w:type="dxa"/>
            <w:vAlign w:val="center"/>
          </w:tcPr>
          <w:p>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pPr>
              <w:pStyle w:val="13"/>
              <w:numPr>
                <w:ilvl w:val="0"/>
                <w:numId w:val="26"/>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供应商在投标时，提供《禹州市政府采购供应商信用承诺函》（详见招标文件第八章3.5格式），无需再提交上述证明材料。</w:t>
            </w:r>
          </w:p>
          <w:p>
            <w:pPr>
              <w:pStyle w:val="13"/>
              <w:numPr>
                <w:ilvl w:val="0"/>
                <w:numId w:val="26"/>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采购人有权在签订合同前要求中标供应商提供相关证明材料以核实中标供应商承诺事项的真实性。</w:t>
            </w:r>
          </w:p>
          <w:p>
            <w:pPr>
              <w:pStyle w:val="13"/>
              <w:numPr>
                <w:ilvl w:val="0"/>
                <w:numId w:val="26"/>
              </w:numPr>
              <w:autoSpaceDE w:val="0"/>
              <w:autoSpaceDN w:val="0"/>
              <w:adjustRightInd w:val="0"/>
              <w:spacing w:line="276" w:lineRule="auto"/>
              <w:ind w:firstLineChars="0"/>
              <w:rPr>
                <w:rFonts w:cs="宋体" w:asciiTheme="minorEastAsia" w:hAnsiTheme="minorEastAsia"/>
                <w:kern w:val="0"/>
                <w:szCs w:val="21"/>
              </w:rPr>
            </w:pPr>
            <w:r>
              <w:rPr>
                <w:rFonts w:hint="eastAsia" w:cs="宋体" w:asciiTheme="minorEastAsia" w:hAnsiTheme="minorEastAsia"/>
                <w:color w:val="FF0000"/>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1370000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磋商</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磋商有效期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提交磋商响应文件的截止之日起算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成交供应商磋商</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磋商响应截止及磋商时间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磋商响应文件开启地点：禹州市公共资源交易中心九楼不见面开标二室。（</w:t>
            </w:r>
            <w:r>
              <w:rPr>
                <w:rFonts w:hint="eastAsia" w:cs="Arial" w:asciiTheme="minorEastAsia" w:hAnsiTheme="minorEastAsia"/>
                <w:b/>
                <w:szCs w:val="21"/>
              </w:rPr>
              <w:t>本项目采用远程不见面磋商，供应商无须到达现场</w:t>
            </w:r>
            <w:r>
              <w:rPr>
                <w:rFonts w:hint="eastAsia" w:cs="Arial"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磋商保证金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供应商应提供磋商承诺函。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磋商公告、成交公告、变更（更正）公告、现场勘察答复等相关信息同时在以下网站发布：《中国政府采购网》、《河南省政府采购网》、《许昌市政府采购网》、《全国公共资源交易平台（河南省·许昌市）》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磋商文件时间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磋商响应截止时间5日前（</w:t>
            </w:r>
            <w:r>
              <w:rPr>
                <w:rFonts w:hint="eastAsia" w:cs="仿宋_GB2312" w:asciiTheme="minorEastAsia" w:hAnsiTheme="minorEastAsia"/>
                <w:szCs w:val="21"/>
                <w:lang w:val="zh-CN"/>
              </w:rPr>
              <w:t>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供应商对磋商文件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电子响应文件：按磋商文件要求加盖供应商电子印章和法人电子印章。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磋商小组组建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由采购人代表和评审专家组成，其中评审专家的人数不少于磋商小组成员总数的三分之二。评审专家从政府采购评审专家库中随机抽取。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Cs/>
                <w:szCs w:val="21"/>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2、根据财政部、工业和信息化部发布的《政府采购促进中小企业发展管理办法》（财库〔2020〕46号）、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pPr>
              <w:spacing w:line="360" w:lineRule="auto"/>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w:t>
            </w:r>
            <w:r>
              <w:rPr>
                <w:rFonts w:ascii="ˎ̥" w:hAnsi="ˎ̥"/>
                <w:color w:val="FF0000"/>
              </w:rPr>
              <w:t>—</w:t>
            </w:r>
            <w:r>
              <w:rPr>
                <w:rFonts w:hint="eastAsia" w:ascii="ˎ̥" w:hAnsi="ˎ̥"/>
                <w:color w:val="FF0000"/>
              </w:rPr>
              <w:t>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rPr>
            </w:pPr>
            <w:r>
              <w:rPr>
                <w:rFonts w:hint="eastAsia" w:ascii="ˎ̥" w:hAnsi="ˎ̥"/>
              </w:rPr>
              <w:t>5、提供由省级以上监狱管理局、戒毒管理局（含新疆生产建设兵团）出具的属于监狱企业证明文件的，视同为小型和微型企业。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6、符合享受政府采购支持政策的残疾人福利性单位条件且提供《残疾人福利性单位声明函》的，视同为小型和微型企业。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cs="宋体" w:asciiTheme="minorEastAsia" w:hAnsiTheme="minorEastAsia"/>
                <w:b/>
                <w:bCs/>
                <w:szCs w:val="21"/>
                <w:lang w:val="zh-CN"/>
              </w:rPr>
            </w:pPr>
            <w:r>
              <w:rPr>
                <w:rFonts w:hint="eastAsia" w:cs="宋体" w:asciiTheme="minorEastAsia" w:hAnsiTheme="minorEastAsia"/>
                <w:bCs/>
                <w:szCs w:val="21"/>
                <w:lang w:val="zh-CN"/>
              </w:rPr>
              <w:t>1、本项目强制采购的节能产品：无</w:t>
            </w:r>
            <w:r>
              <w:rPr>
                <w:rFonts w:cs="宋体" w:asciiTheme="minorEastAsia" w:hAnsiTheme="minorEastAsia"/>
                <w:b/>
                <w:bCs/>
                <w:szCs w:val="21"/>
                <w:lang w:val="zh-CN"/>
              </w:rPr>
              <w:t xml:space="preserve"> </w:t>
            </w:r>
          </w:p>
          <w:p>
            <w:pPr>
              <w:autoSpaceDE w:val="0"/>
              <w:autoSpaceDN w:val="0"/>
              <w:adjustRightInd w:val="0"/>
              <w:spacing w:line="360" w:lineRule="auto"/>
              <w:rPr>
                <w:rFonts w:ascii="ˎ̥" w:hAnsi="ˎ̥"/>
              </w:rPr>
            </w:pPr>
            <w:r>
              <w:rPr>
                <w:rFonts w:hint="eastAsia" w:cs="宋体" w:asciiTheme="minorEastAsia" w:hAnsiTheme="minorEastAsia"/>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1、本项目</w:t>
            </w:r>
            <w:r>
              <w:rPr>
                <w:rFonts w:cs="宋体" w:asciiTheme="minorEastAsia" w:hAnsiTheme="minorEastAsia"/>
                <w:bCs/>
                <w:szCs w:val="21"/>
                <w:lang w:val="zh-CN"/>
              </w:rPr>
              <w:t>信息安全产品为</w:t>
            </w:r>
            <w:r>
              <w:rPr>
                <w:rFonts w:hint="eastAsia" w:cs="宋体" w:asciiTheme="minorEastAsia" w:hAnsiTheme="minorEastAsia"/>
                <w:bCs/>
                <w:szCs w:val="21"/>
                <w:lang w:val="zh-CN"/>
              </w:rPr>
              <w:t>：</w:t>
            </w:r>
            <w:r>
              <w:rPr>
                <w:rFonts w:cs="宋体" w:asciiTheme="minorEastAsia" w:hAnsiTheme="minorEastAsia"/>
                <w:bCs/>
                <w:szCs w:val="21"/>
                <w:lang w:val="zh-CN"/>
              </w:rPr>
              <w:t>无</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供应商投标时须成功上传、解密电子响应文件。供应商资质、业绩、荣誉及相关人员证明材料等资料原件不再提交（本磋商文件第六章另有要求提供原件的除外）。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□否。供应商投标时须提供纸质响应文件。供应商资质、业绩、荣誉及相关人员证明材料等资料原件根据磋商文件要求提供。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根据磋商小组要求，供应商须使用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①磋商小组要求供应商提交一次最后报价时，在磋商小组规定时间内，供应商未提交最后报价则以其初次提交响应文件报价为最后报价。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②磋商文件第二章“采购需求”中“采购清单”以工程量清单提供的，供应商应以工程量清单方式提交最后报价。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不同供应商电子响应文件制作硬件特征码（网卡MAC地址、CPU序号、硬盘序列号）均一致时，视为‘</w:t>
            </w:r>
            <w:r>
              <w:rPr>
                <w:rFonts w:ascii="ˎ̥" w:hAnsi="ˎ̥"/>
              </w:rPr>
              <w:t>不同</w:t>
            </w:r>
            <w:r>
              <w:rPr>
                <w:rFonts w:hint="eastAsia" w:ascii="ˎ̥" w:hAnsi="ˎ̥"/>
              </w:rPr>
              <w:t>供应商的响应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2021或2022</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2021或</w:t>
            </w:r>
            <w:r>
              <w:rPr>
                <w:rFonts w:hint="eastAsia" w:asciiTheme="minorEastAsia" w:hAnsiTheme="minorEastAsia"/>
                <w:bCs/>
                <w:szCs w:val="21"/>
              </w:rPr>
              <w:t>202</w:t>
            </w:r>
            <w:r>
              <w:rPr>
                <w:rFonts w:hint="eastAsia" w:asciiTheme="minorEastAsia" w:hAnsiTheme="minorEastAsia"/>
                <w:bCs/>
                <w:szCs w:val="21"/>
                <w:lang w:val="en-US" w:eastAsia="zh-CN"/>
              </w:rPr>
              <w:t>2</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13"/>
        <w:numPr>
          <w:ilvl w:val="0"/>
          <w:numId w:val="27"/>
        </w:numPr>
        <w:tabs>
          <w:tab w:val="left" w:pos="1260"/>
        </w:tabs>
        <w:autoSpaceDE w:val="0"/>
        <w:autoSpaceDN w:val="0"/>
        <w:adjustRightInd w:val="0"/>
        <w:spacing w:line="360" w:lineRule="auto"/>
        <w:ind w:firstLineChars="0"/>
        <w:contextualSpacing/>
        <w:jc w:val="center"/>
        <w:rPr>
          <w:rFonts w:cs="宋体" w:asciiTheme="minorEastAsia" w:hAnsiTheme="minorEastAsia"/>
          <w:b/>
          <w:kern w:val="0"/>
          <w:szCs w:val="21"/>
        </w:rPr>
      </w:pPr>
      <w:r>
        <w:rPr>
          <w:rFonts w:hint="eastAsia" w:cs="宋体" w:asciiTheme="minorEastAsia" w:hAnsiTheme="minorEastAsia"/>
          <w:b/>
          <w:kern w:val="0"/>
          <w:szCs w:val="21"/>
        </w:rPr>
        <w:t>概念释义</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1.适用范围</w:t>
      </w:r>
    </w:p>
    <w:p>
      <w:pPr>
        <w:pStyle w:val="13"/>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本磋商文件仅适用于本次“采购邀请”</w:t>
      </w:r>
      <w:r>
        <w:rPr>
          <w:rFonts w:hint="eastAsia" w:ascii="宋体" w:hAnsi="宋体"/>
          <w:szCs w:val="21"/>
        </w:rPr>
        <w:t>中所述采购项目的采购。</w:t>
      </w:r>
    </w:p>
    <w:p>
      <w:pPr>
        <w:pStyle w:val="13"/>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本磋商文件解释权属于“采购邀请”所述的采购人。</w:t>
      </w:r>
    </w:p>
    <w:p>
      <w:pPr>
        <w:pStyle w:val="13"/>
        <w:autoSpaceDE w:val="0"/>
        <w:autoSpaceDN w:val="0"/>
        <w:spacing w:line="360" w:lineRule="auto"/>
        <w:ind w:left="780" w:firstLine="0" w:firstLineChars="0"/>
        <w:contextualSpacing/>
        <w:rPr>
          <w:rFonts w:cs="宋体" w:asciiTheme="minorEastAsia" w:hAnsiTheme="minorEastAsia"/>
          <w:kern w:val="0"/>
          <w:szCs w:val="21"/>
        </w:rPr>
      </w:pPr>
    </w:p>
    <w:p>
      <w:pPr>
        <w:pStyle w:val="13"/>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13"/>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13"/>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w:t>
      </w:r>
      <w:r>
        <w:rPr>
          <w:rFonts w:hint="eastAsia" w:ascii="宋体" w:hAnsi="宋体"/>
          <w:szCs w:val="21"/>
        </w:rPr>
        <w:t xml:space="preserve"> “供应商须知前附表”中所述的组织本次采购的代理机构和采购人。</w:t>
      </w:r>
    </w:p>
    <w:p>
      <w:pPr>
        <w:pStyle w:val="13"/>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地址、电话、联系人见“供应商须知前附表”。</w:t>
      </w:r>
    </w:p>
    <w:p>
      <w:pPr>
        <w:pStyle w:val="13"/>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电话、联系人见“供应商须知前附表”。</w:t>
      </w:r>
    </w:p>
    <w:p>
      <w:pPr>
        <w:pStyle w:val="13"/>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2.5.1        磋商</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2.5.2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13"/>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磋商文件中凡标有“★”(技术参数中的除外)的条款均系实质性要求条款。</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13"/>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13"/>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13"/>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13"/>
        <w:numPr>
          <w:ilvl w:val="0"/>
          <w:numId w:val="3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11"/>
          <w:rFonts w:cs="宋体" w:asciiTheme="minorEastAsia" w:hAnsiTheme="minorEastAsia"/>
          <w:color w:val="auto"/>
          <w:szCs w:val="21"/>
        </w:rPr>
        <w:t>https://chinanpo.mca.gov.cn</w:t>
      </w:r>
      <w:r>
        <w:rPr>
          <w:rStyle w:val="11"/>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13"/>
        <w:numPr>
          <w:ilvl w:val="0"/>
          <w:numId w:val="3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截止时间：同磋商响应截止时间；</w:t>
      </w:r>
    </w:p>
    <w:p>
      <w:pPr>
        <w:pStyle w:val="13"/>
        <w:numPr>
          <w:ilvl w:val="0"/>
          <w:numId w:val="3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信用信息查询记录和证据留存具体方式：经磋商小组确认的查询结果网页截图作为查询记录和证据，与其他磋商文件一并保存；</w:t>
      </w:r>
    </w:p>
    <w:p>
      <w:pPr>
        <w:pStyle w:val="13"/>
        <w:numPr>
          <w:ilvl w:val="0"/>
          <w:numId w:val="3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信用信息的使用原则：经磋商小组认定的被列入失信被执行人、税收违法黑名单、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13"/>
        <w:numPr>
          <w:ilvl w:val="0"/>
          <w:numId w:val="3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供应商不良信用记录以磋商小组查询结果为准，磋商小组查询之后，网站信息发生的任何变更不再作为评审依据，供应商自行提供的与网站信息不一致的其他证明材料亦不作为评审依据。</w:t>
      </w:r>
    </w:p>
    <w:p>
      <w:pPr>
        <w:pStyle w:val="13"/>
        <w:numPr>
          <w:ilvl w:val="0"/>
          <w:numId w:val="3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13"/>
        <w:numPr>
          <w:ilvl w:val="0"/>
          <w:numId w:val="3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13"/>
        <w:numPr>
          <w:ilvl w:val="0"/>
          <w:numId w:val="3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13"/>
        <w:numPr>
          <w:ilvl w:val="0"/>
          <w:numId w:val="3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13"/>
        <w:numPr>
          <w:ilvl w:val="0"/>
          <w:numId w:val="3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13"/>
        <w:numPr>
          <w:ilvl w:val="0"/>
          <w:numId w:val="3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13"/>
        <w:numPr>
          <w:ilvl w:val="0"/>
          <w:numId w:val="3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13"/>
        <w:numPr>
          <w:ilvl w:val="0"/>
          <w:numId w:val="3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13"/>
        <w:numPr>
          <w:ilvl w:val="0"/>
          <w:numId w:val="3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1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pStyle w:val="1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1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1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不论采购的结果如何，供应商均应自行承担所有与磋商有关的全部费用，采购人在任何情况下均无义务和责任承担这些费用。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磋商公告、磋商文件澄清或修改公告、成交公告以及延长响应文件提交截止时间等与采购活动有关的通知，采购人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13"/>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二、磋商文件说明</w:t>
      </w: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磋商文件构成</w:t>
      </w:r>
    </w:p>
    <w:p>
      <w:pPr>
        <w:pStyle w:val="13"/>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（1）采购邀请（竞争性磋商公告）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（9）本项目磋商文件的澄清、答复、修改、补充内容（如有的话）</w:t>
      </w:r>
    </w:p>
    <w:p>
      <w:pPr>
        <w:pStyle w:val="13"/>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13"/>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现场考察、磋商前答疑会</w:t>
      </w:r>
    </w:p>
    <w:p>
      <w:pPr>
        <w:pStyle w:val="13"/>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采购人根据采购项目的具体情况，可以在磋商文件公告期满后，组织已获取磋商文件的供应商现场考察或者召开磋商前答疑会。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磋商前答疑会的，所有供应商应按“供应商须知前附表”规定的时间、地点前往参加现场考察或者磋商前答疑会。供应商如不参加，其风险由供应商自行承担，采购人不承担任何责任。</w:t>
      </w:r>
    </w:p>
    <w:p>
      <w:pPr>
        <w:pStyle w:val="13"/>
        <w:numPr>
          <w:ilvl w:val="0"/>
          <w:numId w:val="40"/>
        </w:numPr>
        <w:autoSpaceDE w:val="0"/>
        <w:autoSpaceDN w:val="0"/>
        <w:spacing w:line="360" w:lineRule="auto"/>
        <w:ind w:firstLineChars="0"/>
        <w:contextualSpacing/>
        <w:rPr>
          <w:rFonts w:cs="宋体" w:asciiTheme="minorEastAsia" w:hAnsiTheme="minorEastAsia"/>
          <w:vanish/>
          <w:kern w:val="0"/>
          <w:szCs w:val="21"/>
        </w:rPr>
      </w:pPr>
    </w:p>
    <w:p>
      <w:pPr>
        <w:pStyle w:val="13"/>
        <w:numPr>
          <w:ilvl w:val="0"/>
          <w:numId w:val="40"/>
        </w:numPr>
        <w:autoSpaceDE w:val="0"/>
        <w:autoSpaceDN w:val="0"/>
        <w:spacing w:line="360" w:lineRule="auto"/>
        <w:ind w:firstLineChars="0"/>
        <w:contextualSpacing/>
        <w:rPr>
          <w:rFonts w:cs="宋体" w:asciiTheme="minorEastAsia" w:hAnsiTheme="minorEastAsia"/>
          <w:vanish/>
          <w:kern w:val="0"/>
          <w:szCs w:val="21"/>
        </w:rPr>
      </w:pPr>
    </w:p>
    <w:p>
      <w:pPr>
        <w:pStyle w:val="13"/>
        <w:numPr>
          <w:ilvl w:val="0"/>
          <w:numId w:val="40"/>
        </w:numPr>
        <w:autoSpaceDE w:val="0"/>
        <w:autoSpaceDN w:val="0"/>
        <w:spacing w:line="360" w:lineRule="auto"/>
        <w:ind w:firstLineChars="0"/>
        <w:contextualSpacing/>
        <w:rPr>
          <w:rFonts w:cs="宋体" w:asciiTheme="minorEastAsia" w:hAnsiTheme="minorEastAsia"/>
          <w:vanish/>
          <w:kern w:val="0"/>
          <w:szCs w:val="21"/>
        </w:rPr>
      </w:pPr>
    </w:p>
    <w:p>
      <w:pPr>
        <w:pStyle w:val="13"/>
        <w:numPr>
          <w:ilvl w:val="0"/>
          <w:numId w:val="40"/>
        </w:numPr>
        <w:autoSpaceDE w:val="0"/>
        <w:autoSpaceDN w:val="0"/>
        <w:spacing w:line="360" w:lineRule="auto"/>
        <w:ind w:firstLineChars="0"/>
        <w:contextualSpacing/>
        <w:rPr>
          <w:rFonts w:cs="宋体" w:asciiTheme="minorEastAsia" w:hAnsiTheme="minorEastAsia"/>
          <w:vanish/>
          <w:kern w:val="0"/>
          <w:szCs w:val="21"/>
        </w:rPr>
      </w:pPr>
    </w:p>
    <w:p>
      <w:pPr>
        <w:pStyle w:val="13"/>
        <w:numPr>
          <w:ilvl w:val="0"/>
          <w:numId w:val="40"/>
        </w:numPr>
        <w:autoSpaceDE w:val="0"/>
        <w:autoSpaceDN w:val="0"/>
        <w:spacing w:line="360" w:lineRule="auto"/>
        <w:ind w:firstLineChars="0"/>
        <w:contextualSpacing/>
        <w:rPr>
          <w:rFonts w:cs="宋体" w:asciiTheme="minorEastAsia" w:hAnsiTheme="minorEastAsia"/>
          <w:vanish/>
          <w:kern w:val="0"/>
          <w:szCs w:val="21"/>
        </w:rPr>
      </w:pPr>
    </w:p>
    <w:p>
      <w:pPr>
        <w:pStyle w:val="13"/>
        <w:numPr>
          <w:ilvl w:val="0"/>
          <w:numId w:val="40"/>
        </w:numPr>
        <w:autoSpaceDE w:val="0"/>
        <w:autoSpaceDN w:val="0"/>
        <w:spacing w:line="360" w:lineRule="auto"/>
        <w:ind w:firstLineChars="0"/>
        <w:contextualSpacing/>
        <w:rPr>
          <w:rFonts w:cs="宋体" w:asciiTheme="minorEastAsia" w:hAnsiTheme="minorEastAsia"/>
          <w:vanish/>
          <w:kern w:val="0"/>
          <w:szCs w:val="21"/>
        </w:rPr>
      </w:pPr>
    </w:p>
    <w:p>
      <w:pPr>
        <w:pStyle w:val="13"/>
        <w:numPr>
          <w:ilvl w:val="0"/>
          <w:numId w:val="40"/>
        </w:numPr>
        <w:autoSpaceDE w:val="0"/>
        <w:autoSpaceDN w:val="0"/>
        <w:spacing w:line="360" w:lineRule="auto"/>
        <w:ind w:firstLineChars="0"/>
        <w:contextualSpacing/>
        <w:rPr>
          <w:rFonts w:cs="宋体" w:asciiTheme="minorEastAsia" w:hAnsiTheme="minorEastAsia"/>
          <w:vanish/>
          <w:kern w:val="0"/>
          <w:szCs w:val="21"/>
        </w:rPr>
      </w:pPr>
    </w:p>
    <w:p>
      <w:pPr>
        <w:pStyle w:val="13"/>
        <w:numPr>
          <w:ilvl w:val="0"/>
          <w:numId w:val="40"/>
        </w:numPr>
        <w:autoSpaceDE w:val="0"/>
        <w:autoSpaceDN w:val="0"/>
        <w:spacing w:line="360" w:lineRule="auto"/>
        <w:ind w:firstLineChars="0"/>
        <w:contextualSpacing/>
        <w:rPr>
          <w:rFonts w:cs="宋体" w:asciiTheme="minorEastAsia" w:hAnsiTheme="minorEastAsia"/>
          <w:vanish/>
          <w:kern w:val="0"/>
          <w:szCs w:val="21"/>
        </w:rPr>
      </w:pPr>
    </w:p>
    <w:p>
      <w:pPr>
        <w:pStyle w:val="13"/>
        <w:numPr>
          <w:ilvl w:val="0"/>
          <w:numId w:val="40"/>
        </w:numPr>
        <w:autoSpaceDE w:val="0"/>
        <w:autoSpaceDN w:val="0"/>
        <w:spacing w:line="360" w:lineRule="auto"/>
        <w:ind w:firstLineChars="0"/>
        <w:contextualSpacing/>
        <w:rPr>
          <w:rFonts w:cs="宋体" w:asciiTheme="minorEastAsia" w:hAnsiTheme="minorEastAsia"/>
          <w:vanish/>
          <w:kern w:val="0"/>
          <w:szCs w:val="21"/>
        </w:rPr>
      </w:pPr>
    </w:p>
    <w:p>
      <w:pPr>
        <w:pStyle w:val="13"/>
        <w:numPr>
          <w:ilvl w:val="1"/>
          <w:numId w:val="40"/>
        </w:numPr>
        <w:autoSpaceDE w:val="0"/>
        <w:autoSpaceDN w:val="0"/>
        <w:spacing w:line="360" w:lineRule="auto"/>
        <w:ind w:left="544" w:firstLineChars="0"/>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采购人组织现场考察或者召开答疑会的，应当在磋商文件中载明，或者在磋商文件公告期满后在财政部门指定的政府采购信息发布媒体和《全国公共资源交易平台（河南省·许昌市）》发布更正公告。</w:t>
      </w:r>
    </w:p>
    <w:p>
      <w:pPr>
        <w:pStyle w:val="13"/>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pStyle w:val="13"/>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现场考察及参加磋商前答疑会所发生的费用及一切责任由供应商自行承担。</w:t>
      </w: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磋商文件的澄清或修改</w:t>
      </w:r>
    </w:p>
    <w:p>
      <w:pPr>
        <w:pStyle w:val="13"/>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在磋商响应截止期前，无论出于何种原因，采购人可主动地或在解答供应商提出的澄清问题时对磋商文件进行修改。</w:t>
      </w:r>
    </w:p>
    <w:p>
      <w:pPr>
        <w:pStyle w:val="13"/>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w:t>
      </w:r>
    </w:p>
    <w:p>
      <w:pPr>
        <w:pStyle w:val="13"/>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澄清或修改公告的内容为磋商文件的组成部分，并对供应商具有约束力。当磋商文件与澄清或修改公告就同一内容的表述不一致时，以最后发出的文件内容为准。</w:t>
      </w:r>
    </w:p>
    <w:p>
      <w:pPr>
        <w:pStyle w:val="13"/>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如果澄清或者修改发出的时间距规定的磋商响应截止时间不足5日的，采购人将顺延提交响应文件的截止时间。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13"/>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供应商提交的响应文件以及供应商与采购人就有关采购事宜的所有来往书面文件均应使用中文。除签名、盖章、专用名称等特殊情形外，以中文以外的文字表述的响应文件视同未提供。</w:t>
      </w:r>
    </w:p>
    <w:p>
      <w:pPr>
        <w:pStyle w:val="13"/>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响应文件计量单位，磋商文件已有明确规定的，使用磋商文件规定的计量单位；磋商文件没有规定的，一律采用中华人民共和国法定计量单位。</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13"/>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本次磋商项目的报价均以人民币为计算单位。</w:t>
      </w:r>
    </w:p>
    <w:p>
      <w:pPr>
        <w:pStyle w:val="13"/>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13"/>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13"/>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磋商的供应商，在磋商结束后还有一次最终报价的机会。</w:t>
      </w:r>
    </w:p>
    <w:p>
      <w:pPr>
        <w:pStyle w:val="13"/>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13"/>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13"/>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13"/>
        <w:numPr>
          <w:ilvl w:val="0"/>
          <w:numId w:val="4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pPr>
        <w:pStyle w:val="13"/>
        <w:numPr>
          <w:ilvl w:val="0"/>
          <w:numId w:val="4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响应有效期内供应商撤销响应文件的，供应商将承担违背磋商承诺函的责任追究。</w:t>
      </w:r>
    </w:p>
    <w:p>
      <w:pPr>
        <w:pStyle w:val="13"/>
        <w:numPr>
          <w:ilvl w:val="0"/>
          <w:numId w:val="4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13"/>
        <w:numPr>
          <w:ilvl w:val="0"/>
          <w:numId w:val="4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13"/>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响应文件的构成应符合法律法规及磋商文件的要求。</w:t>
      </w:r>
    </w:p>
    <w:p>
      <w:pPr>
        <w:pStyle w:val="13"/>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供应商应当按照磋商文件的要求编制响应文件。响应文件应当对磋商文件提出的要求和条件作出明确响应。</w:t>
      </w:r>
    </w:p>
    <w:p>
      <w:pPr>
        <w:pStyle w:val="13"/>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13"/>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13"/>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最新版本”，按磋商文件要求根据所响应标段制作电子响应文件。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pStyle w:val="13"/>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电子响应文件制作技术咨询：0374-2961598。</w:t>
      </w:r>
    </w:p>
    <w:p>
      <w:pPr>
        <w:autoSpaceDE w:val="0"/>
        <w:autoSpaceDN w:val="0"/>
        <w:spacing w:line="360" w:lineRule="auto"/>
        <w:ind w:left="964"/>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13"/>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磋商文件第八部分（响应文件有关格式）的内容要求、编排顺序和格式要求，以A4幅面编上唯一的连贯页码，并在响应文件封面上注明：所投项目名称、项目编号、供应商名称、日期等字样。</w:t>
      </w:r>
    </w:p>
    <w:p>
      <w:pPr>
        <w:pStyle w:val="13"/>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磋商保证金</w:t>
      </w:r>
    </w:p>
    <w:p>
      <w:pPr>
        <w:pStyle w:val="13"/>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本项目不收取磋商保证金。</w:t>
      </w:r>
    </w:p>
    <w:p>
      <w:pPr>
        <w:pStyle w:val="13"/>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供应商应提供磋商承诺函。</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磋商文件的数量和签署盖章</w:t>
      </w:r>
    </w:p>
    <w:p>
      <w:pPr>
        <w:pStyle w:val="13"/>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13"/>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在磋商文件中已明示需盖章及签名之处，电子响应文件应按磋商文件要求加盖供应商电子印章和法人电子印章或授权代表电子印章。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磋商响应截止时间</w:t>
      </w:r>
    </w:p>
    <w:p>
      <w:pPr>
        <w:pStyle w:val="13"/>
        <w:numPr>
          <w:ilvl w:val="0"/>
          <w:numId w:val="4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p>
    <w:p>
      <w:pPr>
        <w:pStyle w:val="13"/>
        <w:numPr>
          <w:ilvl w:val="0"/>
          <w:numId w:val="4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磋商响应文件截止时间之后上传的响应文件，采购人将将拒绝接收。</w:t>
      </w:r>
    </w:p>
    <w:p>
      <w:pPr>
        <w:autoSpaceDE w:val="0"/>
        <w:autoSpaceDN w:val="0"/>
        <w:spacing w:line="360" w:lineRule="auto"/>
        <w:ind w:left="964"/>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13"/>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供应商在磋商响应截止时间前，对所提交的响应文件进行补充、修改或者撤回的，须书面通知采购人。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供应商应当在磋商响应截止时间前完成电子响应文件的提交，可以补充、修改或撤回。磋商响应截止时间前未完成电子响应文件提交的，视为撤回响应文件。</w:t>
      </w:r>
    </w:p>
    <w:p>
      <w:pPr>
        <w:pStyle w:val="13"/>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供应商补充、修改的内容并作为响应文件的组成部分。补充或修改应当按磋商文件要求签署、盖章、提交，并应注明“修改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13"/>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供应商在提交响应文件后，可以撤回其投标，但供应商必须在规定的投标截止时间前以书面形式告知招标人。</w:t>
      </w:r>
    </w:p>
    <w:p>
      <w:pPr>
        <w:pStyle w:val="13"/>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供应商不得在响应有效期内撤销响应文件，否则供应商将承担违背磋商承诺函的责任追究。</w:t>
      </w:r>
    </w:p>
    <w:p>
      <w:pPr>
        <w:autoSpaceDE w:val="0"/>
        <w:autoSpaceDN w:val="0"/>
        <w:spacing w:line="360" w:lineRule="auto"/>
        <w:ind w:left="420"/>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五、响应文件开启和磋商</w:t>
      </w: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响应文件开启</w:t>
      </w:r>
    </w:p>
    <w:p>
      <w:pPr>
        <w:pStyle w:val="13"/>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采购人将按磋商文件规定的</w:t>
      </w:r>
      <w:r>
        <w:rPr>
          <w:rFonts w:hint="eastAsia" w:cs="仿宋_GB2312" w:asciiTheme="minorEastAsia" w:hAnsiTheme="minorEastAsia"/>
          <w:szCs w:val="21"/>
        </w:rPr>
        <w:t>磋商响应截止时间</w:t>
      </w:r>
      <w:r>
        <w:rPr>
          <w:rFonts w:hint="eastAsia" w:cs="宋体" w:asciiTheme="minorEastAsia" w:hAnsiTheme="minorEastAsia"/>
          <w:kern w:val="0"/>
          <w:szCs w:val="21"/>
        </w:rPr>
        <w:t>和地点解密电子响应文件。由代理机构主持，供应商无须到现场。磋商小组成员不得参加开标活动。</w:t>
      </w:r>
    </w:p>
    <w:p>
      <w:pPr>
        <w:pStyle w:val="13"/>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13"/>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磋商响应截止时间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供应商名称、修改和撤回投标的通知（如有的话）和磋商文件规定的需要宣布的其他内容。</w:t>
      </w:r>
    </w:p>
    <w:p>
      <w:pPr>
        <w:pStyle w:val="13"/>
        <w:numPr>
          <w:ilvl w:val="0"/>
          <w:numId w:val="5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13"/>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13"/>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13"/>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因供应商原因电子响应文件解密失败的，其响应文件将被拒绝。</w:t>
      </w:r>
    </w:p>
    <w:p>
      <w:pPr>
        <w:pStyle w:val="13"/>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供应商不足3家的，本项目磋商活动终止。</w:t>
      </w:r>
    </w:p>
    <w:p>
      <w:pPr>
        <w:pStyle w:val="13"/>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《开标记录表》经供应商进行电子签章、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供应商未电子签章的，视同认可开标结果。</w:t>
      </w:r>
    </w:p>
    <w:p>
      <w:pPr>
        <w:pStyle w:val="13"/>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供应商对解密过程和记录有疑义，以及认为采购人、代理机构相关工作人员有需要回避的情形的，应当场提出询问或者回避申请。采购人、采购代理机构对供应商提出的询问或者回避申请应当及时处理。</w:t>
      </w:r>
    </w:p>
    <w:p>
      <w:pPr>
        <w:pStyle w:val="13"/>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解密活动结束时，供应商应在《开标记录表》上进行电子签章。供应商未签章的，视同认可开标结果。</w:t>
      </w:r>
    </w:p>
    <w:p>
      <w:pPr>
        <w:pStyle w:val="13"/>
        <w:autoSpaceDE w:val="0"/>
        <w:autoSpaceDN w:val="0"/>
        <w:spacing w:line="360" w:lineRule="auto"/>
        <w:ind w:left="420" w:firstLine="0" w:firstLineChars="0"/>
        <w:contextualSpacing/>
        <w:rPr>
          <w:rFonts w:cs="宋体" w:asciiTheme="minorEastAsia" w:hAnsiTheme="minorEastAsia"/>
          <w:kern w:val="0"/>
          <w:szCs w:val="21"/>
        </w:rPr>
      </w:pP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开标结束后，磋商小组依法对供应商的资格进行审查。合格供应商不足3家的，不得磋商。</w:t>
      </w: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磋商小组组成</w:t>
      </w:r>
    </w:p>
    <w:p>
      <w:pPr>
        <w:pStyle w:val="13"/>
        <w:numPr>
          <w:ilvl w:val="0"/>
          <w:numId w:val="5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w:t>
      </w:r>
      <w:r>
        <w:rPr>
          <w:rFonts w:ascii="ˎ̥" w:hAnsi="ˎ̥"/>
        </w:rPr>
        <w:t>由采购人代表和评审专家共3人以上单数组成，其中评审专家人数不得少于竞争性磋商小组成员总数</w:t>
      </w:r>
      <w:r>
        <w:rPr>
          <w:rFonts w:hint="eastAsia" w:cs="宋体" w:asciiTheme="minorEastAsia" w:hAnsiTheme="minorEastAsia"/>
          <w:kern w:val="0"/>
          <w:szCs w:val="21"/>
        </w:rPr>
        <w:t>的三分之二。评审专家依法从政府采购评审专家库中随机抽取。</w:t>
      </w:r>
    </w:p>
    <w:p>
      <w:pPr>
        <w:pStyle w:val="13"/>
        <w:numPr>
          <w:ilvl w:val="0"/>
          <w:numId w:val="5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13"/>
        <w:numPr>
          <w:ilvl w:val="1"/>
          <w:numId w:val="56"/>
        </w:numPr>
        <w:autoSpaceDE w:val="0"/>
        <w:autoSpaceDN w:val="0"/>
        <w:spacing w:line="360" w:lineRule="auto"/>
        <w:ind w:firstLineChars="0"/>
        <w:contextualSpacing/>
        <w:rPr>
          <w:rFonts w:ascii="ˎ̥" w:hAnsi="ˎ̥"/>
          <w:vanish/>
        </w:rPr>
      </w:pPr>
    </w:p>
    <w:p>
      <w:pPr>
        <w:pStyle w:val="13"/>
        <w:numPr>
          <w:ilvl w:val="0"/>
          <w:numId w:val="5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13"/>
        <w:numPr>
          <w:ilvl w:val="0"/>
          <w:numId w:val="5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磋商小组成员与供应商存在下列利害关系之一的,应当回避：</w:t>
      </w:r>
    </w:p>
    <w:p>
      <w:pPr>
        <w:pStyle w:val="13"/>
        <w:numPr>
          <w:ilvl w:val="0"/>
          <w:numId w:val="57"/>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13"/>
        <w:numPr>
          <w:ilvl w:val="0"/>
          <w:numId w:val="57"/>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13"/>
        <w:numPr>
          <w:ilvl w:val="0"/>
          <w:numId w:val="57"/>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13"/>
        <w:numPr>
          <w:ilvl w:val="0"/>
          <w:numId w:val="58"/>
        </w:numPr>
        <w:autoSpaceDE w:val="0"/>
        <w:autoSpaceDN w:val="0"/>
        <w:spacing w:line="360" w:lineRule="auto"/>
        <w:ind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13"/>
        <w:numPr>
          <w:ilvl w:val="0"/>
          <w:numId w:val="5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采购人不得担任磋商小组组长。</w:t>
      </w:r>
    </w:p>
    <w:p>
      <w:pPr>
        <w:pStyle w:val="13"/>
        <w:numPr>
          <w:ilvl w:val="0"/>
          <w:numId w:val="5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13"/>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磋商小组依据有关法律法规和磋商文件的规定，对符合资格的供应商的响应文件进行符合性审查，以确定其是否满足磋商文件的实质性要求。</w:t>
      </w:r>
    </w:p>
    <w:p>
      <w:pPr>
        <w:pStyle w:val="13"/>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审查、评价磋商文件是否符合磋商文件的商务、技术等实质性要求。</w:t>
      </w:r>
    </w:p>
    <w:p>
      <w:pPr>
        <w:pStyle w:val="13"/>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可要求供应商对响应文件有关事项作出澄清或者说明。</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13"/>
        <w:numPr>
          <w:ilvl w:val="0"/>
          <w:numId w:val="6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对于响应文件中含义不明确、同类问题表述不一致或者有明显文字和计算错误的内容，磋商小组应当以书面形式要求供应商作出必要的澄清、说明或者补正。</w:t>
      </w:r>
    </w:p>
    <w:p>
      <w:pPr>
        <w:pStyle w:val="13"/>
        <w:numPr>
          <w:ilvl w:val="0"/>
          <w:numId w:val="6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供应商的澄清、说明或者补正应当采用书面形式，并加盖公章，或者由法定代表人或其授权的代表签字。供应商的澄清、说明或者补正不得超出响应文件的范围或者改变响应文件的实质性内容。</w:t>
      </w:r>
    </w:p>
    <w:p>
      <w:pPr>
        <w:pStyle w:val="13"/>
        <w:numPr>
          <w:ilvl w:val="0"/>
          <w:numId w:val="6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13"/>
        <w:numPr>
          <w:ilvl w:val="0"/>
          <w:numId w:val="6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磋商文件中开标一览表(报价表)内容与响应文件中相应内容不一致的，以开标一览表(报价表)为准；</w:t>
      </w:r>
    </w:p>
    <w:p>
      <w:pPr>
        <w:pStyle w:val="13"/>
        <w:numPr>
          <w:ilvl w:val="0"/>
          <w:numId w:val="6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13"/>
        <w:numPr>
          <w:ilvl w:val="0"/>
          <w:numId w:val="6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13"/>
        <w:numPr>
          <w:ilvl w:val="0"/>
          <w:numId w:val="6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autoSpaceDE w:val="0"/>
        <w:autoSpaceDN w:val="0"/>
        <w:spacing w:line="360" w:lineRule="auto"/>
        <w:ind w:left="964"/>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13"/>
        <w:numPr>
          <w:ilvl w:val="0"/>
          <w:numId w:val="6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3"/>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6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未按照磋商文件的规定提交《禹州市政府采购供应商信用承诺函》的；</w:t>
      </w:r>
    </w:p>
    <w:p>
      <w:pPr>
        <w:pStyle w:val="13"/>
        <w:numPr>
          <w:ilvl w:val="0"/>
          <w:numId w:val="6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未按照磋商文件的规定提交磋商承诺函的；</w:t>
      </w:r>
    </w:p>
    <w:p>
      <w:pPr>
        <w:pStyle w:val="13"/>
        <w:numPr>
          <w:ilvl w:val="0"/>
          <w:numId w:val="6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响应文件未按磋商文件要求签署、盖章的；</w:t>
      </w:r>
    </w:p>
    <w:p>
      <w:pPr>
        <w:pStyle w:val="13"/>
        <w:numPr>
          <w:ilvl w:val="0"/>
          <w:numId w:val="6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报价超过磋商文件中规定的预算金额的；</w:t>
      </w:r>
    </w:p>
    <w:p>
      <w:pPr>
        <w:pStyle w:val="13"/>
        <w:numPr>
          <w:ilvl w:val="0"/>
          <w:numId w:val="6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13"/>
        <w:numPr>
          <w:ilvl w:val="0"/>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13"/>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13"/>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13"/>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13"/>
        <w:numPr>
          <w:ilvl w:val="0"/>
          <w:numId w:val="6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13"/>
        <w:numPr>
          <w:ilvl w:val="0"/>
          <w:numId w:val="7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13"/>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13"/>
        <w:numPr>
          <w:ilvl w:val="0"/>
          <w:numId w:val="7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13"/>
        <w:numPr>
          <w:ilvl w:val="0"/>
          <w:numId w:val="7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13"/>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有下列情形之一的，视为供应商串通磋商，其响应无效：</w:t>
      </w:r>
    </w:p>
    <w:p>
      <w:pPr>
        <w:pStyle w:val="13"/>
        <w:numPr>
          <w:ilvl w:val="0"/>
          <w:numId w:val="75"/>
        </w:numPr>
        <w:tabs>
          <w:tab w:val="left" w:pos="1418"/>
        </w:tabs>
        <w:autoSpaceDE w:val="0"/>
        <w:autoSpaceDN w:val="0"/>
        <w:spacing w:line="360" w:lineRule="auto"/>
        <w:ind w:left="4" w:leftChars="2"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13"/>
        <w:numPr>
          <w:ilvl w:val="0"/>
          <w:numId w:val="7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13"/>
        <w:numPr>
          <w:ilvl w:val="0"/>
          <w:numId w:val="7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13"/>
        <w:numPr>
          <w:ilvl w:val="0"/>
          <w:numId w:val="7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13"/>
        <w:numPr>
          <w:ilvl w:val="0"/>
          <w:numId w:val="7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13"/>
        <w:numPr>
          <w:ilvl w:val="0"/>
          <w:numId w:val="74"/>
        </w:numPr>
        <w:autoSpaceDE w:val="0"/>
        <w:autoSpaceDN w:val="0"/>
        <w:adjustRightInd w:val="0"/>
        <w:spacing w:line="360" w:lineRule="auto"/>
        <w:ind w:firstLineChars="0"/>
        <w:contextualSpacing/>
        <w:rPr>
          <w:rFonts w:ascii="ˎ̥" w:hAnsi="ˎ̥"/>
        </w:rPr>
      </w:pPr>
      <w:r>
        <w:rPr>
          <w:rFonts w:hint="eastAsia" w:ascii="ˎ̥" w:hAnsi="ˎ̥"/>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pStyle w:val="13"/>
        <w:numPr>
          <w:ilvl w:val="0"/>
          <w:numId w:val="74"/>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pStyle w:val="13"/>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’，其磋商响应无效。</w:t>
      </w:r>
    </w:p>
    <w:p>
      <w:pPr>
        <w:pStyle w:val="13"/>
        <w:numPr>
          <w:ilvl w:val="0"/>
          <w:numId w:val="7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响应文件评审与评价</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磋商小组按照磋商文件中规定的评标方法和标准，对符合性审查合格的响应文件进行商务和技术评估，综合比较与评价。</w:t>
      </w: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13"/>
        <w:numPr>
          <w:ilvl w:val="0"/>
          <w:numId w:val="8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评标方法分为综合评分法。</w:t>
      </w:r>
    </w:p>
    <w:p>
      <w:pPr>
        <w:pStyle w:val="13"/>
        <w:numPr>
          <w:ilvl w:val="0"/>
          <w:numId w:val="8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综合评分法，是指响应文件满足磋商文件全部实质性要求，且按照评审因素的量化指标评审得分最高的供应商为成交候选人的评标方法。</w:t>
      </w:r>
    </w:p>
    <w:p>
      <w:pPr>
        <w:pStyle w:val="13"/>
        <w:numPr>
          <w:ilvl w:val="0"/>
          <w:numId w:val="8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13"/>
        <w:numPr>
          <w:ilvl w:val="0"/>
          <w:numId w:val="8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价格分采用低价优先法计算，即满足磋商文件要求且最后报价最低的供应商的价格为磋商基准价，其价格分为满分。其他供应商的价格分统一按照下列公式计算：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磋商报价得分=(磋商基准价/最后磋商报价)×100</w:t>
      </w:r>
    </w:p>
    <w:p>
      <w:pPr>
        <w:pStyle w:val="13"/>
        <w:numPr>
          <w:ilvl w:val="0"/>
          <w:numId w:val="8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评审过程中，不得去掉最后报价中的最高报价和最低报价。</w:t>
      </w:r>
    </w:p>
    <w:p>
      <w:pPr>
        <w:pStyle w:val="13"/>
        <w:numPr>
          <w:ilvl w:val="0"/>
          <w:numId w:val="8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因落实政府采购政策进行价格调整的，以调整后的价格计算磋商基准价和磋商报价。</w:t>
      </w:r>
    </w:p>
    <w:p>
      <w:pPr>
        <w:pStyle w:val="13"/>
        <w:numPr>
          <w:ilvl w:val="0"/>
          <w:numId w:val="8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本次磋商具体磋商方法、磋商标准见（第六章 对响应文件审查与评审）。</w:t>
      </w: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w:t>
      </w:r>
    </w:p>
    <w:p>
      <w:pPr>
        <w:pStyle w:val="13"/>
        <w:numPr>
          <w:ilvl w:val="0"/>
          <w:numId w:val="8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磋商小组与通过符合性审查合格的响应文件，即实质性响应磋商文件的供应商分别进行磋商</w:t>
      </w:r>
      <w:r>
        <w:rPr>
          <w:rFonts w:cs="宋体" w:asciiTheme="minorEastAsia" w:hAnsiTheme="minorEastAsia"/>
          <w:kern w:val="0"/>
          <w:szCs w:val="21"/>
        </w:rPr>
        <w:t>。</w:t>
      </w:r>
    </w:p>
    <w:p>
      <w:pPr>
        <w:pStyle w:val="13"/>
        <w:numPr>
          <w:ilvl w:val="0"/>
          <w:numId w:val="8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磋商小组所有成员应当集中与单一供应商分别进行磋商，并给予所有参加磋商的供应商平等的磋商机会。</w:t>
      </w:r>
    </w:p>
    <w:p>
      <w:pPr>
        <w:pStyle w:val="13"/>
        <w:numPr>
          <w:ilvl w:val="0"/>
          <w:numId w:val="8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在磋商中，磋商的任何一方不得透露与磋商有关的其他供应商的技术资料、价格和其他信息。</w:t>
      </w:r>
    </w:p>
    <w:p>
      <w:pPr>
        <w:pStyle w:val="13"/>
        <w:numPr>
          <w:ilvl w:val="0"/>
          <w:numId w:val="8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pPr>
        <w:pStyle w:val="13"/>
        <w:numPr>
          <w:ilvl w:val="0"/>
          <w:numId w:val="8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磋商文件能够详细列明采购标的的技术、服务要求的，磋商结束后，磋商小组应当要求所有实质性响应的供应商在规定时间内提交最后报价，提交最后报价的供应商不得少于3家。</w:t>
      </w:r>
    </w:p>
    <w:p>
      <w:pPr>
        <w:pStyle w:val="13"/>
        <w:numPr>
          <w:ilvl w:val="0"/>
          <w:numId w:val="8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3"/>
        <w:numPr>
          <w:ilvl w:val="0"/>
          <w:numId w:val="8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如磋商中出现符合《财政部关于政府采购竞争性磋商采购方式管理暂行办法有关问题的补充通知》（财库〔2015〕124号）中的情形，则按财政部通知要求执行。</w:t>
      </w:r>
    </w:p>
    <w:p>
      <w:pPr>
        <w:pStyle w:val="13"/>
        <w:numPr>
          <w:ilvl w:val="0"/>
          <w:numId w:val="8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最后报价是供应商响应文件的有效组成部分。符合《政府采购竞争性磋商采购方式管理暂行办法》【（财库2014）214号】第三条第四项情形的，提交最后报价的供应商可以为2家</w:t>
      </w:r>
    </w:p>
    <w:p>
      <w:pPr>
        <w:pStyle w:val="13"/>
        <w:numPr>
          <w:ilvl w:val="0"/>
          <w:numId w:val="8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已提交响应文件的供应商，在提交最后报价之前，可以根据磋商情况退出磋商。</w:t>
      </w:r>
    </w:p>
    <w:p>
      <w:pPr>
        <w:pStyle w:val="13"/>
        <w:numPr>
          <w:ilvl w:val="0"/>
          <w:numId w:val="8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推荐成交候选人</w:t>
      </w:r>
    </w:p>
    <w:p>
      <w:pPr>
        <w:pStyle w:val="13"/>
        <w:numPr>
          <w:ilvl w:val="0"/>
          <w:numId w:val="84"/>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磋商小组应当根据综合评分情况，按照评审得分由高到低顺序推荐3名以上成交候选供应商，并编写评审报告。</w:t>
      </w:r>
      <w:r>
        <w:rPr>
          <w:rFonts w:hint="eastAsia" w:ascii="Arial" w:hAnsi="Arial" w:cs="Arial"/>
          <w:szCs w:val="21"/>
          <w:shd w:val="clear" w:color="auto" w:fill="FFFFFF"/>
        </w:rPr>
        <w:t>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w:t>
      </w:r>
      <w:r>
        <w:rPr>
          <w:rFonts w:ascii="Arial" w:hAnsi="Arial" w:cs="Arial"/>
          <w:szCs w:val="21"/>
          <w:shd w:val="clear" w:color="auto" w:fill="FFFFFF"/>
        </w:rPr>
        <w:t>评审得分相同的，按照最后报价由低到高的顺序推荐。评审得分且最后报价相同的，按照技术指标优劣顺序推荐。</w:t>
      </w:r>
    </w:p>
    <w:p>
      <w:pPr>
        <w:pStyle w:val="13"/>
        <w:numPr>
          <w:ilvl w:val="0"/>
          <w:numId w:val="84"/>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13"/>
        <w:numPr>
          <w:ilvl w:val="1"/>
          <w:numId w:val="8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13"/>
        <w:numPr>
          <w:ilvl w:val="1"/>
          <w:numId w:val="8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采购人、采购代理机构应当采取必要措施，保证评标在严格保密的情况下进行。有关人员对评审情况以及在评审过程中获悉的国家秘密、商业秘密负有保密责任。</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确定成交人</w:t>
      </w:r>
    </w:p>
    <w:p>
      <w:pPr>
        <w:pStyle w:val="13"/>
        <w:numPr>
          <w:ilvl w:val="0"/>
          <w:numId w:val="8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采购人应当自收到评标报告之日起1个工作日内，在评标报告确定的成交候选人名单中按顺序确定成交人（核验成交供应商由《禹州市政府采购供应商信用承诺函》替代的证明材料）。</w:t>
      </w:r>
    </w:p>
    <w:p>
      <w:pPr>
        <w:pStyle w:val="13"/>
        <w:numPr>
          <w:ilvl w:val="0"/>
          <w:numId w:val="8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采购人在收到评标报告1个工作日内未按评标报告推荐的成交候选人顺序确定成交人，又不能说明合法理由的，视同按评标报告推荐的顺序确定排名第一的成交候选人为成交人。</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13"/>
        <w:numPr>
          <w:ilvl w:val="0"/>
          <w:numId w:val="8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采购人确认成交人后公告成交结果的同时，禹州市政府采购中心向成交人发出成交通知书。</w:t>
      </w:r>
    </w:p>
    <w:p>
      <w:pPr>
        <w:pStyle w:val="13"/>
        <w:numPr>
          <w:ilvl w:val="0"/>
          <w:numId w:val="8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成交通知书发出后，采购人不得违法改变成交结果，成交人无正当理由不得放弃成交。</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13"/>
        <w:numPr>
          <w:ilvl w:val="0"/>
          <w:numId w:val="8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供应商认为磋商文件、采购过程和成交结果使自己的权益受到损害的，可以按照《政府采购质疑和投诉办法》（财政部令第94号）提出质疑。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13"/>
        <w:numPr>
          <w:ilvl w:val="0"/>
          <w:numId w:val="8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供应商应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13"/>
        <w:numPr>
          <w:ilvl w:val="0"/>
          <w:numId w:val="8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磋商公告中集采机构联系人查看。</w:t>
      </w:r>
    </w:p>
    <w:p>
      <w:pPr>
        <w:pStyle w:val="13"/>
        <w:numPr>
          <w:ilvl w:val="0"/>
          <w:numId w:val="8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13"/>
        <w:numPr>
          <w:ilvl w:val="0"/>
          <w:numId w:val="88"/>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采购人、采购代理机构认为供应商质疑不成立，或者成立但未对成交结果构成影响的，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继续开展采购活动；认为供应商质疑成立且影响或者可能影响成交结果的，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13"/>
        <w:numPr>
          <w:ilvl w:val="0"/>
          <w:numId w:val="9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对磋商文件提出的质疑，依法通过澄清或者修改可以继续开展采购活动的，澄清或者修改磋商文件后继续开展采购活动；否则应当修改磋商文件后重新开展采购活动。</w:t>
      </w:r>
    </w:p>
    <w:p>
      <w:pPr>
        <w:pStyle w:val="13"/>
        <w:numPr>
          <w:ilvl w:val="0"/>
          <w:numId w:val="9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对采购过程、成交结果提出的质疑，合格供应商符合法定数量时，可以从合格的成交</w:t>
      </w:r>
      <w:r>
        <w:rPr>
          <w:rFonts w:hint="eastAsia" w:cs="宋体" w:asciiTheme="minorEastAsia" w:hAnsiTheme="minorEastAsia"/>
          <w:kern w:val="0"/>
          <w:szCs w:val="21"/>
        </w:rPr>
        <w:t>候选人</w:t>
      </w:r>
      <w:r>
        <w:rPr>
          <w:rFonts w:cs="宋体" w:asciiTheme="minorEastAsia" w:hAnsiTheme="minorEastAsia"/>
          <w:kern w:val="0"/>
          <w:szCs w:val="21"/>
        </w:rPr>
        <w:t>中另行确定成交供应商的，应当依法另行确定成交供应商；否则应当重新开展采购活动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采购人应当自成交通知书发出之日起2日内，按照磋商文件和成交人响应文件的规定，与成交人签订书面合同。所签订的合同不得对磋商文件确定的事项和成交人响应文件作实质性修改。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autoSpaceDE w:val="0"/>
        <w:autoSpaceDN w:val="0"/>
        <w:spacing w:line="360" w:lineRule="auto"/>
        <w:ind w:left="964"/>
        <w:contextualSpacing/>
        <w:rPr>
          <w:rFonts w:cs="宋体" w:asciiTheme="minorEastAsia" w:hAnsiTheme="minorEastAsia"/>
          <w:kern w:val="0"/>
          <w:szCs w:val="21"/>
        </w:rPr>
      </w:pPr>
    </w:p>
    <w:p>
      <w:pPr>
        <w:pStyle w:val="13"/>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pStyle w:val="13"/>
        <w:numPr>
          <w:ilvl w:val="0"/>
          <w:numId w:val="9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“供应商须知前附表”中规定成交人提交履约保证金的，成交人应当以支票、汇票、本票或者金融机构、担保机构出具的保函等非现金形式向采购人提交。履约保证金的数额不得超过政府采购合同金额的10%。</w:t>
      </w:r>
    </w:p>
    <w:p>
      <w:pPr>
        <w:pStyle w:val="13"/>
        <w:numPr>
          <w:ilvl w:val="0"/>
          <w:numId w:val="3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40.1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40.2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kern w:val="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5"/>
        <w:spacing w:line="360" w:lineRule="auto"/>
        <w:contextualSpacing/>
        <w:rPr>
          <w:rFonts w:cs="仿宋_GB2312" w:asciiTheme="minorEastAsia" w:hAnsiTheme="minorEastAsia"/>
        </w:rPr>
      </w:pPr>
    </w:p>
    <w:p>
      <w:pPr>
        <w:pStyle w:val="5"/>
        <w:spacing w:line="360" w:lineRule="auto"/>
        <w:ind w:firstLine="422" w:firstLineChars="200"/>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pStyle w:val="5"/>
        <w:spacing w:line="360" w:lineRule="auto"/>
        <w:ind w:firstLine="420" w:firstLineChars="200"/>
        <w:contextualSpacing/>
        <w:rPr>
          <w:rFonts w:ascii="宋体" w:hAnsi="宋体" w:cs="微软雅黑" w:eastAsiaTheme="minorEastAsia"/>
          <w:bCs/>
          <w:sz w:val="21"/>
          <w:szCs w:val="21"/>
        </w:rPr>
      </w:pPr>
      <w:r>
        <w:rPr>
          <w:rFonts w:hint="eastAsia" w:ascii="宋体" w:hAnsi="宋体" w:cs="微软雅黑" w:eastAsiaTheme="minorEastAsia"/>
          <w:bCs/>
          <w:sz w:val="21"/>
          <w:szCs w:val="21"/>
        </w:rPr>
        <w:t>（一）磋商小组依法对供应商资格进行审查</w:t>
      </w:r>
      <w:r>
        <w:rPr>
          <w:rFonts w:ascii="宋体" w:hAnsi="宋体" w:cs="微软雅黑" w:eastAsiaTheme="minorEastAsia"/>
          <w:bCs/>
          <w:sz w:val="21"/>
          <w:szCs w:val="21"/>
        </w:rPr>
        <w:t>。</w:t>
      </w:r>
      <w:r>
        <w:rPr>
          <w:rFonts w:hint="eastAsia" w:ascii="宋体" w:hAnsi="宋体" w:cs="微软雅黑" w:eastAsiaTheme="minorEastAsia"/>
          <w:bCs/>
          <w:sz w:val="21"/>
          <w:szCs w:val="21"/>
        </w:rPr>
        <w:t>确定符合资格的供应商不少于3家，将</w:t>
      </w:r>
      <w:r>
        <w:rPr>
          <w:rFonts w:ascii="宋体" w:hAnsi="宋体" w:cs="微软雅黑" w:eastAsiaTheme="minorEastAsia"/>
          <w:bCs/>
          <w:sz w:val="21"/>
          <w:szCs w:val="21"/>
        </w:rPr>
        <w:t>对响应文件的有效性、完整性和响应程度进行审查</w:t>
      </w:r>
      <w:r>
        <w:rPr>
          <w:rFonts w:hint="eastAsia" w:ascii="宋体" w:hAnsi="宋体" w:cs="微软雅黑" w:eastAsiaTheme="minorEastAsia"/>
          <w:bCs/>
          <w:sz w:val="21"/>
          <w:szCs w:val="21"/>
        </w:rPr>
        <w:t>并对响应文件进行评审。</w:t>
      </w:r>
    </w:p>
    <w:p>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（三）资格审查中所涉及到的证书及材料，均须在电子响应文件中提供原件扫描件（或图片）。</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禹</w:t>
            </w:r>
            <w:r>
              <w:rPr>
                <w:rFonts w:asciiTheme="minorEastAsia" w:hAnsiTheme="minorEastAsia"/>
                <w:b/>
                <w:szCs w:val="21"/>
              </w:rPr>
              <w:t>州市政府采购</w:t>
            </w:r>
          </w:p>
          <w:p>
            <w:pPr>
              <w:spacing w:line="360" w:lineRule="auto"/>
              <w:jc w:val="center"/>
              <w:rPr>
                <w:rFonts w:asciiTheme="minorEastAsia" w:hAnsiTheme="minorEastAsia"/>
                <w:b/>
                <w:szCs w:val="21"/>
              </w:rPr>
            </w:pPr>
            <w:r>
              <w:rPr>
                <w:rFonts w:asciiTheme="minorEastAsia" w:hAnsiTheme="minorEastAsia"/>
                <w:b/>
                <w:szCs w:val="21"/>
              </w:rPr>
              <w:t>供应商信用承诺函</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磋商</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响应报价是否超出磋商文件中规定的预算金额，超出预算金额的报价无效。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Theme="minorEastAsia" w:hAnsiTheme="minorEastAsia"/>
                <w:szCs w:val="21"/>
              </w:rPr>
            </w:pPr>
            <w:r>
              <w:rPr>
                <w:rFonts w:hint="eastAsia" w:asciiTheme="minorEastAsia" w:hAnsiTheme="minorEastAsia"/>
                <w:b/>
                <w:szCs w:val="21"/>
              </w:rPr>
              <w:t>磋商承诺函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供应商以磋商承诺函的形式替代响应保证金。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磋商文件接受联合体响应且供应商为联合体的，供应商应提供本协议；否则无须提供。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①企业（银行、保险、石油石化、电力、电信等行业除外）、事业单位和社会团体以法人身份参加磋商的，法定代表人应与实际提交的“营业执照等证明文件”载明的一致。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5"/>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磋商小组负责具体评标事务，并独立履行下列职责</w:t>
      </w:r>
    </w:p>
    <w:p>
      <w:pPr>
        <w:pStyle w:val="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采购</w:t>
      </w:r>
      <w:r>
        <w:rPr>
          <w:rFonts w:cs="仿宋_GB2312" w:asciiTheme="minorEastAsia" w:hAnsiTheme="minorEastAsia" w:eastAsiaTheme="minorEastAsia"/>
          <w:b/>
          <w:sz w:val="21"/>
          <w:szCs w:val="21"/>
          <w:lang w:val="zh-CN"/>
        </w:rPr>
        <w:t>文件的商务、技术等实质性要求；</w:t>
      </w:r>
    </w:p>
    <w:p>
      <w:pPr>
        <w:pStyle w:val="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磋商小组对符合资格的供应商的响应文件进行符合性审查，以确定其是否满足采购文件的商务、技术等实质性要求。</w:t>
      </w:r>
    </w:p>
    <w:p>
      <w:pPr>
        <w:pStyle w:val="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注：符合性审查中所涉及到的证书及材料，均应在电子响应文件中提供原件扫描件（或图片）。</w:t>
      </w:r>
    </w:p>
    <w:p>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磋商</w:t>
      </w:r>
      <w:r>
        <w:rPr>
          <w:rFonts w:cs="仿宋_GB2312" w:asciiTheme="minorEastAsia" w:hAnsiTheme="minorEastAsia" w:eastAsiaTheme="minorEastAsia"/>
          <w:b/>
          <w:sz w:val="21"/>
          <w:szCs w:val="21"/>
          <w:lang w:val="zh-CN"/>
        </w:rPr>
        <w:t>文件有关事项作出澄清或者说明；</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文件中含义不明确、同类问题表述不一致或者有明显文字和计算错误的内容，磋商小组应当以书面形式要求</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作出必要的澄清、说明或者补正。</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的澄清、说明或者补正应当采用书面形式，并加盖公章，或者由法定代表人或其授权的代表签字。</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的澄清、说明或者补正不得超出</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文件的范围或者改变</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文件的实质性内容。</w:t>
      </w:r>
    </w:p>
    <w:p>
      <w:pPr>
        <w:pStyle w:val="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文件进行比较和评价；</w:t>
      </w:r>
    </w:p>
    <w:p>
      <w:pPr>
        <w:pStyle w:val="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w:t>
      </w:r>
      <w:r>
        <w:rPr>
          <w:rFonts w:hint="eastAsia" w:cs="仿宋_GB2312" w:asciiTheme="minorEastAsia" w:hAnsiTheme="minorEastAsia"/>
          <w:sz w:val="21"/>
          <w:szCs w:val="21"/>
          <w:lang w:val="zh-CN"/>
        </w:rPr>
        <w:t>评标过程中，不得去掉报价中的最高报价和最低报价。</w:t>
      </w:r>
    </w:p>
    <w:p>
      <w:pPr>
        <w:pStyle w:val="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注：评标标准中所涉及到的证书及材料，均应在电子响应文件中提供原件扫描件（或图片）。</w:t>
      </w:r>
    </w:p>
    <w:p>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w:t>
      </w:r>
      <w:r>
        <w:rPr>
          <w:rFonts w:hint="eastAsia" w:cs="仿宋_GB2312" w:asciiTheme="minorEastAsia" w:hAnsiTheme="minorEastAsia" w:eastAsiaTheme="minorEastAsia"/>
          <w:sz w:val="21"/>
          <w:szCs w:val="21"/>
          <w:lang w:val="zh-CN"/>
        </w:rPr>
        <w:t>采购</w:t>
      </w:r>
      <w:r>
        <w:rPr>
          <w:rFonts w:cs="仿宋_GB2312" w:asciiTheme="minorEastAsia" w:hAnsiTheme="minorEastAsia" w:eastAsiaTheme="minorEastAsia"/>
          <w:sz w:val="21"/>
          <w:szCs w:val="21"/>
          <w:lang w:val="zh-CN"/>
        </w:rPr>
        <w:t>文件要求且投标价格最低的投标报价为评标基准价，其价格分为满分。因落实政府采购政策进行价格调整的，以调整后的价格计算评标基准价和投标报价。</w:t>
      </w:r>
    </w:p>
    <w:p>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（2）强制采购节能产品和优先采购节能产品、优先采购环保产品</w:t>
      </w:r>
    </w:p>
    <w:p>
      <w:pPr>
        <w:pStyle w:val="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供应商响应文件中应提供具有国家确定的认证机构出具的、处于有效期之内的节能产品认证证书，否则将承担其投标被视为非实质性响应投标的风险。</w:t>
      </w:r>
    </w:p>
    <w:p>
      <w:pPr>
        <w:pStyle w:val="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响应文件中应提供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，磋商小组根据本项目评标标准予以判定并赋分。</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供应商所投产品若属于《环境标志产品政府采购品目清单》内产品，响应文件中应提供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磋商小组根据本项目评标标准予以判定并赋分。</w:t>
      </w:r>
    </w:p>
    <w:p>
      <w:pPr>
        <w:pStyle w:val="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内的产品应提供</w:t>
      </w:r>
      <w:r>
        <w:rPr>
          <w:rFonts w:hint="eastAsia" w:cs="仿宋_GB2312" w:asciiTheme="minorEastAsia" w:hAnsiTheme="minorEastAsia"/>
          <w:szCs w:val="21"/>
          <w:lang w:val="zh-CN"/>
        </w:rPr>
        <w:t>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（4）响应无效情形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2）符合性审查资料未按磋商文件要求签署、盖章的；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a.不同供应商的响应文件由同一单位或者个人编制；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c.不同供应商的响应文件载明的项目管理成员或者联系人员为同一人；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d.不同供应商的响应文件异常一致或者投标报价呈规律性差异；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e.不同供应商的响应文件相互混装；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法律、法规和磋商文件规定的其他无效情形。</w:t>
      </w:r>
    </w:p>
    <w:p>
      <w:pPr>
        <w:widowControl/>
        <w:shd w:val="clear" w:color="auto" w:fill="FFFFFF"/>
        <w:spacing w:line="560" w:lineRule="exact"/>
        <w:ind w:firstLine="600"/>
        <w:jc w:val="left"/>
        <w:rPr>
          <w:rFonts w:hint="eastAsia" w:cs="仿宋_GB2312" w:asciiTheme="minorEastAsia" w:hAnsiTheme="minorEastAsia"/>
          <w:b/>
          <w:szCs w:val="21"/>
          <w:lang w:val="zh-CN"/>
        </w:rPr>
      </w:pPr>
      <w:r>
        <w:rPr>
          <w:rFonts w:hint="eastAsia" w:cs="仿宋_GB2312" w:asciiTheme="minorEastAsia" w:hAnsiTheme="minorEastAsia"/>
          <w:b/>
          <w:szCs w:val="21"/>
          <w:lang w:val="zh-CN"/>
        </w:rPr>
        <w:t>（5）评标标准</w:t>
      </w:r>
    </w:p>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7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2"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contextualSpacing/>
              <w:jc w:val="center"/>
              <w:rPr>
                <w:rFonts w:hint="eastAsia" w:ascii="宋体" w:hAnsi="宋体" w:cs="仿宋_GB2312"/>
                <w:b/>
                <w:bCs/>
                <w:szCs w:val="21"/>
                <w:lang w:val="zh-CN" w:eastAsia="zh-CN"/>
              </w:rPr>
            </w:pPr>
            <w:r>
              <w:rPr>
                <w:rFonts w:hint="eastAsia" w:ascii="宋体" w:hAnsi="宋体" w:cs="仿宋_GB2312"/>
                <w:b/>
                <w:bCs/>
                <w:szCs w:val="21"/>
                <w:lang w:val="zh-CN" w:eastAsia="zh-CN"/>
              </w:rPr>
              <w:t>分值构成</w:t>
            </w:r>
          </w:p>
          <w:p>
            <w:pPr>
              <w:tabs>
                <w:tab w:val="left" w:pos="1260"/>
              </w:tabs>
              <w:autoSpaceDE w:val="0"/>
              <w:autoSpaceDN w:val="0"/>
              <w:spacing w:line="360" w:lineRule="auto"/>
              <w:contextualSpacing/>
              <w:jc w:val="center"/>
              <w:rPr>
                <w:rFonts w:hint="eastAsia" w:ascii="宋体" w:hAnsi="宋体" w:cs="仿宋_GB2312"/>
                <w:szCs w:val="21"/>
                <w:lang w:val="zh-CN" w:eastAsia="zh-CN"/>
              </w:rPr>
            </w:pPr>
            <w:r>
              <w:rPr>
                <w:rFonts w:hint="eastAsia" w:ascii="宋体" w:hAnsi="宋体" w:cs="仿宋_GB2312"/>
                <w:b/>
                <w:bCs/>
                <w:szCs w:val="21"/>
                <w:lang w:val="zh-CN" w:eastAsia="zh-CN"/>
              </w:rPr>
              <w:t>(总分100分)</w:t>
            </w:r>
          </w:p>
        </w:tc>
        <w:tc>
          <w:tcPr>
            <w:tcW w:w="7780"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420" w:firstLineChars="200"/>
              <w:contextualSpacing/>
              <w:rPr>
                <w:rFonts w:hint="eastAsia" w:ascii="宋体" w:hAnsi="宋体" w:cs="仿宋_GB2312"/>
                <w:szCs w:val="21"/>
                <w:lang w:val="zh-CN" w:eastAsia="zh-CN"/>
              </w:rPr>
            </w:pPr>
            <w:r>
              <w:rPr>
                <w:rFonts w:hint="eastAsia" w:ascii="宋体" w:hAnsi="宋体" w:cs="仿宋_GB2312"/>
                <w:szCs w:val="21"/>
                <w:lang w:val="zh-CN" w:eastAsia="zh-CN"/>
              </w:rPr>
              <w:t>价格分值：</w:t>
            </w:r>
            <w:r>
              <w:rPr>
                <w:rFonts w:hint="eastAsia" w:ascii="宋体" w:hAnsi="宋体" w:cs="仿宋_GB2312"/>
                <w:szCs w:val="21"/>
                <w:lang w:val="en-US" w:eastAsia="zh-CN"/>
              </w:rPr>
              <w:t>30</w:t>
            </w:r>
            <w:r>
              <w:rPr>
                <w:rFonts w:hint="eastAsia" w:ascii="宋体" w:hAnsi="宋体" w:cs="仿宋_GB2312"/>
                <w:szCs w:val="21"/>
                <w:lang w:val="zh-CN" w:eastAsia="zh-CN"/>
              </w:rPr>
              <w:t>分</w:t>
            </w:r>
          </w:p>
          <w:p>
            <w:pPr>
              <w:tabs>
                <w:tab w:val="left" w:pos="1260"/>
              </w:tabs>
              <w:autoSpaceDE w:val="0"/>
              <w:autoSpaceDN w:val="0"/>
              <w:spacing w:line="360" w:lineRule="auto"/>
              <w:ind w:firstLine="420" w:firstLineChars="200"/>
              <w:contextualSpacing/>
              <w:rPr>
                <w:rFonts w:hint="eastAsia" w:ascii="宋体" w:hAnsi="宋体" w:cs="仿宋_GB2312"/>
                <w:szCs w:val="21"/>
                <w:lang w:val="zh-CN" w:eastAsia="zh-CN"/>
              </w:rPr>
            </w:pPr>
            <w:r>
              <w:rPr>
                <w:rFonts w:hint="eastAsia" w:ascii="宋体" w:hAnsi="宋体" w:cs="仿宋_GB2312"/>
                <w:szCs w:val="21"/>
                <w:lang w:val="zh-CN" w:eastAsia="zh-CN"/>
              </w:rPr>
              <w:t>商务部分：</w:t>
            </w:r>
            <w:r>
              <w:rPr>
                <w:rFonts w:hint="eastAsia" w:ascii="宋体" w:hAnsi="宋体" w:cs="仿宋_GB2312"/>
                <w:szCs w:val="21"/>
                <w:lang w:val="en-US" w:eastAsia="zh-CN"/>
              </w:rPr>
              <w:t>21</w:t>
            </w:r>
            <w:r>
              <w:rPr>
                <w:rFonts w:hint="eastAsia" w:ascii="宋体" w:hAnsi="宋体" w:cs="仿宋_GB2312"/>
                <w:szCs w:val="21"/>
                <w:lang w:val="zh-CN" w:eastAsia="zh-CN"/>
              </w:rPr>
              <w:t>分</w:t>
            </w:r>
          </w:p>
          <w:p>
            <w:pPr>
              <w:tabs>
                <w:tab w:val="left" w:pos="1260"/>
              </w:tabs>
              <w:autoSpaceDE w:val="0"/>
              <w:autoSpaceDN w:val="0"/>
              <w:spacing w:line="360" w:lineRule="auto"/>
              <w:ind w:firstLine="420" w:firstLineChars="200"/>
              <w:contextualSpacing/>
              <w:rPr>
                <w:rFonts w:hint="eastAsia" w:ascii="宋体" w:hAnsi="宋体" w:cs="仿宋_GB2312"/>
                <w:szCs w:val="21"/>
                <w:lang w:val="zh-CN" w:eastAsia="zh-CN"/>
              </w:rPr>
            </w:pPr>
            <w:r>
              <w:rPr>
                <w:rFonts w:hint="eastAsia" w:ascii="宋体" w:hAnsi="宋体" w:cs="仿宋_GB2312"/>
                <w:szCs w:val="21"/>
                <w:lang w:val="zh-CN" w:eastAsia="zh-CN"/>
              </w:rPr>
              <w:t>技术部分：</w:t>
            </w:r>
            <w:r>
              <w:rPr>
                <w:rFonts w:hint="eastAsia" w:ascii="宋体" w:hAnsi="宋体" w:cs="仿宋_GB2312"/>
                <w:szCs w:val="21"/>
                <w:lang w:val="en-US" w:eastAsia="zh-CN"/>
              </w:rPr>
              <w:t>49</w:t>
            </w:r>
            <w:r>
              <w:rPr>
                <w:rFonts w:hint="eastAsia" w:ascii="宋体" w:hAnsi="宋体" w:cs="仿宋_GB2312"/>
                <w:szCs w:val="21"/>
                <w:lang w:val="zh-CN"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contextualSpacing/>
              <w:jc w:val="both"/>
              <w:rPr>
                <w:rFonts w:hint="eastAsia" w:ascii="宋体" w:hAnsi="宋体" w:cs="仿宋_GB2312"/>
                <w:szCs w:val="21"/>
                <w:lang w:val="zh-CN" w:eastAsia="zh-CN"/>
              </w:rPr>
            </w:pPr>
            <w:r>
              <w:rPr>
                <w:rFonts w:hint="eastAsia" w:ascii="宋体" w:hAnsi="宋体" w:cs="仿宋_GB2312"/>
                <w:b/>
                <w:bCs/>
                <w:szCs w:val="21"/>
                <w:lang w:val="zh-CN" w:eastAsia="zh-CN"/>
              </w:rPr>
              <w:t>评分因素/分值</w:t>
            </w:r>
          </w:p>
        </w:tc>
        <w:tc>
          <w:tcPr>
            <w:tcW w:w="7780"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2530" w:firstLineChars="1200"/>
              <w:contextualSpacing/>
              <w:rPr>
                <w:rFonts w:hint="eastAsia" w:ascii="宋体" w:hAnsi="宋体" w:cs="仿宋_GB2312"/>
                <w:szCs w:val="21"/>
                <w:lang w:val="zh-CN" w:eastAsia="zh-CN"/>
              </w:rPr>
            </w:pPr>
            <w:r>
              <w:rPr>
                <w:rFonts w:hint="eastAsia" w:ascii="宋体" w:hAnsi="宋体" w:cs="仿宋_GB2312"/>
                <w:b/>
                <w:bCs/>
                <w:szCs w:val="21"/>
                <w:lang w:val="zh-CN"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198" w:type="dxa"/>
            <w:gridSpan w:val="2"/>
            <w:tcBorders>
              <w:top w:val="single" w:color="000000" w:sz="4" w:space="0"/>
              <w:left w:val="single" w:color="000000" w:sz="4" w:space="0"/>
              <w:bottom w:val="single" w:color="000000" w:sz="4" w:space="0"/>
              <w:right w:val="single" w:color="000000" w:sz="4" w:space="0"/>
            </w:tcBorders>
            <w:noWrap/>
            <w:vAlign w:val="top"/>
          </w:tcPr>
          <w:p>
            <w:pPr>
              <w:tabs>
                <w:tab w:val="left" w:pos="1260"/>
              </w:tabs>
              <w:autoSpaceDE w:val="0"/>
              <w:autoSpaceDN w:val="0"/>
              <w:spacing w:line="360" w:lineRule="auto"/>
              <w:ind w:firstLine="3162" w:firstLineChars="1500"/>
              <w:contextualSpacing/>
              <w:jc w:val="both"/>
              <w:rPr>
                <w:rFonts w:hint="eastAsia" w:ascii="宋体" w:hAnsi="宋体" w:cs="仿宋_GB2312"/>
                <w:szCs w:val="21"/>
                <w:lang w:val="zh-CN" w:eastAsia="zh-CN"/>
              </w:rPr>
            </w:pPr>
            <w:r>
              <w:rPr>
                <w:rFonts w:hint="eastAsia" w:ascii="宋体" w:hAnsi="宋体" w:cs="仿宋_GB2312"/>
                <w:b/>
                <w:bCs/>
                <w:szCs w:val="21"/>
                <w:lang w:val="zh-CN" w:eastAsia="zh-CN"/>
              </w:rPr>
              <w:t>一、价格部分（满分</w:t>
            </w:r>
            <w:r>
              <w:rPr>
                <w:rFonts w:hint="eastAsia" w:ascii="宋体" w:hAnsi="宋体" w:cs="仿宋_GB2312"/>
                <w:b/>
                <w:bCs/>
                <w:szCs w:val="21"/>
                <w:lang w:val="en-US" w:eastAsia="zh-CN"/>
              </w:rPr>
              <w:t>30</w:t>
            </w:r>
            <w:r>
              <w:rPr>
                <w:rFonts w:hint="eastAsia" w:ascii="宋体" w:hAnsi="宋体" w:cs="仿宋_GB2312"/>
                <w:b/>
                <w:bCs/>
                <w:szCs w:val="21"/>
                <w:lang w:val="zh-CN"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422" w:firstLineChars="200"/>
              <w:contextualSpacing/>
              <w:jc w:val="both"/>
              <w:rPr>
                <w:rFonts w:hint="eastAsia" w:ascii="宋体" w:hAnsi="宋体" w:cs="仿宋_GB2312"/>
                <w:b/>
                <w:bCs/>
                <w:szCs w:val="21"/>
                <w:lang w:val="zh-CN" w:eastAsia="zh-CN"/>
              </w:rPr>
            </w:pPr>
            <w:r>
              <w:rPr>
                <w:rFonts w:hint="eastAsia" w:ascii="宋体" w:hAnsi="宋体" w:cs="仿宋_GB2312"/>
                <w:b/>
                <w:bCs/>
                <w:szCs w:val="21"/>
                <w:lang w:val="zh-CN" w:eastAsia="zh-CN"/>
              </w:rPr>
              <w:t>投标报价</w:t>
            </w:r>
          </w:p>
          <w:p>
            <w:pPr>
              <w:tabs>
                <w:tab w:val="left" w:pos="1260"/>
              </w:tabs>
              <w:autoSpaceDE w:val="0"/>
              <w:autoSpaceDN w:val="0"/>
              <w:spacing w:line="360" w:lineRule="auto"/>
              <w:ind w:firstLine="422" w:firstLineChars="200"/>
              <w:contextualSpacing/>
              <w:jc w:val="both"/>
              <w:rPr>
                <w:rFonts w:hint="eastAsia" w:ascii="宋体" w:hAnsi="宋体" w:cs="仿宋_GB2312"/>
                <w:szCs w:val="21"/>
                <w:lang w:val="zh-CN" w:eastAsia="zh-CN"/>
              </w:rPr>
            </w:pPr>
            <w:r>
              <w:rPr>
                <w:rFonts w:hint="eastAsia" w:ascii="宋体" w:hAnsi="宋体" w:cs="仿宋_GB2312"/>
                <w:b/>
                <w:bCs/>
                <w:szCs w:val="21"/>
                <w:lang w:val="zh-CN" w:eastAsia="zh-CN"/>
              </w:rPr>
              <w:t>（30分）</w:t>
            </w:r>
          </w:p>
        </w:tc>
        <w:tc>
          <w:tcPr>
            <w:tcW w:w="7780" w:type="dxa"/>
            <w:tcBorders>
              <w:top w:val="single" w:color="000000" w:sz="4" w:space="0"/>
              <w:left w:val="single" w:color="000000" w:sz="4" w:space="0"/>
              <w:bottom w:val="single" w:color="000000" w:sz="4" w:space="0"/>
              <w:right w:val="single" w:color="000000" w:sz="4" w:space="0"/>
            </w:tcBorders>
            <w:noWrap/>
            <w:vAlign w:val="top"/>
          </w:tcPr>
          <w:p>
            <w:pPr>
              <w:tabs>
                <w:tab w:val="left" w:pos="1260"/>
              </w:tabs>
              <w:autoSpaceDE w:val="0"/>
              <w:autoSpaceDN w:val="0"/>
              <w:spacing w:line="360" w:lineRule="auto"/>
              <w:ind w:firstLine="420" w:firstLineChars="200"/>
              <w:contextualSpacing/>
              <w:rPr>
                <w:rFonts w:hint="eastAsia" w:ascii="宋体" w:hAnsi="宋体" w:cs="仿宋_GB2312"/>
                <w:szCs w:val="21"/>
                <w:lang w:val="zh-CN" w:eastAsia="zh-CN"/>
              </w:rPr>
            </w:pPr>
            <w:r>
              <w:rPr>
                <w:rFonts w:hint="eastAsia" w:ascii="宋体" w:hAnsi="宋体" w:cs="仿宋_GB2312"/>
                <w:szCs w:val="21"/>
                <w:lang w:val="zh-CN" w:eastAsia="zh-CN"/>
              </w:rPr>
              <w:t>投标报价分采用低价优先法计算，即满足招标文件要求且投标报价最低的为评审基准价，其报价分为满分。</w:t>
            </w:r>
          </w:p>
          <w:p>
            <w:pPr>
              <w:tabs>
                <w:tab w:val="left" w:pos="1260"/>
              </w:tabs>
              <w:autoSpaceDE w:val="0"/>
              <w:autoSpaceDN w:val="0"/>
              <w:spacing w:line="360" w:lineRule="auto"/>
              <w:ind w:firstLine="420" w:firstLineChars="200"/>
              <w:contextualSpacing/>
              <w:rPr>
                <w:rFonts w:hint="default" w:ascii="宋体" w:hAnsi="宋体" w:cs="仿宋_GB2312"/>
                <w:szCs w:val="21"/>
                <w:lang w:val="en-US" w:eastAsia="zh-CN"/>
              </w:rPr>
            </w:pPr>
            <w:r>
              <w:rPr>
                <w:rFonts w:hint="eastAsia" w:ascii="宋体" w:hAnsi="宋体" w:cs="仿宋_GB2312"/>
                <w:szCs w:val="21"/>
                <w:lang w:val="zh-CN" w:eastAsia="zh-CN"/>
              </w:rPr>
              <w:t>报价得分=（评审基准价/投标报价）×</w:t>
            </w:r>
            <w:r>
              <w:rPr>
                <w:rFonts w:hint="eastAsia" w:ascii="宋体" w:hAnsi="宋体" w:cs="仿宋_GB2312"/>
                <w:szCs w:val="21"/>
                <w:lang w:val="en-US" w:eastAsia="zh-CN"/>
              </w:rPr>
              <w:t>30</w:t>
            </w:r>
          </w:p>
          <w:p>
            <w:pPr>
              <w:tabs>
                <w:tab w:val="left" w:pos="1260"/>
              </w:tabs>
              <w:autoSpaceDE w:val="0"/>
              <w:autoSpaceDN w:val="0"/>
              <w:spacing w:line="360" w:lineRule="auto"/>
              <w:ind w:firstLine="420" w:firstLineChars="200"/>
              <w:contextualSpacing/>
              <w:rPr>
                <w:rFonts w:hint="eastAsia" w:ascii="宋体" w:hAnsi="宋体" w:cs="仿宋_GB2312"/>
                <w:szCs w:val="21"/>
                <w:lang w:val="zh-CN" w:eastAsia="zh-CN"/>
              </w:rPr>
            </w:pPr>
            <w:r>
              <w:rPr>
                <w:rFonts w:hint="eastAsia" w:ascii="宋体" w:hAnsi="宋体" w:cs="仿宋_GB2312"/>
                <w:szCs w:val="21"/>
                <w:lang w:val="zh-CN" w:eastAsia="zh-CN"/>
              </w:rPr>
              <w:t>注：分值计算保留小数点后两位，小数点后第三位“四舍五入”。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198" w:type="dxa"/>
            <w:gridSpan w:val="2"/>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2951" w:firstLineChars="1400"/>
              <w:contextualSpacing/>
              <w:jc w:val="both"/>
              <w:rPr>
                <w:rFonts w:hint="eastAsia" w:ascii="宋体" w:hAnsi="宋体" w:cs="仿宋_GB2312"/>
                <w:szCs w:val="21"/>
                <w:lang w:val="zh-CN" w:eastAsia="zh-CN"/>
              </w:rPr>
            </w:pPr>
            <w:r>
              <w:rPr>
                <w:rFonts w:hint="eastAsia" w:ascii="宋体" w:hAnsi="宋体" w:cs="仿宋_GB2312"/>
                <w:b/>
                <w:bCs/>
                <w:szCs w:val="21"/>
                <w:lang w:val="zh-CN" w:eastAsia="zh-CN"/>
              </w:rPr>
              <w:t>二、商务部分（满分</w:t>
            </w:r>
            <w:r>
              <w:rPr>
                <w:rFonts w:hint="eastAsia" w:ascii="宋体" w:hAnsi="宋体" w:cs="仿宋_GB2312"/>
                <w:b/>
                <w:bCs/>
                <w:szCs w:val="21"/>
                <w:lang w:val="en-US" w:eastAsia="zh-CN"/>
              </w:rPr>
              <w:t>21</w:t>
            </w:r>
            <w:r>
              <w:rPr>
                <w:rFonts w:hint="eastAsia" w:ascii="宋体" w:hAnsi="宋体" w:cs="仿宋_GB2312"/>
                <w:b/>
                <w:bCs/>
                <w:szCs w:val="21"/>
                <w:lang w:val="zh-CN"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422" w:firstLineChars="200"/>
              <w:contextualSpacing/>
              <w:jc w:val="both"/>
              <w:rPr>
                <w:rFonts w:hint="eastAsia" w:ascii="宋体" w:hAnsi="宋体" w:cs="仿宋_GB2312"/>
                <w:b/>
                <w:bCs/>
                <w:szCs w:val="21"/>
                <w:lang w:val="zh-CN" w:eastAsia="zh-CN"/>
              </w:rPr>
            </w:pPr>
            <w:r>
              <w:rPr>
                <w:rFonts w:hint="eastAsia" w:ascii="宋体" w:hAnsi="宋体" w:cs="仿宋_GB2312"/>
                <w:b/>
                <w:bCs/>
                <w:szCs w:val="21"/>
                <w:lang w:val="zh-CN" w:eastAsia="zh-CN"/>
              </w:rPr>
              <w:t>业绩</w:t>
            </w:r>
          </w:p>
          <w:p>
            <w:pPr>
              <w:tabs>
                <w:tab w:val="left" w:pos="1260"/>
              </w:tabs>
              <w:autoSpaceDE w:val="0"/>
              <w:autoSpaceDN w:val="0"/>
              <w:spacing w:line="360" w:lineRule="auto"/>
              <w:ind w:firstLine="211" w:firstLineChars="100"/>
              <w:contextualSpacing/>
              <w:jc w:val="both"/>
              <w:rPr>
                <w:rFonts w:hint="eastAsia" w:ascii="宋体" w:hAnsi="宋体" w:cs="仿宋_GB2312"/>
                <w:szCs w:val="21"/>
                <w:lang w:val="zh-CN" w:eastAsia="zh-CN"/>
              </w:rPr>
            </w:pPr>
            <w:r>
              <w:rPr>
                <w:rFonts w:hint="eastAsia" w:ascii="宋体" w:hAnsi="宋体" w:cs="仿宋_GB2312"/>
                <w:b/>
                <w:bCs/>
                <w:szCs w:val="21"/>
                <w:lang w:val="zh-CN" w:eastAsia="zh-CN"/>
              </w:rPr>
              <w:t>（</w:t>
            </w:r>
            <w:r>
              <w:rPr>
                <w:rFonts w:hint="eastAsia" w:ascii="宋体" w:hAnsi="宋体" w:cs="仿宋_GB2312"/>
                <w:b/>
                <w:bCs/>
                <w:szCs w:val="21"/>
                <w:lang w:val="en-US" w:eastAsia="zh-CN"/>
              </w:rPr>
              <w:t>6</w:t>
            </w:r>
            <w:r>
              <w:rPr>
                <w:rFonts w:hint="eastAsia" w:ascii="宋体" w:hAnsi="宋体" w:cs="仿宋_GB2312"/>
                <w:b/>
                <w:bCs/>
                <w:szCs w:val="21"/>
                <w:lang w:val="zh-CN" w:eastAsia="zh-CN"/>
              </w:rPr>
              <w:t>分）</w:t>
            </w:r>
          </w:p>
        </w:tc>
        <w:tc>
          <w:tcPr>
            <w:tcW w:w="7780" w:type="dxa"/>
            <w:tcBorders>
              <w:top w:val="single" w:color="000000" w:sz="4" w:space="0"/>
              <w:left w:val="single" w:color="000000" w:sz="4" w:space="0"/>
              <w:bottom w:val="single" w:color="000000" w:sz="4" w:space="0"/>
              <w:right w:val="single" w:color="000000" w:sz="4" w:space="0"/>
            </w:tcBorders>
            <w:noWrap/>
            <w:vAlign w:val="top"/>
          </w:tcPr>
          <w:p>
            <w:pPr>
              <w:tabs>
                <w:tab w:val="left" w:pos="1260"/>
              </w:tabs>
              <w:autoSpaceDE w:val="0"/>
              <w:autoSpaceDN w:val="0"/>
              <w:spacing w:line="360" w:lineRule="auto"/>
              <w:ind w:firstLine="420" w:firstLineChars="200"/>
              <w:contextualSpacing/>
              <w:rPr>
                <w:rFonts w:hint="eastAsia" w:ascii="宋体" w:hAnsi="宋体" w:cs="仿宋_GB2312"/>
                <w:szCs w:val="21"/>
                <w:lang w:val="zh-CN" w:eastAsia="zh-CN"/>
              </w:rPr>
            </w:pPr>
            <w:r>
              <w:rPr>
                <w:rFonts w:hint="eastAsia" w:ascii="宋体" w:hAnsi="宋体" w:cs="仿宋_GB2312"/>
                <w:szCs w:val="21"/>
                <w:lang w:val="zh-CN" w:eastAsia="zh-CN"/>
              </w:rPr>
              <w:t>投标人提供2020年1月1日以来项目业绩，每有一份加</w:t>
            </w:r>
            <w:r>
              <w:rPr>
                <w:rFonts w:hint="eastAsia" w:ascii="宋体" w:hAnsi="宋体" w:cs="仿宋_GB2312"/>
                <w:szCs w:val="21"/>
                <w:lang w:val="en-US" w:eastAsia="zh-CN"/>
              </w:rPr>
              <w:t>3</w:t>
            </w:r>
            <w:r>
              <w:rPr>
                <w:rFonts w:hint="eastAsia" w:ascii="宋体" w:hAnsi="宋体" w:cs="仿宋_GB2312"/>
                <w:szCs w:val="21"/>
                <w:lang w:val="zh-CN" w:eastAsia="zh-CN"/>
              </w:rPr>
              <w:t>分，最多得</w:t>
            </w:r>
            <w:r>
              <w:rPr>
                <w:rFonts w:hint="eastAsia" w:ascii="宋体" w:hAnsi="宋体" w:cs="仿宋_GB2312"/>
                <w:szCs w:val="21"/>
                <w:lang w:val="en-US" w:eastAsia="zh-CN"/>
              </w:rPr>
              <w:t>6</w:t>
            </w:r>
            <w:r>
              <w:rPr>
                <w:rFonts w:hint="eastAsia" w:ascii="宋体" w:hAnsi="宋体" w:cs="仿宋_GB2312"/>
                <w:szCs w:val="21"/>
                <w:lang w:val="zh-CN" w:eastAsia="zh-CN"/>
              </w:rPr>
              <w:t>分（须提供中标通知书</w:t>
            </w:r>
            <w:r>
              <w:rPr>
                <w:rFonts w:hint="eastAsia" w:ascii="宋体" w:hAnsi="宋体" w:cs="仿宋_GB2312"/>
                <w:szCs w:val="21"/>
                <w:lang w:val="en-US" w:eastAsia="zh-CN"/>
              </w:rPr>
              <w:t>和</w:t>
            </w:r>
            <w:r>
              <w:rPr>
                <w:rFonts w:hint="eastAsia" w:ascii="宋体" w:hAnsi="宋体" w:cs="仿宋_GB2312"/>
                <w:szCs w:val="21"/>
                <w:lang w:val="zh-CN" w:eastAsia="zh-CN"/>
              </w:rPr>
              <w:t>合同书扫描件，至少含合同首页、合同金额所在页、签字盖章页</w:t>
            </w:r>
            <w:r>
              <w:rPr>
                <w:rFonts w:hint="eastAsia" w:ascii="宋体" w:hAnsi="宋体" w:cs="仿宋_GB2312"/>
                <w:szCs w:val="21"/>
                <w:lang w:val="en-US" w:eastAsia="zh-CN"/>
              </w:rPr>
              <w:t>）</w:t>
            </w:r>
            <w:r>
              <w:rPr>
                <w:rFonts w:hint="eastAsia" w:ascii="宋体" w:hAnsi="宋体" w:cs="仿宋_GB2312"/>
                <w:szCs w:val="21"/>
                <w:lang w:val="zh-CN"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contextualSpacing/>
              <w:jc w:val="center"/>
              <w:rPr>
                <w:rFonts w:hint="eastAsia" w:ascii="宋体" w:hAnsi="宋体" w:cs="仿宋_GB2312"/>
                <w:b/>
                <w:bCs/>
                <w:szCs w:val="21"/>
                <w:lang w:val="en-US" w:eastAsia="zh-CN"/>
              </w:rPr>
            </w:pPr>
            <w:r>
              <w:rPr>
                <w:rFonts w:hint="eastAsia" w:ascii="宋体" w:hAnsi="宋体" w:cs="仿宋_GB2312"/>
                <w:b/>
                <w:bCs/>
                <w:szCs w:val="21"/>
                <w:lang w:val="en-US" w:eastAsia="zh-CN"/>
              </w:rPr>
              <w:t>厂商实力</w:t>
            </w:r>
          </w:p>
          <w:p>
            <w:pPr>
              <w:tabs>
                <w:tab w:val="left" w:pos="1260"/>
              </w:tabs>
              <w:autoSpaceDE w:val="0"/>
              <w:autoSpaceDN w:val="0"/>
              <w:spacing w:line="360" w:lineRule="auto"/>
              <w:ind w:firstLine="211" w:firstLineChars="100"/>
              <w:contextualSpacing/>
              <w:jc w:val="center"/>
              <w:rPr>
                <w:rFonts w:hint="eastAsia" w:ascii="宋体" w:hAnsi="宋体" w:cs="仿宋_GB2312"/>
                <w:szCs w:val="21"/>
                <w:lang w:val="zh-CN" w:eastAsia="zh-CN"/>
              </w:rPr>
            </w:pPr>
            <w:r>
              <w:rPr>
                <w:rFonts w:hint="eastAsia" w:ascii="宋体" w:hAnsi="宋体" w:cs="仿宋_GB2312"/>
                <w:b/>
                <w:bCs/>
                <w:szCs w:val="21"/>
                <w:lang w:val="zh-CN" w:eastAsia="zh-CN"/>
              </w:rPr>
              <w:t>(</w:t>
            </w:r>
            <w:r>
              <w:rPr>
                <w:rFonts w:hint="eastAsia" w:ascii="宋体" w:hAnsi="宋体" w:cs="仿宋_GB2312"/>
                <w:b/>
                <w:bCs/>
                <w:szCs w:val="21"/>
                <w:lang w:val="en-US" w:eastAsia="zh-CN"/>
              </w:rPr>
              <w:t>15</w:t>
            </w:r>
            <w:r>
              <w:rPr>
                <w:rFonts w:hint="eastAsia" w:ascii="宋体" w:hAnsi="宋体" w:cs="仿宋_GB2312"/>
                <w:b/>
                <w:bCs/>
                <w:szCs w:val="21"/>
                <w:lang w:val="zh-CN" w:eastAsia="zh-CN"/>
              </w:rPr>
              <w:t>分</w:t>
            </w:r>
            <w:r>
              <w:rPr>
                <w:rFonts w:hint="eastAsia" w:ascii="宋体" w:hAnsi="宋体" w:cs="仿宋_GB2312"/>
                <w:szCs w:val="21"/>
                <w:lang w:val="zh-CN" w:eastAsia="zh-CN"/>
              </w:rPr>
              <w:t>)</w:t>
            </w:r>
          </w:p>
        </w:tc>
        <w:tc>
          <w:tcPr>
            <w:tcW w:w="7780" w:type="dxa"/>
            <w:tcBorders>
              <w:top w:val="single" w:color="000000" w:sz="4" w:space="0"/>
              <w:left w:val="single" w:color="000000" w:sz="4" w:space="0"/>
              <w:bottom w:val="single" w:color="000000" w:sz="4" w:space="0"/>
              <w:right w:val="single" w:color="000000" w:sz="4" w:space="0"/>
            </w:tcBorders>
            <w:noWrap/>
            <w:vAlign w:val="top"/>
          </w:tcPr>
          <w:p>
            <w:pPr>
              <w:numPr>
                <w:ilvl w:val="0"/>
                <w:numId w:val="92"/>
              </w:numPr>
              <w:tabs>
                <w:tab w:val="left" w:pos="1260"/>
              </w:tabs>
              <w:autoSpaceDE w:val="0"/>
              <w:autoSpaceDN w:val="0"/>
              <w:spacing w:line="360" w:lineRule="auto"/>
              <w:contextualSpacing/>
              <w:rPr>
                <w:rFonts w:hint="eastAsia"/>
                <w:lang w:val="zh-CN" w:eastAsia="zh-CN"/>
              </w:rPr>
            </w:pPr>
            <w:r>
              <w:rPr>
                <w:rFonts w:hint="eastAsia"/>
              </w:rPr>
              <w:t>投标人或所投智能交互平板制造商家符合</w:t>
            </w:r>
            <w:r>
              <w:t>知识产权</w:t>
            </w:r>
            <w:r>
              <w:rPr>
                <w:rFonts w:hint="eastAsia"/>
              </w:rPr>
              <w:t>管理体系认证及云服务信息安全管理体系认证及相关要求，每提供一项证书得</w:t>
            </w:r>
            <w:r>
              <w:rPr>
                <w:rFonts w:hint="eastAsia"/>
                <w:lang w:val="en-US" w:eastAsia="zh-CN"/>
              </w:rPr>
              <w:t>3</w:t>
            </w:r>
            <w:r>
              <w:rPr>
                <w:rFonts w:hint="eastAsia"/>
              </w:rPr>
              <w:t>分，满分</w:t>
            </w:r>
            <w:r>
              <w:rPr>
                <w:rFonts w:hint="eastAsia"/>
                <w:lang w:val="en-US" w:eastAsia="zh-CN"/>
              </w:rPr>
              <w:t>6</w:t>
            </w:r>
            <w:r>
              <w:rPr>
                <w:rFonts w:hint="eastAsia"/>
              </w:rPr>
              <w:t>分。（提供相关证书复印件加盖公章）</w:t>
            </w:r>
            <w:r>
              <w:rPr>
                <w:rFonts w:hint="eastAsia"/>
                <w:lang w:eastAsia="zh-CN"/>
              </w:rPr>
              <w:t>。</w:t>
            </w:r>
          </w:p>
          <w:p>
            <w:pPr>
              <w:pStyle w:val="12"/>
              <w:numPr>
                <w:ilvl w:val="0"/>
                <w:numId w:val="92"/>
              </w:numPr>
              <w:ind w:left="0" w:leftChars="0" w:firstLine="0" w:firstLineChars="0"/>
              <w:rPr>
                <w:rFonts w:hint="eastAsia" w:ascii="宋体" w:hAnsi="宋体" w:eastAsia="宋体" w:cs="宋体"/>
                <w:szCs w:val="21"/>
              </w:rPr>
            </w:pPr>
            <w:r>
              <w:rPr>
                <w:rFonts w:hint="eastAsia" w:ascii="宋体" w:hAnsi="宋体" w:eastAsia="宋体" w:cs="宋体"/>
                <w:szCs w:val="21"/>
              </w:rPr>
              <w:t>所投智能交互平板配套的多屏互动软件通过教育部教育移动互联网应用程序备案登记，提供教育部在线查询截图得</w:t>
            </w:r>
            <w:r>
              <w:rPr>
                <w:rFonts w:hint="eastAsia" w:ascii="宋体" w:hAnsi="宋体" w:eastAsia="宋体" w:cs="宋体"/>
                <w:szCs w:val="21"/>
                <w:lang w:val="en-US" w:eastAsia="zh-CN"/>
              </w:rPr>
              <w:t>3</w:t>
            </w:r>
            <w:r>
              <w:rPr>
                <w:rFonts w:hint="eastAsia" w:ascii="宋体" w:hAnsi="宋体" w:eastAsia="宋体" w:cs="宋体"/>
                <w:szCs w:val="21"/>
              </w:rPr>
              <w:t>分，没有不得分。</w:t>
            </w:r>
          </w:p>
          <w:p>
            <w:pPr>
              <w:pStyle w:val="12"/>
              <w:numPr>
                <w:ilvl w:val="0"/>
                <w:numId w:val="92"/>
              </w:numPr>
              <w:ind w:left="0" w:leftChars="0" w:firstLine="0" w:firstLineChars="0"/>
              <w:rPr>
                <w:rFonts w:hint="eastAsia"/>
                <w:lang w:val="zh-CN" w:eastAsia="zh-CN"/>
              </w:rPr>
            </w:pPr>
            <w:r>
              <w:rPr>
                <w:rFonts w:hint="eastAsia" w:ascii="宋体" w:hAnsi="宋体" w:eastAsia="宋体" w:cs="宋体"/>
                <w:szCs w:val="21"/>
              </w:rPr>
              <w:t>所投智能交互平板配套教育云平台软件获得信息系统安全等级保护三级或三级以上认证的得</w:t>
            </w:r>
            <w:r>
              <w:rPr>
                <w:rFonts w:hint="eastAsia" w:ascii="宋体" w:hAnsi="宋体" w:eastAsia="宋体" w:cs="宋体"/>
                <w:szCs w:val="21"/>
                <w:lang w:val="en-US" w:eastAsia="zh-CN"/>
              </w:rPr>
              <w:t>3</w:t>
            </w:r>
            <w:r>
              <w:rPr>
                <w:rFonts w:hint="eastAsia" w:ascii="宋体" w:hAnsi="宋体" w:eastAsia="宋体" w:cs="宋体"/>
                <w:szCs w:val="21"/>
              </w:rPr>
              <w:t>分，三级以下认证的得2分，没有不得分。（提供相关证书复印件加盖公章）</w:t>
            </w:r>
          </w:p>
          <w:p>
            <w:pPr>
              <w:pStyle w:val="12"/>
              <w:numPr>
                <w:ilvl w:val="0"/>
                <w:numId w:val="92"/>
              </w:numPr>
              <w:ind w:left="0" w:leftChars="0" w:firstLine="0" w:firstLineChars="0"/>
              <w:rPr>
                <w:rFonts w:hint="eastAsia"/>
                <w:lang w:val="zh-CN" w:eastAsia="zh-CN"/>
              </w:rPr>
            </w:pPr>
            <w:r>
              <w:rPr>
                <w:rFonts w:hint="eastAsia" w:ascii="宋体" w:hAnsi="宋体" w:eastAsia="宋体" w:cs="宋体"/>
                <w:szCs w:val="21"/>
              </w:rPr>
              <w:t>为确保产品的实用性及先进性，所投智能交互平板厂商获得国家科学技术进步奖的得</w:t>
            </w:r>
            <w:r>
              <w:rPr>
                <w:rFonts w:hint="eastAsia" w:ascii="宋体" w:hAnsi="宋体" w:eastAsia="宋体" w:cs="宋体"/>
                <w:szCs w:val="21"/>
                <w:lang w:val="en-US" w:eastAsia="zh-CN"/>
              </w:rPr>
              <w:t>3</w:t>
            </w:r>
            <w:r>
              <w:rPr>
                <w:rFonts w:hint="eastAsia" w:ascii="宋体" w:hAnsi="宋体" w:eastAsia="宋体" w:cs="宋体"/>
                <w:szCs w:val="21"/>
              </w:rPr>
              <w:t>分，获得省级科学技术进步奖的得2分，没有不得分。（提供相关证书复印件加盖公章）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198" w:type="dxa"/>
            <w:gridSpan w:val="2"/>
            <w:tcBorders>
              <w:top w:val="single" w:color="000000" w:sz="4" w:space="0"/>
              <w:left w:val="single" w:color="000000" w:sz="4" w:space="0"/>
              <w:right w:val="single" w:color="000000" w:sz="4" w:space="0"/>
            </w:tcBorders>
            <w:noWrap/>
            <w:vAlign w:val="center"/>
          </w:tcPr>
          <w:p>
            <w:pPr>
              <w:tabs>
                <w:tab w:val="left" w:pos="1260"/>
              </w:tabs>
              <w:autoSpaceDE w:val="0"/>
              <w:autoSpaceDN w:val="0"/>
              <w:spacing w:line="360" w:lineRule="auto"/>
              <w:ind w:firstLine="2530" w:firstLineChars="1200"/>
              <w:contextualSpacing/>
              <w:jc w:val="both"/>
              <w:rPr>
                <w:rFonts w:hint="eastAsia" w:ascii="宋体" w:hAnsi="宋体" w:cs="仿宋_GB2312"/>
                <w:szCs w:val="21"/>
                <w:lang w:val="zh-CN" w:eastAsia="zh-CN"/>
              </w:rPr>
            </w:pPr>
            <w:r>
              <w:rPr>
                <w:rFonts w:hint="eastAsia" w:ascii="宋体" w:hAnsi="宋体" w:cs="仿宋_GB2312"/>
                <w:b/>
                <w:bCs/>
                <w:szCs w:val="21"/>
                <w:lang w:val="zh-CN" w:eastAsia="zh-CN"/>
              </w:rPr>
              <w:t>三、技术部分（满分</w:t>
            </w:r>
            <w:r>
              <w:rPr>
                <w:rFonts w:hint="eastAsia" w:ascii="宋体" w:hAnsi="宋体" w:cs="仿宋_GB2312"/>
                <w:b/>
                <w:bCs/>
                <w:szCs w:val="21"/>
                <w:lang w:val="en-US" w:eastAsia="zh-CN"/>
              </w:rPr>
              <w:t>49</w:t>
            </w:r>
            <w:r>
              <w:rPr>
                <w:rFonts w:hint="eastAsia" w:ascii="宋体" w:hAnsi="宋体" w:cs="仿宋_GB2312"/>
                <w:b/>
                <w:bCs/>
                <w:szCs w:val="21"/>
                <w:lang w:val="zh-CN"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8"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contextualSpacing/>
              <w:jc w:val="center"/>
              <w:rPr>
                <w:rFonts w:hint="eastAsia" w:ascii="宋体" w:hAnsi="宋体" w:cs="仿宋_GB2312"/>
                <w:b/>
                <w:bCs/>
                <w:szCs w:val="21"/>
                <w:lang w:val="zh-CN" w:eastAsia="zh-CN"/>
              </w:rPr>
            </w:pPr>
            <w:r>
              <w:rPr>
                <w:rFonts w:hint="eastAsia" w:ascii="宋体" w:hAnsi="宋体" w:cs="仿宋_GB2312"/>
                <w:b/>
                <w:bCs/>
                <w:szCs w:val="21"/>
                <w:lang w:val="zh-CN" w:eastAsia="zh-CN"/>
              </w:rPr>
              <w:t>技术性能指标</w:t>
            </w:r>
          </w:p>
          <w:p>
            <w:pPr>
              <w:tabs>
                <w:tab w:val="left" w:pos="1260"/>
              </w:tabs>
              <w:autoSpaceDE w:val="0"/>
              <w:autoSpaceDN w:val="0"/>
              <w:spacing w:line="360" w:lineRule="auto"/>
              <w:contextualSpacing/>
              <w:jc w:val="center"/>
              <w:rPr>
                <w:rFonts w:hint="eastAsia" w:ascii="宋体" w:hAnsi="宋体" w:cs="仿宋_GB2312"/>
                <w:szCs w:val="21"/>
                <w:lang w:val="zh-CN" w:eastAsia="zh-CN"/>
              </w:rPr>
            </w:pPr>
            <w:r>
              <w:rPr>
                <w:rFonts w:hint="eastAsia" w:ascii="宋体" w:hAnsi="宋体" w:cs="仿宋_GB2312"/>
                <w:b/>
                <w:bCs/>
                <w:szCs w:val="21"/>
                <w:lang w:val="zh-CN" w:eastAsia="zh-CN"/>
              </w:rPr>
              <w:t>（</w:t>
            </w:r>
            <w:r>
              <w:rPr>
                <w:rFonts w:hint="eastAsia" w:ascii="宋体" w:hAnsi="宋体" w:cs="仿宋_GB2312"/>
                <w:b/>
                <w:bCs/>
                <w:szCs w:val="21"/>
                <w:lang w:val="en-US" w:eastAsia="zh-CN"/>
              </w:rPr>
              <w:t>35</w:t>
            </w:r>
            <w:r>
              <w:rPr>
                <w:rFonts w:hint="eastAsia" w:ascii="宋体" w:hAnsi="宋体" w:cs="仿宋_GB2312"/>
                <w:b/>
                <w:bCs/>
                <w:szCs w:val="21"/>
                <w:lang w:val="zh-CN" w:eastAsia="zh-CN"/>
              </w:rPr>
              <w:t>分）</w:t>
            </w:r>
          </w:p>
        </w:tc>
        <w:tc>
          <w:tcPr>
            <w:tcW w:w="7780" w:type="dxa"/>
            <w:noWrap/>
            <w:vAlign w:val="center"/>
          </w:tcPr>
          <w:p>
            <w:pPr>
              <w:pStyle w:val="13"/>
              <w:numPr>
                <w:ilvl w:val="0"/>
                <w:numId w:val="0"/>
              </w:numPr>
              <w:spacing w:line="360" w:lineRule="exact"/>
              <w:ind w:leftChars="0"/>
              <w:rPr>
                <w:rFonts w:hint="eastAsia" w:ascii="宋体" w:hAnsi="宋体" w:eastAsia="宋体" w:cs="宋体"/>
                <w:szCs w:val="21"/>
              </w:rPr>
            </w:pPr>
            <w:r>
              <w:rPr>
                <w:rFonts w:hint="eastAsia" w:ascii="宋体" w:hAnsi="宋体" w:eastAsia="宋体" w:cs="宋体"/>
                <w:szCs w:val="21"/>
              </w:rPr>
              <w:t>投标人所投产品技术参数完全满足或优于</w:t>
            </w:r>
            <w:r>
              <w:rPr>
                <w:rFonts w:hint="eastAsia" w:ascii="宋体" w:hAnsi="宋体" w:eastAsia="宋体" w:cs="宋体"/>
                <w:szCs w:val="21"/>
                <w:lang w:val="en-US" w:eastAsia="zh-CN"/>
              </w:rPr>
              <w:t>谈判</w:t>
            </w:r>
            <w:r>
              <w:rPr>
                <w:rFonts w:hint="eastAsia" w:ascii="宋体" w:hAnsi="宋体" w:eastAsia="宋体" w:cs="宋体"/>
                <w:szCs w:val="21"/>
              </w:rPr>
              <w:t>文件参数要求的得满分</w:t>
            </w:r>
            <w:r>
              <w:rPr>
                <w:rFonts w:hint="eastAsia" w:ascii="宋体" w:hAnsi="宋体" w:eastAsia="宋体" w:cs="宋体"/>
                <w:szCs w:val="21"/>
                <w:lang w:val="en-US" w:eastAsia="zh-CN"/>
              </w:rPr>
              <w:t>35</w:t>
            </w:r>
            <w:r>
              <w:rPr>
                <w:rFonts w:hint="eastAsia" w:ascii="宋体" w:hAnsi="宋体" w:eastAsia="宋体" w:cs="宋体"/>
                <w:szCs w:val="21"/>
              </w:rPr>
              <w:t>分。</w:t>
            </w:r>
          </w:p>
          <w:p>
            <w:pPr>
              <w:pStyle w:val="13"/>
              <w:numPr>
                <w:ilvl w:val="0"/>
                <w:numId w:val="93"/>
              </w:numPr>
              <w:spacing w:line="360" w:lineRule="exact"/>
              <w:ind w:firstLineChars="0"/>
              <w:rPr>
                <w:rFonts w:ascii="宋体" w:hAnsi="宋体" w:eastAsia="宋体" w:cs="宋体"/>
                <w:szCs w:val="21"/>
              </w:rPr>
            </w:pPr>
            <w:r>
              <w:rPr>
                <w:rFonts w:hint="eastAsia" w:ascii="宋体" w:hAnsi="宋体" w:eastAsia="宋体" w:cs="宋体"/>
                <w:szCs w:val="21"/>
              </w:rPr>
              <w:t>非“★”号标注的部分为一般性技术参数，每有一项不满足招标要求的扣1分</w:t>
            </w:r>
            <w:r>
              <w:rPr>
                <w:rFonts w:hint="eastAsia" w:ascii="宋体" w:hAnsi="宋体" w:eastAsia="宋体" w:cs="宋体"/>
                <w:szCs w:val="21"/>
                <w:lang w:eastAsia="zh-CN"/>
              </w:rPr>
              <w:t>，</w:t>
            </w:r>
            <w:r>
              <w:rPr>
                <w:rFonts w:hint="eastAsia" w:ascii="宋体" w:hAnsi="宋体" w:eastAsia="宋体" w:cs="宋体"/>
                <w:szCs w:val="21"/>
              </w:rPr>
              <w:t>扣完为止；</w:t>
            </w:r>
          </w:p>
          <w:p>
            <w:pPr>
              <w:pStyle w:val="13"/>
              <w:numPr>
                <w:ilvl w:val="0"/>
                <w:numId w:val="93"/>
              </w:numPr>
              <w:spacing w:line="360" w:lineRule="exact"/>
              <w:ind w:firstLineChars="0"/>
              <w:rPr>
                <w:rFonts w:hint="eastAsia" w:ascii="宋体" w:hAnsi="宋体" w:cs="仿宋_GB2312"/>
                <w:szCs w:val="21"/>
                <w:lang w:val="zh-CN" w:eastAsia="zh-CN"/>
              </w:rPr>
            </w:pPr>
            <w:r>
              <w:rPr>
                <w:rFonts w:hint="eastAsia" w:ascii="宋体" w:hAnsi="宋体" w:eastAsia="宋体" w:cs="宋体"/>
                <w:szCs w:val="21"/>
                <w:lang w:val="en-US" w:eastAsia="zh-CN"/>
              </w:rPr>
              <w:t>加</w:t>
            </w:r>
            <w:r>
              <w:rPr>
                <w:rFonts w:hint="eastAsia" w:ascii="宋体" w:hAnsi="宋体" w:eastAsia="宋体" w:cs="宋体"/>
                <w:szCs w:val="21"/>
              </w:rPr>
              <w:t>“★”号标注的部分</w:t>
            </w:r>
            <w:r>
              <w:rPr>
                <w:rFonts w:hint="eastAsia" w:ascii="宋体" w:hAnsi="宋体" w:eastAsia="宋体" w:cs="宋体"/>
                <w:szCs w:val="21"/>
                <w:lang w:val="en-US" w:eastAsia="zh-CN"/>
              </w:rPr>
              <w:t>为</w:t>
            </w:r>
            <w:r>
              <w:rPr>
                <w:rFonts w:hint="eastAsia" w:ascii="宋体" w:hAnsi="宋体" w:eastAsia="宋体" w:cs="宋体"/>
                <w:szCs w:val="21"/>
              </w:rPr>
              <w:t>重要技术参数，每有一条不满足扣</w:t>
            </w:r>
            <w:r>
              <w:rPr>
                <w:rFonts w:hint="eastAsia" w:ascii="宋体" w:hAnsi="宋体" w:eastAsia="宋体" w:cs="宋体"/>
                <w:szCs w:val="21"/>
                <w:lang w:val="en-US" w:eastAsia="zh-CN"/>
              </w:rPr>
              <w:t>2</w:t>
            </w:r>
            <w:r>
              <w:rPr>
                <w:rFonts w:hint="eastAsia" w:ascii="宋体" w:hAnsi="宋体" w:eastAsia="宋体" w:cs="宋体"/>
                <w:szCs w:val="21"/>
              </w:rPr>
              <w:t>分，扣完为止。</w:t>
            </w:r>
            <w:r>
              <w:rPr>
                <w:rFonts w:hint="eastAsia" w:ascii="宋体" w:hAnsi="宋体" w:eastAsia="宋体" w:cs="宋体"/>
                <w:szCs w:val="21"/>
                <w:lang w:eastAsia="zh-CN"/>
              </w:rPr>
              <w:t>（</w:t>
            </w:r>
            <w:r>
              <w:rPr>
                <w:rFonts w:hint="eastAsia" w:ascii="宋体" w:hAnsi="宋体" w:eastAsia="宋体" w:cs="宋体"/>
                <w:szCs w:val="21"/>
              </w:rPr>
              <w:t>需提供所投产品相关说明书、彩页或其他参数证明文件证明其参数真实性并加盖公章</w:t>
            </w:r>
            <w:r>
              <w:rPr>
                <w:rFonts w:hint="eastAsia" w:ascii="宋体" w:hAnsi="宋体" w:eastAsia="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contextualSpacing/>
              <w:jc w:val="center"/>
              <w:rPr>
                <w:rFonts w:hint="eastAsia" w:ascii="宋体" w:hAnsi="宋体" w:eastAsia="宋体" w:cs="仿宋_GB2312"/>
                <w:b/>
                <w:bCs/>
                <w:szCs w:val="21"/>
                <w:lang w:val="en-US" w:eastAsia="zh-CN"/>
              </w:rPr>
            </w:pPr>
            <w:r>
              <w:rPr>
                <w:rFonts w:hint="eastAsia" w:ascii="宋体" w:hAnsi="宋体" w:eastAsia="宋体" w:cs="仿宋_GB2312"/>
                <w:b/>
                <w:bCs/>
                <w:szCs w:val="21"/>
                <w:lang w:val="en-US" w:eastAsia="zh-CN"/>
              </w:rPr>
              <w:t>实施方案</w:t>
            </w:r>
          </w:p>
          <w:p>
            <w:pPr>
              <w:tabs>
                <w:tab w:val="left" w:pos="1260"/>
              </w:tabs>
              <w:autoSpaceDE w:val="0"/>
              <w:autoSpaceDN w:val="0"/>
              <w:spacing w:line="360" w:lineRule="auto"/>
              <w:contextualSpacing/>
              <w:jc w:val="center"/>
              <w:rPr>
                <w:rFonts w:hint="default" w:ascii="宋体" w:hAnsi="宋体" w:cs="仿宋_GB2312"/>
                <w:szCs w:val="21"/>
                <w:lang w:val="en-US" w:eastAsia="zh-CN"/>
              </w:rPr>
            </w:pPr>
            <w:r>
              <w:rPr>
                <w:rFonts w:hint="eastAsia" w:ascii="宋体" w:hAnsi="宋体" w:cs="仿宋_GB2312"/>
                <w:b/>
                <w:bCs/>
                <w:szCs w:val="21"/>
                <w:lang w:val="en-US" w:eastAsia="zh-CN"/>
              </w:rPr>
              <w:t>（4分）</w:t>
            </w:r>
          </w:p>
        </w:tc>
        <w:tc>
          <w:tcPr>
            <w:tcW w:w="7780" w:type="dxa"/>
            <w:noWrap/>
            <w:vAlign w:val="top"/>
          </w:tcPr>
          <w:p>
            <w:pPr>
              <w:tabs>
                <w:tab w:val="left" w:pos="1260"/>
              </w:tabs>
              <w:autoSpaceDE w:val="0"/>
              <w:autoSpaceDN w:val="0"/>
              <w:spacing w:line="360" w:lineRule="auto"/>
              <w:contextualSpacing/>
              <w:rPr>
                <w:rFonts w:hint="default" w:ascii="宋体" w:hAnsi="宋体" w:cs="仿宋_GB2312"/>
                <w:szCs w:val="21"/>
                <w:lang w:val="en-US" w:eastAsia="zh-CN"/>
              </w:rPr>
            </w:pPr>
            <w:r>
              <w:rPr>
                <w:rFonts w:hint="eastAsia" w:ascii="宋体" w:hAnsi="宋体" w:cs="仿宋_GB2312"/>
                <w:szCs w:val="21"/>
                <w:lang w:val="zh-CN"/>
              </w:rPr>
              <w:t>针对本项目提供</w:t>
            </w:r>
            <w:r>
              <w:rPr>
                <w:rFonts w:hint="eastAsia" w:ascii="宋体" w:hAnsi="宋体" w:cs="仿宋_GB2312"/>
                <w:szCs w:val="21"/>
                <w:lang w:val="en-US" w:eastAsia="zh-CN"/>
              </w:rPr>
              <w:t>技术</w:t>
            </w:r>
            <w:r>
              <w:rPr>
                <w:rFonts w:hint="eastAsia" w:ascii="宋体" w:hAnsi="宋体" w:cs="仿宋_GB2312"/>
                <w:szCs w:val="21"/>
                <w:lang w:val="zh-CN"/>
              </w:rPr>
              <w:t>实施方案，从实施目标、质量管理、提供技术和使用培训等方面进行阐述，内容完善行之有效得</w:t>
            </w:r>
            <w:r>
              <w:rPr>
                <w:rFonts w:hint="eastAsia" w:ascii="宋体" w:hAnsi="宋体" w:cs="仿宋_GB2312"/>
                <w:szCs w:val="21"/>
                <w:lang w:val="en-US" w:eastAsia="zh-CN"/>
              </w:rPr>
              <w:t>4</w:t>
            </w:r>
            <w:r>
              <w:rPr>
                <w:rFonts w:hint="eastAsia" w:ascii="宋体" w:hAnsi="宋体" w:cs="仿宋_GB2312"/>
                <w:szCs w:val="21"/>
                <w:lang w:val="zh-CN"/>
              </w:rPr>
              <w:t>分，一般得</w:t>
            </w:r>
            <w:r>
              <w:rPr>
                <w:rFonts w:hint="eastAsia" w:ascii="宋体" w:hAnsi="宋体" w:cs="仿宋_GB2312"/>
                <w:szCs w:val="21"/>
                <w:lang w:val="en-US" w:eastAsia="zh-CN"/>
              </w:rPr>
              <w:t>2</w:t>
            </w:r>
            <w:r>
              <w:rPr>
                <w:rFonts w:hint="eastAsia" w:ascii="宋体" w:hAnsi="宋体" w:cs="仿宋_GB2312"/>
                <w:szCs w:val="21"/>
                <w:lang w:val="zh-CN"/>
              </w:rPr>
              <w:t>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1" w:hRule="atLeast"/>
        </w:trPr>
        <w:tc>
          <w:tcPr>
            <w:tcW w:w="1418" w:type="dxa"/>
            <w:tcBorders>
              <w:top w:val="single" w:color="000000" w:sz="4" w:space="0"/>
              <w:left w:val="single" w:color="000000" w:sz="4" w:space="0"/>
              <w:right w:val="single" w:color="000000" w:sz="4" w:space="0"/>
            </w:tcBorders>
            <w:noWrap/>
            <w:vAlign w:val="center"/>
          </w:tcPr>
          <w:p>
            <w:pPr>
              <w:tabs>
                <w:tab w:val="left" w:pos="1260"/>
              </w:tabs>
              <w:autoSpaceDE w:val="0"/>
              <w:autoSpaceDN w:val="0"/>
              <w:spacing w:line="360" w:lineRule="auto"/>
              <w:ind w:firstLine="420" w:firstLineChars="200"/>
              <w:contextualSpacing/>
              <w:jc w:val="center"/>
              <w:rPr>
                <w:rFonts w:hint="eastAsia" w:ascii="宋体" w:hAnsi="宋体" w:cs="仿宋_GB2312"/>
                <w:szCs w:val="21"/>
                <w:lang w:val="zh-CN" w:eastAsia="zh-CN"/>
              </w:rPr>
            </w:pPr>
          </w:p>
          <w:p>
            <w:pPr>
              <w:tabs>
                <w:tab w:val="left" w:pos="1260"/>
              </w:tabs>
              <w:autoSpaceDE w:val="0"/>
              <w:autoSpaceDN w:val="0"/>
              <w:spacing w:line="360" w:lineRule="auto"/>
              <w:contextualSpacing/>
              <w:jc w:val="center"/>
              <w:rPr>
                <w:rFonts w:hint="eastAsia" w:ascii="宋体" w:hAnsi="宋体" w:cs="仿宋_GB2312"/>
                <w:b/>
                <w:bCs/>
                <w:szCs w:val="21"/>
                <w:lang w:val="zh-CN" w:eastAsia="zh-CN"/>
              </w:rPr>
            </w:pPr>
            <w:r>
              <w:rPr>
                <w:rFonts w:hint="eastAsia" w:ascii="宋体" w:hAnsi="宋体" w:cs="仿宋_GB2312"/>
                <w:b/>
                <w:bCs/>
                <w:szCs w:val="21"/>
                <w:lang w:val="zh-CN" w:eastAsia="zh-CN"/>
              </w:rPr>
              <w:t>售后服务方案</w:t>
            </w:r>
          </w:p>
          <w:p>
            <w:pPr>
              <w:tabs>
                <w:tab w:val="left" w:pos="1260"/>
              </w:tabs>
              <w:autoSpaceDE w:val="0"/>
              <w:autoSpaceDN w:val="0"/>
              <w:spacing w:line="360" w:lineRule="auto"/>
              <w:contextualSpacing/>
              <w:jc w:val="center"/>
              <w:rPr>
                <w:rFonts w:hint="eastAsia" w:ascii="宋体" w:hAnsi="宋体" w:cs="仿宋_GB2312"/>
                <w:szCs w:val="21"/>
                <w:lang w:val="zh-CN" w:eastAsia="zh-CN"/>
              </w:rPr>
            </w:pPr>
            <w:r>
              <w:rPr>
                <w:rFonts w:hint="eastAsia" w:ascii="宋体" w:hAnsi="宋体" w:cs="仿宋_GB2312"/>
                <w:b/>
                <w:bCs/>
                <w:szCs w:val="21"/>
                <w:lang w:val="zh-CN" w:eastAsia="zh-CN"/>
              </w:rPr>
              <w:t>（10分）</w:t>
            </w:r>
          </w:p>
        </w:tc>
        <w:tc>
          <w:tcPr>
            <w:tcW w:w="7780" w:type="dxa"/>
            <w:noWrap/>
            <w:vAlign w:val="center"/>
          </w:tcPr>
          <w:p>
            <w:pPr>
              <w:adjustRightInd w:val="0"/>
              <w:snapToGrid w:val="0"/>
              <w:spacing w:line="500" w:lineRule="exact"/>
              <w:jc w:val="left"/>
              <w:rPr>
                <w:rFonts w:ascii="宋体" w:hAnsi="宋体" w:cs="仿宋_GB2312"/>
                <w:szCs w:val="21"/>
                <w:lang w:val="zh-CN"/>
              </w:rPr>
            </w:pPr>
            <w:r>
              <w:rPr>
                <w:rFonts w:hint="eastAsia" w:ascii="宋体" w:hAnsi="宋体" w:cs="仿宋_GB2312"/>
                <w:szCs w:val="21"/>
                <w:lang w:val="zh-CN"/>
              </w:rPr>
              <w:t>1、</w:t>
            </w:r>
            <w:r>
              <w:rPr>
                <w:rFonts w:ascii="宋体" w:hAnsi="宋体" w:cs="仿宋_GB2312"/>
                <w:szCs w:val="21"/>
                <w:lang w:val="zh-CN"/>
              </w:rPr>
              <w:t>投标人提供的质保期内服务承诺内容、形式、响应时间等内容进行横向比较打分，质保时长、内容、形式、响应时间且满足用户实际采购需求承诺较好得</w:t>
            </w:r>
            <w:r>
              <w:rPr>
                <w:rFonts w:hint="eastAsia" w:ascii="宋体" w:hAnsi="宋体" w:cs="仿宋_GB2312"/>
                <w:szCs w:val="21"/>
                <w:lang w:val="en-US" w:eastAsia="zh-CN"/>
              </w:rPr>
              <w:t>5</w:t>
            </w:r>
            <w:r>
              <w:rPr>
                <w:rFonts w:ascii="宋体" w:hAnsi="宋体" w:cs="仿宋_GB2312"/>
                <w:szCs w:val="21"/>
                <w:lang w:val="zh-CN"/>
              </w:rPr>
              <w:t>分、承诺一般得</w:t>
            </w:r>
            <w:r>
              <w:rPr>
                <w:rFonts w:hint="eastAsia" w:ascii="宋体" w:hAnsi="宋体" w:cs="仿宋_GB2312"/>
                <w:szCs w:val="21"/>
                <w:lang w:val="zh-CN"/>
              </w:rPr>
              <w:t>2</w:t>
            </w:r>
            <w:r>
              <w:rPr>
                <w:rFonts w:ascii="宋体" w:hAnsi="宋体" w:cs="仿宋_GB2312"/>
                <w:szCs w:val="21"/>
                <w:lang w:val="zh-CN"/>
              </w:rPr>
              <w:t>分。</w:t>
            </w:r>
          </w:p>
          <w:p>
            <w:pPr>
              <w:tabs>
                <w:tab w:val="left" w:pos="1260"/>
              </w:tabs>
              <w:autoSpaceDE w:val="0"/>
              <w:autoSpaceDN w:val="0"/>
              <w:spacing w:line="360" w:lineRule="auto"/>
              <w:ind w:firstLine="420" w:firstLineChars="200"/>
              <w:contextualSpacing/>
              <w:rPr>
                <w:rFonts w:hint="eastAsia" w:ascii="宋体" w:hAnsi="宋体" w:cs="仿宋_GB2312"/>
                <w:szCs w:val="21"/>
                <w:lang w:val="zh-CN" w:eastAsia="zh-CN"/>
              </w:rPr>
            </w:pPr>
            <w:r>
              <w:rPr>
                <w:rFonts w:hint="eastAsia" w:ascii="宋体" w:hAnsi="宋体" w:eastAsia="宋体" w:cs="宋体"/>
                <w:szCs w:val="21"/>
                <w:lang w:val="en-US" w:eastAsia="zh-CN"/>
              </w:rPr>
              <w:t>2、</w:t>
            </w:r>
            <w:r>
              <w:rPr>
                <w:rFonts w:hint="eastAsia" w:ascii="宋体" w:hAnsi="宋体" w:cs="仿宋_GB2312"/>
                <w:szCs w:val="21"/>
                <w:lang w:val="zh-CN"/>
              </w:rPr>
              <w:t>售后服务承诺详细、具体，满足业主要求，服务承诺周到、内容完善得</w:t>
            </w:r>
            <w:r>
              <w:rPr>
                <w:rFonts w:hint="eastAsia" w:ascii="宋体" w:hAnsi="宋体" w:cs="仿宋_GB2312"/>
                <w:szCs w:val="21"/>
                <w:lang w:val="en-US" w:eastAsia="zh-CN"/>
              </w:rPr>
              <w:t>5</w:t>
            </w:r>
            <w:r>
              <w:rPr>
                <w:rFonts w:hint="eastAsia" w:ascii="宋体" w:hAnsi="宋体" w:cs="仿宋_GB2312"/>
                <w:szCs w:val="21"/>
                <w:lang w:val="zh-CN"/>
              </w:rPr>
              <w:t>分，一般得2分，不提供不得分。</w:t>
            </w:r>
          </w:p>
        </w:tc>
      </w:tr>
    </w:tbl>
    <w:p>
      <w:pPr>
        <w:pStyle w:val="2"/>
        <w:rPr>
          <w:rFonts w:hint="eastAsia"/>
          <w:lang w:val="zh-CN"/>
        </w:rPr>
      </w:pPr>
    </w:p>
    <w:p>
      <w:pPr>
        <w:spacing w:line="360" w:lineRule="auto"/>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非联合体投标人</w:t>
            </w:r>
          </w:p>
        </w:tc>
        <w:tc>
          <w:tcPr>
            <w:tcW w:w="2552" w:type="dxa"/>
            <w:vAlign w:val="center"/>
          </w:tcPr>
          <w:p>
            <w:pPr>
              <w:jc w:val="center"/>
              <w:rPr>
                <w:rFonts w:ascii="ˎ̥" w:hAnsi="ˎ̥" w:eastAsia="宋体"/>
                <w:szCs w:val="21"/>
              </w:rPr>
            </w:pPr>
            <w:r>
              <w:rPr>
                <w:rFonts w:hint="eastAsia" w:ascii="ˎ̥" w:hAnsi="ˎ̥" w:eastAsia="宋体"/>
                <w:szCs w:val="21"/>
              </w:rPr>
              <w:t>对小型和微型企业报价</w:t>
            </w:r>
          </w:p>
          <w:p>
            <w:pPr>
              <w:jc w:val="center"/>
              <w:rPr>
                <w:rFonts w:ascii="宋体" w:hAnsi="宋体"/>
                <w:b/>
                <w:szCs w:val="21"/>
                <w:lang w:val="en-GB"/>
              </w:rPr>
            </w:pPr>
            <w:r>
              <w:rPr>
                <w:rFonts w:hint="eastAsia" w:ascii="ˎ̥" w:hAnsi="ˎ̥" w:eastAsia="宋体"/>
                <w:szCs w:val="21"/>
              </w:rPr>
              <w:t>扣除</w:t>
            </w:r>
            <w:r>
              <w:rPr>
                <w:rFonts w:hint="eastAsia" w:ascii="ˎ̥" w:hAnsi="ˎ̥" w:eastAsia="宋体"/>
                <w:color w:val="FF0000"/>
                <w:szCs w:val="21"/>
              </w:rPr>
              <w:t>20</w:t>
            </w:r>
            <w:r>
              <w:rPr>
                <w:rFonts w:hint="eastAsia" w:ascii="ˎ̥" w:hAnsi="ˎ̥" w:eastAsia="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评标价格＝</w:t>
            </w:r>
            <w:r>
              <w:rPr>
                <w:rFonts w:hint="eastAsia" w:ascii="ˎ̥" w:hAnsi="ˎ̥" w:eastAsia="宋体"/>
                <w:szCs w:val="21"/>
              </w:rPr>
              <w:t>小型和微型企业报价</w:t>
            </w:r>
            <w:r>
              <w:rPr>
                <w:rFonts w:hint="eastAsia" w:ascii="宋体" w:hAnsi="宋体"/>
                <w:szCs w:val="21"/>
                <w:lang w:val="en-GB"/>
              </w:rPr>
              <w:t>×（1-</w:t>
            </w:r>
            <w:r>
              <w:rPr>
                <w:rFonts w:hint="eastAsia" w:ascii="ˎ̥" w:hAnsi="ˎ̥" w:eastAsia="宋体"/>
                <w:color w:val="FF0000"/>
                <w:szCs w:val="21"/>
              </w:rPr>
              <w:t>20</w:t>
            </w:r>
            <w:r>
              <w:rPr>
                <w:rFonts w:hint="eastAsia"/>
                <w:szCs w:val="21"/>
                <w:lang w:val="en-GB"/>
              </w:rPr>
              <w:t>%</w:t>
            </w:r>
            <w:r>
              <w:rPr>
                <w:rFonts w:hint="eastAsia" w:ascii="宋体" w:hAnsi="宋体"/>
                <w:szCs w:val="21"/>
                <w:lang w:val="en-GB"/>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szCs w:val="21"/>
                <w:lang w:val="en-GB"/>
              </w:rPr>
            </w:pPr>
            <w:r>
              <w:rPr>
                <w:rFonts w:hint="eastAsia" w:ascii="宋体" w:hAnsi="宋体"/>
                <w:szCs w:val="21"/>
                <w:lang w:val="en-GB"/>
              </w:rPr>
              <w:t>联合体各方均为</w:t>
            </w:r>
          </w:p>
          <w:p>
            <w:pPr>
              <w:jc w:val="center"/>
              <w:rPr>
                <w:rFonts w:ascii="宋体" w:hAnsi="宋体"/>
                <w:b/>
                <w:szCs w:val="21"/>
              </w:rPr>
            </w:pPr>
            <w:r>
              <w:rPr>
                <w:rFonts w:hint="eastAsia" w:ascii="宋体" w:hAnsi="宋体"/>
                <w:szCs w:val="21"/>
                <w:lang w:val="en-GB"/>
              </w:rPr>
              <w:t>小型、微型企业</w:t>
            </w:r>
          </w:p>
        </w:tc>
        <w:tc>
          <w:tcPr>
            <w:tcW w:w="2552" w:type="dxa"/>
            <w:vAlign w:val="center"/>
          </w:tcPr>
          <w:p>
            <w:pPr>
              <w:jc w:val="center"/>
              <w:rPr>
                <w:rFonts w:ascii="宋体" w:hAnsi="宋体"/>
                <w:szCs w:val="21"/>
              </w:rPr>
            </w:pPr>
            <w:r>
              <w:rPr>
                <w:rFonts w:hint="eastAsia" w:ascii="ˎ̥" w:hAnsi="ˎ̥" w:eastAsia="宋体"/>
                <w:szCs w:val="21"/>
              </w:rPr>
              <w:t>对小型和微型企业报价</w:t>
            </w:r>
          </w:p>
          <w:p>
            <w:pPr>
              <w:jc w:val="center"/>
              <w:rPr>
                <w:rFonts w:ascii="宋体" w:hAnsi="宋体"/>
                <w:szCs w:val="21"/>
              </w:rPr>
            </w:pP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ascii="ˎ̥" w:hAnsi="ˎ̥" w:eastAsia="宋体"/>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szCs w:val="21"/>
              </w:rPr>
              <w:t>对联合体或者大中型企业的报价</w:t>
            </w:r>
            <w:r>
              <w:rPr>
                <w:rFonts w:hint="eastAsia" w:ascii="宋体" w:hAnsi="宋体"/>
                <w:szCs w:val="21"/>
                <w:lang w:val="en-GB"/>
              </w:rPr>
              <w:t>扣除6</w:t>
            </w:r>
            <w:r>
              <w:rPr>
                <w:rFonts w:hint="eastAsia" w:ascii="宋体" w:hAnsi="宋体"/>
                <w:szCs w:val="21"/>
              </w:rPr>
              <w:t>%</w:t>
            </w:r>
          </w:p>
        </w:tc>
        <w:tc>
          <w:tcPr>
            <w:tcW w:w="2835" w:type="dxa"/>
            <w:shd w:val="clear" w:color="auto" w:fill="auto"/>
            <w:vAlign w:val="center"/>
          </w:tcPr>
          <w:p>
            <w:pPr>
              <w:jc w:val="center"/>
              <w:rPr>
                <w:rFonts w:ascii="宋体" w:hAnsi="宋体"/>
                <w:b/>
                <w:szCs w:val="21"/>
                <w:lang w:val="en-GB"/>
              </w:rPr>
            </w:pPr>
            <w:r>
              <w:rPr>
                <w:rFonts w:hint="eastAsia" w:ascii="宋体" w:hAnsi="宋体"/>
                <w:szCs w:val="21"/>
                <w:lang w:val="en-GB"/>
              </w:rPr>
              <w:t>评标价格＝投标报价×</w:t>
            </w:r>
            <w:r>
              <w:rPr>
                <w:rFonts w:hint="eastAsia" w:ascii="宋体" w:hAnsi="宋体"/>
                <w:szCs w:val="21"/>
              </w:rPr>
              <w:t>(1-6</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en-US" w:eastAsia="zh-CN"/>
              </w:rPr>
              <w:t>磋商小组</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hint="eastAsia" w:cs="仿宋_GB2312" w:asciiTheme="minorEastAsia" w:hAnsiTheme="minorEastAsia"/>
                <w:szCs w:val="21"/>
                <w:lang w:val="en-US" w:eastAsia="zh-CN"/>
              </w:rPr>
              <w:t>磋商</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pPr>
      <w:r>
        <w:rPr>
          <w:rFonts w:hint="eastAsia" w:ascii="宋体" w:hAnsi="宋体"/>
          <w:bCs/>
          <w:szCs w:val="21"/>
          <w:lang w:val="en-GB"/>
        </w:rPr>
        <w:t>a、不接受联合体投标的项目，</w:t>
      </w:r>
      <w:r>
        <w:rPr>
          <w:rFonts w:hint="eastAsia"/>
        </w:rPr>
        <w:t>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w:t>
      </w:r>
      <w:r>
        <w:t>在货物采购项目中，货物由中小企业制造，即货物由中小企业生产且使用该中小企业商号或者注册商标</w:t>
      </w:r>
      <w:r>
        <w:rPr>
          <w:rFonts w:hint="eastAsia" w:ascii="宋体" w:hAnsi="宋体"/>
          <w:bCs/>
          <w:szCs w:val="21"/>
          <w:lang w:val="en-GB"/>
        </w:rPr>
        <w:t>。</w:t>
      </w:r>
      <w: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5"/>
        <w:spacing w:line="360" w:lineRule="auto"/>
        <w:ind w:firstLine="211" w:firstLineChars="1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（6）</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磋商小组成员对客观评审因素评分不一致的；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经磋商小组认定评分畸高、畸低的。</w:t>
      </w:r>
    </w:p>
    <w:p>
      <w:pPr>
        <w:tabs>
          <w:tab w:val="left" w:pos="1260"/>
        </w:tabs>
        <w:autoSpaceDE w:val="0"/>
        <w:autoSpaceDN w:val="0"/>
        <w:spacing w:line="360" w:lineRule="auto"/>
        <w:ind w:firstLine="422" w:firstLineChars="200"/>
        <w:contextualSpacing/>
        <w:rPr>
          <w:rFonts w:cs="仿宋_GB2312" w:asciiTheme="minorEastAsia" w:hAnsiTheme="minorEastAsia"/>
          <w:szCs w:val="21"/>
          <w:lang w:val="zh-CN"/>
        </w:rPr>
      </w:pPr>
      <w:r>
        <w:rPr>
          <w:rFonts w:hint="eastAsia" w:cs="仿宋_GB2312" w:asciiTheme="minorEastAsia" w:hAnsiTheme="minorEastAsia"/>
          <w:b/>
          <w:szCs w:val="21"/>
          <w:lang w:val="zh-CN"/>
        </w:rPr>
        <w:t>（7）</w:t>
      </w:r>
      <w:r>
        <w:rPr>
          <w:rFonts w:hint="eastAsia" w:cs="仿宋_GB2312" w:asciiTheme="minorEastAsia" w:hAnsiTheme="minorEastAsia"/>
          <w:szCs w:val="21"/>
          <w:lang w:val="zh-CN"/>
        </w:rPr>
        <w:t>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pPr>
        <w:pStyle w:val="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（8）推荐成交候选供应商</w:t>
      </w:r>
    </w:p>
    <w:p>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磋商小组应当根据综合评分情况，按照评审得分由高到低顺序推荐3名成交候选供应商，</w:t>
      </w:r>
      <w:r>
        <w:rPr>
          <w:rFonts w:hint="eastAsia" w:ascii="Arial" w:hAnsi="Arial" w:cs="Arial"/>
          <w:szCs w:val="21"/>
          <w:shd w:val="clear" w:color="auto" w:fill="FFFFFF"/>
        </w:rPr>
        <w:t>并编写评审报告。符合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磋商小组</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确定成交候选人名单，以及根据采购人委托直接确定成交人</w:t>
      </w:r>
      <w:r>
        <w:rPr>
          <w:rFonts w:hint="eastAsia" w:cs="仿宋_GB2312" w:asciiTheme="minorEastAsia" w:hAnsiTheme="minorEastAsia"/>
          <w:b/>
          <w:szCs w:val="21"/>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spacing w:line="360" w:lineRule="auto"/>
        <w:ind w:firstLine="422" w:firstLineChars="200"/>
        <w:contextualSpacing/>
        <w:rPr>
          <w:rFonts w:cs="仿宋_GB2312" w:asciiTheme="minorEastAsia" w:hAnsiTheme="minorEastAsia"/>
          <w:b/>
          <w:szCs w:val="21"/>
          <w:lang w:val="zh-CN"/>
        </w:rPr>
      </w:pPr>
    </w:p>
    <w:p>
      <w:pPr>
        <w:widowControl/>
        <w:ind w:firstLine="2393" w:firstLineChars="745"/>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8"/>
        <w:spacing w:before="75" w:after="75"/>
        <w:ind w:firstLine="340"/>
        <w:rPr>
          <w:rFonts w:ascii="微软雅黑" w:hAnsi="微软雅黑" w:eastAsia="微软雅黑"/>
          <w:color w:val="000000"/>
          <w:sz w:val="27"/>
          <w:szCs w:val="27"/>
        </w:rPr>
      </w:pPr>
      <w:r>
        <w:rPr>
          <w:rFonts w:ascii="宋体" w:hAnsi="宋体" w:eastAsia="微软雅黑"/>
          <w:color w:val="000000"/>
          <w:u w:val="single"/>
        </w:rPr>
        <w:t> </w:t>
      </w:r>
    </w:p>
    <w:p>
      <w:pPr>
        <w:pStyle w:val="8"/>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8"/>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8"/>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8"/>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8"/>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8"/>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8"/>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8"/>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8"/>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8"/>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8"/>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8"/>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8"/>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8"/>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8"/>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ind w:left="5250"/>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1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5"/>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5"/>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rPr>
        <w:t>联系电话（手机）：</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2、如磋商公告明确项目交付日期以年为单位，本表应填写完成该项目的年限。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4"/>
        <w:rPr>
          <w:lang w:val="zh-CN"/>
        </w:rPr>
      </w:pPr>
    </w:p>
    <w:p>
      <w:pPr>
        <w:pStyle w:val="24"/>
        <w:rPr>
          <w:lang w:val="zh-CN"/>
        </w:rPr>
      </w:pPr>
    </w:p>
    <w:p>
      <w:pPr>
        <w:pStyle w:val="24"/>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_（项目名称、项目编号）采购的竞争性磋商公告及磋商邀请，_______（姓名和职务）被正式授权并代表供应商（供应商名称、地址）提交。</w:t>
      </w:r>
    </w:p>
    <w:p>
      <w:pPr>
        <w:pStyle w:val="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我方确认收到贵方提供的（项目名称、招标编号）磋商文件的全部内容。</w:t>
      </w:r>
    </w:p>
    <w:p>
      <w:pPr>
        <w:pStyle w:val="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Theme="minorEastAsia" w:hAnsiTheme="minorEastAsia" w:eastAsiaTheme="minorEastAsia"/>
          <w:sz w:val="21"/>
          <w:szCs w:val="21"/>
        </w:rPr>
        <w:t>已完全理解并接受磋商文件的各项规定和要求及资金支付规定，对磋商文件的合理性、合法性不再有异议。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我方已完全明白磋商文件的所有条款要求，并申明如下：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一、按磋商文件提供的全部货物与相关服务的响应总价详见《报价一览表》。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我方同意在本项目磋商文件中规定的开标日起90天内遵守本磋商文件中的承诺且在此期限期满之前均具有约束力。我方同意并遵守本磋商文件“供应商须知”中第十四条第三款关于延长投标有效期的规定。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8"/>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三、我方明白并同意，在规定的磋商响应时间截止之后，响应有效期之内撤销磋商响应的，则我方承担违背响应承诺的责任追究。</w:t>
      </w:r>
    </w:p>
    <w:p>
      <w:pPr>
        <w:pStyle w:val="8"/>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四、我方同意按照贵方可能提出的要求而提供与磋商响应有关的任何其它数据、信息或资料。</w:t>
      </w:r>
    </w:p>
    <w:p>
      <w:pPr>
        <w:pStyle w:val="8"/>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8"/>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六、我方如果成交，将保证履行磋商文件及其澄清、修改文件（如果有）中的全部责任和义务，按质、按量、按期完成《采购需求》及《合同书》中的全部任务。</w:t>
      </w:r>
    </w:p>
    <w:p>
      <w:pPr>
        <w:pStyle w:val="8"/>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以上内容如有虚假或与事实不符的，磋商小组可将</w:t>
      </w:r>
      <w:r>
        <w:rPr>
          <w:rFonts w:hint="eastAsia" w:cs="Arial" w:asciiTheme="minorEastAsia" w:hAnsiTheme="minorEastAsia"/>
          <w:szCs w:val="21"/>
        </w:rPr>
        <w:t>我方做无效投标处理，我方愿意承担相应的法律责任。</w:t>
      </w:r>
    </w:p>
    <w:p>
      <w:pPr>
        <w:pStyle w:val="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5"/>
        <w:adjustRightInd w:val="0"/>
        <w:snapToGrid w:val="0"/>
        <w:spacing w:line="360" w:lineRule="auto"/>
        <w:rPr>
          <w:rFonts w:asciiTheme="minorEastAsia" w:hAnsiTheme="minorEastAsia" w:eastAsiaTheme="minorEastAsia"/>
          <w:sz w:val="21"/>
          <w:szCs w:val="21"/>
        </w:rPr>
      </w:pPr>
    </w:p>
    <w:p>
      <w:pPr>
        <w:pStyle w:val="5"/>
        <w:adjustRightInd w:val="0"/>
        <w:snapToGrid w:val="0"/>
        <w:spacing w:line="360" w:lineRule="auto"/>
        <w:rPr>
          <w:rFonts w:asciiTheme="minorEastAsia" w:hAnsiTheme="minorEastAsia" w:eastAsiaTheme="minorEastAsia"/>
          <w:sz w:val="21"/>
          <w:szCs w:val="21"/>
        </w:rPr>
      </w:pPr>
    </w:p>
    <w:p>
      <w:pPr>
        <w:pStyle w:val="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所有与本项目磋商有关的一切正式往来请寄：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15"/>
        <w:spacing w:line="480" w:lineRule="auto"/>
        <w:ind w:firstLine="0" w:firstLineChars="0"/>
        <w:jc w:val="left"/>
        <w:rPr>
          <w:rFonts w:asciiTheme="minorEastAsia" w:hAnsiTheme="minorEastAsia"/>
          <w:sz w:val="21"/>
          <w:szCs w:val="21"/>
        </w:rPr>
      </w:pPr>
    </w:p>
    <w:p>
      <w:pPr>
        <w:pStyle w:val="1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1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1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1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竞争性磋商</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1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1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15"/>
        <w:spacing w:line="480" w:lineRule="auto"/>
        <w:ind w:firstLine="472" w:firstLineChars="225"/>
        <w:jc w:val="left"/>
        <w:rPr>
          <w:rFonts w:asciiTheme="minorEastAsia" w:hAnsiTheme="minorEastAsia"/>
          <w:sz w:val="21"/>
          <w:szCs w:val="21"/>
        </w:rPr>
      </w:pPr>
    </w:p>
    <w:p>
      <w:pPr>
        <w:pStyle w:val="15"/>
        <w:spacing w:line="480" w:lineRule="auto"/>
        <w:ind w:firstLine="472" w:firstLineChars="225"/>
        <w:jc w:val="left"/>
        <w:rPr>
          <w:rFonts w:asciiTheme="minorEastAsia" w:hAnsiTheme="minorEastAsia"/>
          <w:sz w:val="21"/>
          <w:szCs w:val="21"/>
        </w:rPr>
      </w:pPr>
    </w:p>
    <w:p>
      <w:pPr>
        <w:pStyle w:val="1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1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16"/>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1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加本竞争性磋商</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磋商承诺函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4"/>
        <w:rPr>
          <w:rFonts w:ascii="宋体" w:cs="宋体"/>
          <w:sz w:val="24"/>
          <w:lang w:val="zh-CN"/>
        </w:rPr>
      </w:pPr>
    </w:p>
    <w:p>
      <w:pPr>
        <w:pStyle w:val="4"/>
        <w:rPr>
          <w:rFonts w:ascii="宋体" w:cs="宋体"/>
          <w:sz w:val="24"/>
          <w:lang w:val="zh-CN"/>
        </w:rPr>
      </w:pPr>
    </w:p>
    <w:p>
      <w:pPr>
        <w:pStyle w:val="4"/>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9"/>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9"/>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rPr>
          <w:rFonts w:ascii="宋体" w:cs="宋体"/>
          <w:sz w:val="24"/>
          <w:lang w:val="zh-CN"/>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bfUHz4AQAAAQQAAA4AAABkcnMvZTJvRG9jLnhtbK1TwY7TMBC9I/EP&#10;lu80aRELRE1Xy1ZFSAuLtMsHOI6TWMQea+w2KV/P2EnKslz2wMUa2+M3770Zb69H07OTQq/Blny9&#10;yjlTVkKtbVvyH4+HNx8480HYWvRgVcnPyvPr3etX28EVagMd9LVCRiDWF4MreReCK7LMy04Z4Vfg&#10;lKXLBtCIQFtssxrFQOimzzZ5fpUNgLVDkMp7Ot1Pl3xGxJcAQtNoqfYgj0bZMKGi6kUgSb7TzvNd&#10;Yts0Sob7pvEqsL7kpDSklYpQXMU1221F0aJwnZYzBfESCs80GaEtFb1A7UUQ7Ij6HyijJYKHJqwk&#10;mGwSkhwhFev8mTcPnXAqaSGrvbuY7v8frPx2+o5M1zQJnFlhqOGPagzsE4xsHd0ZnC8o6cFRWhjp&#10;OGZGpd7dgfzpmYXbTthW3SDC0ClRE7v0MnvydMLxEaQavkJNZcQxQAIaGzQRkMxghE6dOV86E6nI&#10;WHJ9tcnfcSbpav324/s8dS4TxfLYoQ+fFRgWg5IjNT6Bi9OdDySDUpeUWMvCQfd9an5v/zqgxHiS&#10;yEe+E/MwVuNsRgX1mWQgTLNEP4mCDvAXZwPNUcktfRvO+i+WjIgjtwS4BNUSCCvpYckDZ1N4G6bR&#10;PDrUbUe4i9U3ZNZBJyHR1YnDzJImI+mbpziO3tN9yvrzc3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ulhTQAAAAAwEAAA8AAAAAAAAAAQAgAAAAIgAAAGRycy9kb3ducmV2LnhtbFBLAQIUABQA&#10;AAAIAIdO4kBG31B8+AEAAAEEAAAOAAAAAAAAAAEAIAAAAB8BAABkcnMvZTJvRG9jLnhtbFBLBQYA&#10;AAAABgAGAFkBAACJBQ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D7AE2"/>
    <w:multiLevelType w:val="singleLevel"/>
    <w:tmpl w:val="C42D7AE2"/>
    <w:lvl w:ilvl="0" w:tentative="0">
      <w:start w:val="1"/>
      <w:numFmt w:val="decimal"/>
      <w:suff w:val="nothing"/>
      <w:lvlText w:val="%1、"/>
      <w:lvlJc w:val="left"/>
    </w:lvl>
  </w:abstractNum>
  <w:abstractNum w:abstractNumId="1">
    <w:nsid w:val="CFD8F72A"/>
    <w:multiLevelType w:val="singleLevel"/>
    <w:tmpl w:val="CFD8F72A"/>
    <w:lvl w:ilvl="0" w:tentative="0">
      <w:start w:val="1"/>
      <w:numFmt w:val="chineseCounting"/>
      <w:suff w:val="space"/>
      <w:lvlText w:val="第%1章"/>
      <w:lvlJc w:val="left"/>
      <w:rPr>
        <w:rFonts w:hint="eastAsia"/>
      </w:rPr>
    </w:lvl>
  </w:abstractNum>
  <w:abstractNum w:abstractNumId="2">
    <w:nsid w:val="01195452"/>
    <w:multiLevelType w:val="multilevel"/>
    <w:tmpl w:val="01195452"/>
    <w:lvl w:ilvl="0" w:tentative="0">
      <w:start w:val="1"/>
      <w:numFmt w:val="decimal"/>
      <w:lvlText w:val="33. %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2EB22FF"/>
    <w:multiLevelType w:val="multilevel"/>
    <w:tmpl w:val="02EB22FF"/>
    <w:lvl w:ilvl="0" w:tentative="0">
      <w:start w:val="1"/>
      <w:numFmt w:val="decimal"/>
      <w:lvlText w:val="35.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43F120F"/>
    <w:multiLevelType w:val="multilevel"/>
    <w:tmpl w:val="043F12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5651A54"/>
    <w:multiLevelType w:val="multilevel"/>
    <w:tmpl w:val="05651A54"/>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7CD7D13"/>
    <w:multiLevelType w:val="multilevel"/>
    <w:tmpl w:val="07CD7D13"/>
    <w:lvl w:ilvl="0" w:tentative="0">
      <w:start w:val="1"/>
      <w:numFmt w:val="decimal"/>
      <w:lvlText w:val="32.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84D32A4"/>
    <w:multiLevelType w:val="multilevel"/>
    <w:tmpl w:val="084D32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0BB54322"/>
    <w:multiLevelType w:val="multilevel"/>
    <w:tmpl w:val="0BB54322"/>
    <w:lvl w:ilvl="0" w:tentative="0">
      <w:start w:val="1"/>
      <w:numFmt w:val="decimal"/>
      <w:lvlText w:val="37.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0BCC5368"/>
    <w:multiLevelType w:val="multilevel"/>
    <w:tmpl w:val="0BCC5368"/>
    <w:lvl w:ilvl="0" w:tentative="0">
      <w:start w:val="1"/>
      <w:numFmt w:val="decimal"/>
      <w:lvlText w:val="%1、"/>
      <w:lvlJc w:val="left"/>
      <w:pPr>
        <w:ind w:left="360" w:hanging="360"/>
      </w:pPr>
      <w:rPr>
        <w:rFonts w:hint="default" w:ascii="宋体" w:hAnsi="宋体" w:eastAsia="宋体" w:cs="仿宋"/>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0C33F5A"/>
    <w:multiLevelType w:val="multilevel"/>
    <w:tmpl w:val="10C33F5A"/>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6">
    <w:nsid w:val="11C445FA"/>
    <w:multiLevelType w:val="multilevel"/>
    <w:tmpl w:val="11C445F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18F52A52"/>
    <w:multiLevelType w:val="multilevel"/>
    <w:tmpl w:val="18F52A52"/>
    <w:lvl w:ilvl="0" w:tentative="0">
      <w:start w:val="1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1B8D2A50"/>
    <w:multiLevelType w:val="multilevel"/>
    <w:tmpl w:val="1B8D2A50"/>
    <w:lvl w:ilvl="0" w:tentative="0">
      <w:start w:val="1"/>
      <w:numFmt w:val="decimal"/>
      <w:lvlText w:val="1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BF4D03"/>
    <w:multiLevelType w:val="multilevel"/>
    <w:tmpl w:val="1EBF4D03"/>
    <w:lvl w:ilvl="0" w:tentative="0">
      <w:start w:val="1"/>
      <w:numFmt w:val="decimal"/>
      <w:lvlText w:val="28. %1 "/>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214802C3"/>
    <w:multiLevelType w:val="multilevel"/>
    <w:tmpl w:val="214802C3"/>
    <w:lvl w:ilvl="0" w:tentative="0">
      <w:start w:val="4"/>
      <w:numFmt w:val="decimal"/>
      <w:lvlText w:val="25%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5">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3FE7621"/>
    <w:multiLevelType w:val="multilevel"/>
    <w:tmpl w:val="23FE762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40E751E"/>
    <w:multiLevelType w:val="multilevel"/>
    <w:tmpl w:val="240E751E"/>
    <w:lvl w:ilvl="0" w:tentative="0">
      <w:start w:val="1"/>
      <w:numFmt w:val="decimal"/>
      <w:lvlText w:val="36.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0">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27D30A14"/>
    <w:multiLevelType w:val="multilevel"/>
    <w:tmpl w:val="27D30A14"/>
    <w:lvl w:ilvl="0" w:tentative="0">
      <w:start w:val="1"/>
      <w:numFmt w:val="decimal"/>
      <w:lvlText w:val="25.3.%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32">
    <w:nsid w:val="2B5058DF"/>
    <w:multiLevelType w:val="multilevel"/>
    <w:tmpl w:val="2B5058D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4">
    <w:nsid w:val="2D8B66E1"/>
    <w:multiLevelType w:val="multilevel"/>
    <w:tmpl w:val="2D8B66E1"/>
    <w:lvl w:ilvl="0" w:tentative="0">
      <w:start w:val="1"/>
      <w:numFmt w:val="decimal"/>
      <w:lvlText w:val="37.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EC21470"/>
    <w:multiLevelType w:val="multilevel"/>
    <w:tmpl w:val="2EC214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EFF1EFA"/>
    <w:multiLevelType w:val="multilevel"/>
    <w:tmpl w:val="2EFF1EFA"/>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9">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1">
    <w:nsid w:val="39314D43"/>
    <w:multiLevelType w:val="multilevel"/>
    <w:tmpl w:val="39314D43"/>
    <w:lvl w:ilvl="0" w:tentative="0">
      <w:start w:val="1"/>
      <w:numFmt w:val="decimal"/>
      <w:lvlText w:val="29.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42">
    <w:nsid w:val="3B4D4108"/>
    <w:multiLevelType w:val="multilevel"/>
    <w:tmpl w:val="3B4D4108"/>
    <w:lvl w:ilvl="0" w:tentative="0">
      <w:start w:val="1"/>
      <w:numFmt w:val="decimal"/>
      <w:lvlText w:val="21. %1 "/>
      <w:lvlJc w:val="left"/>
      <w:pPr>
        <w:ind w:left="2224" w:hanging="420"/>
      </w:pPr>
      <w:rPr>
        <w:rFonts w:hint="eastAsia"/>
      </w:rPr>
    </w:lvl>
    <w:lvl w:ilvl="1" w:tentative="0">
      <w:start w:val="1"/>
      <w:numFmt w:val="lowerLetter"/>
      <w:lvlText w:val="%2)"/>
      <w:lvlJc w:val="left"/>
      <w:pPr>
        <w:ind w:left="2644" w:hanging="420"/>
      </w:pPr>
    </w:lvl>
    <w:lvl w:ilvl="2" w:tentative="0">
      <w:start w:val="1"/>
      <w:numFmt w:val="lowerRoman"/>
      <w:lvlText w:val="%3."/>
      <w:lvlJc w:val="right"/>
      <w:pPr>
        <w:ind w:left="3064" w:hanging="420"/>
      </w:pPr>
    </w:lvl>
    <w:lvl w:ilvl="3" w:tentative="0">
      <w:start w:val="1"/>
      <w:numFmt w:val="decimal"/>
      <w:lvlText w:val="%4."/>
      <w:lvlJc w:val="left"/>
      <w:pPr>
        <w:ind w:left="3484" w:hanging="420"/>
      </w:pPr>
    </w:lvl>
    <w:lvl w:ilvl="4" w:tentative="0">
      <w:start w:val="1"/>
      <w:numFmt w:val="lowerLetter"/>
      <w:lvlText w:val="%5)"/>
      <w:lvlJc w:val="left"/>
      <w:pPr>
        <w:ind w:left="3904" w:hanging="420"/>
      </w:pPr>
    </w:lvl>
    <w:lvl w:ilvl="5" w:tentative="0">
      <w:start w:val="1"/>
      <w:numFmt w:val="lowerRoman"/>
      <w:lvlText w:val="%6."/>
      <w:lvlJc w:val="right"/>
      <w:pPr>
        <w:ind w:left="4324" w:hanging="420"/>
      </w:pPr>
    </w:lvl>
    <w:lvl w:ilvl="6" w:tentative="0">
      <w:start w:val="1"/>
      <w:numFmt w:val="decimal"/>
      <w:lvlText w:val="%7."/>
      <w:lvlJc w:val="left"/>
      <w:pPr>
        <w:ind w:left="4744" w:hanging="420"/>
      </w:pPr>
    </w:lvl>
    <w:lvl w:ilvl="7" w:tentative="0">
      <w:start w:val="1"/>
      <w:numFmt w:val="lowerLetter"/>
      <w:lvlText w:val="%8)"/>
      <w:lvlJc w:val="left"/>
      <w:pPr>
        <w:ind w:left="5164" w:hanging="420"/>
      </w:pPr>
    </w:lvl>
    <w:lvl w:ilvl="8" w:tentative="0">
      <w:start w:val="1"/>
      <w:numFmt w:val="lowerRoman"/>
      <w:lvlText w:val="%9."/>
      <w:lvlJc w:val="right"/>
      <w:pPr>
        <w:ind w:left="5584" w:hanging="420"/>
      </w:pPr>
    </w:lvl>
  </w:abstractNum>
  <w:abstractNum w:abstractNumId="43">
    <w:nsid w:val="3C3D3B5C"/>
    <w:multiLevelType w:val="multilevel"/>
    <w:tmpl w:val="3C3D3B5C"/>
    <w:lvl w:ilvl="0" w:tentative="0">
      <w:start w:val="1"/>
      <w:numFmt w:val="decimal"/>
      <w:lvlText w:val="3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F1972E5"/>
    <w:multiLevelType w:val="multilevel"/>
    <w:tmpl w:val="3F1972E5"/>
    <w:lvl w:ilvl="0" w:tentative="0">
      <w:start w:val="1"/>
      <w:numFmt w:val="decimal"/>
      <w:lvlText w:val="2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7">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8">
    <w:nsid w:val="4D737113"/>
    <w:multiLevelType w:val="multilevel"/>
    <w:tmpl w:val="4D73711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1">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7C6062B"/>
    <w:multiLevelType w:val="multilevel"/>
    <w:tmpl w:val="57C6062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92D6ABA"/>
    <w:multiLevelType w:val="multilevel"/>
    <w:tmpl w:val="592D6ABA"/>
    <w:lvl w:ilvl="0" w:tentative="0">
      <w:start w:val="1"/>
      <w:numFmt w:val="decimal"/>
      <w:lvlText w:val="2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9F817C2"/>
    <w:multiLevelType w:val="singleLevel"/>
    <w:tmpl w:val="59F817C2"/>
    <w:lvl w:ilvl="0" w:tentative="0">
      <w:start w:val="2"/>
      <w:numFmt w:val="chineseCounting"/>
      <w:suff w:val="space"/>
      <w:lvlText w:val="第%1章"/>
      <w:lvlJc w:val="left"/>
    </w:lvl>
  </w:abstractNum>
  <w:abstractNum w:abstractNumId="57">
    <w:nsid w:val="59F817E8"/>
    <w:multiLevelType w:val="singleLevel"/>
    <w:tmpl w:val="59F817E8"/>
    <w:lvl w:ilvl="0" w:tentative="0">
      <w:start w:val="1"/>
      <w:numFmt w:val="chineseCounting"/>
      <w:pStyle w:val="14"/>
      <w:suff w:val="nothing"/>
      <w:lvlText w:val="%1、"/>
      <w:lvlJc w:val="left"/>
    </w:lvl>
  </w:abstractNum>
  <w:abstractNum w:abstractNumId="58">
    <w:nsid w:val="5A7F763E"/>
    <w:multiLevelType w:val="multilevel"/>
    <w:tmpl w:val="5A7F763E"/>
    <w:lvl w:ilvl="0" w:tentative="0">
      <w:start w:val="1"/>
      <w:numFmt w:val="decimal"/>
      <w:lvlText w:val="23.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0">
    <w:nsid w:val="5CE93236"/>
    <w:multiLevelType w:val="multilevel"/>
    <w:tmpl w:val="5CE9323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5D252BDB"/>
    <w:multiLevelType w:val="multilevel"/>
    <w:tmpl w:val="5D252BD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5F8A045E"/>
    <w:multiLevelType w:val="multilevel"/>
    <w:tmpl w:val="5F8A045E"/>
    <w:lvl w:ilvl="0" w:tentative="0">
      <w:start w:val="3"/>
      <w:numFmt w:val="decimal"/>
      <w:lvlText w:val="29. %1 "/>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4">
    <w:nsid w:val="629D5AD2"/>
    <w:multiLevelType w:val="multilevel"/>
    <w:tmpl w:val="629D5AD2"/>
    <w:lvl w:ilvl="0" w:tentative="0">
      <w:start w:val="6"/>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3B2773F"/>
    <w:multiLevelType w:val="multilevel"/>
    <w:tmpl w:val="63B2773F"/>
    <w:lvl w:ilvl="0" w:tentative="0">
      <w:start w:val="1"/>
      <w:numFmt w:val="decimal"/>
      <w:lvlText w:val="23.3.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7">
    <w:nsid w:val="64B825E5"/>
    <w:multiLevelType w:val="multilevel"/>
    <w:tmpl w:val="64B825E5"/>
    <w:lvl w:ilvl="0" w:tentative="0">
      <w:start w:val="1"/>
      <w:numFmt w:val="decimal"/>
      <w:lvlText w:val="14.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654E26F6"/>
    <w:multiLevelType w:val="singleLevel"/>
    <w:tmpl w:val="654E26F6"/>
    <w:lvl w:ilvl="0" w:tentative="0">
      <w:start w:val="1"/>
      <w:numFmt w:val="decimal"/>
      <w:suff w:val="nothing"/>
      <w:lvlText w:val="%1、"/>
      <w:lvlJc w:val="left"/>
    </w:lvl>
  </w:abstractNum>
  <w:abstractNum w:abstractNumId="69">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67A97E62"/>
    <w:multiLevelType w:val="multilevel"/>
    <w:tmpl w:val="67A97E62"/>
    <w:lvl w:ilvl="0" w:tentative="0">
      <w:start w:val="1"/>
      <w:numFmt w:val="decimal"/>
      <w:lvlText w:val="37.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71">
    <w:nsid w:val="67DF1A01"/>
    <w:multiLevelType w:val="multilevel"/>
    <w:tmpl w:val="67DF1A01"/>
    <w:lvl w:ilvl="0" w:tentative="0">
      <w:start w:val="33"/>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6">
    <w:nsid w:val="6B3B0B9F"/>
    <w:multiLevelType w:val="multilevel"/>
    <w:tmpl w:val="6B3B0B9F"/>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7">
    <w:nsid w:val="6D0761D3"/>
    <w:multiLevelType w:val="multilevel"/>
    <w:tmpl w:val="6D0761D3"/>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9">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1">
    <w:nsid w:val="74040328"/>
    <w:multiLevelType w:val="multilevel"/>
    <w:tmpl w:val="74040328"/>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2">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3">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84">
    <w:nsid w:val="76C52B98"/>
    <w:multiLevelType w:val="multilevel"/>
    <w:tmpl w:val="76C52B98"/>
    <w:lvl w:ilvl="0" w:tentative="0">
      <w:start w:val="1"/>
      <w:numFmt w:val="decimal"/>
      <w:lvlText w:val="25.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85">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8">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9">
    <w:nsid w:val="7A2D5B57"/>
    <w:multiLevelType w:val="multilevel"/>
    <w:tmpl w:val="7A2D5B57"/>
    <w:lvl w:ilvl="0" w:tentative="0">
      <w:start w:val="1"/>
      <w:numFmt w:val="decimal"/>
      <w:lvlText w:val="31.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7DFC0FFB"/>
    <w:multiLevelType w:val="multilevel"/>
    <w:tmpl w:val="7DFC0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7E7C3341"/>
    <w:multiLevelType w:val="multilevel"/>
    <w:tmpl w:val="7E7C3341"/>
    <w:lvl w:ilvl="0" w:tentative="0">
      <w:start w:val="1"/>
      <w:numFmt w:val="decimal"/>
      <w:lvlText w:val="31.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57"/>
  </w:num>
  <w:num w:numId="2">
    <w:abstractNumId w:val="1"/>
  </w:num>
  <w:num w:numId="3">
    <w:abstractNumId w:val="68"/>
  </w:num>
  <w:num w:numId="4">
    <w:abstractNumId w:val="15"/>
  </w:num>
  <w:num w:numId="5">
    <w:abstractNumId w:val="12"/>
  </w:num>
  <w:num w:numId="6">
    <w:abstractNumId w:val="47"/>
  </w:num>
  <w:num w:numId="7">
    <w:abstractNumId w:val="62"/>
  </w:num>
  <w:num w:numId="8">
    <w:abstractNumId w:val="85"/>
  </w:num>
  <w:num w:numId="9">
    <w:abstractNumId w:val="90"/>
  </w:num>
  <w:num w:numId="10">
    <w:abstractNumId w:val="45"/>
  </w:num>
  <w:num w:numId="11">
    <w:abstractNumId w:val="51"/>
  </w:num>
  <w:num w:numId="12">
    <w:abstractNumId w:val="53"/>
  </w:num>
  <w:num w:numId="13">
    <w:abstractNumId w:val="79"/>
  </w:num>
  <w:num w:numId="14">
    <w:abstractNumId w:val="39"/>
  </w:num>
  <w:num w:numId="15">
    <w:abstractNumId w:val="56"/>
  </w:num>
  <w:num w:numId="16">
    <w:abstractNumId w:val="61"/>
  </w:num>
  <w:num w:numId="17">
    <w:abstractNumId w:val="32"/>
  </w:num>
  <w:num w:numId="18">
    <w:abstractNumId w:val="35"/>
  </w:num>
  <w:num w:numId="19">
    <w:abstractNumId w:val="6"/>
  </w:num>
  <w:num w:numId="20">
    <w:abstractNumId w:val="60"/>
  </w:num>
  <w:num w:numId="21">
    <w:abstractNumId w:val="64"/>
  </w:num>
  <w:num w:numId="22">
    <w:abstractNumId w:val="9"/>
  </w:num>
  <w:num w:numId="23">
    <w:abstractNumId w:val="54"/>
  </w:num>
  <w:num w:numId="24">
    <w:abstractNumId w:val="26"/>
  </w:num>
  <w:num w:numId="25">
    <w:abstractNumId w:val="77"/>
  </w:num>
  <w:num w:numId="26">
    <w:abstractNumId w:val="91"/>
  </w:num>
  <w:num w:numId="27">
    <w:abstractNumId w:val="14"/>
  </w:num>
  <w:num w:numId="28">
    <w:abstractNumId w:val="23"/>
  </w:num>
  <w:num w:numId="29">
    <w:abstractNumId w:val="73"/>
  </w:num>
  <w:num w:numId="30">
    <w:abstractNumId w:val="88"/>
  </w:num>
  <w:num w:numId="31">
    <w:abstractNumId w:val="87"/>
  </w:num>
  <w:num w:numId="32">
    <w:abstractNumId w:val="72"/>
  </w:num>
  <w:num w:numId="33">
    <w:abstractNumId w:val="33"/>
  </w:num>
  <w:num w:numId="34">
    <w:abstractNumId w:val="25"/>
  </w:num>
  <w:num w:numId="35">
    <w:abstractNumId w:val="75"/>
  </w:num>
  <w:num w:numId="36">
    <w:abstractNumId w:val="65"/>
  </w:num>
  <w:num w:numId="37">
    <w:abstractNumId w:val="86"/>
  </w:num>
  <w:num w:numId="38">
    <w:abstractNumId w:val="49"/>
  </w:num>
  <w:num w:numId="39">
    <w:abstractNumId w:val="18"/>
  </w:num>
  <w:num w:numId="40">
    <w:abstractNumId w:val="22"/>
  </w:num>
  <w:num w:numId="41">
    <w:abstractNumId w:val="52"/>
  </w:num>
  <w:num w:numId="42">
    <w:abstractNumId w:val="10"/>
  </w:num>
  <w:num w:numId="43">
    <w:abstractNumId w:val="30"/>
  </w:num>
  <w:num w:numId="44">
    <w:abstractNumId w:val="67"/>
  </w:num>
  <w:num w:numId="45">
    <w:abstractNumId w:val="4"/>
  </w:num>
  <w:num w:numId="46">
    <w:abstractNumId w:val="82"/>
  </w:num>
  <w:num w:numId="47">
    <w:abstractNumId w:val="17"/>
  </w:num>
  <w:num w:numId="48">
    <w:abstractNumId w:val="37"/>
  </w:num>
  <w:num w:numId="49">
    <w:abstractNumId w:val="19"/>
  </w:num>
  <w:num w:numId="50">
    <w:abstractNumId w:val="42"/>
  </w:num>
  <w:num w:numId="51">
    <w:abstractNumId w:val="28"/>
  </w:num>
  <w:num w:numId="52">
    <w:abstractNumId w:val="58"/>
  </w:num>
  <w:num w:numId="53">
    <w:abstractNumId w:val="66"/>
  </w:num>
  <w:num w:numId="54">
    <w:abstractNumId w:val="44"/>
  </w:num>
  <w:num w:numId="55">
    <w:abstractNumId w:val="84"/>
  </w:num>
  <w:num w:numId="56">
    <w:abstractNumId w:val="80"/>
  </w:num>
  <w:num w:numId="57">
    <w:abstractNumId w:val="31"/>
  </w:num>
  <w:num w:numId="58">
    <w:abstractNumId w:val="3"/>
  </w:num>
  <w:num w:numId="59">
    <w:abstractNumId w:val="20"/>
  </w:num>
  <w:num w:numId="60">
    <w:abstractNumId w:val="16"/>
  </w:num>
  <w:num w:numId="61">
    <w:abstractNumId w:val="21"/>
  </w:num>
  <w:num w:numId="62">
    <w:abstractNumId w:val="55"/>
  </w:num>
  <w:num w:numId="63">
    <w:abstractNumId w:val="74"/>
  </w:num>
  <w:num w:numId="64">
    <w:abstractNumId w:val="41"/>
  </w:num>
  <w:num w:numId="65">
    <w:abstractNumId w:val="69"/>
  </w:num>
  <w:num w:numId="66">
    <w:abstractNumId w:val="38"/>
  </w:num>
  <w:num w:numId="67">
    <w:abstractNumId w:val="50"/>
  </w:num>
  <w:num w:numId="68">
    <w:abstractNumId w:val="78"/>
  </w:num>
  <w:num w:numId="69">
    <w:abstractNumId w:val="59"/>
  </w:num>
  <w:num w:numId="70">
    <w:abstractNumId w:val="40"/>
  </w:num>
  <w:num w:numId="71">
    <w:abstractNumId w:val="24"/>
  </w:num>
  <w:num w:numId="72">
    <w:abstractNumId w:val="29"/>
  </w:num>
  <w:num w:numId="73">
    <w:abstractNumId w:val="83"/>
  </w:num>
  <w:num w:numId="74">
    <w:abstractNumId w:val="63"/>
  </w:num>
  <w:num w:numId="75">
    <w:abstractNumId w:val="81"/>
  </w:num>
  <w:num w:numId="76">
    <w:abstractNumId w:val="36"/>
  </w:num>
  <w:num w:numId="77">
    <w:abstractNumId w:val="48"/>
  </w:num>
  <w:num w:numId="78">
    <w:abstractNumId w:val="76"/>
  </w:num>
  <w:num w:numId="79">
    <w:abstractNumId w:val="7"/>
  </w:num>
  <w:num w:numId="80">
    <w:abstractNumId w:val="89"/>
  </w:num>
  <w:num w:numId="81">
    <w:abstractNumId w:val="92"/>
  </w:num>
  <w:num w:numId="82">
    <w:abstractNumId w:val="43"/>
  </w:num>
  <w:num w:numId="83">
    <w:abstractNumId w:val="8"/>
  </w:num>
  <w:num w:numId="84">
    <w:abstractNumId w:val="2"/>
  </w:num>
  <w:num w:numId="85">
    <w:abstractNumId w:val="71"/>
  </w:num>
  <w:num w:numId="86">
    <w:abstractNumId w:val="5"/>
  </w:num>
  <w:num w:numId="87">
    <w:abstractNumId w:val="27"/>
  </w:num>
  <w:num w:numId="88">
    <w:abstractNumId w:val="11"/>
  </w:num>
  <w:num w:numId="89">
    <w:abstractNumId w:val="70"/>
  </w:num>
  <w:num w:numId="90">
    <w:abstractNumId w:val="34"/>
  </w:num>
  <w:num w:numId="91">
    <w:abstractNumId w:val="46"/>
  </w:num>
  <w:num w:numId="92">
    <w:abstractNumId w:val="0"/>
  </w:num>
  <w:num w:numId="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zODExMWRmOTU4YTJkNDYyMTQwMDZkZjczZDgyYTIifQ=="/>
  </w:docVars>
  <w:rsids>
    <w:rsidRoot w:val="000A422E"/>
    <w:rsid w:val="00025D63"/>
    <w:rsid w:val="0004203E"/>
    <w:rsid w:val="000A422E"/>
    <w:rsid w:val="000D73CC"/>
    <w:rsid w:val="001D724B"/>
    <w:rsid w:val="001E1E0E"/>
    <w:rsid w:val="001E67AF"/>
    <w:rsid w:val="002455F2"/>
    <w:rsid w:val="002857CD"/>
    <w:rsid w:val="002A5B4E"/>
    <w:rsid w:val="002C6A09"/>
    <w:rsid w:val="002F22B9"/>
    <w:rsid w:val="00375B03"/>
    <w:rsid w:val="003C7E9D"/>
    <w:rsid w:val="003E79DF"/>
    <w:rsid w:val="003F5BFB"/>
    <w:rsid w:val="00434CAD"/>
    <w:rsid w:val="00480717"/>
    <w:rsid w:val="00497211"/>
    <w:rsid w:val="004A1A0F"/>
    <w:rsid w:val="00513E70"/>
    <w:rsid w:val="005232A7"/>
    <w:rsid w:val="0067321F"/>
    <w:rsid w:val="006830D6"/>
    <w:rsid w:val="00684B0B"/>
    <w:rsid w:val="006C233C"/>
    <w:rsid w:val="00731151"/>
    <w:rsid w:val="00756DF7"/>
    <w:rsid w:val="00853F2F"/>
    <w:rsid w:val="00863E37"/>
    <w:rsid w:val="00864B37"/>
    <w:rsid w:val="00892F2D"/>
    <w:rsid w:val="008C26AE"/>
    <w:rsid w:val="008D54C2"/>
    <w:rsid w:val="008F23FA"/>
    <w:rsid w:val="00940106"/>
    <w:rsid w:val="009D2FD4"/>
    <w:rsid w:val="00A77F03"/>
    <w:rsid w:val="00AE10ED"/>
    <w:rsid w:val="00B00361"/>
    <w:rsid w:val="00B57776"/>
    <w:rsid w:val="00BB579F"/>
    <w:rsid w:val="00BE37D7"/>
    <w:rsid w:val="00BE6FB1"/>
    <w:rsid w:val="00C07B97"/>
    <w:rsid w:val="00C10CA3"/>
    <w:rsid w:val="00C24FC4"/>
    <w:rsid w:val="00C81379"/>
    <w:rsid w:val="00DB05CC"/>
    <w:rsid w:val="00DC6CAE"/>
    <w:rsid w:val="00E00866"/>
    <w:rsid w:val="00E95F7A"/>
    <w:rsid w:val="00F35205"/>
    <w:rsid w:val="00FD49E3"/>
    <w:rsid w:val="027D2680"/>
    <w:rsid w:val="08364A1F"/>
    <w:rsid w:val="09CB6DEC"/>
    <w:rsid w:val="0B473F7A"/>
    <w:rsid w:val="0BFE4671"/>
    <w:rsid w:val="0F7C2CF7"/>
    <w:rsid w:val="150463EA"/>
    <w:rsid w:val="16922E00"/>
    <w:rsid w:val="16976668"/>
    <w:rsid w:val="179D1845"/>
    <w:rsid w:val="18910ECB"/>
    <w:rsid w:val="1E0343C5"/>
    <w:rsid w:val="1F122D30"/>
    <w:rsid w:val="1FF468DA"/>
    <w:rsid w:val="22A97407"/>
    <w:rsid w:val="22CF0F38"/>
    <w:rsid w:val="258C3110"/>
    <w:rsid w:val="2AE220D0"/>
    <w:rsid w:val="332112FE"/>
    <w:rsid w:val="33424F22"/>
    <w:rsid w:val="335A2D4A"/>
    <w:rsid w:val="343F2879"/>
    <w:rsid w:val="36B50719"/>
    <w:rsid w:val="36E36908"/>
    <w:rsid w:val="39CD2122"/>
    <w:rsid w:val="3D6A2BB3"/>
    <w:rsid w:val="408530DC"/>
    <w:rsid w:val="41904802"/>
    <w:rsid w:val="44702030"/>
    <w:rsid w:val="45561319"/>
    <w:rsid w:val="45645715"/>
    <w:rsid w:val="47EB1BDC"/>
    <w:rsid w:val="484D6779"/>
    <w:rsid w:val="49D9424A"/>
    <w:rsid w:val="4BDA206F"/>
    <w:rsid w:val="519F1952"/>
    <w:rsid w:val="543C792C"/>
    <w:rsid w:val="57A51C8C"/>
    <w:rsid w:val="5CBD7121"/>
    <w:rsid w:val="5D883BE2"/>
    <w:rsid w:val="5F851915"/>
    <w:rsid w:val="61995A39"/>
    <w:rsid w:val="63F77A34"/>
    <w:rsid w:val="67ED4031"/>
    <w:rsid w:val="70C40F7D"/>
    <w:rsid w:val="74D807F5"/>
    <w:rsid w:val="750162FC"/>
    <w:rsid w:val="75371779"/>
    <w:rsid w:val="761A74FF"/>
    <w:rsid w:val="77334767"/>
    <w:rsid w:val="7CAF130B"/>
    <w:rsid w:val="7EBF3A72"/>
    <w:rsid w:val="7EED2764"/>
    <w:rsid w:val="7FC066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3">
    <w:name w:val="caption"/>
    <w:basedOn w:val="1"/>
    <w:next w:val="1"/>
    <w:qFormat/>
    <w:uiPriority w:val="0"/>
    <w:rPr>
      <w:rFonts w:ascii="Arial" w:hAnsi="Arial" w:eastAsia="黑体" w:cs="Arial"/>
      <w:sz w:val="20"/>
      <w:szCs w:val="20"/>
    </w:rPr>
  </w:style>
  <w:style w:type="paragraph" w:styleId="4">
    <w:name w:val="Body Text"/>
    <w:basedOn w:val="1"/>
    <w:link w:val="20"/>
    <w:unhideWhenUsed/>
    <w:qFormat/>
    <w:uiPriority w:val="99"/>
    <w:pPr>
      <w:spacing w:after="120"/>
    </w:pPr>
  </w:style>
  <w:style w:type="paragraph" w:styleId="5">
    <w:name w:val="Plain Text"/>
    <w:basedOn w:val="1"/>
    <w:link w:val="19"/>
    <w:qFormat/>
    <w:uiPriority w:val="0"/>
    <w:rPr>
      <w:rFonts w:eastAsia="宋体"/>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rFonts w:ascii="Calibri" w:hAnsi="Calibri" w:eastAsia="宋体" w:cs="Times New Roman"/>
      <w:sz w:val="24"/>
      <w:szCs w:val="24"/>
    </w:rPr>
  </w:style>
  <w:style w:type="character" w:styleId="11">
    <w:name w:val="Hyperlink"/>
    <w:basedOn w:val="10"/>
    <w:unhideWhenUsed/>
    <w:qFormat/>
    <w:uiPriority w:val="0"/>
    <w:rPr>
      <w:color w:val="0000FF"/>
      <w:u w:val="single"/>
    </w:rPr>
  </w:style>
  <w:style w:type="paragraph" w:customStyle="1" w:styleId="12">
    <w:name w:val="*正文"/>
    <w:basedOn w:val="1"/>
    <w:qFormat/>
    <w:uiPriority w:val="0"/>
    <w:pPr>
      <w:keepNext/>
      <w:keepLines/>
      <w:spacing w:line="360" w:lineRule="auto"/>
      <w:ind w:firstLine="200" w:firstLineChars="200"/>
    </w:pPr>
    <w:rPr>
      <w:rFonts w:ascii="宋体" w:hAnsi="宋体"/>
    </w:rPr>
  </w:style>
  <w:style w:type="paragraph" w:styleId="13">
    <w:name w:val="List Paragraph"/>
    <w:basedOn w:val="1"/>
    <w:unhideWhenUsed/>
    <w:qFormat/>
    <w:uiPriority w:val="99"/>
    <w:pPr>
      <w:ind w:firstLine="420" w:firstLineChars="200"/>
    </w:pPr>
  </w:style>
  <w:style w:type="paragraph" w:customStyle="1" w:styleId="14">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5">
    <w:name w:val="正文文本缩进1"/>
    <w:basedOn w:val="1"/>
    <w:link w:val="25"/>
    <w:qFormat/>
    <w:uiPriority w:val="0"/>
    <w:pPr>
      <w:spacing w:line="360" w:lineRule="auto"/>
      <w:ind w:firstLine="480" w:firstLineChars="200"/>
    </w:pPr>
    <w:rPr>
      <w:rFonts w:ascii="宋体"/>
      <w:sz w:val="24"/>
    </w:rPr>
  </w:style>
  <w:style w:type="paragraph" w:customStyle="1" w:styleId="1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7">
    <w:name w:val="日期1"/>
    <w:basedOn w:val="1"/>
    <w:next w:val="1"/>
    <w:link w:val="26"/>
    <w:qFormat/>
    <w:uiPriority w:val="0"/>
    <w:rPr>
      <w:sz w:val="24"/>
    </w:rPr>
  </w:style>
  <w:style w:type="character" w:customStyle="1" w:styleId="18">
    <w:name w:val="页眉 Char"/>
    <w:basedOn w:val="10"/>
    <w:link w:val="7"/>
    <w:qFormat/>
    <w:uiPriority w:val="0"/>
    <w:rPr>
      <w:kern w:val="2"/>
      <w:sz w:val="18"/>
      <w:szCs w:val="18"/>
    </w:rPr>
  </w:style>
  <w:style w:type="character" w:customStyle="1" w:styleId="19">
    <w:name w:val="纯文本 Char"/>
    <w:basedOn w:val="10"/>
    <w:link w:val="5"/>
    <w:qFormat/>
    <w:uiPriority w:val="0"/>
    <w:rPr>
      <w:rFonts w:eastAsia="宋体"/>
      <w:kern w:val="2"/>
      <w:sz w:val="24"/>
      <w:szCs w:val="22"/>
    </w:rPr>
  </w:style>
  <w:style w:type="character" w:customStyle="1" w:styleId="20">
    <w:name w:val="正文文本 Char"/>
    <w:basedOn w:val="10"/>
    <w:link w:val="4"/>
    <w:qFormat/>
    <w:uiPriority w:val="99"/>
    <w:rPr>
      <w:kern w:val="2"/>
      <w:sz w:val="21"/>
      <w:szCs w:val="22"/>
    </w:rPr>
  </w:style>
  <w:style w:type="character" w:customStyle="1" w:styleId="21">
    <w:name w:val="NormalCharacter"/>
    <w:qFormat/>
    <w:uiPriority w:val="0"/>
  </w:style>
  <w:style w:type="paragraph" w:customStyle="1" w:styleId="22">
    <w:name w:val="UserStyle_0"/>
    <w:next w:val="1"/>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3">
    <w:name w:val="HtmlNormal"/>
    <w:basedOn w:val="1"/>
    <w:qFormat/>
    <w:uiPriority w:val="0"/>
    <w:pPr>
      <w:widowControl/>
      <w:spacing w:before="100" w:beforeAutospacing="1" w:after="100" w:afterAutospacing="1"/>
      <w:jc w:val="left"/>
      <w:textAlignment w:val="baseline"/>
    </w:pPr>
    <w:rPr>
      <w:rFonts w:ascii="宋体" w:hAnsi="宋体" w:eastAsia="仿宋_GB2312" w:cs="Times New Roman"/>
      <w:kern w:val="0"/>
      <w:sz w:val="24"/>
      <w:szCs w:val="24"/>
    </w:rPr>
  </w:style>
  <w:style w:type="paragraph" w:customStyle="1" w:styleId="24">
    <w:name w:val="列出段落1"/>
    <w:basedOn w:val="1"/>
    <w:qFormat/>
    <w:uiPriority w:val="99"/>
    <w:pPr>
      <w:ind w:firstLine="420" w:firstLineChars="200"/>
    </w:pPr>
  </w:style>
  <w:style w:type="character" w:customStyle="1" w:styleId="25">
    <w:name w:val="正文文本缩进 Char Char"/>
    <w:link w:val="15"/>
    <w:qFormat/>
    <w:uiPriority w:val="0"/>
    <w:rPr>
      <w:rFonts w:ascii="宋体"/>
      <w:kern w:val="2"/>
      <w:sz w:val="24"/>
      <w:szCs w:val="22"/>
    </w:rPr>
  </w:style>
  <w:style w:type="character" w:customStyle="1" w:styleId="26">
    <w:name w:val="日期 Char Char"/>
    <w:link w:val="17"/>
    <w:qFormat/>
    <w:uiPriority w:val="0"/>
    <w:rPr>
      <w:kern w:val="2"/>
      <w:sz w:val="24"/>
      <w:szCs w:val="22"/>
    </w:rPr>
  </w:style>
  <w:style w:type="paragraph" w:customStyle="1" w:styleId="27">
    <w:name w:val="无间隔1"/>
    <w:qFormat/>
    <w:uiPriority w:val="1"/>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33318</Words>
  <Characters>35014</Characters>
  <Lines>313</Lines>
  <Paragraphs>88</Paragraphs>
  <TotalTime>1</TotalTime>
  <ScaleCrop>false</ScaleCrop>
  <LinksUpToDate>false</LinksUpToDate>
  <CharactersWithSpaces>35755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2022-12-05T08:39:00Z</dcterms:created>
  <dc:creator>Administrator</dc:creator>
  <cp:lastModifiedBy>dell</cp:lastModifiedBy>
  <cp:lastPrinted>2023-07-28T03:58:00Z</cp:lastPrinted>
  <dcterms:modified xsi:type="dcterms:W3CDTF">2023-07-31T01:17:33Z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80E25840D5904C01879BA0A2081FA760</vt:lpwstr>
  </property>
</Properties>
</file>