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color w:val="auto"/>
          <w:sz w:val="32"/>
          <w:szCs w:val="32"/>
          <w:lang w:val="en-US" w:eastAsia="zh-CN"/>
        </w:rPr>
        <w:t>YZCG-DLG2023055</w:t>
      </w:r>
      <w:r>
        <w:rPr>
          <w:rFonts w:hint="eastAsia" w:hAnsi="宋体"/>
          <w:color w:val="auto"/>
          <w:szCs w:val="21"/>
          <w:lang w:val="en-US" w:eastAsia="zh-CN"/>
        </w:rPr>
        <w:t xml:space="preserve"> </w:t>
      </w:r>
      <w:r>
        <w:rPr>
          <w:rFonts w:hint="eastAsia" w:hAnsi="宋体"/>
          <w:b/>
          <w:bCs/>
          <w:color w:val="auto"/>
          <w:sz w:val="32"/>
          <w:szCs w:val="32"/>
          <w:lang w:eastAsia="zh-CN"/>
        </w:rPr>
        <w:t>禹州市公安局购置看守所监室门、床及审讯椅项目</w:t>
      </w:r>
      <w:r>
        <w:rPr>
          <w:rFonts w:hint="eastAsia" w:ascii="宋体" w:hAnsi="宋体" w:cs="宋体"/>
          <w:b/>
          <w:color w:val="auto"/>
          <w:sz w:val="32"/>
          <w:szCs w:val="32"/>
        </w:rPr>
        <w:t>（不见面开标）评标</w:t>
      </w:r>
      <w:r>
        <w:rPr>
          <w:rFonts w:hint="eastAsia" w:ascii="宋体" w:hAnsi="宋体" w:cs="宋体"/>
          <w:b/>
          <w:color w:val="auto"/>
          <w:sz w:val="32"/>
          <w:szCs w:val="32"/>
          <w:lang w:eastAsia="zh-CN"/>
        </w:rPr>
        <w:t>公示</w:t>
      </w:r>
    </w:p>
    <w:p>
      <w:pPr>
        <w:spacing w:line="360" w:lineRule="auto"/>
        <w:rPr>
          <w:rFonts w:ascii="宋体" w:hAnsi="宋体" w:cs="宋体"/>
          <w:bCs/>
          <w:color w:val="auto"/>
          <w:sz w:val="24"/>
          <w:szCs w:val="24"/>
        </w:rPr>
      </w:pPr>
      <w:r>
        <w:rPr>
          <w:rFonts w:hint="eastAsia" w:ascii="宋体" w:hAnsi="宋体" w:cs="宋体"/>
          <w:bCs/>
          <w:color w:val="auto"/>
          <w:sz w:val="24"/>
          <w:szCs w:val="24"/>
        </w:rPr>
        <w:t>一、项目概况</w:t>
      </w:r>
    </w:p>
    <w:p>
      <w:pPr>
        <w:spacing w:line="360" w:lineRule="auto"/>
        <w:jc w:val="left"/>
        <w:rPr>
          <w:rFonts w:hint="eastAsia" w:ascii="宋体" w:hAnsi="宋体" w:eastAsia="宋体" w:cs="宋体"/>
          <w:b/>
          <w:bCs/>
          <w:color w:val="auto"/>
          <w:kern w:val="0"/>
          <w:sz w:val="24"/>
          <w:szCs w:val="24"/>
          <w:lang w:eastAsia="zh-CN"/>
        </w:rPr>
      </w:pPr>
      <w:r>
        <w:rPr>
          <w:rFonts w:hint="eastAsia" w:ascii="宋体" w:hAnsi="宋体" w:cs="宋体"/>
          <w:bCs/>
          <w:color w:val="auto"/>
          <w:sz w:val="24"/>
          <w:szCs w:val="24"/>
        </w:rPr>
        <w:t xml:space="preserve">    （1）项目名称：</w:t>
      </w:r>
      <w:r>
        <w:rPr>
          <w:rFonts w:hint="eastAsia" w:hAnsi="宋体"/>
          <w:color w:val="auto"/>
          <w:sz w:val="24"/>
          <w:szCs w:val="24"/>
          <w:lang w:eastAsia="zh-CN"/>
        </w:rPr>
        <w:t>禹州市公安局购置看守所监室门、床及审讯椅项目</w:t>
      </w:r>
    </w:p>
    <w:p>
      <w:pPr>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（2）采购编号：</w:t>
      </w:r>
      <w:r>
        <w:rPr>
          <w:rFonts w:hint="eastAsia" w:ascii="宋体" w:hAnsi="宋体" w:cs="宋体"/>
          <w:bCs/>
          <w:color w:val="auto"/>
          <w:sz w:val="24"/>
          <w:szCs w:val="24"/>
          <w:lang w:val="en-US" w:eastAsia="zh-CN"/>
        </w:rPr>
        <w:t>YZCG</w:t>
      </w:r>
      <w:r>
        <w:rPr>
          <w:rFonts w:hint="eastAsia" w:ascii="宋体" w:hAnsi="宋体" w:cs="宋体"/>
          <w:bCs/>
          <w:color w:val="auto"/>
          <w:sz w:val="24"/>
          <w:szCs w:val="24"/>
        </w:rPr>
        <w:t>-</w:t>
      </w:r>
      <w:r>
        <w:rPr>
          <w:rFonts w:hint="eastAsia" w:ascii="宋体" w:hAnsi="宋体" w:cs="宋体"/>
          <w:bCs/>
          <w:color w:val="auto"/>
          <w:sz w:val="24"/>
          <w:szCs w:val="24"/>
          <w:lang w:val="en-US" w:eastAsia="zh-CN"/>
        </w:rPr>
        <w:t>DLG</w:t>
      </w:r>
      <w:r>
        <w:rPr>
          <w:rFonts w:hint="eastAsia" w:ascii="宋体" w:hAnsi="宋体" w:cs="宋体"/>
          <w:bCs/>
          <w:color w:val="auto"/>
          <w:sz w:val="24"/>
          <w:szCs w:val="24"/>
        </w:rPr>
        <w:t>2023055</w:t>
      </w:r>
    </w:p>
    <w:p>
      <w:pPr>
        <w:widowControl/>
        <w:ind w:firstLine="480" w:firstLineChars="200"/>
        <w:jc w:val="both"/>
        <w:textAlignment w:val="center"/>
        <w:rPr>
          <w:rFonts w:ascii="宋体" w:hAnsi="宋体" w:cs="宋体"/>
          <w:color w:val="auto"/>
          <w:sz w:val="24"/>
          <w:szCs w:val="24"/>
        </w:rPr>
      </w:pPr>
      <w:r>
        <w:rPr>
          <w:rFonts w:hint="eastAsia" w:ascii="宋体" w:hAnsi="宋体" w:cs="宋体"/>
          <w:color w:val="auto"/>
          <w:sz w:val="24"/>
          <w:szCs w:val="24"/>
        </w:rPr>
        <w:t>（3）招标公告发布日期：202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（4）开标时间：202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cs="宋体"/>
          <w:color w:val="auto"/>
          <w:sz w:val="24"/>
          <w:szCs w:val="24"/>
        </w:rPr>
        <w:t>日</w:t>
      </w:r>
      <w:r>
        <w:rPr>
          <w:rFonts w:hint="eastAsia" w:ascii="宋体" w:hAnsi="宋体" w:cs="宋体"/>
          <w:color w:val="auto"/>
          <w:sz w:val="24"/>
          <w:szCs w:val="24"/>
          <w:lang w:val="en-US" w:eastAsia="zh-CN"/>
        </w:rPr>
        <w:t>8</w:t>
      </w:r>
      <w:r>
        <w:rPr>
          <w:rFonts w:hint="eastAsia" w:ascii="宋体" w:hAnsi="宋体" w:cs="宋体"/>
          <w:color w:val="auto"/>
          <w:sz w:val="24"/>
          <w:szCs w:val="24"/>
        </w:rPr>
        <w:t>：30时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（5）招标方式：公开招标</w:t>
      </w:r>
    </w:p>
    <w:p>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（6）采购限价:</w:t>
      </w:r>
      <w:r>
        <w:rPr>
          <w:rFonts w:hint="eastAsia" w:ascii="宋体" w:hAnsi="宋体" w:cs="宋体"/>
          <w:color w:val="auto"/>
          <w:sz w:val="24"/>
          <w:szCs w:val="24"/>
          <w:lang w:eastAsia="zh-CN"/>
        </w:rPr>
        <w:t>2212158.77元</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（7）评标办法：综合评分法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（8）资格审查方式：资格后审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（9）招标公告刊登的媒体：《河南省政府采购网》、《许昌市政府采购网》、《全国公共资源交易平台（河南省·许昌市）》。</w:t>
      </w:r>
    </w:p>
    <w:p>
      <w:pPr>
        <w:spacing w:line="360" w:lineRule="auto"/>
        <w:rPr>
          <w:rFonts w:hint="eastAsia" w:ascii="宋体" w:hAnsi="宋体" w:cs="宋体"/>
          <w:color w:val="auto"/>
          <w:sz w:val="24"/>
          <w:szCs w:val="24"/>
        </w:rPr>
      </w:pPr>
      <w:r>
        <w:rPr>
          <w:rFonts w:hint="eastAsia" w:ascii="宋体" w:hAnsi="宋体" w:cs="宋体"/>
          <w:color w:val="auto"/>
          <w:sz w:val="24"/>
          <w:szCs w:val="24"/>
        </w:rPr>
        <w:t>二、开标记录及投标报价</w:t>
      </w:r>
    </w:p>
    <w:tbl>
      <w:tblPr>
        <w:tblStyle w:val="13"/>
        <w:tblW w:w="95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47"/>
        <w:gridCol w:w="18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14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供应商</w:t>
            </w:r>
          </w:p>
        </w:tc>
        <w:tc>
          <w:tcPr>
            <w:tcW w:w="184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投标报价（元）</w:t>
            </w:r>
          </w:p>
        </w:tc>
        <w:tc>
          <w:tcPr>
            <w:tcW w:w="2685"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4147" w:type="dxa"/>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云南三创安防工程有限公司</w:t>
            </w:r>
          </w:p>
        </w:tc>
        <w:tc>
          <w:tcPr>
            <w:tcW w:w="184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2212116.34</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4147" w:type="dxa"/>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丹阳市江海安全设备实业有限公司</w:t>
            </w:r>
          </w:p>
        </w:tc>
        <w:tc>
          <w:tcPr>
            <w:tcW w:w="184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1962893</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4147" w:type="dxa"/>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广西乐邦门窗科技有限公司</w:t>
            </w:r>
          </w:p>
        </w:tc>
        <w:tc>
          <w:tcPr>
            <w:tcW w:w="184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2212116.65</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南京麒麟电动门制造有限公司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2212147.98</w:t>
            </w:r>
          </w:p>
        </w:tc>
        <w:tc>
          <w:tcPr>
            <w:tcW w:w="2685" w:type="dxa"/>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淮北科悦门业有限公司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2212001.17</w:t>
            </w:r>
          </w:p>
        </w:tc>
        <w:tc>
          <w:tcPr>
            <w:tcW w:w="2685" w:type="dxa"/>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烟台旭天警用器材有限公司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2194719.47</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河南俊雅电子科技有限公司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1939109.23</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8</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云南旭达安防工程有限公司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1968917.04</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4147"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靖江市悦达安防设备有限公司</w:t>
            </w:r>
          </w:p>
        </w:tc>
        <w:tc>
          <w:tcPr>
            <w:tcW w:w="1845"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1917981.82</w:t>
            </w:r>
          </w:p>
        </w:tc>
        <w:tc>
          <w:tcPr>
            <w:tcW w:w="2685" w:type="dxa"/>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bl>
    <w:p>
      <w:pPr>
        <w:pStyle w:val="23"/>
        <w:ind w:left="0" w:leftChars="0" w:firstLine="0" w:firstLineChars="0"/>
        <w:rPr>
          <w:color w:val="auto"/>
        </w:rPr>
      </w:pPr>
    </w:p>
    <w:p>
      <w:pPr>
        <w:numPr>
          <w:ilvl w:val="0"/>
          <w:numId w:val="1"/>
        </w:numPr>
        <w:spacing w:line="360" w:lineRule="auto"/>
        <w:rPr>
          <w:color w:val="auto"/>
        </w:rPr>
      </w:pPr>
      <w:r>
        <w:rPr>
          <w:rFonts w:hint="eastAsia" w:ascii="宋体" w:hAnsi="宋体" w:cs="宋体"/>
          <w:color w:val="auto"/>
          <w:sz w:val="24"/>
          <w:szCs w:val="24"/>
        </w:rPr>
        <w:t>资格审查情况</w:t>
      </w:r>
    </w:p>
    <w:tbl>
      <w:tblPr>
        <w:tblStyle w:val="13"/>
        <w:tblW w:w="95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云南三创安防工程有限公司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丹阳市江海安全设备实业有限公司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广西乐邦门窗科技有限公司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南京麒麟电动门制造有限公司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淮北科悦门业有限公司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烟台旭天警用器材有限公司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河南俊雅电子科技有限公司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云南旭达安防工程有限公司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7829" w:type="dxa"/>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靖江市悦达安防设备有限公司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7829"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无</w:t>
            </w:r>
          </w:p>
        </w:tc>
      </w:tr>
    </w:tbl>
    <w:p>
      <w:pPr>
        <w:pStyle w:val="2"/>
        <w:ind w:left="0" w:leftChars="0" w:firstLine="0" w:firstLineChars="0"/>
        <w:rPr>
          <w:color w:val="auto"/>
        </w:rPr>
      </w:pPr>
    </w:p>
    <w:p>
      <w:pPr>
        <w:pStyle w:val="4"/>
        <w:numPr>
          <w:ilvl w:val="0"/>
          <w:numId w:val="1"/>
        </w:numPr>
        <w:ind w:firstLine="0"/>
        <w:rPr>
          <w:rFonts w:ascii="宋体" w:hAnsi="宋体" w:cs="宋体"/>
          <w:color w:val="auto"/>
          <w:kern w:val="0"/>
          <w:sz w:val="24"/>
          <w:szCs w:val="24"/>
        </w:rPr>
      </w:pPr>
      <w:r>
        <w:rPr>
          <w:rFonts w:hint="eastAsia" w:ascii="宋体" w:hAnsi="宋体" w:cs="宋体"/>
          <w:color w:val="auto"/>
          <w:kern w:val="0"/>
          <w:sz w:val="24"/>
          <w:szCs w:val="24"/>
        </w:rPr>
        <w:t>符合性审查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各投标单位网卡MAC地址、CPU序号、硬盘序列号等硬件特征码均无雷同，可进行下一步评审。</w:t>
      </w:r>
    </w:p>
    <w:tbl>
      <w:tblPr>
        <w:tblStyle w:val="13"/>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rPr>
              <w:t>1</w:t>
            </w:r>
          </w:p>
        </w:tc>
        <w:tc>
          <w:tcPr>
            <w:tcW w:w="7684" w:type="dxa"/>
            <w:vAlign w:val="center"/>
          </w:tcPr>
          <w:p>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云南三创安防工程有限公司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rPr>
              <w:t>2</w:t>
            </w:r>
          </w:p>
        </w:tc>
        <w:tc>
          <w:tcPr>
            <w:tcW w:w="7684" w:type="dxa"/>
            <w:vAlign w:val="center"/>
          </w:tcPr>
          <w:p>
            <w:pPr>
              <w:widowControl/>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云南旭达安防工程有限公司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rPr>
              <w:t>序号</w:t>
            </w:r>
          </w:p>
        </w:tc>
        <w:tc>
          <w:tcPr>
            <w:tcW w:w="7684"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1</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广西乐邦门窗科技有限公司：所投产品未明确产品的厂家、产地、品牌、型号。按照招标文件“（三）其他技术、服务等要求 2、供应商须明确投标产品的厂家、产地、品牌、型号、参数等，否则为无效响应文件。”视为无效投标。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2</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南京麒麟电动门制造有限公司：所投产品未明确产品的厂家、产地、品牌、型号。按照招标文件“（三）其他技术、服务等要求 2、供应商须明确投标产品的厂家、产地、品牌、型号、参数等，否则为无效响应文件。”视为无效投标。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3</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淮北科悦门业有限公司：所投产品未明确产品的型号。按照招标文件“（三）其他技术、服务等要求 2、供应商须明确投标产品的厂家、产地、品牌、型号、参数等，否则为无效响应文件。”视为无效投标。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4</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丹阳市江海安全设备实业有限公司：投标报价没有按工程量清单的格式报价，未明确产品的品牌型号。按照招标文件“（三）其他技术、服务等要求 1、投标人应就该项目完整投标，否则为无效投标。2、供应商须明确投标产品的厂家、产地、品牌、型号、参数等，否则为无效响应文件。”视为无效投标。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5</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烟台旭天警用器材有限公司：投标报价的193、215页未响应工程量清单格式。按照招标文件“（三）其他技术、服务等要求 1、投标人应就该项目完整投标，否则为无效投标。”视为无效投标。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6</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靖江市悦达安防设备有限公司：投标报价35、36页未响应工程量清单格式要求。按照招标文件“（三）其他技术、服务等要求 1、投标人应就该项目完整投标，否则为无效投标。”视为无效投标。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1700" w:type="dxa"/>
            <w:vAlign w:val="center"/>
          </w:tcPr>
          <w:p>
            <w:pPr>
              <w:widowControl/>
              <w:jc w:val="center"/>
              <w:rPr>
                <w:rFonts w:hint="eastAsia" w:ascii="宋体" w:hAnsi="宋体" w:cs="宋体"/>
                <w:color w:val="auto"/>
                <w:sz w:val="24"/>
                <w:szCs w:val="24"/>
              </w:rPr>
            </w:pPr>
            <w:r>
              <w:rPr>
                <w:rFonts w:hint="eastAsia" w:ascii="宋体" w:hAnsi="宋体" w:cs="宋体"/>
                <w:color w:val="auto"/>
                <w:sz w:val="24"/>
                <w:szCs w:val="24"/>
                <w:lang w:val="en-US" w:eastAsia="zh-CN"/>
              </w:rPr>
              <w:t>7</w:t>
            </w:r>
          </w:p>
        </w:tc>
        <w:tc>
          <w:tcPr>
            <w:tcW w:w="7684" w:type="dxa"/>
            <w:vAlign w:val="center"/>
          </w:tcPr>
          <w:p>
            <w:pPr>
              <w:widowControl/>
              <w:jc w:val="left"/>
              <w:rPr>
                <w:rFonts w:hint="eastAsia" w:ascii="宋体" w:hAnsi="宋体" w:cs="宋体"/>
                <w:color w:val="auto"/>
                <w:sz w:val="24"/>
                <w:szCs w:val="24"/>
              </w:rPr>
            </w:pPr>
            <w:r>
              <w:rPr>
                <w:rFonts w:hint="eastAsia" w:ascii="宋体" w:hAnsi="宋体" w:cs="宋体"/>
                <w:color w:val="auto"/>
                <w:sz w:val="24"/>
                <w:szCs w:val="24"/>
                <w:lang w:val="en-US" w:eastAsia="zh-CN"/>
              </w:rPr>
              <w:t>河南俊雅电子科技有限公司：投标报价86、89、92、94、96、97、99、101、102、104、107等页未响应工程量清单格式要求。按照招标文件“（三）其他技术、服务等要求 1、投标人应就该项目完整投标，否则为无效投标。”视为无效投标。</w:t>
            </w:r>
          </w:p>
        </w:tc>
      </w:tr>
    </w:tbl>
    <w:p>
      <w:pPr>
        <w:widowControl/>
        <w:jc w:val="center"/>
        <w:rPr>
          <w:rFonts w:hint="eastAsia" w:ascii="宋体" w:hAnsi="宋体" w:cs="宋体"/>
          <w:color w:val="auto"/>
          <w:sz w:val="24"/>
          <w:szCs w:val="24"/>
        </w:rPr>
      </w:pPr>
    </w:p>
    <w:p>
      <w:pPr>
        <w:pStyle w:val="4"/>
        <w:numPr>
          <w:ilvl w:val="0"/>
          <w:numId w:val="1"/>
        </w:numPr>
        <w:ind w:firstLine="0"/>
        <w:rPr>
          <w:rFonts w:ascii="宋体" w:hAnsi="宋体" w:cs="宋体"/>
          <w:b/>
          <w:bCs/>
          <w:color w:val="auto"/>
          <w:kern w:val="0"/>
          <w:sz w:val="24"/>
          <w:szCs w:val="24"/>
        </w:rPr>
      </w:pPr>
      <w:r>
        <w:rPr>
          <w:rFonts w:hint="eastAsia" w:ascii="宋体" w:hAnsi="宋体" w:cs="宋体"/>
          <w:color w:val="auto"/>
          <w:kern w:val="0"/>
          <w:sz w:val="24"/>
          <w:szCs w:val="24"/>
        </w:rPr>
        <w:t>详审情况</w:t>
      </w:r>
    </w:p>
    <w:p>
      <w:pPr>
        <w:keepNext w:val="0"/>
        <w:keepLines w:val="0"/>
        <w:widowControl/>
        <w:suppressLineNumbers w:val="0"/>
        <w:shd w:val="clear" w:fill="FFFFFF"/>
        <w:spacing w:after="225" w:afterAutospacing="0" w:line="360" w:lineRule="atLeast"/>
        <w:ind w:left="0" w:firstLine="420"/>
        <w:jc w:val="left"/>
        <w:rPr>
          <w:rFonts w:hint="default"/>
          <w:lang w:val="en-US" w:eastAsia="zh-CN"/>
        </w:rPr>
      </w:pPr>
      <w:r>
        <w:rPr>
          <w:rFonts w:hint="eastAsia"/>
          <w:lang w:val="en-US" w:eastAsia="zh-CN"/>
        </w:rPr>
        <w:t>因符合性审查满足条件的供应商不足三家，按照《中华人民共和国政府采购法》</w:t>
      </w:r>
      <w:r>
        <w:rPr>
          <w:rFonts w:hint="default"/>
          <w:lang w:val="en-US" w:eastAsia="zh-CN"/>
        </w:rPr>
        <w:t>第三十六条</w:t>
      </w:r>
      <w:r>
        <w:rPr>
          <w:rFonts w:hint="eastAsia"/>
          <w:lang w:val="en-US" w:eastAsia="zh-CN"/>
        </w:rPr>
        <w:t>“</w:t>
      </w:r>
      <w:r>
        <w:rPr>
          <w:rFonts w:hint="default"/>
          <w:lang w:val="en-US" w:eastAsia="zh-CN"/>
        </w:rPr>
        <w:t>在招标采购中，出现下列情形之一的，应予废标：（一）符合专业条件的供应商或者对招标文件作实质响应的供应商不足三家的</w:t>
      </w:r>
      <w:r>
        <w:rPr>
          <w:rFonts w:hint="eastAsia"/>
          <w:lang w:val="en-US" w:eastAsia="zh-CN"/>
        </w:rPr>
        <w:t>”要求，该项目废止。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评标委员会推荐中标候选人（或采购人授权确定中标人）情况</w:t>
      </w:r>
      <w:r>
        <w:rPr>
          <w:rFonts w:hint="eastAsia" w:ascii="宋体" w:hAnsi="宋体" w:cs="宋体"/>
          <w:color w:val="auto"/>
          <w:sz w:val="24"/>
          <w:szCs w:val="24"/>
          <w:lang w:val="en-US" w:eastAsia="zh-CN"/>
        </w:rPr>
        <w:t>:无</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七、投标人根据评标委员会要求进行的澄清、说明或者补正：无</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八、是否存在评标委员会成员更换：否</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九、代理机构及采购单位地址、联系人、联系电话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采购单位：禹州市公安局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地址：禹州市华夏大道2号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联系人：董先生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联系电话：0374-8087477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代理机构：河南天欧工程管理有限公司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地 址：禹州市颖川街道办禹王大道东段北侧第二层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联系人：王先生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联系电话：13619888288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各有关当事人对中标结果有异议的，可以在中标结果公告期限届满之日起7个工作日内，以书面形式向采购人或采购代理机构提出质疑（加盖单位公章并法定代表人签</w:t>
      </w:r>
      <w:bookmarkStart w:id="0" w:name="_GoBack"/>
      <w:bookmarkEnd w:id="0"/>
      <w:r>
        <w:rPr>
          <w:rFonts w:hint="eastAsia" w:ascii="宋体" w:hAnsi="宋体" w:cs="宋体"/>
          <w:color w:val="auto"/>
          <w:sz w:val="24"/>
          <w:szCs w:val="24"/>
          <w:lang w:val="en-US" w:eastAsia="zh-CN"/>
        </w:rPr>
        <w:t>字）， 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受理部门：禹州市财政局政府采购监督管理办公室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受理电话：0374-8112523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电子邮箱：yzscgb8112523@163.com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宋体" w:hAnsi="宋体" w:cs="宋体"/>
          <w:color w:val="auto"/>
          <w:sz w:val="24"/>
          <w:szCs w:val="24"/>
          <w:lang w:val="en-US" w:eastAsia="zh-CN"/>
        </w:rPr>
        <w:t>通讯地址：禹州市行政北路2号禹州市财政局1305房间</w:t>
      </w:r>
    </w:p>
    <w:p>
      <w:pPr>
        <w:pStyle w:val="19"/>
        <w:jc w:val="right"/>
        <w:rPr>
          <w:rFonts w:hint="eastAsia" w:ascii="宋体" w:hAnsi="宋体" w:cs="宋体"/>
          <w:color w:val="auto"/>
          <w:sz w:val="24"/>
          <w:szCs w:val="24"/>
        </w:rPr>
      </w:pPr>
      <w:r>
        <w:rPr>
          <w:rFonts w:hint="eastAsia" w:hAnsi="宋体" w:cs="宋体"/>
          <w:color w:val="auto"/>
          <w:sz w:val="24"/>
          <w:szCs w:val="24"/>
          <w:lang w:val="en-US" w:eastAsia="zh-CN"/>
        </w:rPr>
        <w:t>2023年7月20日</w:t>
      </w:r>
    </w:p>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9275E"/>
    <w:multiLevelType w:val="singleLevel"/>
    <w:tmpl w:val="D2B9275E"/>
    <w:lvl w:ilvl="0" w:tentative="0">
      <w:start w:val="3"/>
      <w:numFmt w:val="chineseCounting"/>
      <w:suff w:val="nothing"/>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4MTFmYzBkNWYzZjQ0MDE4N2E4NmEwYjdjODdkZmMifQ=="/>
  </w:docVars>
  <w:rsids>
    <w:rsidRoot w:val="00E971CA"/>
    <w:rsid w:val="001D6486"/>
    <w:rsid w:val="00205BFA"/>
    <w:rsid w:val="002F7613"/>
    <w:rsid w:val="0037178B"/>
    <w:rsid w:val="00391C38"/>
    <w:rsid w:val="004625A3"/>
    <w:rsid w:val="0056346A"/>
    <w:rsid w:val="005C42BC"/>
    <w:rsid w:val="00656A09"/>
    <w:rsid w:val="008743CF"/>
    <w:rsid w:val="00987D94"/>
    <w:rsid w:val="009C4191"/>
    <w:rsid w:val="009D6B99"/>
    <w:rsid w:val="009E32CC"/>
    <w:rsid w:val="00A64723"/>
    <w:rsid w:val="00A96F91"/>
    <w:rsid w:val="00B56F47"/>
    <w:rsid w:val="00B7296F"/>
    <w:rsid w:val="00B807AD"/>
    <w:rsid w:val="00B8408D"/>
    <w:rsid w:val="00BF14DD"/>
    <w:rsid w:val="00C6640A"/>
    <w:rsid w:val="00CF4F11"/>
    <w:rsid w:val="00D1062E"/>
    <w:rsid w:val="00E331FA"/>
    <w:rsid w:val="00E83ABB"/>
    <w:rsid w:val="00E971CA"/>
    <w:rsid w:val="00F0472D"/>
    <w:rsid w:val="00FF4A72"/>
    <w:rsid w:val="01032C17"/>
    <w:rsid w:val="01591845"/>
    <w:rsid w:val="03122A31"/>
    <w:rsid w:val="03560DC4"/>
    <w:rsid w:val="036E484B"/>
    <w:rsid w:val="049B0B31"/>
    <w:rsid w:val="073A3F8F"/>
    <w:rsid w:val="07590DC9"/>
    <w:rsid w:val="076F3599"/>
    <w:rsid w:val="07B0663A"/>
    <w:rsid w:val="07CF4038"/>
    <w:rsid w:val="07D1423A"/>
    <w:rsid w:val="080E61A0"/>
    <w:rsid w:val="087832A5"/>
    <w:rsid w:val="091F0FEF"/>
    <w:rsid w:val="09704AC2"/>
    <w:rsid w:val="09A86B73"/>
    <w:rsid w:val="09AC3223"/>
    <w:rsid w:val="09D75B16"/>
    <w:rsid w:val="0AAA1967"/>
    <w:rsid w:val="0B5C6FB7"/>
    <w:rsid w:val="0BC11EE9"/>
    <w:rsid w:val="0C002593"/>
    <w:rsid w:val="0D0F5CF8"/>
    <w:rsid w:val="0D1F5555"/>
    <w:rsid w:val="0D3F2E4E"/>
    <w:rsid w:val="0E533DC3"/>
    <w:rsid w:val="0E892719"/>
    <w:rsid w:val="0EB15A69"/>
    <w:rsid w:val="0EE72023"/>
    <w:rsid w:val="0F1F3907"/>
    <w:rsid w:val="0FEA61A0"/>
    <w:rsid w:val="10927534"/>
    <w:rsid w:val="10C3050B"/>
    <w:rsid w:val="11DB182B"/>
    <w:rsid w:val="12DA2F04"/>
    <w:rsid w:val="13B10A95"/>
    <w:rsid w:val="1503085C"/>
    <w:rsid w:val="150A1F61"/>
    <w:rsid w:val="15B1273E"/>
    <w:rsid w:val="170F14EB"/>
    <w:rsid w:val="17255030"/>
    <w:rsid w:val="173978E9"/>
    <w:rsid w:val="17712A16"/>
    <w:rsid w:val="17D76994"/>
    <w:rsid w:val="1907739F"/>
    <w:rsid w:val="192166BD"/>
    <w:rsid w:val="193C7452"/>
    <w:rsid w:val="19EA2C0F"/>
    <w:rsid w:val="1A2E3952"/>
    <w:rsid w:val="1A5D06C3"/>
    <w:rsid w:val="1AAA41EF"/>
    <w:rsid w:val="1ADE4EC3"/>
    <w:rsid w:val="1B5E7755"/>
    <w:rsid w:val="1BB00575"/>
    <w:rsid w:val="1BFC55D5"/>
    <w:rsid w:val="1C493CA8"/>
    <w:rsid w:val="1C8A72CA"/>
    <w:rsid w:val="1C913B5A"/>
    <w:rsid w:val="1E223483"/>
    <w:rsid w:val="1E416188"/>
    <w:rsid w:val="1EC06991"/>
    <w:rsid w:val="1ED43F32"/>
    <w:rsid w:val="1F6D121F"/>
    <w:rsid w:val="1FAA3C10"/>
    <w:rsid w:val="21A0321A"/>
    <w:rsid w:val="22DD0ABC"/>
    <w:rsid w:val="23D21192"/>
    <w:rsid w:val="23DA3D37"/>
    <w:rsid w:val="242D6538"/>
    <w:rsid w:val="24373F7D"/>
    <w:rsid w:val="24A66BF0"/>
    <w:rsid w:val="252706E9"/>
    <w:rsid w:val="252739FE"/>
    <w:rsid w:val="26116C91"/>
    <w:rsid w:val="265F6619"/>
    <w:rsid w:val="268B3BAB"/>
    <w:rsid w:val="269C65FE"/>
    <w:rsid w:val="26BE161B"/>
    <w:rsid w:val="26EE0506"/>
    <w:rsid w:val="277C2787"/>
    <w:rsid w:val="27913C96"/>
    <w:rsid w:val="27D71C31"/>
    <w:rsid w:val="28794FFD"/>
    <w:rsid w:val="289E68E3"/>
    <w:rsid w:val="28A2500D"/>
    <w:rsid w:val="294D1100"/>
    <w:rsid w:val="29570607"/>
    <w:rsid w:val="297A43F9"/>
    <w:rsid w:val="298D4742"/>
    <w:rsid w:val="29913AFE"/>
    <w:rsid w:val="29C24E5C"/>
    <w:rsid w:val="29DA755B"/>
    <w:rsid w:val="2AB00CB9"/>
    <w:rsid w:val="2B0416A8"/>
    <w:rsid w:val="2B646282"/>
    <w:rsid w:val="2CCC490D"/>
    <w:rsid w:val="2D0F08AF"/>
    <w:rsid w:val="2DF21C76"/>
    <w:rsid w:val="2DF5181E"/>
    <w:rsid w:val="2DF6789E"/>
    <w:rsid w:val="2E5A7344"/>
    <w:rsid w:val="2E5B2D76"/>
    <w:rsid w:val="2F4D1687"/>
    <w:rsid w:val="2F566C69"/>
    <w:rsid w:val="2F787065"/>
    <w:rsid w:val="306C00EB"/>
    <w:rsid w:val="30763A66"/>
    <w:rsid w:val="308319E1"/>
    <w:rsid w:val="30CC16EB"/>
    <w:rsid w:val="30D06B49"/>
    <w:rsid w:val="32001BDE"/>
    <w:rsid w:val="323C4019"/>
    <w:rsid w:val="32BF332A"/>
    <w:rsid w:val="336D5746"/>
    <w:rsid w:val="349464BB"/>
    <w:rsid w:val="34963490"/>
    <w:rsid w:val="35037A83"/>
    <w:rsid w:val="355E4B16"/>
    <w:rsid w:val="35F93BED"/>
    <w:rsid w:val="366F53F1"/>
    <w:rsid w:val="37084782"/>
    <w:rsid w:val="37335EBA"/>
    <w:rsid w:val="37D75715"/>
    <w:rsid w:val="38163439"/>
    <w:rsid w:val="389B6372"/>
    <w:rsid w:val="3909162E"/>
    <w:rsid w:val="390A6F15"/>
    <w:rsid w:val="399B5D41"/>
    <w:rsid w:val="39A6281D"/>
    <w:rsid w:val="39AC1153"/>
    <w:rsid w:val="3A9D085A"/>
    <w:rsid w:val="3AD153F6"/>
    <w:rsid w:val="3AF06FEF"/>
    <w:rsid w:val="3B1E7E0C"/>
    <w:rsid w:val="3B5F4D5C"/>
    <w:rsid w:val="3BD346F6"/>
    <w:rsid w:val="3BEF73A2"/>
    <w:rsid w:val="3C4F68DB"/>
    <w:rsid w:val="3C717F01"/>
    <w:rsid w:val="3CD967E3"/>
    <w:rsid w:val="3CF733E2"/>
    <w:rsid w:val="3D0A1093"/>
    <w:rsid w:val="3DC3621B"/>
    <w:rsid w:val="3DD21BDA"/>
    <w:rsid w:val="3E172019"/>
    <w:rsid w:val="3E3E2F09"/>
    <w:rsid w:val="3E5765D8"/>
    <w:rsid w:val="3EC80E57"/>
    <w:rsid w:val="400B60F0"/>
    <w:rsid w:val="40BE1D33"/>
    <w:rsid w:val="40E010E4"/>
    <w:rsid w:val="41126768"/>
    <w:rsid w:val="419C0CE9"/>
    <w:rsid w:val="419E717C"/>
    <w:rsid w:val="41AF1384"/>
    <w:rsid w:val="41CF39A7"/>
    <w:rsid w:val="42AD560C"/>
    <w:rsid w:val="43F22716"/>
    <w:rsid w:val="441E640E"/>
    <w:rsid w:val="44313C85"/>
    <w:rsid w:val="45FB6DBC"/>
    <w:rsid w:val="46820F38"/>
    <w:rsid w:val="46B13B7F"/>
    <w:rsid w:val="46EE7A3B"/>
    <w:rsid w:val="47997EA0"/>
    <w:rsid w:val="479F0234"/>
    <w:rsid w:val="48907D3B"/>
    <w:rsid w:val="48A20CB3"/>
    <w:rsid w:val="4BA73FB4"/>
    <w:rsid w:val="4BB6692E"/>
    <w:rsid w:val="4D4A772B"/>
    <w:rsid w:val="4D5325E2"/>
    <w:rsid w:val="4D79605D"/>
    <w:rsid w:val="4DB5542A"/>
    <w:rsid w:val="4E461829"/>
    <w:rsid w:val="4E80682A"/>
    <w:rsid w:val="4F6665FD"/>
    <w:rsid w:val="50932F93"/>
    <w:rsid w:val="51655E85"/>
    <w:rsid w:val="51936315"/>
    <w:rsid w:val="52497F6E"/>
    <w:rsid w:val="52B902C2"/>
    <w:rsid w:val="54422A68"/>
    <w:rsid w:val="544346A0"/>
    <w:rsid w:val="54F84CB1"/>
    <w:rsid w:val="556846C4"/>
    <w:rsid w:val="558D60E7"/>
    <w:rsid w:val="566B729D"/>
    <w:rsid w:val="570F670F"/>
    <w:rsid w:val="5837497D"/>
    <w:rsid w:val="58DD0FB2"/>
    <w:rsid w:val="58EA081A"/>
    <w:rsid w:val="58F441A7"/>
    <w:rsid w:val="59C446E4"/>
    <w:rsid w:val="59E87FD4"/>
    <w:rsid w:val="5A076081"/>
    <w:rsid w:val="5A474FB8"/>
    <w:rsid w:val="5AF74B31"/>
    <w:rsid w:val="5B9B53A1"/>
    <w:rsid w:val="5BD7484F"/>
    <w:rsid w:val="5C71118F"/>
    <w:rsid w:val="5C8A1451"/>
    <w:rsid w:val="5C9909F8"/>
    <w:rsid w:val="5CAB5526"/>
    <w:rsid w:val="5CB030C7"/>
    <w:rsid w:val="5DDE688C"/>
    <w:rsid w:val="5E2951D0"/>
    <w:rsid w:val="5E4173FE"/>
    <w:rsid w:val="5E7D138F"/>
    <w:rsid w:val="5F4F7F99"/>
    <w:rsid w:val="5F6F4940"/>
    <w:rsid w:val="5F8F62B3"/>
    <w:rsid w:val="5FBF1CA1"/>
    <w:rsid w:val="60716BAF"/>
    <w:rsid w:val="6129173D"/>
    <w:rsid w:val="62066613"/>
    <w:rsid w:val="62A946FF"/>
    <w:rsid w:val="631510D2"/>
    <w:rsid w:val="63484587"/>
    <w:rsid w:val="641B13DB"/>
    <w:rsid w:val="647C19B2"/>
    <w:rsid w:val="648103E5"/>
    <w:rsid w:val="64C36176"/>
    <w:rsid w:val="64D723A6"/>
    <w:rsid w:val="652922FF"/>
    <w:rsid w:val="65312515"/>
    <w:rsid w:val="657A4758"/>
    <w:rsid w:val="660C1377"/>
    <w:rsid w:val="6615278C"/>
    <w:rsid w:val="66470708"/>
    <w:rsid w:val="678F04F4"/>
    <w:rsid w:val="67B114FB"/>
    <w:rsid w:val="67FA0C0D"/>
    <w:rsid w:val="6A892D47"/>
    <w:rsid w:val="6B111DCC"/>
    <w:rsid w:val="6B2E368B"/>
    <w:rsid w:val="6B9724E7"/>
    <w:rsid w:val="6BF33E36"/>
    <w:rsid w:val="6BFC51BA"/>
    <w:rsid w:val="6C0F29EC"/>
    <w:rsid w:val="6C5E519A"/>
    <w:rsid w:val="6C630C0B"/>
    <w:rsid w:val="6CBE0F61"/>
    <w:rsid w:val="6CC32156"/>
    <w:rsid w:val="6D2562F6"/>
    <w:rsid w:val="6D354B80"/>
    <w:rsid w:val="6D932295"/>
    <w:rsid w:val="6DD930DD"/>
    <w:rsid w:val="6E4366C9"/>
    <w:rsid w:val="6F206550"/>
    <w:rsid w:val="6F405059"/>
    <w:rsid w:val="6F7B2A02"/>
    <w:rsid w:val="6F95614A"/>
    <w:rsid w:val="70B24EBD"/>
    <w:rsid w:val="71B74DF8"/>
    <w:rsid w:val="72205FD5"/>
    <w:rsid w:val="72554365"/>
    <w:rsid w:val="72841D77"/>
    <w:rsid w:val="72D5074F"/>
    <w:rsid w:val="733E4199"/>
    <w:rsid w:val="739C6AD3"/>
    <w:rsid w:val="73A1197C"/>
    <w:rsid w:val="73FE0302"/>
    <w:rsid w:val="74D7686E"/>
    <w:rsid w:val="75412D34"/>
    <w:rsid w:val="765F2987"/>
    <w:rsid w:val="76691E31"/>
    <w:rsid w:val="777701C6"/>
    <w:rsid w:val="77A212BF"/>
    <w:rsid w:val="787259C9"/>
    <w:rsid w:val="789A3DA4"/>
    <w:rsid w:val="78A64138"/>
    <w:rsid w:val="78AB5EC6"/>
    <w:rsid w:val="78F10436"/>
    <w:rsid w:val="78F47810"/>
    <w:rsid w:val="7903233F"/>
    <w:rsid w:val="798634EC"/>
    <w:rsid w:val="7A6C2204"/>
    <w:rsid w:val="7ADF59D2"/>
    <w:rsid w:val="7B5F5B2A"/>
    <w:rsid w:val="7BD836B8"/>
    <w:rsid w:val="7BDD6DAA"/>
    <w:rsid w:val="7BEC7DD0"/>
    <w:rsid w:val="7C312680"/>
    <w:rsid w:val="7C5D450D"/>
    <w:rsid w:val="7DA02306"/>
    <w:rsid w:val="7DCE3A15"/>
    <w:rsid w:val="7EF91E18"/>
    <w:rsid w:val="7F1D0CED"/>
    <w:rsid w:val="7F224D47"/>
    <w:rsid w:val="7F44661E"/>
    <w:rsid w:val="7FAB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945"/>
        <w:tab w:val="left" w:pos="1155"/>
      </w:tabs>
      <w:ind w:firstLine="420" w:firstLineChars="200"/>
    </w:pPr>
  </w:style>
  <w:style w:type="paragraph" w:styleId="3">
    <w:name w:val="Body Text Indent"/>
    <w:basedOn w:val="1"/>
    <w:next w:val="4"/>
    <w:qFormat/>
    <w:uiPriority w:val="0"/>
    <w:pPr>
      <w:adjustRightInd w:val="0"/>
      <w:spacing w:after="120" w:line="360" w:lineRule="atLeast"/>
      <w:ind w:left="420" w:leftChars="200"/>
      <w:jc w:val="left"/>
      <w:textAlignment w:val="baseline"/>
    </w:pPr>
    <w:rPr>
      <w:kern w:val="0"/>
      <w:sz w:val="24"/>
    </w:rPr>
  </w:style>
  <w:style w:type="paragraph" w:styleId="4">
    <w:name w:val="Normal Indent"/>
    <w:basedOn w:val="1"/>
    <w:next w:val="5"/>
    <w:qFormat/>
    <w:uiPriority w:val="99"/>
    <w:pPr>
      <w:ind w:firstLine="425"/>
    </w:p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Body Text"/>
    <w:basedOn w:val="1"/>
    <w:next w:val="7"/>
    <w:link w:val="24"/>
    <w:semiHidden/>
    <w:unhideWhenUsed/>
    <w:qFormat/>
    <w:uiPriority w:val="99"/>
    <w:pPr>
      <w:spacing w:after="120"/>
    </w:pPr>
  </w:style>
  <w:style w:type="paragraph" w:styleId="7">
    <w:name w:val="Body Text First Indent"/>
    <w:basedOn w:val="6"/>
    <w:next w:val="8"/>
    <w:link w:val="25"/>
    <w:qFormat/>
    <w:uiPriority w:val="0"/>
    <w:pPr>
      <w:spacing w:after="0"/>
      <w:ind w:firstLine="420" w:firstLineChars="100"/>
    </w:pPr>
  </w:style>
  <w:style w:type="paragraph" w:customStyle="1" w:styleId="8">
    <w:name w:val="List Paragraph1"/>
    <w:basedOn w:val="1"/>
    <w:next w:val="1"/>
    <w:qFormat/>
    <w:uiPriority w:val="0"/>
    <w:pPr>
      <w:ind w:left="420" w:firstLine="3748"/>
    </w:p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pPr>
      <w:spacing w:after="120" w:line="480" w:lineRule="auto"/>
    </w:p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yperlink"/>
    <w:basedOn w:val="14"/>
    <w:semiHidden/>
    <w:unhideWhenUsed/>
    <w:qFormat/>
    <w:uiPriority w:val="99"/>
    <w:rPr>
      <w:color w:val="000000"/>
      <w:u w:val="none"/>
    </w:rPr>
  </w:style>
  <w:style w:type="paragraph" w:customStyle="1" w:styleId="19">
    <w:name w:val="style4"/>
    <w:basedOn w:val="1"/>
    <w:next w:val="20"/>
    <w:qFormat/>
    <w:uiPriority w:val="0"/>
    <w:pPr>
      <w:widowControl/>
      <w:spacing w:before="280" w:after="280"/>
    </w:pPr>
    <w:rPr>
      <w:rFonts w:ascii="宋体"/>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1">
    <w:name w:val="无间隔1"/>
    <w:basedOn w:val="1"/>
    <w:qFormat/>
    <w:uiPriority w:val="0"/>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99"/>
    <w:pPr>
      <w:ind w:firstLine="420" w:firstLineChars="200"/>
    </w:pPr>
  </w:style>
  <w:style w:type="character" w:customStyle="1" w:styleId="24">
    <w:name w:val="正文文本 Char"/>
    <w:basedOn w:val="14"/>
    <w:link w:val="6"/>
    <w:semiHidden/>
    <w:qFormat/>
    <w:uiPriority w:val="99"/>
    <w:rPr>
      <w:rFonts w:ascii="Times New Roman" w:hAnsi="Times New Roman" w:eastAsia="宋体" w:cs="Times New Roman"/>
      <w:szCs w:val="20"/>
    </w:rPr>
  </w:style>
  <w:style w:type="character" w:customStyle="1" w:styleId="25">
    <w:name w:val="正文首行缩进 Char"/>
    <w:basedOn w:val="24"/>
    <w:link w:val="7"/>
    <w:qFormat/>
    <w:uiPriority w:val="0"/>
    <w:rPr>
      <w:rFonts w:ascii="Times New Roman" w:hAnsi="Times New Roman" w:eastAsia="宋体" w:cs="Times New Roman"/>
      <w:szCs w:val="20"/>
    </w:rPr>
  </w:style>
  <w:style w:type="character" w:customStyle="1" w:styleId="26">
    <w:name w:val="red"/>
    <w:basedOn w:val="14"/>
    <w:qFormat/>
    <w:uiPriority w:val="0"/>
    <w:rPr>
      <w:color w:val="FF0000"/>
      <w:sz w:val="18"/>
      <w:szCs w:val="18"/>
    </w:rPr>
  </w:style>
  <w:style w:type="character" w:customStyle="1" w:styleId="27">
    <w:name w:val="red1"/>
    <w:basedOn w:val="14"/>
    <w:qFormat/>
    <w:uiPriority w:val="0"/>
    <w:rPr>
      <w:color w:val="FF0000"/>
      <w:sz w:val="18"/>
      <w:szCs w:val="18"/>
    </w:rPr>
  </w:style>
  <w:style w:type="character" w:customStyle="1" w:styleId="28">
    <w:name w:val="red2"/>
    <w:basedOn w:val="14"/>
    <w:qFormat/>
    <w:uiPriority w:val="0"/>
    <w:rPr>
      <w:color w:val="CC0000"/>
    </w:rPr>
  </w:style>
  <w:style w:type="character" w:customStyle="1" w:styleId="29">
    <w:name w:val="red3"/>
    <w:basedOn w:val="14"/>
    <w:qFormat/>
    <w:uiPriority w:val="0"/>
    <w:rPr>
      <w:color w:val="FF0000"/>
    </w:rPr>
  </w:style>
  <w:style w:type="character" w:customStyle="1" w:styleId="30">
    <w:name w:val="green"/>
    <w:basedOn w:val="14"/>
    <w:qFormat/>
    <w:uiPriority w:val="0"/>
    <w:rPr>
      <w:color w:val="66AE00"/>
      <w:sz w:val="18"/>
      <w:szCs w:val="18"/>
    </w:rPr>
  </w:style>
  <w:style w:type="character" w:customStyle="1" w:styleId="31">
    <w:name w:val="green1"/>
    <w:basedOn w:val="14"/>
    <w:qFormat/>
    <w:uiPriority w:val="0"/>
    <w:rPr>
      <w:color w:val="66AE00"/>
      <w:sz w:val="18"/>
      <w:szCs w:val="18"/>
    </w:rPr>
  </w:style>
  <w:style w:type="character" w:customStyle="1" w:styleId="32">
    <w:name w:val="hover24"/>
    <w:basedOn w:val="14"/>
    <w:qFormat/>
    <w:uiPriority w:val="0"/>
  </w:style>
  <w:style w:type="character" w:customStyle="1" w:styleId="33">
    <w:name w:val="gb-jt"/>
    <w:basedOn w:val="14"/>
    <w:qFormat/>
    <w:uiPriority w:val="0"/>
  </w:style>
  <w:style w:type="character" w:customStyle="1" w:styleId="34">
    <w:name w:val="blue"/>
    <w:basedOn w:val="14"/>
    <w:qFormat/>
    <w:uiPriority w:val="0"/>
    <w:rPr>
      <w:color w:val="0371C6"/>
      <w:sz w:val="21"/>
      <w:szCs w:val="21"/>
    </w:rPr>
  </w:style>
  <w:style w:type="character" w:customStyle="1" w:styleId="35">
    <w:name w:val="right"/>
    <w:basedOn w:val="14"/>
    <w:qFormat/>
    <w:uiPriority w:val="0"/>
    <w:rPr>
      <w:color w:val="999999"/>
      <w:sz w:val="18"/>
      <w:szCs w:val="18"/>
    </w:rPr>
  </w:style>
  <w:style w:type="character" w:customStyle="1" w:styleId="36">
    <w:name w:val="hover25"/>
    <w:basedOn w:val="14"/>
    <w:qFormat/>
    <w:uiPriority w:val="0"/>
  </w:style>
  <w:style w:type="character" w:customStyle="1" w:styleId="37">
    <w:name w:val="searchopen"/>
    <w:basedOn w:val="14"/>
    <w:qFormat/>
    <w:uiPriority w:val="0"/>
  </w:style>
  <w:style w:type="character" w:customStyle="1" w:styleId="38">
    <w:name w:val="icon_cxktbr"/>
    <w:basedOn w:val="14"/>
    <w:qFormat/>
    <w:uiPriority w:val="0"/>
  </w:style>
  <w:style w:type="character" w:customStyle="1" w:styleId="39">
    <w:name w:val="close6"/>
    <w:basedOn w:val="14"/>
    <w:qFormat/>
    <w:uiPriority w:val="0"/>
  </w:style>
  <w:style w:type="character" w:customStyle="1" w:styleId="40">
    <w:name w:val="focus3"/>
    <w:basedOn w:val="14"/>
    <w:qFormat/>
    <w:uiPriority w:val="0"/>
    <w:rPr>
      <w:b/>
      <w:color w:val="000000"/>
    </w:rPr>
  </w:style>
  <w:style w:type="character" w:customStyle="1" w:styleId="41">
    <w:name w:val="icon_dljg"/>
    <w:basedOn w:val="14"/>
    <w:qFormat/>
    <w:uiPriority w:val="0"/>
  </w:style>
  <w:style w:type="character" w:customStyle="1" w:styleId="42">
    <w:name w:val="icon_cxkcyry"/>
    <w:basedOn w:val="14"/>
    <w:qFormat/>
    <w:uiPriority w:val="0"/>
  </w:style>
  <w:style w:type="character" w:customStyle="1" w:styleId="43">
    <w:name w:val="m-text"/>
    <w:basedOn w:val="14"/>
    <w:qFormat/>
    <w:uiPriority w:val="0"/>
  </w:style>
  <w:style w:type="character" w:customStyle="1" w:styleId="44">
    <w:name w:val="searchclose"/>
    <w:basedOn w:val="14"/>
    <w:qFormat/>
    <w:uiPriority w:val="0"/>
  </w:style>
  <w:style w:type="character" w:customStyle="1" w:styleId="45">
    <w:name w:val="menutitle10"/>
    <w:basedOn w:val="14"/>
    <w:qFormat/>
    <w:uiPriority w:val="0"/>
    <w:rPr>
      <w:color w:val="333333"/>
      <w:sz w:val="16"/>
      <w:szCs w:val="16"/>
    </w:rPr>
  </w:style>
  <w:style w:type="character" w:customStyle="1" w:styleId="46">
    <w:name w:val="menutitle11"/>
    <w:basedOn w:val="14"/>
    <w:qFormat/>
    <w:uiPriority w:val="0"/>
    <w:rPr>
      <w:color w:val="333333"/>
      <w:sz w:val="16"/>
      <w:szCs w:val="16"/>
    </w:rPr>
  </w:style>
  <w:style w:type="character" w:customStyle="1" w:styleId="47">
    <w:name w:val="swapimg4"/>
    <w:basedOn w:val="14"/>
    <w:qFormat/>
    <w:uiPriority w:val="0"/>
  </w:style>
  <w:style w:type="character" w:customStyle="1" w:styleId="48">
    <w:name w:val="swapimg5"/>
    <w:basedOn w:val="14"/>
    <w:qFormat/>
    <w:uiPriority w:val="0"/>
  </w:style>
  <w:style w:type="character" w:customStyle="1" w:styleId="49">
    <w:name w:val="l_13"/>
    <w:basedOn w:val="14"/>
    <w:qFormat/>
    <w:uiPriority w:val="0"/>
  </w:style>
  <w:style w:type="character" w:customStyle="1" w:styleId="50">
    <w:name w:val="l_131"/>
    <w:basedOn w:val="14"/>
    <w:qFormat/>
    <w:uiPriority w:val="0"/>
  </w:style>
  <w:style w:type="character" w:customStyle="1" w:styleId="51">
    <w:name w:val="icon_gzkj"/>
    <w:basedOn w:val="14"/>
    <w:qFormat/>
    <w:uiPriority w:val="0"/>
  </w:style>
  <w:style w:type="character" w:customStyle="1" w:styleId="52">
    <w:name w:val="icon_xglc"/>
    <w:basedOn w:val="14"/>
    <w:qFormat/>
    <w:uiPriority w:val="0"/>
  </w:style>
  <w:style w:type="character" w:customStyle="1" w:styleId="53">
    <w:name w:val="icon_lzrz"/>
    <w:basedOn w:val="14"/>
    <w:qFormat/>
    <w:uiPriority w:val="0"/>
  </w:style>
  <w:style w:type="character" w:customStyle="1" w:styleId="54">
    <w:name w:val="icon_xzry"/>
    <w:basedOn w:val="14"/>
    <w:qFormat/>
    <w:uiPriority w:val="0"/>
  </w:style>
  <w:style w:type="character" w:customStyle="1" w:styleId="55">
    <w:name w:val="l_5"/>
    <w:basedOn w:val="14"/>
    <w:qFormat/>
    <w:uiPriority w:val="0"/>
  </w:style>
  <w:style w:type="character" w:customStyle="1" w:styleId="56">
    <w:name w:val="l_51"/>
    <w:basedOn w:val="14"/>
    <w:qFormat/>
    <w:uiPriority w:val="0"/>
  </w:style>
  <w:style w:type="character" w:customStyle="1" w:styleId="57">
    <w:name w:val="l_7"/>
    <w:basedOn w:val="14"/>
    <w:qFormat/>
    <w:uiPriority w:val="0"/>
  </w:style>
  <w:style w:type="character" w:customStyle="1" w:styleId="58">
    <w:name w:val="l_71"/>
    <w:basedOn w:val="14"/>
    <w:qFormat/>
    <w:uiPriority w:val="0"/>
  </w:style>
  <w:style w:type="character" w:customStyle="1" w:styleId="59">
    <w:name w:val="l_0"/>
    <w:basedOn w:val="14"/>
    <w:qFormat/>
    <w:uiPriority w:val="0"/>
  </w:style>
  <w:style w:type="character" w:customStyle="1" w:styleId="60">
    <w:name w:val="l_01"/>
    <w:basedOn w:val="14"/>
    <w:qFormat/>
    <w:uiPriority w:val="0"/>
  </w:style>
  <w:style w:type="character" w:customStyle="1" w:styleId="61">
    <w:name w:val="l_6"/>
    <w:basedOn w:val="14"/>
    <w:qFormat/>
    <w:uiPriority w:val="0"/>
  </w:style>
  <w:style w:type="character" w:customStyle="1" w:styleId="62">
    <w:name w:val="l_61"/>
    <w:basedOn w:val="14"/>
    <w:qFormat/>
    <w:uiPriority w:val="0"/>
  </w:style>
  <w:style w:type="character" w:customStyle="1" w:styleId="63">
    <w:name w:val="l_1"/>
    <w:basedOn w:val="14"/>
    <w:qFormat/>
    <w:uiPriority w:val="0"/>
  </w:style>
  <w:style w:type="character" w:customStyle="1" w:styleId="64">
    <w:name w:val="l_11"/>
    <w:basedOn w:val="14"/>
    <w:qFormat/>
    <w:uiPriority w:val="0"/>
  </w:style>
  <w:style w:type="character" w:customStyle="1" w:styleId="65">
    <w:name w:val="l_2"/>
    <w:basedOn w:val="14"/>
    <w:qFormat/>
    <w:uiPriority w:val="0"/>
  </w:style>
  <w:style w:type="character" w:customStyle="1" w:styleId="66">
    <w:name w:val="l_21"/>
    <w:basedOn w:val="14"/>
    <w:qFormat/>
    <w:uiPriority w:val="0"/>
  </w:style>
  <w:style w:type="character" w:customStyle="1" w:styleId="67">
    <w:name w:val="l_3"/>
    <w:basedOn w:val="14"/>
    <w:qFormat/>
    <w:uiPriority w:val="0"/>
  </w:style>
  <w:style w:type="character" w:customStyle="1" w:styleId="68">
    <w:name w:val="l_31"/>
    <w:basedOn w:val="14"/>
    <w:qFormat/>
    <w:uiPriority w:val="0"/>
  </w:style>
  <w:style w:type="character" w:customStyle="1" w:styleId="69">
    <w:name w:val="l_4"/>
    <w:basedOn w:val="14"/>
    <w:qFormat/>
    <w:uiPriority w:val="0"/>
  </w:style>
  <w:style w:type="character" w:customStyle="1" w:styleId="70">
    <w:name w:val="l_41"/>
    <w:basedOn w:val="14"/>
    <w:qFormat/>
    <w:uiPriority w:val="0"/>
  </w:style>
  <w:style w:type="character" w:customStyle="1" w:styleId="71">
    <w:name w:val="l_9"/>
    <w:basedOn w:val="14"/>
    <w:qFormat/>
    <w:uiPriority w:val="0"/>
  </w:style>
  <w:style w:type="character" w:customStyle="1" w:styleId="72">
    <w:name w:val="l_91"/>
    <w:basedOn w:val="14"/>
    <w:qFormat/>
    <w:uiPriority w:val="0"/>
  </w:style>
  <w:style w:type="character" w:customStyle="1" w:styleId="73">
    <w:name w:val="l_111"/>
    <w:basedOn w:val="14"/>
    <w:qFormat/>
    <w:uiPriority w:val="0"/>
  </w:style>
  <w:style w:type="character" w:customStyle="1" w:styleId="74">
    <w:name w:val="l_112"/>
    <w:basedOn w:val="14"/>
    <w:qFormat/>
    <w:uiPriority w:val="0"/>
  </w:style>
  <w:style w:type="character" w:customStyle="1" w:styleId="75">
    <w:name w:val="l_8"/>
    <w:basedOn w:val="14"/>
    <w:qFormat/>
    <w:uiPriority w:val="0"/>
  </w:style>
  <w:style w:type="character" w:customStyle="1" w:styleId="76">
    <w:name w:val="l_81"/>
    <w:basedOn w:val="14"/>
    <w:qFormat/>
    <w:uiPriority w:val="0"/>
  </w:style>
  <w:style w:type="character" w:customStyle="1" w:styleId="77">
    <w:name w:val="l_10"/>
    <w:basedOn w:val="14"/>
    <w:qFormat/>
    <w:uiPriority w:val="0"/>
  </w:style>
  <w:style w:type="character" w:customStyle="1" w:styleId="78">
    <w:name w:val="l_101"/>
    <w:basedOn w:val="14"/>
    <w:qFormat/>
    <w:uiPriority w:val="0"/>
  </w:style>
  <w:style w:type="character" w:customStyle="1" w:styleId="79">
    <w:name w:val="l_12"/>
    <w:basedOn w:val="14"/>
    <w:qFormat/>
    <w:uiPriority w:val="0"/>
  </w:style>
  <w:style w:type="character" w:customStyle="1" w:styleId="80">
    <w:name w:val="l_121"/>
    <w:basedOn w:val="14"/>
    <w:qFormat/>
    <w:uiPriority w:val="0"/>
  </w:style>
  <w:style w:type="character" w:customStyle="1" w:styleId="81">
    <w:name w:val="l_14"/>
    <w:basedOn w:val="14"/>
    <w:qFormat/>
    <w:uiPriority w:val="0"/>
  </w:style>
  <w:style w:type="character" w:customStyle="1" w:styleId="82">
    <w:name w:val="l_141"/>
    <w:basedOn w:val="14"/>
    <w:qFormat/>
    <w:uiPriority w:val="0"/>
  </w:style>
  <w:style w:type="character" w:customStyle="1" w:styleId="83">
    <w:name w:val="l_15"/>
    <w:basedOn w:val="14"/>
    <w:qFormat/>
    <w:uiPriority w:val="0"/>
  </w:style>
  <w:style w:type="character" w:customStyle="1" w:styleId="84">
    <w:name w:val="l_151"/>
    <w:basedOn w:val="14"/>
    <w:qFormat/>
    <w:uiPriority w:val="0"/>
  </w:style>
  <w:style w:type="character" w:customStyle="1" w:styleId="85">
    <w:name w:val="color_cdyy"/>
    <w:basedOn w:val="14"/>
    <w:qFormat/>
    <w:uiPriority w:val="0"/>
    <w:rPr>
      <w:color w:val="FFFFFF"/>
      <w:bdr w:val="single" w:color="FFFFFF" w:sz="4" w:space="0"/>
    </w:rPr>
  </w:style>
  <w:style w:type="character" w:customStyle="1" w:styleId="86">
    <w:name w:val="menutitle"/>
    <w:basedOn w:val="14"/>
    <w:qFormat/>
    <w:uiPriority w:val="0"/>
    <w:rPr>
      <w:color w:val="333333"/>
      <w:sz w:val="16"/>
      <w:szCs w:val="16"/>
    </w:rPr>
  </w:style>
  <w:style w:type="character" w:customStyle="1" w:styleId="87">
    <w:name w:val="menutitle1"/>
    <w:basedOn w:val="14"/>
    <w:qFormat/>
    <w:uiPriority w:val="0"/>
    <w:rPr>
      <w:color w:val="333333"/>
      <w:sz w:val="16"/>
      <w:szCs w:val="16"/>
    </w:rPr>
  </w:style>
  <w:style w:type="character" w:customStyle="1" w:styleId="88">
    <w:name w:val="swapimg"/>
    <w:basedOn w:val="14"/>
    <w:qFormat/>
    <w:uiPriority w:val="0"/>
  </w:style>
  <w:style w:type="character" w:customStyle="1" w:styleId="89">
    <w:name w:val="swapimg1"/>
    <w:basedOn w:val="14"/>
    <w:qFormat/>
    <w:uiPriority w:val="0"/>
  </w:style>
  <w:style w:type="character" w:customStyle="1" w:styleId="90">
    <w:name w:val="close"/>
    <w:basedOn w:val="14"/>
    <w:qFormat/>
    <w:uiPriority w:val="0"/>
  </w:style>
  <w:style w:type="character" w:customStyle="1" w:styleId="91">
    <w:name w:val="hover"/>
    <w:basedOn w:val="14"/>
    <w:qFormat/>
    <w:uiPriority w:val="0"/>
  </w:style>
  <w:style w:type="character" w:customStyle="1" w:styleId="92">
    <w:name w:val="hover16"/>
    <w:basedOn w:val="14"/>
    <w:qFormat/>
    <w:uiPriority w:val="0"/>
  </w:style>
  <w:style w:type="character" w:customStyle="1" w:styleId="93">
    <w:name w:val="hover17"/>
    <w:basedOn w:val="14"/>
    <w:qFormat/>
    <w:uiPriority w:val="0"/>
  </w:style>
  <w:style w:type="character" w:customStyle="1" w:styleId="94">
    <w:name w:val="menutitle12"/>
    <w:basedOn w:val="14"/>
    <w:qFormat/>
    <w:uiPriority w:val="0"/>
    <w:rPr>
      <w:color w:val="333333"/>
      <w:sz w:val="24"/>
      <w:szCs w:val="24"/>
    </w:rPr>
  </w:style>
  <w:style w:type="character" w:customStyle="1" w:styleId="95">
    <w:name w:val="menutitle13"/>
    <w:basedOn w:val="14"/>
    <w:qFormat/>
    <w:uiPriority w:val="0"/>
    <w:rPr>
      <w:color w:val="333333"/>
      <w:sz w:val="24"/>
      <w:szCs w:val="24"/>
    </w:rPr>
  </w:style>
  <w:style w:type="character" w:customStyle="1" w:styleId="96">
    <w:name w:val="focus"/>
    <w:basedOn w:val="14"/>
    <w:qFormat/>
    <w:uiPriority w:val="0"/>
    <w:rPr>
      <w:b/>
      <w:bCs/>
      <w:color w:val="000000"/>
    </w:rPr>
  </w:style>
  <w:style w:type="character" w:customStyle="1" w:styleId="97">
    <w:name w:val="menutitle14"/>
    <w:basedOn w:val="14"/>
    <w:qFormat/>
    <w:uiPriority w:val="0"/>
    <w:rPr>
      <w:color w:val="333333"/>
      <w:sz w:val="24"/>
      <w:szCs w:val="24"/>
    </w:rPr>
  </w:style>
  <w:style w:type="character" w:customStyle="1" w:styleId="98">
    <w:name w:val="active"/>
    <w:basedOn w:val="14"/>
    <w:qFormat/>
    <w:uiPriority w:val="0"/>
    <w:rPr>
      <w:color w:val="FFFFFF"/>
      <w:shd w:val="clear" w:color="auto" w:fill="2B7AFC"/>
    </w:rPr>
  </w:style>
  <w:style w:type="character" w:customStyle="1" w:styleId="99">
    <w:name w:val="active4"/>
    <w:basedOn w:val="14"/>
    <w:qFormat/>
    <w:uiPriority w:val="0"/>
    <w:rPr>
      <w:color w:val="FFFFFF"/>
      <w:shd w:val="clear" w:color="auto" w:fill="2B7AFC"/>
    </w:rPr>
  </w:style>
  <w:style w:type="character" w:customStyle="1" w:styleId="100">
    <w:name w:val="red4"/>
    <w:basedOn w:val="14"/>
    <w:qFormat/>
    <w:uiPriority w:val="0"/>
    <w:rPr>
      <w:color w:val="FF0000"/>
      <w:sz w:val="18"/>
      <w:szCs w:val="18"/>
    </w:rPr>
  </w:style>
  <w:style w:type="character" w:customStyle="1" w:styleId="101">
    <w:name w:val="red5"/>
    <w:basedOn w:val="14"/>
    <w:qFormat/>
    <w:uiPriority w:val="0"/>
    <w:rPr>
      <w:color w:val="FF0000"/>
      <w:sz w:val="18"/>
      <w:szCs w:val="18"/>
    </w:rPr>
  </w:style>
  <w:style w:type="character" w:customStyle="1" w:styleId="102">
    <w:name w:val="red6"/>
    <w:basedOn w:val="14"/>
    <w:qFormat/>
    <w:uiPriority w:val="0"/>
    <w:rPr>
      <w:color w:val="CC0000"/>
    </w:rPr>
  </w:style>
  <w:style w:type="character" w:customStyle="1" w:styleId="103">
    <w:name w:val="red7"/>
    <w:basedOn w:val="14"/>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437</Words>
  <Characters>510</Characters>
  <Lines>8</Lines>
  <Paragraphs>7</Paragraphs>
  <TotalTime>0</TotalTime>
  <ScaleCrop>false</ScaleCrop>
  <LinksUpToDate>false</LinksUpToDate>
  <CharactersWithSpaces>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2019-03-11T08:08:00Z</dcterms:created>
  <dc:creator>dhzb004</dc:creator>
  <cp:lastModifiedBy>河南嘉泰工程管理有限公司:卜路号</cp:lastModifiedBy>
  <cp:lastPrinted>2021-11-18T10:15:00Z</cp:lastPrinted>
  <dcterms:modified xsi:type="dcterms:W3CDTF">2023-07-20T10:34:13Z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DA111F95C70C4E1ABA2C648499842906</vt:lpwstr>
  </property>
</Properties>
</file>