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Arial" w:asciiTheme="minorEastAsia" w:hAnsiTheme="minorEastAsia"/>
          <w:b/>
          <w:bCs/>
          <w:color w:val="auto"/>
          <w:kern w:val="0"/>
          <w:sz w:val="30"/>
          <w:szCs w:val="30"/>
        </w:rPr>
      </w:pPr>
      <w:bookmarkStart w:id="0" w:name="OLE_LINK1"/>
      <w:bookmarkStart w:id="1" w:name="OLE_LINK2"/>
      <w:r>
        <w:rPr>
          <w:rFonts w:hint="eastAsia" w:cs="Arial" w:asciiTheme="minorEastAsia" w:hAnsiTheme="minorEastAsia"/>
          <w:b/>
          <w:bCs/>
          <w:color w:val="auto"/>
          <w:kern w:val="0"/>
          <w:sz w:val="30"/>
          <w:szCs w:val="30"/>
          <w:lang w:val="en-US" w:eastAsia="zh-CN"/>
        </w:rPr>
        <w:t>YZCG-DLC2023060 禹州市环境保护局非道路移动机械定位设备安装及监督性检测资金项目</w:t>
      </w:r>
      <w:r>
        <w:rPr>
          <w:rFonts w:hint="eastAsia" w:cs="Arial" w:asciiTheme="minorEastAsia" w:hAnsiTheme="minorEastAsia"/>
          <w:b/>
          <w:bCs/>
          <w:color w:val="auto"/>
          <w:kern w:val="0"/>
          <w:sz w:val="30"/>
          <w:szCs w:val="30"/>
        </w:rPr>
        <w:t>（不见面开标）</w:t>
      </w:r>
    </w:p>
    <w:p>
      <w:pPr>
        <w:widowControl/>
        <w:spacing w:line="360" w:lineRule="auto"/>
        <w:jc w:val="center"/>
        <w:rPr>
          <w:rFonts w:cs="Arial" w:asciiTheme="minorEastAsia" w:hAnsiTheme="minorEastAsia"/>
          <w:b/>
          <w:bCs/>
          <w:color w:val="auto"/>
          <w:kern w:val="0"/>
          <w:sz w:val="30"/>
          <w:szCs w:val="30"/>
        </w:rPr>
      </w:pPr>
      <w:r>
        <w:rPr>
          <w:rFonts w:hint="eastAsia" w:cs="Arial" w:asciiTheme="minorEastAsia" w:hAnsiTheme="minorEastAsia"/>
          <w:b/>
          <w:bCs/>
          <w:color w:val="auto"/>
          <w:kern w:val="0"/>
          <w:sz w:val="30"/>
          <w:szCs w:val="30"/>
        </w:rPr>
        <w:t>中标公告</w:t>
      </w:r>
    </w:p>
    <w:p>
      <w:pPr>
        <w:widowControl/>
        <w:spacing w:line="360" w:lineRule="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一、项目基本情况</w:t>
      </w:r>
    </w:p>
    <w:p>
      <w:pPr>
        <w:widowControl/>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1、采购项目编号：</w:t>
      </w:r>
      <w:r>
        <w:rPr>
          <w:rFonts w:hint="eastAsia" w:ascii="宋体" w:hAnsi="宋体" w:eastAsia="宋体" w:cs="宋体"/>
          <w:color w:val="auto"/>
          <w:kern w:val="0"/>
          <w:sz w:val="21"/>
          <w:szCs w:val="21"/>
          <w:lang w:val="en-US" w:eastAsia="zh-CN"/>
        </w:rPr>
        <w:t xml:space="preserve">YZCG-DLC2023060 </w:t>
      </w:r>
    </w:p>
    <w:p>
      <w:pPr>
        <w:widowControl/>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2、采购项目名称：禹州市环境保护局非道路移动机械定位设备安装及监督性检测资金项目</w:t>
      </w:r>
    </w:p>
    <w:p>
      <w:pPr>
        <w:widowControl/>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3、采购方式：竞争性磋商</w:t>
      </w:r>
    </w:p>
    <w:p>
      <w:pPr>
        <w:widowControl/>
        <w:tabs>
          <w:tab w:val="center" w:pos="4153"/>
        </w:tabs>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4、招标公告发布日期：202</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日</w:t>
      </w:r>
    </w:p>
    <w:p>
      <w:pPr>
        <w:widowControl/>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5、评审日期：202</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18</w:t>
      </w:r>
      <w:r>
        <w:rPr>
          <w:rFonts w:hint="eastAsia" w:ascii="宋体" w:hAnsi="宋体" w:eastAsia="宋体" w:cs="宋体"/>
          <w:color w:val="auto"/>
          <w:kern w:val="0"/>
          <w:sz w:val="21"/>
          <w:szCs w:val="21"/>
        </w:rPr>
        <w:t>日</w:t>
      </w:r>
    </w:p>
    <w:p>
      <w:pPr>
        <w:tabs>
          <w:tab w:val="left" w:pos="7095"/>
        </w:tabs>
        <w:spacing w:line="384" w:lineRule="auto"/>
        <w:contextualSpacing/>
        <w:rPr>
          <w:rFonts w:hint="eastAsia" w:ascii="宋体" w:hAnsi="宋体" w:eastAsia="宋体" w:cs="宋体"/>
          <w:bCs/>
          <w:color w:val="auto"/>
          <w:sz w:val="21"/>
          <w:szCs w:val="21"/>
          <w:lang w:eastAsia="zh-CN"/>
        </w:rPr>
      </w:pPr>
      <w:r>
        <w:rPr>
          <w:rFonts w:hint="eastAsia" w:ascii="宋体" w:hAnsi="宋体" w:eastAsia="宋体" w:cs="宋体"/>
          <w:b/>
          <w:bCs/>
          <w:color w:val="auto"/>
          <w:sz w:val="21"/>
          <w:szCs w:val="21"/>
          <w:lang w:eastAsia="zh-CN"/>
        </w:rPr>
        <w:t>二、成交情况</w:t>
      </w:r>
    </w:p>
    <w:tbl>
      <w:tblPr>
        <w:tblStyle w:val="15"/>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882"/>
        <w:gridCol w:w="2420"/>
        <w:gridCol w:w="1389"/>
        <w:gridCol w:w="1534"/>
        <w:gridCol w:w="151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93" w:type="dxa"/>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包号</w:t>
            </w:r>
          </w:p>
        </w:tc>
        <w:tc>
          <w:tcPr>
            <w:tcW w:w="3302" w:type="dxa"/>
            <w:gridSpan w:val="2"/>
            <w:vAlign w:val="center"/>
          </w:tcPr>
          <w:p>
            <w:pPr>
              <w:widowControl/>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采购内容</w:t>
            </w:r>
          </w:p>
        </w:tc>
        <w:tc>
          <w:tcPr>
            <w:tcW w:w="1389"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供应商名称</w:t>
            </w:r>
          </w:p>
        </w:tc>
        <w:tc>
          <w:tcPr>
            <w:tcW w:w="1534" w:type="dxa"/>
            <w:vAlign w:val="center"/>
          </w:tcPr>
          <w:p>
            <w:pPr>
              <w:widowControl/>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地址</w:t>
            </w:r>
          </w:p>
        </w:tc>
        <w:tc>
          <w:tcPr>
            <w:tcW w:w="1512" w:type="dxa"/>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中标金额</w:t>
            </w:r>
          </w:p>
        </w:tc>
        <w:tc>
          <w:tcPr>
            <w:tcW w:w="1275" w:type="dxa"/>
            <w:vAlign w:val="center"/>
          </w:tcPr>
          <w:p>
            <w:pPr>
              <w:widowControl/>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093" w:type="dxa"/>
            <w:vMerge w:val="restart"/>
            <w:vAlign w:val="center"/>
          </w:tcPr>
          <w:p>
            <w:pPr>
              <w:pStyle w:val="4"/>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YZCG-DLC2023060</w:t>
            </w:r>
          </w:p>
        </w:tc>
        <w:tc>
          <w:tcPr>
            <w:tcW w:w="3302" w:type="dxa"/>
            <w:gridSpan w:val="2"/>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禹州市环境保护局非道路移动机械定位设备安装及监督性检测资金项目第一标段</w:t>
            </w:r>
          </w:p>
        </w:tc>
        <w:tc>
          <w:tcPr>
            <w:tcW w:w="1389"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河南省赛斯电子科技有限公司</w:t>
            </w:r>
          </w:p>
        </w:tc>
        <w:tc>
          <w:tcPr>
            <w:tcW w:w="1534"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郑州高新技术产业开发区翠竹街 1 号 66 号楼 2 楼 201 号</w:t>
            </w:r>
          </w:p>
        </w:tc>
        <w:tc>
          <w:tcPr>
            <w:tcW w:w="1512" w:type="dxa"/>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1257001</w:t>
            </w:r>
          </w:p>
        </w:tc>
        <w:tc>
          <w:tcPr>
            <w:tcW w:w="1275" w:type="dxa"/>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93" w:type="dxa"/>
            <w:vMerge w:val="continue"/>
            <w:vAlign w:val="center"/>
          </w:tcPr>
          <w:p>
            <w:pPr>
              <w:widowControl/>
              <w:spacing w:line="360" w:lineRule="auto"/>
              <w:ind w:firstLine="420" w:firstLineChars="200"/>
              <w:rPr>
                <w:rFonts w:hint="eastAsia" w:ascii="宋体" w:hAnsi="宋体" w:eastAsia="宋体" w:cs="宋体"/>
                <w:color w:val="auto"/>
                <w:kern w:val="0"/>
                <w:sz w:val="21"/>
                <w:szCs w:val="21"/>
              </w:rPr>
            </w:pPr>
          </w:p>
        </w:tc>
        <w:tc>
          <w:tcPr>
            <w:tcW w:w="882" w:type="dxa"/>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2420" w:type="dxa"/>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名称</w:t>
            </w:r>
          </w:p>
        </w:tc>
        <w:tc>
          <w:tcPr>
            <w:tcW w:w="1389" w:type="dxa"/>
            <w:vAlign w:val="center"/>
          </w:tcPr>
          <w:p>
            <w:pPr>
              <w:widowControl/>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服务范围</w:t>
            </w:r>
          </w:p>
        </w:tc>
        <w:tc>
          <w:tcPr>
            <w:tcW w:w="1534" w:type="dxa"/>
            <w:vAlign w:val="center"/>
          </w:tcPr>
          <w:p>
            <w:pPr>
              <w:widowControl/>
              <w:spacing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服务要求</w:t>
            </w:r>
          </w:p>
        </w:tc>
        <w:tc>
          <w:tcPr>
            <w:tcW w:w="1512" w:type="dxa"/>
            <w:vAlign w:val="center"/>
          </w:tcPr>
          <w:p>
            <w:pPr>
              <w:widowControl/>
              <w:spacing w:line="360" w:lineRule="auto"/>
              <w:ind w:firstLine="210" w:firstLineChars="1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服务时间</w:t>
            </w:r>
          </w:p>
        </w:tc>
        <w:tc>
          <w:tcPr>
            <w:tcW w:w="1275" w:type="dxa"/>
            <w:vAlign w:val="center"/>
          </w:tcPr>
          <w:p>
            <w:pPr>
              <w:widowControl/>
              <w:spacing w:line="360"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1093" w:type="dxa"/>
            <w:vMerge w:val="continue"/>
            <w:vAlign w:val="center"/>
          </w:tcPr>
          <w:p>
            <w:pPr>
              <w:widowControl/>
              <w:spacing w:line="360" w:lineRule="auto"/>
              <w:ind w:firstLine="420" w:firstLineChars="200"/>
              <w:rPr>
                <w:rFonts w:hint="eastAsia" w:ascii="宋体" w:hAnsi="宋体" w:eastAsia="宋体" w:cs="宋体"/>
                <w:color w:val="auto"/>
                <w:kern w:val="0"/>
                <w:sz w:val="21"/>
                <w:szCs w:val="21"/>
              </w:rPr>
            </w:pPr>
          </w:p>
        </w:tc>
        <w:tc>
          <w:tcPr>
            <w:tcW w:w="882" w:type="dxa"/>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420"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禹州市环境保护局非道路移动机械定位设备安装及监督性检测资金项目第一标段</w:t>
            </w:r>
          </w:p>
        </w:tc>
        <w:tc>
          <w:tcPr>
            <w:tcW w:w="1389"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详见附件</w:t>
            </w:r>
          </w:p>
        </w:tc>
        <w:tc>
          <w:tcPr>
            <w:tcW w:w="1534" w:type="dxa"/>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详见附件</w:t>
            </w:r>
          </w:p>
        </w:tc>
        <w:tc>
          <w:tcPr>
            <w:tcW w:w="1512"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详见附件</w:t>
            </w:r>
          </w:p>
        </w:tc>
        <w:tc>
          <w:tcPr>
            <w:tcW w:w="1275"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93" w:type="dxa"/>
            <w:vAlign w:val="center"/>
          </w:tcPr>
          <w:p>
            <w:pPr>
              <w:widowControl/>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包号</w:t>
            </w:r>
          </w:p>
        </w:tc>
        <w:tc>
          <w:tcPr>
            <w:tcW w:w="3302" w:type="dxa"/>
            <w:gridSpan w:val="2"/>
            <w:vAlign w:val="center"/>
          </w:tcPr>
          <w:p>
            <w:pPr>
              <w:widowControl/>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采购内容</w:t>
            </w:r>
          </w:p>
        </w:tc>
        <w:tc>
          <w:tcPr>
            <w:tcW w:w="1389"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供应商名称</w:t>
            </w:r>
          </w:p>
        </w:tc>
        <w:tc>
          <w:tcPr>
            <w:tcW w:w="1534" w:type="dxa"/>
            <w:vAlign w:val="center"/>
          </w:tcPr>
          <w:p>
            <w:pPr>
              <w:widowControl/>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地址</w:t>
            </w:r>
          </w:p>
        </w:tc>
        <w:tc>
          <w:tcPr>
            <w:tcW w:w="1512" w:type="dxa"/>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中标金额</w:t>
            </w:r>
          </w:p>
        </w:tc>
        <w:tc>
          <w:tcPr>
            <w:tcW w:w="1275" w:type="dxa"/>
            <w:vAlign w:val="center"/>
          </w:tcPr>
          <w:p>
            <w:pPr>
              <w:widowControl/>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1093" w:type="dxa"/>
            <w:vMerge w:val="restart"/>
            <w:vAlign w:val="center"/>
          </w:tcPr>
          <w:p>
            <w:pPr>
              <w:pStyle w:val="4"/>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YZCG-DLC2023060</w:t>
            </w:r>
          </w:p>
        </w:tc>
        <w:tc>
          <w:tcPr>
            <w:tcW w:w="3302" w:type="dxa"/>
            <w:gridSpan w:val="2"/>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禹州市环境保护局非道路移动机械定位设备安装及监督性检测资金项目第二标段</w:t>
            </w:r>
          </w:p>
        </w:tc>
        <w:tc>
          <w:tcPr>
            <w:tcW w:w="1389"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河南环诺检验检测有限公司</w:t>
            </w:r>
          </w:p>
        </w:tc>
        <w:tc>
          <w:tcPr>
            <w:tcW w:w="1534" w:type="dxa"/>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河南省三门峡市开发区怡和佳苑6 号楼1 单元10 号</w:t>
            </w:r>
          </w:p>
        </w:tc>
        <w:tc>
          <w:tcPr>
            <w:tcW w:w="1512" w:type="dxa"/>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113970</w:t>
            </w:r>
          </w:p>
        </w:tc>
        <w:tc>
          <w:tcPr>
            <w:tcW w:w="1275" w:type="dxa"/>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93" w:type="dxa"/>
            <w:vMerge w:val="continue"/>
            <w:vAlign w:val="center"/>
          </w:tcPr>
          <w:p>
            <w:pPr>
              <w:widowControl/>
              <w:spacing w:line="360" w:lineRule="auto"/>
              <w:ind w:firstLine="420" w:firstLineChars="200"/>
              <w:rPr>
                <w:rFonts w:hint="eastAsia" w:ascii="宋体" w:hAnsi="宋体" w:eastAsia="宋体" w:cs="宋体"/>
                <w:color w:val="auto"/>
                <w:kern w:val="0"/>
                <w:sz w:val="21"/>
                <w:szCs w:val="21"/>
              </w:rPr>
            </w:pPr>
          </w:p>
        </w:tc>
        <w:tc>
          <w:tcPr>
            <w:tcW w:w="882" w:type="dxa"/>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2420" w:type="dxa"/>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名称</w:t>
            </w:r>
          </w:p>
        </w:tc>
        <w:tc>
          <w:tcPr>
            <w:tcW w:w="1389" w:type="dxa"/>
            <w:vAlign w:val="center"/>
          </w:tcPr>
          <w:p>
            <w:pPr>
              <w:widowControl/>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服务范围</w:t>
            </w:r>
          </w:p>
        </w:tc>
        <w:tc>
          <w:tcPr>
            <w:tcW w:w="1534" w:type="dxa"/>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服务要求</w:t>
            </w:r>
          </w:p>
        </w:tc>
        <w:tc>
          <w:tcPr>
            <w:tcW w:w="1512" w:type="dxa"/>
            <w:vAlign w:val="center"/>
          </w:tcPr>
          <w:p>
            <w:pPr>
              <w:widowControl/>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服务时间</w:t>
            </w:r>
          </w:p>
        </w:tc>
        <w:tc>
          <w:tcPr>
            <w:tcW w:w="1275"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1093" w:type="dxa"/>
            <w:vMerge w:val="continue"/>
            <w:vAlign w:val="center"/>
          </w:tcPr>
          <w:p>
            <w:pPr>
              <w:widowControl/>
              <w:spacing w:line="360" w:lineRule="auto"/>
              <w:ind w:firstLine="420" w:firstLineChars="200"/>
              <w:rPr>
                <w:rFonts w:hint="eastAsia" w:ascii="宋体" w:hAnsi="宋体" w:eastAsia="宋体" w:cs="宋体"/>
                <w:color w:val="auto"/>
                <w:kern w:val="0"/>
                <w:sz w:val="21"/>
                <w:szCs w:val="21"/>
              </w:rPr>
            </w:pPr>
          </w:p>
        </w:tc>
        <w:tc>
          <w:tcPr>
            <w:tcW w:w="882" w:type="dxa"/>
            <w:vAlign w:val="center"/>
          </w:tcPr>
          <w:p>
            <w:pPr>
              <w:widowControl/>
              <w:spacing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2420"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禹州市环境保护局非道路移动机械定位设备安装及监督性检测资金项目第二标段</w:t>
            </w:r>
          </w:p>
        </w:tc>
        <w:tc>
          <w:tcPr>
            <w:tcW w:w="1389"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详见附件</w:t>
            </w:r>
          </w:p>
        </w:tc>
        <w:tc>
          <w:tcPr>
            <w:tcW w:w="1534" w:type="dxa"/>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详见附件</w:t>
            </w:r>
          </w:p>
        </w:tc>
        <w:tc>
          <w:tcPr>
            <w:tcW w:w="1512"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详见附件</w:t>
            </w:r>
          </w:p>
        </w:tc>
        <w:tc>
          <w:tcPr>
            <w:tcW w:w="1275"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详见附件</w:t>
            </w:r>
          </w:p>
        </w:tc>
      </w:tr>
    </w:tbl>
    <w:p>
      <w:pPr>
        <w:widowControl/>
        <w:numPr>
          <w:ilvl w:val="0"/>
          <w:numId w:val="0"/>
        </w:numPr>
        <w:spacing w:line="360" w:lineRule="auto"/>
        <w:rPr>
          <w:rFonts w:hint="eastAsia" w:ascii="宋体" w:hAnsi="宋体" w:eastAsia="宋体" w:cs="宋体"/>
          <w:b/>
          <w:bCs/>
          <w:color w:val="auto"/>
          <w:kern w:val="0"/>
          <w:sz w:val="21"/>
          <w:szCs w:val="21"/>
        </w:rPr>
      </w:pPr>
    </w:p>
    <w:p>
      <w:pPr>
        <w:widowControl/>
        <w:spacing w:line="360" w:lineRule="auto"/>
        <w:rPr>
          <w:rFonts w:hint="eastAsia" w:ascii="宋体" w:hAnsi="宋体" w:eastAsia="宋体" w:cs="宋体"/>
          <w:b/>
          <w:bCs/>
          <w:color w:val="auto"/>
          <w:kern w:val="0"/>
          <w:sz w:val="21"/>
          <w:szCs w:val="21"/>
          <w:lang w:val="en-GB"/>
        </w:rPr>
      </w:pPr>
      <w:r>
        <w:rPr>
          <w:rFonts w:hint="eastAsia" w:ascii="宋体" w:hAnsi="宋体" w:eastAsia="宋体" w:cs="宋体"/>
          <w:b/>
          <w:bCs/>
          <w:color w:val="auto"/>
          <w:kern w:val="0"/>
          <w:sz w:val="21"/>
          <w:szCs w:val="21"/>
          <w:lang w:val="en-GB" w:eastAsia="zh-CN"/>
        </w:rPr>
        <w:t>三、</w:t>
      </w:r>
      <w:r>
        <w:rPr>
          <w:rFonts w:hint="eastAsia" w:ascii="宋体" w:hAnsi="宋体" w:eastAsia="宋体" w:cs="宋体"/>
          <w:b/>
          <w:bCs/>
          <w:color w:val="auto"/>
          <w:kern w:val="0"/>
          <w:sz w:val="21"/>
          <w:szCs w:val="21"/>
          <w:lang w:val="en-GB"/>
        </w:rPr>
        <w:t>评审专家名单</w:t>
      </w:r>
    </w:p>
    <w:p>
      <w:pPr>
        <w:widowControl/>
        <w:spacing w:line="360" w:lineRule="auto"/>
        <w:ind w:firstLine="420" w:firstLineChars="200"/>
        <w:rPr>
          <w:rFonts w:hint="eastAsia" w:ascii="宋体" w:hAnsi="宋体" w:eastAsia="宋体" w:cs="宋体"/>
          <w:color w:val="auto"/>
          <w:kern w:val="0"/>
          <w:sz w:val="21"/>
          <w:szCs w:val="21"/>
          <w:lang w:val="en-GB" w:eastAsia="zh-CN"/>
        </w:rPr>
      </w:pPr>
      <w:r>
        <w:rPr>
          <w:rFonts w:hint="eastAsia" w:ascii="宋体" w:hAnsi="宋体" w:eastAsia="宋体" w:cs="宋体"/>
          <w:color w:val="auto"/>
          <w:kern w:val="0"/>
          <w:sz w:val="21"/>
          <w:szCs w:val="21"/>
          <w:lang w:val="en-GB" w:eastAsia="zh-CN"/>
        </w:rPr>
        <w:t>蒋玉环、王国平、郑苏</w:t>
      </w:r>
    </w:p>
    <w:p>
      <w:pPr>
        <w:widowControl/>
        <w:spacing w:line="360" w:lineRule="auto"/>
        <w:rPr>
          <w:rFonts w:hint="eastAsia" w:ascii="宋体" w:hAnsi="宋体" w:eastAsia="宋体" w:cs="宋体"/>
          <w:b/>
          <w:bCs/>
          <w:color w:val="auto"/>
          <w:kern w:val="0"/>
          <w:sz w:val="21"/>
          <w:szCs w:val="21"/>
          <w:lang w:val="en-GB"/>
        </w:rPr>
      </w:pPr>
      <w:r>
        <w:rPr>
          <w:rFonts w:hint="eastAsia" w:ascii="宋体" w:hAnsi="宋体" w:eastAsia="宋体" w:cs="宋体"/>
          <w:b/>
          <w:bCs/>
          <w:color w:val="auto"/>
          <w:kern w:val="0"/>
          <w:sz w:val="21"/>
          <w:szCs w:val="21"/>
          <w:lang w:val="en-GB" w:eastAsia="zh-CN"/>
        </w:rPr>
        <w:t>四、</w:t>
      </w:r>
      <w:r>
        <w:rPr>
          <w:rFonts w:hint="eastAsia" w:ascii="宋体" w:hAnsi="宋体" w:eastAsia="宋体" w:cs="宋体"/>
          <w:b/>
          <w:bCs/>
          <w:color w:val="auto"/>
          <w:kern w:val="0"/>
          <w:sz w:val="21"/>
          <w:szCs w:val="21"/>
          <w:lang w:val="en-GB"/>
        </w:rPr>
        <w:t>代理服务收费标准及金额</w:t>
      </w:r>
    </w:p>
    <w:p>
      <w:pPr>
        <w:widowControl/>
        <w:spacing w:line="360" w:lineRule="auto"/>
        <w:ind w:firstLine="420" w:firstLineChars="200"/>
        <w:rPr>
          <w:rFonts w:hint="eastAsia" w:ascii="宋体" w:hAnsi="宋体" w:eastAsia="宋体" w:cs="宋体"/>
          <w:color w:val="auto"/>
          <w:kern w:val="0"/>
          <w:sz w:val="21"/>
          <w:szCs w:val="21"/>
          <w:lang w:val="en-GB"/>
        </w:rPr>
      </w:pPr>
      <w:r>
        <w:rPr>
          <w:rFonts w:hint="eastAsia" w:ascii="宋体" w:hAnsi="宋体" w:eastAsia="宋体" w:cs="宋体"/>
          <w:color w:val="auto"/>
          <w:kern w:val="0"/>
          <w:sz w:val="21"/>
          <w:szCs w:val="21"/>
          <w:lang w:val="en-GB"/>
        </w:rPr>
        <w:t>收费标准：招标代理服务费</w:t>
      </w:r>
      <w:r>
        <w:rPr>
          <w:rFonts w:hint="eastAsia" w:ascii="宋体" w:hAnsi="宋体" w:eastAsia="宋体" w:cs="宋体"/>
          <w:color w:val="auto"/>
          <w:kern w:val="0"/>
          <w:sz w:val="21"/>
          <w:szCs w:val="21"/>
          <w:lang w:val="en-GB" w:eastAsia="zh-CN"/>
        </w:rPr>
        <w:t>按照豫招协</w:t>
      </w:r>
      <w:r>
        <w:rPr>
          <w:rFonts w:hint="eastAsia" w:ascii="宋体" w:hAnsi="宋体" w:eastAsia="宋体" w:cs="宋体"/>
          <w:color w:val="auto"/>
          <w:kern w:val="0"/>
          <w:sz w:val="21"/>
          <w:szCs w:val="21"/>
          <w:lang w:val="en-GB"/>
        </w:rPr>
        <w:t>〔20</w:t>
      </w:r>
      <w:r>
        <w:rPr>
          <w:rFonts w:hint="eastAsia" w:ascii="宋体" w:hAnsi="宋体" w:eastAsia="宋体" w:cs="宋体"/>
          <w:color w:val="auto"/>
          <w:kern w:val="0"/>
          <w:sz w:val="21"/>
          <w:szCs w:val="21"/>
          <w:lang w:val="en-US" w:eastAsia="zh-CN"/>
        </w:rPr>
        <w:t>23</w:t>
      </w:r>
      <w:r>
        <w:rPr>
          <w:rFonts w:hint="eastAsia" w:ascii="宋体" w:hAnsi="宋体" w:eastAsia="宋体" w:cs="宋体"/>
          <w:color w:val="auto"/>
          <w:kern w:val="0"/>
          <w:sz w:val="21"/>
          <w:szCs w:val="21"/>
          <w:lang w:val="en-GB"/>
        </w:rPr>
        <w:t>〕</w:t>
      </w:r>
      <w:r>
        <w:rPr>
          <w:rFonts w:hint="eastAsia" w:ascii="宋体" w:hAnsi="宋体" w:eastAsia="宋体" w:cs="宋体"/>
          <w:color w:val="auto"/>
          <w:kern w:val="0"/>
          <w:sz w:val="21"/>
          <w:szCs w:val="21"/>
          <w:lang w:val="en-US" w:eastAsia="zh-CN"/>
        </w:rPr>
        <w:t>002</w:t>
      </w:r>
      <w:r>
        <w:rPr>
          <w:rFonts w:hint="eastAsia" w:ascii="宋体" w:hAnsi="宋体" w:eastAsia="宋体" w:cs="宋体"/>
          <w:color w:val="auto"/>
          <w:kern w:val="0"/>
          <w:sz w:val="21"/>
          <w:szCs w:val="21"/>
          <w:lang w:val="en-GB"/>
        </w:rPr>
        <w:t>《</w:t>
      </w:r>
      <w:r>
        <w:rPr>
          <w:rFonts w:hint="eastAsia" w:ascii="宋体" w:hAnsi="宋体" w:eastAsia="宋体" w:cs="宋体"/>
          <w:color w:val="auto"/>
          <w:kern w:val="0"/>
          <w:sz w:val="21"/>
          <w:szCs w:val="21"/>
          <w:lang w:val="en-GB" w:eastAsia="zh-CN"/>
        </w:rPr>
        <w:t>河南省招标代理服务收费指导意见</w:t>
      </w:r>
      <w:r>
        <w:rPr>
          <w:rFonts w:hint="eastAsia" w:ascii="宋体" w:hAnsi="宋体" w:eastAsia="宋体" w:cs="宋体"/>
          <w:color w:val="auto"/>
          <w:kern w:val="0"/>
          <w:sz w:val="21"/>
          <w:szCs w:val="21"/>
          <w:lang w:val="en-GB"/>
        </w:rPr>
        <w:t>》</w:t>
      </w:r>
      <w:r>
        <w:rPr>
          <w:rFonts w:hint="eastAsia" w:ascii="宋体" w:hAnsi="宋体" w:eastAsia="宋体" w:cs="宋体"/>
          <w:color w:val="auto"/>
          <w:kern w:val="0"/>
          <w:sz w:val="21"/>
          <w:szCs w:val="21"/>
          <w:lang w:val="en-GB" w:eastAsia="zh-CN"/>
        </w:rPr>
        <w:t>收取</w:t>
      </w:r>
      <w:r>
        <w:rPr>
          <w:rFonts w:hint="eastAsia" w:ascii="宋体" w:hAnsi="宋体" w:eastAsia="宋体" w:cs="宋体"/>
          <w:color w:val="auto"/>
          <w:kern w:val="0"/>
          <w:sz w:val="21"/>
          <w:szCs w:val="21"/>
          <w:lang w:val="en-GB"/>
        </w:rPr>
        <w:t>之有关规定内容收取</w:t>
      </w:r>
      <w:r>
        <w:rPr>
          <w:rFonts w:hint="eastAsia" w:ascii="宋体" w:hAnsi="宋体" w:eastAsia="宋体" w:cs="宋体"/>
          <w:color w:val="auto"/>
          <w:kern w:val="0"/>
          <w:sz w:val="21"/>
          <w:szCs w:val="21"/>
          <w:lang w:val="zh-CN"/>
        </w:rPr>
        <w:t>。</w:t>
      </w:r>
      <w:bookmarkStart w:id="2" w:name="_GoBack"/>
      <w:bookmarkEnd w:id="2"/>
    </w:p>
    <w:p>
      <w:pPr>
        <w:widowControl/>
        <w:spacing w:line="360" w:lineRule="auto"/>
        <w:ind w:firstLine="420" w:firstLineChars="200"/>
        <w:rPr>
          <w:rFonts w:hint="eastAsia" w:ascii="宋体" w:hAnsi="宋体" w:eastAsia="宋体" w:cs="宋体"/>
          <w:color w:val="auto"/>
          <w:kern w:val="0"/>
          <w:sz w:val="21"/>
          <w:szCs w:val="21"/>
          <w:lang w:val="en-GB"/>
        </w:rPr>
      </w:pPr>
      <w:r>
        <w:rPr>
          <w:rFonts w:hint="eastAsia" w:ascii="宋体" w:hAnsi="宋体" w:eastAsia="宋体" w:cs="宋体"/>
          <w:color w:val="auto"/>
          <w:kern w:val="0"/>
          <w:sz w:val="21"/>
          <w:szCs w:val="21"/>
          <w:lang w:val="en-GB"/>
        </w:rPr>
        <w:t>收费金额：</w:t>
      </w:r>
      <w:r>
        <w:rPr>
          <w:rFonts w:hint="eastAsia" w:ascii="宋体" w:hAnsi="宋体" w:eastAsia="宋体" w:cs="宋体"/>
          <w:color w:val="auto"/>
          <w:kern w:val="0"/>
          <w:sz w:val="21"/>
          <w:szCs w:val="21"/>
          <w:lang w:val="en-US" w:eastAsia="zh-CN"/>
        </w:rPr>
        <w:t>22021.50</w:t>
      </w:r>
      <w:r>
        <w:rPr>
          <w:rFonts w:hint="eastAsia" w:ascii="宋体" w:hAnsi="宋体" w:eastAsia="宋体" w:cs="宋体"/>
          <w:color w:val="auto"/>
          <w:kern w:val="0"/>
          <w:sz w:val="21"/>
          <w:szCs w:val="21"/>
          <w:lang w:val="en-GB"/>
        </w:rPr>
        <w:t>元。</w:t>
      </w:r>
    </w:p>
    <w:p>
      <w:pPr>
        <w:widowControl/>
        <w:spacing w:line="360" w:lineRule="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eastAsia="zh-CN"/>
        </w:rPr>
        <w:t>五</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成交</w:t>
      </w:r>
      <w:r>
        <w:rPr>
          <w:rFonts w:hint="eastAsia" w:ascii="宋体" w:hAnsi="宋体" w:eastAsia="宋体" w:cs="宋体"/>
          <w:b/>
          <w:bCs/>
          <w:color w:val="auto"/>
          <w:kern w:val="0"/>
          <w:sz w:val="21"/>
          <w:szCs w:val="21"/>
        </w:rPr>
        <w:t>公告发布的媒介及</w:t>
      </w:r>
      <w:r>
        <w:rPr>
          <w:rFonts w:hint="eastAsia" w:ascii="宋体" w:hAnsi="宋体" w:eastAsia="宋体" w:cs="宋体"/>
          <w:b/>
          <w:bCs/>
          <w:color w:val="auto"/>
          <w:kern w:val="0"/>
          <w:sz w:val="21"/>
          <w:szCs w:val="21"/>
          <w:lang w:eastAsia="zh-CN"/>
        </w:rPr>
        <w:t>成交</w:t>
      </w:r>
      <w:r>
        <w:rPr>
          <w:rFonts w:hint="eastAsia" w:ascii="宋体" w:hAnsi="宋体" w:eastAsia="宋体" w:cs="宋体"/>
          <w:b/>
          <w:bCs/>
          <w:color w:val="auto"/>
          <w:kern w:val="0"/>
          <w:sz w:val="21"/>
          <w:szCs w:val="21"/>
        </w:rPr>
        <w:t>公告期限</w:t>
      </w:r>
    </w:p>
    <w:p>
      <w:pPr>
        <w:widowControl/>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本次中标公告在</w:t>
      </w:r>
      <w:r>
        <w:rPr>
          <w:rFonts w:hint="eastAsia" w:ascii="宋体" w:hAnsi="宋体" w:eastAsia="宋体" w:cs="宋体"/>
          <w:color w:val="auto"/>
          <w:kern w:val="0"/>
          <w:sz w:val="21"/>
          <w:szCs w:val="21"/>
          <w:lang w:val="en-GB"/>
        </w:rPr>
        <w:t>《河南省政府采购网》《许昌市政府采购网》《全国公共资源交易平台（河南省•许昌市）》</w:t>
      </w:r>
      <w:r>
        <w:rPr>
          <w:rFonts w:hint="eastAsia" w:ascii="宋体" w:hAnsi="宋体" w:eastAsia="宋体" w:cs="宋体"/>
          <w:color w:val="auto"/>
          <w:kern w:val="0"/>
          <w:sz w:val="21"/>
          <w:szCs w:val="21"/>
        </w:rPr>
        <w:t>上发布。成交公告期限为1个工作日。</w:t>
      </w:r>
    </w:p>
    <w:p>
      <w:pPr>
        <w:widowControl/>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六</w:t>
      </w:r>
      <w:r>
        <w:rPr>
          <w:rFonts w:hint="eastAsia" w:ascii="宋体" w:hAnsi="宋体" w:eastAsia="宋体" w:cs="宋体"/>
          <w:b/>
          <w:color w:val="auto"/>
          <w:sz w:val="21"/>
          <w:szCs w:val="21"/>
        </w:rPr>
        <w:t>、其它补充事宜</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供应商在结果公告期间，按照《政府采购质疑和投诉办法》的有关规定，已质疑的供应商可以依法向财政部门提起书面投诉。</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受理部门：禹州市财政局政府采购监督管理办公室</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受理电话：0374-8112523   </w:t>
      </w:r>
    </w:p>
    <w:p>
      <w:pPr>
        <w:spacing w:line="4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电子邮箱：yzscgb8112523@163.com</w:t>
      </w:r>
    </w:p>
    <w:p>
      <w:pPr>
        <w:spacing w:line="4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地址：禹州市行政北路2号禹州市财政局1305房间</w:t>
      </w:r>
    </w:p>
    <w:p>
      <w:pPr>
        <w:widowControl/>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七</w:t>
      </w:r>
      <w:r>
        <w:rPr>
          <w:rFonts w:hint="eastAsia" w:ascii="宋体" w:hAnsi="宋体" w:eastAsia="宋体" w:cs="宋体"/>
          <w:b/>
          <w:color w:val="auto"/>
          <w:sz w:val="21"/>
          <w:szCs w:val="21"/>
        </w:rPr>
        <w:t>、凡对本次公告内容提出询问，请按以下方式联系。</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1.采购人信息</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名称：禹州市环境保护局</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地址：禹州市行政北路2号创业大厦</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联系人：焦女士  </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联系电话：0374-6066221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2.采购代理机构信息</w:t>
      </w:r>
    </w:p>
    <w:p>
      <w:pPr>
        <w:spacing w:line="440" w:lineRule="exact"/>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名称：</w:t>
      </w:r>
      <w:r>
        <w:rPr>
          <w:rFonts w:hint="eastAsia" w:ascii="宋体" w:hAnsi="宋体" w:eastAsia="宋体" w:cs="宋体"/>
          <w:color w:val="auto"/>
          <w:kern w:val="0"/>
          <w:sz w:val="21"/>
          <w:szCs w:val="21"/>
        </w:rPr>
        <w:t>许昌丰元咨询管理有限公司</w:t>
      </w:r>
    </w:p>
    <w:p>
      <w:pPr>
        <w:spacing w:line="440" w:lineRule="exact"/>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地址：</w:t>
      </w:r>
      <w:r>
        <w:rPr>
          <w:rFonts w:hint="eastAsia" w:ascii="宋体" w:hAnsi="宋体" w:eastAsia="宋体" w:cs="宋体"/>
          <w:color w:val="auto"/>
          <w:kern w:val="0"/>
          <w:sz w:val="21"/>
          <w:szCs w:val="21"/>
        </w:rPr>
        <w:t>禹州市颍北大道6号</w:t>
      </w:r>
    </w:p>
    <w:p>
      <w:pPr>
        <w:spacing w:line="440" w:lineRule="exact"/>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联系人：</w:t>
      </w:r>
      <w:r>
        <w:rPr>
          <w:rFonts w:hint="eastAsia" w:ascii="宋体" w:hAnsi="宋体" w:eastAsia="宋体" w:cs="宋体"/>
          <w:color w:val="auto"/>
          <w:kern w:val="0"/>
          <w:sz w:val="21"/>
          <w:szCs w:val="21"/>
        </w:rPr>
        <w:t>连女士</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联系电话：0374-8281999</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3.项目联系方式</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联系人：连女士</w:t>
      </w:r>
    </w:p>
    <w:p>
      <w:pPr>
        <w:spacing w:line="44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shd w:val="clear" w:color="auto" w:fill="FFFFFF"/>
        </w:rPr>
        <w:t>联系电话：</w:t>
      </w:r>
      <w:r>
        <w:rPr>
          <w:rFonts w:hint="eastAsia" w:ascii="宋体" w:hAnsi="宋体" w:eastAsia="宋体" w:cs="宋体"/>
          <w:color w:val="auto"/>
          <w:kern w:val="0"/>
          <w:sz w:val="21"/>
          <w:szCs w:val="21"/>
        </w:rPr>
        <w:t>0374-8281999</w:t>
      </w:r>
    </w:p>
    <w:p>
      <w:pPr>
        <w:spacing w:line="440" w:lineRule="exact"/>
        <w:ind w:firstLine="6510" w:firstLineChars="3100"/>
        <w:jc w:val="both"/>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日</w:t>
      </w:r>
      <w:bookmarkEnd w:id="0"/>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3"/>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C053BD"/>
    <w:rsid w:val="000164F9"/>
    <w:rsid w:val="00023954"/>
    <w:rsid w:val="000308B2"/>
    <w:rsid w:val="000426B5"/>
    <w:rsid w:val="0004661F"/>
    <w:rsid w:val="000562DC"/>
    <w:rsid w:val="00060671"/>
    <w:rsid w:val="000623B3"/>
    <w:rsid w:val="000727FE"/>
    <w:rsid w:val="00076EA6"/>
    <w:rsid w:val="000B3975"/>
    <w:rsid w:val="000C111E"/>
    <w:rsid w:val="000C7A92"/>
    <w:rsid w:val="000C7DC5"/>
    <w:rsid w:val="000D3FD0"/>
    <w:rsid w:val="000E2BC1"/>
    <w:rsid w:val="000E4DE8"/>
    <w:rsid w:val="00116DEC"/>
    <w:rsid w:val="00132BE5"/>
    <w:rsid w:val="00136D73"/>
    <w:rsid w:val="00156866"/>
    <w:rsid w:val="00167A2D"/>
    <w:rsid w:val="0018327D"/>
    <w:rsid w:val="001B3100"/>
    <w:rsid w:val="001B6F78"/>
    <w:rsid w:val="001C231E"/>
    <w:rsid w:val="001D0119"/>
    <w:rsid w:val="001F7D77"/>
    <w:rsid w:val="00221D36"/>
    <w:rsid w:val="002277DE"/>
    <w:rsid w:val="00227D9F"/>
    <w:rsid w:val="00233711"/>
    <w:rsid w:val="00240107"/>
    <w:rsid w:val="00244C78"/>
    <w:rsid w:val="002567B6"/>
    <w:rsid w:val="00267DAC"/>
    <w:rsid w:val="002C6BC8"/>
    <w:rsid w:val="002D2C13"/>
    <w:rsid w:val="002D6640"/>
    <w:rsid w:val="002E6D71"/>
    <w:rsid w:val="00331F29"/>
    <w:rsid w:val="00346559"/>
    <w:rsid w:val="003614B4"/>
    <w:rsid w:val="003A3A34"/>
    <w:rsid w:val="003C6182"/>
    <w:rsid w:val="003C63B5"/>
    <w:rsid w:val="003C6FC8"/>
    <w:rsid w:val="003C7377"/>
    <w:rsid w:val="003E5D5E"/>
    <w:rsid w:val="003F50E3"/>
    <w:rsid w:val="004065DD"/>
    <w:rsid w:val="00443B34"/>
    <w:rsid w:val="0046360A"/>
    <w:rsid w:val="004879E5"/>
    <w:rsid w:val="00493A9C"/>
    <w:rsid w:val="004953DC"/>
    <w:rsid w:val="004B4219"/>
    <w:rsid w:val="004E5680"/>
    <w:rsid w:val="0050195D"/>
    <w:rsid w:val="00532154"/>
    <w:rsid w:val="005740C3"/>
    <w:rsid w:val="00583F61"/>
    <w:rsid w:val="00587896"/>
    <w:rsid w:val="005A52EF"/>
    <w:rsid w:val="005D3F38"/>
    <w:rsid w:val="005D5E49"/>
    <w:rsid w:val="0060442C"/>
    <w:rsid w:val="00620194"/>
    <w:rsid w:val="00620BD7"/>
    <w:rsid w:val="00635EAD"/>
    <w:rsid w:val="00641CF9"/>
    <w:rsid w:val="00655270"/>
    <w:rsid w:val="006B1DB2"/>
    <w:rsid w:val="006D4887"/>
    <w:rsid w:val="006D6899"/>
    <w:rsid w:val="00702376"/>
    <w:rsid w:val="00704A0B"/>
    <w:rsid w:val="00711A6B"/>
    <w:rsid w:val="007216B6"/>
    <w:rsid w:val="007341CE"/>
    <w:rsid w:val="00742A01"/>
    <w:rsid w:val="007440DE"/>
    <w:rsid w:val="00755061"/>
    <w:rsid w:val="00756E6E"/>
    <w:rsid w:val="007628A4"/>
    <w:rsid w:val="00781744"/>
    <w:rsid w:val="007861D0"/>
    <w:rsid w:val="007939A1"/>
    <w:rsid w:val="007A2320"/>
    <w:rsid w:val="007C3001"/>
    <w:rsid w:val="007D1E7D"/>
    <w:rsid w:val="008050C7"/>
    <w:rsid w:val="008145A2"/>
    <w:rsid w:val="00817FA0"/>
    <w:rsid w:val="00817FD4"/>
    <w:rsid w:val="008475A2"/>
    <w:rsid w:val="0087095A"/>
    <w:rsid w:val="00877ECA"/>
    <w:rsid w:val="0088620D"/>
    <w:rsid w:val="008B3912"/>
    <w:rsid w:val="008D3C25"/>
    <w:rsid w:val="008D5A27"/>
    <w:rsid w:val="008E1B22"/>
    <w:rsid w:val="00955AB1"/>
    <w:rsid w:val="00956837"/>
    <w:rsid w:val="009678D1"/>
    <w:rsid w:val="00995D91"/>
    <w:rsid w:val="009A177D"/>
    <w:rsid w:val="009E3A33"/>
    <w:rsid w:val="00A054F2"/>
    <w:rsid w:val="00A11D16"/>
    <w:rsid w:val="00A266D9"/>
    <w:rsid w:val="00A2747D"/>
    <w:rsid w:val="00A3325C"/>
    <w:rsid w:val="00A424E5"/>
    <w:rsid w:val="00A71D80"/>
    <w:rsid w:val="00A7230C"/>
    <w:rsid w:val="00A846E7"/>
    <w:rsid w:val="00A93635"/>
    <w:rsid w:val="00AA2D4B"/>
    <w:rsid w:val="00AB3649"/>
    <w:rsid w:val="00AB3706"/>
    <w:rsid w:val="00AC7AC7"/>
    <w:rsid w:val="00AE396F"/>
    <w:rsid w:val="00AE6DE3"/>
    <w:rsid w:val="00AF4D21"/>
    <w:rsid w:val="00B01138"/>
    <w:rsid w:val="00B177A5"/>
    <w:rsid w:val="00B231BA"/>
    <w:rsid w:val="00B37267"/>
    <w:rsid w:val="00B763A8"/>
    <w:rsid w:val="00BA4F7C"/>
    <w:rsid w:val="00BB2643"/>
    <w:rsid w:val="00BB5029"/>
    <w:rsid w:val="00BE4FD0"/>
    <w:rsid w:val="00BF76CD"/>
    <w:rsid w:val="00C053BD"/>
    <w:rsid w:val="00C11F77"/>
    <w:rsid w:val="00C120F0"/>
    <w:rsid w:val="00C214FD"/>
    <w:rsid w:val="00C34165"/>
    <w:rsid w:val="00C4112C"/>
    <w:rsid w:val="00C504B8"/>
    <w:rsid w:val="00C84316"/>
    <w:rsid w:val="00C84FCF"/>
    <w:rsid w:val="00C92F74"/>
    <w:rsid w:val="00CA0C24"/>
    <w:rsid w:val="00CB7BED"/>
    <w:rsid w:val="00CC066E"/>
    <w:rsid w:val="00CF283E"/>
    <w:rsid w:val="00CF3F03"/>
    <w:rsid w:val="00D02682"/>
    <w:rsid w:val="00D02F98"/>
    <w:rsid w:val="00D04D23"/>
    <w:rsid w:val="00D16A68"/>
    <w:rsid w:val="00D2514D"/>
    <w:rsid w:val="00D456F7"/>
    <w:rsid w:val="00D67A37"/>
    <w:rsid w:val="00D853B8"/>
    <w:rsid w:val="00D97A99"/>
    <w:rsid w:val="00DB46E6"/>
    <w:rsid w:val="00DC2713"/>
    <w:rsid w:val="00DE4067"/>
    <w:rsid w:val="00DE59B8"/>
    <w:rsid w:val="00DF0FCE"/>
    <w:rsid w:val="00DF14E9"/>
    <w:rsid w:val="00DF25BB"/>
    <w:rsid w:val="00E43528"/>
    <w:rsid w:val="00E47F2F"/>
    <w:rsid w:val="00E85BBD"/>
    <w:rsid w:val="00E95984"/>
    <w:rsid w:val="00EA21D6"/>
    <w:rsid w:val="00EA7A58"/>
    <w:rsid w:val="00EB6DE6"/>
    <w:rsid w:val="00EC62DB"/>
    <w:rsid w:val="00EE1A99"/>
    <w:rsid w:val="00EF432A"/>
    <w:rsid w:val="00EF7CA5"/>
    <w:rsid w:val="00F0052C"/>
    <w:rsid w:val="00F07B3C"/>
    <w:rsid w:val="00F21E7A"/>
    <w:rsid w:val="00F70528"/>
    <w:rsid w:val="00F72E08"/>
    <w:rsid w:val="00F7352D"/>
    <w:rsid w:val="00F77256"/>
    <w:rsid w:val="00F77A7A"/>
    <w:rsid w:val="00F829E2"/>
    <w:rsid w:val="00F961B9"/>
    <w:rsid w:val="00FA4034"/>
    <w:rsid w:val="00FA54E5"/>
    <w:rsid w:val="00FA5C13"/>
    <w:rsid w:val="00FB2204"/>
    <w:rsid w:val="00FB3FA8"/>
    <w:rsid w:val="00FC67A4"/>
    <w:rsid w:val="00FF46E2"/>
    <w:rsid w:val="01086D94"/>
    <w:rsid w:val="02DE7445"/>
    <w:rsid w:val="02F0175E"/>
    <w:rsid w:val="051F5FEE"/>
    <w:rsid w:val="053858BB"/>
    <w:rsid w:val="056D1BB5"/>
    <w:rsid w:val="073A192E"/>
    <w:rsid w:val="07637402"/>
    <w:rsid w:val="078A0004"/>
    <w:rsid w:val="08664F84"/>
    <w:rsid w:val="092D55BD"/>
    <w:rsid w:val="09336848"/>
    <w:rsid w:val="094822F4"/>
    <w:rsid w:val="09BC4A90"/>
    <w:rsid w:val="0A7A5E9D"/>
    <w:rsid w:val="0AAC0E61"/>
    <w:rsid w:val="0C275780"/>
    <w:rsid w:val="0CE7760E"/>
    <w:rsid w:val="0D1A5D55"/>
    <w:rsid w:val="0DF05BED"/>
    <w:rsid w:val="0EA73B12"/>
    <w:rsid w:val="0EA77ABC"/>
    <w:rsid w:val="0EC57F43"/>
    <w:rsid w:val="0F9A1ECB"/>
    <w:rsid w:val="10920B2B"/>
    <w:rsid w:val="12B055CD"/>
    <w:rsid w:val="12E65B21"/>
    <w:rsid w:val="13161184"/>
    <w:rsid w:val="142D05E3"/>
    <w:rsid w:val="14C333C2"/>
    <w:rsid w:val="16C752EE"/>
    <w:rsid w:val="17513C1A"/>
    <w:rsid w:val="1B354FBC"/>
    <w:rsid w:val="1CBA1502"/>
    <w:rsid w:val="1D6B0436"/>
    <w:rsid w:val="1D746D0A"/>
    <w:rsid w:val="1E06131C"/>
    <w:rsid w:val="1E6B0376"/>
    <w:rsid w:val="220041CA"/>
    <w:rsid w:val="22D94F62"/>
    <w:rsid w:val="23C4489A"/>
    <w:rsid w:val="2449146F"/>
    <w:rsid w:val="26263476"/>
    <w:rsid w:val="262A13C3"/>
    <w:rsid w:val="26556956"/>
    <w:rsid w:val="27CB48D6"/>
    <w:rsid w:val="27E568A2"/>
    <w:rsid w:val="2A832011"/>
    <w:rsid w:val="2B484BDC"/>
    <w:rsid w:val="2BB91F39"/>
    <w:rsid w:val="2C287064"/>
    <w:rsid w:val="2CDF7FCA"/>
    <w:rsid w:val="2DA744BB"/>
    <w:rsid w:val="2E3F6DD4"/>
    <w:rsid w:val="2FFF0C4F"/>
    <w:rsid w:val="3007230D"/>
    <w:rsid w:val="303F7A41"/>
    <w:rsid w:val="30BF10DF"/>
    <w:rsid w:val="30D20571"/>
    <w:rsid w:val="32E75E2A"/>
    <w:rsid w:val="3498562E"/>
    <w:rsid w:val="351C000D"/>
    <w:rsid w:val="35C1099B"/>
    <w:rsid w:val="36877062"/>
    <w:rsid w:val="37BE65AE"/>
    <w:rsid w:val="37EF2AB8"/>
    <w:rsid w:val="3999147C"/>
    <w:rsid w:val="39A47A62"/>
    <w:rsid w:val="3A96260F"/>
    <w:rsid w:val="3A972E22"/>
    <w:rsid w:val="3BB149FB"/>
    <w:rsid w:val="3C637029"/>
    <w:rsid w:val="3CA8487C"/>
    <w:rsid w:val="3E1053B5"/>
    <w:rsid w:val="3EC741D8"/>
    <w:rsid w:val="3F982986"/>
    <w:rsid w:val="3FA35937"/>
    <w:rsid w:val="40DA08A7"/>
    <w:rsid w:val="42C27D1A"/>
    <w:rsid w:val="42F87E26"/>
    <w:rsid w:val="43081BD1"/>
    <w:rsid w:val="47A16BE1"/>
    <w:rsid w:val="47C87526"/>
    <w:rsid w:val="483F4B44"/>
    <w:rsid w:val="48C46F80"/>
    <w:rsid w:val="48E96000"/>
    <w:rsid w:val="49117D98"/>
    <w:rsid w:val="4951787D"/>
    <w:rsid w:val="49A64017"/>
    <w:rsid w:val="49B605D8"/>
    <w:rsid w:val="49B91382"/>
    <w:rsid w:val="49E83C32"/>
    <w:rsid w:val="4A7D73E4"/>
    <w:rsid w:val="4BD5599A"/>
    <w:rsid w:val="4EFD3DEB"/>
    <w:rsid w:val="50595F65"/>
    <w:rsid w:val="509C4FA8"/>
    <w:rsid w:val="50B87B88"/>
    <w:rsid w:val="51FF0643"/>
    <w:rsid w:val="52CD35EC"/>
    <w:rsid w:val="533B381E"/>
    <w:rsid w:val="533E7511"/>
    <w:rsid w:val="53803589"/>
    <w:rsid w:val="5438608E"/>
    <w:rsid w:val="551C525A"/>
    <w:rsid w:val="55F17F48"/>
    <w:rsid w:val="56A807A0"/>
    <w:rsid w:val="56DB78D0"/>
    <w:rsid w:val="571D2E11"/>
    <w:rsid w:val="581A1553"/>
    <w:rsid w:val="58A722CB"/>
    <w:rsid w:val="5A2411E2"/>
    <w:rsid w:val="5AD1175C"/>
    <w:rsid w:val="5D0A6E00"/>
    <w:rsid w:val="5E714676"/>
    <w:rsid w:val="616B1762"/>
    <w:rsid w:val="637E0CC9"/>
    <w:rsid w:val="640C5A8B"/>
    <w:rsid w:val="640D79CA"/>
    <w:rsid w:val="66873338"/>
    <w:rsid w:val="673D60BC"/>
    <w:rsid w:val="68A04A40"/>
    <w:rsid w:val="6A5F7ABE"/>
    <w:rsid w:val="6A8716D9"/>
    <w:rsid w:val="6B3057ED"/>
    <w:rsid w:val="6B5A2A78"/>
    <w:rsid w:val="6CDA5A16"/>
    <w:rsid w:val="6D282CEC"/>
    <w:rsid w:val="6E736056"/>
    <w:rsid w:val="6E8D5E4E"/>
    <w:rsid w:val="6FEB6910"/>
    <w:rsid w:val="70F1146B"/>
    <w:rsid w:val="73405099"/>
    <w:rsid w:val="740B037A"/>
    <w:rsid w:val="745B0081"/>
    <w:rsid w:val="74AC240C"/>
    <w:rsid w:val="74B66E2F"/>
    <w:rsid w:val="75A60F80"/>
    <w:rsid w:val="75B10E02"/>
    <w:rsid w:val="77406BC0"/>
    <w:rsid w:val="77F34DE4"/>
    <w:rsid w:val="78AA632A"/>
    <w:rsid w:val="79F743AD"/>
    <w:rsid w:val="7B5036B1"/>
    <w:rsid w:val="7BB37628"/>
    <w:rsid w:val="7C06353E"/>
    <w:rsid w:val="7C0934EF"/>
    <w:rsid w:val="7C931133"/>
    <w:rsid w:val="7E9A2D7C"/>
    <w:rsid w:val="7F655F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25"/>
    <w:unhideWhenUsed/>
    <w:qFormat/>
    <w:uiPriority w:val="99"/>
    <w:pPr>
      <w:spacing w:after="120"/>
    </w:pPr>
  </w:style>
  <w:style w:type="paragraph" w:styleId="5">
    <w:name w:val="Body Text First Indent"/>
    <w:basedOn w:val="4"/>
    <w:next w:val="6"/>
    <w:link w:val="24"/>
    <w:qFormat/>
    <w:uiPriority w:val="0"/>
    <w:pPr>
      <w:ind w:firstLine="420" w:firstLineChars="100"/>
    </w:pPr>
    <w:rPr>
      <w:rFonts w:ascii="宋体" w:hAnsi="Times New Roman" w:eastAsia="宋体" w:cs="Times New Roman"/>
      <w:kern w:val="0"/>
      <w:sz w:val="34"/>
      <w:szCs w:val="20"/>
    </w:rPr>
  </w:style>
  <w:style w:type="paragraph" w:customStyle="1" w:styleId="6">
    <w:name w:val="List Paragraph1"/>
    <w:basedOn w:val="1"/>
    <w:next w:val="1"/>
    <w:qFormat/>
    <w:uiPriority w:val="0"/>
    <w:pPr>
      <w:spacing w:line="240" w:lineRule="auto"/>
      <w:ind w:left="420" w:firstLine="3748"/>
    </w:pPr>
  </w:style>
  <w:style w:type="paragraph" w:styleId="7">
    <w:name w:val="Body Text Indent"/>
    <w:basedOn w:val="1"/>
    <w:next w:val="8"/>
    <w:qFormat/>
    <w:uiPriority w:val="0"/>
    <w:pPr>
      <w:adjustRightInd w:val="0"/>
      <w:spacing w:after="120" w:line="360" w:lineRule="atLeast"/>
      <w:ind w:left="420" w:leftChars="200"/>
      <w:jc w:val="left"/>
      <w:textAlignment w:val="baseline"/>
    </w:pPr>
    <w:rPr>
      <w:kern w:val="0"/>
      <w:sz w:val="24"/>
    </w:rPr>
  </w:style>
  <w:style w:type="paragraph" w:styleId="8">
    <w:name w:val="envelope return"/>
    <w:basedOn w:val="1"/>
    <w:unhideWhenUsed/>
    <w:qFormat/>
    <w:uiPriority w:val="99"/>
    <w:pPr>
      <w:snapToGrid w:val="0"/>
    </w:pPr>
    <w:rPr>
      <w:rFonts w:ascii="Arial" w:hAnsi="Arial"/>
    </w:rPr>
  </w:style>
  <w:style w:type="paragraph" w:styleId="9">
    <w:name w:val="footer"/>
    <w:basedOn w:val="1"/>
    <w:link w:val="23"/>
    <w:semiHidden/>
    <w:unhideWhenUsed/>
    <w:qFormat/>
    <w:uiPriority w:val="99"/>
    <w:pPr>
      <w:tabs>
        <w:tab w:val="center" w:pos="4153"/>
        <w:tab w:val="right" w:pos="8306"/>
      </w:tabs>
      <w:snapToGrid w:val="0"/>
      <w:jc w:val="left"/>
    </w:pPr>
    <w:rPr>
      <w:sz w:val="18"/>
      <w:szCs w:val="18"/>
    </w:rPr>
  </w:style>
  <w:style w:type="paragraph" w:styleId="10">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rPr>
      <w:rFonts w:ascii="宋体" w:hAnsi="宋体"/>
    </w:rPr>
  </w:style>
  <w:style w:type="paragraph" w:styleId="12">
    <w:name w:val="Normal (Web)"/>
    <w:basedOn w:val="1"/>
    <w:qFormat/>
    <w:uiPriority w:val="0"/>
    <w:rPr>
      <w:rFonts w:ascii="Calibri" w:hAnsi="Calibri" w:eastAsia="宋体" w:cs="Times New Roman"/>
      <w:sz w:val="24"/>
      <w:szCs w:val="24"/>
    </w:rPr>
  </w:style>
  <w:style w:type="paragraph" w:styleId="13">
    <w:name w:val="Body Text First Indent 2"/>
    <w:basedOn w:val="7"/>
    <w:next w:val="1"/>
    <w:qFormat/>
    <w:uiPriority w:val="0"/>
    <w:pPr>
      <w:snapToGrid w:val="0"/>
      <w:spacing w:beforeAutospacing="1" w:afterAutospacing="1" w:line="360" w:lineRule="auto"/>
      <w:ind w:left="480" w:firstLine="562" w:firstLineChars="200"/>
    </w:pPr>
    <w:rPr>
      <w:rFonts w:hint="eastAsia" w:ascii="仿宋_GB2312" w:hAnsi="仿宋_GB2312"/>
      <w:szCs w:val="30"/>
      <w:lang w:eastAsia="en-US"/>
    </w:rPr>
  </w:style>
  <w:style w:type="table" w:styleId="15">
    <w:name w:val="Table Grid"/>
    <w:basedOn w:val="14"/>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000000"/>
      <w:u w:val="none"/>
    </w:rPr>
  </w:style>
  <w:style w:type="character" w:styleId="18">
    <w:name w:val="Emphasis"/>
    <w:basedOn w:val="16"/>
    <w:qFormat/>
    <w:uiPriority w:val="20"/>
    <w:rPr>
      <w:color w:val="0371C6"/>
      <w:u w:val="none"/>
    </w:rPr>
  </w:style>
  <w:style w:type="character" w:styleId="19">
    <w:name w:val="Hyperlink"/>
    <w:basedOn w:val="16"/>
    <w:unhideWhenUsed/>
    <w:qFormat/>
    <w:uiPriority w:val="99"/>
    <w:rPr>
      <w:color w:val="000000"/>
      <w:u w:val="none"/>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1">
    <w:name w:val="正文 New"/>
    <w:basedOn w:val="1"/>
    <w:semiHidden/>
    <w:qFormat/>
    <w:uiPriority w:val="0"/>
    <w:pPr>
      <w:spacing w:line="440" w:lineRule="exact"/>
      <w:ind w:left="357" w:hanging="357"/>
    </w:pPr>
  </w:style>
  <w:style w:type="character" w:customStyle="1" w:styleId="22">
    <w:name w:val="页眉 Char"/>
    <w:basedOn w:val="16"/>
    <w:link w:val="10"/>
    <w:semiHidden/>
    <w:qFormat/>
    <w:uiPriority w:val="99"/>
    <w:rPr>
      <w:sz w:val="18"/>
      <w:szCs w:val="18"/>
    </w:rPr>
  </w:style>
  <w:style w:type="character" w:customStyle="1" w:styleId="23">
    <w:name w:val="页脚 Char"/>
    <w:basedOn w:val="16"/>
    <w:link w:val="9"/>
    <w:semiHidden/>
    <w:qFormat/>
    <w:uiPriority w:val="99"/>
    <w:rPr>
      <w:sz w:val="18"/>
      <w:szCs w:val="18"/>
    </w:rPr>
  </w:style>
  <w:style w:type="character" w:customStyle="1" w:styleId="24">
    <w:name w:val="正文首行缩进 Char"/>
    <w:basedOn w:val="25"/>
    <w:link w:val="5"/>
    <w:qFormat/>
    <w:uiPriority w:val="0"/>
    <w:rPr>
      <w:rFonts w:hint="default" w:ascii="Calibri" w:hAnsi="Calibri" w:eastAsia="宋体" w:cs="Times New Roman"/>
      <w:kern w:val="2"/>
      <w:sz w:val="21"/>
      <w:szCs w:val="22"/>
    </w:rPr>
  </w:style>
  <w:style w:type="character" w:customStyle="1" w:styleId="25">
    <w:name w:val="正文文本 Char"/>
    <w:basedOn w:val="16"/>
    <w:link w:val="4"/>
    <w:qFormat/>
    <w:uiPriority w:val="0"/>
    <w:rPr>
      <w:rFonts w:hint="default" w:ascii="Calibri" w:hAnsi="Calibri" w:eastAsia="宋体" w:cs="Times New Roman"/>
      <w:kern w:val="2"/>
      <w:sz w:val="21"/>
      <w:szCs w:val="22"/>
    </w:rPr>
  </w:style>
  <w:style w:type="paragraph" w:styleId="26">
    <w:name w:val="List Paragraph"/>
    <w:basedOn w:val="1"/>
    <w:unhideWhenUsed/>
    <w:qFormat/>
    <w:uiPriority w:val="99"/>
    <w:pPr>
      <w:ind w:firstLine="420" w:firstLineChars="200"/>
    </w:pPr>
  </w:style>
  <w:style w:type="character" w:customStyle="1" w:styleId="27">
    <w:name w:val="NormalCharacter"/>
    <w:qFormat/>
    <w:uiPriority w:val="0"/>
  </w:style>
  <w:style w:type="character" w:customStyle="1" w:styleId="28">
    <w:name w:val="red"/>
    <w:basedOn w:val="16"/>
    <w:qFormat/>
    <w:uiPriority w:val="0"/>
    <w:rPr>
      <w:color w:val="FF0000"/>
      <w:sz w:val="18"/>
      <w:szCs w:val="18"/>
    </w:rPr>
  </w:style>
  <w:style w:type="character" w:customStyle="1" w:styleId="29">
    <w:name w:val="red1"/>
    <w:basedOn w:val="16"/>
    <w:qFormat/>
    <w:uiPriority w:val="0"/>
    <w:rPr>
      <w:color w:val="FF0000"/>
      <w:sz w:val="18"/>
      <w:szCs w:val="18"/>
    </w:rPr>
  </w:style>
  <w:style w:type="character" w:customStyle="1" w:styleId="30">
    <w:name w:val="red2"/>
    <w:basedOn w:val="16"/>
    <w:qFormat/>
    <w:uiPriority w:val="0"/>
    <w:rPr>
      <w:color w:val="CC0000"/>
    </w:rPr>
  </w:style>
  <w:style w:type="character" w:customStyle="1" w:styleId="31">
    <w:name w:val="red3"/>
    <w:basedOn w:val="16"/>
    <w:qFormat/>
    <w:uiPriority w:val="0"/>
    <w:rPr>
      <w:color w:val="FF0000"/>
    </w:rPr>
  </w:style>
  <w:style w:type="character" w:customStyle="1" w:styleId="32">
    <w:name w:val="active"/>
    <w:basedOn w:val="16"/>
    <w:qFormat/>
    <w:uiPriority w:val="0"/>
    <w:rPr>
      <w:color w:val="FFFFFF"/>
      <w:shd w:val="clear" w:color="auto" w:fill="2B7AFC"/>
    </w:rPr>
  </w:style>
  <w:style w:type="character" w:customStyle="1" w:styleId="33">
    <w:name w:val="green"/>
    <w:basedOn w:val="16"/>
    <w:qFormat/>
    <w:uiPriority w:val="0"/>
    <w:rPr>
      <w:color w:val="66AE00"/>
      <w:sz w:val="18"/>
      <w:szCs w:val="18"/>
    </w:rPr>
  </w:style>
  <w:style w:type="character" w:customStyle="1" w:styleId="34">
    <w:name w:val="green1"/>
    <w:basedOn w:val="16"/>
    <w:qFormat/>
    <w:uiPriority w:val="0"/>
    <w:rPr>
      <w:color w:val="66AE00"/>
      <w:sz w:val="18"/>
      <w:szCs w:val="18"/>
    </w:rPr>
  </w:style>
  <w:style w:type="character" w:customStyle="1" w:styleId="35">
    <w:name w:val="gb-jt"/>
    <w:basedOn w:val="16"/>
    <w:qFormat/>
    <w:uiPriority w:val="0"/>
  </w:style>
  <w:style w:type="character" w:customStyle="1" w:styleId="36">
    <w:name w:val="hover24"/>
    <w:basedOn w:val="16"/>
    <w:qFormat/>
    <w:uiPriority w:val="0"/>
  </w:style>
  <w:style w:type="character" w:customStyle="1" w:styleId="37">
    <w:name w:val="blue"/>
    <w:basedOn w:val="16"/>
    <w:qFormat/>
    <w:uiPriority w:val="0"/>
    <w:rPr>
      <w:color w:val="0371C6"/>
      <w:sz w:val="21"/>
      <w:szCs w:val="21"/>
    </w:rPr>
  </w:style>
  <w:style w:type="character" w:customStyle="1" w:styleId="38">
    <w:name w:val="right"/>
    <w:basedOn w:val="16"/>
    <w:qFormat/>
    <w:uiPriority w:val="0"/>
    <w:rPr>
      <w:color w:val="999999"/>
      <w:sz w:val="18"/>
      <w:szCs w:val="18"/>
    </w:rPr>
  </w:style>
  <w:style w:type="character" w:customStyle="1" w:styleId="39">
    <w:name w:val="active4"/>
    <w:basedOn w:val="16"/>
    <w:qFormat/>
    <w:uiPriority w:val="0"/>
    <w:rPr>
      <w:color w:val="FFFFFF"/>
      <w:shd w:val="clear" w:color="auto" w:fill="2B7AFC"/>
    </w:rPr>
  </w:style>
  <w:style w:type="character" w:customStyle="1" w:styleId="40">
    <w:name w:val="hover25"/>
    <w:basedOn w:val="16"/>
    <w:qFormat/>
    <w:uiPriority w:val="0"/>
  </w:style>
  <w:style w:type="character" w:customStyle="1" w:styleId="41">
    <w:name w:val="red4"/>
    <w:basedOn w:val="16"/>
    <w:qFormat/>
    <w:uiPriority w:val="0"/>
    <w:rPr>
      <w:color w:val="FF0000"/>
      <w:sz w:val="18"/>
      <w:szCs w:val="18"/>
    </w:rPr>
  </w:style>
  <w:style w:type="character" w:customStyle="1" w:styleId="42">
    <w:name w:val="red5"/>
    <w:basedOn w:val="16"/>
    <w:qFormat/>
    <w:uiPriority w:val="0"/>
    <w:rPr>
      <w:color w:val="CC0000"/>
    </w:rPr>
  </w:style>
  <w:style w:type="character" w:customStyle="1" w:styleId="43">
    <w:name w:val="red6"/>
    <w:basedOn w:val="16"/>
    <w:qFormat/>
    <w:uiPriority w:val="0"/>
    <w:rPr>
      <w:color w:val="FF0000"/>
    </w:rPr>
  </w:style>
  <w:style w:type="paragraph" w:customStyle="1" w:styleId="44">
    <w:name w:val="style4"/>
    <w:basedOn w:val="1"/>
    <w:next w:val="45"/>
    <w:qFormat/>
    <w:uiPriority w:val="0"/>
    <w:pPr>
      <w:widowControl/>
      <w:spacing w:before="280" w:after="280"/>
    </w:pPr>
    <w:rPr>
      <w:rFonts w:ascii="宋体" w:hAnsi="Times New Roman" w:eastAsia="宋体" w:cs="Times New Roman"/>
      <w:sz w:val="18"/>
    </w:rPr>
  </w:style>
  <w:style w:type="paragraph" w:customStyle="1" w:styleId="45">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6">
    <w:name w:val="hover23"/>
    <w:basedOn w:val="16"/>
    <w:qFormat/>
    <w:uiPriority w:val="0"/>
  </w:style>
  <w:style w:type="character" w:customStyle="1" w:styleId="47">
    <w:name w:val="xiadan"/>
    <w:basedOn w:val="16"/>
    <w:uiPriority w:val="0"/>
    <w:rPr>
      <w:shd w:val="clear" w:fill="E4393C"/>
    </w:rPr>
  </w:style>
  <w:style w:type="character" w:customStyle="1" w:styleId="48">
    <w:name w:val="first-child1"/>
    <w:basedOn w:val="16"/>
    <w:qFormat/>
    <w:uiPriority w:val="0"/>
    <w:rPr>
      <w:color w:val="1F3149"/>
      <w:sz w:val="24"/>
      <w:szCs w:val="24"/>
    </w:rPr>
  </w:style>
  <w:style w:type="character" w:customStyle="1" w:styleId="49">
    <w:name w:val="first-child2"/>
    <w:basedOn w:val="16"/>
    <w:qFormat/>
    <w:uiPriority w:val="0"/>
    <w:rPr>
      <w:color w:val="1F3149"/>
      <w:sz w:val="24"/>
      <w:szCs w:val="24"/>
    </w:rPr>
  </w:style>
  <w:style w:type="character" w:customStyle="1" w:styleId="50">
    <w:name w:val="fr"/>
    <w:basedOn w:val="16"/>
    <w:uiPriority w:val="0"/>
  </w:style>
  <w:style w:type="character" w:customStyle="1" w:styleId="51">
    <w:name w:val="icon_ds"/>
    <w:basedOn w:val="16"/>
    <w:uiPriority w:val="0"/>
  </w:style>
  <w:style w:type="character" w:customStyle="1" w:styleId="52">
    <w:name w:val="icon_ds1"/>
    <w:basedOn w:val="16"/>
    <w:qFormat/>
    <w:uiPriority w:val="0"/>
    <w:rPr>
      <w:sz w:val="21"/>
      <w:szCs w:val="21"/>
    </w:rPr>
  </w:style>
  <w:style w:type="character" w:customStyle="1" w:styleId="53">
    <w:name w:val="icon_gys"/>
    <w:basedOn w:val="16"/>
    <w:uiPriority w:val="0"/>
    <w:rPr>
      <w:sz w:val="21"/>
      <w:szCs w:val="21"/>
    </w:rPr>
  </w:style>
  <w:style w:type="paragraph" w:customStyle="1" w:styleId="54">
    <w:name w:val="hkys"/>
    <w:basedOn w:val="1"/>
    <w:uiPriority w:val="0"/>
    <w:pPr>
      <w:ind w:firstLine="0"/>
      <w:jc w:val="left"/>
    </w:pPr>
    <w:rPr>
      <w:kern w:val="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912</Words>
  <Characters>1076</Characters>
  <Lines>8</Lines>
  <Paragraphs>2</Paragraphs>
  <TotalTime>19</TotalTime>
  <ScaleCrop>false</ScaleCrop>
  <LinksUpToDate>false</LinksUpToDate>
  <CharactersWithSpaces>1095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2018-08-01T09:34:00Z</dcterms:created>
  <dc:creator>dell</dc:creator>
  <cp:lastModifiedBy>许昌丰元咨询管理有限公司:连丹丹</cp:lastModifiedBy>
  <cp:lastPrinted>2021-09-23T08:29:00Z</cp:lastPrinted>
  <dcterms:modified xsi:type="dcterms:W3CDTF">2023-07-19T06:36:48Z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8CFE9E83FD394F1B9E026D172CCA7D65</vt:lpwstr>
  </property>
</Properties>
</file>