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jc w:val="center"/>
        <w:rPr>
          <w:rFonts w:hint="eastAsia" w:asciiTheme="majorEastAsia" w:hAnsiTheme="majorEastAsia" w:eastAsiaTheme="majorEastAsia" w:cstheme="majorEastAsia"/>
          <w:b/>
          <w:bCs/>
          <w:color w:val="auto"/>
          <w:kern w:val="2"/>
          <w:sz w:val="28"/>
          <w:szCs w:val="28"/>
          <w:lang w:val="en-US" w:eastAsia="zh-CN" w:bidi="ar-SA"/>
        </w:rPr>
      </w:pPr>
      <w:r>
        <w:rPr>
          <w:rFonts w:hint="eastAsia" w:asciiTheme="majorEastAsia" w:hAnsiTheme="majorEastAsia" w:eastAsiaTheme="majorEastAsia" w:cstheme="majorEastAsia"/>
          <w:b/>
          <w:bCs/>
          <w:color w:val="auto"/>
          <w:sz w:val="28"/>
          <w:szCs w:val="28"/>
          <w:lang w:val="en-US" w:eastAsia="zh-CN"/>
        </w:rPr>
        <w:t>禹州市环境保护局非道路移动机械定位设备安装及监督性检测资金项目（不见</w:t>
      </w:r>
      <w:r>
        <w:rPr>
          <w:rFonts w:hint="eastAsia" w:asciiTheme="majorEastAsia" w:hAnsiTheme="majorEastAsia" w:eastAsiaTheme="majorEastAsia" w:cstheme="majorEastAsia"/>
          <w:b/>
          <w:bCs/>
          <w:color w:val="auto"/>
          <w:sz w:val="28"/>
          <w:szCs w:val="28"/>
        </w:rPr>
        <w:t>面开标）</w:t>
      </w:r>
      <w:r>
        <w:rPr>
          <w:rFonts w:hint="eastAsia" w:asciiTheme="majorEastAsia" w:hAnsiTheme="majorEastAsia" w:eastAsiaTheme="majorEastAsia" w:cstheme="majorEastAsia"/>
          <w:b/>
          <w:bCs/>
          <w:color w:val="auto"/>
          <w:kern w:val="2"/>
          <w:sz w:val="28"/>
          <w:szCs w:val="28"/>
          <w:lang w:val="en-US" w:eastAsia="zh-CN" w:bidi="ar-SA"/>
        </w:rPr>
        <w:t>竞争性磋商公告</w:t>
      </w:r>
    </w:p>
    <w:p>
      <w:pPr>
        <w:tabs>
          <w:tab w:val="left" w:pos="7095"/>
        </w:tabs>
        <w:spacing w:line="384" w:lineRule="auto"/>
        <w:contextualSpacing/>
        <w:rPr>
          <w:rFonts w:hAnsi="宋体"/>
          <w:b/>
          <w:bCs/>
          <w:color w:val="auto"/>
          <w:szCs w:val="21"/>
        </w:rPr>
      </w:pPr>
      <w:r>
        <w:rPr>
          <w:rFonts w:hint="eastAsia" w:hAnsi="宋体"/>
          <w:b/>
          <w:bCs/>
          <w:color w:val="auto"/>
          <w:szCs w:val="21"/>
        </w:rPr>
        <w:t>项目概况</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禹州市环境保护局非道路移动机械定位设备安装及监督性检测资金项目的潜在投标人应在</w:t>
      </w:r>
      <w:r>
        <w:rPr>
          <w:rFonts w:hint="eastAsia" w:hAnsi="宋体"/>
          <w:color w:val="auto"/>
          <w:szCs w:val="21"/>
          <w:lang w:eastAsia="zh-CN"/>
        </w:rPr>
        <w:t>磋商</w:t>
      </w:r>
      <w:r>
        <w:rPr>
          <w:rFonts w:hint="eastAsia" w:hAnsi="宋体"/>
          <w:color w:val="auto"/>
          <w:szCs w:val="21"/>
        </w:rPr>
        <w:t>响应截止时间前登录《全国公共资源交易平台（河南省·许昌市）》“投标人/供应商登录”入口（http://ggzy.xuchang.gov.cn:8088/ggzy/）自行免费下载获取招标文件，并于2023年</w:t>
      </w:r>
      <w:r>
        <w:rPr>
          <w:rFonts w:hint="eastAsia" w:hAnsi="宋体"/>
          <w:color w:val="auto"/>
          <w:szCs w:val="21"/>
          <w:lang w:val="en-US" w:eastAsia="zh-CN"/>
        </w:rPr>
        <w:t>07</w:t>
      </w:r>
      <w:r>
        <w:rPr>
          <w:rFonts w:hint="eastAsia" w:hAnsi="宋体"/>
          <w:color w:val="auto"/>
          <w:szCs w:val="21"/>
        </w:rPr>
        <w:t>月</w:t>
      </w:r>
      <w:r>
        <w:rPr>
          <w:rFonts w:hint="eastAsia" w:hAnsi="宋体"/>
          <w:color w:val="auto"/>
          <w:szCs w:val="21"/>
          <w:lang w:val="en-US" w:eastAsia="zh-CN"/>
        </w:rPr>
        <w:t>18</w:t>
      </w:r>
      <w:r>
        <w:rPr>
          <w:rFonts w:hint="eastAsia" w:hAnsi="宋体"/>
          <w:color w:val="auto"/>
          <w:szCs w:val="21"/>
        </w:rPr>
        <w:t>日</w:t>
      </w:r>
      <w:r>
        <w:rPr>
          <w:rFonts w:hint="eastAsia" w:hAnsi="宋体"/>
          <w:color w:val="auto"/>
          <w:szCs w:val="21"/>
          <w:lang w:val="en-US" w:eastAsia="zh-CN"/>
        </w:rPr>
        <w:t xml:space="preserve">08 </w:t>
      </w:r>
      <w:r>
        <w:rPr>
          <w:rFonts w:hint="eastAsia" w:hAnsi="宋体"/>
          <w:color w:val="auto"/>
          <w:szCs w:val="21"/>
        </w:rPr>
        <w:t>时30 分（北京时间）前递交响应文件。</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一、项目基本情况</w:t>
      </w:r>
    </w:p>
    <w:p>
      <w:pPr>
        <w:tabs>
          <w:tab w:val="left" w:pos="7095"/>
        </w:tabs>
        <w:spacing w:line="384" w:lineRule="auto"/>
        <w:ind w:firstLine="420" w:firstLineChars="200"/>
        <w:contextualSpacing/>
        <w:rPr>
          <w:rFonts w:hint="eastAsia" w:hAnsi="宋体" w:eastAsiaTheme="minorEastAsia"/>
          <w:color w:val="auto"/>
          <w:szCs w:val="21"/>
          <w:lang w:val="en-US" w:eastAsia="zh-CN"/>
        </w:rPr>
      </w:pPr>
      <w:r>
        <w:rPr>
          <w:rFonts w:hint="eastAsia" w:hAnsi="宋体"/>
          <w:color w:val="auto"/>
          <w:szCs w:val="21"/>
        </w:rPr>
        <w:t>1.项目编号：YZCG-DL</w:t>
      </w:r>
      <w:r>
        <w:rPr>
          <w:rFonts w:hint="eastAsia" w:hAnsi="宋体"/>
          <w:color w:val="auto"/>
          <w:szCs w:val="21"/>
          <w:lang w:val="en-US" w:eastAsia="zh-CN"/>
        </w:rPr>
        <w:t>C</w:t>
      </w:r>
      <w:r>
        <w:rPr>
          <w:rFonts w:hint="eastAsia" w:hAnsi="宋体"/>
          <w:color w:val="auto"/>
          <w:szCs w:val="21"/>
        </w:rPr>
        <w:t>2023</w:t>
      </w:r>
      <w:r>
        <w:rPr>
          <w:rFonts w:hint="eastAsia" w:hAnsi="宋体"/>
          <w:color w:val="auto"/>
          <w:szCs w:val="21"/>
          <w:lang w:val="en-US" w:eastAsia="zh-CN"/>
        </w:rPr>
        <w:t xml:space="preserve">060 </w:t>
      </w:r>
    </w:p>
    <w:p>
      <w:pPr>
        <w:tabs>
          <w:tab w:val="left" w:pos="7095"/>
        </w:tabs>
        <w:spacing w:line="384" w:lineRule="auto"/>
        <w:ind w:firstLine="420" w:firstLineChars="200"/>
        <w:contextualSpacing/>
        <w:rPr>
          <w:rFonts w:hint="eastAsia" w:hAnsi="宋体"/>
          <w:color w:val="auto"/>
          <w:szCs w:val="21"/>
          <w:lang w:eastAsia="zh-CN"/>
        </w:rPr>
      </w:pPr>
      <w:r>
        <w:rPr>
          <w:rFonts w:hint="eastAsia" w:hAnsi="宋体"/>
          <w:color w:val="auto"/>
          <w:szCs w:val="21"/>
        </w:rPr>
        <w:t>2.项目名称：禹州市环境保护局非道路移动机械定位设备安装及监督性检测资金项目</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3.采购方式：竞争性磋商</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4.预算金额：</w:t>
      </w:r>
      <w:r>
        <w:rPr>
          <w:rFonts w:hint="eastAsia" w:hAnsi="宋体"/>
          <w:color w:val="auto"/>
          <w:szCs w:val="21"/>
          <w:lang w:val="en-US" w:eastAsia="zh-CN"/>
        </w:rPr>
        <w:t>1392550.00</w:t>
      </w:r>
      <w:r>
        <w:rPr>
          <w:rFonts w:hint="eastAsia" w:hAnsi="宋体"/>
          <w:color w:val="auto"/>
          <w:szCs w:val="21"/>
        </w:rPr>
        <w:t>元</w:t>
      </w:r>
    </w:p>
    <w:p>
      <w:pPr>
        <w:tabs>
          <w:tab w:val="left" w:pos="7095"/>
        </w:tabs>
        <w:spacing w:line="384" w:lineRule="auto"/>
        <w:ind w:firstLine="525" w:firstLineChars="250"/>
        <w:contextualSpacing/>
        <w:rPr>
          <w:rFonts w:hAnsi="宋体"/>
          <w:color w:val="auto"/>
          <w:szCs w:val="21"/>
        </w:rPr>
      </w:pPr>
      <w:r>
        <w:rPr>
          <w:rFonts w:hint="eastAsia" w:hAnsi="宋体"/>
          <w:color w:val="auto"/>
          <w:szCs w:val="21"/>
        </w:rPr>
        <w:t>最高限价：</w:t>
      </w:r>
      <w:r>
        <w:rPr>
          <w:rFonts w:hint="eastAsia" w:hAnsi="宋体"/>
          <w:color w:val="auto"/>
          <w:szCs w:val="21"/>
          <w:lang w:val="en-US" w:eastAsia="zh-CN"/>
        </w:rPr>
        <w:t>1392550.00</w:t>
      </w:r>
      <w:r>
        <w:rPr>
          <w:rFonts w:hint="eastAsia" w:hAnsi="宋体"/>
          <w:color w:val="auto"/>
          <w:szCs w:val="21"/>
        </w:rPr>
        <w:t xml:space="preserve">元 </w:t>
      </w:r>
    </w:p>
    <w:tbl>
      <w:tblPr>
        <w:tblStyle w:val="15"/>
        <w:tblW w:w="9059"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6"/>
        <w:gridCol w:w="1321"/>
        <w:gridCol w:w="3426"/>
        <w:gridCol w:w="1875"/>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tblCellSpacing w:w="0" w:type="dxa"/>
        </w:trPr>
        <w:tc>
          <w:tcPr>
            <w:tcW w:w="596" w:type="dxa"/>
            <w:shd w:val="clear" w:color="auto" w:fill="auto"/>
            <w:vAlign w:val="center"/>
          </w:tcPr>
          <w:p>
            <w:pPr>
              <w:tabs>
                <w:tab w:val="left" w:pos="7095"/>
              </w:tabs>
              <w:spacing w:line="360" w:lineRule="auto"/>
              <w:contextualSpacing/>
              <w:jc w:val="center"/>
              <w:rPr>
                <w:rFonts w:hAnsi="宋体"/>
                <w:color w:val="auto"/>
                <w:szCs w:val="21"/>
              </w:rPr>
            </w:pPr>
            <w:r>
              <w:rPr>
                <w:rFonts w:hint="eastAsia" w:hAnsi="宋体"/>
                <w:color w:val="auto"/>
                <w:szCs w:val="21"/>
              </w:rPr>
              <w:t>序号</w:t>
            </w:r>
          </w:p>
        </w:tc>
        <w:tc>
          <w:tcPr>
            <w:tcW w:w="1321" w:type="dxa"/>
            <w:shd w:val="clear" w:color="auto" w:fill="auto"/>
            <w:vAlign w:val="center"/>
          </w:tcPr>
          <w:p>
            <w:pPr>
              <w:tabs>
                <w:tab w:val="left" w:pos="7095"/>
              </w:tabs>
              <w:spacing w:line="360" w:lineRule="auto"/>
              <w:ind w:firstLine="420" w:firstLineChars="200"/>
              <w:contextualSpacing/>
              <w:jc w:val="center"/>
              <w:rPr>
                <w:rFonts w:hAnsi="宋体"/>
                <w:color w:val="auto"/>
                <w:szCs w:val="21"/>
              </w:rPr>
            </w:pPr>
            <w:r>
              <w:rPr>
                <w:rFonts w:hint="eastAsia" w:hAnsi="宋体"/>
                <w:color w:val="auto"/>
                <w:szCs w:val="21"/>
              </w:rPr>
              <w:t>包号</w:t>
            </w:r>
          </w:p>
        </w:tc>
        <w:tc>
          <w:tcPr>
            <w:tcW w:w="3426" w:type="dxa"/>
            <w:shd w:val="clear" w:color="auto" w:fill="auto"/>
            <w:vAlign w:val="center"/>
          </w:tcPr>
          <w:p>
            <w:pPr>
              <w:tabs>
                <w:tab w:val="left" w:pos="7095"/>
              </w:tabs>
              <w:spacing w:line="360" w:lineRule="auto"/>
              <w:ind w:firstLine="420" w:firstLineChars="200"/>
              <w:contextualSpacing/>
              <w:jc w:val="center"/>
              <w:rPr>
                <w:rFonts w:hAnsi="宋体"/>
                <w:color w:val="auto"/>
                <w:szCs w:val="21"/>
              </w:rPr>
            </w:pPr>
            <w:r>
              <w:rPr>
                <w:rFonts w:hint="eastAsia" w:hAnsi="宋体"/>
                <w:color w:val="auto"/>
                <w:szCs w:val="21"/>
              </w:rPr>
              <w:t>包名称</w:t>
            </w:r>
          </w:p>
        </w:tc>
        <w:tc>
          <w:tcPr>
            <w:tcW w:w="1875" w:type="dxa"/>
            <w:shd w:val="clear" w:color="auto" w:fill="auto"/>
            <w:vAlign w:val="center"/>
          </w:tcPr>
          <w:p>
            <w:pPr>
              <w:tabs>
                <w:tab w:val="left" w:pos="7095"/>
              </w:tabs>
              <w:spacing w:line="360" w:lineRule="auto"/>
              <w:contextualSpacing/>
              <w:jc w:val="center"/>
              <w:rPr>
                <w:rFonts w:hAnsi="宋体"/>
                <w:color w:val="auto"/>
                <w:szCs w:val="21"/>
              </w:rPr>
            </w:pPr>
            <w:r>
              <w:rPr>
                <w:rFonts w:hint="eastAsia" w:hAnsi="宋体"/>
                <w:color w:val="auto"/>
                <w:szCs w:val="21"/>
              </w:rPr>
              <w:t>包预算（元）</w:t>
            </w:r>
          </w:p>
        </w:tc>
        <w:tc>
          <w:tcPr>
            <w:tcW w:w="1841" w:type="dxa"/>
            <w:shd w:val="clear" w:color="auto" w:fill="auto"/>
            <w:vAlign w:val="center"/>
          </w:tcPr>
          <w:p>
            <w:pPr>
              <w:tabs>
                <w:tab w:val="left" w:pos="7095"/>
              </w:tabs>
              <w:spacing w:line="360" w:lineRule="auto"/>
              <w:contextualSpacing/>
              <w:jc w:val="center"/>
              <w:rPr>
                <w:rFonts w:hAnsi="宋体"/>
                <w:color w:val="auto"/>
                <w:szCs w:val="21"/>
              </w:rPr>
            </w:pPr>
            <w:r>
              <w:rPr>
                <w:rFonts w:hint="eastAsia" w:hAnsi="宋体"/>
                <w:color w:val="auto"/>
                <w:szCs w:val="21"/>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6" w:hRule="atLeast"/>
          <w:tblCellSpacing w:w="0" w:type="dxa"/>
        </w:trPr>
        <w:tc>
          <w:tcPr>
            <w:tcW w:w="596" w:type="dxa"/>
            <w:shd w:val="clear" w:color="auto" w:fill="auto"/>
            <w:vAlign w:val="center"/>
          </w:tcPr>
          <w:p>
            <w:pPr>
              <w:tabs>
                <w:tab w:val="left" w:pos="7095"/>
              </w:tabs>
              <w:spacing w:line="360" w:lineRule="auto"/>
              <w:contextualSpacing/>
              <w:jc w:val="center"/>
              <w:rPr>
                <w:rFonts w:hAnsi="宋体"/>
                <w:color w:val="auto"/>
                <w:szCs w:val="21"/>
              </w:rPr>
            </w:pPr>
            <w:r>
              <w:rPr>
                <w:rFonts w:hint="eastAsia" w:hAnsi="宋体"/>
                <w:color w:val="auto"/>
                <w:szCs w:val="21"/>
              </w:rPr>
              <w:t>1</w:t>
            </w:r>
          </w:p>
        </w:tc>
        <w:tc>
          <w:tcPr>
            <w:tcW w:w="1321" w:type="dxa"/>
            <w:shd w:val="clear" w:color="auto" w:fill="auto"/>
            <w:vAlign w:val="center"/>
          </w:tcPr>
          <w:p>
            <w:pPr>
              <w:tabs>
                <w:tab w:val="left" w:pos="7095"/>
              </w:tabs>
              <w:spacing w:line="360" w:lineRule="auto"/>
              <w:contextualSpacing/>
              <w:jc w:val="center"/>
              <w:rPr>
                <w:rFonts w:hint="default" w:hAnsi="宋体" w:eastAsiaTheme="minorEastAsia"/>
                <w:color w:val="auto"/>
                <w:szCs w:val="21"/>
                <w:lang w:val="en-US" w:eastAsia="zh-CN"/>
              </w:rPr>
            </w:pPr>
            <w:r>
              <w:rPr>
                <w:rFonts w:hint="default" w:hAnsi="宋体" w:eastAsiaTheme="minorEastAsia"/>
                <w:color w:val="auto"/>
                <w:szCs w:val="21"/>
                <w:lang w:val="en-US" w:eastAsia="zh-CN"/>
              </w:rPr>
              <w:t>YZCG-DLC2023</w:t>
            </w:r>
            <w:r>
              <w:rPr>
                <w:rFonts w:hint="eastAsia" w:hAnsi="宋体"/>
                <w:color w:val="auto"/>
                <w:szCs w:val="21"/>
                <w:lang w:val="en-US" w:eastAsia="zh-CN"/>
              </w:rPr>
              <w:t>060</w:t>
            </w:r>
            <w:r>
              <w:rPr>
                <w:rFonts w:hint="default" w:hAnsi="宋体" w:eastAsiaTheme="minorEastAsia"/>
                <w:color w:val="auto"/>
                <w:szCs w:val="21"/>
                <w:lang w:val="en-US" w:eastAsia="zh-CN"/>
              </w:rPr>
              <w:t xml:space="preserve"> </w:t>
            </w:r>
          </w:p>
        </w:tc>
        <w:tc>
          <w:tcPr>
            <w:tcW w:w="3426" w:type="dxa"/>
            <w:shd w:val="clear" w:color="auto" w:fill="auto"/>
            <w:vAlign w:val="center"/>
          </w:tcPr>
          <w:p>
            <w:pPr>
              <w:tabs>
                <w:tab w:val="left" w:pos="7095"/>
              </w:tabs>
              <w:spacing w:line="384" w:lineRule="auto"/>
              <w:contextualSpacing/>
              <w:rPr>
                <w:rFonts w:hint="eastAsia" w:hAnsi="宋体" w:eastAsiaTheme="minorEastAsia"/>
                <w:color w:val="auto"/>
                <w:szCs w:val="21"/>
                <w:lang w:eastAsia="zh-CN"/>
              </w:rPr>
            </w:pPr>
            <w:r>
              <w:rPr>
                <w:rFonts w:hint="eastAsia" w:hAnsi="宋体"/>
                <w:color w:val="auto"/>
                <w:szCs w:val="21"/>
              </w:rPr>
              <w:t>禹州市环境保护局非道路移动机械定位设备安装及监督性检测资金项目</w:t>
            </w:r>
            <w:r>
              <w:rPr>
                <w:rFonts w:hint="eastAsia" w:hAnsi="宋体"/>
                <w:color w:val="auto"/>
                <w:szCs w:val="21"/>
                <w:lang w:eastAsia="zh-CN"/>
              </w:rPr>
              <w:t>第一标段</w:t>
            </w:r>
          </w:p>
        </w:tc>
        <w:tc>
          <w:tcPr>
            <w:tcW w:w="1875" w:type="dxa"/>
            <w:shd w:val="clear" w:color="auto" w:fill="auto"/>
            <w:vAlign w:val="center"/>
          </w:tcPr>
          <w:p>
            <w:pPr>
              <w:spacing w:line="360" w:lineRule="auto"/>
              <w:contextualSpacing/>
              <w:jc w:val="center"/>
              <w:rPr>
                <w:rFonts w:hint="default" w:hAnsi="宋体" w:eastAsiaTheme="minorEastAsia"/>
                <w:color w:val="auto"/>
                <w:szCs w:val="21"/>
                <w:lang w:val="en-US" w:eastAsia="zh-CN"/>
              </w:rPr>
            </w:pPr>
            <w:r>
              <w:rPr>
                <w:rFonts w:hint="eastAsia" w:hAnsi="宋体"/>
                <w:color w:val="auto"/>
                <w:szCs w:val="21"/>
              </w:rPr>
              <w:t>1274650</w:t>
            </w:r>
            <w:r>
              <w:rPr>
                <w:rFonts w:hint="eastAsia" w:hAnsi="宋体"/>
                <w:color w:val="auto"/>
                <w:szCs w:val="21"/>
                <w:lang w:val="en-US" w:eastAsia="zh-CN"/>
              </w:rPr>
              <w:t>.00</w:t>
            </w:r>
          </w:p>
        </w:tc>
        <w:tc>
          <w:tcPr>
            <w:tcW w:w="1841" w:type="dxa"/>
            <w:shd w:val="clear" w:color="auto" w:fill="auto"/>
            <w:vAlign w:val="center"/>
          </w:tcPr>
          <w:p>
            <w:pPr>
              <w:spacing w:line="360" w:lineRule="auto"/>
              <w:contextualSpacing/>
              <w:jc w:val="center"/>
              <w:rPr>
                <w:rFonts w:hAnsi="宋体"/>
                <w:color w:val="auto"/>
                <w:szCs w:val="21"/>
              </w:rPr>
            </w:pPr>
            <w:r>
              <w:rPr>
                <w:rFonts w:hint="eastAsia" w:hAnsi="宋体"/>
                <w:color w:val="auto"/>
                <w:szCs w:val="21"/>
              </w:rPr>
              <w:t>1274650</w:t>
            </w:r>
            <w:r>
              <w:rPr>
                <w:rFonts w:hint="eastAsia" w:hAnsi="宋体"/>
                <w:color w:val="auto"/>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6" w:hRule="atLeast"/>
          <w:tblCellSpacing w:w="0" w:type="dxa"/>
        </w:trPr>
        <w:tc>
          <w:tcPr>
            <w:tcW w:w="596" w:type="dxa"/>
            <w:shd w:val="clear" w:color="auto" w:fill="auto"/>
            <w:vAlign w:val="center"/>
          </w:tcPr>
          <w:p>
            <w:pPr>
              <w:tabs>
                <w:tab w:val="left" w:pos="7095"/>
              </w:tabs>
              <w:spacing w:line="360" w:lineRule="auto"/>
              <w:contextualSpacing/>
              <w:jc w:val="center"/>
              <w:rPr>
                <w:rFonts w:hint="eastAsia" w:hAnsi="宋体" w:eastAsiaTheme="minorEastAsia"/>
                <w:color w:val="auto"/>
                <w:szCs w:val="21"/>
                <w:lang w:val="en-US" w:eastAsia="zh-CN"/>
              </w:rPr>
            </w:pPr>
            <w:r>
              <w:rPr>
                <w:rFonts w:hint="eastAsia" w:hAnsi="宋体"/>
                <w:color w:val="auto"/>
                <w:szCs w:val="21"/>
                <w:lang w:val="en-US" w:eastAsia="zh-CN"/>
              </w:rPr>
              <w:t>2</w:t>
            </w:r>
          </w:p>
        </w:tc>
        <w:tc>
          <w:tcPr>
            <w:tcW w:w="1321" w:type="dxa"/>
            <w:shd w:val="clear" w:color="auto" w:fill="auto"/>
            <w:vAlign w:val="center"/>
          </w:tcPr>
          <w:p>
            <w:pPr>
              <w:tabs>
                <w:tab w:val="left" w:pos="7095"/>
              </w:tabs>
              <w:spacing w:line="360" w:lineRule="auto"/>
              <w:contextualSpacing/>
              <w:jc w:val="center"/>
              <w:rPr>
                <w:rFonts w:hint="default" w:hAnsi="宋体" w:asciiTheme="minorHAnsi" w:eastAsiaTheme="minorEastAsia" w:cstheme="minorBidi"/>
                <w:color w:val="auto"/>
                <w:kern w:val="2"/>
                <w:sz w:val="21"/>
                <w:szCs w:val="21"/>
                <w:lang w:val="en-US" w:eastAsia="zh-CN" w:bidi="ar-SA"/>
              </w:rPr>
            </w:pPr>
            <w:r>
              <w:rPr>
                <w:rFonts w:hint="default" w:hAnsi="宋体" w:eastAsiaTheme="minorEastAsia"/>
                <w:color w:val="auto"/>
                <w:szCs w:val="21"/>
                <w:lang w:val="en-US" w:eastAsia="zh-CN"/>
              </w:rPr>
              <w:t>YZCG-DLC2023</w:t>
            </w:r>
            <w:r>
              <w:rPr>
                <w:rFonts w:hint="eastAsia" w:hAnsi="宋体"/>
                <w:color w:val="auto"/>
                <w:szCs w:val="21"/>
                <w:lang w:val="en-US" w:eastAsia="zh-CN"/>
              </w:rPr>
              <w:t>060</w:t>
            </w:r>
            <w:r>
              <w:rPr>
                <w:rFonts w:hint="default" w:hAnsi="宋体" w:eastAsiaTheme="minorEastAsia"/>
                <w:color w:val="auto"/>
                <w:szCs w:val="21"/>
                <w:lang w:val="en-US" w:eastAsia="zh-CN"/>
              </w:rPr>
              <w:t xml:space="preserve">  </w:t>
            </w:r>
          </w:p>
        </w:tc>
        <w:tc>
          <w:tcPr>
            <w:tcW w:w="3426" w:type="dxa"/>
            <w:shd w:val="clear" w:color="auto" w:fill="auto"/>
            <w:vAlign w:val="center"/>
          </w:tcPr>
          <w:p>
            <w:pPr>
              <w:tabs>
                <w:tab w:val="left" w:pos="7095"/>
              </w:tabs>
              <w:spacing w:line="384" w:lineRule="auto"/>
              <w:contextualSpacing/>
              <w:rPr>
                <w:rFonts w:hint="eastAsia" w:hAnsi="宋体" w:asciiTheme="minorHAnsi" w:eastAsiaTheme="minorEastAsia" w:cstheme="minorBidi"/>
                <w:color w:val="auto"/>
                <w:kern w:val="2"/>
                <w:sz w:val="21"/>
                <w:szCs w:val="21"/>
                <w:lang w:val="en-US" w:eastAsia="zh-CN" w:bidi="ar-SA"/>
              </w:rPr>
            </w:pPr>
            <w:r>
              <w:rPr>
                <w:rFonts w:hint="eastAsia" w:hAnsi="宋体"/>
                <w:color w:val="auto"/>
                <w:szCs w:val="21"/>
              </w:rPr>
              <w:t>禹州市环境保护局非道路移动机械定位设备安装及监督性检测资金项目</w:t>
            </w:r>
            <w:r>
              <w:rPr>
                <w:rFonts w:hint="eastAsia" w:hAnsi="宋体"/>
                <w:color w:val="auto"/>
                <w:szCs w:val="21"/>
                <w:lang w:eastAsia="zh-CN"/>
              </w:rPr>
              <w:t>第二标段</w:t>
            </w:r>
          </w:p>
        </w:tc>
        <w:tc>
          <w:tcPr>
            <w:tcW w:w="1875" w:type="dxa"/>
            <w:shd w:val="clear" w:color="auto" w:fill="auto"/>
            <w:vAlign w:val="center"/>
          </w:tcPr>
          <w:p>
            <w:pPr>
              <w:spacing w:line="360" w:lineRule="auto"/>
              <w:contextualSpacing/>
              <w:jc w:val="center"/>
              <w:rPr>
                <w:rFonts w:hint="default" w:hAnsi="宋体" w:asciiTheme="minorHAnsi" w:eastAsiaTheme="minorEastAsia" w:cstheme="minorBidi"/>
                <w:color w:val="auto"/>
                <w:kern w:val="2"/>
                <w:sz w:val="21"/>
                <w:szCs w:val="21"/>
                <w:lang w:val="en-US" w:eastAsia="zh-CN" w:bidi="ar-SA"/>
              </w:rPr>
            </w:pPr>
            <w:r>
              <w:rPr>
                <w:rFonts w:hint="eastAsia" w:hAnsi="宋体" w:asciiTheme="minorHAnsi" w:eastAsiaTheme="minorEastAsia" w:cstheme="minorBidi"/>
                <w:color w:val="auto"/>
                <w:kern w:val="2"/>
                <w:sz w:val="21"/>
                <w:szCs w:val="21"/>
                <w:lang w:val="en-US" w:eastAsia="zh-CN" w:bidi="ar-SA"/>
              </w:rPr>
              <w:t>117900</w:t>
            </w:r>
            <w:r>
              <w:rPr>
                <w:rFonts w:hint="eastAsia" w:hAnsi="宋体" w:cstheme="minorBidi"/>
                <w:color w:val="auto"/>
                <w:kern w:val="2"/>
                <w:sz w:val="21"/>
                <w:szCs w:val="21"/>
                <w:lang w:val="en-US" w:eastAsia="zh-CN" w:bidi="ar-SA"/>
              </w:rPr>
              <w:t>.00</w:t>
            </w:r>
          </w:p>
        </w:tc>
        <w:tc>
          <w:tcPr>
            <w:tcW w:w="1841" w:type="dxa"/>
            <w:shd w:val="clear" w:color="auto" w:fill="auto"/>
            <w:vAlign w:val="center"/>
          </w:tcPr>
          <w:p>
            <w:pPr>
              <w:spacing w:line="360" w:lineRule="auto"/>
              <w:contextualSpacing/>
              <w:jc w:val="center"/>
              <w:rPr>
                <w:rFonts w:hint="eastAsia" w:hAnsi="宋体" w:asciiTheme="minorHAnsi" w:eastAsiaTheme="minorEastAsia" w:cstheme="minorBidi"/>
                <w:color w:val="auto"/>
                <w:kern w:val="2"/>
                <w:sz w:val="21"/>
                <w:szCs w:val="21"/>
                <w:lang w:val="en-US" w:eastAsia="zh-CN" w:bidi="ar-SA"/>
              </w:rPr>
            </w:pPr>
            <w:r>
              <w:rPr>
                <w:rFonts w:hint="eastAsia" w:hAnsi="宋体" w:asciiTheme="minorHAnsi" w:eastAsiaTheme="minorEastAsia" w:cstheme="minorBidi"/>
                <w:color w:val="auto"/>
                <w:kern w:val="2"/>
                <w:sz w:val="21"/>
                <w:szCs w:val="21"/>
                <w:lang w:val="en-US" w:eastAsia="zh-CN" w:bidi="ar-SA"/>
              </w:rPr>
              <w:t>117900</w:t>
            </w:r>
            <w:r>
              <w:rPr>
                <w:rFonts w:hint="eastAsia" w:hAnsi="宋体" w:cstheme="minorBidi"/>
                <w:color w:val="auto"/>
                <w:kern w:val="2"/>
                <w:sz w:val="21"/>
                <w:szCs w:val="21"/>
                <w:lang w:val="en-US" w:eastAsia="zh-CN" w:bidi="ar-SA"/>
              </w:rPr>
              <w:t>.00</w:t>
            </w:r>
          </w:p>
        </w:tc>
      </w:tr>
    </w:tbl>
    <w:p>
      <w:pPr>
        <w:tabs>
          <w:tab w:val="left" w:pos="7095"/>
        </w:tabs>
        <w:spacing w:line="384" w:lineRule="auto"/>
        <w:ind w:firstLine="420" w:firstLineChars="200"/>
        <w:contextualSpacing/>
        <w:rPr>
          <w:rFonts w:hAnsi="宋体"/>
          <w:color w:val="auto"/>
          <w:szCs w:val="21"/>
        </w:rPr>
      </w:pPr>
      <w:r>
        <w:rPr>
          <w:rFonts w:hint="eastAsia" w:hAnsi="宋体"/>
          <w:color w:val="auto"/>
          <w:szCs w:val="21"/>
        </w:rPr>
        <w:t>5.采购需求（包括但不限于标的的名称、数量、简要技术需求或服务要求等）</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购置2023年度1961台非道路移动机械定位设备的采购安装（北斗定位系统终端及流量卡（含一年的联网服务费）安装）和监督性检测项目（详见</w:t>
      </w:r>
      <w:r>
        <w:rPr>
          <w:rFonts w:hint="eastAsia" w:hAnsi="宋体"/>
          <w:color w:val="auto"/>
          <w:szCs w:val="21"/>
          <w:lang w:eastAsia="zh-CN"/>
        </w:rPr>
        <w:t>磋商</w:t>
      </w:r>
      <w:r>
        <w:rPr>
          <w:rFonts w:hint="eastAsia" w:hAnsi="宋体"/>
          <w:color w:val="auto"/>
          <w:szCs w:val="21"/>
        </w:rPr>
        <w:t>文件）。</w:t>
      </w:r>
    </w:p>
    <w:p>
      <w:pPr>
        <w:tabs>
          <w:tab w:val="left" w:pos="7095"/>
        </w:tabs>
        <w:spacing w:line="384" w:lineRule="auto"/>
        <w:ind w:firstLine="420" w:firstLineChars="200"/>
        <w:contextualSpacing/>
        <w:rPr>
          <w:rFonts w:hint="default" w:hAnsi="宋体" w:eastAsiaTheme="minorEastAsia"/>
          <w:color w:val="auto"/>
          <w:szCs w:val="21"/>
          <w:lang w:val="en-US" w:eastAsia="zh-CN"/>
        </w:rPr>
      </w:pPr>
      <w:r>
        <w:rPr>
          <w:rFonts w:hint="eastAsia" w:hAnsi="宋体"/>
          <w:color w:val="auto"/>
          <w:szCs w:val="21"/>
        </w:rPr>
        <w:t>6.合同履行期限：合同签订后</w:t>
      </w:r>
      <w:r>
        <w:rPr>
          <w:rFonts w:hint="eastAsia" w:hAnsi="宋体"/>
          <w:color w:val="auto"/>
          <w:szCs w:val="21"/>
          <w:lang w:val="en-US" w:eastAsia="zh-CN"/>
        </w:rPr>
        <w:t>30</w:t>
      </w:r>
      <w:r>
        <w:rPr>
          <w:rFonts w:hint="eastAsia" w:hAnsi="宋体"/>
          <w:color w:val="auto"/>
          <w:szCs w:val="21"/>
        </w:rPr>
        <w:t>日</w:t>
      </w:r>
      <w:r>
        <w:rPr>
          <w:rFonts w:hint="eastAsia" w:hAnsi="宋体"/>
          <w:color w:val="auto"/>
          <w:szCs w:val="21"/>
          <w:lang w:eastAsia="zh-CN"/>
        </w:rPr>
        <w:t>历天</w:t>
      </w:r>
      <w:r>
        <w:rPr>
          <w:rFonts w:hint="eastAsia" w:hAnsi="宋体"/>
          <w:color w:val="auto"/>
          <w:szCs w:val="21"/>
          <w:lang w:val="en-US" w:eastAsia="zh-CN"/>
        </w:rPr>
        <w:t>/标段</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7.本项目是否接受联合体投标：否</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8.是否接受进口产品：否</w:t>
      </w:r>
    </w:p>
    <w:p>
      <w:pPr>
        <w:tabs>
          <w:tab w:val="left" w:pos="7095"/>
        </w:tabs>
        <w:spacing w:line="384" w:lineRule="auto"/>
        <w:ind w:firstLine="420" w:firstLineChars="200"/>
        <w:contextualSpacing/>
        <w:rPr>
          <w:rFonts w:hint="eastAsia" w:hAnsi="宋体" w:eastAsiaTheme="minorEastAsia"/>
          <w:color w:val="auto"/>
          <w:szCs w:val="21"/>
          <w:lang w:eastAsia="zh-CN"/>
        </w:rPr>
      </w:pPr>
      <w:r>
        <w:rPr>
          <w:rFonts w:hint="eastAsia" w:hAnsi="宋体"/>
          <w:color w:val="auto"/>
          <w:szCs w:val="21"/>
        </w:rPr>
        <w:t>9.是否专门面向中小企业：</w:t>
      </w:r>
      <w:r>
        <w:rPr>
          <w:rFonts w:hint="eastAsia" w:hAnsi="宋体"/>
          <w:color w:val="auto"/>
          <w:szCs w:val="21"/>
          <w:lang w:eastAsia="zh-CN"/>
        </w:rPr>
        <w:t>是</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二、申请人资格要求：</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1.满足《中华人民共和国政府采购法》第二十二条规定；</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2.落实政府采购政策满足的资格要求：</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本项目落实节约能源、保护环境、扶持不发达地区和少数民族地区、促进中小企业、监狱企业发展等政府采购政策</w:t>
      </w:r>
      <w:r>
        <w:rPr>
          <w:rFonts w:hint="eastAsia" w:ascii="宋体" w:hAnsi="宋体" w:eastAsia="宋体" w:cs="仿宋_GB2312"/>
          <w:color w:val="auto"/>
          <w:szCs w:val="21"/>
          <w:lang w:val="zh-CN"/>
        </w:rPr>
        <w:t>（本项目专门面向中小企业采购）</w:t>
      </w:r>
      <w:bookmarkStart w:id="0" w:name="_GoBack"/>
      <w:bookmarkEnd w:id="0"/>
      <w:r>
        <w:rPr>
          <w:rFonts w:hint="eastAsia" w:asciiTheme="majorEastAsia" w:hAnsiTheme="majorEastAsia" w:eastAsiaTheme="majorEastAsia" w:cstheme="majorEastAsia"/>
          <w:color w:val="auto"/>
          <w:szCs w:val="21"/>
        </w:rPr>
        <w:t>。</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3.本项目的特定资格要求</w:t>
      </w:r>
    </w:p>
    <w:p>
      <w:pPr>
        <w:pStyle w:val="43"/>
        <w:rPr>
          <w:rFonts w:hint="eastAsia" w:hAnsi="宋体"/>
          <w:color w:val="auto"/>
          <w:szCs w:val="21"/>
        </w:rPr>
      </w:pPr>
      <w:r>
        <w:rPr>
          <w:rFonts w:hint="eastAsia" w:hAnsi="宋体"/>
          <w:color w:val="auto"/>
          <w:szCs w:val="21"/>
          <w:lang w:val="en-US" w:eastAsia="zh-CN"/>
        </w:rPr>
        <w:t>3.1</w:t>
      </w:r>
      <w:r>
        <w:rPr>
          <w:rFonts w:hint="eastAsia" w:hAnsi="宋体"/>
          <w:color w:val="auto"/>
          <w:szCs w:val="21"/>
        </w:rPr>
        <w:t>被委托人须是本单位职工，须提供公司为本人缴纳社会保险证明。</w:t>
      </w:r>
    </w:p>
    <w:p>
      <w:pPr>
        <w:pStyle w:val="6"/>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eastAsia="宋体" w:cs="仿宋_GB2312"/>
          <w:color w:val="auto"/>
          <w:szCs w:val="21"/>
          <w:lang w:val="en-US" w:eastAsia="zh-CN"/>
        </w:rPr>
      </w:pPr>
      <w:r>
        <w:rPr>
          <w:rFonts w:hint="eastAsia" w:eastAsia="宋体" w:cs="仿宋_GB2312"/>
          <w:color w:val="auto"/>
          <w:szCs w:val="21"/>
          <w:lang w:val="en-US" w:eastAsia="zh-CN"/>
        </w:rPr>
        <w:t>3.2第2标段供应商具有非道路移动机械的检测资质，并向省厅报备，取得省厅平台网络对接许可。</w:t>
      </w:r>
    </w:p>
    <w:p>
      <w:pPr>
        <w:pStyle w:val="6"/>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Ansi="宋体"/>
          <w:color w:val="auto"/>
          <w:szCs w:val="21"/>
        </w:rPr>
      </w:pPr>
      <w:r>
        <w:rPr>
          <w:rFonts w:hint="eastAsia" w:ascii="宋体" w:hAnsi="宋体" w:eastAsia="宋体"/>
          <w:color w:val="auto"/>
          <w:szCs w:val="21"/>
          <w:lang w:val="en-US" w:eastAsia="zh-CN"/>
        </w:rPr>
        <w:t>3.3供应商只能投一个标段。</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三、获取采购文件</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1.时间：2023年</w:t>
      </w:r>
      <w:r>
        <w:rPr>
          <w:rFonts w:hint="eastAsia" w:hAnsi="宋体"/>
          <w:color w:val="auto"/>
          <w:szCs w:val="21"/>
          <w:lang w:val="en-US" w:eastAsia="zh-CN"/>
        </w:rPr>
        <w:t>07</w:t>
      </w:r>
      <w:r>
        <w:rPr>
          <w:rFonts w:hint="eastAsia" w:hAnsi="宋体"/>
          <w:color w:val="auto"/>
          <w:szCs w:val="21"/>
        </w:rPr>
        <w:t>月</w:t>
      </w:r>
      <w:r>
        <w:rPr>
          <w:rFonts w:hint="eastAsia" w:hAnsi="宋体"/>
          <w:color w:val="auto"/>
          <w:szCs w:val="21"/>
          <w:lang w:val="en-US" w:eastAsia="zh-CN"/>
        </w:rPr>
        <w:t>06</w:t>
      </w:r>
      <w:r>
        <w:rPr>
          <w:rFonts w:hint="eastAsia" w:hAnsi="宋体"/>
          <w:color w:val="auto"/>
          <w:szCs w:val="21"/>
        </w:rPr>
        <w:t xml:space="preserve"> 日 至 2023年</w:t>
      </w:r>
      <w:r>
        <w:rPr>
          <w:rFonts w:hint="eastAsia" w:hAnsi="宋体"/>
          <w:color w:val="auto"/>
          <w:szCs w:val="21"/>
          <w:lang w:val="en-US" w:eastAsia="zh-CN"/>
        </w:rPr>
        <w:t>07</w:t>
      </w:r>
      <w:r>
        <w:rPr>
          <w:rFonts w:hint="eastAsia" w:hAnsi="宋体"/>
          <w:color w:val="auto"/>
          <w:szCs w:val="21"/>
        </w:rPr>
        <w:t>月</w:t>
      </w:r>
      <w:r>
        <w:rPr>
          <w:rFonts w:hint="eastAsia" w:hAnsi="宋体"/>
          <w:color w:val="auto"/>
          <w:szCs w:val="21"/>
          <w:lang w:val="en-US" w:eastAsia="zh-CN"/>
        </w:rPr>
        <w:t xml:space="preserve"> 18</w:t>
      </w:r>
      <w:r>
        <w:rPr>
          <w:rFonts w:hint="eastAsia" w:hAnsi="宋体"/>
          <w:color w:val="auto"/>
          <w:szCs w:val="21"/>
        </w:rPr>
        <w:t>日，每天上午00:00至12:00，下午12:01至23:59（北京时间，法定节假日除外。）</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2.地点：</w:t>
      </w:r>
      <w:r>
        <w:rPr>
          <w:rFonts w:hint="eastAsia" w:hAnsi="宋体"/>
          <w:color w:val="auto"/>
          <w:szCs w:val="21"/>
          <w:lang w:eastAsia="zh-CN"/>
        </w:rPr>
        <w:t>磋商</w:t>
      </w:r>
      <w:r>
        <w:rPr>
          <w:rFonts w:hint="eastAsia" w:hAnsi="宋体"/>
          <w:color w:val="auto"/>
          <w:szCs w:val="21"/>
        </w:rPr>
        <w:t>响应截止时间前登录《全国公共资源交易平台（河南省·许昌市）》“投标人/供应商登录”入口（http://ggzy.xuchang.gov.cn:8088/ggzy/）自行免费下载。</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3.方式：网上自行下载</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4.售价：0元</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四、响应文件提交</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1.时间：2023年</w:t>
      </w:r>
      <w:r>
        <w:rPr>
          <w:rFonts w:hint="eastAsia" w:hAnsi="宋体"/>
          <w:color w:val="auto"/>
          <w:szCs w:val="21"/>
          <w:lang w:val="en-US" w:eastAsia="zh-CN"/>
        </w:rPr>
        <w:t>07</w:t>
      </w:r>
      <w:r>
        <w:rPr>
          <w:rFonts w:hint="eastAsia" w:hAnsi="宋体"/>
          <w:color w:val="auto"/>
          <w:szCs w:val="21"/>
        </w:rPr>
        <w:t>月</w:t>
      </w:r>
      <w:r>
        <w:rPr>
          <w:rFonts w:hint="eastAsia" w:hAnsi="宋体"/>
          <w:color w:val="auto"/>
          <w:szCs w:val="21"/>
          <w:lang w:val="en-US" w:eastAsia="zh-CN"/>
        </w:rPr>
        <w:t xml:space="preserve">18 </w:t>
      </w:r>
      <w:r>
        <w:rPr>
          <w:rFonts w:hint="eastAsia" w:hAnsi="宋体"/>
          <w:color w:val="auto"/>
          <w:szCs w:val="21"/>
        </w:rPr>
        <w:t>日</w:t>
      </w:r>
      <w:r>
        <w:rPr>
          <w:rFonts w:hint="eastAsia" w:hAnsi="宋体"/>
          <w:color w:val="auto"/>
          <w:szCs w:val="21"/>
          <w:lang w:val="en-US" w:eastAsia="zh-CN"/>
        </w:rPr>
        <w:t>08</w:t>
      </w:r>
      <w:r>
        <w:rPr>
          <w:rFonts w:hint="eastAsia" w:hAnsi="宋体"/>
          <w:color w:val="auto"/>
          <w:szCs w:val="21"/>
        </w:rPr>
        <w:t>时 30 分（北京时间）</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2.地点：本项目采用网上响应，请符合响应条件的供应商使用CA数字证书加密上传响应文件。</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五、响应文件开启</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1.时间：2023年</w:t>
      </w:r>
      <w:r>
        <w:rPr>
          <w:rFonts w:hint="eastAsia" w:hAnsi="宋体"/>
          <w:color w:val="auto"/>
          <w:szCs w:val="21"/>
          <w:lang w:val="en-US" w:eastAsia="zh-CN"/>
        </w:rPr>
        <w:t>07</w:t>
      </w:r>
      <w:r>
        <w:rPr>
          <w:rFonts w:hint="eastAsia" w:hAnsi="宋体"/>
          <w:color w:val="auto"/>
          <w:szCs w:val="21"/>
        </w:rPr>
        <w:t>月</w:t>
      </w:r>
      <w:r>
        <w:rPr>
          <w:rFonts w:hint="eastAsia" w:hAnsi="宋体"/>
          <w:color w:val="auto"/>
          <w:szCs w:val="21"/>
          <w:lang w:val="en-US" w:eastAsia="zh-CN"/>
        </w:rPr>
        <w:t xml:space="preserve">18 </w:t>
      </w:r>
      <w:r>
        <w:rPr>
          <w:rFonts w:hint="eastAsia" w:hAnsi="宋体"/>
          <w:color w:val="auto"/>
          <w:szCs w:val="21"/>
        </w:rPr>
        <w:t>日</w:t>
      </w:r>
      <w:r>
        <w:rPr>
          <w:rFonts w:hint="eastAsia" w:hAnsi="宋体"/>
          <w:color w:val="auto"/>
          <w:szCs w:val="21"/>
          <w:lang w:val="en-US" w:eastAsia="zh-CN"/>
        </w:rPr>
        <w:t>08</w:t>
      </w:r>
      <w:r>
        <w:rPr>
          <w:rFonts w:hint="eastAsia" w:hAnsi="宋体"/>
          <w:color w:val="auto"/>
          <w:szCs w:val="21"/>
        </w:rPr>
        <w:t>时 30 分（北京时间）</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六、发布公告的媒介及招标公告期限</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本次招标公告在《河南省政府采购网》《许昌市政府采购网》《全国公共资源交易平台（河南省·许昌市）》上发布。 招标公告期限为三个工作日。</w:t>
      </w:r>
    </w:p>
    <w:p>
      <w:pPr>
        <w:numPr>
          <w:ilvl w:val="0"/>
          <w:numId w:val="2"/>
        </w:numPr>
        <w:tabs>
          <w:tab w:val="left" w:pos="7095"/>
        </w:tabs>
        <w:spacing w:line="384" w:lineRule="auto"/>
        <w:ind w:firstLine="422" w:firstLineChars="200"/>
        <w:contextualSpacing/>
        <w:rPr>
          <w:rFonts w:hint="eastAsia" w:hAnsi="宋体"/>
          <w:b/>
          <w:bCs/>
          <w:color w:val="auto"/>
          <w:szCs w:val="21"/>
        </w:rPr>
      </w:pPr>
      <w:r>
        <w:rPr>
          <w:rFonts w:hint="eastAsia" w:hAnsi="宋体"/>
          <w:b/>
          <w:bCs/>
          <w:color w:val="auto"/>
          <w:szCs w:val="21"/>
        </w:rPr>
        <w:t>其他补充事宜</w:t>
      </w:r>
    </w:p>
    <w:p>
      <w:pPr>
        <w:pStyle w:val="13"/>
        <w:numPr>
          <w:ilvl w:val="0"/>
          <w:numId w:val="0"/>
        </w:numPr>
        <w:ind w:firstLine="420" w:firstLineChars="200"/>
        <w:rPr>
          <w:rFonts w:hint="eastAsia" w:hAnsi="宋体" w:asciiTheme="minorHAnsi" w:eastAsiaTheme="minorEastAsia" w:cstheme="minorBidi"/>
          <w:color w:val="auto"/>
          <w:kern w:val="2"/>
          <w:sz w:val="21"/>
          <w:szCs w:val="21"/>
          <w:lang w:val="en-US" w:eastAsia="zh-CN" w:bidi="ar-SA"/>
        </w:rPr>
      </w:pPr>
      <w:r>
        <w:rPr>
          <w:rFonts w:hint="eastAsia" w:hAnsi="宋体" w:asciiTheme="minorHAnsi" w:eastAsiaTheme="minorEastAsia" w:cstheme="minorBidi"/>
          <w:color w:val="auto"/>
          <w:kern w:val="2"/>
          <w:sz w:val="21"/>
          <w:szCs w:val="21"/>
          <w:lang w:val="en-US" w:eastAsia="zh-CN" w:bidi="ar-SA"/>
        </w:rPr>
        <w:t xml:space="preserve">1、项目编号以本磋商文件中的采购编号为准，采购编号：YZCG-DLC2023060 </w:t>
      </w:r>
    </w:p>
    <w:p>
      <w:pPr>
        <w:tabs>
          <w:tab w:val="left" w:pos="7095"/>
        </w:tabs>
        <w:spacing w:line="384" w:lineRule="auto"/>
        <w:ind w:firstLine="420" w:firstLineChars="200"/>
        <w:contextualSpacing/>
        <w:rPr>
          <w:rFonts w:hAnsi="宋体"/>
          <w:color w:val="auto"/>
          <w:szCs w:val="21"/>
        </w:rPr>
      </w:pPr>
      <w:r>
        <w:rPr>
          <w:rFonts w:hint="eastAsia" w:hAnsi="宋体"/>
          <w:color w:val="auto"/>
          <w:szCs w:val="21"/>
          <w:lang w:val="en-US" w:eastAsia="zh-CN"/>
        </w:rPr>
        <w:t>2、</w:t>
      </w:r>
      <w:r>
        <w:rPr>
          <w:rFonts w:hint="eastAsia" w:hAnsi="宋体"/>
          <w:color w:val="auto"/>
          <w:szCs w:val="21"/>
        </w:rPr>
        <w:t>监督单位：禹州市政府采购监督管理办公室</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八、凡对本次招标提出询问，请按照以下方式联系</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名称：禹州市</w:t>
      </w:r>
      <w:r>
        <w:rPr>
          <w:rFonts w:hint="eastAsia" w:asciiTheme="majorEastAsia" w:hAnsiTheme="majorEastAsia" w:eastAsiaTheme="majorEastAsia" w:cstheme="majorEastAsia"/>
          <w:color w:val="auto"/>
          <w:szCs w:val="21"/>
          <w:lang w:eastAsia="zh-CN"/>
        </w:rPr>
        <w:t>环境保护</w:t>
      </w:r>
      <w:r>
        <w:rPr>
          <w:rFonts w:hint="eastAsia" w:asciiTheme="majorEastAsia" w:hAnsiTheme="majorEastAsia" w:eastAsiaTheme="majorEastAsia" w:cstheme="majorEastAsia"/>
          <w:color w:val="auto"/>
          <w:szCs w:val="21"/>
        </w:rPr>
        <w:t>局</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地址：禹州市行政北路2号创业大厦</w:t>
      </w:r>
    </w:p>
    <w:p>
      <w:pPr>
        <w:spacing w:line="384" w:lineRule="auto"/>
        <w:ind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rPr>
        <w:t xml:space="preserve">联系人：焦女士 </w:t>
      </w:r>
      <w:r>
        <w:rPr>
          <w:rFonts w:hint="eastAsia" w:ascii="宋体" w:hAnsi="宋体" w:eastAsia="宋体" w:cs="宋体"/>
          <w:color w:val="auto"/>
          <w:szCs w:val="21"/>
          <w:lang w:val="en-US" w:eastAsia="zh-CN"/>
        </w:rPr>
        <w:t xml:space="preserve"> </w:t>
      </w:r>
    </w:p>
    <w:p>
      <w:pPr>
        <w:spacing w:line="384" w:lineRule="auto"/>
        <w:ind w:firstLine="420" w:firstLineChars="200"/>
        <w:jc w:val="left"/>
        <w:rPr>
          <w:rFonts w:hint="eastAsia" w:asciiTheme="majorEastAsia" w:hAnsiTheme="majorEastAsia" w:eastAsiaTheme="majorEastAsia" w:cstheme="majorEastAsia"/>
          <w:color w:val="auto"/>
          <w:szCs w:val="21"/>
          <w:lang w:eastAsia="zh-CN"/>
        </w:rPr>
      </w:pPr>
      <w:r>
        <w:rPr>
          <w:rFonts w:hint="eastAsia" w:ascii="宋体" w:hAnsi="宋体" w:eastAsia="宋体" w:cs="宋体"/>
          <w:color w:val="auto"/>
          <w:szCs w:val="21"/>
        </w:rPr>
        <w:t xml:space="preserve">联系电话：0374-6066221 </w:t>
      </w:r>
      <w:r>
        <w:rPr>
          <w:rFonts w:hint="eastAsia" w:ascii="宋体" w:hAnsi="宋体" w:eastAsia="宋体" w:cs="宋体"/>
          <w:color w:val="auto"/>
          <w:szCs w:val="21"/>
          <w:lang w:val="en-US" w:eastAsia="zh-CN"/>
        </w:rPr>
        <w:t xml:space="preserve"> </w:t>
      </w:r>
      <w:r>
        <w:rPr>
          <w:rFonts w:hint="eastAsia" w:asciiTheme="majorEastAsia" w:hAnsiTheme="majorEastAsia" w:eastAsiaTheme="majorEastAsia" w:cstheme="majorEastAsia"/>
          <w:color w:val="auto"/>
          <w:szCs w:val="21"/>
          <w:lang w:val="en-US" w:eastAsia="zh-CN"/>
        </w:rPr>
        <w:t xml:space="preserve"> </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2.采购代理机构信息</w:t>
      </w:r>
    </w:p>
    <w:p>
      <w:pPr>
        <w:pStyle w:val="5"/>
        <w:spacing w:line="348"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名称：</w:t>
      </w:r>
      <w:r>
        <w:rPr>
          <w:rFonts w:hint="eastAsia"/>
          <w:color w:val="auto"/>
        </w:rPr>
        <w:t>许昌丰元咨询管理有限公司</w:t>
      </w:r>
    </w:p>
    <w:p>
      <w:pPr>
        <w:spacing w:line="384" w:lineRule="auto"/>
        <w:ind w:firstLine="420" w:firstLineChars="200"/>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地址：</w:t>
      </w:r>
      <w:r>
        <w:rPr>
          <w:rFonts w:hint="eastAsia"/>
          <w:color w:val="auto"/>
          <w:lang w:val="en-US" w:eastAsia="zh-CN"/>
        </w:rPr>
        <w:t>禹州市颍北大道6号</w:t>
      </w:r>
    </w:p>
    <w:p>
      <w:pPr>
        <w:spacing w:line="384" w:lineRule="auto"/>
        <w:ind w:firstLine="420" w:firstLineChars="200"/>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联系人：</w:t>
      </w:r>
      <w:r>
        <w:rPr>
          <w:rFonts w:hint="eastAsia" w:asciiTheme="majorEastAsia" w:hAnsiTheme="majorEastAsia" w:eastAsiaTheme="majorEastAsia" w:cstheme="majorEastAsia"/>
          <w:color w:val="auto"/>
          <w:szCs w:val="21"/>
          <w:lang w:val="en-US" w:eastAsia="zh-CN"/>
        </w:rPr>
        <w:t>连女士</w:t>
      </w:r>
    </w:p>
    <w:p>
      <w:pPr>
        <w:spacing w:line="384" w:lineRule="auto"/>
        <w:ind w:firstLine="420" w:firstLineChars="200"/>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联系电话：</w:t>
      </w:r>
      <w:r>
        <w:rPr>
          <w:rFonts w:hint="eastAsia" w:asciiTheme="majorEastAsia" w:hAnsiTheme="majorEastAsia" w:eastAsiaTheme="majorEastAsia" w:cstheme="majorEastAsia"/>
          <w:color w:val="auto"/>
          <w:szCs w:val="21"/>
          <w:lang w:val="en-US" w:eastAsia="zh-CN"/>
        </w:rPr>
        <w:t>0374-8281999</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3.项目联系方式</w:t>
      </w:r>
    </w:p>
    <w:p>
      <w:pPr>
        <w:spacing w:line="384" w:lineRule="auto"/>
        <w:ind w:firstLine="420" w:firstLineChars="200"/>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联系人：</w:t>
      </w:r>
      <w:r>
        <w:rPr>
          <w:rFonts w:hint="eastAsia" w:asciiTheme="majorEastAsia" w:hAnsiTheme="majorEastAsia" w:eastAsiaTheme="majorEastAsia" w:cstheme="majorEastAsia"/>
          <w:color w:val="auto"/>
          <w:szCs w:val="21"/>
          <w:lang w:val="en-US" w:eastAsia="zh-CN"/>
        </w:rPr>
        <w:t>连女士</w:t>
      </w:r>
    </w:p>
    <w:p>
      <w:pPr>
        <w:spacing w:line="384" w:lineRule="auto"/>
        <w:ind w:firstLine="420" w:firstLineChars="200"/>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联系电话：</w:t>
      </w:r>
      <w:r>
        <w:rPr>
          <w:rFonts w:hint="eastAsia" w:asciiTheme="majorEastAsia" w:hAnsiTheme="majorEastAsia" w:eastAsiaTheme="majorEastAsia" w:cstheme="majorEastAsia"/>
          <w:color w:val="auto"/>
          <w:szCs w:val="21"/>
          <w:lang w:val="en-US" w:eastAsia="zh-CN"/>
        </w:rPr>
        <w:t>0374-8281999</w:t>
      </w:r>
    </w:p>
    <w:p>
      <w:pPr>
        <w:spacing w:line="560" w:lineRule="exact"/>
        <w:ind w:firstLine="480" w:firstLineChars="200"/>
        <w:rPr>
          <w:rFonts w:ascii="微软雅黑" w:hAnsi="微软雅黑" w:eastAsia="微软雅黑" w:cs="微软雅黑"/>
          <w:color w:val="auto"/>
          <w:kern w:val="0"/>
          <w:sz w:val="24"/>
        </w:rPr>
      </w:pPr>
    </w:p>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4"/>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71E49208"/>
    <w:multiLevelType w:val="singleLevel"/>
    <w:tmpl w:val="71E49208"/>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hZmZmNzIzN2U0NDdjNGYyMDVjOWE5NTljYjJhNDkifQ=="/>
  </w:docVars>
  <w:rsids>
    <w:rsidRoot w:val="6FC14EB8"/>
    <w:rsid w:val="0008589B"/>
    <w:rsid w:val="00126491"/>
    <w:rsid w:val="001C65B9"/>
    <w:rsid w:val="001D673D"/>
    <w:rsid w:val="003063EA"/>
    <w:rsid w:val="003D2F11"/>
    <w:rsid w:val="003F06D3"/>
    <w:rsid w:val="0040529C"/>
    <w:rsid w:val="005353F7"/>
    <w:rsid w:val="007C11E5"/>
    <w:rsid w:val="007D4A99"/>
    <w:rsid w:val="008B24E0"/>
    <w:rsid w:val="009C5C6A"/>
    <w:rsid w:val="00AD13BA"/>
    <w:rsid w:val="00B80697"/>
    <w:rsid w:val="00C52FED"/>
    <w:rsid w:val="00C75CA4"/>
    <w:rsid w:val="00C81D3A"/>
    <w:rsid w:val="00CA149A"/>
    <w:rsid w:val="00D376F9"/>
    <w:rsid w:val="00EA08B8"/>
    <w:rsid w:val="00EE7581"/>
    <w:rsid w:val="00F62936"/>
    <w:rsid w:val="025D7B9F"/>
    <w:rsid w:val="081128A2"/>
    <w:rsid w:val="093E0C81"/>
    <w:rsid w:val="0A424693"/>
    <w:rsid w:val="0B293A5F"/>
    <w:rsid w:val="0B563B56"/>
    <w:rsid w:val="0CED59FB"/>
    <w:rsid w:val="0D63594E"/>
    <w:rsid w:val="0D6E42F3"/>
    <w:rsid w:val="0DC02A29"/>
    <w:rsid w:val="108D2CE2"/>
    <w:rsid w:val="117B6FDE"/>
    <w:rsid w:val="11F02045"/>
    <w:rsid w:val="132316DC"/>
    <w:rsid w:val="14676E3E"/>
    <w:rsid w:val="15C9656A"/>
    <w:rsid w:val="166325E7"/>
    <w:rsid w:val="17086943"/>
    <w:rsid w:val="178526DD"/>
    <w:rsid w:val="18116993"/>
    <w:rsid w:val="1AC272B5"/>
    <w:rsid w:val="1AEA6245"/>
    <w:rsid w:val="1BD432F2"/>
    <w:rsid w:val="1C584098"/>
    <w:rsid w:val="1E3417FF"/>
    <w:rsid w:val="1F221CF8"/>
    <w:rsid w:val="1F914E56"/>
    <w:rsid w:val="20472039"/>
    <w:rsid w:val="20897D3B"/>
    <w:rsid w:val="20B00A53"/>
    <w:rsid w:val="21C019ED"/>
    <w:rsid w:val="26A82D08"/>
    <w:rsid w:val="27010B47"/>
    <w:rsid w:val="27604658"/>
    <w:rsid w:val="2A2B739C"/>
    <w:rsid w:val="2ECD538A"/>
    <w:rsid w:val="317672F1"/>
    <w:rsid w:val="324B2D8D"/>
    <w:rsid w:val="32FD3482"/>
    <w:rsid w:val="341140DB"/>
    <w:rsid w:val="346457AE"/>
    <w:rsid w:val="34E26A56"/>
    <w:rsid w:val="360016DD"/>
    <w:rsid w:val="3A490B50"/>
    <w:rsid w:val="3ADB3ABB"/>
    <w:rsid w:val="3BE57C6E"/>
    <w:rsid w:val="3EB03CA6"/>
    <w:rsid w:val="40C83FF8"/>
    <w:rsid w:val="411C0608"/>
    <w:rsid w:val="48B63713"/>
    <w:rsid w:val="49DE7B2F"/>
    <w:rsid w:val="4C3F23DE"/>
    <w:rsid w:val="4C5B3942"/>
    <w:rsid w:val="4D8A7F66"/>
    <w:rsid w:val="4E1704DC"/>
    <w:rsid w:val="4E4F5496"/>
    <w:rsid w:val="51C961B3"/>
    <w:rsid w:val="52CB2F54"/>
    <w:rsid w:val="54694D94"/>
    <w:rsid w:val="57924A5B"/>
    <w:rsid w:val="58C44394"/>
    <w:rsid w:val="58E82C2D"/>
    <w:rsid w:val="5DA24229"/>
    <w:rsid w:val="5DEB0614"/>
    <w:rsid w:val="5EBE19C1"/>
    <w:rsid w:val="5F6C6814"/>
    <w:rsid w:val="606801FF"/>
    <w:rsid w:val="60B3541A"/>
    <w:rsid w:val="63A026D4"/>
    <w:rsid w:val="64145F33"/>
    <w:rsid w:val="667E6B92"/>
    <w:rsid w:val="684F3C7A"/>
    <w:rsid w:val="68614FC0"/>
    <w:rsid w:val="68A847B6"/>
    <w:rsid w:val="69383A1A"/>
    <w:rsid w:val="69AC398E"/>
    <w:rsid w:val="6BA725F1"/>
    <w:rsid w:val="6FC14EB8"/>
    <w:rsid w:val="72BC46BB"/>
    <w:rsid w:val="73891774"/>
    <w:rsid w:val="74432700"/>
    <w:rsid w:val="746A1A64"/>
    <w:rsid w:val="78053506"/>
    <w:rsid w:val="788D5076"/>
    <w:rsid w:val="7CE87DA1"/>
    <w:rsid w:val="7DAF3C2E"/>
    <w:rsid w:val="7E9F4AAE"/>
    <w:rsid w:val="7EF82C92"/>
    <w:rsid w:val="7F113AB4"/>
    <w:rsid w:val="7F3D43D5"/>
    <w:rsid w:val="7F6851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paragraph" w:styleId="4">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5"/>
    </w:pPr>
    <w:rPr>
      <w:rFonts w:ascii="Times New Roman" w:hAnsi="Times New Roman" w:eastAsia="宋体" w:cs="Times New Roman"/>
      <w:szCs w:val="20"/>
    </w:rPr>
  </w:style>
  <w:style w:type="paragraph" w:styleId="6">
    <w:name w:val="Body Text"/>
    <w:basedOn w:val="1"/>
    <w:next w:val="7"/>
    <w:unhideWhenUsed/>
    <w:qFormat/>
    <w:uiPriority w:val="99"/>
    <w:pPr>
      <w:spacing w:after="120"/>
    </w:pPr>
  </w:style>
  <w:style w:type="paragraph" w:customStyle="1" w:styleId="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8">
    <w:name w:val="Body Text Indent"/>
    <w:basedOn w:val="1"/>
    <w:next w:val="9"/>
    <w:qFormat/>
    <w:uiPriority w:val="0"/>
    <w:pPr>
      <w:adjustRightInd w:val="0"/>
      <w:spacing w:after="120" w:line="360" w:lineRule="atLeast"/>
      <w:ind w:left="420" w:leftChars="200"/>
      <w:jc w:val="left"/>
      <w:textAlignment w:val="baseline"/>
    </w:pPr>
    <w:rPr>
      <w:kern w:val="0"/>
      <w:sz w:val="24"/>
      <w:szCs w:val="20"/>
    </w:rPr>
  </w:style>
  <w:style w:type="paragraph" w:styleId="9">
    <w:name w:val="envelope return"/>
    <w:basedOn w:val="1"/>
    <w:unhideWhenUsed/>
    <w:qFormat/>
    <w:uiPriority w:val="99"/>
    <w:pPr>
      <w:snapToGrid w:val="0"/>
    </w:pPr>
    <w:rPr>
      <w:rFonts w:ascii="Arial" w:hAnsi="Arial"/>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rPr>
      <w:sz w:val="24"/>
    </w:rPr>
  </w:style>
  <w:style w:type="paragraph" w:styleId="13">
    <w:name w:val="Body Text First Indent"/>
    <w:basedOn w:val="6"/>
    <w:next w:val="14"/>
    <w:qFormat/>
    <w:uiPriority w:val="0"/>
    <w:pPr>
      <w:ind w:firstLine="420" w:firstLineChars="100"/>
    </w:pPr>
    <w:rPr>
      <w:rFonts w:ascii="宋体" w:hAnsi="Times New Roman" w:eastAsia="宋体" w:cs="Times New Roman"/>
      <w:kern w:val="0"/>
      <w:sz w:val="34"/>
      <w:szCs w:val="20"/>
    </w:rPr>
  </w:style>
  <w:style w:type="paragraph" w:styleId="14">
    <w:name w:val="Body Text First Indent 2"/>
    <w:basedOn w:val="8"/>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character" w:styleId="17">
    <w:name w:val="FollowedHyperlink"/>
    <w:basedOn w:val="16"/>
    <w:qFormat/>
    <w:uiPriority w:val="0"/>
    <w:rPr>
      <w:color w:val="000000"/>
      <w:u w:val="none"/>
    </w:rPr>
  </w:style>
  <w:style w:type="character" w:styleId="18">
    <w:name w:val="Emphasis"/>
    <w:basedOn w:val="16"/>
    <w:qFormat/>
    <w:uiPriority w:val="0"/>
  </w:style>
  <w:style w:type="character" w:styleId="19">
    <w:name w:val="Hyperlink"/>
    <w:basedOn w:val="16"/>
    <w:qFormat/>
    <w:uiPriority w:val="0"/>
    <w:rPr>
      <w:color w:val="000000"/>
      <w:u w:val="none"/>
    </w:rPr>
  </w:style>
  <w:style w:type="paragraph" w:customStyle="1" w:styleId="20">
    <w:name w:val="style4"/>
    <w:basedOn w:val="1"/>
    <w:next w:val="21"/>
    <w:qFormat/>
    <w:uiPriority w:val="0"/>
    <w:pPr>
      <w:widowControl/>
      <w:spacing w:before="280" w:after="280"/>
    </w:pPr>
    <w:rPr>
      <w:rFonts w:ascii="宋体" w:hAnsi="Times New Roman" w:eastAsia="宋体" w:cs="Times New Roman"/>
      <w:sz w:val="18"/>
    </w:rPr>
  </w:style>
  <w:style w:type="paragraph" w:customStyle="1" w:styleId="21">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22">
    <w:name w:val="red"/>
    <w:basedOn w:val="16"/>
    <w:qFormat/>
    <w:uiPriority w:val="0"/>
    <w:rPr>
      <w:color w:val="FF0000"/>
      <w:sz w:val="18"/>
      <w:szCs w:val="18"/>
    </w:rPr>
  </w:style>
  <w:style w:type="character" w:customStyle="1" w:styleId="23">
    <w:name w:val="red1"/>
    <w:basedOn w:val="16"/>
    <w:qFormat/>
    <w:uiPriority w:val="0"/>
    <w:rPr>
      <w:color w:val="FF0000"/>
      <w:sz w:val="18"/>
      <w:szCs w:val="18"/>
    </w:rPr>
  </w:style>
  <w:style w:type="character" w:customStyle="1" w:styleId="24">
    <w:name w:val="red2"/>
    <w:basedOn w:val="16"/>
    <w:qFormat/>
    <w:uiPriority w:val="0"/>
    <w:rPr>
      <w:color w:val="FF0000"/>
    </w:rPr>
  </w:style>
  <w:style w:type="character" w:customStyle="1" w:styleId="25">
    <w:name w:val="red3"/>
    <w:basedOn w:val="16"/>
    <w:qFormat/>
    <w:uiPriority w:val="0"/>
    <w:rPr>
      <w:color w:val="CC0000"/>
    </w:rPr>
  </w:style>
  <w:style w:type="character" w:customStyle="1" w:styleId="26">
    <w:name w:val="green"/>
    <w:basedOn w:val="16"/>
    <w:qFormat/>
    <w:uiPriority w:val="0"/>
    <w:rPr>
      <w:color w:val="66AE00"/>
      <w:sz w:val="18"/>
      <w:szCs w:val="18"/>
    </w:rPr>
  </w:style>
  <w:style w:type="character" w:customStyle="1" w:styleId="27">
    <w:name w:val="green1"/>
    <w:basedOn w:val="16"/>
    <w:qFormat/>
    <w:uiPriority w:val="0"/>
    <w:rPr>
      <w:color w:val="66AE00"/>
      <w:sz w:val="18"/>
      <w:szCs w:val="18"/>
    </w:rPr>
  </w:style>
  <w:style w:type="character" w:customStyle="1" w:styleId="28">
    <w:name w:val="hover25"/>
    <w:basedOn w:val="16"/>
    <w:qFormat/>
    <w:uiPriority w:val="0"/>
  </w:style>
  <w:style w:type="character" w:customStyle="1" w:styleId="29">
    <w:name w:val="gb-jt"/>
    <w:basedOn w:val="16"/>
    <w:qFormat/>
    <w:uiPriority w:val="0"/>
  </w:style>
  <w:style w:type="character" w:customStyle="1" w:styleId="30">
    <w:name w:val="active4"/>
    <w:basedOn w:val="16"/>
    <w:qFormat/>
    <w:uiPriority w:val="0"/>
    <w:rPr>
      <w:color w:val="FFFFFF"/>
      <w:shd w:val="clear" w:color="auto" w:fill="2B7AFC"/>
    </w:rPr>
  </w:style>
  <w:style w:type="character" w:customStyle="1" w:styleId="31">
    <w:name w:val="blue"/>
    <w:basedOn w:val="16"/>
    <w:qFormat/>
    <w:uiPriority w:val="0"/>
    <w:rPr>
      <w:color w:val="0371C6"/>
      <w:sz w:val="21"/>
      <w:szCs w:val="21"/>
    </w:rPr>
  </w:style>
  <w:style w:type="character" w:customStyle="1" w:styleId="32">
    <w:name w:val="right"/>
    <w:basedOn w:val="16"/>
    <w:qFormat/>
    <w:uiPriority w:val="0"/>
    <w:rPr>
      <w:color w:val="999999"/>
      <w:sz w:val="18"/>
      <w:szCs w:val="18"/>
    </w:rPr>
  </w:style>
  <w:style w:type="character" w:customStyle="1" w:styleId="33">
    <w:name w:val="hover24"/>
    <w:basedOn w:val="16"/>
    <w:qFormat/>
    <w:uiPriority w:val="0"/>
  </w:style>
  <w:style w:type="character" w:customStyle="1" w:styleId="34">
    <w:name w:val="hover"/>
    <w:basedOn w:val="16"/>
    <w:qFormat/>
    <w:uiPriority w:val="0"/>
  </w:style>
  <w:style w:type="character" w:customStyle="1" w:styleId="35">
    <w:name w:val="red4"/>
    <w:basedOn w:val="16"/>
    <w:qFormat/>
    <w:uiPriority w:val="0"/>
    <w:rPr>
      <w:color w:val="FF0000"/>
      <w:sz w:val="18"/>
      <w:szCs w:val="18"/>
    </w:rPr>
  </w:style>
  <w:style w:type="character" w:customStyle="1" w:styleId="36">
    <w:name w:val="red5"/>
    <w:basedOn w:val="16"/>
    <w:qFormat/>
    <w:uiPriority w:val="0"/>
    <w:rPr>
      <w:color w:val="FF0000"/>
      <w:sz w:val="18"/>
      <w:szCs w:val="18"/>
    </w:rPr>
  </w:style>
  <w:style w:type="character" w:customStyle="1" w:styleId="37">
    <w:name w:val="red6"/>
    <w:basedOn w:val="16"/>
    <w:qFormat/>
    <w:uiPriority w:val="0"/>
    <w:rPr>
      <w:color w:val="CC0000"/>
    </w:rPr>
  </w:style>
  <w:style w:type="character" w:customStyle="1" w:styleId="38">
    <w:name w:val="red7"/>
    <w:basedOn w:val="16"/>
    <w:qFormat/>
    <w:uiPriority w:val="0"/>
    <w:rPr>
      <w:color w:val="FF0000"/>
    </w:rPr>
  </w:style>
  <w:style w:type="character" w:customStyle="1" w:styleId="39">
    <w:name w:val="hover18"/>
    <w:basedOn w:val="16"/>
    <w:qFormat/>
    <w:uiPriority w:val="0"/>
  </w:style>
  <w:style w:type="character" w:customStyle="1" w:styleId="40">
    <w:name w:val="active3"/>
    <w:basedOn w:val="16"/>
    <w:qFormat/>
    <w:uiPriority w:val="0"/>
    <w:rPr>
      <w:color w:val="FFFFFF"/>
      <w:shd w:val="clear" w:fill="2B7AFC"/>
    </w:rPr>
  </w:style>
  <w:style w:type="character" w:customStyle="1" w:styleId="41">
    <w:name w:val="active"/>
    <w:basedOn w:val="16"/>
    <w:qFormat/>
    <w:uiPriority w:val="0"/>
    <w:rPr>
      <w:color w:val="FFFFFF"/>
      <w:shd w:val="clear" w:fill="2B7AFC"/>
    </w:rPr>
  </w:style>
  <w:style w:type="character" w:customStyle="1" w:styleId="42">
    <w:name w:val="hover23"/>
    <w:basedOn w:val="16"/>
    <w:qFormat/>
    <w:uiPriority w:val="0"/>
  </w:style>
  <w:style w:type="paragraph" w:customStyle="1" w:styleId="43">
    <w:name w:val="*正文"/>
    <w:basedOn w:val="1"/>
    <w:next w:val="1"/>
    <w:qFormat/>
    <w:uiPriority w:val="99"/>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3</Pages>
  <Words>1337</Words>
  <Characters>1671</Characters>
  <Lines>10</Lines>
  <Paragraphs>3</Paragraphs>
  <TotalTime>0</TotalTime>
  <ScaleCrop>false</ScaleCrop>
  <LinksUpToDate>false</LinksUpToDate>
  <CharactersWithSpaces>1696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2021-11-29T07:45:00Z</dcterms:created>
  <dc:creator>WPS_1591240706</dc:creator>
  <cp:lastModifiedBy>许昌丰元咨询管理有限公司:连丹丹</cp:lastModifiedBy>
  <cp:lastPrinted>2023-02-03T02:12:00Z</cp:lastPrinted>
  <dcterms:modified xsi:type="dcterms:W3CDTF">2023-07-06T06:52:43Z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A5A972D3A4D7492498E3F4902B218294</vt:lpwstr>
  </property>
</Properties>
</file>