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0" w:leftChars="0" w:firstLine="0" w:firstLineChars="0"/>
        <w:rPr>
          <w:rFonts w:ascii="宋体" w:hAnsi="宋体" w:eastAsia="宋体"/>
          <w:color w:val="auto"/>
        </w:rPr>
      </w:pPr>
    </w:p>
    <w:p>
      <w:pPr>
        <w:pStyle w:val="25"/>
        <w:ind w:left="0" w:leftChars="0" w:firstLine="0" w:firstLineChars="0"/>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val="en-US" w:eastAsia="zh-CN"/>
        </w:rPr>
        <w:t>禹州市环境保护局非道路移动机械定位设备安装及监督性检测资金项目（不见</w:t>
      </w:r>
      <w:r>
        <w:rPr>
          <w:rFonts w:hint="eastAsia" w:ascii="宋体" w:hAnsi="宋体" w:eastAsia="宋体" w:cstheme="majorEastAsia"/>
          <w:b/>
          <w:bCs/>
          <w:color w:val="auto"/>
          <w:sz w:val="36"/>
          <w:szCs w:val="36"/>
        </w:rPr>
        <w:t>面开标）</w:t>
      </w:r>
    </w:p>
    <w:p>
      <w:pPr>
        <w:pStyle w:val="16"/>
        <w:ind w:left="5250"/>
        <w:rPr>
          <w:rFonts w:ascii="宋体" w:hAnsi="宋体" w:eastAsia="宋体"/>
          <w:color w:val="auto"/>
        </w:rPr>
      </w:pPr>
    </w:p>
    <w:p>
      <w:pPr>
        <w:rPr>
          <w:rFonts w:ascii="宋体" w:hAnsi="宋体" w:eastAsia="宋体"/>
          <w:color w:val="auto"/>
        </w:rPr>
      </w:pPr>
    </w:p>
    <w:p>
      <w:pPr>
        <w:pStyle w:val="16"/>
        <w:ind w:left="5250"/>
        <w:rPr>
          <w:rFonts w:ascii="宋体" w:hAnsi="宋体" w:eastAsia="宋体"/>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pStyle w:val="25"/>
        <w:rPr>
          <w:color w:val="auto"/>
        </w:rPr>
      </w:pPr>
    </w:p>
    <w:p>
      <w:pPr>
        <w:jc w:val="center"/>
        <w:rPr>
          <w:rFonts w:ascii="宋体" w:hAnsi="宋体" w:eastAsia="宋体"/>
          <w:color w:val="auto"/>
          <w:sz w:val="52"/>
          <w:szCs w:val="52"/>
        </w:rPr>
      </w:pPr>
      <w:r>
        <w:rPr>
          <w:rFonts w:hint="eastAsia" w:ascii="宋体" w:hAnsi="宋体" w:eastAsia="宋体" w:cs="黑体"/>
          <w:bCs/>
          <w:color w:val="auto"/>
          <w:w w:val="90"/>
          <w:sz w:val="52"/>
          <w:szCs w:val="52"/>
          <w:lang w:eastAsia="zh-CN"/>
        </w:rPr>
        <w:t>一标段</w:t>
      </w:r>
      <w:r>
        <w:rPr>
          <w:rFonts w:hint="eastAsia" w:ascii="宋体" w:hAnsi="宋体" w:eastAsia="宋体" w:cs="黑体"/>
          <w:bCs/>
          <w:color w:val="auto"/>
          <w:w w:val="90"/>
          <w:sz w:val="52"/>
          <w:szCs w:val="52"/>
        </w:rPr>
        <w:t>竞争性磋商文件</w:t>
      </w: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pStyle w:val="52"/>
        <w:rPr>
          <w:rFonts w:ascii="宋体" w:hAnsi="宋体" w:eastAsia="宋体"/>
          <w:color w:val="auto"/>
        </w:rPr>
      </w:pPr>
    </w:p>
    <w:p>
      <w:pPr>
        <w:rPr>
          <w:rFonts w:ascii="宋体" w:hAnsi="宋体" w:eastAsia="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YZCG-DLC2023</w:t>
      </w:r>
      <w:r>
        <w:rPr>
          <w:rFonts w:hint="eastAsia" w:ascii="宋体" w:hAnsi="宋体" w:eastAsia="宋体" w:cstheme="majorEastAsia"/>
          <w:b/>
          <w:bCs/>
          <w:color w:val="auto"/>
          <w:sz w:val="36"/>
          <w:szCs w:val="36"/>
          <w:lang w:val="en-US" w:eastAsia="zh-CN"/>
        </w:rPr>
        <w:t xml:space="preserve">060 </w:t>
      </w:r>
    </w:p>
    <w:bookmarkEnd w:id="0"/>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w:t>
      </w:r>
      <w:r>
        <w:rPr>
          <w:rFonts w:hint="eastAsia" w:ascii="宋体" w:hAnsi="宋体" w:eastAsia="宋体" w:cstheme="majorEastAsia"/>
          <w:b/>
          <w:bCs/>
          <w:color w:val="auto"/>
          <w:sz w:val="36"/>
          <w:szCs w:val="36"/>
          <w:lang w:eastAsia="zh-CN"/>
        </w:rPr>
        <w:t>环境保护</w:t>
      </w:r>
      <w:r>
        <w:rPr>
          <w:rFonts w:hint="eastAsia" w:ascii="宋体" w:hAnsi="宋体" w:eastAsia="宋体" w:cstheme="majorEastAsia"/>
          <w:b/>
          <w:bCs/>
          <w:color w:val="auto"/>
          <w:sz w:val="36"/>
          <w:szCs w:val="36"/>
        </w:rPr>
        <w:t>局</w:t>
      </w: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ascii="宋体" w:hAnsi="宋体" w:eastAsia="宋体"/>
          <w:color w:val="auto"/>
        </w:rPr>
      </w:pPr>
      <w:r>
        <w:rPr>
          <w:rFonts w:hint="eastAsia" w:ascii="宋体" w:hAnsi="宋体" w:eastAsia="宋体" w:cstheme="majorEastAsia"/>
          <w:b/>
          <w:bCs/>
          <w:color w:val="auto"/>
          <w:sz w:val="36"/>
          <w:szCs w:val="36"/>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360" w:lineRule="auto"/>
        <w:ind w:firstLine="2891" w:firstLineChars="800"/>
        <w:jc w:val="both"/>
        <w:textAlignment w:val="auto"/>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w:t>
      </w:r>
      <w:r>
        <w:rPr>
          <w:rFonts w:hint="eastAsia" w:ascii="宋体" w:hAnsi="宋体" w:eastAsia="宋体" w:cstheme="majorEastAsia"/>
          <w:b/>
          <w:bCs/>
          <w:color w:val="auto"/>
          <w:sz w:val="36"/>
          <w:szCs w:val="36"/>
          <w:lang w:eastAsia="zh-CN"/>
        </w:rPr>
        <w:t>七</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5"/>
        <w:rPr>
          <w:rFonts w:ascii="宋体" w:hAnsi="宋体" w:eastAsia="宋体"/>
          <w:color w:val="auto"/>
        </w:rPr>
      </w:pPr>
    </w:p>
    <w:p>
      <w:pPr>
        <w:rPr>
          <w:rFonts w:ascii="宋体" w:hAnsi="宋体" w:eastAsia="宋体"/>
          <w:color w:val="auto"/>
        </w:rPr>
      </w:pPr>
    </w:p>
    <w:p>
      <w:pPr>
        <w:pStyle w:val="31"/>
        <w:rPr>
          <w:rFonts w:ascii="宋体" w:hAnsi="宋体" w:eastAsia="宋体"/>
          <w:color w:val="auto"/>
        </w:rPr>
      </w:pPr>
    </w:p>
    <w:p>
      <w:pPr>
        <w:rPr>
          <w:rFonts w:ascii="宋体" w:hAnsi="宋体" w:eastAsia="宋体"/>
          <w:color w:val="auto"/>
        </w:rPr>
      </w:pPr>
    </w:p>
    <w:p>
      <w:pPr>
        <w:pStyle w:val="31"/>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w:t>
      </w:r>
      <w:r>
        <w:rPr>
          <w:rFonts w:ascii="宋体" w:hAnsi="宋体" w:eastAsia="宋体" w:cstheme="majorEastAsia"/>
          <w:b/>
          <w:bCs/>
          <w:color w:val="auto"/>
          <w:sz w:val="32"/>
          <w:szCs w:val="32"/>
          <w:lang w:val="zh-CN"/>
        </w:rPr>
        <w:t xml:space="preserve">  磋商邀请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w:t>
      </w:r>
      <w:r>
        <w:rPr>
          <w:rFonts w:ascii="宋体" w:hAnsi="宋体" w:eastAsia="宋体" w:cstheme="majorEastAsia"/>
          <w:b/>
          <w:bCs/>
          <w:color w:val="auto"/>
          <w:sz w:val="32"/>
          <w:szCs w:val="32"/>
          <w:lang w:val="zh-CN"/>
        </w:rPr>
        <w:t xml:space="preserve">  项目需求</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第三章</w:t>
      </w:r>
      <w:r>
        <w:rPr>
          <w:rFonts w:ascii="宋体" w:hAnsi="宋体" w:eastAsia="宋体" w:cstheme="majorEastAsia"/>
          <w:b/>
          <w:bCs/>
          <w:color w:val="auto"/>
          <w:sz w:val="32"/>
          <w:szCs w:val="32"/>
          <w:lang w:val="zh-CN"/>
        </w:rPr>
        <w:t xml:space="preserve">  供应商须知前附表</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第四章</w:t>
      </w:r>
      <w:r>
        <w:rPr>
          <w:rFonts w:ascii="宋体" w:hAnsi="宋体" w:eastAsia="宋体" w:cstheme="majorEastAsia"/>
          <w:b/>
          <w:bCs/>
          <w:color w:val="auto"/>
          <w:sz w:val="32"/>
          <w:szCs w:val="32"/>
          <w:lang w:val="zh-CN"/>
        </w:rPr>
        <w:t xml:space="preserve">  供应商须知</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一、概念释义</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二、磋商文件说明</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三、磋商文件的编制</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四、磋商文件的递交</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五、磋商和评审</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第五章</w:t>
      </w:r>
      <w:r>
        <w:rPr>
          <w:rFonts w:ascii="宋体" w:hAnsi="宋体" w:eastAsia="宋体" w:cstheme="majorEastAsia"/>
          <w:b/>
          <w:bCs/>
          <w:color w:val="auto"/>
          <w:sz w:val="32"/>
          <w:szCs w:val="32"/>
          <w:lang w:val="zh-CN"/>
        </w:rPr>
        <w:t xml:space="preserve">  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第六章</w:t>
      </w:r>
      <w:r>
        <w:rPr>
          <w:rFonts w:ascii="宋体" w:hAnsi="宋体" w:eastAsia="宋体" w:cstheme="majorEastAsia"/>
          <w:b/>
          <w:bCs/>
          <w:color w:val="auto"/>
          <w:sz w:val="32"/>
          <w:szCs w:val="32"/>
          <w:lang w:val="zh-CN"/>
        </w:rPr>
        <w:t xml:space="preserve">  资格审查与评标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w:t>
      </w:r>
      <w:r>
        <w:rPr>
          <w:rFonts w:ascii="宋体" w:hAnsi="宋体" w:eastAsia="宋体" w:cstheme="majorEastAsia"/>
          <w:b/>
          <w:bCs/>
          <w:color w:val="auto"/>
          <w:sz w:val="32"/>
          <w:szCs w:val="32"/>
          <w:lang w:val="zh-CN"/>
        </w:rPr>
        <w:t xml:space="preserve">  合同条款及格式</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第八章</w:t>
      </w:r>
      <w:r>
        <w:rPr>
          <w:rFonts w:ascii="宋体" w:hAnsi="宋体" w:eastAsia="宋体" w:cstheme="majorEastAsia"/>
          <w:b/>
          <w:bCs/>
          <w:color w:val="auto"/>
          <w:sz w:val="32"/>
          <w:szCs w:val="32"/>
          <w:lang w:val="zh-CN"/>
        </w:rPr>
        <w:t xml:space="preserve">  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50"/>
        <w:numPr>
          <w:ilvl w:val="0"/>
          <w:numId w:val="4"/>
        </w:numPr>
        <w:ind w:firstLineChars="0"/>
        <w:jc w:val="center"/>
        <w:rPr>
          <w:rFonts w:ascii="宋体" w:hAnsi="宋体" w:eastAsia="宋体" w:cs="宋体"/>
          <w:b/>
          <w:color w:val="auto"/>
          <w:kern w:val="0"/>
          <w:sz w:val="32"/>
          <w:szCs w:val="32"/>
        </w:rPr>
        <w:sectPr>
          <w:footerReference r:id="rId5" w:type="first"/>
          <w:footerReference r:id="rId3" w:type="default"/>
          <w:footerReference r:id="rId4" w:type="even"/>
          <w:footnotePr>
            <w:numFmt w:val="decimal"/>
          </w:footnotePr>
          <w:pgSz w:w="11900" w:h="16840"/>
          <w:pgMar w:top="1542" w:right="989" w:bottom="1350" w:left="1648" w:header="1114" w:footer="3" w:gutter="0"/>
          <w:cols w:space="720" w:num="1"/>
          <w:rtlGutter w:val="0"/>
          <w:docGrid w:linePitch="360" w:charSpace="0"/>
        </w:sectPr>
      </w:pPr>
    </w:p>
    <w:p>
      <w:pPr>
        <w:pStyle w:val="50"/>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磋商邀请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禹州市环境保护局非道路移动机械定位设备安装及监督性检测资金项目的潜在投标人应在</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谈判响应截止时间前登录《全国公共资源交易平台（河南省·许昌市）》“投标人/供应商登录”入口（http://ggzy.xuchang.gov.cn:8088/ggzy/）自行免费下载获取招标文件，并于2023年</w:t>
      </w:r>
      <w:r>
        <w:rPr>
          <w:rFonts w:hint="eastAsia" w:ascii="宋体" w:hAnsi="宋体" w:eastAsia="宋体" w:cs="仿宋_GB2312"/>
          <w:color w:val="auto"/>
          <w:szCs w:val="21"/>
          <w:lang w:val="zh-CN" w:eastAsia="zh-CN"/>
        </w:rPr>
        <w:t xml:space="preserve"> </w:t>
      </w:r>
      <w:r>
        <w:rPr>
          <w:rFonts w:hint="eastAsia" w:ascii="宋体" w:hAnsi="宋体" w:eastAsia="宋体" w:cs="仿宋_GB2312"/>
          <w:color w:val="auto"/>
          <w:szCs w:val="21"/>
          <w:lang w:val="en-US" w:eastAsia="zh-CN"/>
        </w:rPr>
        <w:t>07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 xml:space="preserve"> </w:t>
      </w:r>
      <w:r>
        <w:rPr>
          <w:rFonts w:hint="eastAsia" w:ascii="宋体" w:hAnsi="宋体" w:eastAsia="宋体" w:cs="仿宋_GB2312"/>
          <w:color w:val="auto"/>
          <w:szCs w:val="21"/>
          <w:lang w:val="en-US" w:eastAsia="zh-CN"/>
        </w:rPr>
        <w:t>08</w:t>
      </w:r>
      <w:r>
        <w:rPr>
          <w:rFonts w:hint="eastAsia" w:ascii="宋体" w:hAnsi="宋体" w:eastAsia="宋体" w:cs="仿宋_GB2312"/>
          <w:color w:val="auto"/>
          <w:szCs w:val="21"/>
          <w:lang w:val="zh-CN"/>
        </w:rPr>
        <w:t>时30 分（北京时间）前递交响应文件。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1.项目编号：YZCG-DL</w:t>
      </w:r>
      <w:r>
        <w:rPr>
          <w:rFonts w:hint="eastAsia" w:ascii="宋体" w:hAnsi="宋体" w:eastAsia="宋体" w:cs="仿宋_GB2312"/>
          <w:color w:val="auto"/>
          <w:szCs w:val="21"/>
          <w:lang w:val="en-US" w:eastAsia="zh-CN"/>
        </w:rPr>
        <w:t>C</w:t>
      </w:r>
      <w:r>
        <w:rPr>
          <w:rFonts w:hint="eastAsia" w:ascii="宋体" w:hAnsi="宋体" w:eastAsia="宋体" w:cs="仿宋_GB2312"/>
          <w:color w:val="auto"/>
          <w:szCs w:val="21"/>
          <w:lang w:val="zh-CN"/>
        </w:rPr>
        <w:t>2023</w:t>
      </w:r>
      <w:r>
        <w:rPr>
          <w:rFonts w:hint="eastAsia" w:ascii="宋体" w:hAnsi="宋体" w:eastAsia="宋体" w:cs="仿宋_GB2312"/>
          <w:color w:val="auto"/>
          <w:szCs w:val="21"/>
          <w:lang w:val="en-US" w:eastAsia="zh-CN"/>
        </w:rPr>
        <w:t xml:space="preserve">060 </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2.项目名称：禹州市环境保护局非道路移动机械定位设备安装及监督性检测资金项目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3.采购方式：竞争性磋商</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4.预算金额：</w:t>
      </w:r>
      <w:r>
        <w:rPr>
          <w:rFonts w:hint="eastAsia" w:ascii="宋体" w:hAnsi="宋体" w:eastAsia="宋体" w:cs="仿宋_GB2312"/>
          <w:color w:val="auto"/>
          <w:szCs w:val="21"/>
          <w:lang w:val="en-US" w:eastAsia="zh-CN"/>
        </w:rPr>
        <w:t>13925500.00</w:t>
      </w:r>
      <w:r>
        <w:rPr>
          <w:rFonts w:hint="eastAsia" w:ascii="宋体" w:hAnsi="宋体" w:eastAsia="宋体" w:cs="仿宋_GB2312"/>
          <w:color w:val="auto"/>
          <w:szCs w:val="21"/>
          <w:lang w:val="zh-CN"/>
        </w:rPr>
        <w:t>元（一标段1274650</w:t>
      </w:r>
      <w:r>
        <w:rPr>
          <w:rFonts w:hint="eastAsia" w:ascii="宋体" w:hAnsi="宋体" w:eastAsia="宋体" w:cs="仿宋_GB2312"/>
          <w:color w:val="auto"/>
          <w:szCs w:val="21"/>
          <w:lang w:val="en-US" w:eastAsia="zh-CN"/>
        </w:rPr>
        <w:t>.00元</w:t>
      </w:r>
      <w:r>
        <w:rPr>
          <w:rFonts w:hint="eastAsia" w:ascii="宋体" w:hAnsi="宋体" w:eastAsia="宋体" w:cs="仿宋_GB2312"/>
          <w:color w:val="auto"/>
          <w:szCs w:val="21"/>
          <w:lang w:val="zh-CN"/>
        </w:rPr>
        <w:t>，二标段117900</w:t>
      </w:r>
      <w:r>
        <w:rPr>
          <w:rFonts w:hint="eastAsia" w:ascii="宋体" w:hAnsi="宋体" w:eastAsia="宋体" w:cs="仿宋_GB2312"/>
          <w:color w:val="auto"/>
          <w:szCs w:val="21"/>
          <w:lang w:val="en-US" w:eastAsia="zh-CN"/>
        </w:rPr>
        <w:t>.00元）</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最高限价：</w:t>
      </w:r>
      <w:r>
        <w:rPr>
          <w:rFonts w:hint="eastAsia" w:ascii="宋体" w:hAnsi="宋体" w:eastAsia="宋体" w:cs="仿宋_GB2312"/>
          <w:color w:val="auto"/>
          <w:szCs w:val="21"/>
          <w:lang w:val="en-US" w:eastAsia="zh-CN"/>
        </w:rPr>
        <w:t>13925500.00</w:t>
      </w:r>
      <w:r>
        <w:rPr>
          <w:rFonts w:hint="eastAsia" w:ascii="宋体" w:hAnsi="宋体" w:eastAsia="宋体" w:cs="仿宋_GB2312"/>
          <w:color w:val="auto"/>
          <w:szCs w:val="21"/>
          <w:lang w:val="zh-CN"/>
        </w:rPr>
        <w:t>元（一标段1274650</w:t>
      </w:r>
      <w:r>
        <w:rPr>
          <w:rFonts w:hint="eastAsia" w:ascii="宋体" w:hAnsi="宋体" w:eastAsia="宋体" w:cs="仿宋_GB2312"/>
          <w:color w:val="auto"/>
          <w:szCs w:val="21"/>
          <w:lang w:val="en-US" w:eastAsia="zh-CN"/>
        </w:rPr>
        <w:t>.00元</w:t>
      </w:r>
      <w:r>
        <w:rPr>
          <w:rFonts w:hint="eastAsia" w:ascii="宋体" w:hAnsi="宋体" w:eastAsia="宋体" w:cs="仿宋_GB2312"/>
          <w:color w:val="auto"/>
          <w:szCs w:val="21"/>
          <w:lang w:val="zh-CN"/>
        </w:rPr>
        <w:t>，二标段117900</w:t>
      </w:r>
      <w:r>
        <w:rPr>
          <w:rFonts w:hint="eastAsia" w:ascii="宋体" w:hAnsi="宋体" w:eastAsia="宋体" w:cs="仿宋_GB2312"/>
          <w:color w:val="auto"/>
          <w:szCs w:val="21"/>
          <w:lang w:val="en-US" w:eastAsia="zh-CN"/>
        </w:rPr>
        <w:t>.00元）</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5.采购需求（包括但不限于标的的名称、数量、简要技术需求或服务要求等）</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购置2023年度1961台非道路移动机械定位设备的采购安装（北斗定位系统终端及流量卡（含一年的联网服务费）安装）和监督性检测项目（详见</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文件）。</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6.合同履行期限：合同签订后</w:t>
      </w:r>
      <w:r>
        <w:rPr>
          <w:rFonts w:hint="eastAsia" w:ascii="宋体" w:hAnsi="宋体" w:eastAsia="宋体" w:cs="仿宋_GB2312"/>
          <w:color w:val="auto"/>
          <w:szCs w:val="21"/>
          <w:lang w:val="en-US" w:eastAsia="zh-CN"/>
        </w:rPr>
        <w:t>30</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历天</w:t>
      </w:r>
      <w:r>
        <w:rPr>
          <w:rFonts w:hint="eastAsia" w:ascii="宋体" w:hAnsi="宋体" w:eastAsia="宋体" w:cs="仿宋_GB2312"/>
          <w:color w:val="auto"/>
          <w:szCs w:val="21"/>
          <w:lang w:val="en-US" w:eastAsia="zh-CN"/>
        </w:rPr>
        <w:t>/标段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7.本项目是否接受联合体投标：否</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8.是否接受进口产品：否</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9.是否专门面向中小企业：</w:t>
      </w:r>
      <w:r>
        <w:rPr>
          <w:rFonts w:hint="eastAsia" w:ascii="宋体" w:hAnsi="宋体" w:eastAsia="宋体" w:cs="仿宋_GB2312"/>
          <w:color w:val="auto"/>
          <w:szCs w:val="21"/>
          <w:lang w:val="zh-CN" w:eastAsia="zh-CN"/>
        </w:rPr>
        <w:t>是</w:t>
      </w:r>
    </w:p>
    <w:p>
      <w:pPr>
        <w:pStyle w:val="31"/>
        <w:rPr>
          <w:rFonts w:hint="default"/>
          <w:color w:val="auto"/>
          <w:lang w:val="en-US" w:eastAsia="zh-CN"/>
        </w:rPr>
      </w:pPr>
      <w:r>
        <w:rPr>
          <w:rFonts w:hint="eastAsia" w:eastAsia="宋体" w:cs="仿宋_GB2312"/>
          <w:color w:val="auto"/>
          <w:szCs w:val="21"/>
          <w:lang w:val="en-US" w:eastAsia="zh-CN"/>
        </w:rPr>
        <w:t>10.标包划分：2个标段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被委托人须是本单位职工，须提供公司为本人缴纳社会保险证明。</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4、第2标段供应商具有非道路移动机械的检测资质，并向省厅报备，取得省厅平台网络对接许可。</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5、供应商只能投一个标段。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四、获取磋商文件的方式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（二）在磋商响应截止时间前均可登录《全国公共资源交易平台（河南省·许昌市）》“投标人/供应商登录”入口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自行免费下载竞争性磋商文件（详见“常见问题解答-交易系统操作手册”）。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五、响应文件提交截止时间及磋商响应截止时间、磋商时间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1、响应文件提交截止时间及磋商响应截止时间、磋商时间：2023年</w:t>
      </w:r>
      <w:r>
        <w:rPr>
          <w:rFonts w:hint="eastAsia" w:ascii="宋体" w:hAnsi="宋体" w:eastAsia="宋体" w:cs="仿宋_GB2312"/>
          <w:color w:val="auto"/>
          <w:szCs w:val="21"/>
          <w:lang w:val="en-US" w:eastAsia="zh-CN"/>
        </w:rPr>
        <w:t xml:space="preserve">07 </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时30分（北京时间），逾期送达或不符合规定的响应文件恕不接受。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六、磋商响应文件开启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（一）磋商响应文件开启地点：禹州市公共资源交易中心九楼第</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rPr>
        <w:t>开标室。（本项目采用远程不见面磋商，供应商无须到达现场）。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1、加密电子响应文件（.file格式）须在响应文件提交截止时间（磋商响应截止时间）前通过《全国公共资源交易平台(河南省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磋商响应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七、本次磋商公告同时在《河南省政府采购网》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《许昌市政府采购网》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eastAsia="宋体" w:asciiTheme="majorEastAsia" w:hAnsiTheme="majorEastAsia" w:cstheme="majorEastAsia"/>
          <w:color w:val="auto"/>
          <w:szCs w:val="21"/>
          <w:lang w:eastAsia="zh-CN"/>
        </w:rPr>
        <w:t>采购人</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 xml:space="preserve">联系人：焦女士 </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联系电话：</w:t>
      </w:r>
      <w:r>
        <w:rPr>
          <w:rFonts w:hint="eastAsia" w:ascii="宋体" w:hAnsi="宋体" w:eastAsia="宋体" w:cs="宋体"/>
          <w:color w:val="auto"/>
          <w:szCs w:val="21"/>
        </w:rPr>
        <w:t xml:space="preserve">0374-6066221 </w:t>
      </w:r>
      <w:r>
        <w:rPr>
          <w:rFonts w:hint="eastAsia" w:ascii="宋体" w:hAnsi="宋体" w:eastAsia="宋体" w:cs="宋体"/>
          <w:color w:val="auto"/>
          <w:szCs w:val="21"/>
          <w:lang w:val="en-US" w:eastAsia="zh-CN"/>
        </w:rPr>
        <w:t xml:space="preserve">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代理机构：许昌丰元咨询管理有限公司</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宋体" w:hAnsi="宋体" w:eastAsia="宋体" w:cs="仿宋_GB2312"/>
          <w:color w:val="auto"/>
          <w:szCs w:val="21"/>
          <w:lang w:val="zh-CN" w:eastAsia="zh-CN"/>
        </w:rPr>
        <w:t>禹州市颍北大道6号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zh-CN" w:eastAsia="zh-CN"/>
        </w:rPr>
        <w:t>连女士</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0374-8281999</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pStyle w:val="24"/>
        <w:ind w:firstLine="420" w:firstLineChars="200"/>
        <w:rPr>
          <w:rFonts w:hint="default" w:ascii="宋体" w:hAnsi="宋体" w:eastAsia="宋体"/>
          <w:b/>
          <w:color w:val="auto"/>
          <w:szCs w:val="21"/>
          <w:lang w:val="en-US"/>
        </w:rPr>
      </w:pPr>
      <w:r>
        <w:rPr>
          <w:rFonts w:hint="eastAsia" w:ascii="宋体" w:hAnsi="宋体" w:eastAsia="宋体" w:cs="仿宋_GB2312"/>
          <w:color w:val="auto"/>
          <w:kern w:val="2"/>
          <w:sz w:val="21"/>
          <w:szCs w:val="21"/>
          <w:lang w:val="zh-CN" w:eastAsia="zh-CN" w:bidi="ar-SA"/>
        </w:rPr>
        <w:t>联系电话：</w:t>
      </w:r>
      <w:r>
        <w:rPr>
          <w:rFonts w:hint="eastAsia" w:ascii="宋体" w:hAnsi="宋体" w:eastAsia="宋体" w:cs="仿宋_GB2312"/>
          <w:color w:val="auto"/>
          <w:kern w:val="2"/>
          <w:sz w:val="21"/>
          <w:szCs w:val="21"/>
          <w:lang w:val="en-US" w:eastAsia="zh-CN" w:bidi="ar-SA"/>
        </w:rPr>
        <w:t>0374-8112523</w:t>
      </w:r>
    </w:p>
    <w:p>
      <w:pPr>
        <w:wordWrap w:val="0"/>
        <w:spacing w:line="360" w:lineRule="auto"/>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温馨提示：本项目为全流程电子化交易项目，请注意以下事项。</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供应商参加本项目投标，需提前自行联系 CA 服务机构办理数字认证证书并进行电子签章。</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招标文件下载、投标文件制作、提交、远程不见面开标（电子投标文件的解密）环节，投标人须使用同一个 CA 数字证书（证书须在有效期内并可正常使用）。</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 电子投标文件的制作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3.1 投标人登录《全国公共资源交易平台(河南省▪许昌市)》公共资源交易系统</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（http://ggzy.xuchang.gov.cn:8088/ggzy/）下载“许昌投标文件制作系统 SEARUN 最新版本”，制作投标文件。</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3.2 投标人对同一项目多个标段进行投标的，应分别下载所投标段的招标文件，按标段制作投标文件。一个标段对应生成一个文件夹（xxxx 项目 xx 标段）,其中后缀名为“.file”的文件用于投标。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  加密电子投标文件的提交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4.1 投标人对同一项目多个标段进行投标的，加密电子投标文件应按标段分别提交。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4.2 加密电子投标文件成功提交后，《全国公共资源交易平台(河南省▪许昌市)》公共资源交易系统（http://ggzy.xuchang.gov.cn:8088/ggzy/）生成“投标文件提交回执单”。</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 远程不见面开标（ 电子投标文件的解密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5.1 本项目采用远程“不见面”开标方式，投标前请详细阅读全国公共资源交易平台（河南省·许昌市）首页“资料下载”栏目的《许昌市不见面操作手册》。</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5.2 投标人提前设置不见面开标浏览器，并于开标时间前登录本项目不见面开标大厅，按照规定的开标时间准时参加网上开标。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5.4 开标活动结束时，投标人应在《开标记录表》上进行电子签章。投标人未签章的，视同认可开标结果。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5.5 投标人对开标过程和开标记录如有疑义，可在本项目不见面开标大厅“文字互动”对话框或“新增质疑”处在线提出询问。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  评标依据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6.1全流程电子化交易（不见面开标）项目，磋商小组以成功上传、解密的电子响应文件为依据评审。</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6.2评审期间，供应商（参加磋商的法定代表人或其授权代表）应保持通讯手机畅通，并根据磋商小组要求在规定时间内提供：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（1）最后报价（加盖公章，或者由法定代表人或其授权的代表签字）；</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提交方式：供应商须使用CA数字证书登录《全国公共资源交易平台(河南省▪许昌市)》公共资源交易系统（http://ggzy.xuchang.gov.cn:8088/ggzy/）进行最后报价，最后报价应包括：①总报价②分项报价。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注：①磋商小组要求供应商提交最后报价时，在磋商小组规定时间内，供应商未提交最后报价则以其初次提交响应文件报价为最后报价。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②磋商文件第二章“采购需求”中“采购清单”以工程量清单提供的，供应商应以工程量清单方式提交最后报价。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③请供应商根据项目情况，可提前准备分项报价。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rPr>
          <w:rFonts w:ascii="宋体" w:hAnsi="宋体" w:eastAsia="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购置2023年度1961台非道路移动机械定位设备的采购安装（北斗定位系统终端及流量卡（含一年的联网服务费）安装）。</w:t>
      </w:r>
    </w:p>
    <w:p>
      <w:pPr>
        <w:tabs>
          <w:tab w:val="left" w:pos="7095"/>
        </w:tabs>
        <w:spacing w:line="440" w:lineRule="exact"/>
        <w:rPr>
          <w:rFonts w:hint="eastAsia" w:ascii="宋体" w:hAnsi="宋体" w:eastAsia="宋体" w:cs="黑体"/>
          <w:b/>
          <w:bCs/>
          <w:color w:val="auto"/>
          <w:kern w:val="2"/>
          <w:sz w:val="24"/>
          <w:szCs w:val="24"/>
          <w:shd w:val="clear" w:color="auto" w:fill="FFFFFF"/>
          <w:lang w:val="en-US" w:eastAsia="zh-CN" w:bidi="ar-SA"/>
        </w:rPr>
      </w:pPr>
      <w:r>
        <w:rPr>
          <w:rFonts w:hint="eastAsia" w:ascii="宋体" w:hAnsi="宋体" w:eastAsia="宋体" w:cs="黑体"/>
          <w:b/>
          <w:bCs/>
          <w:color w:val="auto"/>
          <w:kern w:val="2"/>
          <w:sz w:val="24"/>
          <w:szCs w:val="24"/>
          <w:shd w:val="clear" w:color="auto" w:fill="FFFFFF"/>
          <w:lang w:val="en-US" w:eastAsia="zh-CN" w:bidi="ar-SA"/>
        </w:rPr>
        <w:t>二、采购需求</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详见参数附件。</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rPr>
        <w:t>注：本采购清单中所列技术规格或主要参数为最低要求，不允许负偏离，否则为无效响应。</w:t>
      </w:r>
    </w:p>
    <w:p>
      <w:pPr>
        <w:pStyle w:val="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三、采购标的执行标准、其他技术服务等要求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（一）产品认证</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（1）强制性产品认证</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（2）信息安全产品强制性认证</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投标人所投产品如被列入《信息安全产品强制性认证目录》，应在投标文件中提供“所投产品符合信息安全产品强制性认证要求承诺函”并加盖投标人公章，否则将承担其投标被视为非实质性响应投标的风险。</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（二）质量要求：符合国家相关法律规定及现行行业标准与规范的要求。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（三）其他技术、服务等要求</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1、供应商须明确投标产品的厂家、产地、品牌、型号、参数等，否则为无效响应文件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3、所投产品必须符合</w:t>
      </w:r>
      <w:r>
        <w:rPr>
          <w:rFonts w:hint="eastAsia" w:ascii="宋体" w:hAnsi="宋体" w:eastAsia="宋体"/>
          <w:color w:val="auto"/>
          <w:szCs w:val="21"/>
        </w:rPr>
        <w:t>磋商</w:t>
      </w:r>
      <w:r>
        <w:rPr>
          <w:rFonts w:ascii="宋体" w:hAnsi="宋体" w:eastAsia="宋体"/>
          <w:color w:val="auto"/>
          <w:szCs w:val="21"/>
        </w:rPr>
        <w:t>文件规定标准的全新正品现货，否则为无效响应文件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4、本</w:t>
      </w:r>
      <w:r>
        <w:rPr>
          <w:rFonts w:hint="eastAsia" w:ascii="宋体" w:hAnsi="宋体" w:eastAsia="宋体"/>
          <w:color w:val="auto"/>
          <w:szCs w:val="21"/>
        </w:rPr>
        <w:t>磋商</w:t>
      </w:r>
      <w:r>
        <w:rPr>
          <w:rFonts w:ascii="宋体" w:hAnsi="宋体" w:eastAsia="宋体"/>
          <w:color w:val="auto"/>
          <w:szCs w:val="21"/>
        </w:rPr>
        <w:t>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5、响应文件中须有详细的实施（技术）方案，须明确售后负责人、联系人和联系电话否则为无效响应文件。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6、常规的技术支持和版本升级：提供1年免费现场维保服务，应用系统投入正式运行后，提供原厂系统运维服务。服务方式将采用电话、Internet远程、现场等灵活多样的手段，提供5×8工作时响应服务，保证在工作期间用户都能及时找到服务支持小组的工程师。</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7、现场重大技术问题解决服务：对于重大技术问题，原厂技术人员当日抵达现场，确保问题的顺利解决和系统正常运行；系统由项目经理全程后台维护。</w:t>
      </w:r>
    </w:p>
    <w:p>
      <w:pPr>
        <w:tabs>
          <w:tab w:val="left" w:pos="7095"/>
        </w:tabs>
        <w:spacing w:line="440" w:lineRule="exact"/>
        <w:ind w:firstLine="420" w:firstLineChars="200"/>
        <w:rPr>
          <w:rFonts w:ascii="宋体" w:hAnsi="宋体" w:eastAsia="宋体"/>
          <w:color w:val="auto"/>
          <w:szCs w:val="21"/>
        </w:rPr>
      </w:pPr>
      <w:bookmarkStart w:id="57" w:name="_GoBack"/>
      <w:r>
        <w:rPr>
          <w:rFonts w:hint="eastAsia" w:ascii="宋体" w:hAnsi="宋体" w:eastAsia="宋体"/>
          <w:color w:val="auto"/>
          <w:szCs w:val="21"/>
        </w:rPr>
        <w:t>8、定制开发要求：根据客户个性化需求进行二次定制开发，1年内免费。</w:t>
      </w:r>
    </w:p>
    <w:bookmarkEnd w:id="57"/>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四、验收标准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w:t>
      </w:r>
      <w:r>
        <w:rPr>
          <w:rFonts w:ascii="宋体" w:hAnsi="宋体" w:eastAsia="宋体"/>
          <w:color w:val="auto"/>
          <w:szCs w:val="21"/>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、按照</w:t>
      </w:r>
      <w:r>
        <w:rPr>
          <w:rFonts w:hint="eastAsia" w:ascii="宋体" w:hAnsi="宋体" w:eastAsia="宋体"/>
          <w:color w:val="auto"/>
          <w:szCs w:val="21"/>
        </w:rPr>
        <w:t>磋商</w:t>
      </w:r>
      <w:r>
        <w:rPr>
          <w:rFonts w:ascii="宋体" w:hAnsi="宋体" w:eastAsia="宋体"/>
          <w:color w:val="auto"/>
          <w:szCs w:val="21"/>
        </w:rPr>
        <w:t>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、符合</w:t>
      </w:r>
      <w:r>
        <w:rPr>
          <w:rFonts w:hint="eastAsia" w:ascii="宋体" w:hAnsi="宋体" w:eastAsia="宋体"/>
          <w:color w:val="auto"/>
          <w:szCs w:val="21"/>
        </w:rPr>
        <w:t>磋商</w:t>
      </w:r>
      <w:r>
        <w:rPr>
          <w:rFonts w:ascii="宋体" w:hAnsi="宋体" w:eastAsia="宋体"/>
          <w:color w:val="auto"/>
          <w:szCs w:val="21"/>
        </w:rPr>
        <w:t>文件要求和响应文件承诺；</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、本项目验收如需要第三方验收，中标方将承担所有产生的费用。</w:t>
      </w:r>
    </w:p>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五、资金支付：</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val="zh-CN"/>
        </w:rPr>
        <w:t>双方签订合同约定。</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（二）支付时间及条件：</w:t>
      </w:r>
      <w:r>
        <w:rPr>
          <w:rFonts w:hint="eastAsia" w:ascii="宋体" w:hAnsi="宋体" w:eastAsia="宋体"/>
          <w:color w:val="auto"/>
          <w:szCs w:val="21"/>
          <w:lang w:val="zh-CN"/>
        </w:rPr>
        <w:t>双方签订合同约定。</w:t>
      </w: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pStyle w:val="31"/>
        <w:ind w:left="0" w:leftChars="0" w:firstLine="0" w:firstLineChars="0"/>
        <w:rPr>
          <w:color w:val="auto"/>
        </w:rPr>
      </w:pPr>
    </w:p>
    <w:p>
      <w:pPr>
        <w:rPr>
          <w:color w:val="auto"/>
        </w:rPr>
      </w:pPr>
    </w:p>
    <w:p>
      <w:pPr>
        <w:pStyle w:val="2"/>
        <w:numPr>
          <w:ilvl w:val="0"/>
          <w:numId w:val="0"/>
        </w:numPr>
        <w:ind w:left="288" w:leftChars="0"/>
        <w:rPr>
          <w:color w:val="auto"/>
        </w:rPr>
      </w:pPr>
    </w:p>
    <w:p>
      <w:pPr>
        <w:rPr>
          <w:color w:val="auto"/>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firstLine="413" w:firstLineChars="196"/>
        <w:jc w:val="left"/>
        <w:rPr>
          <w:rFonts w:ascii="宋体" w:hAnsi="宋体" w:eastAsia="宋体" w:cs="宋体"/>
          <w:b/>
          <w:color w:val="auto"/>
          <w:kern w:val="0"/>
          <w:szCs w:val="24"/>
        </w:rPr>
      </w:pPr>
      <w:r>
        <w:rPr>
          <w:rFonts w:hint="eastAsia" w:ascii="宋体" w:hAnsi="宋体" w:eastAsia="宋体" w:cs="微软雅黑"/>
          <w:b/>
          <w:color w:val="auto"/>
          <w:szCs w:val="24"/>
        </w:rPr>
        <w:t>磋商文件中凡标有★条款及第二章采购需求均为实质性要求条款，响应文件须完全响应，未实质响应的，按照无效响应处理。</w:t>
      </w:r>
    </w:p>
    <w:tbl>
      <w:tblPr>
        <w:tblStyle w:val="26"/>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08"/>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80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96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966" w:type="dxa"/>
          </w:tcPr>
          <w:p>
            <w:pPr>
              <w:autoSpaceDE w:val="0"/>
              <w:autoSpaceDN w:val="0"/>
              <w:adjustRightInd w:val="0"/>
              <w:spacing w:line="380" w:lineRule="exact"/>
              <w:ind w:right="-11"/>
              <w:rPr>
                <w:rFonts w:ascii="宋体" w:hAnsi="宋体" w:eastAsia="宋体" w:cs="宋体"/>
                <w:color w:val="auto"/>
                <w:szCs w:val="21"/>
                <w:lang w:val="zh-CN"/>
              </w:rPr>
            </w:pPr>
            <w:r>
              <w:rPr>
                <w:rFonts w:hint="eastAsia" w:ascii="宋体" w:hAnsi="宋体" w:eastAsia="宋体" w:cs="宋体"/>
                <w:color w:val="auto"/>
                <w:szCs w:val="21"/>
                <w:lang w:val="zh-CN"/>
              </w:rPr>
              <w:t>禹州市环境保护局非道路移动机械定位设备安装及监督性检测资金项目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966"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联系人：焦女士</w:t>
            </w:r>
            <w:r>
              <w:rPr>
                <w:rFonts w:hint="eastAsia" w:asciiTheme="majorEastAsia" w:hAnsiTheme="majorEastAsia" w:eastAsiaTheme="majorEastAsia" w:cstheme="majorEastAsia"/>
                <w:color w:val="auto"/>
                <w:szCs w:val="21"/>
                <w:lang w:val="en-US" w:eastAsia="zh-CN"/>
              </w:rPr>
              <w:t xml:space="preserve"> </w:t>
            </w:r>
          </w:p>
          <w:p>
            <w:pPr>
              <w:spacing w:line="384" w:lineRule="auto"/>
              <w:jc w:val="left"/>
              <w:rPr>
                <w:rFonts w:ascii="宋体" w:hAnsi="宋体" w:eastAsia="宋体" w:cs="仿宋_GB2312"/>
                <w:color w:val="auto"/>
                <w:szCs w:val="21"/>
                <w:shd w:val="clear" w:color="auto" w:fill="FFFFFF"/>
              </w:rPr>
            </w:pPr>
            <w:r>
              <w:rPr>
                <w:rFonts w:hint="eastAsia" w:asciiTheme="majorEastAsia" w:hAnsiTheme="majorEastAsia" w:eastAsiaTheme="majorEastAsia" w:cstheme="majorEastAsia"/>
                <w:color w:val="auto"/>
                <w:szCs w:val="21"/>
              </w:rPr>
              <w:t>联系</w:t>
            </w:r>
            <w:r>
              <w:rPr>
                <w:rFonts w:hint="eastAsia" w:ascii="宋体" w:hAnsi="宋体" w:eastAsia="宋体" w:cs="宋体"/>
                <w:color w:val="auto"/>
                <w:szCs w:val="21"/>
              </w:rPr>
              <w:t xml:space="preserve">电话：0374-6066221 </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966"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1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黑体"/>
                <w:color w:val="auto"/>
                <w:sz w:val="24"/>
                <w:szCs w:val="24"/>
              </w:rPr>
              <w:t>4</w:t>
            </w:r>
          </w:p>
        </w:tc>
        <w:tc>
          <w:tcPr>
            <w:tcW w:w="180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微软雅黑"/>
                <w:b/>
                <w:color w:val="auto"/>
                <w:sz w:val="24"/>
                <w:szCs w:val="24"/>
              </w:rPr>
              <w:t>★</w:t>
            </w:r>
            <w:r>
              <w:rPr>
                <w:rFonts w:hint="eastAsia" w:ascii="宋体" w:hAnsi="宋体" w:eastAsia="宋体" w:cs="仿宋_GB2312"/>
                <w:color w:val="auto"/>
                <w:sz w:val="24"/>
                <w:szCs w:val="24"/>
              </w:rPr>
              <w:t>供应商资格</w:t>
            </w: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一、中小企业或者残疾人福利性单位声明函</w:t>
            </w:r>
          </w:p>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1、中小企业出具《中小企业声明函》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val="zh-CN"/>
              </w:rPr>
              <w:t>2、残疾人福利性单位出具《残疾人福利企业声明函》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eastAsia="zh-CN"/>
              </w:rPr>
              <w:t>二、</w:t>
            </w:r>
            <w:r>
              <w:rPr>
                <w:rFonts w:hint="eastAsia" w:ascii="宋体" w:hAnsi="宋体" w:eastAsia="宋体" w:cs="仿宋_GB2312"/>
                <w:color w:val="auto"/>
                <w:szCs w:val="21"/>
              </w:rPr>
              <w:t>符合《政府采购法》第二十二条规定</w:t>
            </w:r>
          </w:p>
          <w:p>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s="仿宋_GB2312"/>
                <w:color w:val="auto"/>
                <w:szCs w:val="21"/>
                <w:lang w:eastAsia="zh-CN"/>
              </w:rPr>
              <w:t>三、</w:t>
            </w:r>
            <w:r>
              <w:rPr>
                <w:rFonts w:hint="eastAsia" w:ascii="宋体" w:hAnsi="宋体" w:eastAsia="宋体" w:cs="仿宋_GB2312"/>
                <w:color w:val="auto"/>
                <w:szCs w:val="21"/>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16" w:type="dxa"/>
            <w:vMerge w:val="continue"/>
            <w:vAlign w:val="center"/>
          </w:tcPr>
          <w:p>
            <w:pPr>
              <w:autoSpaceDE w:val="0"/>
              <w:autoSpaceDN w:val="0"/>
              <w:adjustRightInd w:val="0"/>
              <w:spacing w:line="276" w:lineRule="auto"/>
              <w:jc w:val="center"/>
              <w:rPr>
                <w:rFonts w:ascii="宋体" w:hAnsi="宋体" w:eastAsia="宋体" w:cs="黑体"/>
                <w:color w:val="auto"/>
                <w:sz w:val="24"/>
                <w:szCs w:val="24"/>
              </w:rPr>
            </w:pPr>
          </w:p>
        </w:tc>
        <w:tc>
          <w:tcPr>
            <w:tcW w:w="1808" w:type="dxa"/>
            <w:vMerge w:val="continue"/>
            <w:vAlign w:val="center"/>
          </w:tcPr>
          <w:p>
            <w:pPr>
              <w:autoSpaceDE w:val="0"/>
              <w:autoSpaceDN w:val="0"/>
              <w:adjustRightInd w:val="0"/>
              <w:spacing w:line="276" w:lineRule="auto"/>
              <w:jc w:val="center"/>
              <w:rPr>
                <w:rFonts w:ascii="宋体" w:hAnsi="宋体" w:eastAsia="宋体" w:cs="微软雅黑"/>
                <w:b/>
                <w:color w:val="auto"/>
                <w:sz w:val="24"/>
                <w:szCs w:val="24"/>
              </w:rPr>
            </w:pP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1、企业法人营业执照或营业执照。（企业提供）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2、事业单位法人证书。（事业单位提供）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3、执业许可证。（非企业专业服务机构提供）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4、个体工商户营业执照。（个体工商户提供）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5、自然人身份证明。（自然人提供）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6、民办非企业单位登记证书。（民办非企业单位提供）</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二、财务状况报告相关材料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（1）供应商是法人（法人包括企业法人、机关法人、事业单位法人和社会团体法人），提供本单位：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①2021年度或2022年度经审计的财务报告，包括资产负债表、利润表、现金流量表、所有者权益变动表及其附注；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②基本开户银行出具的资信证明；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（2）供应商（其他组织和自然人）提供本单位：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①2021年度或2022年度经审计的财务报告，包括资产负债表、利润表、现金流量表、所有者权益变动表及其附注；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三、依法缴纳税收相关材料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四、依法缴纳社会保障资金的证明材料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五、履行合同所必须的设备和专业技术能力的证明材料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①相关设备的购置发票、专业技术人员职称证书、用工合同等；</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②供应商具备履行合同所必须的设备和专业技术能力承诺函或声明（承诺函或声明格式自拟）。</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①～②其中之一即可。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六、</w:t>
            </w:r>
            <w:r>
              <w:rPr>
                <w:rFonts w:hint="eastAsia" w:ascii="宋体" w:hAnsi="宋体" w:eastAsia="宋体" w:cs="仿宋_GB2312"/>
                <w:color w:val="auto"/>
                <w:szCs w:val="21"/>
                <w:lang w:val="zh-CN" w:eastAsia="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七、</w:t>
            </w:r>
            <w:r>
              <w:rPr>
                <w:rFonts w:hint="eastAsia" w:ascii="宋体" w:hAnsi="宋体" w:eastAsia="宋体" w:cs="仿宋_GB2312"/>
                <w:color w:val="auto"/>
                <w:szCs w:val="21"/>
                <w:lang w:val="en-US" w:eastAsia="zh-CN"/>
              </w:rPr>
              <w:t>未被列入“信用中国”网站(www.creditchina.gov.cn)失信被执行人、税收违法黑名单的供应商；“中国政府采购网” (www.ccgp.gov.cn)政府采购严重违法失信行为记录名单的供应商</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en-US" w:eastAsia="zh-CN"/>
              </w:rPr>
              <w:t>“中国社会组织政务服务平台”网站（https://chinanpo.mca.gov.cn）（仅查询社会组织）严重违法失信社会组织名单的供应商（联合体形式投标的，联合体成员存在不良信用记录，视同联合体存在不良信用记录）。</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1、查询渠道：</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①“信用中国”网站（</w:t>
            </w:r>
            <w:r>
              <w:rPr>
                <w:rFonts w:hint="eastAsia" w:ascii="宋体" w:hAnsi="宋体" w:eastAsia="宋体" w:cs="仿宋_GB2312"/>
                <w:color w:val="auto"/>
                <w:szCs w:val="21"/>
                <w:lang w:val="en-US" w:eastAsia="zh-CN"/>
              </w:rPr>
              <w:fldChar w:fldCharType="begin"/>
            </w:r>
            <w:r>
              <w:rPr>
                <w:rFonts w:hint="eastAsia" w:ascii="宋体" w:hAnsi="宋体" w:eastAsia="宋体" w:cs="仿宋_GB2312"/>
                <w:color w:val="auto"/>
                <w:szCs w:val="21"/>
                <w:lang w:val="en-US" w:eastAsia="zh-CN"/>
              </w:rPr>
              <w:instrText xml:space="preserve"> HYPERLINK "http://www.creditchina.gov.cn" </w:instrText>
            </w:r>
            <w:r>
              <w:rPr>
                <w:rFonts w:hint="eastAsia" w:ascii="宋体" w:hAnsi="宋体" w:eastAsia="宋体" w:cs="仿宋_GB2312"/>
                <w:color w:val="auto"/>
                <w:szCs w:val="21"/>
                <w:lang w:val="en-US" w:eastAsia="zh-CN"/>
              </w:rPr>
              <w:fldChar w:fldCharType="separate"/>
            </w:r>
            <w:r>
              <w:rPr>
                <w:rFonts w:hint="eastAsia" w:ascii="宋体" w:hAnsi="宋体" w:eastAsia="宋体" w:cs="仿宋_GB2312"/>
                <w:color w:val="auto"/>
                <w:szCs w:val="21"/>
                <w:lang w:val="en-US" w:eastAsia="zh-CN"/>
              </w:rPr>
              <w:t>www.creditchina.gov.cn</w:t>
            </w:r>
            <w:r>
              <w:rPr>
                <w:rFonts w:hint="eastAsia" w:ascii="宋体" w:hAnsi="宋体" w:eastAsia="宋体" w:cs="仿宋_GB2312"/>
                <w:color w:val="auto"/>
                <w:szCs w:val="21"/>
                <w:lang w:val="en-US" w:eastAsia="zh-CN"/>
              </w:rPr>
              <w:fldChar w:fldCharType="end"/>
            </w:r>
            <w:r>
              <w:rPr>
                <w:rFonts w:hint="eastAsia" w:ascii="宋体" w:hAnsi="宋体" w:eastAsia="宋体" w:cs="仿宋_GB2312"/>
                <w:color w:val="auto"/>
                <w:szCs w:val="21"/>
                <w:lang w:val="en-US" w:eastAsia="zh-CN"/>
              </w:rPr>
              <w:t>）</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②“中国政府采购网”（www.ccgp.gov.cn）</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③“中国社会组织政务服务平台”网站（https://chinanpo.mca.gov.cn）（仅查询社会组织）；</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联合体投标</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position w:val="-1"/>
                <w:sz w:val="13"/>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 xml:space="preserve">不接受         </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966" w:type="dxa"/>
            <w:vAlign w:val="center"/>
          </w:tcPr>
          <w:p>
            <w:pPr>
              <w:autoSpaceDE w:val="0"/>
              <w:autoSpaceDN w:val="0"/>
              <w:spacing w:line="38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本项目最高限价为：</w:t>
            </w:r>
            <w:bookmarkStart w:id="1" w:name="_Hlk25596104"/>
            <w:r>
              <w:rPr>
                <w:rFonts w:hint="eastAsia" w:hAnsi="宋体"/>
                <w:color w:val="auto"/>
                <w:szCs w:val="21"/>
                <w:lang w:val="en-US" w:eastAsia="zh-CN"/>
              </w:rPr>
              <w:t xml:space="preserve">1274650.00 </w:t>
            </w:r>
            <w:r>
              <w:rPr>
                <w:rFonts w:hint="eastAsia" w:ascii="宋体" w:hAnsi="宋体" w:eastAsia="宋体" w:cs="宋体"/>
                <w:color w:val="auto"/>
                <w:szCs w:val="21"/>
                <w:lang w:val="zh-CN"/>
              </w:rPr>
              <w:t>元</w:t>
            </w:r>
            <w:r>
              <w:rPr>
                <w:rFonts w:hint="eastAsia" w:ascii="宋体" w:hAnsi="宋体" w:eastAsia="宋体" w:cs="宋体"/>
                <w:color w:val="auto"/>
                <w:szCs w:val="21"/>
              </w:rPr>
              <w:t>；</w:t>
            </w:r>
            <w:bookmarkEnd w:id="1"/>
            <w:r>
              <w:rPr>
                <w:rFonts w:hint="eastAsia" w:ascii="宋体" w:hAnsi="宋体" w:eastAsia="宋体" w:cs="宋体"/>
                <w:color w:val="auto"/>
                <w:szCs w:val="21"/>
                <w:lang w:val="zh-CN"/>
              </w:rPr>
              <w:t>超出最高限价的响应文件无效。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磋商前答疑会</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不允许</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磋商有效期</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提交磋商响应文件的截止之日起算</w:t>
            </w:r>
            <w:r>
              <w:rPr>
                <w:rFonts w:hint="eastAsia" w:ascii="宋体" w:hAnsi="宋体" w:eastAsia="宋体" w:cs="宋体"/>
                <w:color w:val="auto"/>
                <w:szCs w:val="21"/>
              </w:rPr>
              <w:t>）</w:t>
            </w:r>
          </w:p>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lang w:val="zh-CN"/>
              </w:rPr>
              <w:t>成交供应商磋商有效期延至合同验收之日，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808"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808"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磋商响应截止及磋商时间</w:t>
            </w:r>
          </w:p>
        </w:tc>
        <w:tc>
          <w:tcPr>
            <w:tcW w:w="6966" w:type="dxa"/>
            <w:vAlign w:val="center"/>
          </w:tcPr>
          <w:p>
            <w:pPr>
              <w:widowControl/>
              <w:spacing w:line="380" w:lineRule="exact"/>
              <w:rPr>
                <w:rFonts w:ascii="宋体" w:hAnsi="宋体" w:eastAsia="宋体" w:cs="宋体"/>
                <w:b/>
                <w:color w:val="auto"/>
                <w:szCs w:val="21"/>
                <w:lang w:val="zh-CN"/>
              </w:rPr>
            </w:pPr>
            <w:r>
              <w:rPr>
                <w:rFonts w:hint="eastAsia" w:ascii="宋体" w:hAnsi="宋体" w:eastAsia="宋体" w:cs="仿宋_GB2312"/>
                <w:color w:val="auto"/>
                <w:szCs w:val="21"/>
                <w:lang w:val="zh-CN"/>
              </w:rPr>
              <w:t>2023年</w:t>
            </w:r>
            <w:r>
              <w:rPr>
                <w:rFonts w:hint="eastAsia" w:ascii="宋体" w:hAnsi="宋体" w:eastAsia="宋体" w:cs="仿宋_GB2312"/>
                <w:color w:val="auto"/>
                <w:szCs w:val="21"/>
                <w:lang w:val="en-US" w:eastAsia="zh-CN"/>
              </w:rPr>
              <w:t xml:space="preserve">07 </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时30分</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808"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开标地点</w:t>
            </w:r>
          </w:p>
        </w:tc>
        <w:tc>
          <w:tcPr>
            <w:tcW w:w="6966" w:type="dxa"/>
            <w:vAlign w:val="center"/>
          </w:tcPr>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禹州市公共资源交易中心开标</w:t>
            </w:r>
            <w:r>
              <w:rPr>
                <w:rFonts w:hint="eastAsia" w:ascii="宋体" w:hAnsi="宋体" w:eastAsia="宋体" w:cs="宋体"/>
                <w:bCs/>
                <w:color w:val="auto"/>
                <w:szCs w:val="21"/>
                <w:u w:val="none"/>
              </w:rPr>
              <w:t xml:space="preserve"> </w:t>
            </w:r>
            <w:r>
              <w:rPr>
                <w:rFonts w:hint="eastAsia" w:ascii="宋体" w:hAnsi="宋体" w:eastAsia="宋体" w:cs="宋体"/>
                <w:bCs/>
                <w:color w:val="auto"/>
                <w:szCs w:val="21"/>
                <w:u w:val="none"/>
                <w:lang w:val="en-US" w:eastAsia="zh-CN"/>
              </w:rPr>
              <w:t>1</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t>室（地址：禹州市行政服务中心楼九楼）</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color w:val="auto"/>
                <w:szCs w:val="21"/>
              </w:rPr>
              <w:t>(本项目采用远程不见面开标，供应商无须到交易中心现场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磋商保证金</w:t>
            </w:r>
          </w:p>
        </w:tc>
        <w:tc>
          <w:tcPr>
            <w:tcW w:w="6966" w:type="dxa"/>
            <w:vAlign w:val="center"/>
          </w:tcPr>
          <w:p>
            <w:pPr>
              <w:pStyle w:val="51"/>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本项目不收取。</w:t>
            </w:r>
          </w:p>
          <w:p>
            <w:pPr>
              <w:pStyle w:val="51"/>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808"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公告发布</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采购人澄清或修改磋商文件时间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磋商响应截止时间 5个工作日前（澄清内容可能影响磋商响应文件编制的）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供应商对磋商文件质疑截止时间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响应文件份数</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电子响应文件：成功上传至《全国公共资源交易平台（河南省·许昌市）》公共资源交易系统加密电子响应文件1份（文件格式为： XXX公司XXX项目编号.file）。</w:t>
            </w:r>
          </w:p>
          <w:p>
            <w:pPr>
              <w:pStyle w:val="9"/>
              <w:spacing w:line="380" w:lineRule="exact"/>
              <w:rPr>
                <w:rFonts w:ascii="宋体" w:hAnsi="宋体" w:eastAsia="宋体" w:cs="宋体"/>
                <w:b/>
                <w:bCs/>
                <w:color w:val="auto"/>
                <w:szCs w:val="21"/>
              </w:rPr>
            </w:pPr>
            <w:r>
              <w:rPr>
                <w:rFonts w:hint="eastAsia" w:ascii="宋体" w:hAnsi="宋体" w:eastAsia="宋体" w:cs="宋体"/>
                <w:b/>
                <w:bCs/>
                <w:color w:val="auto"/>
                <w:szCs w:val="21"/>
              </w:rPr>
              <w:t>注:供应商提交的电子响应文件，必须是通过“许昌投标文件制作系统SEARUNV最新版”制作，并经过签章和加密后生成的电子投标文件。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响应文件的</w:t>
            </w:r>
          </w:p>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签署盖章</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position w:val="2"/>
                <w:sz w:val="13"/>
                <w:szCs w:val="21"/>
              </w:rPr>
              <w:instrText xml:space="preserve">√</w:instrText>
            </w:r>
            <w:r>
              <w:rPr>
                <w:rFonts w:hint="eastAsia" w:ascii="宋体" w:hAnsi="宋体" w:eastAsia="宋体" w:cs="宋体"/>
                <w:color w:val="auto"/>
                <w:kern w:val="0"/>
                <w:szCs w:val="21"/>
              </w:rPr>
              <w:instrText xml:space="preserve">)</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磋商小组组建</w:t>
            </w:r>
          </w:p>
        </w:tc>
        <w:tc>
          <w:tcPr>
            <w:tcW w:w="6966" w:type="dxa"/>
            <w:vAlign w:val="center"/>
          </w:tcPr>
          <w:p>
            <w:pPr>
              <w:autoSpaceDE w:val="0"/>
              <w:autoSpaceDN w:val="0"/>
              <w:adjustRightInd w:val="0"/>
              <w:spacing w:line="420" w:lineRule="exact"/>
              <w:rPr>
                <w:rFonts w:ascii="宋体" w:hAnsi="宋体" w:eastAsia="宋体" w:cs="宋体"/>
                <w:color w:val="auto"/>
                <w:kern w:val="0"/>
                <w:szCs w:val="21"/>
              </w:rPr>
            </w:pPr>
            <w:r>
              <w:rPr>
                <w:rFonts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position w:val="2"/>
                <w:sz w:val="13"/>
                <w:szCs w:val="21"/>
              </w:rPr>
              <w:instrText xml:space="preserve">√</w:instrText>
            </w:r>
            <w:r>
              <w:rPr>
                <w:rFonts w:hint="eastAsia" w:ascii="宋体" w:hAnsi="宋体" w:eastAsia="宋体"/>
                <w:b/>
                <w:color w:val="auto"/>
                <w:szCs w:val="21"/>
              </w:rPr>
              <w:instrText xml:space="preserve">)</w:instrText>
            </w:r>
            <w:r>
              <w:rPr>
                <w:rFonts w:ascii="宋体" w:hAnsi="宋体" w:eastAsia="宋体"/>
                <w:b/>
                <w:color w:val="auto"/>
                <w:szCs w:val="21"/>
              </w:rPr>
              <w:fldChar w:fldCharType="end"/>
            </w:r>
            <w:r>
              <w:rPr>
                <w:rFonts w:hint="eastAsia" w:ascii="宋体" w:hAnsi="宋体" w:eastAsia="宋体" w:cs="仿宋_GB2312"/>
                <w:color w:val="auto"/>
                <w:szCs w:val="21"/>
                <w:lang w:val="zh-CN"/>
              </w:rPr>
              <w:t>由采购人代表1人和评审专家2人共3人组成，其中评审专家的人数不少于磋商小组成员总数的三分之二。评审专家从政府采购评审专家库中随机抽取。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评审方法</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sym w:font="Wingdings 2" w:char="00A3"/>
            </w:r>
            <w:r>
              <w:rPr>
                <w:rFonts w:hint="eastAsia" w:ascii="宋体" w:hAnsi="宋体" w:eastAsia="宋体" w:cs="宋体"/>
                <w:bCs/>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p>
        </w:tc>
        <w:tc>
          <w:tcPr>
            <w:tcW w:w="1808"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中小企业</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有关政策</w:t>
            </w:r>
          </w:p>
        </w:tc>
        <w:tc>
          <w:tcPr>
            <w:tcW w:w="6966" w:type="dxa"/>
            <w:vAlign w:val="center"/>
          </w:tcPr>
          <w:p>
            <w:pPr>
              <w:numPr>
                <w:ilvl w:val="0"/>
                <w:numId w:val="5"/>
              </w:numPr>
              <w:spacing w:line="450" w:lineRule="exact"/>
              <w:rPr>
                <w:rFonts w:ascii="宋体" w:hAnsi="宋体" w:eastAsia="宋体"/>
                <w:color w:val="auto"/>
              </w:rPr>
            </w:pPr>
            <w:r>
              <w:rPr>
                <w:rFonts w:ascii="宋体" w:hAnsi="宋体" w:eastAsia="宋体"/>
                <w:color w:val="auto"/>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24"/>
              <w:numPr>
                <w:ilvl w:val="0"/>
                <w:numId w:val="5"/>
              </w:numPr>
              <w:ind w:left="0" w:leftChars="0" w:firstLine="0" w:firstLineChars="0"/>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本次</w:t>
            </w:r>
            <w:r>
              <w:rPr>
                <w:rFonts w:ascii="宋体" w:hAnsi="宋体" w:eastAsia="宋体" w:cstheme="minorBidi"/>
                <w:color w:val="auto"/>
                <w:kern w:val="2"/>
                <w:sz w:val="21"/>
                <w:szCs w:val="22"/>
                <w:lang w:val="en-US" w:eastAsia="zh-CN" w:bidi="ar-SA"/>
              </w:rPr>
              <w:t>采购标的对应的中小企业划分标准所属行业</w:t>
            </w:r>
            <w:r>
              <w:rPr>
                <w:rFonts w:hint="eastAsia" w:ascii="宋体" w:hAnsi="宋体" w:eastAsia="宋体" w:cstheme="minorBidi"/>
                <w:color w:val="auto"/>
                <w:kern w:val="2"/>
                <w:sz w:val="21"/>
                <w:szCs w:val="22"/>
                <w:lang w:val="en-US" w:eastAsia="zh-CN" w:bidi="ar-SA"/>
              </w:rPr>
              <w:t>：</w:t>
            </w:r>
            <w:r>
              <w:rPr>
                <w:rFonts w:hint="eastAsia" w:hAnsi="宋体" w:cstheme="minorBidi"/>
                <w:color w:val="auto"/>
                <w:kern w:val="2"/>
                <w:sz w:val="21"/>
                <w:szCs w:val="22"/>
                <w:lang w:val="en-US" w:eastAsia="zh-CN" w:bidi="ar-SA"/>
              </w:rPr>
              <w:t>制造业</w:t>
            </w:r>
            <w:r>
              <w:rPr>
                <w:rFonts w:hint="eastAsia" w:ascii="宋体" w:hAnsi="宋体" w:eastAsia="宋体" w:cstheme="minorBidi"/>
                <w:color w:val="auto"/>
                <w:kern w:val="2"/>
                <w:sz w:val="21"/>
                <w:szCs w:val="22"/>
                <w:lang w:val="en-US" w:eastAsia="zh-CN" w:bidi="ar-SA"/>
              </w:rPr>
              <w:t>。</w:t>
            </w:r>
          </w:p>
          <w:p>
            <w:pPr>
              <w:spacing w:line="450" w:lineRule="exact"/>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450" w:lineRule="exact"/>
              <w:rPr>
                <w:rFonts w:ascii="宋体" w:hAnsi="宋体" w:eastAsia="宋体"/>
                <w:color w:val="auto"/>
              </w:rPr>
            </w:pPr>
            <w:r>
              <w:rPr>
                <w:rFonts w:hint="eastAsia" w:ascii="宋体" w:hAnsi="宋体" w:eastAsia="宋体"/>
                <w:color w:val="auto"/>
                <w:lang w:val="en-US" w:eastAsia="zh-CN"/>
              </w:rPr>
              <w:t>4</w:t>
            </w:r>
            <w:r>
              <w:rPr>
                <w:rFonts w:ascii="宋体" w:hAnsi="宋体" w:eastAsia="宋体"/>
                <w:color w:val="auto"/>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auto"/>
              </w:rPr>
            </w:pPr>
            <w:r>
              <w:rPr>
                <w:rFonts w:hint="eastAsia" w:ascii="宋体" w:hAnsi="宋体" w:eastAsia="宋体"/>
                <w:color w:val="auto"/>
                <w:lang w:val="en-US" w:eastAsia="zh-CN"/>
              </w:rPr>
              <w:t>5</w:t>
            </w:r>
            <w:r>
              <w:rPr>
                <w:rFonts w:ascii="宋体" w:hAnsi="宋体" w:eastAsia="宋体"/>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auto"/>
              </w:rPr>
            </w:pPr>
            <w:r>
              <w:rPr>
                <w:rFonts w:hint="eastAsia" w:ascii="宋体" w:hAnsi="宋体" w:eastAsia="宋体"/>
                <w:color w:val="auto"/>
                <w:lang w:val="en-US" w:eastAsia="zh-CN"/>
              </w:rPr>
              <w:t>6</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olor w:val="auto"/>
                <w:lang w:val="en-US" w:eastAsia="zh-CN"/>
              </w:rPr>
              <w:t>7</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信息安全要求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代理服务费</w:t>
            </w:r>
          </w:p>
        </w:tc>
        <w:tc>
          <w:tcPr>
            <w:tcW w:w="6966" w:type="dxa"/>
            <w:vAlign w:val="center"/>
          </w:tcPr>
          <w:p>
            <w:pPr>
              <w:autoSpaceDE w:val="0"/>
              <w:autoSpaceDN w:val="0"/>
              <w:adjustRightInd w:val="0"/>
              <w:spacing w:line="420" w:lineRule="exac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rPr>
              <w:fldChar w:fldCharType="begin"/>
            </w:r>
            <w:r>
              <w:rPr>
                <w:rFonts w:hint="eastAsia" w:ascii="宋体" w:hAnsi="宋体" w:eastAsia="宋体" w:cs="宋体"/>
                <w:bCs/>
                <w:color w:val="auto"/>
                <w:szCs w:val="21"/>
                <w:lang w:val="zh-CN"/>
              </w:rPr>
              <w:instrText xml:space="preserve">eq \o\ac(□,√)</w:instrTex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收取，招标代理服务费由中标人支付，</w:t>
            </w:r>
            <w:r>
              <w:rPr>
                <w:rFonts w:hint="eastAsia" w:ascii="宋体" w:hAnsi="宋体" w:eastAsia="宋体" w:cs="宋体"/>
                <w:bCs/>
                <w:color w:val="auto"/>
                <w:szCs w:val="21"/>
                <w:lang w:val="zh-CN" w:eastAsia="zh-CN"/>
              </w:rPr>
              <w:t>按照豫招协</w:t>
            </w:r>
            <w:r>
              <w:rPr>
                <w:rFonts w:hint="eastAsia" w:ascii="宋体" w:hAnsi="宋体" w:eastAsia="宋体" w:cs="宋体"/>
                <w:bCs/>
                <w:color w:val="auto"/>
                <w:szCs w:val="21"/>
                <w:lang w:val="zh-CN"/>
              </w:rPr>
              <w:t>〔20</w:t>
            </w:r>
            <w:r>
              <w:rPr>
                <w:rFonts w:hint="eastAsia" w:ascii="宋体" w:hAnsi="宋体" w:eastAsia="宋体" w:cs="宋体"/>
                <w:bCs/>
                <w:color w:val="auto"/>
                <w:szCs w:val="21"/>
                <w:lang w:val="en-US" w:eastAsia="zh-CN"/>
              </w:rPr>
              <w:t>23</w:t>
            </w:r>
            <w:r>
              <w:rPr>
                <w:rFonts w:hint="eastAsia" w:ascii="宋体" w:hAnsi="宋体" w:eastAsia="宋体" w:cs="宋体"/>
                <w:bCs/>
                <w:color w:val="auto"/>
                <w:szCs w:val="21"/>
                <w:lang w:val="zh-CN"/>
              </w:rPr>
              <w:t>〕</w:t>
            </w:r>
            <w:r>
              <w:rPr>
                <w:rFonts w:hint="eastAsia" w:ascii="宋体" w:hAnsi="宋体" w:eastAsia="宋体" w:cs="宋体"/>
                <w:bCs/>
                <w:color w:val="auto"/>
                <w:szCs w:val="21"/>
                <w:lang w:val="en-US" w:eastAsia="zh-CN"/>
              </w:rPr>
              <w:t>002</w:t>
            </w:r>
            <w:r>
              <w:rPr>
                <w:rFonts w:hint="eastAsia" w:ascii="宋体" w:hAnsi="宋体" w:eastAsia="宋体" w:cs="宋体"/>
                <w:bCs/>
                <w:color w:val="auto"/>
                <w:szCs w:val="21"/>
                <w:lang w:val="zh-CN"/>
              </w:rPr>
              <w:t>《</w:t>
            </w:r>
            <w:r>
              <w:rPr>
                <w:rFonts w:hint="eastAsia" w:ascii="宋体" w:hAnsi="宋体" w:eastAsia="宋体" w:cs="宋体"/>
                <w:bCs/>
                <w:color w:val="auto"/>
                <w:szCs w:val="21"/>
                <w:lang w:val="zh-CN" w:eastAsia="zh-CN"/>
              </w:rPr>
              <w:t>河南省招标代理服务收费指导意见</w:t>
            </w:r>
            <w:r>
              <w:rPr>
                <w:rFonts w:hint="eastAsia" w:ascii="宋体" w:hAnsi="宋体" w:eastAsia="宋体" w:cs="宋体"/>
                <w:bCs/>
                <w:color w:val="auto"/>
                <w:szCs w:val="21"/>
                <w:lang w:val="zh-CN"/>
              </w:rPr>
              <w:t>》</w:t>
            </w:r>
            <w:r>
              <w:rPr>
                <w:rFonts w:hint="eastAsia" w:ascii="宋体" w:hAnsi="宋体" w:eastAsia="宋体" w:cs="宋体"/>
                <w:bCs/>
                <w:color w:val="auto"/>
                <w:szCs w:val="21"/>
                <w:lang w:val="zh-CN"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招标代理服务收费按差额定率累计法计算：</w:t>
            </w:r>
          </w:p>
          <w:p>
            <w:pPr>
              <w:pStyle w:val="24"/>
              <w:ind w:firstLine="340" w:firstLineChars="100"/>
              <w:rPr>
                <w:rFonts w:ascii="宋体" w:hAnsi="宋体" w:eastAsia="宋体" w:cs="宋体"/>
                <w:color w:val="auto"/>
                <w:szCs w:val="21"/>
              </w:rPr>
            </w:pPr>
            <w:r>
              <w:rPr>
                <w:rFonts w:hint="eastAsia"/>
                <w:color w:val="auto"/>
                <w:lang w:eastAsia="zh-CN"/>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成交通知书</w:t>
            </w:r>
          </w:p>
        </w:tc>
        <w:tc>
          <w:tcPr>
            <w:tcW w:w="6966" w:type="dxa"/>
            <w:vAlign w:val="center"/>
          </w:tcPr>
          <w:p>
            <w:pPr>
              <w:pStyle w:val="25"/>
              <w:spacing w:line="400" w:lineRule="exact"/>
              <w:ind w:left="0" w:leftChars="0" w:firstLine="0" w:firstLineChars="0"/>
              <w:rPr>
                <w:rFonts w:ascii="宋体" w:hAnsi="宋体" w:eastAsia="宋体"/>
                <w:color w:val="auto"/>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28</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电子化采购模式</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rPr>
            </w:pPr>
            <w:r>
              <w:rPr>
                <w:rFonts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供应商响应时须成功上传、加密电子响应文件。供应商资质、业绩、荣誉及相关人员证明材料等资料原件磋商现场不再提供（本磋商文件第六章另有要求提供原件的除外）。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最后报价</w:t>
            </w:r>
          </w:p>
        </w:tc>
        <w:tc>
          <w:tcPr>
            <w:tcW w:w="6966" w:type="dxa"/>
            <w:vAlign w:val="center"/>
          </w:tcPr>
          <w:p>
            <w:pPr>
              <w:autoSpaceDE w:val="0"/>
              <w:autoSpaceDN w:val="0"/>
              <w:adjustRightInd w:val="0"/>
              <w:spacing w:line="400" w:lineRule="exact"/>
              <w:contextualSpacing/>
              <w:rPr>
                <w:rFonts w:ascii="宋体" w:hAnsi="宋体" w:eastAsia="宋体"/>
                <w:color w:val="auto"/>
              </w:rPr>
            </w:pPr>
            <w:r>
              <w:rPr>
                <w:rFonts w:hint="eastAsia" w:ascii="宋体" w:hAnsi="宋体" w:eastAsia="宋体"/>
                <w:color w:val="auto"/>
              </w:rPr>
              <w:t>根据磋商小组要求，供应商须使用</w:t>
            </w:r>
            <w:r>
              <w:rPr>
                <w:rFonts w:ascii="宋体" w:hAnsi="宋体" w:eastAsia="宋体"/>
                <w:color w:val="auto"/>
              </w:rPr>
              <w:t>CA数字证书</w:t>
            </w:r>
            <w:r>
              <w:rPr>
                <w:rFonts w:hint="eastAsia" w:ascii="宋体" w:hAnsi="宋体" w:eastAsia="宋体"/>
                <w:color w:val="auto"/>
              </w:rPr>
              <w:t>登录</w:t>
            </w:r>
            <w:r>
              <w:rPr>
                <w:rFonts w:hint="eastAsia" w:ascii="宋体" w:hAnsi="宋体" w:eastAsia="宋体"/>
                <w:color w:val="auto"/>
                <w:szCs w:val="21"/>
              </w:rPr>
              <w:t>《全国公共资源交易平台(河南省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注：①磋商小组要求供应商提交最后报价时，在磋商小组规定时间内，供应商未提交最后报价则以其初次提交响应文件报价为最后报价。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400" w:lineRule="exact"/>
              <w:contextualSpacing/>
              <w:rPr>
                <w:rFonts w:ascii="宋体" w:hAnsi="宋体" w:eastAsia="宋体" w:cs="宋体"/>
                <w:b/>
                <w:color w:val="auto"/>
                <w:kern w:val="0"/>
                <w:szCs w:val="21"/>
                <w:lang w:val="zh-CN"/>
              </w:rPr>
            </w:pPr>
            <w:r>
              <w:rPr>
                <w:rFonts w:hint="eastAsia" w:ascii="宋体" w:hAnsi="宋体" w:eastAsia="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解释权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构成本磋商文件的各个组成文件应互为解释，互为说明；</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1、除磋商文件中有特别规定外，仅适用于磋商阶段的规定，按磋商公告（磋商邀请书）、供应商须知、评标办法的先后顺序解释；</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2、同一组成文件中就同一事项的规定或约定不一致的，以编排顺序在后者为准；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3、同一组成文件不同版本之间有不一致的，以形成时间在后者为准；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1</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知识产权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32</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6" w:type="dxa"/>
            <w:vAlign w:val="center"/>
          </w:tcPr>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不同供应商电子投标文件制作硬件特征码（网卡MAC地址、CPU序号、硬盘序列号）均一致时，视为‘不同投标人的投标文件由同一单位或者个人编</w:t>
            </w:r>
          </w:p>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制’或‘不同投标人委托同一单位或者个人办理响应事宜’，其投标无效。</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2、项目编号以本磋商文件中的采购编号为准。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3、磋商文件第八章响应文件有关格式的先后顺序不做无效</w:t>
            </w:r>
            <w:r>
              <w:rPr>
                <w:rFonts w:hint="eastAsia" w:ascii="宋体" w:hAnsi="宋体" w:eastAsia="宋体"/>
                <w:color w:val="auto"/>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仿宋_GB2312"/>
                <w:color w:val="auto"/>
                <w:szCs w:val="21"/>
              </w:rPr>
              <w:t>投标人资格核验</w:t>
            </w:r>
          </w:p>
        </w:tc>
        <w:tc>
          <w:tcPr>
            <w:tcW w:w="6966" w:type="dxa"/>
            <w:vAlign w:val="center"/>
          </w:tcPr>
          <w:p>
            <w:pPr>
              <w:spacing w:line="370" w:lineRule="exact"/>
              <w:ind w:right="-11"/>
              <w:rPr>
                <w:rFonts w:ascii="宋体" w:hAnsi="宋体" w:eastAsia="宋体"/>
                <w:color w:val="auto"/>
              </w:rPr>
            </w:pPr>
            <w:r>
              <w:rPr>
                <w:rFonts w:hint="eastAsia" w:ascii="宋体" w:hAnsi="宋体" w:eastAsia="宋体"/>
                <w:color w:val="auto"/>
              </w:rPr>
              <w:t>供应商在中标后，应将由《禹州市政府采购供应商信用承诺函》替代的证明材料提交采购人核验，经核验无误后，代理机构发出中标通知书。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hint="eastAsia" w:ascii="宋体" w:hAnsi="宋体" w:eastAsia="宋体"/>
                <w:bCs/>
                <w:color w:val="auto"/>
                <w:szCs w:val="21"/>
                <w:lang w:val="en-US" w:eastAsia="zh-CN"/>
              </w:rPr>
              <w:t>2021或</w:t>
            </w:r>
            <w:r>
              <w:rPr>
                <w:rFonts w:hint="eastAsia" w:ascii="宋体" w:hAnsi="宋体" w:eastAsia="宋体"/>
                <w:bCs/>
                <w:color w:val="auto"/>
                <w:szCs w:val="21"/>
              </w:rPr>
              <w:t>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hint="eastAsia" w:ascii="宋体" w:hAnsi="宋体" w:eastAsia="宋体"/>
                <w:bCs/>
                <w:color w:val="auto"/>
                <w:szCs w:val="21"/>
                <w:lang w:val="en-US" w:eastAsia="zh-CN"/>
              </w:rPr>
              <w:t>2021或</w:t>
            </w:r>
            <w:r>
              <w:rPr>
                <w:rFonts w:hint="eastAsia" w:ascii="宋体" w:hAnsi="宋体" w:eastAsia="宋体"/>
                <w:bCs/>
                <w:color w:val="auto"/>
                <w:szCs w:val="21"/>
              </w:rPr>
              <w:t>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未被列入“信用中国”网站(www.creditchina.gov.cn)失信被执行人、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 xml:space="preserve"> (www.ccgp.gov.cn)政府采购严重违法失信行为记录名单的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olor w:val="auto"/>
                <w:lang w:val="zh-CN"/>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808" w:type="dxa"/>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投诉渠道</w:t>
            </w:r>
          </w:p>
        </w:tc>
        <w:tc>
          <w:tcPr>
            <w:tcW w:w="6966" w:type="dxa"/>
            <w:vAlign w:val="center"/>
          </w:tcPr>
          <w:p>
            <w:pPr>
              <w:spacing w:line="370" w:lineRule="exact"/>
              <w:rPr>
                <w:rFonts w:ascii="宋体" w:hAnsi="宋体" w:eastAsia="宋体" w:cs="宋体"/>
                <w:color w:val="auto"/>
              </w:rPr>
            </w:pPr>
            <w:r>
              <w:rPr>
                <w:rFonts w:hint="eastAsia" w:ascii="宋体" w:hAnsi="宋体" w:eastAsia="宋体" w:cs="宋体"/>
                <w:color w:val="auto"/>
              </w:rPr>
              <w:t>供应商在评标结果和中标结果公示期间， 按照《政府采购质疑和投诉办法》的有关规定，已质疑的供应商可以依法向财政部门提起书面投诉。</w:t>
            </w:r>
          </w:p>
          <w:p>
            <w:pPr>
              <w:spacing w:line="370" w:lineRule="exact"/>
              <w:rPr>
                <w:rFonts w:ascii="宋体" w:hAnsi="宋体" w:eastAsia="宋体" w:cs="宋体"/>
                <w:color w:val="auto"/>
              </w:rPr>
            </w:pPr>
            <w:r>
              <w:rPr>
                <w:rFonts w:hint="eastAsia" w:ascii="宋体" w:hAnsi="宋体" w:eastAsia="宋体" w:cs="宋体"/>
                <w:color w:val="auto"/>
              </w:rPr>
              <w:t xml:space="preserve"> 受理部门：禹州市财政局政府采购监督管理办公室</w:t>
            </w:r>
          </w:p>
          <w:p>
            <w:pPr>
              <w:spacing w:line="370" w:lineRule="exact"/>
              <w:rPr>
                <w:rFonts w:ascii="宋体" w:hAnsi="宋体" w:eastAsia="宋体" w:cs="宋体"/>
                <w:color w:val="auto"/>
              </w:rPr>
            </w:pPr>
            <w:r>
              <w:rPr>
                <w:rFonts w:hint="eastAsia" w:ascii="宋体" w:hAnsi="宋体" w:eastAsia="宋体" w:cs="宋体"/>
                <w:color w:val="auto"/>
              </w:rPr>
              <w:t xml:space="preserve"> 受理电话：0374-8112523   </w:t>
            </w:r>
          </w:p>
          <w:p>
            <w:pPr>
              <w:spacing w:line="370" w:lineRule="exact"/>
              <w:rPr>
                <w:rFonts w:ascii="宋体" w:hAnsi="宋体" w:eastAsia="宋体" w:cs="宋体"/>
                <w:color w:val="auto"/>
              </w:rPr>
            </w:pPr>
            <w:r>
              <w:rPr>
                <w:rFonts w:hint="eastAsia" w:ascii="宋体" w:hAnsi="宋体" w:eastAsia="宋体" w:cs="宋体"/>
                <w:color w:val="auto"/>
              </w:rPr>
              <w:t xml:space="preserve"> 电子邮箱：yzscgb8112523@163.com</w:t>
            </w:r>
          </w:p>
          <w:p>
            <w:pPr>
              <w:spacing w:line="370" w:lineRule="exact"/>
              <w:rPr>
                <w:rFonts w:ascii="宋体" w:hAnsi="宋体" w:eastAsia="宋体" w:cs="宋体"/>
                <w:color w:val="auto"/>
                <w:szCs w:val="21"/>
              </w:rPr>
            </w:pPr>
            <w:r>
              <w:rPr>
                <w:rFonts w:hint="eastAsia" w:ascii="宋体" w:hAnsi="宋体" w:eastAsia="宋体" w:cs="宋体"/>
                <w:color w:val="auto"/>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融资政策告知函</w:t>
            </w:r>
          </w:p>
        </w:tc>
        <w:tc>
          <w:tcPr>
            <w:tcW w:w="6966" w:type="dxa"/>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808"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加快推广绿色建材发展应用</w:t>
            </w:r>
          </w:p>
        </w:tc>
        <w:tc>
          <w:tcPr>
            <w:tcW w:w="6966" w:type="dxa"/>
            <w:vAlign w:val="center"/>
          </w:tcPr>
          <w:p>
            <w:pPr>
              <w:autoSpaceDE w:val="0"/>
              <w:autoSpaceDN w:val="0"/>
              <w:adjustRightInd w:val="0"/>
              <w:spacing w:line="360" w:lineRule="auto"/>
              <w:ind w:right="-11"/>
              <w:rPr>
                <w:rFonts w:hint="eastAsia" w:ascii="宋体" w:hAnsi="宋体" w:eastAsia="宋体" w:cs="宋体"/>
                <w:color w:val="auto"/>
                <w:kern w:val="0"/>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0" w:type="dxa"/>
            <w:gridSpan w:val="3"/>
            <w:vAlign w:val="center"/>
          </w:tcPr>
          <w:p>
            <w:pPr>
              <w:autoSpaceDE w:val="0"/>
              <w:autoSpaceDN w:val="0"/>
              <w:adjustRightInd w:val="0"/>
              <w:spacing w:line="360" w:lineRule="auto"/>
              <w:contextualSpacing/>
              <w:jc w:val="left"/>
              <w:rPr>
                <w:rFonts w:ascii="宋体" w:hAnsi="宋体" w:eastAsia="宋体" w:cs="宋体"/>
                <w:color w:val="auto"/>
                <w:szCs w:val="21"/>
                <w:lang w:val="zh-CN"/>
              </w:rPr>
            </w:pPr>
            <w:r>
              <w:rPr>
                <w:rFonts w:hint="eastAsia" w:ascii="宋体" w:hAnsi="宋体" w:eastAsia="宋体" w:cs="宋体"/>
                <w:color w:val="auto"/>
                <w:szCs w:val="21"/>
              </w:rPr>
              <w:t>未尽事宜，按国家有关规定执行。</w:t>
            </w:r>
          </w:p>
        </w:tc>
      </w:tr>
    </w:tbl>
    <w:p>
      <w:pPr>
        <w:pStyle w:val="25"/>
        <w:ind w:left="0" w:leftChars="0" w:firstLine="0" w:firstLineChars="0"/>
        <w:jc w:val="center"/>
        <w:rPr>
          <w:rFonts w:ascii="宋体" w:hAnsi="宋体" w:eastAsia="宋体" w:cs="宋体"/>
          <w:b/>
          <w:color w:val="auto"/>
          <w:kern w:val="0"/>
          <w:sz w:val="32"/>
          <w:szCs w:val="32"/>
        </w:rPr>
      </w:pPr>
      <w:r>
        <w:rPr>
          <w:rFonts w:ascii="宋体" w:hAnsi="宋体" w:eastAsia="宋体" w:cs="宋体"/>
          <w:b/>
          <w:color w:val="auto"/>
          <w:kern w:val="0"/>
          <w:sz w:val="36"/>
          <w:szCs w:val="36"/>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42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1.1本磋商文件仅适用于本次“磋商邀请”中所述采购项目。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1.2本磋商文件解释权属于“磋商邀请”所述的采购人。</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2.1“采购项目”：“供应商须知前附表”中所述的采购项目。</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2.2 “采购人”：是指依法进行政府采购的国家机关、事业单位、团体组织。采购人名称、地址、电话、联系人见“供应商须知前附表”。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2.3“代理机构”：接受采购人委托，代理采购项目的采购代理机构。代理机构名称、地址、电话、联系人见“供应商须知前附表”。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2.4</w:t>
      </w:r>
      <w:r>
        <w:rPr>
          <w:rFonts w:hint="eastAsia" w:ascii="宋体" w:hAnsi="宋体" w:eastAsia="宋体" w:cs="宋体"/>
          <w:color w:val="auto"/>
          <w:szCs w:val="21"/>
        </w:rPr>
        <w:t>采购代理机构及其分支机构不得在所代理的采购项目中投标或者代理投标</w:t>
      </w:r>
      <w:r>
        <w:rPr>
          <w:rFonts w:hint="eastAsia" w:ascii="宋体" w:hAnsi="宋体" w:eastAsia="宋体" w:cs="宋体"/>
          <w:color w:val="auto"/>
          <w:kern w:val="0"/>
          <w:szCs w:val="21"/>
        </w:rPr>
        <w:t>，不得为所代理的采购项目的供应商参加本项目提供投标咨询。</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2.5 “潜在供应商”指符合《中华人民共和国政府采购法》及相关法律法规和本磋商文件的各项规定，且按照本项目磋商公告及磋商文件规定的方式获取磋商文件的法人、其他组织或者自然人。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2.7“节能产品”或者“环保产品”：财政部发布的《节能产品政府采购清单》或者《环境标志产品政府采购清单》的产品。</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2.8.1 磋商文件列明不允许或未列明允许进口产品参加投标的，均视为拒绝进口产品参加投标。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2.8.2 如磋商文件中已说明，经财政部门审核同意，允许部分或全部产品采购进口产品，供应商既可提供本国产品，也可以提供进口产品。</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 磋商文件中凡标有“★”的条款均系实质性要求条款。</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tabs>
          <w:tab w:val="left" w:pos="0"/>
          <w:tab w:val="left" w:pos="709"/>
        </w:tabs>
        <w:spacing w:line="400" w:lineRule="exact"/>
        <w:ind w:firstLine="420" w:firstLineChars="200"/>
        <w:contextualSpacing/>
        <w:textAlignment w:val="baseline"/>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3.1在中华人民共和国境内注册，具有本项目生产、制造、供应或实施能力，符合、承认并承诺履行本磋商文件各项规定的法人、其他组织或者自然人。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3.2符合本项目“磋商邀请”和“供应商须知前附表”中规定的合格供应商所必须具备的条件。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b/>
          <w:bCs/>
          <w:color w:val="auto"/>
          <w:kern w:val="0"/>
          <w:szCs w:val="21"/>
        </w:rPr>
        <w:t>税收违法黑名单</w:t>
      </w:r>
      <w:r>
        <w:rPr>
          <w:rFonts w:hint="eastAsia"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 查询渠道： “信用中国”网站（www.creditchina.gov.cn）、“中国政府采购网”（www.ccgp.gov.cn）、“中国社会组织政务服务平台”网站（https://chinanpo.mca.gov.cn/）；</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 截止时间：同磋商响应截止时间；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 信用信息查询记录和证据留存具体方式经采购人确认的查询结果网页截图作为查询记录和证据，与其他采购文件一并保存；</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 信用信息的使用原则：经磋商小组认定的被列入失信被执行人、税收违法黑名单、政府采购严重违法失信行为记录名单的供应商、严重违法失信社会组织名单的社会组织，将拒绝其参与本次政府采购活动；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 供应商不良信用记录以磋商小组查询结果为准，磋商小组查询之后，网站信息发生的任何变更不再作为评审依据，供应商自行提供的与网站信息不一致的其他证明材料亦不作为评审依据。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 除单一来源采购项目外，为采购项目提供整体设计、规范编制或者项目管理、监理、检测等服务的供应商，不得再参加该采购项目的其他采购活动。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 “磋商邀请”和“供应商须知前附表”规定接受联合体投标的，除应符合本章第3.1项和3.2项要求外，还应遵守以下规定：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（1）在响应文件中向采购人提交联合体协议书，明确联合体各方承担的工作和义务；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（3）磋商人根据采购项目的特殊要求规定供应商特定条件的，联合体各方中至少应当有一方符合采购规定的特定条件。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 法律、行政法规规定的其他条件。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供应商所提供的服务应当没有侵犯任何第三方的知识产权、技术秘密等合法权利。</w:t>
      </w:r>
    </w:p>
    <w:p>
      <w:pPr>
        <w:pStyle w:val="50"/>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4.4 如投标人所投产品被列入《中华人民共和国实施强制性产品认证的产品目录》，则该产品应具备国家认监委指定强制性产品认证机构颁发的《中国国家强制性产品认证证书》（</w:t>
      </w:r>
      <w:r>
        <w:rPr>
          <w:rFonts w:ascii="宋体" w:hAnsi="宋体" w:eastAsia="宋体" w:cs="宋体"/>
          <w:color w:val="auto"/>
          <w:kern w:val="0"/>
          <w:szCs w:val="21"/>
        </w:rPr>
        <w:t xml:space="preserve">CCC </w:t>
      </w:r>
      <w:r>
        <w:rPr>
          <w:rFonts w:hint="eastAsia" w:ascii="宋体" w:hAnsi="宋体" w:eastAsia="宋体" w:cs="宋体"/>
          <w:color w:val="auto"/>
          <w:kern w:val="0"/>
          <w:szCs w:val="21"/>
        </w:rPr>
        <w:t>认证）。投标人不能提供超出此目录范畴外的替代品。</w:t>
      </w:r>
    </w:p>
    <w:p>
      <w:pPr>
        <w:pStyle w:val="50"/>
        <w:autoSpaceDE w:val="0"/>
        <w:autoSpaceDN w:val="0"/>
        <w:spacing w:line="400" w:lineRule="exact"/>
        <w:contextualSpacing/>
        <w:rPr>
          <w:rFonts w:ascii="宋体" w:hAnsi="宋体" w:eastAsia="宋体" w:cs="宋体"/>
          <w:color w:val="auto"/>
          <w:kern w:val="0"/>
          <w:szCs w:val="21"/>
        </w:rPr>
      </w:pPr>
      <w:r>
        <w:rPr>
          <w:rFonts w:ascii="宋体" w:hAnsi="宋体" w:eastAsia="宋体" w:cs="宋体"/>
          <w:color w:val="auto"/>
          <w:kern w:val="0"/>
          <w:szCs w:val="21"/>
        </w:rPr>
        <w:t>4.</w:t>
      </w:r>
      <w:r>
        <w:rPr>
          <w:rFonts w:hint="eastAsia" w:ascii="宋体" w:hAnsi="宋体" w:eastAsia="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》。投标人不能提供超出此目录范畴外的替代品。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5．磋商响应费用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不论磋商响应的结果如何，供应商均应自行承担所有与磋商响应有关的全部费用，采购人在任何情况下均无义务和责任承担这些费用。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本采购项目需要公开的有关信息，包括磋商公告、磋商文件澄清或修改公告、中标公告以及延长磋商响应截止时间等与磋商活动有关的通知，采购人均将通过在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收取标准:详见供应商须知前附表。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pPr>
        <w:autoSpaceDE w:val="0"/>
        <w:autoSpaceDN w:val="0"/>
        <w:spacing w:line="400" w:lineRule="exact"/>
        <w:contextualSpacing/>
        <w:rPr>
          <w:rFonts w:ascii="宋体" w:hAnsi="宋体" w:eastAsia="宋体" w:cs="宋体"/>
          <w:color w:val="auto"/>
          <w:kern w:val="0"/>
          <w:szCs w:val="21"/>
        </w:rPr>
      </w:pP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二、磋商文件说明</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9．磋商文件构成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磋商文件由以下部分组成：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（1）磋商邀请（磋商公告）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磋商文件的附件澄清、答复、修改、补充内容（如有的话）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采购人根据采购项目的具体情况，可以在磋商文件公告期满后，组织已获取磋商文件的潜在供应商现场考察或者召开开标前答疑会。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现场考察及参加开标前答疑会所发生的费用及一切责任由供应商自行承担。</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11. 磋商文件的澄清或修改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在磋商响应截止期前，无论出于何种原因，采购人可主动地或在解答潜在供应商提出的澄清问题时对磋商文件进行修改。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11.2采购人可以对已发出的磋商文件进行必要的澄清或者修改。澄清或者修改的内容可能影响响应文件编制的，</w:t>
      </w:r>
      <w:r>
        <w:rPr>
          <w:rFonts w:hint="eastAsia" w:ascii="宋体" w:hAnsi="宋体" w:eastAsia="宋体" w:cs="宋体"/>
          <w:bCs/>
          <w:color w:val="auto"/>
          <w:kern w:val="0"/>
          <w:szCs w:val="21"/>
        </w:rPr>
        <w:t>采购人将在磋商响应截止时间5日前</w:t>
      </w:r>
      <w:r>
        <w:rPr>
          <w:rFonts w:hint="eastAsia" w:ascii="宋体" w:hAnsi="宋体" w:eastAsia="宋体" w:cs="宋体"/>
          <w:color w:val="auto"/>
          <w:kern w:val="0"/>
          <w:szCs w:val="21"/>
        </w:rPr>
        <w:t>，在财政部门指定的政府采购信息发布媒体和《全国公共资源交易平台（河南省·许昌市）》发布更正公告。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如果澄清或者修改发出的时间距规定的磋商响应截止时间不足5日的，采购人将顺延提交响应文件的截止时间。</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12．磋商响应的语言及计量单位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供应商提交的响应文件以及供应商与采购人就有关响应事宜的所有来往书面文件均应使用中文。除签名、盖章、专用名称等特殊情形外，以中文以外的文字表述的响应文件视同未提供。</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响应计量单位，磋商文件已有明确规定的，使用磋商文件规定的计量单位；磋商文件没有规定的，一律采用中华人民共和国法定计量单位。</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13. 响应报价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本次磋商项目的响应均以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采购人不得向供应商索要或者接受其给予的赠品、回扣或者与采购无关的其他商品、服务。</w:t>
      </w:r>
    </w:p>
    <w:p>
      <w:pPr>
        <w:spacing w:line="4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供应商应对项目要求的全部内容进行报价，少报漏报将导致其响应</w:t>
      </w:r>
      <w:r>
        <w:rPr>
          <w:rFonts w:hint="eastAsia" w:ascii="宋体" w:hAnsi="宋体" w:eastAsia="宋体" w:cs="宋体"/>
          <w:color w:val="auto"/>
          <w:szCs w:val="21"/>
          <w:lang w:val="en-GB"/>
        </w:rPr>
        <w:t>为非实质性响应予以拒绝。</w:t>
      </w:r>
    </w:p>
    <w:p>
      <w:pPr>
        <w:spacing w:line="400" w:lineRule="exact"/>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本项目所涉及的运输、施工、安装、集成、调试、验收、备品和工具等费用均包含在响应报价中。</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本次磋商不接受可选择或可调整的响应方案和报价，任何有选择的或可调整的响应方案和报价将被视为非实质性响应而作无效投标处理。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本次磋商实行“最高限价（项目控制金额上限）”,供应商的响应报价高于最高限价（项目控制金额上限）的，该供应商的响应文件将被视为非实质性响应予以拒绝。</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14．响应有效期</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响应有效期从提交响应文件的截止之日起算。本项目响应有效期详</w:t>
      </w:r>
      <w:r>
        <w:rPr>
          <w:rFonts w:hint="eastAsia" w:ascii="宋体" w:hAnsi="宋体" w:eastAsia="宋体" w:cs="宋体"/>
          <w:color w:val="auto"/>
          <w:szCs w:val="21"/>
          <w:lang w:val="zh-CN"/>
        </w:rPr>
        <w:t>见供应商须知前附表。</w:t>
      </w:r>
      <w:r>
        <w:rPr>
          <w:rFonts w:hint="eastAsia" w:ascii="宋体" w:hAnsi="宋体" w:eastAsia="宋体" w:cs="宋体"/>
          <w:color w:val="auto"/>
          <w:kern w:val="0"/>
          <w:szCs w:val="21"/>
        </w:rPr>
        <w:t>响应文件中承诺的响应有效期应当不少于“供应商须知前附表”载明的响应有效期。响应有效期比磋商文件规定短的属于非实质性响应，将被认定为无效响应。</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采购人可根据实际情况，在原报价有效期截止之前，征询供应商是否同意延长响应文件的有效期，供应商同意延长的须作出书面答复。在延长的报价有效期内，供应商将不会被要求和允许修正其报价。</w:t>
      </w:r>
    </w:p>
    <w:p>
      <w:pPr>
        <w:widowControl/>
        <w:tabs>
          <w:tab w:val="left" w:pos="636"/>
        </w:tabs>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14.3中标人的响应文件作为项目合同的附件，其有效期至中标人全部合同义务履行完毕为止。</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响应文件的构成应符合法律法规及磋商文件的要求。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供应商应当按照磋商文件的要求编制响应文件。响应文件应当对磋商文件提出的要求和条件作出明确响应。</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响应文件由资格证明材料、符合性证明材料、其它材料等组成。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 xml:space="preserve">15.5 </w:t>
      </w:r>
      <w:r>
        <w:rPr>
          <w:rFonts w:hint="eastAsia" w:ascii="宋体" w:hAnsi="宋体" w:eastAsia="宋体" w:cs="宋体"/>
          <w:color w:val="auto"/>
          <w:szCs w:val="21"/>
        </w:rPr>
        <w:t>供应商登录许昌公共资源交易系统下载“许昌投标文件制作系统”最新版本，按磋商文件要求根据所投标段制作电子响应文件。</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 其中包含2个文件和1个文件夹。后缀名为“.file”的文件用于电子响应使用。</w:t>
      </w:r>
    </w:p>
    <w:p>
      <w:pPr>
        <w:autoSpaceDE w:val="0"/>
        <w:autoSpaceDN w:val="0"/>
        <w:spacing w:line="400" w:lineRule="exact"/>
        <w:ind w:firstLine="420" w:firstLineChars="200"/>
        <w:contextualSpacing/>
        <w:rPr>
          <w:rFonts w:ascii="宋体" w:hAnsi="宋体" w:eastAsia="宋体" w:cs="宋体"/>
          <w:b/>
          <w:color w:val="auto"/>
          <w:kern w:val="0"/>
          <w:szCs w:val="21"/>
        </w:rPr>
      </w:pPr>
      <w:r>
        <w:rPr>
          <w:rFonts w:hint="eastAsia" w:ascii="宋体" w:hAnsi="宋体" w:eastAsia="宋体" w:cs="宋体"/>
          <w:color w:val="auto"/>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16.响应文件格式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 供应商编制的响应文件应当满足磋商文件规定的基本格式要求。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供应商应按磋商文件提供的格式编写响应文件。磋商文件未提供标准格式的供应商可自行拟定。</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17.磋商保证金</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bCs/>
          <w:color w:val="auto"/>
          <w:kern w:val="0"/>
          <w:szCs w:val="21"/>
        </w:rPr>
        <w:t>17.1</w:t>
      </w:r>
      <w:r>
        <w:rPr>
          <w:rFonts w:hint="eastAsia" w:ascii="宋体" w:hAnsi="宋体" w:eastAsia="宋体" w:cs="宋体"/>
          <w:color w:val="auto"/>
          <w:kern w:val="0"/>
          <w:szCs w:val="21"/>
        </w:rPr>
        <w:t>本项目不收取磋商保证金。</w:t>
      </w:r>
    </w:p>
    <w:p>
      <w:pPr>
        <w:autoSpaceDE w:val="0"/>
        <w:autoSpaceDN w:val="0"/>
        <w:spacing w:line="400" w:lineRule="exact"/>
        <w:ind w:firstLine="472" w:firstLineChars="225"/>
        <w:contextualSpacing/>
        <w:rPr>
          <w:rFonts w:ascii="宋体" w:hAnsi="宋体" w:eastAsia="宋体" w:cs="宋体"/>
          <w:color w:val="auto"/>
          <w:kern w:val="0"/>
          <w:szCs w:val="21"/>
        </w:rPr>
      </w:pPr>
      <w:r>
        <w:rPr>
          <w:rFonts w:hint="eastAsia" w:ascii="宋体" w:hAnsi="宋体" w:eastAsia="宋体" w:cs="宋体"/>
          <w:color w:val="auto"/>
          <w:kern w:val="0"/>
          <w:szCs w:val="21"/>
        </w:rPr>
        <w:t>17.2供应商应提供磋商承诺函。</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1</w:t>
      </w:r>
      <w:r>
        <w:rPr>
          <w:rFonts w:hint="eastAsia" w:ascii="宋体" w:hAnsi="宋体" w:eastAsia="宋体" w:cs="宋体"/>
          <w:b/>
          <w:color w:val="auto"/>
          <w:szCs w:val="21"/>
        </w:rPr>
        <w:t>8</w:t>
      </w:r>
      <w:r>
        <w:rPr>
          <w:rFonts w:hint="eastAsia" w:ascii="宋体" w:hAnsi="宋体" w:eastAsia="宋体" w:cs="宋体"/>
          <w:b/>
          <w:color w:val="auto"/>
          <w:szCs w:val="21"/>
          <w:lang w:val="zh-CN"/>
        </w:rPr>
        <w:t>. 响应文件的数量和签署盖章</w:t>
      </w:r>
    </w:p>
    <w:p>
      <w:pPr>
        <w:autoSpaceDE w:val="0"/>
        <w:autoSpaceDN w:val="0"/>
        <w:adjustRightInd w:val="0"/>
        <w:spacing w:line="4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.1 供应商应提交响应文件份数见“供应商须知前附表”。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.2 在磋商文件中已明示需盖章及签名之处，</w:t>
      </w:r>
      <w:r>
        <w:rPr>
          <w:rFonts w:hint="eastAsia" w:ascii="宋体" w:hAnsi="宋体" w:eastAsia="宋体" w:cs="宋体"/>
          <w:color w:val="auto"/>
          <w:szCs w:val="21"/>
        </w:rPr>
        <w:t>电子响应文件应按磋商文件要求加盖供应商电子印章和法人电子印章或授权代表电子印章。</w:t>
      </w:r>
    </w:p>
    <w:p>
      <w:pPr>
        <w:tabs>
          <w:tab w:val="left" w:pos="1260"/>
        </w:tabs>
        <w:autoSpaceDE w:val="0"/>
        <w:autoSpaceDN w:val="0"/>
        <w:spacing w:line="400" w:lineRule="exact"/>
        <w:contextualSpacing/>
        <w:rPr>
          <w:rFonts w:ascii="宋体" w:hAnsi="宋体" w:eastAsia="宋体" w:cs="宋体"/>
          <w:color w:val="auto"/>
          <w:szCs w:val="21"/>
          <w:lang w:val="zh-CN"/>
        </w:rPr>
      </w:pPr>
    </w:p>
    <w:p>
      <w:pPr>
        <w:tabs>
          <w:tab w:val="left" w:pos="1260"/>
        </w:tabs>
        <w:autoSpaceDE w:val="0"/>
        <w:autoSpaceDN w:val="0"/>
        <w:spacing w:line="400" w:lineRule="exact"/>
        <w:ind w:firstLine="422" w:firstLineChars="200"/>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四、响应文件的提交</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19.</w:t>
      </w:r>
      <w:r>
        <w:rPr>
          <w:rFonts w:hint="eastAsia" w:ascii="宋体" w:hAnsi="宋体" w:eastAsia="宋体" w:cs="宋体"/>
          <w:b/>
          <w:color w:val="auto"/>
          <w:szCs w:val="21"/>
        </w:rPr>
        <w:tab/>
      </w:r>
      <w:r>
        <w:rPr>
          <w:rFonts w:hint="eastAsia" w:ascii="宋体" w:hAnsi="宋体" w:eastAsia="宋体" w:cs="宋体"/>
          <w:b/>
          <w:color w:val="auto"/>
          <w:szCs w:val="21"/>
        </w:rPr>
        <w:t>磋商响应截止时间</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19.1供应商必须在“磋商邀请”和“供应商须知前附表”中规定的磋商响应截止时间前，将加密电子响应文件（.file格式）通过《全国公共资源交易平台(河南省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许昌市)》公共资源交易系统成功上传，在提交截止时间以后上传的响应文件，采购人、采购代理机构将予以拒绝。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19.2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20.</w:t>
      </w:r>
      <w:r>
        <w:rPr>
          <w:rFonts w:hint="eastAsia" w:ascii="宋体" w:hAnsi="宋体" w:eastAsia="宋体" w:cs="宋体"/>
          <w:b/>
          <w:color w:val="auto"/>
          <w:szCs w:val="21"/>
        </w:rPr>
        <w:tab/>
      </w:r>
      <w:r>
        <w:rPr>
          <w:rFonts w:hint="eastAsia" w:ascii="宋体" w:hAnsi="宋体" w:eastAsia="宋体" w:cs="宋体"/>
          <w:b/>
          <w:color w:val="auto"/>
          <w:szCs w:val="21"/>
        </w:rPr>
        <w:t>迟交的响应文件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磋商响应截止时间之后上传的响应文件，采购人将拒绝接收。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21.</w:t>
      </w:r>
      <w:r>
        <w:rPr>
          <w:rFonts w:hint="eastAsia" w:ascii="宋体" w:hAnsi="宋体" w:eastAsia="宋体" w:cs="宋体"/>
          <w:b/>
          <w:color w:val="auto"/>
          <w:szCs w:val="21"/>
        </w:rPr>
        <w:tab/>
      </w:r>
      <w:r>
        <w:rPr>
          <w:rFonts w:hint="eastAsia" w:ascii="宋体" w:hAnsi="宋体" w:eastAsia="宋体" w:cs="宋体"/>
          <w:b/>
          <w:color w:val="auto"/>
          <w:szCs w:val="21"/>
        </w:rPr>
        <w:t>响应文件的修改和撤回</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21.1供应商在磋商响应截止时间前，对响应文件进行补充、修改或者撤回的，须书面通知采购人。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供应商应当在磋商响应截止时间前完成电子响应文件的提交，可以补充、修改或撤回。磋商响应截止时间前未完成电子响应文件提交的，视为撤回响应文件。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21.2供应商补充、修改的内容并作为响应文件的组成部分。补充或修改应当按磋商文件要求签署、盖章、提交，并应注明“修改”或“补充”字样。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21.3 供应商不得在磋商有效期内撤销响应文件，否则供应商将承担违背投标承诺函的责任追究。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szCs w:val="21"/>
        </w:rPr>
        <w:t>22.除供应商须知前附表另有规定外，供应商所提交的电子响应文件不予退还。</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五、响应文件的开启和磋商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23. 响应文件开启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1 采购人将按磋商文件规定的磋商响应截止时间和地点解密电子响应文件。 由代理机构主持，供应商无须到现场。磋商小组成员不得参加开标活动。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 电子响应文件的解密：全流程电子化交易项目电子响应文件采用双重加密。 解密需分标段进行两次解密。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23.2.1.1 供应商解密：供应商使用本单位CA数字证书进行远程解密。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23.2.1.2 代理机构解密： 代理机构按电子响应文件到达交易系统的先后顺序， 使用本单位CA数字证书进行再次解密。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23.2.1.3 因供应商原因电子响应文件解密失败的，其响应文件将被拒绝。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3 供应商不足3家的，本项目磋商活动终止。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4 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5 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6 响应文件解密活动结束时，供应商应在《开标记录表》上进行电子签章。供应商未签章的，视同认可开标结果。</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24. 资格审查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开标结束后，磋商小组依法对供应商的资格进行审查。合格供应商不足3家的，不得磋商。</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w:t>
      </w:r>
      <w:r>
        <w:rPr>
          <w:rFonts w:hint="eastAsia" w:ascii="宋体" w:hAnsi="宋体" w:eastAsia="宋体" w:cs="宋体"/>
          <w:b/>
          <w:color w:val="auto"/>
          <w:szCs w:val="21"/>
        </w:rPr>
        <w:t>5</w:t>
      </w:r>
      <w:r>
        <w:rPr>
          <w:rFonts w:hint="eastAsia" w:ascii="宋体" w:hAnsi="宋体" w:eastAsia="宋体" w:cs="宋体"/>
          <w:b/>
          <w:color w:val="auto"/>
          <w:szCs w:val="21"/>
          <w:lang w:val="zh-CN"/>
        </w:rPr>
        <w:t>.磋商小组的组成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25.1.1 采购人将依法组建磋商小组，磋商小组由评审专家组成，成员人数应当为3人以上单数组成。评审专家依法从政府采购评审专家库中随机抽取。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2 评审专家对本单位的采购项目只能作为采购人代表参与评标。采购代理机构工作人员不得参加由本机构代理的政府采购项目的评标。</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3 磋商小组成员与供应商存在下列利害关系之一的,应当回避：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25.3.1 参加采购活动前三年内,与供应商存在劳动关系,或者担任过供应商的董事、监事,或者是供应商的控股股东或实际控制人；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25.3.2 与供应商的法定代表人或者负责人有夫妻、直系血亲、三代以内旁系血亲或者近姻亲关系；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25.3.3 与供应商有其他可能影响政府采购活动公平、公正进行的关系。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5 采购人不得担任磋商小组组长。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6 磋商小组成员名单在成交结果公告前应当保密。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26. 符合性审查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1 磋商小组依据有关法律法规和磋商文件的规定，对符合资格的供应商的响应文件进行符合性审查，以确定其是否满足磋商文件的实质性要求。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2 审查、评价磋商文件是否符合磋商文件的商务、技术等实质性要求。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3 可要求供应商对响应文件有关事项作出澄清或者说明。</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27. 响应文件的澄清</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27.1 对于响应文件中含义不明确、同类问题表述不一致或者有明显文字和计算错误的内容，磋商小组应当以书面形式要求供应商作出必要的澄清、说明或者补正。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27.3 供应商的澄清文件是其响应文件的组成部分。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28. 响应文件报价出现前后不一致的修正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28.1 磋商文件中开标一览表(报价表)内容与响应文件中相应内容不一致的， 以开标一览表(报价表)为准；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28.2 大写金额和小写金额不一致的，以大写金额为准；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28.3 单价金额小数点或者百分比有明显错位的，以开标一览表的总价为准，并修改单价；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29. 响应无效情形</w:t>
      </w:r>
    </w:p>
    <w:p>
      <w:pPr>
        <w:autoSpaceDE w:val="0"/>
        <w:autoSpaceDN w:val="0"/>
        <w:spacing w:line="400" w:lineRule="exact"/>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29.1 响应文件属下列情况之一的，按照无效响应处理：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 未按照磋商文件的规定提交《禹州市政府采购供应商信用承诺函》的；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29.1.2 未按照磋商文件的规定提交磋商承诺函的；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29.1.3 响应文件未按磋商文件要求签署、盖章的；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29.1.4 资格证明文件不全或没有满足磋商文件规定的供应商资格要求的；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29.1.5 报价超过磋商文件中规定的预算金额的；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29.1.6 投标文件内容模糊不清，无法辨认的；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29.1.7 响应文件含有采购人不能接受的附加条件的；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29.1.8 不按磋商小组要求澄清、说明或补正的；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29.1.9 响应文件没有法定代表人签字或签字人没有法定代表人有效委托书的；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29.1.10 响应文件中载明的标准和方法等不符合磋商文件要求的；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29.1.11 不符合项目质量要求的；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29.1.12 不符合磋商文件中规定的其他实质性要求的。</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29.2 有下列情形之一的，视为供应商串通投标，其响应无效：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29.2.1 不同供应商的响应文件由同一单位或者个人编制；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29.2.3 不同供应商委托同一单位或者个人办理响应事宜；</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29.2.4 不同供应商的响应文件载明的项目管理成员或者联系人员为同一人；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29.2.5 不同供应商的响应文件异常一致或者投标报价呈规律性差异；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29.2.6 不同供应商的响应文件相互混装。</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29.3 根据《河南省财政厅关于防范供应商串通投标促进政府采购公平竞争的通知》（豫财购﹝2021﹞6号）要求，参与同一个标段的供应商存在下列情形之一的，其响应文件无效：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29.3.1 不同供应商的电子投标文件上传计算机的网卡MAC地址、CPU序列号和硬盘序列号等硬件信息相同的；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29.3.2 不同供应商的投标文件由同一电子设备编制、打印加密或者上传；</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29.3.3 不同供应商的投标文件由同一电子设备打印、复印；</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29.3.4 不同供应商的投标文件由同一人送达或者分发，或者不同供应商联系人为同一人或不同联系人的联系电话一致的；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29.3.5 不同供应商的投标文件的内容存在两处以上细节错误一致；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29.3.6 不同供应商的法定代表人、委托代理人、项目经理、项目负责人等由同一个单位缴纳社会保险或者领取报酬的；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29.3.7 不同供应商投标文件中法定代表人或者负责人签字出自同一人之手；</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29.3.8 其它涉嫌串通的情形。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autoSpaceDE w:val="0"/>
        <w:autoSpaceDN w:val="0"/>
        <w:spacing w:line="400" w:lineRule="exact"/>
        <w:ind w:left="13"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29.6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w:t>
      </w:r>
      <w:r>
        <w:rPr>
          <w:rFonts w:hint="eastAsia" w:ascii="宋体" w:hAnsi="宋体" w:eastAsia="宋体" w:cs="仿宋_GB2312"/>
          <w:color w:val="auto"/>
          <w:szCs w:val="21"/>
          <w:lang w:val="zh-CN"/>
        </w:rPr>
        <w:t>磋商</w:t>
      </w:r>
      <w:r>
        <w:rPr>
          <w:rFonts w:hint="eastAsia" w:ascii="宋体" w:hAnsi="宋体" w:eastAsia="宋体" w:cs="宋体"/>
          <w:color w:val="auto"/>
          <w:kern w:val="0"/>
          <w:szCs w:val="21"/>
        </w:rPr>
        <w:t>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29.7 法律、法规和响应文件规定的其他无效情形。</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30. 响应文件评审与评价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磋商小组按照磋商文件中规定的评标方法和标准，对符合性审查合格的响应文件进行商务和技术评估，综合比较与评价。</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31. 评标方法、评标标准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1 评标方法分为综合评分法。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31.1.1 综合评分法，是指响应文件满足磋商文件全部实质性要求，且按照评审因素的量化指标评审得分最高的供应商为成交候选人的评标方法。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2 价格分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31.2.1 价格分采用低价优先法计算，即满足磋商文件要求且最后报价最低的供应商的价格为磋商基准价，其价格分为满分。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31.2.2 评审过程中，不得去掉最后报价中的最高报价和最低报价。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31.2.3 因落实政府采购政策进行价格调整的，以调整后的价格计算磋商基准价和磋商报价。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3 本次磋商具体磋商方法、磋商标准见（第六章 对响应文件审查与评审）。</w:t>
      </w:r>
    </w:p>
    <w:p>
      <w:pPr>
        <w:spacing w:after="120" w:line="400" w:lineRule="exact"/>
        <w:rPr>
          <w:rFonts w:ascii="宋体" w:hAnsi="宋体" w:eastAsia="宋体" w:cs="宋体"/>
          <w:b/>
          <w:color w:val="auto"/>
          <w:szCs w:val="21"/>
        </w:rPr>
      </w:pPr>
      <w:r>
        <w:rPr>
          <w:rFonts w:hint="eastAsia" w:ascii="宋体" w:hAnsi="宋体" w:eastAsia="宋体" w:cs="宋体"/>
          <w:b/>
          <w:color w:val="auto"/>
          <w:szCs w:val="21"/>
        </w:rPr>
        <w:t>32. 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 磋商小组与通过符合性审查合格的响应文件，即实质性响应磋商文件的供应商分别进行磋商。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2 磋商小组所有成员应当集中与单一供应商分别进行磋商，并给予所有参加磋商的供应商平等的磋商机会。</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3 在磋商中，磋商的任何一方不得透露与磋商有关的其他供应商的技术资料、价格和其他信息。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5 磋商文件能够详细列明采购标的的技术、服务要求的，磋商结束后，磋商小组应当要求所有实质性响应的供应商在规定时间内提交最后报价，提交最后报价的供应商不得少于3家。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7 如磋商中出现符合《财政部关于政府采购竞争性磋商采购方式管理暂行办法有关问题的补充通知》（财库〔2015〕124号）中的情形，则按财政部通知要求执行。</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8 最后报价是供应商响应文件的有效组成部分。符合《政府采购竞争性磋商采购方式管理暂行办法》【（财库2014）214号】第三条第四项情形的，提交最后报价的供应商可以为2家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9 已提交响应文件的供应商，在提交最后报价之前，可以根据磋商情况退出磋商。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10 按照《关于推进全流程电子化交易和在线监管工作有关问题的通知》 （许公管办[2019]3号）规定，评审专家应严格按照要求查看“硬件特征码相” 关信息并进行评审。</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33. 推荐成交候选人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33.1 磋商小组应当根据综合评分情况， 按照评审得分由高到低顺序推荐3名以上成交候选供应商， 并编写评审报告。 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34. 保密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34.1 评审专家应当遵守评审工作纪律， 不得泄露评审文件、 评审情况和评审中获悉的商业秘密。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34.2 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六、定标和授予合同</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35. 确定成交人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35.1 采购人应当自收到评标报告之日起1个工作日内， 在评标报告确定的成交候选人名单中按顺序确定成交人。成交候选人并列的，由采购人采取随机抽取的方式确定。</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35.2 采购人在收到评标报告1个工作日内未按评标报告推荐的成交候选人顺序确定成交人， 又不能说明合法理由的，视同按评标报告推荐的顺序确定排名第一的成交候选人为成交人。</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36. 成交公告、发出成交通知书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36.1 采购人确认成交人后， 1个工作日公告成交结果的同时，向成交人发出成交通知书。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36.2 成交通知书发出后，采购人不得违法改变成交结果，成交人无正当理由不得放弃成交。</w:t>
      </w:r>
    </w:p>
    <w:p>
      <w:pPr>
        <w:tabs>
          <w:tab w:val="left" w:pos="1260"/>
        </w:tabs>
        <w:autoSpaceDE w:val="0"/>
        <w:autoSpaceDN w:val="0"/>
        <w:spacing w:line="400" w:lineRule="exact"/>
        <w:ind w:firstLine="420" w:firstLineChars="200"/>
        <w:contextualSpacing/>
        <w:rPr>
          <w:rFonts w:ascii="宋体" w:hAnsi="宋体" w:eastAsia="宋体" w:cs="宋体"/>
          <w:b/>
          <w:color w:val="auto"/>
          <w:szCs w:val="21"/>
          <w:lang w:val="zh-CN"/>
        </w:rPr>
      </w:pPr>
      <w:r>
        <w:rPr>
          <w:rFonts w:hint="eastAsia" w:ascii="宋体" w:hAnsi="宋体" w:eastAsia="宋体" w:cs="宋体"/>
          <w:color w:val="auto"/>
          <w:szCs w:val="21"/>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37. 质疑提出与答复</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pPr>
        <w:tabs>
          <w:tab w:val="left" w:pos="1260"/>
        </w:tabs>
        <w:autoSpaceDE w:val="0"/>
        <w:autoSpaceDN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（财政部令第94号）第十二条规定提交质疑函和必要的证明材料，质疑提出后潜在供应商应及时联系招标公告中代理机构联系人查看。如未提出视为全面接受；</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37.1.2 对采购过程提出质疑的，为各采购程序环节结束之日起七个工作日内，以书面形式向采购人和采购代理机构一次性提出；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37.1.3 对成交结果提出质疑的，为成交结果公告期限届满之日起七个工作日内，以书面形式向采购人和采购代理机构一次性提出。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2 采购人、采购代理机构认为供应商质疑不成立，或者成立但未对成交结果构成影响的，继续开展采购活动； 认为供应商质疑成立且影响或者可能影响成交结果的， 按照下列情况处理：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37.2.1 对磋商文件提出的质疑， 依法通过澄清或者修改可以继续开展采购活动的， 澄清或者修改磋商文件后继续开展采购活动； 否则应当修改磋商文件后重新开展采购活动。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37.2.2 对采购过程、成交结果提出的质疑，合格供应商符合法定数量时，可以从合格的成交候选人中另行确定成交供应商的，应当依法另行确定成交供应商； 否则应当重新开展采购活动。</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38. 签订合同</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采购人应当自成交通知书发出之日起1个工作日内，按照磋商文件和成交人响应文件的规定，与成交人签订书面合同。 所签订的合同不得对磋商文件确定的事项和成交人响应文件作实质性修改。</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39. 政府采购合同融资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39.1 缓解中小企业融资难题</w:t>
      </w:r>
    </w:p>
    <w:p>
      <w:pPr>
        <w:autoSpaceDE w:val="0"/>
        <w:autoSpaceDN w:val="0"/>
        <w:spacing w:line="400" w:lineRule="exact"/>
        <w:ind w:firstLine="630" w:firstLineChars="300"/>
        <w:contextualSpacing/>
        <w:rPr>
          <w:rFonts w:ascii="宋体" w:hAnsi="宋体" w:eastAsia="宋体" w:cs="宋体"/>
          <w:color w:val="auto"/>
          <w:szCs w:val="21"/>
        </w:rPr>
      </w:pPr>
      <w:r>
        <w:rPr>
          <w:rFonts w:hint="eastAsia" w:ascii="宋体" w:hAnsi="宋体" w:eastAsia="宋体" w:cs="宋体"/>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39.2 合作金融机构（排名不分先后）</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合作金融机构名称：中原银行许昌分行（小微金融部）</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联系人及电话：陈阳 13137407575   方金龙   15836539901</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地址：许昌市建安大道与紫云路交汇处中原银行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合作金融机构名称：浦发银行许昌分行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联系人及电话：赵勇  0374-7313551  18937425515</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地址：禹州市禹王大道与府东路交叉口</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40. 其他</w:t>
      </w:r>
    </w:p>
    <w:p>
      <w:pPr>
        <w:tabs>
          <w:tab w:val="left" w:pos="1260"/>
        </w:tabs>
        <w:autoSpaceDE w:val="0"/>
        <w:autoSpaceDN w:val="0"/>
        <w:spacing w:line="4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本次磋商文件未尽事项，以法律法规规定的为准。</w:t>
      </w:r>
    </w:p>
    <w:p>
      <w:pPr>
        <w:pStyle w:val="9"/>
        <w:rPr>
          <w:rFonts w:ascii="宋体" w:hAnsi="宋体" w:eastAsia="宋体" w:cs="宋体"/>
          <w:b/>
          <w:color w:val="auto"/>
          <w:kern w:val="0"/>
          <w:szCs w:val="21"/>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2"/>
        <w:numPr>
          <w:ilvl w:val="0"/>
          <w:numId w:val="0"/>
        </w:numPr>
        <w:ind w:left="288" w:leftChars="0"/>
        <w:rPr>
          <w:rFonts w:ascii="宋体" w:hAnsi="宋体" w:eastAsia="宋体"/>
          <w:color w:val="auto"/>
        </w:rPr>
      </w:pPr>
    </w:p>
    <w:p>
      <w:pPr>
        <w:rPr>
          <w:color w:val="auto"/>
        </w:rPr>
      </w:pPr>
    </w:p>
    <w:p>
      <w:pPr>
        <w:pStyle w:val="16"/>
        <w:ind w:left="5250"/>
        <w:rPr>
          <w:rFonts w:ascii="宋体" w:hAnsi="宋体" w:eastAsia="宋体"/>
          <w:color w:val="auto"/>
        </w:rPr>
      </w:pPr>
    </w:p>
    <w:p>
      <w:pPr>
        <w:rPr>
          <w:rFonts w:ascii="宋体" w:hAnsi="宋体" w:eastAsia="宋体"/>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2"/>
        <w:rPr>
          <w:rFonts w:ascii="宋体" w:hAnsi="宋体" w:eastAsia="宋体"/>
          <w:color w:val="auto"/>
        </w:rPr>
      </w:pP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一、节能能源、保护环境</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二、促进中小企业发展（不含民办非企业）</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非专门面向中小企业预留采购份额</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2、</w:t>
      </w:r>
      <w:r>
        <w:rPr>
          <w:rFonts w:ascii="宋体" w:hAnsi="宋体" w:eastAsia="宋体"/>
          <w:bCs/>
          <w:color w:val="auto"/>
          <w:szCs w:val="21"/>
        </w:rPr>
        <w:t>在货物采购项目中，供应商提供的货物既有中小企业制造货物，也有大型企业制造货物的，不享受</w:t>
      </w:r>
      <w:r>
        <w:rPr>
          <w:rFonts w:hint="eastAsia" w:ascii="宋体" w:hAnsi="宋体" w:eastAsia="宋体"/>
          <w:bCs/>
          <w:color w:val="auto"/>
          <w:szCs w:val="21"/>
        </w:rPr>
        <w:t>《政府采购促进中小企业发展管理办法》（财库[2020]46号）</w:t>
      </w:r>
      <w:r>
        <w:rPr>
          <w:rFonts w:ascii="宋体" w:hAnsi="宋体" w:eastAsia="宋体"/>
          <w:bCs/>
          <w:color w:val="auto"/>
          <w:szCs w:val="21"/>
        </w:rPr>
        <w:t>规定的中小企业扶持政策。</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3、</w:t>
      </w:r>
      <w:r>
        <w:rPr>
          <w:rFonts w:ascii="宋体" w:hAnsi="宋体" w:eastAsia="宋体"/>
          <w:bCs/>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4、</w:t>
      </w:r>
      <w:r>
        <w:rPr>
          <w:rFonts w:ascii="宋体" w:hAnsi="宋体" w:eastAsia="宋体"/>
          <w:bCs/>
          <w:color w:val="auto"/>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bCs/>
          <w:color w:val="auto"/>
          <w:szCs w:val="21"/>
        </w:rPr>
        <w:t>4-6</w:t>
      </w:r>
      <w:r>
        <w:rPr>
          <w:rFonts w:ascii="宋体" w:hAnsi="宋体" w:eastAsia="宋体"/>
          <w:bCs/>
          <w:color w:val="auto"/>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5、按照本次采购标的所属行业的划型标准，符合条件的中小企业应按照采购文件格式要求提供《中小企业声明函》，</w:t>
      </w:r>
      <w:r>
        <w:rPr>
          <w:rFonts w:ascii="宋体" w:hAnsi="宋体" w:eastAsia="宋体"/>
          <w:bCs/>
          <w:color w:val="auto"/>
          <w:szCs w:val="21"/>
        </w:rPr>
        <w:t>否则不得享受相关中小企业扶持政策。</w:t>
      </w:r>
    </w:p>
    <w:p>
      <w:pPr>
        <w:topLinePunct/>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三、支持监狱企业发展</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按照财政部、司法部发布的《关于政府采购支持监狱企业发展有关问题的通知》（</w:t>
      </w:r>
      <w:bookmarkStart w:id="2" w:name="OLE_LINK6"/>
      <w:r>
        <w:rPr>
          <w:rFonts w:hint="eastAsia" w:ascii="宋体" w:hAnsi="宋体" w:eastAsia="宋体"/>
          <w:bCs/>
          <w:color w:val="auto"/>
          <w:szCs w:val="21"/>
        </w:rPr>
        <w:t>财库[2014]68号</w:t>
      </w:r>
      <w:bookmarkEnd w:id="2"/>
      <w:r>
        <w:rPr>
          <w:rFonts w:hint="eastAsia" w:ascii="宋体" w:hAnsi="宋体" w:eastAsia="宋体"/>
          <w:bCs/>
          <w:color w:val="auto"/>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四、促进残疾人就业</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3、中标人为残疾人福利性单位的，招标人应当随中标结果同时公告其《残疾人福利性单位声明函》，接受社会监督。</w:t>
      </w:r>
    </w:p>
    <w:p>
      <w:pPr>
        <w:pStyle w:val="25"/>
        <w:ind w:left="0" w:leftChars="0" w:firstLine="0" w:firstLineChars="0"/>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80" w:lineRule="exact"/>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spacing w:line="380" w:lineRule="exact"/>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lang w:val="zh-CN"/>
        </w:rPr>
        <w:t>（一）</w:t>
      </w:r>
      <w:r>
        <w:rPr>
          <w:rFonts w:ascii="宋体" w:hAnsi="宋体" w:eastAsia="宋体" w:cs="仿宋_GB2312"/>
          <w:color w:val="auto"/>
          <w:szCs w:val="21"/>
          <w:lang w:val="zh-CN"/>
        </w:rPr>
        <w:t>开标结束后，</w:t>
      </w:r>
      <w:r>
        <w:rPr>
          <w:rFonts w:hint="eastAsia" w:ascii="宋体" w:hAnsi="宋体" w:eastAsia="宋体" w:cs="仿宋_GB2312"/>
          <w:color w:val="auto"/>
          <w:szCs w:val="21"/>
          <w:lang w:val="zh-CN"/>
        </w:rPr>
        <w:t>磋商小组依法对供应商资格进行审查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确定符合资格的供应商不少于3家的，将对响应文件的有效性、完整性和响应程度进行审查并对响应文件进行评审。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投标函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2</w:t>
            </w:r>
          </w:p>
        </w:tc>
        <w:tc>
          <w:tcPr>
            <w:tcW w:w="2410"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禹州市政府采购</w:t>
            </w:r>
          </w:p>
          <w:p>
            <w:pPr>
              <w:widowControl/>
              <w:jc w:val="center"/>
              <w:rPr>
                <w:rFonts w:ascii="宋体" w:hAnsi="宋体" w:eastAsia="宋体"/>
                <w:b/>
                <w:color w:val="auto"/>
                <w:szCs w:val="21"/>
              </w:rPr>
            </w:pPr>
            <w:r>
              <w:rPr>
                <w:rFonts w:hint="eastAsia" w:ascii="宋体" w:hAnsi="宋体" w:eastAsia="宋体" w:cs="宋体"/>
                <w:b/>
                <w:bCs/>
                <w:color w:val="auto"/>
                <w:kern w:val="0"/>
                <w:szCs w:val="21"/>
              </w:rPr>
              <w:t>供应商信用承诺函</w:t>
            </w:r>
          </w:p>
        </w:tc>
        <w:tc>
          <w:tcPr>
            <w:tcW w:w="5954" w:type="dxa"/>
            <w:vAlign w:val="center"/>
          </w:tcPr>
          <w:p>
            <w:pPr>
              <w:widowControl/>
              <w:jc w:val="left"/>
              <w:rPr>
                <w:rFonts w:ascii="宋体" w:hAnsi="宋体" w:eastAsia="宋体"/>
                <w:b/>
                <w:bCs/>
                <w:color w:val="auto"/>
                <w:szCs w:val="21"/>
              </w:rPr>
            </w:pPr>
            <w:r>
              <w:rPr>
                <w:rFonts w:hint="eastAsia" w:ascii="宋体" w:hAnsi="宋体" w:eastAsia="宋体" w:cs="宋体"/>
                <w:color w:val="auto"/>
                <w:kern w:val="0"/>
                <w:szCs w:val="21"/>
              </w:rPr>
              <w:t>按照</w:t>
            </w:r>
            <w:r>
              <w:rPr>
                <w:rFonts w:hint="eastAsia" w:ascii="宋体" w:hAnsi="宋体" w:eastAsia="宋体" w:cs="微软雅黑"/>
                <w:bCs/>
                <w:color w:val="auto"/>
                <w:szCs w:val="21"/>
              </w:rPr>
              <w:t>磋商文件</w:t>
            </w:r>
            <w:r>
              <w:rPr>
                <w:rFonts w:hint="eastAsia" w:ascii="宋体" w:hAnsi="宋体" w:eastAsia="宋体" w:cs="宋体"/>
                <w:color w:val="auto"/>
                <w:kern w:val="0"/>
                <w:szCs w:val="21"/>
              </w:rPr>
              <w:t>第八章</w:t>
            </w:r>
            <w:r>
              <w:rPr>
                <w:rFonts w:hint="eastAsia" w:ascii="宋体" w:hAnsi="宋体" w:eastAsia="宋体" w:cs="宋体"/>
                <w:color w:val="auto"/>
                <w:kern w:val="0"/>
                <w:szCs w:val="21"/>
                <w:lang w:val="en-US" w:eastAsia="zh-CN"/>
              </w:rPr>
              <w:t>3.6</w:t>
            </w:r>
            <w:r>
              <w:rPr>
                <w:rFonts w:hint="eastAsia" w:ascii="宋体" w:hAnsi="宋体" w:eastAsia="宋体" w:cs="宋体"/>
                <w:color w:val="auto"/>
                <w:kern w:val="0"/>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widowControl/>
              <w:jc w:val="center"/>
              <w:rPr>
                <w:rFonts w:ascii="宋体" w:hAnsi="宋体" w:eastAsia="宋体" w:cs="宋体"/>
                <w:b/>
                <w:bCs/>
                <w:color w:val="auto"/>
                <w:kern w:val="0"/>
                <w:szCs w:val="21"/>
              </w:rPr>
            </w:pPr>
            <w:r>
              <w:rPr>
                <w:rFonts w:hint="eastAsia" w:ascii="宋体" w:hAnsi="宋体" w:eastAsia="宋体"/>
                <w:b/>
                <w:color w:val="auto"/>
                <w:szCs w:val="21"/>
              </w:rPr>
              <w:t>资质证书</w:t>
            </w:r>
          </w:p>
        </w:tc>
        <w:tc>
          <w:tcPr>
            <w:tcW w:w="5954" w:type="dxa"/>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磋商</w:t>
            </w:r>
            <w:r>
              <w:rPr>
                <w:rFonts w:hint="eastAsia" w:ascii="宋体" w:hAnsi="宋体" w:eastAsia="宋体" w:cs="仿宋_GB2312"/>
                <w:b/>
                <w:color w:val="auto"/>
                <w:szCs w:val="21"/>
                <w:lang w:val="zh-CN"/>
              </w:rPr>
              <w:t>报价</w:t>
            </w:r>
          </w:p>
        </w:tc>
        <w:tc>
          <w:tcPr>
            <w:tcW w:w="5954" w:type="dxa"/>
          </w:tcPr>
          <w:p>
            <w:pPr>
              <w:spacing w:line="380" w:lineRule="exact"/>
              <w:rPr>
                <w:rFonts w:ascii="宋体" w:hAnsi="宋体" w:eastAsia="宋体" w:cs="微软雅黑"/>
                <w:bCs/>
                <w:color w:val="auto"/>
                <w:szCs w:val="21"/>
              </w:rPr>
            </w:pPr>
            <w:r>
              <w:rPr>
                <w:rFonts w:hint="eastAsia" w:ascii="宋体" w:hAnsi="宋体" w:eastAsia="宋体" w:cs="微软雅黑"/>
                <w:bCs/>
                <w:color w:val="auto"/>
                <w:szCs w:val="21"/>
                <w:lang w:val="zh-CN"/>
              </w:rPr>
              <w:t>磋商报价是否超出磋商文件中规定的预算金额，超出预算金额的投标无效。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bCs/>
                <w:color w:val="auto"/>
                <w:szCs w:val="21"/>
              </w:rPr>
              <w:t>联合体协议</w:t>
            </w:r>
          </w:p>
        </w:tc>
        <w:tc>
          <w:tcPr>
            <w:tcW w:w="5954" w:type="dxa"/>
          </w:tcPr>
          <w:p>
            <w:pPr>
              <w:spacing w:line="380" w:lineRule="exact"/>
              <w:rPr>
                <w:rFonts w:ascii="宋体" w:hAnsi="宋体" w:eastAsia="宋体"/>
                <w:b/>
                <w:color w:val="auto"/>
                <w:szCs w:val="21"/>
              </w:rPr>
            </w:pPr>
            <w:r>
              <w:rPr>
                <w:rFonts w:hint="eastAsia" w:ascii="宋体" w:hAnsi="宋体" w:eastAsia="宋体"/>
                <w:bCs/>
                <w:color w:val="auto"/>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w:t>
            </w:r>
          </w:p>
          <w:p>
            <w:pPr>
              <w:spacing w:line="360" w:lineRule="auto"/>
              <w:contextualSpacing/>
              <w:jc w:val="center"/>
              <w:rPr>
                <w:rFonts w:ascii="宋体" w:hAnsi="宋体" w:eastAsia="宋体"/>
                <w:b/>
                <w:bCs/>
                <w:color w:val="auto"/>
                <w:szCs w:val="21"/>
              </w:rPr>
            </w:pPr>
            <w:r>
              <w:rPr>
                <w:rFonts w:hint="eastAsia" w:ascii="宋体" w:hAnsi="宋体" w:eastAsia="宋体"/>
                <w:b/>
                <w:color w:val="auto"/>
                <w:szCs w:val="21"/>
              </w:rPr>
              <w:t>及授权</w:t>
            </w:r>
          </w:p>
        </w:tc>
        <w:tc>
          <w:tcPr>
            <w:tcW w:w="5954" w:type="dxa"/>
          </w:tcPr>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80" w:lineRule="exact"/>
              <w:rPr>
                <w:rFonts w:ascii="宋体" w:hAnsi="宋体" w:eastAsia="宋体" w:cs="仿宋_GB2312"/>
                <w:b/>
                <w:color w:val="auto"/>
                <w:szCs w:val="21"/>
                <w:lang w:val="zh-CN"/>
              </w:rPr>
            </w:pPr>
            <w:r>
              <w:rPr>
                <w:rFonts w:hint="eastAsia" w:ascii="宋体" w:hAnsi="宋体" w:eastAsia="宋体" w:cs="仿宋_GB2312"/>
                <w:b/>
                <w:color w:val="auto"/>
                <w:szCs w:val="21"/>
                <w:lang w:val="zh-CN"/>
              </w:rPr>
              <w:t>注：</w:t>
            </w:r>
          </w:p>
          <w:p>
            <w:pPr>
              <w:spacing w:line="380" w:lineRule="exact"/>
              <w:rPr>
                <w:rFonts w:ascii="宋体" w:hAnsi="宋体" w:eastAsia="宋体"/>
                <w:b/>
                <w:color w:val="auto"/>
                <w:szCs w:val="21"/>
              </w:rPr>
            </w:pPr>
            <w:r>
              <w:rPr>
                <w:rFonts w:hint="eastAsia" w:ascii="宋体" w:hAnsi="宋体" w:eastAsia="宋体"/>
                <w:color w:val="auto"/>
                <w:szCs w:val="21"/>
              </w:rPr>
              <w:t>①企业（银行、保险、石油石化、电力、电信等行业除外）、事业单位和社会团体以法人身份参加磋商的，法定代表人应与实际提交的“营业执照等证明文件”载明的一致。</w:t>
            </w:r>
          </w:p>
          <w:p>
            <w:pPr>
              <w:spacing w:line="380" w:lineRule="exact"/>
              <w:contextualSpacing/>
              <w:rPr>
                <w:rFonts w:ascii="宋体" w:hAnsi="宋体" w:eastAsia="宋体"/>
                <w:color w:val="auto"/>
                <w:szCs w:val="21"/>
              </w:rPr>
            </w:pPr>
            <w:r>
              <w:rPr>
                <w:rFonts w:hint="eastAsia" w:ascii="宋体" w:hAnsi="宋体" w:eastAsia="宋体"/>
                <w:color w:val="auto"/>
                <w:szCs w:val="21"/>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80" w:lineRule="exact"/>
              <w:contextualSpacing/>
              <w:rPr>
                <w:rFonts w:ascii="宋体" w:hAnsi="宋体" w:eastAsia="宋体"/>
                <w:b/>
                <w:bCs/>
                <w:color w:val="auto"/>
                <w:szCs w:val="21"/>
              </w:rPr>
            </w:pPr>
            <w:r>
              <w:rPr>
                <w:rFonts w:hint="eastAsia" w:ascii="宋体" w:hAnsi="宋体" w:eastAsia="宋体"/>
                <w:color w:val="auto"/>
                <w:szCs w:val="21"/>
              </w:rPr>
              <w:t>③</w:t>
            </w:r>
            <w:r>
              <w:rPr>
                <w:rFonts w:hint="eastAsia" w:ascii="宋体" w:hAnsi="宋体" w:eastAsia="宋体"/>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jc w:val="center"/>
              <w:rPr>
                <w:rFonts w:ascii="宋体" w:hAnsi="宋体" w:eastAsia="宋体"/>
                <w:b/>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jc w:val="center"/>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cs="仿宋_GB2312"/>
                <w:color w:val="auto"/>
                <w:szCs w:val="21"/>
                <w:lang w:val="zh-CN"/>
              </w:rPr>
            </w:pPr>
          </w:p>
        </w:tc>
      </w:tr>
    </w:tbl>
    <w:p>
      <w:pPr>
        <w:pStyle w:val="15"/>
        <w:spacing w:line="380" w:lineRule="exact"/>
        <w:contextualSpacing/>
        <w:jc w:val="center"/>
        <w:rPr>
          <w:rFonts w:ascii="宋体" w:hAnsi="宋体" w:cs="宋体"/>
          <w:b/>
          <w:color w:val="auto"/>
          <w:sz w:val="21"/>
          <w:szCs w:val="21"/>
          <w:lang w:val="zh-CN"/>
        </w:rPr>
      </w:pPr>
    </w:p>
    <w:p>
      <w:pPr>
        <w:pStyle w:val="15"/>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二、评标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（一）评审方法</w:t>
      </w:r>
    </w:p>
    <w:p>
      <w:pPr>
        <w:pStyle w:val="15"/>
        <w:spacing w:line="410" w:lineRule="exact"/>
        <w:ind w:firstLine="420" w:firstLineChars="200"/>
        <w:contextualSpacing/>
        <w:rPr>
          <w:rFonts w:ascii="宋体" w:hAnsi="宋体" w:cs="仿宋_GB2312"/>
          <w:b/>
          <w:color w:val="auto"/>
          <w:sz w:val="21"/>
          <w:szCs w:val="21"/>
          <w:lang w:val="zh-CN"/>
        </w:rPr>
      </w:pPr>
      <w:r>
        <w:rPr>
          <w:rFonts w:hint="eastAsia" w:ascii="宋体" w:hAnsi="宋体" w:cs="仿宋_GB2312"/>
          <w:color w:val="auto"/>
          <w:sz w:val="21"/>
          <w:szCs w:val="21"/>
          <w:lang w:val="zh-CN"/>
        </w:rPr>
        <w:t>本项目采用综合评分法。总分为100分。</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w:t>
      </w:r>
      <w:r>
        <w:rPr>
          <w:rFonts w:ascii="宋体" w:hAnsi="宋体" w:cs="仿宋_GB2312"/>
          <w:b/>
          <w:color w:val="auto"/>
          <w:sz w:val="21"/>
          <w:szCs w:val="21"/>
          <w:lang w:val="zh-CN"/>
        </w:rPr>
        <w:t>磋商小组负责具体评标事务，并独立履行下列职责</w:t>
      </w:r>
    </w:p>
    <w:p>
      <w:pPr>
        <w:pStyle w:val="15"/>
        <w:spacing w:line="410" w:lineRule="exact"/>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审查、评价</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磋商小组对符合资格的供应商的响应文件进行符合性审查，以确定其是否满足磋商文件的商务、技术等实质性要求。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要求投标人对</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文件有关事项作出澄清或者说明；</w:t>
      </w:r>
    </w:p>
    <w:p>
      <w:pPr>
        <w:pStyle w:val="15"/>
        <w:spacing w:line="410" w:lineRule="exact"/>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对于</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文件中含义不明确、同类问题表述不一致或者有明显文字和计算错误的内容，磋商小组应当以书面形式要求</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作出必要的澄清、说明或者补正。</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的澄清、说明或者补正应当采用书面形式，并加盖公章，或者由法定代表人或其授权的代表签字。</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的澄清、说明或者补正不得超出</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文件的范围或者改变</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文件的实质性内容。</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3、</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文件进行比较和评价；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（1）价格分计算</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价格分采用低价优先法计算， 即满足采购文件要求且投标价格最低的投标报价为评标基准价，其价格分为满分。因落实政府采购政策进行价格调整的，以调整后的价格计算评标基准价和投标报价。</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（2）</w:t>
      </w:r>
      <w:r>
        <w:rPr>
          <w:rFonts w:ascii="宋体" w:hAnsi="宋体" w:cs="仿宋_GB2312"/>
          <w:b/>
          <w:color w:val="auto"/>
          <w:sz w:val="21"/>
          <w:szCs w:val="21"/>
          <w:lang w:val="zh-CN"/>
        </w:rPr>
        <w:t>关于相同品牌产品</w:t>
      </w:r>
      <w:r>
        <w:rPr>
          <w:rFonts w:ascii="宋体" w:hAnsi="宋体" w:cs="仿宋_GB2312"/>
          <w:b/>
          <w:bCs/>
          <w:color w:val="auto"/>
          <w:sz w:val="21"/>
          <w:szCs w:val="21"/>
          <w:lang w:val="zh-CN"/>
        </w:rPr>
        <w:t>（服务类项目不适用本条款规定）</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int="eastAsia" w:ascii="宋体" w:hAnsi="宋体" w:cs="仿宋_GB2312"/>
          <w:color w:val="auto"/>
          <w:sz w:val="21"/>
          <w:szCs w:val="21"/>
          <w:lang w:val="zh-CN"/>
        </w:rPr>
        <w:t>采取随机抽取</w:t>
      </w:r>
      <w:r>
        <w:rPr>
          <w:rFonts w:ascii="宋体" w:hAnsi="宋体" w:cs="仿宋_GB2312"/>
          <w:color w:val="auto"/>
          <w:sz w:val="21"/>
          <w:szCs w:val="21"/>
          <w:lang w:val="zh-CN"/>
        </w:rPr>
        <w:t>方式确定一个参加评标的投标人，其他投标无效。</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采用综合评分法的，提供相同品牌产品</w:t>
      </w:r>
      <w:r>
        <w:rPr>
          <w:rFonts w:hint="eastAsia" w:ascii="宋体" w:hAnsi="宋体" w:cs="仿宋_GB2312"/>
          <w:color w:val="auto"/>
          <w:sz w:val="21"/>
          <w:szCs w:val="21"/>
          <w:lang w:val="zh-CN"/>
        </w:rPr>
        <w:t>（</w:t>
      </w:r>
      <w:r>
        <w:rPr>
          <w:rFonts w:ascii="宋体" w:hAnsi="宋体" w:cs="仿宋_GB2312"/>
          <w:color w:val="auto"/>
          <w:sz w:val="21"/>
          <w:szCs w:val="21"/>
          <w:lang w:val="zh-CN"/>
        </w:rPr>
        <w:t>非单一产品采购项目，多家投标人提供的核心产品品牌相同</w:t>
      </w:r>
      <w:r>
        <w:rPr>
          <w:rFonts w:hint="eastAsia" w:ascii="宋体" w:hAnsi="宋体" w:cs="仿宋_GB2312"/>
          <w:color w:val="auto"/>
          <w:sz w:val="21"/>
          <w:szCs w:val="21"/>
          <w:lang w:val="zh-CN"/>
        </w:rPr>
        <w:t>）</w:t>
      </w:r>
      <w:r>
        <w:rPr>
          <w:rFonts w:ascii="宋体" w:hAnsi="宋体" w:cs="仿宋_GB2312"/>
          <w:color w:val="auto"/>
          <w:sz w:val="21"/>
          <w:szCs w:val="21"/>
          <w:lang w:val="zh-CN"/>
        </w:rPr>
        <w:t>且通过资格审查、符合性审查的不同投标人参加同一合同项下投标的，按一家投标人计算，评审后得分最高的同品牌投标人作为成交候选人推荐；评审得分相同的，</w:t>
      </w:r>
      <w:r>
        <w:rPr>
          <w:rFonts w:hint="eastAsia" w:ascii="宋体" w:hAnsi="宋体" w:cs="仿宋_GB2312"/>
          <w:color w:val="auto"/>
          <w:sz w:val="21"/>
          <w:szCs w:val="21"/>
          <w:lang w:val="zh-CN"/>
        </w:rPr>
        <w:t>由采购人或者采购人委托磋商小组</w:t>
      </w:r>
      <w:r>
        <w:rPr>
          <w:rFonts w:ascii="宋体" w:hAnsi="宋体" w:cs="仿宋_GB2312"/>
          <w:color w:val="auto"/>
          <w:sz w:val="21"/>
          <w:szCs w:val="21"/>
          <w:lang w:val="zh-CN"/>
        </w:rPr>
        <w:t>采取随机抽取方式确定</w:t>
      </w:r>
      <w:r>
        <w:rPr>
          <w:rFonts w:hint="eastAsia" w:ascii="宋体" w:hAnsi="宋体" w:cs="仿宋_GB2312"/>
          <w:color w:val="auto"/>
          <w:sz w:val="21"/>
          <w:szCs w:val="21"/>
          <w:lang w:val="zh-CN"/>
        </w:rPr>
        <w:t>一个投标人获得成交人推荐资格</w:t>
      </w:r>
      <w:r>
        <w:rPr>
          <w:rFonts w:ascii="宋体" w:hAnsi="宋体" w:cs="仿宋_GB2312"/>
          <w:color w:val="auto"/>
          <w:sz w:val="21"/>
          <w:szCs w:val="21"/>
          <w:lang w:val="zh-CN"/>
        </w:rPr>
        <w:t>，其他同品牌投标人不作为成交候选人。</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（3）强制采购节能产品和优先采购节能产品、优先采购环保产品</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1）对《节能产品政府采购品目清单》所列的政府强制采购节能产品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供应商响应文件中应提供具有国家确定的认证机构出具的、处于有效期之内的节能产品或环境标志产品认证证书，否则将承担其投标被视为非实质性响应投标的风险。</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（4）信息产品要求</w:t>
      </w:r>
    </w:p>
    <w:p>
      <w:pPr>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w:t>
      </w:r>
      <w:r>
        <w:rPr>
          <w:rFonts w:hint="eastAsia" w:ascii="宋体" w:hAnsi="宋体" w:eastAsia="宋体" w:cs="宋体"/>
          <w:color w:val="auto"/>
          <w:kern w:val="0"/>
          <w:szCs w:val="21"/>
        </w:rPr>
        <w:t>所投产品如被列入</w:t>
      </w:r>
      <w:r>
        <w:rPr>
          <w:rFonts w:ascii="宋体" w:hAnsi="宋体" w:eastAsia="宋体" w:cs="宋体"/>
          <w:color w:val="auto"/>
          <w:kern w:val="0"/>
          <w:szCs w:val="21"/>
        </w:rPr>
        <w:t>《信息安全产品强制性认证目录》</w:t>
      </w:r>
      <w:r>
        <w:rPr>
          <w:rFonts w:ascii="宋体" w:hAnsi="宋体" w:eastAsia="宋体" w:cs="仿宋_GB2312"/>
          <w:color w:val="auto"/>
          <w:szCs w:val="21"/>
          <w:lang w:val="zh-CN"/>
        </w:rPr>
        <w:t>，</w:t>
      </w:r>
      <w:r>
        <w:rPr>
          <w:rFonts w:hint="eastAsia" w:ascii="宋体" w:hAnsi="宋体" w:eastAsia="宋体" w:cs="仿宋_GB2312"/>
          <w:color w:val="auto"/>
          <w:szCs w:val="21"/>
          <w:lang w:val="zh-CN"/>
        </w:rPr>
        <w:t>应提供由中国信息安全认证中心按国家标准认证颁发的有效认证证书。</w:t>
      </w:r>
    </w:p>
    <w:p>
      <w:pPr>
        <w:tabs>
          <w:tab w:val="left" w:pos="1260"/>
        </w:tabs>
        <w:autoSpaceDE w:val="0"/>
        <w:autoSpaceDN w:val="0"/>
        <w:spacing w:line="41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）响应无效情形</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2）符合性审查资料未按磋商文件要求签署、盖章的；</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3）有下列情形之一的，视为投标人串通投标，其投标无效：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a.不同投标人的投标文件由同一单位或者个人编制；</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b.不同投标人委托同一单位或者个人办理投标事宜；</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c.不同投标人的投标文件载明的项目管理成员或者联系人员为同一人；</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d.不同投标人的投标文件异常一致或者投标报价呈规律性差异；</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e.不同投标人的投标文件相互混装；</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ascii="宋体" w:hAnsi="宋体" w:eastAsia="宋体"/>
          <w:color w:val="auto"/>
        </w:rPr>
        <w:drawing>
          <wp:anchor distT="0" distB="0" distL="114300" distR="114300" simplePos="0" relativeHeight="251661312" behindDoc="0" locked="0" layoutInCell="1" allowOverlap="1">
            <wp:simplePos x="0" y="0"/>
            <wp:positionH relativeFrom="column">
              <wp:posOffset>4750435</wp:posOffset>
            </wp:positionH>
            <wp:positionV relativeFrom="paragraph">
              <wp:posOffset>1273810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Grp="1" noChangeAspect="1" noChangeArrowheads="1"/>
                    </pic:cNvPicPr>
                  </pic:nvPicPr>
                  <pic:blipFill>
                    <a:blip r:embed="rId12"/>
                    <a:srcRect/>
                    <a:stretch>
                      <a:fillRect/>
                    </a:stretch>
                  </pic:blipFill>
                  <pic:spPr>
                    <a:xfrm>
                      <a:off x="0" y="0"/>
                      <a:ext cx="635" cy="635"/>
                    </a:xfrm>
                    <a:prstGeom prst="rect">
                      <a:avLst/>
                    </a:prstGeom>
                    <a:noFill/>
                    <a:ln w="9525">
                      <a:noFill/>
                      <a:miter lim="800000"/>
                      <a:headEnd/>
                      <a:tailEnd/>
                    </a:ln>
                  </pic:spPr>
                </pic:pic>
              </a:graphicData>
            </a:graphic>
          </wp:anchor>
        </w:drawing>
      </w:r>
      <w:r>
        <w:rPr>
          <w:rFonts w:hint="eastAsia" w:ascii="宋体" w:hAnsi="宋体" w:eastAsia="宋体" w:cs="仿宋_GB2312"/>
          <w:color w:val="auto"/>
          <w:szCs w:val="21"/>
        </w:rPr>
        <w:t>5）</w:t>
      </w:r>
      <w:r>
        <w:rPr>
          <w:rFonts w:hint="eastAsia" w:ascii="宋体" w:hAnsi="宋体" w:eastAsia="宋体" w:cs="仿宋_GB2312"/>
          <w:color w:val="auto"/>
          <w:szCs w:val="21"/>
          <w:lang w:val="zh-CN"/>
        </w:rPr>
        <w:t>提供虚假材料谋取中标的。</w:t>
      </w:r>
    </w:p>
    <w:p>
      <w:pPr>
        <w:tabs>
          <w:tab w:val="left" w:pos="1260"/>
        </w:tabs>
        <w:autoSpaceDE w:val="0"/>
        <w:autoSpaceDN w:val="0"/>
        <w:spacing w:line="41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rPr>
        <w:t>6）</w:t>
      </w:r>
      <w:r>
        <w:rPr>
          <w:rFonts w:hint="eastAsia" w:ascii="宋体" w:hAnsi="宋体" w:eastAsia="宋体" w:cs="仿宋_GB2312"/>
          <w:color w:val="auto"/>
          <w:szCs w:val="21"/>
          <w:lang w:val="zh-CN"/>
        </w:rPr>
        <w:t>法律、法规和磋商文件规定的其他无效情形：</w:t>
      </w:r>
    </w:p>
    <w:p>
      <w:pPr>
        <w:tabs>
          <w:tab w:val="left" w:pos="1260"/>
        </w:tabs>
        <w:autoSpaceDE w:val="0"/>
        <w:autoSpaceDN w:val="0"/>
        <w:spacing w:line="410" w:lineRule="exact"/>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（6）评分标准</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价格分值：30分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w:t>
            </w:r>
            <w:r>
              <w:rPr>
                <w:rFonts w:hint="eastAsia" w:ascii="宋体" w:hAnsi="宋体" w:eastAsia="宋体"/>
                <w:color w:val="auto"/>
                <w:szCs w:val="21"/>
                <w:lang w:val="en-US" w:eastAsia="zh-CN"/>
              </w:rPr>
              <w:t>30</w:t>
            </w:r>
            <w:r>
              <w:rPr>
                <w:rFonts w:hint="eastAsia" w:ascii="宋体" w:hAnsi="宋体" w:eastAsia="宋体"/>
                <w:color w:val="auto"/>
                <w:szCs w:val="21"/>
              </w:rPr>
              <w:t>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w:t>
            </w:r>
            <w:r>
              <w:rPr>
                <w:rFonts w:hint="eastAsia" w:ascii="宋体" w:hAnsi="宋体" w:eastAsia="宋体"/>
                <w:color w:val="auto"/>
                <w:szCs w:val="21"/>
                <w:lang w:val="en-US" w:eastAsia="zh-CN"/>
              </w:rPr>
              <w:t>40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投标报价得分=（评标基准价/投标报价）×30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9"/>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rPr>
            </w:pPr>
            <w:r>
              <w:rPr>
                <w:rFonts w:hint="eastAsia" w:ascii="宋体" w:hAnsi="宋体" w:eastAsia="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w:t>
            </w:r>
            <w:r>
              <w:rPr>
                <w:rFonts w:hint="eastAsia" w:ascii="宋体" w:hAnsi="宋体" w:eastAsia="宋体" w:cs="宋体"/>
                <w:bCs/>
                <w:color w:val="auto"/>
                <w:kern w:val="0"/>
                <w:szCs w:val="21"/>
                <w:lang w:val="en-US" w:eastAsia="zh-CN"/>
              </w:rPr>
              <w:t>30</w:t>
            </w:r>
            <w:r>
              <w:rPr>
                <w:rFonts w:hint="eastAsia" w:ascii="宋体" w:hAnsi="宋体" w:eastAsia="宋体" w:cs="宋体"/>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rPr>
              <w:t>业绩（</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投标人自2019年1月1日以来承建过</w:t>
            </w:r>
            <w:r>
              <w:rPr>
                <w:rFonts w:hint="eastAsia" w:ascii="宋体" w:hAnsi="宋体" w:eastAsia="宋体" w:cs="宋体"/>
                <w:color w:val="auto"/>
                <w:szCs w:val="21"/>
                <w:lang w:val="en-US" w:eastAsia="zh-CN"/>
              </w:rPr>
              <w:t>类似</w:t>
            </w:r>
            <w:r>
              <w:rPr>
                <w:rFonts w:hint="eastAsia" w:ascii="宋体" w:hAnsi="宋体" w:eastAsia="宋体" w:cs="宋体"/>
                <w:color w:val="auto"/>
                <w:szCs w:val="21"/>
              </w:rPr>
              <w:t>机动车远程在线监控终端设备采购及安装项目，每提供一个业绩证明得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分，最多得</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分。（需提供设备采购及安装项目的合同</w:t>
            </w:r>
            <w:r>
              <w:rPr>
                <w:rFonts w:hint="eastAsia" w:ascii="宋体" w:hAnsi="宋体" w:eastAsia="宋体" w:cs="宋体"/>
                <w:color w:val="auto"/>
                <w:szCs w:val="21"/>
                <w:lang w:eastAsia="zh-CN"/>
              </w:rPr>
              <w:t>原件扫描件</w:t>
            </w:r>
            <w:r>
              <w:rPr>
                <w:rFonts w:hint="eastAsia" w:ascii="宋体" w:hAnsi="宋体" w:eastAsia="宋体" w:cs="宋体"/>
                <w:color w:val="auto"/>
                <w:szCs w:val="21"/>
              </w:rPr>
              <w:t>，时间以合同签订时间为准）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s="宋体"/>
                <w:bCs/>
                <w:color w:val="auto"/>
                <w:kern w:val="0"/>
                <w:szCs w:val="21"/>
              </w:rPr>
            </w:pPr>
            <w:r>
              <w:rPr>
                <w:rFonts w:hint="eastAsia" w:ascii="宋体" w:hAnsi="宋体" w:eastAsia="宋体"/>
                <w:color w:val="auto"/>
                <w:szCs w:val="21"/>
                <w:lang w:val="en-US" w:eastAsia="zh-CN"/>
              </w:rPr>
              <w:t>30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w:t>
            </w:r>
            <w:r>
              <w:rPr>
                <w:rFonts w:hint="eastAsia" w:ascii="宋体" w:hAnsi="宋体" w:eastAsia="宋体" w:cs="宋体"/>
                <w:color w:val="auto"/>
                <w:szCs w:val="21"/>
                <w:lang w:val="en-US" w:eastAsia="zh-CN"/>
              </w:rPr>
              <w:t>40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项目实施方案（10分）</w:t>
            </w:r>
          </w:p>
        </w:tc>
        <w:tc>
          <w:tcPr>
            <w:tcW w:w="6407" w:type="dxa"/>
            <w:tcBorders>
              <w:top w:val="nil"/>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（1）、投标人提供详细具体的实施方案，验收方案、应急方案和预防措施，内容全面完整，细节详尽，阐述项目实施方案合理、科学、可行、全面的得10分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（2）、内容较完整，较详尽，阐述项目实施方案较合理、较科学、较可行得6分；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（3）、内容一般，细节一般，阐述项目实施方案一般得3分；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质量保证方案（1</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（1）、投标人提供详细具体的日常维护方案、定期巡检方案和故障维修方案及规章制度，内容全面完整，细节详尽，阐述质量保证方案合理、科学、可行、全面得1</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（2）、内容较完整，细节较详尽，阐述质量保证方案较合理、科学、可行、全面得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（3）、内较一般，细节一般，阐述质量保证方案一般得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售后服务方案（10分）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（1）、方案应包含服务内容、服务措施、服务标准、服务流程、服务响应时间等方面的内容，方案内容全面完整，细节详尽程度、服务内容阐述售后服务方案及承诺是否合理、科学、可行的得10分；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（2）、方案内容较完整，细节较详尽，服务内容阐述售后服务方案及承诺较合理、科学、可行得6分；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（3）、方案内容一般，细节一般、服务内容阐述售后服务方案及承诺一般得3分；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培训及技术服务方案（10分）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（1）、方案应包含培训计划、培训内容、课程安排、师资安排、组织方式等方面的内容，方案内容全面完整，细节详尽程度、服务内容阐述售后服务方案及承诺是否合理、科学、可行得10分；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（2）、方案内容较全面完整，细节详尽程度、服务内容阐述售后服务方案及承诺较合理、科学、可行得6分；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（3）、方案内容一般完整，细节详尽程度、服务内容阐述售后服务方案及承诺内容一般合理、科学、可行得3分；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lang w:val="en-US" w:eastAsia="zh-CN"/>
              </w:rPr>
              <w:t>10</w:t>
            </w:r>
            <w:r>
              <w:rPr>
                <w:rFonts w:ascii="宋体" w:hAnsi="宋体" w:eastAsia="宋体" w:cs="宋体"/>
                <w:color w:val="auto"/>
                <w:szCs w:val="21"/>
              </w:rPr>
              <w:t>分</w:t>
            </w:r>
          </w:p>
        </w:tc>
      </w:tr>
    </w:tbl>
    <w:p>
      <w:pPr>
        <w:tabs>
          <w:tab w:val="left" w:pos="1260"/>
        </w:tabs>
        <w:autoSpaceDE w:val="0"/>
        <w:autoSpaceDN w:val="0"/>
        <w:spacing w:line="360" w:lineRule="auto"/>
        <w:ind w:left="420"/>
        <w:contextualSpacing/>
        <w:rPr>
          <w:rFonts w:ascii="宋体" w:hAnsi="宋体" w:eastAsia="宋体" w:cs="宋体"/>
          <w:b/>
          <w:color w:val="auto"/>
          <w:sz w:val="24"/>
          <w:szCs w:val="24"/>
          <w:lang w:val="zh-CN"/>
        </w:rPr>
      </w:pPr>
    </w:p>
    <w:p>
      <w:pPr>
        <w:pStyle w:val="15"/>
        <w:spacing w:line="400" w:lineRule="exact"/>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7</w:t>
      </w:r>
      <w:r>
        <w:rPr>
          <w:rFonts w:hint="eastAsia" w:ascii="宋体" w:hAnsi="宋体" w:cs="仿宋_GB2312"/>
          <w:b/>
          <w:color w:val="auto"/>
          <w:sz w:val="21"/>
          <w:szCs w:val="21"/>
          <w:lang w:val="zh-CN"/>
        </w:rPr>
        <w:t>）</w:t>
      </w:r>
      <w:r>
        <w:rPr>
          <w:rFonts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1） </w:t>
      </w:r>
      <w:r>
        <w:rPr>
          <w:rFonts w:ascii="宋体" w:hAnsi="宋体" w:eastAsia="宋体" w:cs="仿宋_GB2312"/>
          <w:color w:val="auto"/>
          <w:szCs w:val="21"/>
          <w:lang w:val="zh-CN"/>
        </w:rPr>
        <w:t>分值汇总计算错误的；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2） </w:t>
      </w:r>
      <w:r>
        <w:rPr>
          <w:rFonts w:ascii="宋体" w:hAnsi="宋体" w:eastAsia="宋体" w:cs="仿宋_GB2312"/>
          <w:color w:val="auto"/>
          <w:szCs w:val="21"/>
          <w:lang w:val="zh-CN"/>
        </w:rPr>
        <w:t>分项评分超出评分标准范围的；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3） </w:t>
      </w:r>
      <w:r>
        <w:rPr>
          <w:rFonts w:ascii="宋体" w:hAnsi="宋体" w:eastAsia="宋体" w:cs="仿宋_GB2312"/>
          <w:color w:val="auto"/>
          <w:szCs w:val="21"/>
          <w:lang w:val="zh-CN"/>
        </w:rPr>
        <w:t>磋商小组成员对客观评审因素评分不一致的；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4） </w:t>
      </w:r>
      <w:r>
        <w:rPr>
          <w:rFonts w:ascii="宋体" w:hAnsi="宋体" w:eastAsia="宋体" w:cs="仿宋_GB2312"/>
          <w:color w:val="auto"/>
          <w:szCs w:val="21"/>
          <w:lang w:val="zh-CN"/>
        </w:rPr>
        <w:t>经磋商小组认定评分畸高、畸低的。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00" w:lineRule="exact"/>
        <w:ind w:firstLine="422" w:firstLineChars="200"/>
        <w:contextualSpacing/>
        <w:rPr>
          <w:rFonts w:ascii="宋体" w:hAnsi="宋体" w:eastAsia="宋体" w:cs="仿宋_GB2312"/>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w:t>
      </w:r>
      <w:r>
        <w:rPr>
          <w:rFonts w:hint="eastAsia" w:ascii="宋体" w:hAnsi="宋体" w:eastAsia="宋体" w:cs="仿宋_GB2312"/>
          <w:color w:val="auto"/>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pStyle w:val="15"/>
        <w:spacing w:line="400" w:lineRule="exact"/>
        <w:ind w:firstLine="422" w:firstLineChars="200"/>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9</w:t>
      </w:r>
      <w:r>
        <w:rPr>
          <w:rFonts w:hint="eastAsia" w:ascii="宋体" w:hAnsi="宋体" w:cs="仿宋_GB2312"/>
          <w:b/>
          <w:color w:val="auto"/>
          <w:sz w:val="21"/>
          <w:szCs w:val="21"/>
          <w:lang w:val="zh-CN"/>
        </w:rPr>
        <w:t>）推荐成交候选供应商</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ascii="宋体" w:hAnsi="宋体" w:eastAsia="宋体" w:cs="仿宋_GB2312"/>
          <w:color w:val="auto"/>
          <w:szCs w:val="21"/>
          <w:lang w:val="zh-CN"/>
        </w:rPr>
        <w:t>磋商小组应当根据综合评分情况，按照评审得分由高到低顺序推荐3名以上成交候选供应商，</w:t>
      </w:r>
      <w:r>
        <w:rPr>
          <w:rFonts w:hint="eastAsia" w:ascii="宋体" w:hAnsi="宋体" w:eastAsia="宋体" w:cs="仿宋_GB2312"/>
          <w:color w:val="auto"/>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0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0</w:t>
      </w:r>
      <w:r>
        <w:rPr>
          <w:rFonts w:hint="eastAsia" w:ascii="宋体" w:hAnsi="宋体" w:eastAsia="宋体" w:cs="仿宋_GB2312"/>
          <w:b/>
          <w:color w:val="auto"/>
          <w:szCs w:val="21"/>
          <w:lang w:val="zh-CN"/>
        </w:rPr>
        <w:t>）</w:t>
      </w:r>
      <w:r>
        <w:rPr>
          <w:rFonts w:ascii="宋体" w:hAnsi="宋体" w:eastAsia="宋体" w:cs="仿宋_GB2312"/>
          <w:b/>
          <w:color w:val="auto"/>
          <w:szCs w:val="21"/>
          <w:lang w:val="zh-CN"/>
        </w:rPr>
        <w:t>磋商小组</w:t>
      </w:r>
      <w:r>
        <w:rPr>
          <w:rFonts w:hint="eastAsia" w:ascii="宋体" w:hAnsi="宋体" w:eastAsia="宋体" w:cs="仿宋_GB2312"/>
          <w:b/>
          <w:color w:val="auto"/>
          <w:szCs w:val="21"/>
          <w:lang w:val="zh-CN"/>
        </w:rPr>
        <w:t>争议处理</w:t>
      </w:r>
    </w:p>
    <w:p>
      <w:pPr>
        <w:tabs>
          <w:tab w:val="left" w:pos="1260"/>
        </w:tabs>
        <w:autoSpaceDE w:val="0"/>
        <w:autoSpaceDN w:val="0"/>
        <w:spacing w:line="400" w:lineRule="exact"/>
        <w:ind w:firstLine="420" w:firstLineChars="200"/>
        <w:contextualSpacing/>
        <w:rPr>
          <w:rFonts w:ascii="宋体" w:hAnsi="宋体" w:eastAsia="宋体" w:cs="宋体"/>
          <w:b/>
          <w:color w:val="auto"/>
          <w:kern w:val="0"/>
          <w:sz w:val="32"/>
          <w:szCs w:val="32"/>
        </w:rPr>
      </w:pPr>
      <w:r>
        <w:rPr>
          <w:rFonts w:ascii="宋体" w:hAnsi="宋体" w:eastAsia="宋体" w:cs="仿宋_GB2312"/>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pStyle w:val="88"/>
        <w:keepNext w:val="0"/>
        <w:keepLines w:val="0"/>
        <w:widowControl w:val="0"/>
        <w:shd w:val="clear" w:color="auto" w:fill="auto"/>
        <w:bidi w:val="0"/>
        <w:spacing w:before="0" w:after="0" w:line="240" w:lineRule="auto"/>
        <w:ind w:left="0" w:firstLine="0"/>
        <w:jc w:val="right"/>
        <w:rPr>
          <w:color w:val="auto"/>
        </w:rPr>
      </w:pPr>
      <w:r>
        <w:rPr>
          <w:color w:val="auto"/>
          <w:spacing w:val="0"/>
          <w:w w:val="100"/>
          <w:position w:val="0"/>
        </w:rPr>
        <w:t>本合同□是/□否中小企业预留合同</w:t>
      </w:r>
    </w:p>
    <w:p>
      <w:pPr>
        <w:pStyle w:val="89"/>
        <w:keepNext w:val="0"/>
        <w:keepLines w:val="0"/>
        <w:widowControl w:val="0"/>
        <w:shd w:val="clear" w:color="auto" w:fill="auto"/>
        <w:tabs>
          <w:tab w:val="left" w:pos="-815"/>
        </w:tabs>
        <w:bidi w:val="0"/>
        <w:spacing w:before="0" w:after="0" w:line="240" w:lineRule="auto"/>
        <w:ind w:left="0" w:right="0"/>
        <w:jc w:val="left"/>
        <w:rPr>
          <w:color w:val="auto"/>
        </w:rPr>
      </w:pPr>
    </w:p>
    <w:p>
      <w:pPr>
        <w:pStyle w:val="90"/>
        <w:keepNext/>
        <w:keepLines/>
        <w:widowControl w:val="0"/>
        <w:shd w:val="clear" w:color="auto" w:fill="auto"/>
        <w:bidi w:val="0"/>
        <w:spacing w:before="0" w:after="540" w:line="240" w:lineRule="auto"/>
        <w:ind w:left="0" w:right="0" w:firstLine="0"/>
        <w:jc w:val="center"/>
        <w:rPr>
          <w:color w:val="auto"/>
        </w:rPr>
      </w:pPr>
      <w:bookmarkStart w:id="3" w:name="bookmark10"/>
      <w:bookmarkStart w:id="4" w:name="bookmark8"/>
      <w:bookmarkStart w:id="5" w:name="bookmark9"/>
      <w:r>
        <w:rPr>
          <w:color w:val="auto"/>
          <w:spacing w:val="0"/>
          <w:w w:val="100"/>
          <w:position w:val="0"/>
        </w:rPr>
        <w:t>政府采购货物合同（范本）</w:t>
      </w:r>
      <w:bookmarkEnd w:id="3"/>
      <w:bookmarkEnd w:id="4"/>
      <w:bookmarkEnd w:id="5"/>
    </w:p>
    <w:p>
      <w:pPr>
        <w:pStyle w:val="91"/>
        <w:keepNext w:val="0"/>
        <w:keepLines w:val="0"/>
        <w:widowControl w:val="0"/>
        <w:shd w:val="clear" w:color="auto" w:fill="auto"/>
        <w:tabs>
          <w:tab w:val="left" w:pos="4766"/>
        </w:tabs>
        <w:bidi w:val="0"/>
        <w:spacing w:before="0" w:after="0" w:line="395" w:lineRule="exact"/>
        <w:ind w:left="0" w:right="0" w:firstLine="580"/>
        <w:jc w:val="left"/>
        <w:rPr>
          <w:color w:val="auto"/>
        </w:rPr>
      </w:pPr>
      <w:r>
        <w:rPr>
          <w:color w:val="auto"/>
          <w:spacing w:val="0"/>
          <w:w w:val="100"/>
          <w:position w:val="0"/>
        </w:rPr>
        <w:t>合同编号：</w:t>
      </w:r>
      <w:r>
        <w:rPr>
          <w:color w:val="auto"/>
          <w:u w:val="single"/>
        </w:rPr>
        <w:t xml:space="preserve"> </w:t>
      </w:r>
      <w:r>
        <w:rPr>
          <w:color w:val="auto"/>
          <w:u w:val="single"/>
        </w:rPr>
        <w:tab/>
      </w:r>
    </w:p>
    <w:p>
      <w:pPr>
        <w:pStyle w:val="91"/>
        <w:keepNext w:val="0"/>
        <w:keepLines w:val="0"/>
        <w:widowControl w:val="0"/>
        <w:shd w:val="clear" w:color="auto" w:fill="auto"/>
        <w:tabs>
          <w:tab w:val="left" w:pos="4761"/>
        </w:tabs>
        <w:bidi w:val="0"/>
        <w:spacing w:before="0" w:after="0" w:line="395" w:lineRule="exact"/>
        <w:ind w:left="0" w:right="0" w:firstLine="580"/>
        <w:jc w:val="left"/>
        <w:rPr>
          <w:color w:val="auto"/>
        </w:rPr>
      </w:pPr>
      <w:r>
        <w:rPr>
          <w:color w:val="auto"/>
          <w:spacing w:val="0"/>
          <w:w w:val="100"/>
          <w:position w:val="0"/>
        </w:rPr>
        <w:t>签订地：</w:t>
      </w:r>
      <w:r>
        <w:rPr>
          <w:color w:val="auto"/>
          <w:u w:val="single"/>
        </w:rPr>
        <w:t xml:space="preserve"> </w:t>
      </w:r>
      <w:r>
        <w:rPr>
          <w:color w:val="auto"/>
          <w:u w:val="single"/>
        </w:rPr>
        <w:tab/>
      </w:r>
    </w:p>
    <w:p>
      <w:pPr>
        <w:pStyle w:val="91"/>
        <w:keepNext w:val="0"/>
        <w:keepLines w:val="0"/>
        <w:widowControl w:val="0"/>
        <w:shd w:val="clear" w:color="auto" w:fill="auto"/>
        <w:tabs>
          <w:tab w:val="left" w:pos="4742"/>
        </w:tabs>
        <w:bidi w:val="0"/>
        <w:spacing w:before="0" w:after="0" w:line="395" w:lineRule="exact"/>
        <w:ind w:left="0" w:right="0" w:firstLine="580"/>
        <w:jc w:val="left"/>
        <w:rPr>
          <w:color w:val="auto"/>
        </w:rPr>
      </w:pPr>
      <w:r>
        <w:rPr>
          <w:color w:val="auto"/>
          <w:spacing w:val="0"/>
          <w:w w:val="100"/>
          <w:position w:val="0"/>
        </w:rPr>
        <w:t>甲方（釆购人）：</w:t>
      </w:r>
      <w:r>
        <w:rPr>
          <w:color w:val="auto"/>
          <w:u w:val="single"/>
        </w:rPr>
        <w:t xml:space="preserve"> </w:t>
      </w:r>
      <w:r>
        <w:rPr>
          <w:color w:val="auto"/>
          <w:u w:val="single"/>
        </w:rPr>
        <w:tab/>
      </w:r>
    </w:p>
    <w:p>
      <w:pPr>
        <w:pStyle w:val="91"/>
        <w:keepNext w:val="0"/>
        <w:keepLines w:val="0"/>
        <w:widowControl w:val="0"/>
        <w:shd w:val="clear" w:color="auto" w:fill="auto"/>
        <w:tabs>
          <w:tab w:val="left" w:pos="4770"/>
        </w:tabs>
        <w:bidi w:val="0"/>
        <w:spacing w:before="0" w:after="0" w:line="395" w:lineRule="exact"/>
        <w:ind w:left="0" w:right="0" w:firstLine="580"/>
        <w:jc w:val="left"/>
        <w:rPr>
          <w:color w:val="auto"/>
        </w:rPr>
      </w:pPr>
      <w:r>
        <w:rPr>
          <w:color w:val="auto"/>
          <w:spacing w:val="0"/>
          <w:w w:val="100"/>
          <w:position w:val="0"/>
        </w:rPr>
        <w:t>住所地：</w:t>
      </w:r>
      <w:r>
        <w:rPr>
          <w:color w:val="auto"/>
          <w:u w:val="single"/>
        </w:rPr>
        <w:t xml:space="preserve"> </w:t>
      </w:r>
      <w:r>
        <w:rPr>
          <w:color w:val="auto"/>
          <w:u w:val="single"/>
        </w:rPr>
        <w:tab/>
      </w:r>
    </w:p>
    <w:p>
      <w:pPr>
        <w:pStyle w:val="91"/>
        <w:keepNext w:val="0"/>
        <w:keepLines w:val="0"/>
        <w:widowControl w:val="0"/>
        <w:shd w:val="clear" w:color="auto" w:fill="auto"/>
        <w:tabs>
          <w:tab w:val="left" w:pos="4746"/>
        </w:tabs>
        <w:bidi w:val="0"/>
        <w:spacing w:before="0" w:after="0" w:line="395" w:lineRule="exact"/>
        <w:ind w:left="0" w:right="0" w:firstLine="580"/>
        <w:jc w:val="left"/>
        <w:rPr>
          <w:color w:val="auto"/>
        </w:rPr>
      </w:pPr>
      <w:r>
        <w:rPr>
          <w:color w:val="auto"/>
          <w:spacing w:val="0"/>
          <w:w w:val="100"/>
          <w:position w:val="0"/>
        </w:rPr>
        <w:t>乙方（中标人）：</w:t>
      </w:r>
      <w:r>
        <w:rPr>
          <w:color w:val="auto"/>
          <w:u w:val="single"/>
        </w:rPr>
        <w:t xml:space="preserve"> </w:t>
      </w:r>
      <w:r>
        <w:rPr>
          <w:color w:val="auto"/>
          <w:u w:val="single"/>
        </w:rPr>
        <w:tab/>
      </w:r>
    </w:p>
    <w:p>
      <w:pPr>
        <w:pStyle w:val="91"/>
        <w:keepNext w:val="0"/>
        <w:keepLines w:val="0"/>
        <w:widowControl w:val="0"/>
        <w:shd w:val="clear" w:color="auto" w:fill="auto"/>
        <w:tabs>
          <w:tab w:val="left" w:pos="4770"/>
        </w:tabs>
        <w:bidi w:val="0"/>
        <w:spacing w:before="0" w:after="0" w:line="395" w:lineRule="exact"/>
        <w:ind w:left="0" w:right="0" w:firstLine="580"/>
        <w:jc w:val="left"/>
        <w:rPr>
          <w:color w:val="auto"/>
        </w:rPr>
      </w:pPr>
      <w:r>
        <w:rPr>
          <w:color w:val="auto"/>
          <w:spacing w:val="0"/>
          <w:w w:val="100"/>
          <w:position w:val="0"/>
        </w:rPr>
        <w:t>住所地：</w:t>
      </w:r>
      <w:r>
        <w:rPr>
          <w:color w:val="auto"/>
          <w:u w:val="single"/>
        </w:rPr>
        <w:t xml:space="preserve"> </w:t>
      </w:r>
      <w:r>
        <w:rPr>
          <w:color w:val="auto"/>
          <w:u w:val="single"/>
        </w:rPr>
        <w:tab/>
      </w:r>
    </w:p>
    <w:p>
      <w:pPr>
        <w:pStyle w:val="91"/>
        <w:keepNext w:val="0"/>
        <w:keepLines w:val="0"/>
        <w:widowControl w:val="0"/>
        <w:shd w:val="clear" w:color="auto" w:fill="auto"/>
        <w:tabs>
          <w:tab w:val="left" w:pos="1560"/>
        </w:tabs>
        <w:bidi w:val="0"/>
        <w:spacing w:before="0" w:after="0" w:line="395" w:lineRule="exact"/>
        <w:ind w:left="0" w:right="0" w:firstLine="580"/>
        <w:jc w:val="both"/>
        <w:rPr>
          <w:color w:val="auto"/>
        </w:rPr>
      </w:pPr>
      <w:r>
        <w:rPr>
          <w:color w:val="auto"/>
          <w:spacing w:val="0"/>
          <w:w w:val="100"/>
          <w:position w:val="0"/>
        </w:rPr>
        <w:t>乙方于</w:t>
      </w:r>
      <w:r>
        <w:rPr>
          <w:color w:val="auto"/>
          <w:u w:val="single"/>
        </w:rPr>
        <w:t xml:space="preserve"> </w:t>
      </w:r>
      <w:r>
        <w:rPr>
          <w:color w:val="auto"/>
          <w:u w:val="single"/>
        </w:rPr>
        <w:tab/>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（采购代理机构）</w:t>
      </w:r>
      <w:r>
        <w:rPr>
          <w:color w:val="auto"/>
          <w:spacing w:val="0"/>
          <w:w w:val="100"/>
          <w:position w:val="0"/>
        </w:rPr>
        <w:t>组织的“</w:t>
      </w:r>
      <w:r>
        <w:rPr>
          <w:color w:val="auto"/>
          <w:spacing w:val="0"/>
          <w:w w:val="100"/>
          <w:position w:val="0"/>
          <w:u w:val="single"/>
        </w:rPr>
        <w:t>（项目名称及 项目编号）</w:t>
      </w:r>
      <w:r>
        <w:rPr>
          <w:color w:val="auto"/>
          <w:spacing w:val="0"/>
          <w:w w:val="100"/>
          <w:position w:val="0"/>
        </w:rPr>
        <w:t>”政府采购活动，经评标委员会评审确定乙方为</w:t>
      </w:r>
      <w:r>
        <w:rPr>
          <w:color w:val="auto"/>
          <w:spacing w:val="0"/>
          <w:w w:val="100"/>
          <w:position w:val="0"/>
          <w:u w:val="single"/>
        </w:rPr>
        <w:t>（包及包名称）</w:t>
      </w:r>
      <w:r>
        <w:rPr>
          <w:color w:val="auto"/>
          <w:spacing w:val="0"/>
          <w:w w:val="100"/>
          <w:position w:val="0"/>
        </w:rPr>
        <w:t>中 标人，按照《中华人民共和国民法典》、《中华人民共和国政府釆购法》和相关的 法律法规规定，以及招标文件规定，经甲乙双方协商一致，签订本政府釆购合同。</w:t>
      </w:r>
    </w:p>
    <w:p>
      <w:pPr>
        <w:pStyle w:val="91"/>
        <w:keepNext w:val="0"/>
        <w:keepLines w:val="0"/>
        <w:widowControl w:val="0"/>
        <w:shd w:val="clear" w:color="auto" w:fill="auto"/>
        <w:bidi w:val="0"/>
        <w:spacing w:before="0" w:after="120" w:line="395" w:lineRule="exact"/>
        <w:ind w:left="0" w:right="0" w:firstLine="580"/>
        <w:jc w:val="both"/>
        <w:rPr>
          <w:color w:val="auto"/>
        </w:rPr>
      </w:pPr>
      <w:r>
        <w:rPr>
          <w:color w:val="auto"/>
          <w:spacing w:val="0"/>
          <w:w w:val="100"/>
          <w:position w:val="0"/>
        </w:rPr>
        <w:t>第一条货物条款</w:t>
      </w:r>
    </w:p>
    <w:p>
      <w:pPr>
        <w:pStyle w:val="92"/>
        <w:keepNext w:val="0"/>
        <w:keepLines w:val="0"/>
        <w:widowControl w:val="0"/>
        <w:shd w:val="clear" w:color="auto" w:fill="auto"/>
        <w:bidi w:val="0"/>
        <w:spacing w:before="0" w:after="0" w:line="240" w:lineRule="auto"/>
        <w:ind w:left="600" w:right="0" w:firstLine="0"/>
        <w:jc w:val="left"/>
        <w:rPr>
          <w:color w:val="auto"/>
        </w:rPr>
      </w:pPr>
      <w:r>
        <w:rPr>
          <w:color w:val="auto"/>
          <w:spacing w:val="0"/>
          <w:w w:val="100"/>
          <w:position w:val="0"/>
        </w:rPr>
        <w:t>乙方向甲方提供以下货物</w:t>
      </w:r>
    </w:p>
    <w:tbl>
      <w:tblPr>
        <w:tblStyle w:val="26"/>
        <w:tblW w:w="0" w:type="auto"/>
        <w:jc w:val="center"/>
        <w:tblLayout w:type="fixed"/>
        <w:tblCellMar>
          <w:top w:w="0" w:type="dxa"/>
          <w:left w:w="10" w:type="dxa"/>
          <w:bottom w:w="0" w:type="dxa"/>
          <w:right w:w="10" w:type="dxa"/>
        </w:tblCellMar>
      </w:tblPr>
      <w:tblGrid>
        <w:gridCol w:w="1325"/>
        <w:gridCol w:w="4987"/>
        <w:gridCol w:w="878"/>
        <w:gridCol w:w="878"/>
        <w:gridCol w:w="1195"/>
      </w:tblGrid>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center"/>
          </w:tcPr>
          <w:p>
            <w:pPr>
              <w:pStyle w:val="9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货物名称</w:t>
            </w:r>
          </w:p>
        </w:tc>
        <w:tc>
          <w:tcPr>
            <w:tcBorders>
              <w:top w:val="single" w:color="auto" w:sz="4" w:space="0"/>
              <w:left w:val="single" w:color="auto" w:sz="4" w:space="0"/>
            </w:tcBorders>
            <w:shd w:val="clear" w:color="auto" w:fill="FFFFFF"/>
            <w:vAlign w:val="center"/>
          </w:tcPr>
          <w:p>
            <w:pPr>
              <w:pStyle w:val="9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品牌、规格型号（技术参数）</w:t>
            </w:r>
          </w:p>
        </w:tc>
        <w:tc>
          <w:tcPr>
            <w:tcBorders>
              <w:top w:val="single" w:color="auto" w:sz="4" w:space="0"/>
              <w:left w:val="single" w:color="auto" w:sz="4" w:space="0"/>
            </w:tcBorders>
            <w:shd w:val="clear" w:color="auto" w:fill="FFFFFF"/>
            <w:vAlign w:val="center"/>
          </w:tcPr>
          <w:p>
            <w:pPr>
              <w:pStyle w:val="9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单价</w:t>
            </w:r>
          </w:p>
        </w:tc>
        <w:tc>
          <w:tcPr>
            <w:tcBorders>
              <w:top w:val="single" w:color="auto" w:sz="4" w:space="0"/>
              <w:left w:val="single" w:color="auto" w:sz="4" w:space="0"/>
            </w:tcBorders>
            <w:shd w:val="clear" w:color="auto" w:fill="FFFFFF"/>
            <w:vAlign w:val="center"/>
          </w:tcPr>
          <w:p>
            <w:pPr>
              <w:pStyle w:val="9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数量</w:t>
            </w:r>
          </w:p>
        </w:tc>
        <w:tc>
          <w:tcPr>
            <w:tcBorders>
              <w:top w:val="single" w:color="auto" w:sz="4" w:space="0"/>
              <w:left w:val="single" w:color="auto" w:sz="4" w:space="0"/>
              <w:right w:val="single" w:color="auto" w:sz="4" w:space="0"/>
            </w:tcBorders>
            <w:shd w:val="clear" w:color="auto" w:fill="FFFFFF"/>
            <w:vAlign w:val="center"/>
          </w:tcPr>
          <w:p>
            <w:pPr>
              <w:pStyle w:val="93"/>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小计</w:t>
            </w: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tcBorders>
            <w:shd w:val="clear" w:color="auto" w:fill="FFFFFF"/>
            <w:vAlign w:val="top"/>
          </w:tcPr>
          <w:p>
            <w:pPr>
              <w:widowControl w:val="0"/>
              <w:rPr>
                <w:color w:val="auto"/>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590"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93"/>
              <w:keepNext w:val="0"/>
              <w:keepLines w:val="0"/>
              <w:widowControl w:val="0"/>
              <w:shd w:val="clear" w:color="auto" w:fill="auto"/>
              <w:tabs>
                <w:tab w:val="left" w:pos="826"/>
              </w:tabs>
              <w:bidi w:val="0"/>
              <w:spacing w:before="0" w:after="0" w:line="240" w:lineRule="auto"/>
              <w:ind w:left="0" w:right="0" w:firstLine="0"/>
              <w:jc w:val="center"/>
              <w:rPr>
                <w:color w:val="auto"/>
              </w:rPr>
            </w:pPr>
            <w:r>
              <w:rPr>
                <w:color w:val="auto"/>
                <w:spacing w:val="0"/>
                <w:w w:val="100"/>
                <w:position w:val="0"/>
              </w:rPr>
              <w:t>合</w:t>
            </w:r>
            <w:r>
              <w:rPr>
                <w:color w:val="auto"/>
                <w:spacing w:val="0"/>
                <w:w w:val="100"/>
                <w:position w:val="0"/>
              </w:rPr>
              <w:tab/>
            </w:r>
            <w:r>
              <w:rPr>
                <w:color w:val="auto"/>
                <w:spacing w:val="0"/>
                <w:w w:val="100"/>
                <w:position w:val="0"/>
              </w:rPr>
              <w:t>计</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10"/>
                <w:szCs w:val="10"/>
              </w:rPr>
            </w:pPr>
          </w:p>
        </w:tc>
      </w:tr>
    </w:tbl>
    <w:p>
      <w:pPr>
        <w:pStyle w:val="92"/>
        <w:keepNext w:val="0"/>
        <w:keepLines w:val="0"/>
        <w:widowControl w:val="0"/>
        <w:shd w:val="clear" w:color="auto" w:fill="auto"/>
        <w:bidi w:val="0"/>
        <w:spacing w:before="0" w:after="0"/>
        <w:ind w:left="106" w:right="0" w:firstLine="0"/>
        <w:jc w:val="left"/>
        <w:rPr>
          <w:color w:val="auto"/>
        </w:rPr>
      </w:pPr>
      <w:r>
        <w:rPr>
          <w:color w:val="auto"/>
          <w:spacing w:val="0"/>
          <w:w w:val="100"/>
          <w:position w:val="0"/>
        </w:rPr>
        <w:t>注：如上述表格不适用相关货物的，具体品牌、数量、规格型号（技术参数） 及质保期等可用附件形式列明，作为本合同组成部分。……</w:t>
      </w:r>
    </w:p>
    <w:p>
      <w:pPr>
        <w:pStyle w:val="91"/>
        <w:keepNext w:val="0"/>
        <w:keepLines w:val="0"/>
        <w:widowControl w:val="0"/>
        <w:shd w:val="clear" w:color="auto" w:fill="auto"/>
        <w:bidi w:val="0"/>
        <w:spacing w:before="0" w:after="0" w:line="398" w:lineRule="exact"/>
        <w:ind w:left="0" w:right="0" w:firstLine="580"/>
        <w:jc w:val="both"/>
        <w:rPr>
          <w:color w:val="auto"/>
        </w:rPr>
      </w:pPr>
      <w:r>
        <w:rPr>
          <w:color w:val="auto"/>
          <w:spacing w:val="0"/>
          <w:w w:val="100"/>
          <w:position w:val="0"/>
        </w:rPr>
        <w:t>第二条合同总金额</w:t>
      </w:r>
    </w:p>
    <w:p>
      <w:pPr>
        <w:pStyle w:val="91"/>
        <w:keepNext w:val="0"/>
        <w:keepLines w:val="0"/>
        <w:widowControl w:val="0"/>
        <w:shd w:val="clear" w:color="auto" w:fill="auto"/>
        <w:tabs>
          <w:tab w:val="left" w:pos="5351"/>
          <w:tab w:val="left" w:pos="6762"/>
        </w:tabs>
        <w:bidi w:val="0"/>
        <w:spacing w:before="0" w:after="0" w:line="398" w:lineRule="exact"/>
        <w:ind w:left="0" w:right="0" w:firstLine="580"/>
        <w:jc w:val="left"/>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91"/>
        <w:keepNext w:val="0"/>
        <w:keepLines w:val="0"/>
        <w:widowControl w:val="0"/>
        <w:shd w:val="clear" w:color="auto" w:fill="auto"/>
        <w:bidi w:val="0"/>
        <w:spacing w:before="0" w:after="0" w:line="398" w:lineRule="exact"/>
        <w:ind w:left="0" w:right="0" w:firstLine="580"/>
        <w:jc w:val="left"/>
        <w:rPr>
          <w:color w:val="auto"/>
        </w:rPr>
      </w:pPr>
      <w:r>
        <w:rPr>
          <w:color w:val="auto"/>
          <w:spacing w:val="0"/>
          <w:w w:val="100"/>
          <w:position w:val="0"/>
        </w:rPr>
        <w:t>此价格为合同执行不变价，不因国家政策变化而变化，该价款包括了货物及 与之配套的设计、制造、正版软件、检验、包装、运输、保险、税费以及安装、 组织验收、培训、技术服务（包括技术资料、图纸提供等）、质保期服务等全部价 款，除此之外，甲方不再向乙方支付其他任何费用。</w:t>
      </w:r>
      <w:r>
        <w:rPr>
          <w:color w:val="auto"/>
          <w:spacing w:val="0"/>
          <w:w w:val="100"/>
          <w:position w:val="0"/>
          <w:lang w:val="zh-CN" w:eastAsia="zh-CN" w:bidi="zh-CN"/>
        </w:rPr>
        <w:t>……</w:t>
      </w:r>
    </w:p>
    <w:p>
      <w:pPr>
        <w:pStyle w:val="91"/>
        <w:keepNext w:val="0"/>
        <w:keepLines w:val="0"/>
        <w:widowControl w:val="0"/>
        <w:shd w:val="clear" w:color="auto" w:fill="auto"/>
        <w:bidi w:val="0"/>
        <w:spacing w:before="0" w:after="140" w:line="404" w:lineRule="exact"/>
        <w:ind w:left="0" w:right="0" w:firstLine="520"/>
        <w:jc w:val="left"/>
        <w:rPr>
          <w:color w:val="auto"/>
        </w:rPr>
      </w:pPr>
      <w:r>
        <w:rPr>
          <w:color w:val="auto"/>
          <w:spacing w:val="0"/>
          <w:w w:val="100"/>
          <w:position w:val="0"/>
        </w:rPr>
        <w:t>第三条质量要求及技术标准</w:t>
      </w:r>
    </w:p>
    <w:p>
      <w:pPr>
        <w:pStyle w:val="91"/>
        <w:keepNext w:val="0"/>
        <w:keepLines w:val="0"/>
        <w:widowControl w:val="0"/>
        <w:numPr>
          <w:ilvl w:val="0"/>
          <w:numId w:val="6"/>
        </w:numPr>
        <w:shd w:val="clear" w:color="auto" w:fill="auto"/>
        <w:tabs>
          <w:tab w:val="left" w:pos="850"/>
        </w:tabs>
        <w:bidi w:val="0"/>
        <w:spacing w:before="0" w:after="0" w:line="384" w:lineRule="auto"/>
        <w:ind w:left="0" w:right="0" w:firstLine="520"/>
        <w:jc w:val="left"/>
        <w:rPr>
          <w:color w:val="auto"/>
        </w:rPr>
      </w:pPr>
      <w:bookmarkStart w:id="6" w:name="bookmark11"/>
      <w:bookmarkEnd w:id="6"/>
      <w:r>
        <w:rPr>
          <w:color w:val="auto"/>
          <w:spacing w:val="0"/>
          <w:w w:val="100"/>
          <w:position w:val="0"/>
        </w:rPr>
        <w:t>货物原产地：</w:t>
      </w:r>
    </w:p>
    <w:p>
      <w:pPr>
        <w:pStyle w:val="91"/>
        <w:keepNext w:val="0"/>
        <w:keepLines w:val="0"/>
        <w:widowControl w:val="0"/>
        <w:numPr>
          <w:ilvl w:val="0"/>
          <w:numId w:val="6"/>
        </w:numPr>
        <w:shd w:val="clear" w:color="auto" w:fill="auto"/>
        <w:tabs>
          <w:tab w:val="left" w:pos="864"/>
        </w:tabs>
        <w:bidi w:val="0"/>
        <w:spacing w:before="0" w:after="140" w:line="404" w:lineRule="exact"/>
        <w:ind w:left="0" w:right="0" w:firstLine="520"/>
        <w:jc w:val="left"/>
        <w:rPr>
          <w:color w:val="auto"/>
        </w:rPr>
      </w:pPr>
      <w:bookmarkStart w:id="7" w:name="bookmark12"/>
      <w:bookmarkEnd w:id="7"/>
      <w:r>
        <w:rPr>
          <w:color w:val="auto"/>
          <w:spacing w:val="0"/>
          <w:w w:val="100"/>
          <w:position w:val="0"/>
        </w:rPr>
        <w:t>货物的质量要求：……</w:t>
      </w:r>
    </w:p>
    <w:p>
      <w:pPr>
        <w:pStyle w:val="91"/>
        <w:keepNext w:val="0"/>
        <w:keepLines w:val="0"/>
        <w:widowControl w:val="0"/>
        <w:numPr>
          <w:ilvl w:val="0"/>
          <w:numId w:val="6"/>
        </w:numPr>
        <w:shd w:val="clear" w:color="auto" w:fill="auto"/>
        <w:tabs>
          <w:tab w:val="left" w:pos="864"/>
          <w:tab w:val="left" w:leader="dot" w:pos="3088"/>
        </w:tabs>
        <w:bidi w:val="0"/>
        <w:spacing w:before="0" w:after="0" w:line="384" w:lineRule="auto"/>
        <w:ind w:left="0" w:right="0" w:firstLine="520"/>
        <w:jc w:val="left"/>
        <w:rPr>
          <w:color w:val="auto"/>
        </w:rPr>
      </w:pPr>
      <w:bookmarkStart w:id="8" w:name="bookmark13"/>
      <w:bookmarkEnd w:id="8"/>
      <w:r>
        <w:rPr>
          <w:color w:val="auto"/>
          <w:spacing w:val="0"/>
          <w:w w:val="100"/>
          <w:position w:val="0"/>
        </w:rPr>
        <w:t>货物的技术标准：</w:t>
      </w:r>
      <w:r>
        <w:rPr>
          <w:color w:val="auto"/>
          <w:spacing w:val="0"/>
          <w:w w:val="100"/>
          <w:position w:val="0"/>
          <w:lang w:val="en-US" w:eastAsia="en-US" w:bidi="en-US"/>
        </w:rPr>
        <w:tab/>
      </w:r>
    </w:p>
    <w:p>
      <w:pPr>
        <w:pStyle w:val="91"/>
        <w:keepNext w:val="0"/>
        <w:keepLines w:val="0"/>
        <w:widowControl w:val="0"/>
        <w:shd w:val="clear" w:color="auto" w:fill="auto"/>
        <w:bidi w:val="0"/>
        <w:spacing w:before="0" w:after="140" w:line="404" w:lineRule="exact"/>
        <w:ind w:left="0" w:right="0" w:firstLine="520"/>
        <w:jc w:val="left"/>
        <w:rPr>
          <w:color w:val="auto"/>
        </w:rPr>
      </w:pPr>
      <w:r>
        <w:rPr>
          <w:color w:val="auto"/>
          <w:spacing w:val="0"/>
          <w:w w:val="100"/>
          <w:position w:val="0"/>
        </w:rPr>
        <w:t>第四条交货</w:t>
      </w:r>
    </w:p>
    <w:p>
      <w:pPr>
        <w:pStyle w:val="91"/>
        <w:keepNext w:val="0"/>
        <w:keepLines w:val="0"/>
        <w:widowControl w:val="0"/>
        <w:numPr>
          <w:ilvl w:val="0"/>
          <w:numId w:val="7"/>
        </w:numPr>
        <w:shd w:val="clear" w:color="auto" w:fill="auto"/>
        <w:tabs>
          <w:tab w:val="left" w:pos="850"/>
        </w:tabs>
        <w:bidi w:val="0"/>
        <w:spacing w:before="0" w:after="0" w:line="384" w:lineRule="auto"/>
        <w:ind w:left="0" w:right="0" w:firstLine="520"/>
        <w:jc w:val="left"/>
        <w:rPr>
          <w:color w:val="auto"/>
        </w:rPr>
      </w:pPr>
      <w:bookmarkStart w:id="9" w:name="bookmark14"/>
      <w:bookmarkEnd w:id="9"/>
      <w:r>
        <w:rPr>
          <w:color w:val="auto"/>
          <w:spacing w:val="0"/>
          <w:w w:val="100"/>
          <w:position w:val="0"/>
        </w:rPr>
        <w:t>交货日期：</w:t>
      </w:r>
    </w:p>
    <w:p>
      <w:pPr>
        <w:pStyle w:val="91"/>
        <w:keepNext w:val="0"/>
        <w:keepLines w:val="0"/>
        <w:widowControl w:val="0"/>
        <w:numPr>
          <w:ilvl w:val="0"/>
          <w:numId w:val="7"/>
        </w:numPr>
        <w:shd w:val="clear" w:color="auto" w:fill="auto"/>
        <w:tabs>
          <w:tab w:val="left" w:pos="869"/>
          <w:tab w:val="left" w:leader="dot" w:pos="2378"/>
        </w:tabs>
        <w:bidi w:val="0"/>
        <w:spacing w:before="0" w:after="0" w:line="384" w:lineRule="auto"/>
        <w:ind w:left="0" w:right="0" w:firstLine="520"/>
        <w:jc w:val="left"/>
        <w:rPr>
          <w:color w:val="auto"/>
        </w:rPr>
      </w:pPr>
      <w:bookmarkStart w:id="10" w:name="bookmark15"/>
      <w:bookmarkEnd w:id="10"/>
      <w:r>
        <w:rPr>
          <w:color w:val="auto"/>
          <w:spacing w:val="0"/>
          <w:w w:val="100"/>
          <w:position w:val="0"/>
        </w:rPr>
        <w:t>交货地点：</w:t>
      </w:r>
      <w:r>
        <w:rPr>
          <w:color w:val="auto"/>
          <w:spacing w:val="0"/>
          <w:w w:val="100"/>
          <w:position w:val="0"/>
          <w:lang w:val="en-US" w:eastAsia="en-US" w:bidi="en-US"/>
        </w:rPr>
        <w:tab/>
      </w:r>
    </w:p>
    <w:p>
      <w:pPr>
        <w:pStyle w:val="91"/>
        <w:keepNext w:val="0"/>
        <w:keepLines w:val="0"/>
        <w:widowControl w:val="0"/>
        <w:shd w:val="clear" w:color="auto" w:fill="auto"/>
        <w:bidi w:val="0"/>
        <w:spacing w:before="0" w:after="0" w:line="394" w:lineRule="exact"/>
        <w:ind w:left="0" w:right="0" w:firstLine="520"/>
        <w:jc w:val="left"/>
        <w:rPr>
          <w:color w:val="auto"/>
        </w:rPr>
      </w:pPr>
      <w:r>
        <w:rPr>
          <w:color w:val="auto"/>
          <w:spacing w:val="0"/>
          <w:w w:val="100"/>
          <w:position w:val="0"/>
        </w:rPr>
        <w:t>第五条包装、装运及运输</w:t>
      </w:r>
    </w:p>
    <w:p>
      <w:pPr>
        <w:pStyle w:val="91"/>
        <w:keepNext w:val="0"/>
        <w:keepLines w:val="0"/>
        <w:widowControl w:val="0"/>
        <w:numPr>
          <w:ilvl w:val="0"/>
          <w:numId w:val="8"/>
        </w:numPr>
        <w:shd w:val="clear" w:color="auto" w:fill="auto"/>
        <w:tabs>
          <w:tab w:val="left" w:pos="814"/>
        </w:tabs>
        <w:bidi w:val="0"/>
        <w:spacing w:before="0" w:after="0" w:line="394" w:lineRule="exact"/>
        <w:ind w:left="0" w:right="0" w:firstLine="520"/>
        <w:jc w:val="both"/>
        <w:rPr>
          <w:color w:val="auto"/>
        </w:rPr>
      </w:pPr>
      <w:bookmarkStart w:id="11" w:name="bookmark16"/>
      <w:bookmarkEnd w:id="11"/>
      <w:r>
        <w:rPr>
          <w:color w:val="auto"/>
          <w:spacing w:val="0"/>
          <w:w w:val="100"/>
          <w:position w:val="0"/>
        </w:rPr>
        <w:t>乙方负责包装、装运和运输，由于不适当的包装、装运和运输造成货物有 任何损坏均由乙方负责。</w:t>
      </w:r>
    </w:p>
    <w:p>
      <w:pPr>
        <w:pStyle w:val="91"/>
        <w:keepNext w:val="0"/>
        <w:keepLines w:val="0"/>
        <w:widowControl w:val="0"/>
        <w:numPr>
          <w:ilvl w:val="0"/>
          <w:numId w:val="8"/>
        </w:numPr>
        <w:shd w:val="clear" w:color="auto" w:fill="auto"/>
        <w:tabs>
          <w:tab w:val="left" w:pos="869"/>
        </w:tabs>
        <w:bidi w:val="0"/>
        <w:spacing w:before="0" w:after="0" w:line="394" w:lineRule="exact"/>
        <w:ind w:left="0" w:right="0" w:firstLine="520"/>
        <w:jc w:val="left"/>
        <w:rPr>
          <w:color w:val="auto"/>
        </w:rPr>
      </w:pPr>
      <w:bookmarkStart w:id="12" w:name="bookmark17"/>
      <w:bookmarkEnd w:id="12"/>
      <w:r>
        <w:rPr>
          <w:color w:val="auto"/>
          <w:spacing w:val="0"/>
          <w:w w:val="100"/>
          <w:position w:val="0"/>
        </w:rPr>
        <w:t>包装费、运费及相关费用已包含在合同总金额内。</w:t>
      </w:r>
    </w:p>
    <w:p>
      <w:pPr>
        <w:pStyle w:val="91"/>
        <w:keepNext w:val="0"/>
        <w:keepLines w:val="0"/>
        <w:widowControl w:val="0"/>
        <w:numPr>
          <w:ilvl w:val="0"/>
          <w:numId w:val="8"/>
        </w:numPr>
        <w:shd w:val="clear" w:color="auto" w:fill="auto"/>
        <w:tabs>
          <w:tab w:val="left" w:pos="819"/>
        </w:tabs>
        <w:bidi w:val="0"/>
        <w:spacing w:before="0" w:after="0" w:line="394" w:lineRule="exact"/>
        <w:ind w:left="0" w:right="0" w:firstLine="520"/>
        <w:jc w:val="left"/>
        <w:rPr>
          <w:color w:val="auto"/>
        </w:rPr>
      </w:pPr>
      <w:bookmarkStart w:id="13" w:name="bookmark18"/>
      <w:bookmarkEnd w:id="13"/>
      <w:r>
        <w:rPr>
          <w:color w:val="auto"/>
          <w:spacing w:val="0"/>
          <w:w w:val="100"/>
          <w:position w:val="0"/>
        </w:rPr>
        <w:t>根据财政部等三部门《关于印发〈商品包装政府采购需求标准（试行）＞、＜ 快递包装政府采购需求标准（试行）〉的通知》规定，对乙方提出的具体包装要求:</w:t>
      </w:r>
    </w:p>
    <w:p>
      <w:pPr>
        <w:pStyle w:val="91"/>
        <w:keepNext w:val="0"/>
        <w:keepLines w:val="0"/>
        <w:widowControl w:val="0"/>
        <w:shd w:val="clear" w:color="auto" w:fill="auto"/>
        <w:bidi w:val="0"/>
        <w:spacing w:before="0" w:after="0" w:line="404" w:lineRule="exact"/>
        <w:ind w:left="0" w:right="0" w:firstLine="520"/>
        <w:jc w:val="left"/>
        <w:rPr>
          <w:color w:val="auto"/>
        </w:rPr>
      </w:pPr>
      <w:r>
        <w:rPr>
          <w:color w:val="auto"/>
          <w:spacing w:val="0"/>
          <w:w w:val="100"/>
          <w:position w:val="0"/>
        </w:rPr>
        <w:t>第六条货款支付</w:t>
      </w:r>
    </w:p>
    <w:p>
      <w:pPr>
        <w:pStyle w:val="91"/>
        <w:keepNext w:val="0"/>
        <w:keepLines w:val="0"/>
        <w:widowControl w:val="0"/>
        <w:numPr>
          <w:ilvl w:val="0"/>
          <w:numId w:val="9"/>
        </w:numPr>
        <w:shd w:val="clear" w:color="auto" w:fill="auto"/>
        <w:tabs>
          <w:tab w:val="left" w:pos="810"/>
        </w:tabs>
        <w:bidi w:val="0"/>
        <w:spacing w:before="0" w:after="0" w:line="404" w:lineRule="exact"/>
        <w:ind w:left="0" w:right="0" w:firstLine="520"/>
        <w:jc w:val="both"/>
        <w:rPr>
          <w:color w:val="auto"/>
        </w:rPr>
      </w:pPr>
      <w:bookmarkStart w:id="14" w:name="bookmark19"/>
      <w:bookmarkEnd w:id="14"/>
      <w:r>
        <w:rPr>
          <w:color w:val="auto"/>
          <w:spacing w:val="0"/>
          <w:w w:val="100"/>
          <w:position w:val="0"/>
        </w:rPr>
        <w:t>货物运到交货地点，经甲乙双方共同验收合格后由甲方负责办理货款支付 手续。</w:t>
      </w:r>
    </w:p>
    <w:p>
      <w:pPr>
        <w:pStyle w:val="91"/>
        <w:keepNext w:val="0"/>
        <w:keepLines w:val="0"/>
        <w:widowControl w:val="0"/>
        <w:numPr>
          <w:ilvl w:val="0"/>
          <w:numId w:val="9"/>
        </w:numPr>
        <w:shd w:val="clear" w:color="auto" w:fill="auto"/>
        <w:tabs>
          <w:tab w:val="left" w:pos="800"/>
        </w:tabs>
        <w:bidi w:val="0"/>
        <w:spacing w:before="0" w:after="140" w:line="404" w:lineRule="exact"/>
        <w:ind w:left="0" w:right="0" w:firstLine="520"/>
        <w:jc w:val="both"/>
        <w:rPr>
          <w:color w:val="auto"/>
        </w:rPr>
      </w:pPr>
      <w:bookmarkStart w:id="15" w:name="bookmark20"/>
      <w:bookmarkEnd w:id="15"/>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 资金，并不得附加未经约定的其他条件。</w:t>
      </w:r>
    </w:p>
    <w:p>
      <w:pPr>
        <w:pStyle w:val="91"/>
        <w:keepNext w:val="0"/>
        <w:keepLines w:val="0"/>
        <w:widowControl w:val="0"/>
        <w:numPr>
          <w:ilvl w:val="0"/>
          <w:numId w:val="9"/>
        </w:numPr>
        <w:shd w:val="clear" w:color="auto" w:fill="auto"/>
        <w:tabs>
          <w:tab w:val="left" w:pos="869"/>
        </w:tabs>
        <w:bidi w:val="0"/>
        <w:spacing w:before="0" w:after="0" w:line="384" w:lineRule="auto"/>
        <w:ind w:left="0" w:right="0" w:firstLine="520"/>
        <w:jc w:val="left"/>
        <w:rPr>
          <w:color w:val="auto"/>
        </w:rPr>
      </w:pPr>
      <w:bookmarkStart w:id="16" w:name="bookmark21"/>
      <w:bookmarkEnd w:id="16"/>
      <w:r>
        <w:rPr>
          <w:color w:val="auto"/>
          <w:spacing w:val="0"/>
          <w:w w:val="100"/>
          <w:position w:val="0"/>
        </w:rPr>
        <w:t>付款方式</w:t>
      </w:r>
    </w:p>
    <w:p>
      <w:pPr>
        <w:pStyle w:val="91"/>
        <w:keepNext w:val="0"/>
        <w:keepLines w:val="0"/>
        <w:widowControl w:val="0"/>
        <w:shd w:val="clear" w:color="auto" w:fill="auto"/>
        <w:bidi w:val="0"/>
        <w:spacing w:before="0" w:after="0" w:line="404" w:lineRule="exact"/>
        <w:ind w:left="0" w:right="0" w:firstLine="52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color w:val="auto"/>
          <w:spacing w:val="0"/>
          <w:w w:val="100"/>
          <w:position w:val="0"/>
          <w:lang w:val="zh-CN" w:eastAsia="zh-CN" w:bidi="zh-CN"/>
        </w:rPr>
        <w:t>—</w:t>
      </w:r>
      <w:r>
        <w:rPr>
          <w:color w:val="auto"/>
          <w:spacing w:val="0"/>
          <w:w w:val="100"/>
          <w:position w:val="0"/>
        </w:rPr>
        <w:t>％,于政府釆购合同签订生效并具备实施条件后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 工作日内支付。</w:t>
      </w:r>
    </w:p>
    <w:p>
      <w:pPr>
        <w:pStyle w:val="91"/>
        <w:keepNext w:val="0"/>
        <w:keepLines w:val="0"/>
        <w:widowControl w:val="0"/>
        <w:shd w:val="clear" w:color="auto" w:fill="auto"/>
        <w:bidi w:val="0"/>
        <w:spacing w:before="0" w:after="0" w:line="404" w:lineRule="exact"/>
        <w:ind w:left="0" w:right="0" w:firstLine="520"/>
        <w:jc w:val="left"/>
        <w:rPr>
          <w:color w:val="auto"/>
        </w:rPr>
      </w:pPr>
      <w:r>
        <w:rPr>
          <w:color w:val="auto"/>
          <w:spacing w:val="0"/>
          <w:w w:val="100"/>
          <w:position w:val="0"/>
        </w:rPr>
        <w:t>第七条履约保证金</w:t>
      </w:r>
    </w:p>
    <w:p>
      <w:pPr>
        <w:pStyle w:val="91"/>
        <w:keepNext w:val="0"/>
        <w:keepLines w:val="0"/>
        <w:widowControl w:val="0"/>
        <w:shd w:val="clear" w:color="auto" w:fill="auto"/>
        <w:bidi w:val="0"/>
        <w:spacing w:before="0" w:after="0" w:line="404" w:lineRule="exact"/>
        <w:ind w:left="0" w:right="0" w:firstLine="520"/>
        <w:jc w:val="left"/>
        <w:rPr>
          <w:color w:val="auto"/>
        </w:rPr>
      </w:pPr>
      <w:r>
        <w:rPr>
          <w:color w:val="auto"/>
          <w:spacing w:val="0"/>
          <w:w w:val="100"/>
          <w:position w:val="0"/>
        </w:rPr>
        <w:t>根据许昌市优化政府釆购营商环境要求，项目不收取履约保证金。</w:t>
      </w:r>
    </w:p>
    <w:p>
      <w:pPr>
        <w:pStyle w:val="91"/>
        <w:keepNext w:val="0"/>
        <w:keepLines w:val="0"/>
        <w:widowControl w:val="0"/>
        <w:shd w:val="clear" w:color="auto" w:fill="auto"/>
        <w:bidi w:val="0"/>
        <w:spacing w:before="0" w:after="0" w:line="404" w:lineRule="exact"/>
        <w:ind w:left="0" w:right="0" w:firstLine="520"/>
        <w:jc w:val="left"/>
        <w:rPr>
          <w:color w:val="auto"/>
        </w:rPr>
      </w:pPr>
      <w:r>
        <w:rPr>
          <w:color w:val="auto"/>
          <w:spacing w:val="0"/>
          <w:w w:val="100"/>
          <w:position w:val="0"/>
        </w:rPr>
        <w:t>第八条售后服务及承诺</w:t>
      </w:r>
    </w:p>
    <w:p>
      <w:pPr>
        <w:pStyle w:val="91"/>
        <w:keepNext w:val="0"/>
        <w:keepLines w:val="0"/>
        <w:widowControl w:val="0"/>
        <w:numPr>
          <w:ilvl w:val="0"/>
          <w:numId w:val="10"/>
        </w:numPr>
        <w:shd w:val="clear" w:color="auto" w:fill="auto"/>
        <w:tabs>
          <w:tab w:val="left" w:pos="854"/>
        </w:tabs>
        <w:bidi w:val="0"/>
        <w:spacing w:before="0" w:after="0" w:line="404" w:lineRule="exact"/>
        <w:ind w:left="0" w:right="0" w:firstLine="520"/>
        <w:jc w:val="left"/>
        <w:rPr>
          <w:color w:val="auto"/>
        </w:rPr>
      </w:pPr>
      <w:bookmarkStart w:id="17" w:name="bookmark22"/>
      <w:bookmarkEnd w:id="17"/>
      <w:r>
        <w:rPr>
          <w:color w:val="auto"/>
          <w:spacing w:val="0"/>
          <w:w w:val="100"/>
          <w:position w:val="0"/>
        </w:rPr>
        <w:t>乙方有完善的服务体系，有能力提供持续的、本地化售后服务。</w:t>
      </w:r>
    </w:p>
    <w:p>
      <w:pPr>
        <w:pStyle w:val="91"/>
        <w:keepNext w:val="0"/>
        <w:keepLines w:val="0"/>
        <w:widowControl w:val="0"/>
        <w:numPr>
          <w:ilvl w:val="0"/>
          <w:numId w:val="10"/>
        </w:numPr>
        <w:shd w:val="clear" w:color="auto" w:fill="auto"/>
        <w:tabs>
          <w:tab w:val="left" w:pos="810"/>
        </w:tabs>
        <w:bidi w:val="0"/>
        <w:spacing w:before="0" w:after="0" w:line="404" w:lineRule="exact"/>
        <w:ind w:left="0" w:right="0" w:firstLine="520"/>
        <w:jc w:val="both"/>
        <w:rPr>
          <w:color w:val="auto"/>
        </w:rPr>
      </w:pPr>
      <w:bookmarkStart w:id="18" w:name="bookmark23"/>
      <w:bookmarkEnd w:id="18"/>
      <w:r>
        <w:rPr>
          <w:color w:val="auto"/>
          <w:spacing w:val="0"/>
          <w:w w:val="100"/>
          <w:position w:val="0"/>
        </w:rPr>
        <w:t>乙方负责系统安装和调试以及操作人员培训，并制定详细的培训计划，使 操作人员能独立进行管理、操作、维护和故障处理等工作，做好相关记录及技术 文档收集整理，待验收合格后移交给甲方。</w:t>
      </w:r>
    </w:p>
    <w:p>
      <w:pPr>
        <w:pStyle w:val="91"/>
        <w:keepNext w:val="0"/>
        <w:keepLines w:val="0"/>
        <w:widowControl w:val="0"/>
        <w:numPr>
          <w:ilvl w:val="0"/>
          <w:numId w:val="10"/>
        </w:numPr>
        <w:shd w:val="clear" w:color="auto" w:fill="auto"/>
        <w:tabs>
          <w:tab w:val="left" w:pos="800"/>
        </w:tabs>
        <w:bidi w:val="0"/>
        <w:spacing w:before="0" w:after="0" w:line="404" w:lineRule="exact"/>
        <w:ind w:left="0" w:right="0" w:firstLine="520"/>
        <w:jc w:val="both"/>
        <w:rPr>
          <w:color w:val="auto"/>
        </w:rPr>
      </w:pPr>
      <w:bookmarkStart w:id="19" w:name="bookmark24"/>
      <w:bookmarkEnd w:id="19"/>
      <w:r>
        <w:rPr>
          <w:color w:val="auto"/>
          <w:spacing w:val="0"/>
          <w:w w:val="100"/>
          <w:position w:val="0"/>
        </w:rPr>
        <w:t>供货及服务范围：乙方负责货物的供应、运输、安装调试、免裝培训、售 后服务。</w:t>
      </w:r>
    </w:p>
    <w:p>
      <w:pPr>
        <w:pStyle w:val="91"/>
        <w:keepNext w:val="0"/>
        <w:keepLines w:val="0"/>
        <w:widowControl w:val="0"/>
        <w:shd w:val="clear" w:color="auto" w:fill="auto"/>
        <w:bidi w:val="0"/>
        <w:spacing w:before="0" w:after="0" w:line="404" w:lineRule="exact"/>
        <w:ind w:left="0" w:right="0" w:firstLine="520"/>
        <w:jc w:val="left"/>
        <w:rPr>
          <w:color w:val="auto"/>
        </w:rPr>
      </w:pPr>
      <w:r>
        <w:rPr>
          <w:color w:val="auto"/>
          <w:spacing w:val="0"/>
          <w:w w:val="100"/>
          <w:position w:val="0"/>
        </w:rPr>
        <w:t>第九条验收</w:t>
      </w:r>
    </w:p>
    <w:p>
      <w:pPr>
        <w:pStyle w:val="91"/>
        <w:keepNext w:val="0"/>
        <w:keepLines w:val="0"/>
        <w:widowControl w:val="0"/>
        <w:shd w:val="clear" w:color="auto" w:fill="auto"/>
        <w:bidi w:val="0"/>
        <w:spacing w:before="0" w:after="0" w:line="404" w:lineRule="exact"/>
        <w:ind w:left="0" w:right="0" w:firstLine="520"/>
        <w:jc w:val="both"/>
        <w:rPr>
          <w:color w:val="auto"/>
        </w:rPr>
        <w:sectPr>
          <w:footerReference r:id="rId6" w:type="default"/>
          <w:footnotePr>
            <w:numFmt w:val="decimal"/>
          </w:footnotePr>
          <w:pgSz w:w="11900" w:h="16840"/>
          <w:pgMar w:top="1542" w:right="989" w:bottom="1349" w:left="1648" w:header="1114" w:footer="992" w:gutter="0"/>
          <w:pgNumType w:fmt="decimal" w:start="1"/>
          <w:cols w:space="0" w:num="1"/>
          <w:rtlGutter w:val="0"/>
          <w:docGrid w:linePitch="360" w:charSpace="0"/>
        </w:sectPr>
      </w:pPr>
      <w:r>
        <w:rPr>
          <w:rFonts w:ascii="Times New Roman" w:hAnsi="Times New Roman" w:eastAsia="Times New Roman" w:cs="Times New Roman"/>
          <w:color w:val="auto"/>
          <w:spacing w:val="0"/>
          <w:w w:val="100"/>
          <w:position w:val="0"/>
        </w:rPr>
        <w:t>1</w:t>
      </w:r>
      <w:r>
        <w:rPr>
          <w:color w:val="auto"/>
          <w:spacing w:val="0"/>
          <w:w w:val="100"/>
          <w:position w:val="0"/>
        </w:rPr>
        <w:t>.货物运抵现场后，釆购人将对货物数量、质量、规格等进行检验。如发现 货物和规格或者两者都与合同不符，釆购人有权限根据检验结果要求中标人立即 更换或者提出索赔要求。</w:t>
      </w:r>
    </w:p>
    <w:p>
      <w:pPr>
        <w:pStyle w:val="91"/>
        <w:keepNext w:val="0"/>
        <w:keepLines w:val="0"/>
        <w:widowControl w:val="0"/>
        <w:numPr>
          <w:ilvl w:val="0"/>
          <w:numId w:val="11"/>
        </w:numPr>
        <w:shd w:val="clear" w:color="auto" w:fill="auto"/>
        <w:tabs>
          <w:tab w:val="left" w:pos="934"/>
        </w:tabs>
        <w:bidi w:val="0"/>
        <w:spacing w:before="0" w:after="0" w:line="402" w:lineRule="exact"/>
        <w:ind w:left="0" w:right="0" w:firstLine="580"/>
        <w:jc w:val="both"/>
        <w:rPr>
          <w:color w:val="auto"/>
        </w:rPr>
      </w:pPr>
      <w:bookmarkStart w:id="20" w:name="bookmark25"/>
      <w:bookmarkEnd w:id="20"/>
      <w:r>
        <w:rPr>
          <w:color w:val="auto"/>
          <w:spacing w:val="0"/>
          <w:w w:val="100"/>
          <w:position w:val="0"/>
        </w:rPr>
        <w:t>开箱检查设备外观，如有损伤或质量缺陷，乙方应及时更换。</w:t>
      </w:r>
    </w:p>
    <w:p>
      <w:pPr>
        <w:pStyle w:val="91"/>
        <w:keepNext w:val="0"/>
        <w:keepLines w:val="0"/>
        <w:widowControl w:val="0"/>
        <w:numPr>
          <w:ilvl w:val="0"/>
          <w:numId w:val="11"/>
        </w:numPr>
        <w:shd w:val="clear" w:color="auto" w:fill="auto"/>
        <w:tabs>
          <w:tab w:val="left" w:pos="829"/>
        </w:tabs>
        <w:bidi w:val="0"/>
        <w:spacing w:before="0" w:after="0" w:line="402" w:lineRule="exact"/>
        <w:ind w:left="0" w:right="0" w:firstLine="580"/>
        <w:jc w:val="both"/>
        <w:rPr>
          <w:color w:val="auto"/>
        </w:rPr>
      </w:pPr>
      <w:bookmarkStart w:id="21" w:name="bookmark26"/>
      <w:bookmarkEnd w:id="21"/>
      <w:r>
        <w:rPr>
          <w:color w:val="auto"/>
          <w:spacing w:val="0"/>
          <w:w w:val="100"/>
          <w:position w:val="0"/>
        </w:rPr>
        <w:t>依据合同设备清单，对设备品牌、规格型号（技术参数）、数量、质保书等 必备附件进行检查。</w:t>
      </w:r>
    </w:p>
    <w:p>
      <w:pPr>
        <w:pStyle w:val="91"/>
        <w:keepNext w:val="0"/>
        <w:keepLines w:val="0"/>
        <w:widowControl w:val="0"/>
        <w:numPr>
          <w:ilvl w:val="0"/>
          <w:numId w:val="11"/>
        </w:numPr>
        <w:shd w:val="clear" w:color="auto" w:fill="auto"/>
        <w:tabs>
          <w:tab w:val="left" w:pos="834"/>
        </w:tabs>
        <w:bidi w:val="0"/>
        <w:spacing w:before="0" w:after="0" w:line="402" w:lineRule="exact"/>
        <w:ind w:left="0" w:right="0" w:firstLine="580"/>
        <w:jc w:val="both"/>
        <w:rPr>
          <w:color w:val="auto"/>
        </w:rPr>
      </w:pPr>
      <w:bookmarkStart w:id="22" w:name="bookmark27"/>
      <w:bookmarkEnd w:id="22"/>
      <w:r>
        <w:rPr>
          <w:color w:val="auto"/>
          <w:spacing w:val="0"/>
          <w:w w:val="100"/>
          <w:position w:val="0"/>
        </w:rPr>
        <w:t>货物由中标人进行安装，完毕后，釆购人应对货物的数量、质量、规格、 性能等进行详细而全面的检验。在收到乙方项目验收建议之日起</w:t>
      </w:r>
      <w:r>
        <w:rPr>
          <w:rFonts w:ascii="Times New Roman" w:hAnsi="Times New Roman" w:eastAsia="Times New Roman" w:cs="Times New Roman"/>
          <w:color w:val="auto"/>
          <w:spacing w:val="0"/>
          <w:w w:val="100"/>
          <w:position w:val="0"/>
        </w:rPr>
        <w:t>7</w:t>
      </w:r>
      <w:r>
        <w:rPr>
          <w:color w:val="auto"/>
          <w:spacing w:val="0"/>
          <w:w w:val="100"/>
          <w:position w:val="0"/>
        </w:rPr>
        <w:t>个工作日内， 对釆购项目进行实质性验收（验收建议有明显不当的除外）。</w:t>
      </w:r>
    </w:p>
    <w:p>
      <w:pPr>
        <w:pStyle w:val="91"/>
        <w:keepNext w:val="0"/>
        <w:keepLines w:val="0"/>
        <w:widowControl w:val="0"/>
        <w:numPr>
          <w:ilvl w:val="0"/>
          <w:numId w:val="11"/>
        </w:numPr>
        <w:shd w:val="clear" w:color="auto" w:fill="auto"/>
        <w:tabs>
          <w:tab w:val="left" w:pos="838"/>
        </w:tabs>
        <w:bidi w:val="0"/>
        <w:spacing w:before="0" w:after="0" w:line="402" w:lineRule="exact"/>
        <w:ind w:left="0" w:right="0" w:firstLine="580"/>
        <w:jc w:val="both"/>
        <w:rPr>
          <w:color w:val="auto"/>
        </w:rPr>
      </w:pPr>
      <w:bookmarkStart w:id="23" w:name="bookmark28"/>
      <w:bookmarkEnd w:id="23"/>
      <w:r>
        <w:rPr>
          <w:color w:val="auto"/>
          <w:spacing w:val="0"/>
          <w:w w:val="100"/>
          <w:position w:val="0"/>
        </w:rPr>
        <w:t>对大型或复杂的政府釆购项目，以及特种设备，甲方应当邀请国家认可的 质量检测机构参与验收工作，并出具验收报告，相关费用负担由甲乙双方约定， 履约验收报告应当依法依规及时在青岛市政府采购网公开发布。</w:t>
      </w:r>
    </w:p>
    <w:p>
      <w:pPr>
        <w:pStyle w:val="91"/>
        <w:keepNext w:val="0"/>
        <w:keepLines w:val="0"/>
        <w:widowControl w:val="0"/>
        <w:numPr>
          <w:ilvl w:val="0"/>
          <w:numId w:val="11"/>
        </w:numPr>
        <w:shd w:val="clear" w:color="auto" w:fill="auto"/>
        <w:tabs>
          <w:tab w:val="left" w:pos="838"/>
          <w:tab w:val="left" w:pos="5851"/>
        </w:tabs>
        <w:bidi w:val="0"/>
        <w:spacing w:before="0" w:after="0" w:line="403" w:lineRule="exact"/>
        <w:ind w:left="0" w:right="0" w:firstLine="580"/>
        <w:jc w:val="both"/>
        <w:rPr>
          <w:color w:val="auto"/>
        </w:rPr>
      </w:pPr>
      <w:bookmarkStart w:id="24" w:name="bookmark29"/>
      <w:bookmarkEnd w:id="24"/>
      <w:r>
        <w:rPr>
          <w:color w:val="auto"/>
          <w:spacing w:val="0"/>
          <w:w w:val="100"/>
          <w:position w:val="0"/>
        </w:rPr>
        <w:t>根据财政部等三部门《关于印发〈商品包装政府釆购需求标准（试行）〉、＜ 快递包装政府采购需求标准（试行）＞的通知》规定，采购文件对商品包装和快递 包装提出具体要求的，对乙方所提供包装的履约验收要求（必要时要求乙方在履 约验收环节出具检测报告）：</w:t>
      </w:r>
      <w:r>
        <w:rPr>
          <w:color w:val="auto"/>
          <w:u w:val="single"/>
        </w:rPr>
        <w:t xml:space="preserve"> </w:t>
      </w:r>
      <w:r>
        <w:rPr>
          <w:color w:val="auto"/>
          <w:u w:val="single"/>
        </w:rPr>
        <w:tab/>
      </w:r>
    </w:p>
    <w:p>
      <w:pPr>
        <w:pStyle w:val="91"/>
        <w:keepNext w:val="0"/>
        <w:keepLines w:val="0"/>
        <w:widowControl w:val="0"/>
        <w:shd w:val="clear" w:color="auto" w:fill="auto"/>
        <w:bidi w:val="0"/>
        <w:spacing w:before="0" w:after="0" w:line="403" w:lineRule="exact"/>
        <w:ind w:left="0" w:right="0" w:firstLine="580"/>
        <w:jc w:val="both"/>
        <w:rPr>
          <w:color w:val="auto"/>
        </w:rPr>
      </w:pPr>
      <w:r>
        <w:rPr>
          <w:color w:val="auto"/>
          <w:spacing w:val="0"/>
          <w:w w:val="100"/>
          <w:position w:val="0"/>
        </w:rPr>
        <w:t>第十条 权利瑕疵担当</w:t>
      </w:r>
    </w:p>
    <w:p>
      <w:pPr>
        <w:pStyle w:val="91"/>
        <w:keepNext w:val="0"/>
        <w:keepLines w:val="0"/>
        <w:widowControl w:val="0"/>
        <w:numPr>
          <w:ilvl w:val="0"/>
          <w:numId w:val="12"/>
        </w:numPr>
        <w:shd w:val="clear" w:color="auto" w:fill="auto"/>
        <w:tabs>
          <w:tab w:val="left" w:pos="919"/>
        </w:tabs>
        <w:bidi w:val="0"/>
        <w:spacing w:before="0" w:after="0" w:line="403" w:lineRule="exact"/>
        <w:ind w:left="0" w:right="0" w:firstLine="580"/>
        <w:jc w:val="left"/>
        <w:rPr>
          <w:color w:val="auto"/>
        </w:rPr>
      </w:pPr>
      <w:bookmarkStart w:id="25" w:name="bookmark30"/>
      <w:bookmarkEnd w:id="25"/>
      <w:r>
        <w:rPr>
          <w:color w:val="auto"/>
          <w:spacing w:val="0"/>
          <w:w w:val="100"/>
          <w:position w:val="0"/>
        </w:rPr>
        <w:t>乙方保证对其出售的标的物享有合法的权利；</w:t>
      </w:r>
    </w:p>
    <w:p>
      <w:pPr>
        <w:pStyle w:val="91"/>
        <w:keepNext w:val="0"/>
        <w:keepLines w:val="0"/>
        <w:widowControl w:val="0"/>
        <w:numPr>
          <w:ilvl w:val="0"/>
          <w:numId w:val="12"/>
        </w:numPr>
        <w:shd w:val="clear" w:color="auto" w:fill="auto"/>
        <w:tabs>
          <w:tab w:val="left" w:pos="834"/>
        </w:tabs>
        <w:bidi w:val="0"/>
        <w:spacing w:before="0" w:after="0" w:line="403" w:lineRule="exact"/>
        <w:ind w:left="0" w:right="0" w:firstLine="580"/>
        <w:jc w:val="left"/>
        <w:rPr>
          <w:color w:val="auto"/>
        </w:rPr>
      </w:pPr>
      <w:bookmarkStart w:id="26" w:name="bookmark31"/>
      <w:bookmarkEnd w:id="26"/>
      <w:r>
        <w:rPr>
          <w:color w:val="auto"/>
          <w:spacing w:val="0"/>
          <w:w w:val="100"/>
          <w:position w:val="0"/>
        </w:rPr>
        <w:t>乙方应保证在其出售的标的物上不存在任何未曾向甲方透露的担保物权， 如抵押权、质押权、留置权等；</w:t>
      </w:r>
    </w:p>
    <w:p>
      <w:pPr>
        <w:pStyle w:val="91"/>
        <w:keepNext w:val="0"/>
        <w:keepLines w:val="0"/>
        <w:widowControl w:val="0"/>
        <w:numPr>
          <w:ilvl w:val="0"/>
          <w:numId w:val="12"/>
        </w:numPr>
        <w:shd w:val="clear" w:color="auto" w:fill="auto"/>
        <w:tabs>
          <w:tab w:val="left" w:pos="829"/>
        </w:tabs>
        <w:bidi w:val="0"/>
        <w:spacing w:before="0" w:after="0" w:line="403" w:lineRule="exact"/>
        <w:ind w:left="0" w:right="0" w:firstLine="580"/>
        <w:jc w:val="left"/>
        <w:rPr>
          <w:color w:val="auto"/>
        </w:rPr>
      </w:pPr>
      <w:bookmarkStart w:id="27" w:name="bookmark32"/>
      <w:bookmarkEnd w:id="27"/>
      <w:r>
        <w:rPr>
          <w:color w:val="auto"/>
          <w:spacing w:val="0"/>
          <w:w w:val="100"/>
          <w:position w:val="0"/>
        </w:rPr>
        <w:t>乙方应保证其所出售的标的物没有侵害任何第三人的知识产权和商业秘密 等权利；</w:t>
      </w:r>
    </w:p>
    <w:p>
      <w:pPr>
        <w:pStyle w:val="91"/>
        <w:keepNext w:val="0"/>
        <w:keepLines w:val="0"/>
        <w:widowControl w:val="0"/>
        <w:numPr>
          <w:ilvl w:val="0"/>
          <w:numId w:val="12"/>
        </w:numPr>
        <w:shd w:val="clear" w:color="auto" w:fill="auto"/>
        <w:tabs>
          <w:tab w:val="left" w:pos="943"/>
        </w:tabs>
        <w:bidi w:val="0"/>
        <w:spacing w:before="0" w:after="0" w:line="403" w:lineRule="exact"/>
        <w:ind w:left="0" w:right="0" w:firstLine="580"/>
        <w:jc w:val="left"/>
        <w:rPr>
          <w:color w:val="auto"/>
        </w:rPr>
      </w:pPr>
      <w:bookmarkStart w:id="28" w:name="bookmark33"/>
      <w:bookmarkEnd w:id="28"/>
      <w:r>
        <w:rPr>
          <w:color w:val="auto"/>
          <w:spacing w:val="0"/>
          <w:w w:val="100"/>
          <w:position w:val="0"/>
        </w:rPr>
        <w:t>如甲方使用该标的物构成上述侵权的，则由乙方承担全部责任。</w:t>
      </w:r>
    </w:p>
    <w:p>
      <w:pPr>
        <w:pStyle w:val="91"/>
        <w:keepNext w:val="0"/>
        <w:keepLines w:val="0"/>
        <w:widowControl w:val="0"/>
        <w:shd w:val="clear" w:color="auto" w:fill="auto"/>
        <w:bidi w:val="0"/>
        <w:spacing w:before="0" w:after="0" w:line="403" w:lineRule="exact"/>
        <w:ind w:left="0" w:right="0" w:firstLine="580"/>
        <w:jc w:val="left"/>
        <w:rPr>
          <w:color w:val="auto"/>
        </w:rPr>
      </w:pPr>
      <w:r>
        <w:rPr>
          <w:color w:val="auto"/>
          <w:spacing w:val="0"/>
          <w:w w:val="100"/>
          <w:position w:val="0"/>
        </w:rPr>
        <w:t>第十一条知识产权</w:t>
      </w:r>
    </w:p>
    <w:p>
      <w:pPr>
        <w:pStyle w:val="91"/>
        <w:keepNext w:val="0"/>
        <w:keepLines w:val="0"/>
        <w:widowControl w:val="0"/>
        <w:numPr>
          <w:ilvl w:val="0"/>
          <w:numId w:val="13"/>
        </w:numPr>
        <w:shd w:val="clear" w:color="auto" w:fill="auto"/>
        <w:tabs>
          <w:tab w:val="left" w:pos="829"/>
        </w:tabs>
        <w:bidi w:val="0"/>
        <w:spacing w:before="0" w:after="0" w:line="403" w:lineRule="exact"/>
        <w:ind w:left="0" w:right="0" w:firstLine="580"/>
        <w:jc w:val="both"/>
        <w:rPr>
          <w:color w:val="auto"/>
        </w:rPr>
      </w:pPr>
      <w:bookmarkStart w:id="29" w:name="bookmark34"/>
      <w:bookmarkEnd w:id="29"/>
      <w:r>
        <w:rPr>
          <w:color w:val="auto"/>
          <w:spacing w:val="0"/>
          <w:w w:val="100"/>
          <w:position w:val="0"/>
        </w:rPr>
        <w:t>乙方保证，甲方在使用该货物或者货物的任何一部分时，免受第三方提出 的侵犯其专利权、商标权或其他知识产权的起诉。如发生此类纠纷，由乙方承担 一切责任；如因此给甲方造成损失的，乙方负责全额赔偿。</w:t>
      </w:r>
    </w:p>
    <w:p>
      <w:pPr>
        <w:pStyle w:val="91"/>
        <w:keepNext w:val="0"/>
        <w:keepLines w:val="0"/>
        <w:widowControl w:val="0"/>
        <w:numPr>
          <w:ilvl w:val="0"/>
          <w:numId w:val="13"/>
        </w:numPr>
        <w:shd w:val="clear" w:color="auto" w:fill="auto"/>
        <w:tabs>
          <w:tab w:val="left" w:pos="834"/>
        </w:tabs>
        <w:bidi w:val="0"/>
        <w:spacing w:before="0" w:after="0" w:line="403" w:lineRule="exact"/>
        <w:ind w:left="0" w:right="0" w:firstLine="580"/>
        <w:jc w:val="left"/>
        <w:rPr>
          <w:color w:val="auto"/>
        </w:rPr>
      </w:pPr>
      <w:bookmarkStart w:id="30" w:name="bookmark35"/>
      <w:bookmarkEnd w:id="30"/>
      <w:r>
        <w:rPr>
          <w:color w:val="auto"/>
          <w:spacing w:val="0"/>
          <w:w w:val="100"/>
          <w:position w:val="0"/>
        </w:rPr>
        <w:t>乙方为执行本合同而提供的技术资料或者其他相关资料、软件等由甲方永 久免费使用。</w:t>
      </w:r>
    </w:p>
    <w:p>
      <w:pPr>
        <w:pStyle w:val="91"/>
        <w:keepNext w:val="0"/>
        <w:keepLines w:val="0"/>
        <w:widowControl w:val="0"/>
        <w:shd w:val="clear" w:color="auto" w:fill="auto"/>
        <w:bidi w:val="0"/>
        <w:spacing w:before="0" w:after="0" w:line="408" w:lineRule="exact"/>
        <w:ind w:left="0" w:right="0" w:firstLine="580"/>
        <w:jc w:val="left"/>
        <w:rPr>
          <w:color w:val="auto"/>
        </w:rPr>
      </w:pPr>
      <w:r>
        <w:rPr>
          <w:color w:val="auto"/>
          <w:spacing w:val="0"/>
          <w:w w:val="100"/>
          <w:position w:val="0"/>
        </w:rPr>
        <w:t>第十二条甲方责任</w:t>
      </w:r>
    </w:p>
    <w:p>
      <w:pPr>
        <w:pStyle w:val="91"/>
        <w:keepNext w:val="0"/>
        <w:keepLines w:val="0"/>
        <w:widowControl w:val="0"/>
        <w:numPr>
          <w:ilvl w:val="0"/>
          <w:numId w:val="14"/>
        </w:numPr>
        <w:shd w:val="clear" w:color="auto" w:fill="auto"/>
        <w:tabs>
          <w:tab w:val="left" w:pos="924"/>
        </w:tabs>
        <w:bidi w:val="0"/>
        <w:spacing w:before="0" w:after="0" w:line="408" w:lineRule="exact"/>
        <w:ind w:left="0" w:right="0" w:firstLine="580"/>
        <w:jc w:val="left"/>
        <w:rPr>
          <w:color w:val="auto"/>
        </w:rPr>
      </w:pPr>
      <w:bookmarkStart w:id="31" w:name="bookmark36"/>
      <w:bookmarkEnd w:id="31"/>
      <w:r>
        <w:rPr>
          <w:color w:val="auto"/>
          <w:spacing w:val="0"/>
          <w:w w:val="100"/>
          <w:position w:val="0"/>
        </w:rPr>
        <w:t>及时办理付款手续。</w:t>
      </w:r>
    </w:p>
    <w:p>
      <w:pPr>
        <w:pStyle w:val="91"/>
        <w:keepNext w:val="0"/>
        <w:keepLines w:val="0"/>
        <w:widowControl w:val="0"/>
        <w:numPr>
          <w:ilvl w:val="0"/>
          <w:numId w:val="14"/>
        </w:numPr>
        <w:shd w:val="clear" w:color="auto" w:fill="auto"/>
        <w:tabs>
          <w:tab w:val="left" w:pos="934"/>
        </w:tabs>
        <w:bidi w:val="0"/>
        <w:spacing w:before="0" w:after="0" w:line="408" w:lineRule="exact"/>
        <w:ind w:left="0" w:right="0" w:firstLine="580"/>
        <w:jc w:val="left"/>
        <w:rPr>
          <w:color w:val="auto"/>
        </w:rPr>
      </w:pPr>
      <w:bookmarkStart w:id="32" w:name="bookmark37"/>
      <w:bookmarkEnd w:id="32"/>
      <w:r>
        <w:rPr>
          <w:color w:val="auto"/>
          <w:spacing w:val="0"/>
          <w:w w:val="100"/>
          <w:position w:val="0"/>
        </w:rPr>
        <w:t>负责提供工作场地，协助乙方办理有关事宜。</w:t>
      </w:r>
    </w:p>
    <w:p>
      <w:pPr>
        <w:pStyle w:val="91"/>
        <w:keepNext w:val="0"/>
        <w:keepLines w:val="0"/>
        <w:widowControl w:val="0"/>
        <w:numPr>
          <w:ilvl w:val="0"/>
          <w:numId w:val="14"/>
        </w:numPr>
        <w:shd w:val="clear" w:color="auto" w:fill="auto"/>
        <w:tabs>
          <w:tab w:val="left" w:pos="934"/>
        </w:tabs>
        <w:bidi w:val="0"/>
        <w:spacing w:before="0" w:after="0" w:line="408" w:lineRule="exact"/>
        <w:ind w:left="0" w:right="0" w:firstLine="580"/>
        <w:jc w:val="left"/>
        <w:rPr>
          <w:color w:val="auto"/>
        </w:rPr>
      </w:pPr>
      <w:bookmarkStart w:id="33" w:name="bookmark38"/>
      <w:bookmarkEnd w:id="33"/>
      <w:r>
        <w:rPr>
          <w:color w:val="auto"/>
          <w:spacing w:val="0"/>
          <w:w w:val="100"/>
          <w:position w:val="0"/>
        </w:rPr>
        <w:t>对合同条款及所知悉的乙方商业秘密负有保密义务。</w:t>
      </w:r>
    </w:p>
    <w:p>
      <w:pPr>
        <w:pStyle w:val="91"/>
        <w:keepNext w:val="0"/>
        <w:keepLines w:val="0"/>
        <w:widowControl w:val="0"/>
        <w:shd w:val="clear" w:color="auto" w:fill="auto"/>
        <w:bidi w:val="0"/>
        <w:spacing w:before="0" w:after="0" w:line="408" w:lineRule="exact"/>
        <w:ind w:left="0" w:right="0" w:firstLine="580"/>
        <w:jc w:val="left"/>
        <w:rPr>
          <w:color w:val="auto"/>
        </w:rPr>
      </w:pPr>
      <w:r>
        <w:rPr>
          <w:color w:val="auto"/>
          <w:spacing w:val="0"/>
          <w:w w:val="100"/>
          <w:position w:val="0"/>
        </w:rPr>
        <w:t>第十三条乙方责任</w:t>
      </w:r>
    </w:p>
    <w:p>
      <w:pPr>
        <w:pStyle w:val="91"/>
        <w:keepNext w:val="0"/>
        <w:keepLines w:val="0"/>
        <w:widowControl w:val="0"/>
        <w:numPr>
          <w:ilvl w:val="0"/>
          <w:numId w:val="15"/>
        </w:numPr>
        <w:shd w:val="clear" w:color="auto" w:fill="auto"/>
        <w:bidi w:val="0"/>
        <w:spacing w:before="0" w:after="0" w:line="408" w:lineRule="exact"/>
        <w:ind w:left="0" w:right="0" w:firstLine="580"/>
        <w:jc w:val="both"/>
        <w:rPr>
          <w:color w:val="auto"/>
        </w:rPr>
      </w:pPr>
      <w:bookmarkStart w:id="34" w:name="bookmark39"/>
      <w:bookmarkEnd w:id="34"/>
      <w:r>
        <w:rPr>
          <w:color w:val="auto"/>
          <w:spacing w:val="0"/>
          <w:w w:val="100"/>
          <w:position w:val="0"/>
        </w:rPr>
        <w:t>保证所供货物均为投标文件承诺的货物，符合相关质量检测标准，具有该 产品的出厂标准或国家鉴定证书，保证其全部部件为全新的未使用的且符合相关 质量要求。</w:t>
      </w:r>
    </w:p>
    <w:p>
      <w:pPr>
        <w:pStyle w:val="91"/>
        <w:keepNext w:val="0"/>
        <w:keepLines w:val="0"/>
        <w:widowControl w:val="0"/>
        <w:numPr>
          <w:ilvl w:val="0"/>
          <w:numId w:val="15"/>
        </w:numPr>
        <w:shd w:val="clear" w:color="auto" w:fill="auto"/>
        <w:tabs>
          <w:tab w:val="left" w:pos="814"/>
        </w:tabs>
        <w:bidi w:val="0"/>
        <w:spacing w:before="0" w:after="0" w:line="413" w:lineRule="exact"/>
        <w:ind w:left="0" w:right="0" w:firstLine="520"/>
        <w:jc w:val="both"/>
        <w:rPr>
          <w:color w:val="auto"/>
        </w:rPr>
      </w:pPr>
      <w:bookmarkStart w:id="35" w:name="bookmark40"/>
      <w:bookmarkEnd w:id="35"/>
      <w:r>
        <w:rPr>
          <w:color w:val="auto"/>
          <w:spacing w:val="0"/>
          <w:w w:val="100"/>
          <w:position w:val="0"/>
        </w:rPr>
        <w:t>保证货物的售后服务，严格依据投标文件及相关承诺，对货物及系统进行 保修、维护等服务。</w:t>
      </w:r>
    </w:p>
    <w:p>
      <w:pPr>
        <w:pStyle w:val="91"/>
        <w:keepNext w:val="0"/>
        <w:keepLines w:val="0"/>
        <w:widowControl w:val="0"/>
        <w:numPr>
          <w:ilvl w:val="0"/>
          <w:numId w:val="15"/>
        </w:numPr>
        <w:shd w:val="clear" w:color="auto" w:fill="auto"/>
        <w:tabs>
          <w:tab w:val="left" w:pos="786"/>
        </w:tabs>
        <w:bidi w:val="0"/>
        <w:spacing w:before="0" w:after="0" w:line="406" w:lineRule="exact"/>
        <w:ind w:left="0" w:right="0" w:firstLine="520"/>
        <w:jc w:val="both"/>
        <w:rPr>
          <w:color w:val="auto"/>
        </w:rPr>
      </w:pPr>
      <w:bookmarkStart w:id="36" w:name="bookmark41"/>
      <w:bookmarkEnd w:id="36"/>
      <w:r>
        <w:rPr>
          <w:color w:val="auto"/>
          <w:spacing w:val="0"/>
          <w:w w:val="100"/>
          <w:position w:val="0"/>
        </w:rPr>
        <w:t>保证其所供货物不存在侵犯第三方知识产权的行为，否则由此产生的损失 由乙方承担。</w:t>
      </w:r>
    </w:p>
    <w:p>
      <w:pPr>
        <w:pStyle w:val="91"/>
        <w:keepNext w:val="0"/>
        <w:keepLines w:val="0"/>
        <w:widowControl w:val="0"/>
        <w:shd w:val="clear" w:color="auto" w:fill="auto"/>
        <w:bidi w:val="0"/>
        <w:spacing w:before="0" w:after="0" w:line="406" w:lineRule="exact"/>
        <w:ind w:left="0" w:right="0" w:firstLine="500"/>
        <w:jc w:val="left"/>
        <w:rPr>
          <w:color w:val="auto"/>
        </w:rPr>
      </w:pPr>
      <w:r>
        <w:rPr>
          <w:color w:val="auto"/>
          <w:spacing w:val="0"/>
          <w:w w:val="100"/>
          <w:position w:val="0"/>
        </w:rPr>
        <w:t>第十四条违约责任</w:t>
      </w:r>
    </w:p>
    <w:p>
      <w:pPr>
        <w:pStyle w:val="91"/>
        <w:keepNext w:val="0"/>
        <w:keepLines w:val="0"/>
        <w:widowControl w:val="0"/>
        <w:numPr>
          <w:ilvl w:val="0"/>
          <w:numId w:val="16"/>
        </w:numPr>
        <w:shd w:val="clear" w:color="auto" w:fill="auto"/>
        <w:tabs>
          <w:tab w:val="left" w:pos="810"/>
        </w:tabs>
        <w:bidi w:val="0"/>
        <w:spacing w:before="0" w:after="0" w:line="406" w:lineRule="exact"/>
        <w:ind w:left="0" w:right="0" w:firstLine="520"/>
        <w:jc w:val="both"/>
        <w:rPr>
          <w:color w:val="auto"/>
        </w:rPr>
      </w:pPr>
      <w:bookmarkStart w:id="37" w:name="bookmark42"/>
      <w:bookmarkEnd w:id="37"/>
      <w:r>
        <w:rPr>
          <w:color w:val="auto"/>
          <w:spacing w:val="0"/>
          <w:w w:val="100"/>
          <w:position w:val="0"/>
        </w:rPr>
        <w:t>甲乙双方任意一方无故终止合同的，违约方应当按照合同总金额的_%向守 约方支付违约金。</w:t>
      </w:r>
    </w:p>
    <w:p>
      <w:pPr>
        <w:pStyle w:val="91"/>
        <w:keepNext w:val="0"/>
        <w:keepLines w:val="0"/>
        <w:widowControl w:val="0"/>
        <w:numPr>
          <w:ilvl w:val="0"/>
          <w:numId w:val="16"/>
        </w:numPr>
        <w:shd w:val="clear" w:color="auto" w:fill="auto"/>
        <w:tabs>
          <w:tab w:val="left" w:pos="814"/>
        </w:tabs>
        <w:bidi w:val="0"/>
        <w:spacing w:before="0" w:after="0" w:line="399" w:lineRule="exact"/>
        <w:ind w:left="0" w:right="0" w:firstLine="520"/>
        <w:jc w:val="both"/>
        <w:rPr>
          <w:color w:val="auto"/>
        </w:rPr>
      </w:pPr>
      <w:bookmarkStart w:id="38" w:name="bookmark43"/>
      <w:bookmarkEnd w:id="38"/>
      <w:r>
        <w:rPr>
          <w:color w:val="auto"/>
          <w:spacing w:val="0"/>
          <w:w w:val="100"/>
          <w:position w:val="0"/>
        </w:rPr>
        <w:t>乙方逾期交付货物时，每</w:t>
      </w:r>
      <w:r>
        <w:rPr>
          <w:color w:val="auto"/>
          <w:spacing w:val="0"/>
          <w:w w:val="100"/>
          <w:position w:val="0"/>
          <w:lang w:val="zh-CN" w:eastAsia="zh-CN" w:bidi="zh-CN"/>
        </w:rPr>
        <w:t>逾—日</w:t>
      </w:r>
      <w:r>
        <w:rPr>
          <w:color w:val="auto"/>
          <w:spacing w:val="0"/>
          <w:w w:val="100"/>
          <w:position w:val="0"/>
        </w:rPr>
        <w:t>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 逾期交货超过</w:t>
      </w:r>
      <w:r>
        <w:rPr>
          <w:color w:val="auto"/>
          <w:spacing w:val="0"/>
          <w:w w:val="100"/>
          <w:position w:val="0"/>
          <w:lang w:val="zh-CN" w:eastAsia="zh-CN" w:bidi="zh-CN"/>
        </w:rPr>
        <w:t>—</w:t>
      </w:r>
      <w:r>
        <w:rPr>
          <w:color w:val="auto"/>
          <w:spacing w:val="0"/>
          <w:w w:val="100"/>
          <w:position w:val="0"/>
        </w:rPr>
        <w:t>日的，甲方有权决定是否继续履行合同，如甲方决定终止履行合 同的，乙方应按照第</w:t>
      </w:r>
      <w:r>
        <w:rPr>
          <w:rFonts w:ascii="Times New Roman" w:hAnsi="Times New Roman" w:eastAsia="Times New Roman" w:cs="Times New Roman"/>
          <w:color w:val="auto"/>
          <w:spacing w:val="0"/>
          <w:w w:val="100"/>
          <w:position w:val="0"/>
        </w:rPr>
        <w:t>1</w:t>
      </w:r>
      <w:r>
        <w:rPr>
          <w:color w:val="auto"/>
          <w:spacing w:val="0"/>
          <w:w w:val="100"/>
          <w:position w:val="0"/>
        </w:rPr>
        <w:t>款的规定赔偿甲方违约金。</w:t>
      </w:r>
    </w:p>
    <w:p>
      <w:pPr>
        <w:pStyle w:val="91"/>
        <w:keepNext w:val="0"/>
        <w:keepLines w:val="0"/>
        <w:widowControl w:val="0"/>
        <w:numPr>
          <w:ilvl w:val="0"/>
          <w:numId w:val="16"/>
        </w:numPr>
        <w:shd w:val="clear" w:color="auto" w:fill="auto"/>
        <w:tabs>
          <w:tab w:val="left" w:pos="814"/>
        </w:tabs>
        <w:bidi w:val="0"/>
        <w:spacing w:before="0" w:after="0" w:line="399" w:lineRule="exact"/>
        <w:ind w:left="0" w:right="0" w:firstLine="520"/>
        <w:jc w:val="both"/>
        <w:rPr>
          <w:color w:val="auto"/>
        </w:rPr>
      </w:pPr>
      <w:bookmarkStart w:id="39" w:name="bookmark44"/>
      <w:bookmarkEnd w:id="39"/>
      <w:r>
        <w:rPr>
          <w:color w:val="auto"/>
          <w:spacing w:val="0"/>
          <w:w w:val="100"/>
          <w:position w:val="0"/>
        </w:rPr>
        <w:t>乙方所供货物品牌、规格型号、质量等不符合合同约定标准，甲方有权拒 收，以及甲方收货后，发现产品出现质量问题不能使用的，甲方有权终止合同， 同时，乙方向甲方支付合同总金额_%的违约金，如果违约金不足以支付甲方所受 损失的，甲方有权要求其赔偿。</w:t>
      </w:r>
    </w:p>
    <w:p>
      <w:pPr>
        <w:pStyle w:val="91"/>
        <w:keepNext w:val="0"/>
        <w:keepLines w:val="0"/>
        <w:widowControl w:val="0"/>
        <w:numPr>
          <w:ilvl w:val="0"/>
          <w:numId w:val="16"/>
        </w:numPr>
        <w:shd w:val="clear" w:color="auto" w:fill="auto"/>
        <w:tabs>
          <w:tab w:val="left" w:pos="810"/>
        </w:tabs>
        <w:bidi w:val="0"/>
        <w:spacing w:before="0" w:after="0" w:line="399" w:lineRule="exact"/>
        <w:ind w:left="0" w:right="0" w:firstLine="520"/>
        <w:jc w:val="both"/>
        <w:rPr>
          <w:color w:val="auto"/>
        </w:rPr>
      </w:pPr>
      <w:bookmarkStart w:id="40" w:name="bookmark45"/>
      <w:bookmarkEnd w:id="40"/>
      <w:r>
        <w:rPr>
          <w:color w:val="auto"/>
          <w:spacing w:val="0"/>
          <w:w w:val="100"/>
          <w:position w:val="0"/>
        </w:rPr>
        <w:t>在质保期内产品出现质量问题，乙方必须在接到甲方通知后</w:t>
      </w:r>
      <w:r>
        <w:rPr>
          <w:color w:val="auto"/>
          <w:spacing w:val="0"/>
          <w:w w:val="100"/>
          <w:position w:val="0"/>
          <w:lang w:val="zh-CN" w:eastAsia="zh-CN" w:bidi="zh-CN"/>
        </w:rPr>
        <w:t>—</w:t>
      </w:r>
      <w:r>
        <w:rPr>
          <w:color w:val="auto"/>
          <w:spacing w:val="0"/>
          <w:w w:val="100"/>
          <w:position w:val="0"/>
        </w:rPr>
        <w:t>小时内到达 现场解决，否则甲方有权另请单位解决，由此产生的费用由乙方承担，产生的损 失由乙方赔偿。</w:t>
      </w:r>
    </w:p>
    <w:p>
      <w:pPr>
        <w:pStyle w:val="91"/>
        <w:keepNext w:val="0"/>
        <w:keepLines w:val="0"/>
        <w:widowControl w:val="0"/>
        <w:numPr>
          <w:ilvl w:val="0"/>
          <w:numId w:val="16"/>
        </w:numPr>
        <w:shd w:val="clear" w:color="auto" w:fill="auto"/>
        <w:tabs>
          <w:tab w:val="left" w:pos="854"/>
          <w:tab w:val="left" w:pos="5482"/>
        </w:tabs>
        <w:bidi w:val="0"/>
        <w:spacing w:before="0" w:after="0" w:line="399" w:lineRule="exact"/>
        <w:ind w:left="0" w:right="0" w:firstLine="500"/>
        <w:jc w:val="left"/>
        <w:rPr>
          <w:color w:val="auto"/>
        </w:rPr>
      </w:pPr>
      <w:bookmarkStart w:id="41" w:name="bookmark46"/>
      <w:bookmarkEnd w:id="41"/>
      <w:r>
        <w:rPr>
          <w:color w:val="auto"/>
          <w:spacing w:val="0"/>
          <w:w w:val="100"/>
          <w:position w:val="0"/>
        </w:rPr>
        <w:t>甲方逾期支付资金的违约责任：</w:t>
      </w:r>
      <w:r>
        <w:rPr>
          <w:color w:val="auto"/>
          <w:u w:val="single"/>
        </w:rPr>
        <w:t xml:space="preserve"> </w:t>
      </w:r>
      <w:r>
        <w:rPr>
          <w:color w:val="auto"/>
          <w:u w:val="single"/>
        </w:rPr>
        <w:tab/>
      </w:r>
      <w:r>
        <w:rPr>
          <w:rFonts w:ascii="Times New Roman" w:hAnsi="Times New Roman" w:eastAsia="Times New Roman" w:cs="Times New Roman"/>
          <w:color w:val="auto"/>
          <w:spacing w:val="0"/>
          <w:w w:val="100"/>
          <w:position w:val="0"/>
          <w:lang w:val="en-US" w:eastAsia="en-US" w:bidi="en-US"/>
        </w:rPr>
        <w:t>o</w:t>
      </w:r>
    </w:p>
    <w:p>
      <w:pPr>
        <w:pStyle w:val="91"/>
        <w:keepNext w:val="0"/>
        <w:keepLines w:val="0"/>
        <w:widowControl w:val="0"/>
        <w:numPr>
          <w:ilvl w:val="0"/>
          <w:numId w:val="16"/>
        </w:numPr>
        <w:shd w:val="clear" w:color="auto" w:fill="auto"/>
        <w:tabs>
          <w:tab w:val="left" w:pos="805"/>
          <w:tab w:val="left" w:pos="4243"/>
        </w:tabs>
        <w:bidi w:val="0"/>
        <w:spacing w:before="0" w:after="0" w:line="399" w:lineRule="exact"/>
        <w:ind w:left="0" w:right="0" w:firstLine="520"/>
        <w:jc w:val="both"/>
        <w:rPr>
          <w:color w:val="auto"/>
        </w:rPr>
      </w:pPr>
      <w:bookmarkStart w:id="42" w:name="bookmark47"/>
      <w:bookmarkEnd w:id="42"/>
      <w:r>
        <w:rPr>
          <w:color w:val="auto"/>
          <w:spacing w:val="0"/>
          <w:w w:val="100"/>
          <w:position w:val="0"/>
        </w:rPr>
        <w:t>因甲方原因导致变更、中止或者终止政府釆购合同的，甲方对供应商受到 的损失予以赔偿或者补偿：</w:t>
      </w:r>
      <w:r>
        <w:rPr>
          <w:color w:val="auto"/>
          <w:u w:val="single"/>
        </w:rPr>
        <w:t xml:space="preserve"> </w:t>
      </w:r>
      <w:r>
        <w:rPr>
          <w:color w:val="auto"/>
          <w:u w:val="single"/>
        </w:rPr>
        <w:tab/>
      </w:r>
      <w:r>
        <w:rPr>
          <w:rFonts w:ascii="Times New Roman" w:hAnsi="Times New Roman" w:eastAsia="Times New Roman" w:cs="Times New Roman"/>
          <w:color w:val="auto"/>
          <w:spacing w:val="0"/>
          <w:w w:val="100"/>
          <w:position w:val="0"/>
          <w:lang w:val="en-US" w:eastAsia="en-US" w:bidi="en-US"/>
        </w:rPr>
        <w:t>o</w:t>
      </w:r>
    </w:p>
    <w:p>
      <w:pPr>
        <w:pStyle w:val="91"/>
        <w:keepNext w:val="0"/>
        <w:keepLines w:val="0"/>
        <w:widowControl w:val="0"/>
        <w:numPr>
          <w:ilvl w:val="0"/>
          <w:numId w:val="16"/>
        </w:numPr>
        <w:shd w:val="clear" w:color="auto" w:fill="auto"/>
        <w:tabs>
          <w:tab w:val="left" w:pos="854"/>
        </w:tabs>
        <w:bidi w:val="0"/>
        <w:spacing w:before="0" w:after="0" w:line="399" w:lineRule="exact"/>
        <w:ind w:left="0" w:right="0" w:firstLine="500"/>
        <w:jc w:val="left"/>
        <w:rPr>
          <w:color w:val="auto"/>
        </w:rPr>
      </w:pPr>
      <w:bookmarkStart w:id="43" w:name="bookmark48"/>
      <w:bookmarkEnd w:id="43"/>
      <w:r>
        <w:rPr>
          <w:color w:val="auto"/>
          <w:spacing w:val="0"/>
          <w:w w:val="100"/>
          <w:position w:val="0"/>
        </w:rPr>
        <w:t>甲乙双方违背其他合同条款，违约方赔偿对方损失。</w:t>
      </w:r>
    </w:p>
    <w:p>
      <w:pPr>
        <w:pStyle w:val="91"/>
        <w:keepNext w:val="0"/>
        <w:keepLines w:val="0"/>
        <w:widowControl w:val="0"/>
        <w:shd w:val="clear" w:color="auto" w:fill="auto"/>
        <w:bidi w:val="0"/>
        <w:spacing w:before="0" w:after="0" w:line="399" w:lineRule="exact"/>
        <w:ind w:left="0" w:right="0" w:firstLine="500"/>
        <w:jc w:val="left"/>
        <w:rPr>
          <w:color w:val="auto"/>
        </w:rPr>
      </w:pPr>
      <w:r>
        <w:rPr>
          <w:color w:val="auto"/>
          <w:spacing w:val="0"/>
          <w:w w:val="100"/>
          <w:position w:val="0"/>
        </w:rPr>
        <w:t>第十五条不可抗力</w:t>
      </w:r>
    </w:p>
    <w:p>
      <w:pPr>
        <w:pStyle w:val="91"/>
        <w:keepNext w:val="0"/>
        <w:keepLines w:val="0"/>
        <w:widowControl w:val="0"/>
        <w:shd w:val="clear" w:color="auto" w:fill="auto"/>
        <w:bidi w:val="0"/>
        <w:spacing w:before="0" w:after="0" w:line="399" w:lineRule="exact"/>
        <w:ind w:left="0" w:right="0" w:firstLine="520"/>
        <w:jc w:val="both"/>
        <w:rPr>
          <w:color w:val="auto"/>
        </w:rPr>
      </w:pPr>
      <w:r>
        <w:rPr>
          <w:color w:val="auto"/>
          <w:spacing w:val="0"/>
          <w:w w:val="100"/>
          <w:position w:val="0"/>
        </w:rPr>
        <w:t>甲乙双方的任何一方由于不可抗力不能履行合同时，应当及时通知对方不能 履行或不能完全履行的情况和理由；在取得有关主管机关证明后，允许延期履行、 部分履行或者终止履行合同的，根据情况可部分或全部免予承担违约责任。</w:t>
      </w:r>
    </w:p>
    <w:p>
      <w:pPr>
        <w:pStyle w:val="91"/>
        <w:keepNext w:val="0"/>
        <w:keepLines w:val="0"/>
        <w:widowControl w:val="0"/>
        <w:shd w:val="clear" w:color="auto" w:fill="auto"/>
        <w:bidi w:val="0"/>
        <w:spacing w:before="0" w:after="0" w:line="399" w:lineRule="exact"/>
        <w:ind w:left="0" w:right="0" w:firstLine="500"/>
        <w:jc w:val="left"/>
        <w:rPr>
          <w:color w:val="auto"/>
        </w:rPr>
      </w:pPr>
      <w:r>
        <w:rPr>
          <w:color w:val="auto"/>
          <w:spacing w:val="0"/>
          <w:w w:val="100"/>
          <w:position w:val="0"/>
        </w:rPr>
        <w:t>第十六条保密</w:t>
      </w:r>
    </w:p>
    <w:p>
      <w:pPr>
        <w:pStyle w:val="91"/>
        <w:keepNext w:val="0"/>
        <w:keepLines w:val="0"/>
        <w:widowControl w:val="0"/>
        <w:shd w:val="clear" w:color="auto" w:fill="auto"/>
        <w:bidi w:val="0"/>
        <w:spacing w:before="0" w:after="0" w:line="399" w:lineRule="exact"/>
        <w:ind w:left="0" w:right="0" w:firstLine="52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91"/>
        <w:keepNext w:val="0"/>
        <w:keepLines w:val="0"/>
        <w:widowControl w:val="0"/>
        <w:shd w:val="clear" w:color="auto" w:fill="auto"/>
        <w:bidi w:val="0"/>
        <w:spacing w:before="0" w:after="0" w:line="399" w:lineRule="exact"/>
        <w:ind w:left="0" w:right="0" w:firstLine="500"/>
        <w:jc w:val="left"/>
        <w:rPr>
          <w:color w:val="auto"/>
        </w:rPr>
      </w:pPr>
      <w:r>
        <w:rPr>
          <w:color w:val="auto"/>
          <w:spacing w:val="0"/>
          <w:w w:val="100"/>
          <w:position w:val="0"/>
        </w:rPr>
        <w:t>乙方违反本合同所规定的保密义务，应按照本合同总金额的_%支付违约金。</w:t>
      </w:r>
    </w:p>
    <w:p>
      <w:pPr>
        <w:pStyle w:val="91"/>
        <w:keepNext w:val="0"/>
        <w:keepLines w:val="0"/>
        <w:widowControl w:val="0"/>
        <w:shd w:val="clear" w:color="auto" w:fill="auto"/>
        <w:bidi w:val="0"/>
        <w:spacing w:before="0" w:after="0" w:line="399" w:lineRule="exact"/>
        <w:ind w:left="0" w:right="0" w:firstLine="500"/>
        <w:jc w:val="left"/>
        <w:rPr>
          <w:color w:val="auto"/>
        </w:rPr>
      </w:pPr>
      <w:r>
        <w:rPr>
          <w:color w:val="auto"/>
          <w:spacing w:val="0"/>
          <w:w w:val="100"/>
          <w:position w:val="0"/>
        </w:rPr>
        <w:t>第十七条争议解决</w:t>
      </w:r>
    </w:p>
    <w:p>
      <w:pPr>
        <w:pStyle w:val="91"/>
        <w:keepNext w:val="0"/>
        <w:keepLines w:val="0"/>
        <w:widowControl w:val="0"/>
        <w:shd w:val="clear" w:color="auto" w:fill="auto"/>
        <w:bidi w:val="0"/>
        <w:spacing w:before="0" w:after="120" w:line="399" w:lineRule="exact"/>
        <w:ind w:left="0" w:right="0" w:firstLine="520"/>
        <w:jc w:val="both"/>
        <w:rPr>
          <w:color w:val="auto"/>
        </w:rPr>
      </w:pPr>
      <w:r>
        <w:rPr>
          <w:color w:val="auto"/>
          <w:spacing w:val="0"/>
          <w:w w:val="100"/>
          <w:position w:val="0"/>
        </w:rPr>
        <w:t>甲乙双方在合同履行中发生争议，应通过协商解决。如协商不成，可以向台 同签订地法院提起诉讼。</w:t>
      </w:r>
    </w:p>
    <w:p>
      <w:pPr>
        <w:pStyle w:val="91"/>
        <w:keepNext w:val="0"/>
        <w:keepLines w:val="0"/>
        <w:widowControl w:val="0"/>
        <w:shd w:val="clear" w:color="auto" w:fill="auto"/>
        <w:bidi w:val="0"/>
        <w:spacing w:before="0" w:after="0" w:line="240" w:lineRule="auto"/>
        <w:ind w:left="0" w:right="0" w:firstLine="520"/>
        <w:jc w:val="both"/>
        <w:rPr>
          <w:color w:val="auto"/>
        </w:rPr>
      </w:pPr>
      <w:r>
        <w:rPr>
          <w:color w:val="auto"/>
          <w:spacing w:val="0"/>
          <w:w w:val="100"/>
          <w:position w:val="0"/>
        </w:rPr>
        <w:t>第十八条 合同生效及其它</w:t>
      </w:r>
      <w:r>
        <w:rPr>
          <w:color w:val="auto"/>
        </w:rPr>
        <w:br w:type="page"/>
      </w:r>
    </w:p>
    <w:p>
      <w:pPr>
        <w:pStyle w:val="91"/>
        <w:keepNext w:val="0"/>
        <w:keepLines w:val="0"/>
        <w:widowControl w:val="0"/>
        <w:numPr>
          <w:ilvl w:val="0"/>
          <w:numId w:val="17"/>
        </w:numPr>
        <w:shd w:val="clear" w:color="auto" w:fill="auto"/>
        <w:tabs>
          <w:tab w:val="left" w:pos="811"/>
        </w:tabs>
        <w:bidi w:val="0"/>
        <w:spacing w:before="0" w:after="0" w:line="399" w:lineRule="exact"/>
        <w:ind w:left="30" w:leftChars="0" w:right="0" w:firstLine="600" w:firstLineChars="0"/>
        <w:jc w:val="both"/>
        <w:rPr>
          <w:color w:val="auto"/>
        </w:rPr>
      </w:pPr>
      <w:bookmarkStart w:id="44" w:name="bookmark49"/>
      <w:bookmarkEnd w:id="44"/>
      <w:r>
        <w:rPr>
          <w:color w:val="auto"/>
          <w:spacing w:val="0"/>
          <w:w w:val="100"/>
          <w:position w:val="0"/>
        </w:rPr>
        <w:t>除招标文件规定且甲方事先书面同意外，乙方不得部分或者全部转让、分 包履行其应履行的合同项下的义务。</w:t>
      </w:r>
    </w:p>
    <w:p>
      <w:pPr>
        <w:pStyle w:val="91"/>
        <w:keepNext w:val="0"/>
        <w:keepLines w:val="0"/>
        <w:widowControl w:val="0"/>
        <w:numPr>
          <w:ilvl w:val="0"/>
          <w:numId w:val="17"/>
        </w:numPr>
        <w:shd w:val="clear" w:color="auto" w:fill="auto"/>
        <w:tabs>
          <w:tab w:val="left" w:pos="811"/>
        </w:tabs>
        <w:bidi w:val="0"/>
        <w:spacing w:before="0" w:after="0" w:line="399" w:lineRule="exact"/>
        <w:ind w:left="30" w:leftChars="0" w:right="0" w:firstLine="600" w:firstLineChars="0"/>
        <w:jc w:val="both"/>
        <w:rPr>
          <w:color w:val="auto"/>
        </w:rPr>
      </w:pPr>
      <w:bookmarkStart w:id="45" w:name="bookmark50"/>
      <w:bookmarkEnd w:id="45"/>
      <w:r>
        <w:rPr>
          <w:color w:val="auto"/>
          <w:spacing w:val="0"/>
          <w:w w:val="100"/>
          <w:position w:val="0"/>
        </w:rPr>
        <w:t>合同由甲、乙双方法定代表人（或者授权代表）签字并加盖单位公章，以 最后一方签字日期为合同生效日期。</w:t>
      </w:r>
    </w:p>
    <w:p>
      <w:pPr>
        <w:pStyle w:val="91"/>
        <w:keepNext w:val="0"/>
        <w:keepLines w:val="0"/>
        <w:widowControl w:val="0"/>
        <w:numPr>
          <w:ilvl w:val="0"/>
          <w:numId w:val="17"/>
        </w:numPr>
        <w:shd w:val="clear" w:color="auto" w:fill="auto"/>
        <w:tabs>
          <w:tab w:val="left" w:pos="926"/>
        </w:tabs>
        <w:bidi w:val="0"/>
        <w:spacing w:before="0" w:after="0" w:line="399" w:lineRule="exact"/>
        <w:ind w:left="30" w:leftChars="0" w:right="0" w:firstLine="580" w:firstLineChars="0"/>
        <w:jc w:val="left"/>
        <w:rPr>
          <w:color w:val="auto"/>
        </w:rPr>
      </w:pPr>
      <w:bookmarkStart w:id="46" w:name="bookmark51"/>
      <w:bookmarkEnd w:id="46"/>
      <w:r>
        <w:rPr>
          <w:color w:val="auto"/>
          <w:spacing w:val="0"/>
          <w:w w:val="100"/>
          <w:position w:val="0"/>
        </w:rPr>
        <w:t>本合同一式_份，甲方_份，乙方_份。</w:t>
      </w:r>
    </w:p>
    <w:p>
      <w:pPr>
        <w:pStyle w:val="91"/>
        <w:keepNext w:val="0"/>
        <w:keepLines w:val="0"/>
        <w:widowControl w:val="0"/>
        <w:shd w:val="clear" w:color="auto" w:fill="auto"/>
        <w:bidi w:val="0"/>
        <w:spacing w:before="0" w:after="0" w:line="399" w:lineRule="exact"/>
        <w:ind w:left="0" w:right="0" w:firstLine="580"/>
        <w:jc w:val="left"/>
        <w:rPr>
          <w:color w:val="auto"/>
        </w:rPr>
      </w:pPr>
      <w:r>
        <w:rPr>
          <w:color w:val="auto"/>
          <w:spacing w:val="0"/>
          <w:w w:val="100"/>
          <w:position w:val="0"/>
        </w:rPr>
        <w:t>第十九条政府釆购合同融资</w:t>
      </w:r>
    </w:p>
    <w:p>
      <w:pPr>
        <w:pStyle w:val="91"/>
        <w:keepNext w:val="0"/>
        <w:keepLines w:val="0"/>
        <w:widowControl w:val="0"/>
        <w:numPr>
          <w:ilvl w:val="0"/>
          <w:numId w:val="18"/>
        </w:numPr>
        <w:shd w:val="clear" w:color="auto" w:fill="auto"/>
        <w:tabs>
          <w:tab w:val="left" w:pos="821"/>
        </w:tabs>
        <w:bidi w:val="0"/>
        <w:spacing w:before="0" w:after="0" w:line="399" w:lineRule="exact"/>
        <w:ind w:left="0" w:right="0" w:firstLine="600"/>
        <w:jc w:val="both"/>
        <w:rPr>
          <w:color w:val="auto"/>
        </w:rPr>
      </w:pPr>
      <w:bookmarkStart w:id="47" w:name="bookmark52"/>
      <w:bookmarkEnd w:id="47"/>
      <w:r>
        <w:rPr>
          <w:color w:val="auto"/>
          <w:spacing w:val="0"/>
          <w:w w:val="100"/>
          <w:position w:val="0"/>
        </w:rPr>
        <w:t>政府釆购合同签订前开展融资业务的。中标（成交）供应商持政府釆购中 标（成交）通知书提前与金融机构进行合同融资商洽，双方达成融资意向后，中 标（成交）供应商与采购人签订政府釆购合同，合同中供应商的银行账户要与合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pPr>
        <w:pStyle w:val="91"/>
        <w:keepNext w:val="0"/>
        <w:keepLines w:val="0"/>
        <w:widowControl w:val="0"/>
        <w:numPr>
          <w:ilvl w:val="0"/>
          <w:numId w:val="18"/>
        </w:numPr>
        <w:shd w:val="clear" w:color="auto" w:fill="auto"/>
        <w:tabs>
          <w:tab w:val="left" w:pos="821"/>
        </w:tabs>
        <w:bidi w:val="0"/>
        <w:spacing w:before="0" w:after="0" w:line="399" w:lineRule="exact"/>
        <w:ind w:left="0" w:right="0" w:firstLine="600"/>
        <w:jc w:val="both"/>
        <w:rPr>
          <w:color w:val="auto"/>
        </w:rPr>
      </w:pPr>
      <w:bookmarkStart w:id="48" w:name="bookmark53"/>
      <w:bookmarkEnd w:id="48"/>
      <w:r>
        <w:rPr>
          <w:color w:val="auto"/>
          <w:spacing w:val="0"/>
          <w:w w:val="100"/>
          <w:position w:val="0"/>
        </w:rPr>
        <w:t>政府采购合同签订后开展融资的账户管理。在合同履约期间，中标（成交） 供应商持已签订的政府采购合同向金融机构申请合同融资，可能出现政府采购合 同中供应商收款的银行账户与拟贷款银行回款账户不一致的情形。为支持供应商 通过政府釆购合同成功获得银行贷款，釆购人应积极协助供应商及时变更政府采 购合同中的供应商收款银行账户，保障供应商收款的银行账户与拟贷款银行回款 账户一致。</w:t>
      </w:r>
    </w:p>
    <w:p>
      <w:pPr>
        <w:pStyle w:val="91"/>
        <w:keepNext w:val="0"/>
        <w:keepLines w:val="0"/>
        <w:widowControl w:val="0"/>
        <w:numPr>
          <w:ilvl w:val="0"/>
          <w:numId w:val="18"/>
        </w:numPr>
        <w:shd w:val="clear" w:color="auto" w:fill="auto"/>
        <w:tabs>
          <w:tab w:val="left" w:pos="826"/>
        </w:tabs>
        <w:bidi w:val="0"/>
        <w:spacing w:before="0" w:after="0" w:line="399" w:lineRule="exact"/>
        <w:ind w:left="0" w:right="0" w:firstLine="600"/>
        <w:jc w:val="both"/>
        <w:rPr>
          <w:color w:val="auto"/>
        </w:rPr>
      </w:pPr>
      <w:bookmarkStart w:id="49" w:name="bookmark54"/>
      <w:bookmarkEnd w:id="49"/>
      <w:r>
        <w:rPr>
          <w:color w:val="auto"/>
          <w:spacing w:val="0"/>
          <w:w w:val="100"/>
          <w:position w:val="0"/>
        </w:rPr>
        <w:t>当中标（成交）供应商成功获取银行贷款后，采购人还应根据信息公开要 求，加强合同账户及资金支付管理，确保合同资金准确支付到贷款银行确认的回 款账户。釆购人不得不经贷款银行同意擅自更改合同账户、非法支付项目资金， 造成不良后果的，将承担相应法律责任。</w:t>
      </w:r>
    </w:p>
    <w:p>
      <w:pPr>
        <w:pStyle w:val="91"/>
        <w:keepNext w:val="0"/>
        <w:keepLines w:val="0"/>
        <w:widowControl w:val="0"/>
        <w:shd w:val="clear" w:color="auto" w:fill="auto"/>
        <w:bidi w:val="0"/>
        <w:spacing w:before="0" w:after="0" w:line="399" w:lineRule="exact"/>
        <w:ind w:left="0" w:right="0" w:firstLine="600"/>
        <w:jc w:val="both"/>
        <w:rPr>
          <w:color w:val="auto"/>
        </w:rPr>
      </w:pPr>
      <w:r>
        <w:rPr>
          <w:color w:val="auto"/>
          <w:spacing w:val="0"/>
          <w:w w:val="100"/>
          <w:position w:val="0"/>
        </w:rPr>
        <w:t>第二十条本合同附件</w:t>
      </w:r>
    </w:p>
    <w:p>
      <w:pPr>
        <w:pStyle w:val="91"/>
        <w:keepNext w:val="0"/>
        <w:keepLines w:val="0"/>
        <w:widowControl w:val="0"/>
        <w:numPr>
          <w:ilvl w:val="0"/>
          <w:numId w:val="19"/>
        </w:numPr>
        <w:shd w:val="clear" w:color="auto" w:fill="auto"/>
        <w:tabs>
          <w:tab w:val="left" w:pos="906"/>
        </w:tabs>
        <w:bidi w:val="0"/>
        <w:spacing w:before="0" w:after="0" w:line="399" w:lineRule="exact"/>
        <w:ind w:left="0" w:right="0" w:firstLine="580"/>
        <w:jc w:val="left"/>
        <w:rPr>
          <w:color w:val="auto"/>
        </w:rPr>
      </w:pPr>
      <w:bookmarkStart w:id="50" w:name="bookmark55"/>
      <w:bookmarkEnd w:id="50"/>
      <w:r>
        <w:rPr>
          <w:color w:val="auto"/>
          <w:spacing w:val="0"/>
          <w:w w:val="100"/>
          <w:position w:val="0"/>
        </w:rPr>
        <w:t>中标通知书；</w:t>
      </w:r>
    </w:p>
    <w:p>
      <w:pPr>
        <w:pStyle w:val="91"/>
        <w:keepNext w:val="0"/>
        <w:keepLines w:val="0"/>
        <w:widowControl w:val="0"/>
        <w:numPr>
          <w:ilvl w:val="0"/>
          <w:numId w:val="19"/>
        </w:numPr>
        <w:shd w:val="clear" w:color="auto" w:fill="auto"/>
        <w:tabs>
          <w:tab w:val="left" w:pos="926"/>
        </w:tabs>
        <w:bidi w:val="0"/>
        <w:spacing w:before="0" w:after="0" w:line="399" w:lineRule="exact"/>
        <w:ind w:left="0" w:right="0" w:firstLine="580"/>
        <w:jc w:val="left"/>
        <w:rPr>
          <w:color w:val="auto"/>
        </w:rPr>
      </w:pPr>
      <w:bookmarkStart w:id="51" w:name="bookmark56"/>
      <w:bookmarkEnd w:id="51"/>
      <w:r>
        <w:rPr>
          <w:color w:val="auto"/>
          <w:spacing w:val="0"/>
          <w:w w:val="100"/>
          <w:position w:val="0"/>
        </w:rPr>
        <w:t>政府采购招标文件（含招标文件的澄清、修改等）；</w:t>
      </w:r>
    </w:p>
    <w:p>
      <w:pPr>
        <w:pStyle w:val="91"/>
        <w:keepNext w:val="0"/>
        <w:keepLines w:val="0"/>
        <w:widowControl w:val="0"/>
        <w:numPr>
          <w:ilvl w:val="0"/>
          <w:numId w:val="19"/>
        </w:numPr>
        <w:shd w:val="clear" w:color="auto" w:fill="auto"/>
        <w:tabs>
          <w:tab w:val="left" w:pos="926"/>
        </w:tabs>
        <w:bidi w:val="0"/>
        <w:spacing w:before="0" w:after="0" w:line="399" w:lineRule="exact"/>
        <w:ind w:left="0" w:right="0" w:firstLine="580"/>
        <w:jc w:val="left"/>
        <w:rPr>
          <w:color w:val="auto"/>
        </w:rPr>
      </w:pPr>
      <w:bookmarkStart w:id="52" w:name="bookmark57"/>
      <w:bookmarkEnd w:id="52"/>
      <w:r>
        <w:rPr>
          <w:color w:val="auto"/>
          <w:spacing w:val="0"/>
          <w:w w:val="100"/>
          <w:position w:val="0"/>
        </w:rPr>
        <w:t>乙方投标文件；</w:t>
      </w:r>
    </w:p>
    <w:p>
      <w:pPr>
        <w:pStyle w:val="91"/>
        <w:keepNext w:val="0"/>
        <w:keepLines w:val="0"/>
        <w:widowControl w:val="0"/>
        <w:numPr>
          <w:ilvl w:val="0"/>
          <w:numId w:val="19"/>
        </w:numPr>
        <w:shd w:val="clear" w:color="auto" w:fill="auto"/>
        <w:tabs>
          <w:tab w:val="left" w:pos="926"/>
        </w:tabs>
        <w:bidi w:val="0"/>
        <w:spacing w:before="0" w:after="0" w:line="399" w:lineRule="exact"/>
        <w:ind w:left="0" w:right="0" w:firstLine="580"/>
        <w:jc w:val="left"/>
        <w:rPr>
          <w:color w:val="auto"/>
        </w:rPr>
      </w:pPr>
      <w:bookmarkStart w:id="53" w:name="bookmark58"/>
      <w:bookmarkEnd w:id="53"/>
      <w:r>
        <w:rPr>
          <w:color w:val="auto"/>
          <w:spacing w:val="0"/>
          <w:w w:val="100"/>
          <w:position w:val="0"/>
        </w:rPr>
        <w:t>中标人在评标过程中做出的有关澄清、说明、承诺或者补正文件（材料）。</w:t>
      </w:r>
    </w:p>
    <w:p>
      <w:pPr>
        <w:widowControl w:val="0"/>
        <w:spacing w:line="1" w:lineRule="exact"/>
        <w:rPr>
          <w:color w:val="auto"/>
        </w:rPr>
        <w:sectPr>
          <w:footerReference r:id="rId7" w:type="default"/>
          <w:footerReference r:id="rId8" w:type="even"/>
          <w:footnotePr>
            <w:numFmt w:val="decimal"/>
          </w:footnotePr>
          <w:type w:val="continuous"/>
          <w:pgSz w:w="11900" w:h="16840"/>
          <w:pgMar w:top="1542" w:right="989" w:bottom="1350" w:left="1648" w:header="1114" w:footer="1111" w:gutter="0"/>
          <w:pgNumType w:fmt="decimal"/>
          <w:cols w:space="720" w:num="1"/>
          <w:rtlGutter w:val="0"/>
          <w:docGrid w:linePitch="360" w:charSpace="0"/>
        </w:sectPr>
      </w:pPr>
      <w:r>
        <w:rPr>
          <w:color w:val="auto"/>
        </w:rPr>
        <mc:AlternateContent>
          <mc:Choice Requires="wps">
            <w:drawing>
              <wp:anchor distT="250190" distB="635" distL="114300" distR="114300" simplePos="0" relativeHeight="251660288" behindDoc="0" locked="0" layoutInCell="1" allowOverlap="1">
                <wp:simplePos x="0" y="0"/>
                <wp:positionH relativeFrom="page">
                  <wp:posOffset>1134745</wp:posOffset>
                </wp:positionH>
                <wp:positionV relativeFrom="paragraph">
                  <wp:posOffset>250190</wp:posOffset>
                </wp:positionV>
                <wp:extent cx="2045335" cy="93853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045335" cy="938530"/>
                        </a:xfrm>
                        <a:prstGeom prst="rect">
                          <a:avLst/>
                        </a:prstGeom>
                        <a:noFill/>
                        <a:ln>
                          <a:noFill/>
                        </a:ln>
                        <a:effectLst/>
                      </wps:spPr>
                      <wps:txbx>
                        <w:txbxContent>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甲 方：</w:t>
                            </w:r>
                          </w:p>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单位名称（公章）：</w:t>
                            </w:r>
                          </w:p>
                          <w:p>
                            <w:pPr>
                              <w:pStyle w:val="91"/>
                              <w:keepNext w:val="0"/>
                              <w:keepLines w:val="0"/>
                              <w:widowControl w:val="0"/>
                              <w:shd w:val="clear" w:color="auto" w:fill="auto"/>
                              <w:bidi w:val="0"/>
                              <w:spacing w:before="0" w:after="140" w:line="240" w:lineRule="auto"/>
                              <w:ind w:left="0" w:right="0" w:firstLine="0"/>
                              <w:jc w:val="left"/>
                            </w:pPr>
                            <w:r>
                              <w:rPr>
                                <w:spacing w:val="0"/>
                                <w:w w:val="100"/>
                                <w:position w:val="0"/>
                              </w:rPr>
                              <w:t>法定代表人（授权代表）签字:</w:t>
                            </w:r>
                          </w:p>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电话：</w:t>
                            </w:r>
                          </w:p>
                        </w:txbxContent>
                      </wps:txbx>
                      <wps:bodyPr lIns="0" tIns="0" rIns="0" bIns="0">
                        <a:noAutofit/>
                      </wps:bodyPr>
                    </wps:wsp>
                  </a:graphicData>
                </a:graphic>
              </wp:anchor>
            </w:drawing>
          </mc:Choice>
          <mc:Fallback>
            <w:pict>
              <v:shape id="Shape 16" o:spid="_x0000_s1026" o:spt="202" type="#_x0000_t202" style="position:absolute;left:0pt;margin-left:89.35pt;margin-top:19.7pt;height:73.9pt;width:161.05pt;mso-position-horizontal-relative:page;mso-wrap-distance-bottom:0.05pt;mso-wrap-distance-top:19.7pt;z-index:251660288;mso-width-relative:page;mso-height-relative:page;" filled="f" stroked="f" coordsize="21600,21600" o:gfxdata="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R/BaHYAAAACgEAAA8AAAAAAAAAAQAgAAAAIgAAAGRycy9kb3ducmV2LnhtbFBLAQIUABQAAAAI&#10;AIdO4kAW7+ZStAEAAIwDAAAOAAAAAAAAAAEAIAAAACcBAABkcnMvZTJvRG9jLnhtbFBLBQYAAAAA&#10;BgAGAFkBAABNBQAAAAA=&#10;">
                <v:fill on="f" focussize="0,0"/>
                <v:stroke on="f"/>
                <v:imagedata o:title=""/>
                <o:lock v:ext="edit" aspectratio="f"/>
                <v:textbox inset="0mm,0mm,0mm,0mm">
                  <w:txbxContent>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甲 方：</w:t>
                      </w:r>
                    </w:p>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单位名称（公章）：</w:t>
                      </w:r>
                    </w:p>
                    <w:p>
                      <w:pPr>
                        <w:pStyle w:val="91"/>
                        <w:keepNext w:val="0"/>
                        <w:keepLines w:val="0"/>
                        <w:widowControl w:val="0"/>
                        <w:shd w:val="clear" w:color="auto" w:fill="auto"/>
                        <w:bidi w:val="0"/>
                        <w:spacing w:before="0" w:after="140" w:line="240" w:lineRule="auto"/>
                        <w:ind w:left="0" w:right="0" w:firstLine="0"/>
                        <w:jc w:val="left"/>
                      </w:pPr>
                      <w:r>
                        <w:rPr>
                          <w:spacing w:val="0"/>
                          <w:w w:val="100"/>
                          <w:position w:val="0"/>
                        </w:rPr>
                        <w:t>法定代表人（授权代表）签字:</w:t>
                      </w:r>
                    </w:p>
                    <w:p>
                      <w:pPr>
                        <w:pStyle w:val="91"/>
                        <w:keepNext w:val="0"/>
                        <w:keepLines w:val="0"/>
                        <w:widowControl w:val="0"/>
                        <w:shd w:val="clear" w:color="auto" w:fill="auto"/>
                        <w:bidi w:val="0"/>
                        <w:spacing w:before="0" w:after="140" w:line="240" w:lineRule="auto"/>
                        <w:ind w:left="0" w:right="0" w:firstLine="480"/>
                        <w:jc w:val="left"/>
                      </w:pPr>
                      <w:r>
                        <w:rPr>
                          <w:spacing w:val="0"/>
                          <w:w w:val="100"/>
                          <w:position w:val="0"/>
                        </w:rPr>
                        <w:t>电话：</w:t>
                      </w:r>
                    </w:p>
                  </w:txbxContent>
                </v:textbox>
                <w10:wrap type="topAndBottom"/>
              </v:shape>
            </w:pict>
          </mc:Fallback>
        </mc:AlternateContent>
      </w:r>
      <w:r>
        <w:rPr>
          <w:color w:val="auto"/>
        </w:rPr>
        <mc:AlternateContent>
          <mc:Choice Requires="wps">
            <w:drawing>
              <wp:anchor distT="241300" distB="9525" distL="114300" distR="114300" simplePos="0" relativeHeight="251660288" behindDoc="0" locked="0" layoutInCell="1" allowOverlap="1">
                <wp:simplePos x="0" y="0"/>
                <wp:positionH relativeFrom="page">
                  <wp:posOffset>4323080</wp:posOffset>
                </wp:positionH>
                <wp:positionV relativeFrom="paragraph">
                  <wp:posOffset>241300</wp:posOffset>
                </wp:positionV>
                <wp:extent cx="2033270" cy="93853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033270" cy="938530"/>
                        </a:xfrm>
                        <a:prstGeom prst="rect">
                          <a:avLst/>
                        </a:prstGeom>
                        <a:noFill/>
                        <a:ln>
                          <a:noFill/>
                        </a:ln>
                        <a:effectLst/>
                      </wps:spPr>
                      <wps:txbx>
                        <w:txbxContent>
                          <w:p>
                            <w:pPr>
                              <w:pStyle w:val="91"/>
                              <w:keepNext w:val="0"/>
                              <w:keepLines w:val="0"/>
                              <w:widowControl w:val="0"/>
                              <w:shd w:val="clear" w:color="auto" w:fill="auto"/>
                              <w:bidi w:val="0"/>
                              <w:spacing w:before="0" w:after="140" w:line="240" w:lineRule="auto"/>
                              <w:ind w:left="0" w:right="0" w:firstLine="480"/>
                              <w:jc w:val="left"/>
                            </w:pPr>
                            <w:r>
                              <w:rPr>
                                <w:color w:val="000000"/>
                                <w:spacing w:val="0"/>
                                <w:w w:val="100"/>
                                <w:position w:val="0"/>
                              </w:rPr>
                              <w:t>乙 方：</w:t>
                            </w:r>
                          </w:p>
                          <w:p>
                            <w:pPr>
                              <w:pStyle w:val="91"/>
                              <w:keepNext w:val="0"/>
                              <w:keepLines w:val="0"/>
                              <w:widowControl w:val="0"/>
                              <w:shd w:val="clear" w:color="auto" w:fill="auto"/>
                              <w:bidi w:val="0"/>
                              <w:spacing w:before="0" w:after="140" w:line="240" w:lineRule="auto"/>
                              <w:ind w:left="0" w:right="0" w:firstLine="220"/>
                              <w:jc w:val="left"/>
                            </w:pPr>
                            <w:r>
                              <w:rPr>
                                <w:color w:val="000000"/>
                                <w:spacing w:val="0"/>
                                <w:w w:val="100"/>
                                <w:position w:val="0"/>
                                <w:lang w:val="en-US" w:eastAsia="en-US" w:bidi="en-US"/>
                              </w:rPr>
                              <w:t>.</w:t>
                            </w:r>
                            <w:r>
                              <w:rPr>
                                <w:color w:val="000000"/>
                                <w:spacing w:val="0"/>
                                <w:w w:val="100"/>
                                <w:position w:val="0"/>
                              </w:rPr>
                              <w:t>单位名称（公章）：</w:t>
                            </w:r>
                          </w:p>
                          <w:p>
                            <w:pPr>
                              <w:pStyle w:val="91"/>
                              <w:keepNext w:val="0"/>
                              <w:keepLines w:val="0"/>
                              <w:widowControl w:val="0"/>
                              <w:shd w:val="clear" w:color="auto" w:fill="auto"/>
                              <w:bidi w:val="0"/>
                              <w:spacing w:before="0" w:after="140" w:line="240" w:lineRule="auto"/>
                              <w:ind w:left="0" w:right="0" w:firstLine="0"/>
                              <w:jc w:val="left"/>
                            </w:pPr>
                            <w:r>
                              <w:rPr>
                                <w:color w:val="000000"/>
                                <w:spacing w:val="0"/>
                                <w:w w:val="100"/>
                                <w:position w:val="0"/>
                              </w:rPr>
                              <w:t>法定代表人（授权代表）签字:</w:t>
                            </w:r>
                          </w:p>
                          <w:p>
                            <w:pPr>
                              <w:pStyle w:val="91"/>
                              <w:keepNext w:val="0"/>
                              <w:keepLines w:val="0"/>
                              <w:widowControl w:val="0"/>
                              <w:shd w:val="clear" w:color="auto" w:fill="auto"/>
                              <w:bidi w:val="0"/>
                              <w:spacing w:before="0" w:after="140" w:line="240" w:lineRule="auto"/>
                              <w:ind w:left="0" w:right="0" w:firstLine="480"/>
                              <w:jc w:val="left"/>
                            </w:pPr>
                            <w:r>
                              <w:rPr>
                                <w:color w:val="000000"/>
                                <w:spacing w:val="0"/>
                                <w:w w:val="100"/>
                                <w:position w:val="0"/>
                              </w:rPr>
                              <w:t>电 话：</w:t>
                            </w:r>
                          </w:p>
                        </w:txbxContent>
                      </wps:txbx>
                      <wps:bodyPr lIns="0" tIns="0" rIns="0" bIns="0">
                        <a:noAutofit/>
                      </wps:bodyPr>
                    </wps:wsp>
                  </a:graphicData>
                </a:graphic>
              </wp:anchor>
            </w:drawing>
          </mc:Choice>
          <mc:Fallback>
            <w:pict>
              <v:shape id="Shape 18" o:spid="_x0000_s1026" o:spt="202" type="#_x0000_t202" style="position:absolute;left:0pt;margin-left:340.4pt;margin-top:19pt;height:73.9pt;width:160.1pt;mso-position-horizontal-relative:page;mso-wrap-distance-bottom:0.75pt;mso-wrap-distance-top:19pt;z-index:251660288;mso-width-relative:page;mso-height-relative:page;" filled="f" stroked="f" coordsize="21600,21600" o:gfxdata="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a&#10;Vm/XAAAACwEAAA8AAAAAAAAAAQAgAAAAIgAAAGRycy9kb3ducmV2LnhtbFBLAQIUABQAAAAIAIdO&#10;4kDuZhhEsgEAAIwDAAAOAAAAAAAAAAEAIAAAACYBAABkcnMvZTJvRG9jLnhtbFBLBQYAAAAABgAG&#10;AFkBAABKBQAAAAA=&#10;">
                <v:fill on="f" focussize="0,0"/>
                <v:stroke on="f"/>
                <v:imagedata o:title=""/>
                <o:lock v:ext="edit" aspectratio="f"/>
                <v:textbox inset="0mm,0mm,0mm,0mm">
                  <w:txbxContent>
                    <w:p>
                      <w:pPr>
                        <w:pStyle w:val="91"/>
                        <w:keepNext w:val="0"/>
                        <w:keepLines w:val="0"/>
                        <w:widowControl w:val="0"/>
                        <w:shd w:val="clear" w:color="auto" w:fill="auto"/>
                        <w:bidi w:val="0"/>
                        <w:spacing w:before="0" w:after="140" w:line="240" w:lineRule="auto"/>
                        <w:ind w:left="0" w:right="0" w:firstLine="480"/>
                        <w:jc w:val="left"/>
                      </w:pPr>
                      <w:r>
                        <w:rPr>
                          <w:color w:val="000000"/>
                          <w:spacing w:val="0"/>
                          <w:w w:val="100"/>
                          <w:position w:val="0"/>
                        </w:rPr>
                        <w:t>乙 方：</w:t>
                      </w:r>
                    </w:p>
                    <w:p>
                      <w:pPr>
                        <w:pStyle w:val="91"/>
                        <w:keepNext w:val="0"/>
                        <w:keepLines w:val="0"/>
                        <w:widowControl w:val="0"/>
                        <w:shd w:val="clear" w:color="auto" w:fill="auto"/>
                        <w:bidi w:val="0"/>
                        <w:spacing w:before="0" w:after="140" w:line="240" w:lineRule="auto"/>
                        <w:ind w:left="0" w:right="0" w:firstLine="220"/>
                        <w:jc w:val="left"/>
                      </w:pPr>
                      <w:r>
                        <w:rPr>
                          <w:color w:val="000000"/>
                          <w:spacing w:val="0"/>
                          <w:w w:val="100"/>
                          <w:position w:val="0"/>
                          <w:lang w:val="en-US" w:eastAsia="en-US" w:bidi="en-US"/>
                        </w:rPr>
                        <w:t>.</w:t>
                      </w:r>
                      <w:r>
                        <w:rPr>
                          <w:color w:val="000000"/>
                          <w:spacing w:val="0"/>
                          <w:w w:val="100"/>
                          <w:position w:val="0"/>
                        </w:rPr>
                        <w:t>单位名称（公章）：</w:t>
                      </w:r>
                    </w:p>
                    <w:p>
                      <w:pPr>
                        <w:pStyle w:val="91"/>
                        <w:keepNext w:val="0"/>
                        <w:keepLines w:val="0"/>
                        <w:widowControl w:val="0"/>
                        <w:shd w:val="clear" w:color="auto" w:fill="auto"/>
                        <w:bidi w:val="0"/>
                        <w:spacing w:before="0" w:after="140" w:line="240" w:lineRule="auto"/>
                        <w:ind w:left="0" w:right="0" w:firstLine="0"/>
                        <w:jc w:val="left"/>
                      </w:pPr>
                      <w:r>
                        <w:rPr>
                          <w:color w:val="000000"/>
                          <w:spacing w:val="0"/>
                          <w:w w:val="100"/>
                          <w:position w:val="0"/>
                        </w:rPr>
                        <w:t>法定代表人（授权代表）签字:</w:t>
                      </w:r>
                    </w:p>
                    <w:p>
                      <w:pPr>
                        <w:pStyle w:val="91"/>
                        <w:keepNext w:val="0"/>
                        <w:keepLines w:val="0"/>
                        <w:widowControl w:val="0"/>
                        <w:shd w:val="clear" w:color="auto" w:fill="auto"/>
                        <w:bidi w:val="0"/>
                        <w:spacing w:before="0" w:after="140" w:line="240" w:lineRule="auto"/>
                        <w:ind w:left="0" w:right="0" w:firstLine="480"/>
                        <w:jc w:val="left"/>
                      </w:pPr>
                      <w:r>
                        <w:rPr>
                          <w:color w:val="000000"/>
                          <w:spacing w:val="0"/>
                          <w:w w:val="100"/>
                          <w:position w:val="0"/>
                        </w:rPr>
                        <w:t>电 话：</w:t>
                      </w:r>
                    </w:p>
                  </w:txbxContent>
                </v:textbox>
                <w10:wrap type="topAndBottom"/>
              </v:shape>
            </w:pict>
          </mc:Fallback>
        </mc:AlternateContent>
      </w:r>
    </w:p>
    <w:p>
      <w:pPr>
        <w:widowControl w:val="0"/>
        <w:spacing w:before="87" w:after="87" w:line="240" w:lineRule="exact"/>
        <w:rPr>
          <w:color w:val="auto"/>
          <w:sz w:val="19"/>
          <w:szCs w:val="19"/>
        </w:rPr>
      </w:pPr>
    </w:p>
    <w:p>
      <w:pPr>
        <w:widowControl w:val="0"/>
        <w:spacing w:line="1" w:lineRule="exact"/>
        <w:rPr>
          <w:color w:val="auto"/>
        </w:rPr>
        <w:sectPr>
          <w:footnotePr>
            <w:numFmt w:val="decimal"/>
          </w:footnotePr>
          <w:type w:val="continuous"/>
          <w:pgSz w:w="11900" w:h="16840"/>
          <w:pgMar w:top="1551" w:right="0" w:bottom="1538" w:left="0" w:header="0" w:footer="3" w:gutter="0"/>
          <w:pgNumType w:fmt="decimal"/>
          <w:cols w:space="720" w:num="1"/>
          <w:rtlGutter w:val="0"/>
          <w:docGrid w:linePitch="360" w:charSpace="0"/>
        </w:sectPr>
      </w:pPr>
    </w:p>
    <w:p>
      <w:pPr>
        <w:pStyle w:val="91"/>
        <w:keepNext w:val="0"/>
        <w:keepLines w:val="0"/>
        <w:widowControl w:val="0"/>
        <w:shd w:val="clear" w:color="auto" w:fill="auto"/>
        <w:bidi w:val="0"/>
        <w:spacing w:before="0" w:after="0" w:line="240" w:lineRule="auto"/>
        <w:ind w:left="0" w:right="0" w:firstLine="0"/>
        <w:jc w:val="center"/>
        <w:rPr>
          <w:color w:val="auto"/>
        </w:rPr>
        <w:sectPr>
          <w:footnotePr>
            <w:numFmt w:val="decimal"/>
          </w:footnotePr>
          <w:type w:val="continuous"/>
          <w:pgSz w:w="11900" w:h="16840"/>
          <w:pgMar w:top="1551" w:right="1632" w:bottom="1538" w:left="1805" w:header="0" w:footer="3" w:gutter="0"/>
          <w:pgNumType w:fmt="decimal"/>
          <w:cols w:space="720" w:num="1"/>
          <w:rtlGutter w:val="0"/>
          <w:docGrid w:linePitch="360" w:charSpace="0"/>
        </w:sectPr>
      </w:pPr>
      <w:r>
        <w:rPr>
          <w:color w:val="auto"/>
        </w:rPr>
        <mc:AlternateContent>
          <mc:Choice Requires="wps">
            <w:drawing>
              <wp:anchor distT="0" distB="0" distL="114300" distR="114300" simplePos="0" relativeHeight="251660288" behindDoc="0" locked="0" layoutInCell="1" allowOverlap="1">
                <wp:simplePos x="0" y="0"/>
                <wp:positionH relativeFrom="page">
                  <wp:posOffset>1442720</wp:posOffset>
                </wp:positionH>
                <wp:positionV relativeFrom="paragraph">
                  <wp:posOffset>12700</wp:posOffset>
                </wp:positionV>
                <wp:extent cx="753110" cy="186055"/>
                <wp:effectExtent l="0" t="0" r="0" b="0"/>
                <wp:wrapSquare wrapText="right"/>
                <wp:docPr id="20" name="Shape 20"/>
                <wp:cNvGraphicFramePr/>
                <a:graphic xmlns:a="http://schemas.openxmlformats.org/drawingml/2006/main">
                  <a:graphicData uri="http://schemas.microsoft.com/office/word/2010/wordprocessingShape">
                    <wps:wsp>
                      <wps:cNvSpPr txBox="1"/>
                      <wps:spPr>
                        <a:xfrm>
                          <a:off x="0" y="0"/>
                          <a:ext cx="753110" cy="186055"/>
                        </a:xfrm>
                        <a:prstGeom prst="rect">
                          <a:avLst/>
                        </a:prstGeom>
                        <a:noFill/>
                        <a:ln>
                          <a:noFill/>
                        </a:ln>
                        <a:effectLst/>
                      </wps:spPr>
                      <wps:txbx>
                        <w:txbxContent>
                          <w:p>
                            <w:pPr>
                              <w:pStyle w:val="91"/>
                              <w:keepNext w:val="0"/>
                              <w:keepLines w:val="0"/>
                              <w:widowControl w:val="0"/>
                              <w:shd w:val="clear" w:color="auto" w:fill="auto"/>
                              <w:bidi w:val="0"/>
                              <w:spacing w:before="0" w:after="0" w:line="240" w:lineRule="auto"/>
                              <w:ind w:left="0" w:right="0" w:firstLine="0"/>
                              <w:jc w:val="left"/>
                            </w:pPr>
                            <w:r>
                              <w:rPr>
                                <w:spacing w:val="0"/>
                                <w:w w:val="100"/>
                                <w:position w:val="0"/>
                              </w:rPr>
                              <w:t xml:space="preserve">年 </w:t>
                            </w:r>
                            <w:r>
                              <w:rPr>
                                <w:spacing w:val="0"/>
                                <w:w w:val="100"/>
                                <w:position w:val="0"/>
                                <w:lang w:val="zh-CN" w:eastAsia="zh-CN" w:bidi="zh-CN"/>
                              </w:rPr>
                              <w:t>月曰</w:t>
                            </w:r>
                          </w:p>
                        </w:txbxContent>
                      </wps:txbx>
                      <wps:bodyPr wrap="none" lIns="0" tIns="0" rIns="0" bIns="0">
                        <a:noAutofit/>
                      </wps:bodyPr>
                    </wps:wsp>
                  </a:graphicData>
                </a:graphic>
              </wp:anchor>
            </w:drawing>
          </mc:Choice>
          <mc:Fallback>
            <w:pict>
              <v:shape id="Shape 20" o:spid="_x0000_s1026" o:spt="202" type="#_x0000_t202" style="position:absolute;left:0pt;margin-left:113.6pt;margin-top:1pt;height:14.65pt;width:59.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xgFC9UAAAAIAQAADwAAAAAAAAABACAAAAAiAAAAZHJzL2Rvd25yZXYueG1sUEsBAhQAFAAA&#10;AAgAh07iQAVF3BK5AQAAlwMAAA4AAAAAAAAAAQAgAAAAJAEAAGRycy9lMm9Eb2MueG1sUEsFBgAA&#10;AAAGAAYAWQEAAE8FAAAAAA==&#10;">
                <v:fill on="f" focussize="0,0"/>
                <v:stroke on="f"/>
                <v:imagedata o:title=""/>
                <o:lock v:ext="edit" aspectratio="f"/>
                <v:textbox inset="0mm,0mm,0mm,0mm">
                  <w:txbxContent>
                    <w:p>
                      <w:pPr>
                        <w:pStyle w:val="91"/>
                        <w:keepNext w:val="0"/>
                        <w:keepLines w:val="0"/>
                        <w:widowControl w:val="0"/>
                        <w:shd w:val="clear" w:color="auto" w:fill="auto"/>
                        <w:bidi w:val="0"/>
                        <w:spacing w:before="0" w:after="0" w:line="240" w:lineRule="auto"/>
                        <w:ind w:left="0" w:right="0" w:firstLine="0"/>
                        <w:jc w:val="left"/>
                      </w:pPr>
                      <w:r>
                        <w:rPr>
                          <w:spacing w:val="0"/>
                          <w:w w:val="100"/>
                          <w:position w:val="0"/>
                        </w:rPr>
                        <w:t xml:space="preserve">年 </w:t>
                      </w:r>
                      <w:r>
                        <w:rPr>
                          <w:spacing w:val="0"/>
                          <w:w w:val="100"/>
                          <w:position w:val="0"/>
                          <w:lang w:val="zh-CN" w:eastAsia="zh-CN" w:bidi="zh-CN"/>
                        </w:rPr>
                        <w:t>月曰</w:t>
                      </w:r>
                    </w:p>
                  </w:txbxContent>
                </v:textbox>
                <w10:wrap type="square" side="right"/>
              </v:shape>
            </w:pict>
          </mc:Fallback>
        </mc:AlternateContent>
      </w:r>
      <w:r>
        <w:rPr>
          <w:color w:val="auto"/>
          <w:spacing w:val="0"/>
          <w:w w:val="100"/>
          <w:position w:val="0"/>
        </w:rPr>
        <w:t xml:space="preserve">年 </w:t>
      </w:r>
      <w:r>
        <w:rPr>
          <w:color w:val="auto"/>
          <w:spacing w:val="0"/>
          <w:w w:val="100"/>
          <w:position w:val="0"/>
          <w:lang w:val="zh-CN" w:eastAsia="zh-CN" w:bidi="zh-CN"/>
        </w:rPr>
        <w:t>月曰</w:t>
      </w:r>
    </w:p>
    <w:p>
      <w:pPr>
        <w:pStyle w:val="25"/>
        <w:ind w:left="0" w:leftChars="0" w:firstLine="0" w:firstLineChars="0"/>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480" w:lineRule="auto"/>
        <w:rPr>
          <w:rFonts w:ascii="宋体" w:hAnsi="宋体" w:eastAsia="宋体" w:cs="宋体"/>
          <w:color w:val="auto"/>
          <w:sz w:val="36"/>
          <w:szCs w:val="36"/>
          <w:u w:val="single"/>
        </w:rPr>
      </w:pPr>
    </w:p>
    <w:p>
      <w:pPr>
        <w:pStyle w:val="25"/>
        <w:ind w:leftChars="0"/>
        <w:rPr>
          <w:rFonts w:ascii="宋体" w:hAnsi="宋体" w:eastAsia="宋体"/>
          <w:color w:val="auto"/>
        </w:rPr>
      </w:pPr>
    </w:p>
    <w:p>
      <w:pPr>
        <w:rPr>
          <w:rFonts w:ascii="宋体" w:hAnsi="宋体" w:eastAsia="宋体"/>
          <w:color w:val="auto"/>
        </w:rPr>
      </w:pPr>
    </w:p>
    <w:p>
      <w:pPr>
        <w:pStyle w:val="2"/>
        <w:numPr>
          <w:ilvl w:val="0"/>
          <w:numId w:val="0"/>
        </w:numPr>
        <w:ind w:left="288" w:leftChars="0"/>
        <w:rPr>
          <w:color w:val="auto"/>
        </w:rPr>
      </w:pPr>
    </w:p>
    <w:p>
      <w:pPr>
        <w:pStyle w:val="16"/>
        <w:ind w:left="5250"/>
        <w:rPr>
          <w:rFonts w:ascii="宋体" w:hAnsi="宋体" w:eastAsia="宋体"/>
          <w:color w:val="auto"/>
        </w:rPr>
      </w:pPr>
    </w:p>
    <w:p>
      <w:pPr>
        <w:pStyle w:val="25"/>
        <w:ind w:left="0" w:leftChars="0" w:firstLine="0" w:firstLineChars="0"/>
        <w:rPr>
          <w:rFonts w:ascii="宋体" w:hAnsi="宋体" w:eastAsia="宋体"/>
          <w:color w:val="auto"/>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61"/>
        <w:numPr>
          <w:ilvl w:val="0"/>
          <w:numId w:val="0"/>
        </w:numPr>
        <w:tabs>
          <w:tab w:val="left" w:pos="660"/>
        </w:tabs>
        <w:snapToGrid w:val="0"/>
        <w:spacing w:before="0" w:line="400" w:lineRule="exact"/>
        <w:rPr>
          <w:rFonts w:hint="eastAsia" w:cs="黑体"/>
          <w:color w:val="auto"/>
          <w:kern w:val="2"/>
          <w:sz w:val="28"/>
          <w:szCs w:val="28"/>
          <w:lang w:val="zh-CN"/>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61"/>
        <w:numPr>
          <w:ilvl w:val="0"/>
          <w:numId w:val="0"/>
        </w:numPr>
        <w:tabs>
          <w:tab w:val="left" w:pos="660"/>
        </w:tabs>
        <w:snapToGrid w:val="0"/>
        <w:spacing w:before="0" w:line="400" w:lineRule="exact"/>
        <w:jc w:val="center"/>
        <w:rPr>
          <w:rFonts w:cs="黑体"/>
          <w:color w:val="auto"/>
          <w:kern w:val="2"/>
          <w:sz w:val="28"/>
          <w:szCs w:val="28"/>
          <w:lang w:val="zh-CN"/>
        </w:rPr>
      </w:pPr>
      <w:r>
        <w:rPr>
          <w:rFonts w:hint="eastAsia" w:cs="黑体"/>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gridSpan w:val="2"/>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磋商承诺函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685" w:type="dxa"/>
            <w:gridSpan w:val="2"/>
            <w:tcBorders>
              <w:top w:val="doub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分项报价表</w:t>
            </w:r>
          </w:p>
        </w:tc>
        <w:tc>
          <w:tcPr>
            <w:tcW w:w="1559" w:type="dxa"/>
            <w:tcBorders>
              <w:top w:val="double" w:color="auto" w:sz="4" w:space="0"/>
            </w:tcBorders>
            <w:vAlign w:val="center"/>
          </w:tcPr>
          <w:p>
            <w:pPr>
              <w:jc w:val="center"/>
              <w:rPr>
                <w:rFonts w:ascii="宋体" w:hAnsi="宋体" w:eastAsia="宋体"/>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技术规格偏离表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14</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15</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16</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政府强制采购节能产品品目清单情况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优先采购节能产品政府采购品目清单情况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优先采购环境标志产品政府采购品目清单情况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3685" w:type="dxa"/>
            <w:gridSpan w:val="2"/>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23</w:t>
            </w:r>
          </w:p>
        </w:tc>
        <w:tc>
          <w:tcPr>
            <w:tcW w:w="992" w:type="dxa"/>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微软雅黑"/>
                <w:bCs/>
                <w:color w:val="auto"/>
                <w:kern w:val="0"/>
                <w:sz w:val="21"/>
                <w:szCs w:val="21"/>
              </w:rPr>
              <w:t>CCC强制性产品认证</w:t>
            </w:r>
          </w:p>
        </w:tc>
        <w:tc>
          <w:tcPr>
            <w:tcW w:w="2693" w:type="dxa"/>
            <w:tcBorders>
              <w:left w:val="sing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所投产品符合国家强制性要求承诺函</w:t>
            </w: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24</w:t>
            </w:r>
          </w:p>
        </w:tc>
        <w:tc>
          <w:tcPr>
            <w:tcW w:w="992" w:type="dxa"/>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color w:val="auto"/>
                <w:kern w:val="0"/>
                <w:sz w:val="21"/>
                <w:szCs w:val="21"/>
              </w:rPr>
            </w:pPr>
            <w:r>
              <w:rPr>
                <w:rFonts w:ascii="宋体" w:hAnsi="宋体" w:cs="宋体"/>
                <w:color w:val="auto"/>
                <w:kern w:val="0"/>
                <w:sz w:val="21"/>
                <w:szCs w:val="21"/>
              </w:rPr>
              <w:t>信息安全产品强制性认证</w:t>
            </w:r>
          </w:p>
        </w:tc>
        <w:tc>
          <w:tcPr>
            <w:tcW w:w="2693" w:type="dxa"/>
            <w:tcBorders>
              <w:left w:val="sing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认证机构颁发的认证证书</w:t>
            </w: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vAlign w:val="center"/>
          </w:tcPr>
          <w:p>
            <w:pPr>
              <w:adjustRightInd w:val="0"/>
              <w:snapToGrid w:val="0"/>
              <w:spacing w:line="400" w:lineRule="exact"/>
              <w:jc w:val="center"/>
              <w:textAlignment w:val="baseline"/>
              <w:rPr>
                <w:rFonts w:ascii="宋体" w:hAnsi="宋体" w:eastAsia="宋体" w:cs="微软雅黑"/>
                <w:color w:val="auto"/>
                <w:szCs w:val="21"/>
              </w:rPr>
            </w:pPr>
          </w:p>
        </w:tc>
        <w:tc>
          <w:tcPr>
            <w:tcW w:w="992" w:type="dxa"/>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color w:val="auto"/>
                <w:sz w:val="21"/>
                <w:szCs w:val="21"/>
                <w:lang w:val="zh-CN"/>
              </w:rPr>
            </w:pPr>
          </w:p>
        </w:tc>
        <w:tc>
          <w:tcPr>
            <w:tcW w:w="2693" w:type="dxa"/>
            <w:tcBorders>
              <w:left w:val="sing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中国信息安全认证中心官网产品查询结果截图</w:t>
            </w: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25</w:t>
            </w:r>
          </w:p>
        </w:tc>
        <w:tc>
          <w:tcPr>
            <w:tcW w:w="992" w:type="dxa"/>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微软雅黑"/>
                <w:bCs/>
                <w:color w:val="auto"/>
                <w:kern w:val="0"/>
                <w:sz w:val="21"/>
                <w:szCs w:val="21"/>
              </w:rPr>
              <w:t>其它资料</w:t>
            </w:r>
          </w:p>
        </w:tc>
        <w:tc>
          <w:tcPr>
            <w:tcW w:w="2693" w:type="dxa"/>
            <w:tcBorders>
              <w:left w:val="sing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5"/>
        <w:spacing w:line="360" w:lineRule="auto"/>
        <w:jc w:val="both"/>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2、如磋商公告明确项目交付日期以年为单位，本表应填写完成该项目的年限。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5"/>
        <w:rPr>
          <w:rFonts w:ascii="宋体" w:hAnsi="宋体" w:eastAsia="宋体"/>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5"/>
        <w:rPr>
          <w:rFonts w:ascii="宋体" w:hAnsi="宋体" w:eastAsia="宋体"/>
          <w:color w:val="auto"/>
          <w:lang w:val="zh-CN"/>
        </w:rPr>
      </w:pPr>
    </w:p>
    <w:p>
      <w:pPr>
        <w:pStyle w:val="16"/>
        <w:ind w:left="5250"/>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15"/>
        <w:spacing w:line="360" w:lineRule="auto"/>
        <w:jc w:val="center"/>
        <w:rPr>
          <w:rFonts w:ascii="宋体" w:hAns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p>
    <w:p>
      <w:pPr>
        <w:adjustRightInd w:val="0"/>
        <w:spacing w:line="360" w:lineRule="auto"/>
        <w:ind w:firstLine="420" w:firstLineChars="200"/>
        <w:contextualSpacing/>
        <w:outlineLvl w:val="0"/>
        <w:rPr>
          <w:rFonts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（项目名称、招标编号）采购的竞争性磋商公告及磋商邀请，</w:t>
      </w:r>
      <w:r>
        <w:rPr>
          <w:rFonts w:ascii="宋体" w:hAnsi="宋体" w:eastAsia="宋体" w:cs="宋体"/>
          <w:snapToGrid w:val="0"/>
          <w:color w:val="auto"/>
          <w:kern w:val="0"/>
          <w:szCs w:val="21"/>
        </w:rPr>
        <w:t>_______</w:t>
      </w:r>
      <w:r>
        <w:rPr>
          <w:rFonts w:hint="eastAsia" w:ascii="宋体" w:hAnsi="宋体" w:eastAsia="宋体" w:cs="宋体"/>
          <w:snapToGrid w:val="0"/>
          <w:color w:val="auto"/>
          <w:kern w:val="0"/>
          <w:szCs w:val="21"/>
        </w:rPr>
        <w:t>（姓名和职务）被正式授权并代表投标人</w:t>
      </w:r>
      <w:r>
        <w:rPr>
          <w:rFonts w:hint="eastAsia" w:ascii="宋体" w:hAnsi="宋体" w:eastAsia="宋体" w:cs="宋体"/>
          <w:snapToGrid w:val="0"/>
          <w:color w:val="auto"/>
          <w:kern w:val="0"/>
          <w:szCs w:val="21"/>
          <w:u w:val="single"/>
        </w:rPr>
        <w:t>（供应商名称、地址）</w:t>
      </w:r>
      <w:r>
        <w:rPr>
          <w:rFonts w:hint="eastAsia" w:ascii="宋体" w:hAnsi="宋体" w:eastAsia="宋体" w:cs="宋体"/>
          <w:snapToGrid w:val="0"/>
          <w:color w:val="auto"/>
          <w:kern w:val="0"/>
          <w:szCs w:val="21"/>
        </w:rPr>
        <w:t>提交。</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我方确认收到贵方提供的 </w:t>
      </w:r>
      <w:r>
        <w:rPr>
          <w:rFonts w:hint="eastAsia" w:ascii="宋体" w:hAnsi="宋体" w:cs="宋体"/>
          <w:snapToGrid w:val="0"/>
          <w:color w:val="auto"/>
          <w:kern w:val="0"/>
          <w:sz w:val="21"/>
          <w:szCs w:val="21"/>
          <w:u w:val="single"/>
        </w:rPr>
        <w:t xml:space="preserve">           （项目名称、</w:t>
      </w:r>
      <w:r>
        <w:rPr>
          <w:rFonts w:hint="eastAsia" w:ascii="宋体" w:hAnsi="宋体" w:cs="宋体"/>
          <w:snapToGrid w:val="0"/>
          <w:color w:val="auto"/>
          <w:kern w:val="0"/>
          <w:sz w:val="21"/>
          <w:szCs w:val="21"/>
          <w:u w:val="single"/>
          <w:lang w:eastAsia="zh-CN"/>
        </w:rPr>
        <w:t>标段、</w:t>
      </w:r>
      <w:r>
        <w:rPr>
          <w:rFonts w:hint="eastAsia" w:ascii="宋体" w:hAnsi="宋体" w:cs="宋体"/>
          <w:snapToGrid w:val="0"/>
          <w:color w:val="auto"/>
          <w:kern w:val="0"/>
          <w:sz w:val="21"/>
          <w:szCs w:val="21"/>
          <w:u w:val="single"/>
        </w:rPr>
        <w:t>项目编号）</w:t>
      </w:r>
      <w:r>
        <w:rPr>
          <w:rFonts w:hint="eastAsia" w:ascii="宋体" w:hAnsi="宋体"/>
          <w:snapToGrid w:val="0"/>
          <w:color w:val="auto"/>
          <w:kern w:val="0"/>
          <w:sz w:val="21"/>
          <w:szCs w:val="21"/>
        </w:rPr>
        <w:t>磋商文件</w:t>
      </w:r>
      <w:r>
        <w:rPr>
          <w:rFonts w:hint="eastAsia" w:ascii="宋体" w:hAnsi="宋体" w:cs="宋体"/>
          <w:snapToGrid w:val="0"/>
          <w:color w:val="auto"/>
          <w:kern w:val="0"/>
          <w:sz w:val="21"/>
          <w:szCs w:val="21"/>
        </w:rPr>
        <w:t>的全部内容。</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olor w:val="auto"/>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我方已完全明白招标文件的所有条款要求，并申明如下：</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一、按磋商文件提供的全部货物与相关服务的响应总价详见《报价一览表》。</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二、我方同意在本项目磋商文件中规定的开标日</w:t>
      </w:r>
      <w:r>
        <w:rPr>
          <w:rFonts w:hint="eastAsia" w:ascii="宋体" w:hAnsi="宋体" w:cs="宋体"/>
          <w:b/>
          <w:bCs/>
          <w:snapToGrid w:val="0"/>
          <w:color w:val="auto"/>
          <w:kern w:val="0"/>
          <w:sz w:val="21"/>
          <w:szCs w:val="21"/>
        </w:rPr>
        <w:t>起90天</w:t>
      </w:r>
      <w:r>
        <w:rPr>
          <w:rFonts w:hint="eastAsia" w:ascii="宋体" w:hAnsi="宋体" w:cs="宋体"/>
          <w:snapToGrid w:val="0"/>
          <w:color w:val="auto"/>
          <w:kern w:val="0"/>
          <w:sz w:val="21"/>
          <w:szCs w:val="21"/>
        </w:rPr>
        <w:t>内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三、我方明白并同意，在规定的磋商响应时间截止之后，响应有效期之内撤销磋商响应的，则我方承担违背响应承诺的责任追究。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四、我方同意按照贵方可能提出的要求而提供与磋商响应有关的任何其它数据、信息或资料。</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五、我方理解贵方不一定接受最低响应报价。</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六、我方如果成交，将保证履行磋商文件及其澄清、修改文件（如果有）中的全部责任和义务，按质、按量、按期完成《采购需求》及《合同书》中的全部任务。</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七、我方在此保证所提交的所有文件和全部说明是真实的和正确的。</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九、我方具备《政府采购法》第二十二条规定的条件；承诺如下：</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1. 具有独立承担民事责任能力的在中华人民共和国境内注册的法人或其他组织或自然人，有效的营业执照（或事业法人登记证或身份证等相关证明）。</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2. 我方已依法缴纳了各项税费及社会保险费用，如有需要，可随时向采购人提供近</w:t>
      </w:r>
      <w:r>
        <w:rPr>
          <w:rFonts w:hint="eastAsia" w:ascii="宋体" w:hAnsi="宋体" w:cs="宋体"/>
          <w:snapToGrid w:val="0"/>
          <w:color w:val="auto"/>
          <w:sz w:val="21"/>
          <w:szCs w:val="21"/>
        </w:rPr>
        <w:t>一年</w:t>
      </w:r>
      <w:r>
        <w:rPr>
          <w:rFonts w:hint="eastAsia" w:ascii="宋体" w:hAnsi="宋体" w:cs="宋体"/>
          <w:snapToGrid w:val="0"/>
          <w:color w:val="auto"/>
          <w:kern w:val="0"/>
          <w:sz w:val="21"/>
          <w:szCs w:val="21"/>
        </w:rPr>
        <w:t>内的相关缴费证明，以便核查。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3. 我方已依法建立健全的财务会计制度，如有需要，可随时向采购人提供相关证明材料，以便核查。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4. 参加政府采购活动前三年内，在经营活动中没有重大违法记录。</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5. 符合法律、行政法规规定的其他条件。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以上内容如有虚假或与事实不符的，磋商小组可将我方做无效投标处理，我方愿意承担相应的法律责任。</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十、我方具备履行合同所必需的设备和专业技术能力</w:t>
      </w:r>
    </w:p>
    <w:p>
      <w:pPr>
        <w:pStyle w:val="15"/>
        <w:adjustRightInd w:val="0"/>
        <w:spacing w:line="360" w:lineRule="auto"/>
        <w:ind w:firstLine="420" w:firstLineChars="200"/>
        <w:contextualSpacing/>
        <w:rPr>
          <w:rFonts w:ascii="宋体" w:hAns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十二、若我方中标，愿意按国家及行业有关规定向代理机构支付招标代理服务费。</w:t>
      </w:r>
    </w:p>
    <w:p>
      <w:pPr>
        <w:pStyle w:val="15"/>
        <w:adjustRightInd w:val="0"/>
        <w:snapToGrid w:val="0"/>
        <w:spacing w:line="360" w:lineRule="auto"/>
        <w:rPr>
          <w:rFonts w:ascii="宋体" w:hAnsi="宋体" w:cs="宋体"/>
          <w:color w:val="auto"/>
          <w:sz w:val="21"/>
          <w:szCs w:val="21"/>
        </w:rPr>
      </w:pPr>
    </w:p>
    <w:p>
      <w:pPr>
        <w:pStyle w:val="15"/>
        <w:adjustRightInd w:val="0"/>
        <w:snapToGrid w:val="0"/>
        <w:spacing w:line="360" w:lineRule="auto"/>
        <w:rPr>
          <w:rFonts w:ascii="宋体" w:hAnsi="宋体" w:cs="宋体"/>
          <w:color w:val="auto"/>
          <w:sz w:val="21"/>
          <w:szCs w:val="21"/>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所有与本磋商有关的一切正式往来请寄：</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地址：</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电话：</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投标人代表姓名：</w:t>
      </w:r>
      <w:r>
        <w:rPr>
          <w:rFonts w:ascii="宋体" w:hAnsi="宋体" w:eastAsia="宋体" w:cs="宋体"/>
          <w:color w:val="auto"/>
          <w:szCs w:val="21"/>
        </w:rPr>
        <w:t xml:space="preserve">        </w:t>
      </w:r>
      <w:r>
        <w:rPr>
          <w:rFonts w:hint="eastAsia" w:ascii="宋体" w:hAnsi="宋体" w:eastAsia="宋体" w:cs="宋体"/>
          <w:color w:val="auto"/>
          <w:szCs w:val="21"/>
        </w:rPr>
        <w:t>职务：</w:t>
      </w:r>
      <w:r>
        <w:rPr>
          <w:rFonts w:ascii="宋体" w:hAnsi="宋体" w:eastAsia="宋体" w:cs="宋体"/>
          <w:color w:val="auto"/>
          <w:szCs w:val="21"/>
        </w:rPr>
        <w:t xml:space="preserve">       </w:t>
      </w:r>
      <w:r>
        <w:rPr>
          <w:rFonts w:hint="eastAsia" w:ascii="宋体" w:hAnsi="宋体" w:eastAsia="宋体" w:cs="宋体"/>
          <w:color w:val="auto"/>
          <w:szCs w:val="21"/>
        </w:rPr>
        <w:t xml:space="preserve">  联系电话：</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投标人法定代表人（或法定代表人授权代表）签字或盖章：</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cs="宋体"/>
          <w:b/>
          <w:bCs/>
          <w:color w:val="auto"/>
          <w:sz w:val="24"/>
          <w:szCs w:val="24"/>
        </w:rPr>
      </w:pPr>
    </w:p>
    <w:p>
      <w:pPr>
        <w:rPr>
          <w:rFonts w:ascii="宋体" w:hAnsi="宋体" w:eastAsia="宋体"/>
          <w:color w:val="auto"/>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3.2 </w:t>
      </w:r>
      <w:r>
        <w:rPr>
          <w:rFonts w:hint="eastAsia" w:ascii="宋体" w:hAnsi="宋体" w:eastAsia="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4"/>
        <w:spacing w:line="480" w:lineRule="auto"/>
        <w:ind w:firstLine="472" w:firstLineChars="225"/>
        <w:jc w:val="left"/>
        <w:rPr>
          <w:rFonts w:cs="宋体"/>
          <w:color w:val="auto"/>
          <w:sz w:val="21"/>
          <w:szCs w:val="21"/>
        </w:rPr>
      </w:pPr>
      <w:r>
        <w:rPr>
          <w:rFonts w:hint="eastAsia" w:cs="宋体"/>
          <w:color w:val="auto"/>
          <w:sz w:val="21"/>
          <w:szCs w:val="21"/>
        </w:rPr>
        <w:t>单位名称：</w:t>
      </w:r>
    </w:p>
    <w:p>
      <w:pPr>
        <w:pStyle w:val="54"/>
        <w:spacing w:line="480" w:lineRule="auto"/>
        <w:ind w:firstLine="472" w:firstLineChars="225"/>
        <w:jc w:val="left"/>
        <w:rPr>
          <w:rFonts w:cs="宋体"/>
          <w:color w:val="auto"/>
          <w:sz w:val="21"/>
          <w:szCs w:val="21"/>
        </w:rPr>
      </w:pPr>
      <w:r>
        <w:rPr>
          <w:rFonts w:hint="eastAsia" w:cs="宋体"/>
          <w:color w:val="auto"/>
          <w:sz w:val="21"/>
          <w:szCs w:val="21"/>
        </w:rPr>
        <w:t>地址：</w:t>
      </w:r>
    </w:p>
    <w:p>
      <w:pPr>
        <w:pStyle w:val="54"/>
        <w:spacing w:line="480" w:lineRule="auto"/>
        <w:ind w:firstLine="472" w:firstLineChars="225"/>
        <w:jc w:val="left"/>
        <w:rPr>
          <w:rFonts w:cs="宋体"/>
          <w:color w:val="auto"/>
          <w:sz w:val="21"/>
          <w:szCs w:val="21"/>
        </w:rPr>
      </w:pPr>
      <w:r>
        <w:rPr>
          <w:rFonts w:hint="eastAsia" w:cs="宋体"/>
          <w:color w:val="auto"/>
          <w:sz w:val="21"/>
          <w:szCs w:val="21"/>
        </w:rPr>
        <w:t>姓名：性别：年龄：职务：</w:t>
      </w:r>
    </w:p>
    <w:p>
      <w:pPr>
        <w:pStyle w:val="54"/>
        <w:spacing w:line="480" w:lineRule="auto"/>
        <w:ind w:firstLine="472" w:firstLineChars="225"/>
        <w:jc w:val="left"/>
        <w:rPr>
          <w:color w:val="auto"/>
          <w:sz w:val="21"/>
          <w:szCs w:val="21"/>
        </w:rPr>
      </w:pPr>
      <w:r>
        <w:rPr>
          <w:rFonts w:hint="eastAsia" w:cs="宋体"/>
          <w:color w:val="auto"/>
          <w:sz w:val="21"/>
          <w:szCs w:val="21"/>
        </w:rPr>
        <w:t>本人系</w:t>
      </w:r>
      <w:r>
        <w:rPr>
          <w:rFonts w:hint="eastAsia" w:cs="宋体"/>
          <w:snapToGrid w:val="0"/>
          <w:color w:val="auto"/>
          <w:sz w:val="21"/>
          <w:szCs w:val="21"/>
          <w:u w:val="single"/>
        </w:rPr>
        <w:t>投标人名称</w:t>
      </w:r>
      <w:r>
        <w:rPr>
          <w:rFonts w:hint="eastAsia" w:cs="宋体"/>
          <w:color w:val="auto"/>
          <w:sz w:val="21"/>
          <w:szCs w:val="21"/>
        </w:rPr>
        <w:t xml:space="preserve">的法定代表人（单位负责人）。就参加贵方招标编号为 </w:t>
      </w:r>
      <w:r>
        <w:rPr>
          <w:rFonts w:hint="eastAsia" w:cs="宋体"/>
          <w:color w:val="auto"/>
          <w:sz w:val="21"/>
          <w:szCs w:val="21"/>
          <w:u w:val="single"/>
        </w:rPr>
        <w:t xml:space="preserve">项目编号 </w:t>
      </w:r>
      <w:r>
        <w:rPr>
          <w:rFonts w:hint="eastAsia" w:cs="宋体"/>
          <w:color w:val="auto"/>
          <w:sz w:val="21"/>
          <w:szCs w:val="21"/>
        </w:rPr>
        <w:t xml:space="preserve">的 </w:t>
      </w:r>
      <w:r>
        <w:rPr>
          <w:rFonts w:hint="eastAsia" w:cs="宋体"/>
          <w:color w:val="auto"/>
          <w:sz w:val="21"/>
          <w:szCs w:val="21"/>
          <w:u w:val="single"/>
        </w:rPr>
        <w:t>项目名称</w:t>
      </w:r>
      <w:r>
        <w:rPr>
          <w:rFonts w:hint="eastAsia" w:cs="宋体"/>
          <w:color w:val="auto"/>
          <w:sz w:val="21"/>
          <w:szCs w:val="21"/>
          <w:u w:val="single"/>
          <w:lang w:eastAsia="zh-CN"/>
        </w:rPr>
        <w:t>、标段</w:t>
      </w:r>
      <w:r>
        <w:rPr>
          <w:rFonts w:hint="eastAsia" w:cs="宋体"/>
          <w:color w:val="auto"/>
          <w:sz w:val="21"/>
          <w:szCs w:val="21"/>
          <w:u w:val="single"/>
        </w:rPr>
        <w:t xml:space="preserve"> </w:t>
      </w:r>
      <w:r>
        <w:rPr>
          <w:rFonts w:hint="eastAsia" w:cs="宋体"/>
          <w:color w:val="auto"/>
          <w:sz w:val="21"/>
          <w:szCs w:val="21"/>
        </w:rPr>
        <w:t>竞争</w:t>
      </w:r>
      <w:r>
        <w:rPr>
          <w:rFonts w:hint="eastAsia" w:cs="宋体"/>
          <w:iCs/>
          <w:color w:val="auto"/>
          <w:sz w:val="21"/>
          <w:szCs w:val="21"/>
        </w:rPr>
        <w:t>性磋商项目的响应报价</w:t>
      </w:r>
      <w:r>
        <w:rPr>
          <w:rFonts w:hint="eastAsia" w:cs="宋体"/>
          <w:color w:val="auto"/>
          <w:sz w:val="21"/>
          <w:szCs w:val="21"/>
        </w:rPr>
        <w:t>，签署上述项目的</w:t>
      </w:r>
      <w:r>
        <w:rPr>
          <w:rFonts w:hint="eastAsia"/>
          <w:color w:val="auto"/>
          <w:sz w:val="21"/>
          <w:szCs w:val="21"/>
        </w:rPr>
        <w:t>响应文件及合同的</w:t>
      </w:r>
      <w:r>
        <w:rPr>
          <w:color w:val="auto"/>
          <w:sz w:val="21"/>
          <w:szCs w:val="21"/>
        </w:rPr>
        <w:t>执</w:t>
      </w:r>
      <w:r>
        <w:rPr>
          <w:rFonts w:hint="eastAsia"/>
          <w:color w:val="auto"/>
          <w:sz w:val="21"/>
          <w:szCs w:val="21"/>
        </w:rPr>
        <w:t>行、完成、服</w:t>
      </w:r>
      <w:r>
        <w:rPr>
          <w:color w:val="auto"/>
          <w:sz w:val="21"/>
          <w:szCs w:val="21"/>
        </w:rPr>
        <w:t>务</w:t>
      </w:r>
      <w:r>
        <w:rPr>
          <w:rFonts w:hint="eastAsia"/>
          <w:color w:val="auto"/>
          <w:sz w:val="21"/>
          <w:szCs w:val="21"/>
        </w:rPr>
        <w:t>和保修，</w:t>
      </w:r>
      <w:r>
        <w:rPr>
          <w:color w:val="auto"/>
          <w:sz w:val="21"/>
          <w:szCs w:val="21"/>
        </w:rPr>
        <w:t>签</w:t>
      </w:r>
      <w:r>
        <w:rPr>
          <w:rFonts w:hint="eastAsia"/>
          <w:color w:val="auto"/>
          <w:sz w:val="21"/>
          <w:szCs w:val="21"/>
        </w:rPr>
        <w:t>署合同和</w:t>
      </w:r>
      <w:r>
        <w:rPr>
          <w:color w:val="auto"/>
          <w:sz w:val="21"/>
          <w:szCs w:val="21"/>
        </w:rPr>
        <w:t>处</w:t>
      </w:r>
      <w:r>
        <w:rPr>
          <w:rFonts w:hint="eastAsia"/>
          <w:color w:val="auto"/>
          <w:sz w:val="21"/>
          <w:szCs w:val="21"/>
        </w:rPr>
        <w:t>理与之有</w:t>
      </w:r>
      <w:r>
        <w:rPr>
          <w:color w:val="auto"/>
          <w:sz w:val="21"/>
          <w:szCs w:val="21"/>
        </w:rPr>
        <w:t>关的</w:t>
      </w:r>
      <w:r>
        <w:rPr>
          <w:rFonts w:hint="eastAsia"/>
          <w:color w:val="auto"/>
          <w:sz w:val="21"/>
          <w:szCs w:val="21"/>
        </w:rPr>
        <w:t>一切事</w:t>
      </w:r>
      <w:r>
        <w:rPr>
          <w:color w:val="auto"/>
          <w:sz w:val="21"/>
          <w:szCs w:val="21"/>
        </w:rPr>
        <w:t>务</w:t>
      </w:r>
      <w:r>
        <w:rPr>
          <w:rFonts w:hint="eastAsia"/>
          <w:color w:val="auto"/>
          <w:sz w:val="21"/>
          <w:szCs w:val="21"/>
        </w:rPr>
        <w:t>。</w:t>
      </w:r>
    </w:p>
    <w:p>
      <w:pPr>
        <w:pStyle w:val="54"/>
        <w:spacing w:line="480" w:lineRule="auto"/>
        <w:ind w:firstLine="472" w:firstLineChars="225"/>
        <w:jc w:val="left"/>
        <w:rPr>
          <w:rFonts w:cs="宋体"/>
          <w:color w:val="auto"/>
          <w:sz w:val="21"/>
          <w:szCs w:val="21"/>
        </w:rPr>
      </w:pPr>
      <w:r>
        <w:rPr>
          <w:rFonts w:hint="eastAsia" w:cs="宋体"/>
          <w:color w:val="auto"/>
          <w:sz w:val="21"/>
          <w:szCs w:val="21"/>
        </w:rPr>
        <w:t>特此证明。</w:t>
      </w:r>
    </w:p>
    <w:p>
      <w:pPr>
        <w:pStyle w:val="54"/>
        <w:spacing w:line="480" w:lineRule="auto"/>
        <w:ind w:firstLine="472" w:firstLineChars="225"/>
        <w:jc w:val="left"/>
        <w:rPr>
          <w:rFonts w:cs="宋体"/>
          <w:color w:val="auto"/>
          <w:sz w:val="21"/>
          <w:szCs w:val="21"/>
        </w:rPr>
      </w:pPr>
      <w:r>
        <w:rPr>
          <w:rFonts w:hint="eastAsia" w:cs="宋体"/>
          <w:color w:val="auto"/>
          <w:sz w:val="21"/>
          <w:szCs w:val="21"/>
        </w:rPr>
        <w:t>法定代表人（单位负责人）授权代表联系电话（手机）：</w:t>
      </w:r>
    </w:p>
    <w:p>
      <w:pPr>
        <w:pStyle w:val="54"/>
        <w:spacing w:line="480" w:lineRule="auto"/>
        <w:ind w:firstLine="472" w:firstLineChars="225"/>
        <w:jc w:val="left"/>
        <w:rPr>
          <w:rFonts w:cs="宋体"/>
          <w:color w:val="auto"/>
          <w:sz w:val="21"/>
          <w:szCs w:val="21"/>
        </w:rPr>
      </w:pPr>
    </w:p>
    <w:p>
      <w:pPr>
        <w:pStyle w:val="54"/>
        <w:spacing w:line="480" w:lineRule="auto"/>
        <w:ind w:left="-538" w:leftChars="-256" w:firstLine="539" w:firstLineChars="257"/>
        <w:jc w:val="center"/>
        <w:rPr>
          <w:rFonts w:cs="宋体"/>
          <w:bCs/>
          <w:color w:val="auto"/>
          <w:sz w:val="21"/>
          <w:szCs w:val="21"/>
        </w:rPr>
      </w:pPr>
      <w:r>
        <w:rPr>
          <w:rFonts w:hint="eastAsia" w:cs="宋体"/>
          <w:bCs/>
          <w:color w:val="auto"/>
          <w:sz w:val="21"/>
          <w:szCs w:val="21"/>
        </w:rPr>
        <w:t>【此处请粘贴法定代表人（单位负责人）身份证复印件，需清晰反映身份证有效期限】</w:t>
      </w:r>
    </w:p>
    <w:p>
      <w:pPr>
        <w:pStyle w:val="54"/>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宋体"/>
          <w:color w:val="auto"/>
          <w:szCs w:val="21"/>
          <w:u w:val="single"/>
        </w:rPr>
      </w:pPr>
      <w:r>
        <w:rPr>
          <w:rFonts w:hint="eastAsia" w:ascii="宋体" w:hAnsi="宋体" w:eastAsia="宋体" w:cs="宋体"/>
          <w:color w:val="auto"/>
          <w:szCs w:val="21"/>
        </w:rPr>
        <w:t>投标人名称（并加盖公章）：</w:t>
      </w:r>
    </w:p>
    <w:p>
      <w:pPr>
        <w:pStyle w:val="57"/>
        <w:spacing w:before="60" w:line="480" w:lineRule="auto"/>
        <w:ind w:firstLine="3937" w:firstLineChars="1875"/>
        <w:rPr>
          <w:rFonts w:ascii="宋体" w:hAnsi="宋体" w:cs="宋体"/>
          <w:color w:val="auto"/>
          <w:sz w:val="21"/>
          <w:szCs w:val="21"/>
        </w:rPr>
      </w:pPr>
      <w:r>
        <w:rPr>
          <w:rFonts w:hint="eastAsia" w:ascii="宋体" w:hAnsi="宋体" w:cs="宋体"/>
          <w:color w:val="auto"/>
          <w:sz w:val="21"/>
          <w:szCs w:val="21"/>
        </w:rPr>
        <w:t>签署日期：  年  月   日</w:t>
      </w:r>
    </w:p>
    <w:p>
      <w:pPr>
        <w:pStyle w:val="56"/>
        <w:spacing w:line="480" w:lineRule="auto"/>
        <w:rPr>
          <w:rFonts w:ascii="宋体" w:hAnsi="宋体" w:eastAsia="宋体" w:cs="宋体"/>
          <w:color w:val="auto"/>
          <w:sz w:val="21"/>
          <w:szCs w:val="21"/>
        </w:rPr>
      </w:pPr>
    </w:p>
    <w:p>
      <w:pPr>
        <w:rPr>
          <w:rFonts w:ascii="宋体" w:hAnsi="宋体" w:eastAsia="宋体" w:cs="宋体"/>
          <w:color w:val="auto"/>
          <w:szCs w:val="21"/>
        </w:rPr>
      </w:pPr>
    </w:p>
    <w:p>
      <w:pPr>
        <w:spacing w:line="320" w:lineRule="exact"/>
        <w:ind w:firstLine="420" w:firstLineChars="200"/>
        <w:rPr>
          <w:rFonts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说明：法定代表人（单位负责人）参加本招标项目投标的，仅须出具此证明书。</w:t>
      </w:r>
    </w:p>
    <w:p>
      <w:pPr>
        <w:spacing w:line="480" w:lineRule="exact"/>
        <w:jc w:val="center"/>
        <w:rPr>
          <w:rFonts w:ascii="宋体" w:hAnsi="宋体" w:eastAsia="宋体" w:cs="宋体"/>
          <w:b/>
          <w:bCs/>
          <w:color w:val="auto"/>
          <w:sz w:val="36"/>
          <w:szCs w:val="36"/>
        </w:rPr>
      </w:pPr>
    </w:p>
    <w:p>
      <w:pPr>
        <w:pStyle w:val="6"/>
        <w:rPr>
          <w:rFonts w:ascii="宋体" w:hAnsi="宋体" w:cs="宋体"/>
          <w:b/>
          <w:bCs/>
          <w:color w:val="auto"/>
          <w:sz w:val="36"/>
          <w:szCs w:val="36"/>
        </w:rPr>
      </w:pPr>
    </w:p>
    <w:p>
      <w:pPr>
        <w:pStyle w:val="6"/>
        <w:rPr>
          <w:rFonts w:ascii="宋体" w:hAnsi="宋体" w:cs="宋体"/>
          <w:b/>
          <w:bCs/>
          <w:color w:val="auto"/>
          <w:sz w:val="36"/>
          <w:szCs w:val="36"/>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3.3 </w:t>
      </w:r>
      <w:r>
        <w:rPr>
          <w:rFonts w:hint="eastAsia" w:ascii="宋体" w:hAnsi="宋体" w:eastAsia="宋体" w:cs="宋体"/>
          <w:b/>
          <w:bCs/>
          <w:color w:val="auto"/>
          <w:sz w:val="24"/>
          <w:szCs w:val="24"/>
        </w:rPr>
        <w:t>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姓名，职务</w:t>
      </w:r>
      <w:r>
        <w:rPr>
          <w:rFonts w:hint="eastAsia" w:ascii="宋体" w:hAnsi="宋体" w:eastAsia="宋体" w:cs="Arial"/>
          <w:color w:val="auto"/>
          <w:szCs w:val="21"/>
        </w:rPr>
        <w:t>以我方的名义参加贵方_____________________</w:t>
      </w:r>
      <w:r>
        <w:rPr>
          <w:rFonts w:hint="eastAsia" w:ascii="宋体" w:hAnsi="宋体" w:eastAsia="宋体" w:cs="Arial"/>
          <w:color w:val="auto"/>
          <w:szCs w:val="21"/>
          <w:lang w:eastAsia="zh-CN"/>
        </w:rPr>
        <w:t>（</w:t>
      </w:r>
      <w:r>
        <w:rPr>
          <w:rFonts w:hint="eastAsia" w:ascii="宋体" w:hAnsi="宋体" w:eastAsia="宋体" w:cs="Arial"/>
          <w:color w:val="auto"/>
          <w:szCs w:val="21"/>
        </w:rPr>
        <w:t>项目</w:t>
      </w:r>
      <w:r>
        <w:rPr>
          <w:rFonts w:hint="eastAsia" w:ascii="宋体" w:hAnsi="宋体" w:eastAsia="宋体" w:cs="Arial"/>
          <w:color w:val="auto"/>
          <w:szCs w:val="21"/>
          <w:lang w:eastAsia="zh-CN"/>
        </w:rPr>
        <w:t>名称、标段）</w:t>
      </w:r>
      <w:r>
        <w:rPr>
          <w:rFonts w:hint="eastAsia" w:ascii="宋体" w:hAnsi="宋体" w:eastAsia="宋体" w:cs="Arial"/>
          <w:color w:val="auto"/>
          <w:szCs w:val="21"/>
        </w:rPr>
        <w:t>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w:t>
      </w:r>
      <w:r>
        <w:rPr>
          <w:rFonts w:hint="eastAsia" w:ascii="宋体" w:hAnsi="宋体" w:eastAsia="宋体" w:cs="Arial"/>
          <w:color w:val="auto"/>
          <w:szCs w:val="21"/>
          <w:u w:val="single"/>
        </w:rPr>
        <w:t xml:space="preserve">              </w:t>
      </w:r>
      <w:r>
        <w:rPr>
          <w:rFonts w:hint="eastAsia" w:ascii="宋体" w:hAnsi="宋体" w:eastAsia="宋体" w:cs="Arial"/>
          <w:color w:val="auto"/>
          <w:szCs w:val="21"/>
        </w:rPr>
        <w:t>（签字或加盖名章）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w:t>
      </w:r>
      <w:r>
        <w:rPr>
          <w:rFonts w:hint="eastAsia" w:ascii="宋体" w:hAnsi="宋体" w:eastAsia="宋体"/>
          <w:color w:val="auto"/>
          <w:szCs w:val="21"/>
          <w:u w:val="single"/>
        </w:rPr>
        <w:t xml:space="preserve">     </w:t>
      </w:r>
      <w:r>
        <w:rPr>
          <w:rFonts w:hint="eastAsia" w:ascii="宋体" w:hAnsi="宋体" w:eastAsia="宋体"/>
          <w:color w:val="auto"/>
          <w:szCs w:val="21"/>
        </w:rPr>
        <w:t>（签字或加盖名章）</w:t>
      </w:r>
    </w:p>
    <w:p>
      <w:pPr>
        <w:spacing w:line="480" w:lineRule="auto"/>
        <w:ind w:firstLine="420" w:firstLineChars="200"/>
        <w:rPr>
          <w:rFonts w:ascii="宋体" w:hAnsi="宋体" w:eastAsia="宋体"/>
          <w:color w:val="auto"/>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color w:val="auto"/>
                <w:szCs w:val="21"/>
              </w:rPr>
            </w:pPr>
            <w:bookmarkStart w:id="54" w:name="_资格证明文件"/>
            <w:bookmarkEnd w:id="54"/>
            <w:bookmarkStart w:id="55" w:name="_Toc364329026"/>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（正面）</w:t>
            </w:r>
            <w:bookmarkEnd w:id="55"/>
          </w:p>
        </w:tc>
        <w:tc>
          <w:tcPr>
            <w:tcW w:w="4492" w:type="dxa"/>
            <w:gridSpan w:val="2"/>
            <w:vAlign w:val="center"/>
          </w:tcPr>
          <w:p>
            <w:pPr>
              <w:jc w:val="center"/>
              <w:rPr>
                <w:rFonts w:ascii="宋体" w:hAnsi="宋体" w:eastAsia="宋体" w:cs="宋体"/>
                <w:color w:val="auto"/>
                <w:szCs w:val="21"/>
              </w:rPr>
            </w:pPr>
            <w:bookmarkStart w:id="56" w:name="_Toc364329027"/>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（反面）</w:t>
            </w:r>
            <w:bookmarkEnd w:id="56"/>
          </w:p>
        </w:tc>
      </w:tr>
    </w:tbl>
    <w:p>
      <w:pPr>
        <w:spacing w:line="320" w:lineRule="exact"/>
        <w:ind w:left="2" w:firstLine="357" w:firstLineChars="149"/>
        <w:rPr>
          <w:rFonts w:ascii="宋体" w:hAnsi="宋体" w:eastAsia="宋体" w:cs="宋体"/>
          <w:color w:val="auto"/>
          <w:sz w:val="24"/>
          <w:szCs w:val="24"/>
        </w:rPr>
      </w:pPr>
    </w:p>
    <w:p>
      <w:pPr>
        <w:pStyle w:val="6"/>
        <w:rPr>
          <w:rFonts w:ascii="宋体" w:hAnsi="宋体" w:cs="宋体"/>
          <w:color w:val="auto"/>
          <w:sz w:val="24"/>
          <w:szCs w:val="24"/>
        </w:rPr>
      </w:pPr>
    </w:p>
    <w:p>
      <w:pPr>
        <w:pStyle w:val="6"/>
        <w:rPr>
          <w:rFonts w:ascii="宋体" w:hAnsi="宋体" w:cs="宋体"/>
          <w:color w:val="auto"/>
          <w:sz w:val="24"/>
          <w:szCs w:val="24"/>
        </w:rPr>
      </w:pPr>
    </w:p>
    <w:p>
      <w:pPr>
        <w:widowControl/>
        <w:spacing w:before="100" w:beforeAutospacing="1" w:after="100" w:afterAutospacing="1" w:line="360" w:lineRule="auto"/>
        <w:jc w:val="center"/>
        <w:rPr>
          <w:rFonts w:ascii="宋体" w:hAnsi="宋体" w:eastAsia="宋体" w:cs="宋体"/>
          <w:color w:val="auto"/>
          <w:szCs w:val="21"/>
          <w:lang w:val="zh-CN"/>
        </w:rPr>
      </w:pPr>
      <w:r>
        <w:rPr>
          <w:rFonts w:ascii="宋体" w:hAnsi="宋体" w:eastAsia="宋体" w:cs="宋体"/>
          <w:b/>
          <w:bCs/>
          <w:color w:val="auto"/>
          <w:sz w:val="24"/>
          <w:szCs w:val="24"/>
        </w:rPr>
        <w:t>3.</w:t>
      </w:r>
      <w:r>
        <w:rPr>
          <w:rFonts w:hint="eastAsia" w:ascii="宋体" w:hAnsi="宋体" w:eastAsia="宋体" w:cs="宋体"/>
          <w:b/>
          <w:bCs/>
          <w:color w:val="auto"/>
          <w:sz w:val="24"/>
          <w:szCs w:val="24"/>
        </w:rPr>
        <w:t>4磋商承诺函</w:t>
      </w:r>
    </w:p>
    <w:p>
      <w:pPr>
        <w:spacing w:beforeLines="50" w:afterLines="50" w:line="48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（招标编号、项目名称、</w:t>
      </w:r>
      <w:r>
        <w:rPr>
          <w:rFonts w:hint="eastAsia" w:ascii="宋体" w:hAnsi="宋体" w:eastAsia="宋体" w:cs="宋体"/>
          <w:color w:val="auto"/>
          <w:szCs w:val="21"/>
          <w:lang w:val="zh-CN" w:eastAsia="zh-CN"/>
        </w:rPr>
        <w:t>标段</w:t>
      </w:r>
      <w:r>
        <w:rPr>
          <w:rFonts w:hint="eastAsia" w:ascii="宋体" w:hAnsi="宋体" w:eastAsia="宋体" w:cs="宋体"/>
          <w:color w:val="auto"/>
          <w:szCs w:val="21"/>
          <w:lang w:val="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五、法律法规及本招标文件规定的其他严重违法行为。</w:t>
      </w:r>
    </w:p>
    <w:p>
      <w:pPr>
        <w:spacing w:line="480" w:lineRule="auto"/>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ascii="宋体" w:hAnsi="宋体" w:eastAsia="宋体" w:cs="宋体"/>
          <w:color w:val="auto"/>
          <w:sz w:val="24"/>
          <w:lang w:val="zh-CN"/>
        </w:rPr>
        <w:br w:type="page"/>
      </w:r>
      <w:r>
        <w:rPr>
          <w:rFonts w:hint="eastAsia" w:ascii="宋体" w:hAnsi="宋体" w:eastAsia="宋体"/>
          <w:b/>
          <w:bCs/>
          <w:color w:val="auto"/>
          <w:sz w:val="24"/>
          <w:szCs w:val="24"/>
        </w:rPr>
        <w:t>3</w:t>
      </w:r>
      <w:r>
        <w:rPr>
          <w:rFonts w:ascii="宋体" w:hAnsi="宋体" w:eastAsia="宋体"/>
          <w:b/>
          <w:bCs/>
          <w:color w:val="auto"/>
          <w:sz w:val="24"/>
          <w:szCs w:val="24"/>
        </w:rPr>
        <w:t>.</w:t>
      </w:r>
      <w:r>
        <w:rPr>
          <w:rFonts w:hint="eastAsia" w:ascii="宋体" w:hAnsi="宋体" w:eastAsia="宋体"/>
          <w:b/>
          <w:bCs/>
          <w:color w:val="auto"/>
          <w:sz w:val="24"/>
          <w:szCs w:val="24"/>
        </w:rPr>
        <w:t>5禹州市政府采购供应商信用承诺函</w:t>
      </w:r>
    </w:p>
    <w:p>
      <w:pPr>
        <w:rPr>
          <w:rFonts w:ascii="宋体" w:hAnsi="宋体" w:eastAsia="宋体" w:cs="宋体"/>
          <w:color w:val="auto"/>
          <w:szCs w:val="21"/>
          <w:lang w:val="zh-CN"/>
        </w:rPr>
      </w:pPr>
      <w:r>
        <w:rPr>
          <w:rFonts w:hint="eastAsia" w:ascii="宋体" w:hAnsi="宋体" w:eastAsia="宋体" w:cs="宋体"/>
          <w:color w:val="auto"/>
          <w:szCs w:val="21"/>
          <w:lang w:val="zh-CN"/>
        </w:rPr>
        <w:t xml:space="preserve"> </w:t>
      </w:r>
    </w:p>
    <w:p>
      <w:pPr>
        <w:spacing w:line="600" w:lineRule="exac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rPr>
          <w:rFonts w:ascii="宋体" w:hAnsi="宋体" w:eastAsia="宋体" w:cs="宋体"/>
          <w:color w:val="auto"/>
          <w:szCs w:val="21"/>
          <w:lang w:val="zh-CN"/>
        </w:rPr>
      </w:pPr>
    </w:p>
    <w:p>
      <w:pPr>
        <w:rPr>
          <w:rFonts w:ascii="宋体" w:hAnsi="宋体" w:eastAsia="宋体" w:cs="华文仿宋"/>
          <w:color w:val="auto"/>
          <w:szCs w:val="21"/>
        </w:rPr>
      </w:pPr>
    </w:p>
    <w:p>
      <w:pPr>
        <w:spacing w:line="360" w:lineRule="auto"/>
        <w:rPr>
          <w:rFonts w:ascii="宋体" w:hAnsi="宋体" w:eastAsia="宋体"/>
          <w:color w:val="auto"/>
        </w:rPr>
      </w:pPr>
      <w:r>
        <w:rPr>
          <w:rFonts w:hint="eastAsia" w:ascii="宋体" w:hAnsi="宋体" w:eastAsia="宋体" w:cs="华文仿宋"/>
          <w:color w:val="auto"/>
          <w:szCs w:val="21"/>
        </w:rPr>
        <w:t>注：1.供应商须在磋商文件中按此模板提供承诺函，未提供视为未实质性响应磋商文件要求，按无效投标处理。</w:t>
      </w:r>
    </w:p>
    <w:p>
      <w:pPr>
        <w:spacing w:line="360" w:lineRule="auto"/>
        <w:rPr>
          <w:rFonts w:ascii="宋体" w:hAnsi="宋体" w:eastAsia="宋体"/>
          <w:color w:val="auto"/>
        </w:rPr>
      </w:pPr>
      <w:r>
        <w:rPr>
          <w:rFonts w:hint="eastAsia" w:ascii="宋体" w:hAnsi="宋体" w:eastAsia="宋体" w:cs="华文仿宋"/>
          <w:color w:val="auto"/>
          <w:szCs w:val="21"/>
        </w:rPr>
        <w:t>2.供应商的法定代表人或者授权代表的签字或盖章应真实、有效，如由授权代表签字或盖章的，应提供“法定代表人授权书”。</w:t>
      </w:r>
    </w:p>
    <w:p>
      <w:pPr>
        <w:rPr>
          <w:rFonts w:ascii="宋体" w:hAnsi="宋体" w:eastAsia="宋体"/>
          <w:color w:val="auto"/>
          <w:sz w:val="32"/>
          <w:szCs w:val="32"/>
        </w:rPr>
      </w:pPr>
    </w:p>
    <w:p>
      <w:pPr>
        <w:rPr>
          <w:rFonts w:ascii="宋体" w:hAnsi="宋体" w:eastAsia="宋体"/>
          <w:color w:val="auto"/>
          <w:sz w:val="32"/>
          <w:szCs w:val="32"/>
        </w:rPr>
      </w:pPr>
    </w:p>
    <w:p>
      <w:pPr>
        <w:ind w:firstLine="420" w:firstLineChars="200"/>
        <w:rPr>
          <w:rFonts w:ascii="宋体" w:hAnsi="宋体" w:eastAsia="宋体"/>
          <w:color w:val="auto"/>
        </w:rPr>
      </w:pPr>
    </w:p>
    <w:p>
      <w:pPr>
        <w:ind w:firstLine="420" w:firstLineChars="200"/>
        <w:rPr>
          <w:rFonts w:ascii="宋体" w:hAnsi="宋体" w:eastAsia="宋体"/>
          <w:color w:val="auto"/>
          <w:lang w:val="zh-CN"/>
        </w:rPr>
      </w:pPr>
    </w:p>
    <w:p>
      <w:pPr>
        <w:ind w:firstLine="420" w:firstLineChars="200"/>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pStyle w:val="2"/>
        <w:numPr>
          <w:ilvl w:val="0"/>
          <w:numId w:val="0"/>
        </w:numPr>
        <w:ind w:left="288" w:leftChars="0"/>
        <w:rPr>
          <w:color w:val="auto"/>
          <w:lang w:val="zh-CN"/>
        </w:rPr>
      </w:pPr>
    </w:p>
    <w:p>
      <w:pPr>
        <w:rPr>
          <w:color w:val="auto"/>
          <w:lang w:val="zh-CN"/>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i/>
          <w:color w:val="auto"/>
          <w:u w:val="single"/>
          <w:lang w:eastAsia="zh-CN"/>
        </w:rPr>
        <w:t>、标段</w:t>
      </w:r>
      <w:r>
        <w:rPr>
          <w:rFonts w:hint="eastAsia" w:ascii="宋体" w:hAnsi="宋体" w:eastAsia="宋体"/>
          <w:i/>
          <w:color w:val="auto"/>
          <w:u w:val="single"/>
        </w:rPr>
        <w:t>）</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7</w:t>
      </w:r>
      <w:r>
        <w:rPr>
          <w:rFonts w:hint="eastAsia" w:ascii="宋体" w:hAnsi="宋体" w:eastAsia="宋体"/>
          <w:b/>
          <w:bCs/>
          <w:color w:val="auto"/>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outlineLvl w:val="0"/>
        <w:rPr>
          <w:rFonts w:ascii="宋体" w:hAnsi="宋体" w:eastAsia="宋体" w:cs="宋体"/>
          <w:color w:val="auto"/>
          <w:sz w:val="24"/>
          <w:lang w:val="zh-CN"/>
        </w:rPr>
      </w:pPr>
    </w:p>
    <w:p>
      <w:pPr>
        <w:pStyle w:val="6"/>
        <w:rPr>
          <w:rFonts w:ascii="宋体" w:hAnsi="宋体"/>
          <w:color w:val="auto"/>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其他资格证书或材料</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项目名称</w:t>
      </w:r>
      <w:r>
        <w:rPr>
          <w:rFonts w:hint="eastAsia" w:ascii="宋体" w:hAnsi="宋体" w:eastAsia="宋体"/>
          <w:color w:val="auto"/>
          <w:szCs w:val="21"/>
          <w:lang w:eastAsia="zh-CN"/>
        </w:rPr>
        <w:t>、标段</w:t>
      </w:r>
      <w:r>
        <w:rPr>
          <w:rFonts w:hint="eastAsia" w:ascii="宋体" w:hAnsi="宋体" w:eastAsia="宋体"/>
          <w:color w:val="auto"/>
          <w:szCs w:val="21"/>
        </w:rPr>
        <w:t xml:space="preserve">：   </w:t>
      </w:r>
    </w:p>
    <w:tbl>
      <w:tblPr>
        <w:tblStyle w:val="26"/>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3"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1"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品牌规格型号</w:t>
            </w:r>
          </w:p>
        </w:tc>
        <w:tc>
          <w:tcPr>
            <w:tcW w:w="1261"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3"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7"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1" w:type="dxa"/>
            <w:tcBorders>
              <w:top w:val="single" w:color="auto" w:sz="4"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3" w:type="dxa"/>
            <w:tcBorders>
              <w:top w:val="single" w:color="auto" w:sz="4" w:space="0"/>
              <w:left w:val="single" w:color="auto" w:sz="6" w:space="0"/>
              <w:bottom w:val="single" w:color="auto" w:sz="4" w:space="0"/>
              <w:right w:val="single" w:color="auto" w:sz="4" w:space="0"/>
            </w:tcBorders>
            <w:shd w:val="clear" w:color="auto" w:fill="auto"/>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1</w:t>
            </w:r>
          </w:p>
        </w:tc>
        <w:tc>
          <w:tcPr>
            <w:tcW w:w="1134"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1"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1"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7"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1"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auto"/>
                <w:szCs w:val="21"/>
              </w:rPr>
            </w:pPr>
            <w:r>
              <w:rPr>
                <w:rFonts w:hint="eastAsia" w:ascii="宋体" w:hAnsi="宋体" w:eastAsia="宋体" w:cs="宋体"/>
                <w:color w:val="auto"/>
                <w:szCs w:val="21"/>
                <w:lang w:val="zh-CN"/>
              </w:rPr>
              <w:t>合计</w:t>
            </w:r>
          </w:p>
        </w:tc>
        <w:tc>
          <w:tcPr>
            <w:tcW w:w="773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pStyle w:val="25"/>
        <w:rPr>
          <w:rFonts w:ascii="宋体" w:hAnsi="宋体" w:eastAsia="宋体"/>
          <w:color w:val="auto"/>
        </w:rPr>
      </w:pPr>
    </w:p>
    <w:p>
      <w:pPr>
        <w:pStyle w:val="16"/>
        <w:ind w:left="5250" w:firstLine="34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项目名称</w:t>
      </w:r>
      <w:r>
        <w:rPr>
          <w:rFonts w:hint="eastAsia" w:ascii="宋体" w:hAnsi="宋体" w:eastAsia="宋体"/>
          <w:color w:val="auto"/>
          <w:szCs w:val="21"/>
          <w:lang w:eastAsia="zh-CN"/>
        </w:rPr>
        <w:t>、标段</w:t>
      </w:r>
      <w:r>
        <w:rPr>
          <w:rFonts w:hint="eastAsia" w:ascii="宋体" w:hAnsi="宋体" w:eastAsia="宋体"/>
          <w:color w:val="auto"/>
          <w:szCs w:val="21"/>
        </w:rPr>
        <w:t xml:space="preserve">：   </w:t>
      </w:r>
    </w:p>
    <w:tbl>
      <w:tblPr>
        <w:tblStyle w:val="26"/>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磋商文件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3</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技术方案（实施方案）</w:t>
      </w:r>
    </w:p>
    <w:p>
      <w:pPr>
        <w:snapToGrid w:val="0"/>
        <w:spacing w:line="360" w:lineRule="auto"/>
        <w:jc w:val="center"/>
        <w:rPr>
          <w:rFonts w:ascii="宋体" w:hAnsi="宋体" w:eastAsia="宋体" w:cs="宋体"/>
          <w:b/>
          <w:snapToGrid w:val="0"/>
          <w:color w:val="auto"/>
          <w:kern w:val="0"/>
          <w:szCs w:val="21"/>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pStyle w:val="25"/>
        <w:rPr>
          <w:color w:val="auto"/>
          <w:lang w:val="zh-CN"/>
        </w:rPr>
      </w:pPr>
    </w:p>
    <w:p>
      <w:pPr>
        <w:pStyle w:val="16"/>
        <w:ind w:left="525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宋体"/>
          <w:b/>
          <w:bCs/>
          <w:color w:val="auto"/>
          <w:sz w:val="28"/>
          <w:szCs w:val="28"/>
        </w:rPr>
      </w:pPr>
      <w:r>
        <w:rPr>
          <w:rFonts w:ascii="宋体" w:hAnsi="宋体" w:eastAsia="宋体" w:cs="宋体"/>
          <w:b/>
          <w:bCs/>
          <w:color w:val="auto"/>
          <w:szCs w:val="21"/>
        </w:rPr>
        <w:t>4.</w:t>
      </w:r>
      <w:r>
        <w:rPr>
          <w:rFonts w:hint="eastAsia" w:ascii="宋体" w:hAnsi="宋体" w:eastAsia="宋体" w:cs="宋体"/>
          <w:b/>
          <w:bCs/>
          <w:color w:val="auto"/>
          <w:szCs w:val="21"/>
        </w:rPr>
        <w:t>4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项目名称</w:t>
      </w:r>
      <w:r>
        <w:rPr>
          <w:rFonts w:hint="eastAsia" w:ascii="宋体" w:hAnsi="宋体" w:eastAsia="宋体"/>
          <w:color w:val="auto"/>
          <w:szCs w:val="21"/>
          <w:lang w:eastAsia="zh-CN"/>
        </w:rPr>
        <w:t>、标段</w:t>
      </w:r>
      <w:r>
        <w:rPr>
          <w:rFonts w:hint="eastAsia" w:ascii="宋体" w:hAnsi="宋体" w:eastAsia="宋体" w:cs="宋体"/>
          <w:color w:val="auto"/>
          <w:szCs w:val="21"/>
        </w:rPr>
        <w:t>：</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hAnsi="宋体" w:eastAsia="宋体" w:cs="宋体"/>
                <w:color w:val="auto"/>
                <w:szCs w:val="21"/>
              </w:rPr>
            </w:pPr>
          </w:p>
        </w:tc>
        <w:tc>
          <w:tcPr>
            <w:tcW w:w="357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snapToGrid w:val="0"/>
        <w:spacing w:line="360" w:lineRule="auto"/>
        <w:jc w:val="center"/>
        <w:rPr>
          <w:rFonts w:ascii="宋体" w:hAnsi="宋体" w:eastAsia="宋体" w:cs="宋体"/>
          <w:b/>
          <w:snapToGrid w:val="0"/>
          <w:color w:val="auto"/>
          <w:kern w:val="0"/>
          <w:sz w:val="36"/>
          <w:szCs w:val="36"/>
        </w:rPr>
      </w:pPr>
    </w:p>
    <w:p>
      <w:pPr>
        <w:pStyle w:val="9"/>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6"/>
        <w:ind w:left="0" w:leftChars="0" w:firstLine="0" w:firstLineChars="0"/>
        <w:rPr>
          <w:rFonts w:ascii="宋体" w:hAnsi="宋体" w:eastAsia="宋体"/>
          <w:color w:val="auto"/>
        </w:rPr>
      </w:pP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r>
        <w:rPr>
          <w:rFonts w:hint="eastAsia" w:ascii="宋体" w:hAnsi="宋体" w:eastAsia="宋体"/>
          <w:color w:val="auto"/>
          <w:szCs w:val="21"/>
          <w:lang w:eastAsia="zh-CN"/>
        </w:rPr>
        <w:t>、标段</w:t>
      </w:r>
      <w:r>
        <w:rPr>
          <w:rFonts w:hint="eastAsia" w:ascii="宋体" w:hAnsi="宋体" w:eastAsia="宋体"/>
          <w:color w:val="auto"/>
          <w:szCs w:val="21"/>
        </w:rPr>
        <w:t>：</w:t>
      </w:r>
    </w:p>
    <w:p>
      <w:pPr>
        <w:tabs>
          <w:tab w:val="left" w:pos="1800"/>
          <w:tab w:val="left" w:pos="5580"/>
        </w:tabs>
        <w:spacing w:line="360" w:lineRule="auto"/>
        <w:rPr>
          <w:rFonts w:ascii="宋体" w:hAnsi="宋体" w:eastAsia="宋体"/>
          <w:color w:val="auto"/>
          <w:szCs w:val="21"/>
        </w:rPr>
      </w:pPr>
    </w:p>
    <w:tbl>
      <w:tblPr>
        <w:tblStyle w:val="26"/>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r>
        <w:rPr>
          <w:rFonts w:hint="eastAsia" w:ascii="宋体" w:hAnsi="宋体" w:eastAsia="宋体"/>
          <w:color w:val="auto"/>
          <w:szCs w:val="21"/>
          <w:lang w:eastAsia="zh-CN"/>
        </w:rPr>
        <w:t>、标段</w:t>
      </w:r>
      <w:r>
        <w:rPr>
          <w:rFonts w:hint="eastAsia" w:ascii="宋体" w:hAnsi="宋体" w:eastAsia="宋体"/>
          <w:color w:val="auto"/>
          <w:szCs w:val="21"/>
        </w:rPr>
        <w:t>：</w:t>
      </w:r>
    </w:p>
    <w:p>
      <w:pPr>
        <w:tabs>
          <w:tab w:val="left" w:pos="1800"/>
          <w:tab w:val="left" w:pos="5580"/>
        </w:tabs>
        <w:spacing w:line="360" w:lineRule="auto"/>
        <w:rPr>
          <w:rFonts w:ascii="宋体" w:hAnsi="宋体" w:eastAsia="宋体"/>
          <w:color w:val="auto"/>
          <w:szCs w:val="21"/>
        </w:rPr>
      </w:pPr>
    </w:p>
    <w:tbl>
      <w:tblPr>
        <w:tblStyle w:val="26"/>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r>
        <w:rPr>
          <w:rFonts w:hint="eastAsia" w:ascii="宋体" w:hAnsi="宋体" w:eastAsia="宋体"/>
          <w:color w:val="auto"/>
          <w:szCs w:val="21"/>
          <w:lang w:eastAsia="zh-CN"/>
        </w:rPr>
        <w:t>、标段</w:t>
      </w:r>
      <w:r>
        <w:rPr>
          <w:rFonts w:hint="eastAsia" w:ascii="宋体" w:hAnsi="宋体" w:eastAsia="宋体"/>
          <w:color w:val="auto"/>
          <w:szCs w:val="21"/>
        </w:rPr>
        <w:t>：</w:t>
      </w:r>
    </w:p>
    <w:p>
      <w:pPr>
        <w:tabs>
          <w:tab w:val="left" w:pos="1800"/>
          <w:tab w:val="left" w:pos="5580"/>
        </w:tabs>
        <w:spacing w:line="360" w:lineRule="auto"/>
        <w:rPr>
          <w:rFonts w:ascii="宋体" w:hAnsi="宋体" w:eastAsia="宋体"/>
          <w:color w:val="auto"/>
          <w:szCs w:val="21"/>
        </w:rPr>
      </w:pPr>
    </w:p>
    <w:tbl>
      <w:tblPr>
        <w:tblStyle w:val="26"/>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firstLine="340"/>
        <w:rPr>
          <w:rFonts w:ascii="宋体" w:hAnsi="宋体" w:eastAsia="宋体"/>
          <w:color w:val="auto"/>
        </w:rPr>
      </w:pPr>
    </w:p>
    <w:p>
      <w:pPr>
        <w:pStyle w:val="52"/>
        <w:ind w:left="0" w:leftChars="0"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9</w:t>
      </w:r>
      <w:r>
        <w:rPr>
          <w:rFonts w:hint="eastAsia" w:ascii="宋体" w:hAnsi="宋体" w:eastAsia="宋体"/>
          <w:b/>
          <w:bCs/>
          <w:color w:val="auto"/>
          <w:sz w:val="24"/>
          <w:szCs w:val="24"/>
        </w:rPr>
        <w:t>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w:t>
      </w:r>
      <w:r>
        <w:rPr>
          <w:rFonts w:ascii="宋体" w:hAnsi="宋体" w:eastAsia="宋体"/>
          <w:color w:val="auto"/>
          <w:szCs w:val="21"/>
        </w:rPr>
        <w:t>/□不符合）</w:t>
      </w:r>
      <w:r>
        <w:rPr>
          <w:rFonts w:hint="eastAsia" w:ascii="宋体" w:hAnsi="宋体" w:eastAsia="宋体"/>
          <w:color w:val="auto"/>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
        <w:numPr>
          <w:ilvl w:val="0"/>
          <w:numId w:val="0"/>
        </w:numPr>
        <w:ind w:left="288" w:leftChars="0"/>
        <w:rPr>
          <w:color w:val="auto"/>
        </w:rPr>
      </w:pPr>
    </w:p>
    <w:p>
      <w:pPr>
        <w:rPr>
          <w:color w:val="auto"/>
        </w:rPr>
      </w:pPr>
    </w:p>
    <w:p>
      <w:pPr>
        <w:pStyle w:val="2"/>
        <w:numPr>
          <w:ilvl w:val="0"/>
          <w:numId w:val="0"/>
        </w:numPr>
        <w:ind w:left="288" w:leftChars="0"/>
        <w:rPr>
          <w:color w:val="auto"/>
        </w:rPr>
      </w:pPr>
    </w:p>
    <w:p>
      <w:pPr>
        <w:rPr>
          <w:color w:val="auto"/>
        </w:rPr>
      </w:pPr>
    </w:p>
    <w:p>
      <w:pPr>
        <w:pStyle w:val="2"/>
        <w:numPr>
          <w:ilvl w:val="0"/>
          <w:numId w:val="0"/>
        </w:numPr>
        <w:ind w:left="288" w:leftChars="0"/>
        <w:rPr>
          <w:color w:val="auto"/>
        </w:rPr>
      </w:pPr>
    </w:p>
    <w:p>
      <w:pPr>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除磋商文件另有规定外，供应商认为需要提交的其他证明材料或资料加盖供应商公章后应在此项下提交。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cs="宋体"/>
          <w:color w:val="auto"/>
        </w:rPr>
      </w:pPr>
    </w:p>
    <w:p>
      <w:pPr>
        <w:pStyle w:val="16"/>
        <w:ind w:left="0" w:leftChars="0"/>
        <w:rPr>
          <w:rFonts w:ascii="宋体" w:hAnsi="宋体" w:eastAsia="宋体"/>
          <w:color w:val="auto"/>
        </w:rPr>
      </w:pPr>
    </w:p>
    <w:sectPr>
      <w:footerReference r:id="rId9" w:type="default"/>
      <w:pgSz w:w="11906" w:h="16838"/>
      <w:pgMar w:top="1440" w:right="1800" w:bottom="1440" w:left="1800" w:header="851" w:footer="1020"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3820160</wp:posOffset>
              </wp:positionH>
              <wp:positionV relativeFrom="page">
                <wp:posOffset>10133330</wp:posOffset>
              </wp:positionV>
              <wp:extent cx="170815" cy="73025"/>
              <wp:effectExtent l="0" t="0" r="0" b="0"/>
              <wp:wrapNone/>
              <wp:docPr id="10" name="Shape 10"/>
              <wp:cNvGraphicFramePr/>
              <a:graphic xmlns:a="http://schemas.openxmlformats.org/drawingml/2006/main">
                <a:graphicData uri="http://schemas.microsoft.com/office/word/2010/wordprocessingShape">
                  <wps:wsp>
                    <wps:cNvSpPr txBox="1"/>
                    <wps:spPr>
                      <a:xfrm>
                        <a:off x="0" y="0"/>
                        <a:ext cx="170815" cy="73025"/>
                      </a:xfrm>
                      <a:prstGeom prst="rect">
                        <a:avLst/>
                      </a:prstGeom>
                      <a:noFill/>
                      <a:ln>
                        <a:noFill/>
                      </a:ln>
                      <a:effectLst/>
                    </wps:spPr>
                    <wps:txbx>
                      <w:txbxContent>
                        <w:p>
                          <w:pPr>
                            <w:pStyle w:val="94"/>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wps:txbx>
                    <wps:bodyPr wrap="none" lIns="0" tIns="0" rIns="0" bIns="0">
                      <a:spAutoFit/>
                    </wps:bodyPr>
                  </wps:wsp>
                </a:graphicData>
              </a:graphic>
            </wp:anchor>
          </w:drawing>
        </mc:Choice>
        <mc:Fallback>
          <w:pict>
            <v:shape id="Shape 10" o:spid="_x0000_s1026" o:spt="202" type="#_x0000_t202" style="position:absolute;left:0pt;margin-left:300.8pt;margin-top:797.9pt;height:5.75pt;width:13.45pt;mso-position-horizontal-relative:page;mso-position-vertical-relative:page;mso-wrap-style:none;z-index:-251657216;mso-width-relative:page;mso-height-relative:page;" filled="f" stroked="f" coordsize="21600,21600" o:gfxdata="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3hF52AAAAA0BAAAPAAAAAAAAAAEAIAAAACIAAABkcnMvZG93bnJldi54bWxQSwECFAAU&#10;AAAACACHTuJAyYFeT7gBAACWAwAADgAAAAAAAAABACAAAAAnAQAAZHJzL2Uyb0RvYy54bWxQSwUG&#10;AAAAAAYABgBZAQAAUQUAAAAA&#10;">
              <v:fill on="f" focussize="0,0"/>
              <v:stroke on="f"/>
              <v:imagedata o:title=""/>
              <o:lock v:ext="edit" aspectratio="f"/>
              <v:textbox inset="0mm,0mm,0mm,0mm" style="mso-fit-shape-to-text:t;">
                <w:txbxContent>
                  <w:p>
                    <w:pPr>
                      <w:pStyle w:val="94"/>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eastAsiaTheme="minorEastAsia"/>
        <w:lang w:val="en-US" w:eastAsia="zh-CN"/>
      </w:rPr>
    </w:pPr>
    <w:r>
      <w:rPr>
        <w:rFonts w:hint="eastAsia"/>
        <w:lang w:val="en-US" w:eastAsia="zh-CN"/>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vpmnh5wEAAMc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10120630</wp:posOffset>
              </wp:positionV>
              <wp:extent cx="173990" cy="76200"/>
              <wp:effectExtent l="0" t="0" r="0" b="0"/>
              <wp:wrapNone/>
              <wp:docPr id="14" name="Shape 14"/>
              <wp:cNvGraphicFramePr/>
              <a:graphic xmlns:a="http://schemas.openxmlformats.org/drawingml/2006/main">
                <a:graphicData uri="http://schemas.microsoft.com/office/word/2010/wordprocessingShape">
                  <wps:wsp>
                    <wps:cNvSpPr txBox="1"/>
                    <wps:spPr>
                      <a:xfrm>
                        <a:off x="0" y="0"/>
                        <a:ext cx="173990" cy="76200"/>
                      </a:xfrm>
                      <a:prstGeom prst="rect">
                        <a:avLst/>
                      </a:prstGeom>
                      <a:noFill/>
                      <a:ln>
                        <a:noFill/>
                      </a:ln>
                      <a:effectLst/>
                    </wps:spPr>
                    <wps:txbx>
                      <w:txbxContent>
                        <w:p>
                          <w:pPr>
                            <w:pStyle w:val="9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wps:txbx>
                    <wps:bodyPr wrap="none" lIns="0" tIns="0" rIns="0" bIns="0">
                      <a:spAutoFit/>
                    </wps:bodyPr>
                  </wps:wsp>
                </a:graphicData>
              </a:graphic>
            </wp:anchor>
          </w:drawing>
        </mc:Choice>
        <mc:Fallback>
          <w:pict>
            <v:shape id="Shape 14" o:spid="_x0000_s1026" o:spt="202" type="#_x0000_t202" style="position:absolute;left:0pt;margin-left:293.35pt;margin-top:796.9pt;height:6pt;width:13.7pt;mso-position-horizontal-relative:page;mso-position-vertical-relative:page;mso-wrap-style:none;z-index:-251657216;mso-width-relative:page;mso-height-relative:page;" filled="f" stroked="f" coordsize="21600,21600" o:gfxdata="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IJuw2AAAAA0BAAAPAAAAAAAAAAEAIAAAACIAAABkcnMvZG93bnJldi54bWxQSwECFAAU&#10;AAAACACHTuJAstKRYbgBAACWAwAADgAAAAAAAAABACAAAAAnAQAAZHJzL2Uyb0RvYy54bWxQSwUG&#10;AAAAAAYABgBZAQAAUQUAAAAA&#10;">
              <v:fill on="f" focussize="0,0"/>
              <v:stroke on="f"/>
              <v:imagedata o:title=""/>
              <o:lock v:ext="edit" aspectratio="f"/>
              <v:textbox inset="0mm,0mm,0mm,0mm" style="mso-fit-shape-to-text:t;">
                <w:txbxContent>
                  <w:p>
                    <w:pPr>
                      <w:pStyle w:val="9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l5BSi5wEAAMc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
    <w:nsid w:val="9A36BDE7"/>
    <w:multiLevelType w:val="singleLevel"/>
    <w:tmpl w:val="9A36BDE7"/>
    <w:lvl w:ilvl="0" w:tentative="0">
      <w:start w:val="1"/>
      <w:numFmt w:val="decimal"/>
      <w:suff w:val="nothing"/>
      <w:lvlText w:val="%1、"/>
      <w:lvlJc w:val="left"/>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C8879AEF"/>
    <w:multiLevelType w:val="singleLevel"/>
    <w:tmpl w:val="C8879AEF"/>
    <w:lvl w:ilvl="0" w:tentative="0">
      <w:start w:val="1"/>
      <w:numFmt w:val="decimal"/>
      <w:lvlText w:val="%1."/>
      <w:lvlJc w:val="left"/>
      <w:pPr>
        <w:ind w:left="30"/>
      </w:pPr>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00000014"/>
    <w:multiLevelType w:val="multilevel"/>
    <w:tmpl w:val="00000014"/>
    <w:lvl w:ilvl="0" w:tentative="0">
      <w:start w:val="1"/>
      <w:numFmt w:val="decimal"/>
      <w:pStyle w:val="5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0">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1">
    <w:nsid w:val="25B654F3"/>
    <w:multiLevelType w:val="singleLevel"/>
    <w:tmpl w:val="25B654F3"/>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2">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3">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4">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59F817E8"/>
    <w:multiLevelType w:val="singleLevel"/>
    <w:tmpl w:val="59F817E8"/>
    <w:lvl w:ilvl="0" w:tentative="0">
      <w:start w:val="1"/>
      <w:numFmt w:val="chineseCounting"/>
      <w:pStyle w:val="61"/>
      <w:suff w:val="nothing"/>
      <w:lvlText w:val="%1、"/>
      <w:lvlJc w:val="left"/>
      <w:pPr>
        <w:ind w:left="0" w:firstLine="0"/>
      </w:pPr>
    </w:lvl>
  </w:abstractNum>
  <w:abstractNum w:abstractNumId="16">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7">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num w:numId="1">
    <w:abstractNumId w:val="7"/>
  </w:num>
  <w:num w:numId="2">
    <w:abstractNumId w:val="8"/>
  </w:num>
  <w:num w:numId="3">
    <w:abstractNumId w:val="15"/>
  </w:num>
  <w:num w:numId="4">
    <w:abstractNumId w:val="17"/>
  </w:num>
  <w:num w:numId="5">
    <w:abstractNumId w:val="1"/>
  </w:num>
  <w:num w:numId="6">
    <w:abstractNumId w:val="5"/>
  </w:num>
  <w:num w:numId="7">
    <w:abstractNumId w:val="14"/>
  </w:num>
  <w:num w:numId="8">
    <w:abstractNumId w:val="3"/>
  </w:num>
  <w:num w:numId="9">
    <w:abstractNumId w:val="2"/>
  </w:num>
  <w:num w:numId="10">
    <w:abstractNumId w:val="10"/>
  </w:num>
  <w:num w:numId="11">
    <w:abstractNumId w:val="11"/>
  </w:num>
  <w:num w:numId="12">
    <w:abstractNumId w:val="18"/>
  </w:num>
  <w:num w:numId="13">
    <w:abstractNumId w:val="9"/>
  </w:num>
  <w:num w:numId="14">
    <w:abstractNumId w:val="0"/>
  </w:num>
  <w:num w:numId="15">
    <w:abstractNumId w:val="12"/>
  </w:num>
  <w:num w:numId="16">
    <w:abstractNumId w:val="16"/>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B1C25"/>
    <w:rsid w:val="000B5A6E"/>
    <w:rsid w:val="000C229E"/>
    <w:rsid w:val="000C7887"/>
    <w:rsid w:val="000D1232"/>
    <w:rsid w:val="000D6C20"/>
    <w:rsid w:val="000E2094"/>
    <w:rsid w:val="000E575B"/>
    <w:rsid w:val="000E7F3B"/>
    <w:rsid w:val="00101209"/>
    <w:rsid w:val="00104DD1"/>
    <w:rsid w:val="001213E2"/>
    <w:rsid w:val="00124F36"/>
    <w:rsid w:val="00131001"/>
    <w:rsid w:val="00131F7F"/>
    <w:rsid w:val="00134531"/>
    <w:rsid w:val="001525F8"/>
    <w:rsid w:val="00156EB7"/>
    <w:rsid w:val="001676F8"/>
    <w:rsid w:val="00174C95"/>
    <w:rsid w:val="00174DAF"/>
    <w:rsid w:val="00187C87"/>
    <w:rsid w:val="001910BE"/>
    <w:rsid w:val="00192EFF"/>
    <w:rsid w:val="001930C6"/>
    <w:rsid w:val="00194CBF"/>
    <w:rsid w:val="001C12F2"/>
    <w:rsid w:val="001C664E"/>
    <w:rsid w:val="001D02FA"/>
    <w:rsid w:val="001D2B31"/>
    <w:rsid w:val="001D705E"/>
    <w:rsid w:val="001E4CCF"/>
    <w:rsid w:val="001F27AF"/>
    <w:rsid w:val="00226534"/>
    <w:rsid w:val="00226967"/>
    <w:rsid w:val="002314BC"/>
    <w:rsid w:val="00235238"/>
    <w:rsid w:val="002375B7"/>
    <w:rsid w:val="00267C86"/>
    <w:rsid w:val="00275B72"/>
    <w:rsid w:val="00277714"/>
    <w:rsid w:val="002906FC"/>
    <w:rsid w:val="002911C9"/>
    <w:rsid w:val="0029269F"/>
    <w:rsid w:val="00293820"/>
    <w:rsid w:val="00294833"/>
    <w:rsid w:val="0029570C"/>
    <w:rsid w:val="002A2357"/>
    <w:rsid w:val="002A253C"/>
    <w:rsid w:val="002A26E7"/>
    <w:rsid w:val="002A6FA5"/>
    <w:rsid w:val="002B22A6"/>
    <w:rsid w:val="002C2AD5"/>
    <w:rsid w:val="002C2EB0"/>
    <w:rsid w:val="002C4CAE"/>
    <w:rsid w:val="002C5DB8"/>
    <w:rsid w:val="002D2703"/>
    <w:rsid w:val="002D329E"/>
    <w:rsid w:val="002D7F76"/>
    <w:rsid w:val="002E10A0"/>
    <w:rsid w:val="002E1F0E"/>
    <w:rsid w:val="00300BDF"/>
    <w:rsid w:val="0030425D"/>
    <w:rsid w:val="00317417"/>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D1BC1"/>
    <w:rsid w:val="003D2847"/>
    <w:rsid w:val="003E37D1"/>
    <w:rsid w:val="00403592"/>
    <w:rsid w:val="00413B0A"/>
    <w:rsid w:val="0041410A"/>
    <w:rsid w:val="00417D3B"/>
    <w:rsid w:val="004243F0"/>
    <w:rsid w:val="004350D6"/>
    <w:rsid w:val="004354DC"/>
    <w:rsid w:val="004426B8"/>
    <w:rsid w:val="004429FE"/>
    <w:rsid w:val="004475D8"/>
    <w:rsid w:val="004661CA"/>
    <w:rsid w:val="0047176B"/>
    <w:rsid w:val="00472FC9"/>
    <w:rsid w:val="00473126"/>
    <w:rsid w:val="00473175"/>
    <w:rsid w:val="00481C2F"/>
    <w:rsid w:val="00483D2C"/>
    <w:rsid w:val="004904CD"/>
    <w:rsid w:val="00493DEC"/>
    <w:rsid w:val="004957E8"/>
    <w:rsid w:val="004960C8"/>
    <w:rsid w:val="004B63F4"/>
    <w:rsid w:val="004C0C78"/>
    <w:rsid w:val="004C70D9"/>
    <w:rsid w:val="004D76BD"/>
    <w:rsid w:val="004E0B21"/>
    <w:rsid w:val="004E3DC3"/>
    <w:rsid w:val="004F5275"/>
    <w:rsid w:val="00502713"/>
    <w:rsid w:val="005106AD"/>
    <w:rsid w:val="00520D3F"/>
    <w:rsid w:val="0053485A"/>
    <w:rsid w:val="00543BB8"/>
    <w:rsid w:val="00545C2B"/>
    <w:rsid w:val="00555E17"/>
    <w:rsid w:val="00560D8A"/>
    <w:rsid w:val="00581225"/>
    <w:rsid w:val="00581375"/>
    <w:rsid w:val="00590D76"/>
    <w:rsid w:val="00592346"/>
    <w:rsid w:val="005A027B"/>
    <w:rsid w:val="005B53F0"/>
    <w:rsid w:val="005C0ABF"/>
    <w:rsid w:val="005C3925"/>
    <w:rsid w:val="005D0E21"/>
    <w:rsid w:val="005D142D"/>
    <w:rsid w:val="005D3D52"/>
    <w:rsid w:val="005E033A"/>
    <w:rsid w:val="005F01DC"/>
    <w:rsid w:val="005F0535"/>
    <w:rsid w:val="005F381B"/>
    <w:rsid w:val="005F46D4"/>
    <w:rsid w:val="005F53AA"/>
    <w:rsid w:val="005F59E5"/>
    <w:rsid w:val="00610D2F"/>
    <w:rsid w:val="00624FBB"/>
    <w:rsid w:val="006253DD"/>
    <w:rsid w:val="0063161F"/>
    <w:rsid w:val="006420AB"/>
    <w:rsid w:val="0064233A"/>
    <w:rsid w:val="0066095B"/>
    <w:rsid w:val="00667B4A"/>
    <w:rsid w:val="0067337F"/>
    <w:rsid w:val="00674E9D"/>
    <w:rsid w:val="006A0F7A"/>
    <w:rsid w:val="006A1332"/>
    <w:rsid w:val="006A25A5"/>
    <w:rsid w:val="006A4C65"/>
    <w:rsid w:val="006A6C34"/>
    <w:rsid w:val="006B111F"/>
    <w:rsid w:val="006B50B9"/>
    <w:rsid w:val="006C22D8"/>
    <w:rsid w:val="006C40FB"/>
    <w:rsid w:val="006D0BBD"/>
    <w:rsid w:val="006D2E33"/>
    <w:rsid w:val="006D4302"/>
    <w:rsid w:val="006D4E30"/>
    <w:rsid w:val="006E359C"/>
    <w:rsid w:val="006E40DC"/>
    <w:rsid w:val="006F5A57"/>
    <w:rsid w:val="007150C5"/>
    <w:rsid w:val="00715A2F"/>
    <w:rsid w:val="0071677F"/>
    <w:rsid w:val="00746C3D"/>
    <w:rsid w:val="007515F7"/>
    <w:rsid w:val="00753770"/>
    <w:rsid w:val="007571D3"/>
    <w:rsid w:val="0076147D"/>
    <w:rsid w:val="00762FD8"/>
    <w:rsid w:val="0076315F"/>
    <w:rsid w:val="00764316"/>
    <w:rsid w:val="00775A04"/>
    <w:rsid w:val="007762AC"/>
    <w:rsid w:val="00776709"/>
    <w:rsid w:val="0078086F"/>
    <w:rsid w:val="00780BF9"/>
    <w:rsid w:val="00783DBA"/>
    <w:rsid w:val="0078467D"/>
    <w:rsid w:val="007849DA"/>
    <w:rsid w:val="007926FA"/>
    <w:rsid w:val="00796B7E"/>
    <w:rsid w:val="007A0913"/>
    <w:rsid w:val="007A2EA6"/>
    <w:rsid w:val="007A583B"/>
    <w:rsid w:val="007A7637"/>
    <w:rsid w:val="007D6094"/>
    <w:rsid w:val="007D7566"/>
    <w:rsid w:val="007E4397"/>
    <w:rsid w:val="007E5A52"/>
    <w:rsid w:val="007F2ED7"/>
    <w:rsid w:val="007F6508"/>
    <w:rsid w:val="00800B6A"/>
    <w:rsid w:val="0080373A"/>
    <w:rsid w:val="00812810"/>
    <w:rsid w:val="00813540"/>
    <w:rsid w:val="00817306"/>
    <w:rsid w:val="00821BA6"/>
    <w:rsid w:val="00835A77"/>
    <w:rsid w:val="008376DD"/>
    <w:rsid w:val="00842367"/>
    <w:rsid w:val="00855BC4"/>
    <w:rsid w:val="008632FE"/>
    <w:rsid w:val="00866FD2"/>
    <w:rsid w:val="008718FB"/>
    <w:rsid w:val="00875502"/>
    <w:rsid w:val="00876D9C"/>
    <w:rsid w:val="00880A1F"/>
    <w:rsid w:val="008A20E1"/>
    <w:rsid w:val="008A2C47"/>
    <w:rsid w:val="008B3E78"/>
    <w:rsid w:val="008B6177"/>
    <w:rsid w:val="008C0DDE"/>
    <w:rsid w:val="008D1734"/>
    <w:rsid w:val="008D3046"/>
    <w:rsid w:val="008E60AB"/>
    <w:rsid w:val="008F622E"/>
    <w:rsid w:val="008F695A"/>
    <w:rsid w:val="00904CD7"/>
    <w:rsid w:val="00934650"/>
    <w:rsid w:val="00937996"/>
    <w:rsid w:val="00941553"/>
    <w:rsid w:val="00943F86"/>
    <w:rsid w:val="009517F9"/>
    <w:rsid w:val="009526F4"/>
    <w:rsid w:val="0098768C"/>
    <w:rsid w:val="00991234"/>
    <w:rsid w:val="009A0062"/>
    <w:rsid w:val="009A0E4A"/>
    <w:rsid w:val="009A51AF"/>
    <w:rsid w:val="009E6636"/>
    <w:rsid w:val="009E7000"/>
    <w:rsid w:val="009F34A9"/>
    <w:rsid w:val="009F3EAB"/>
    <w:rsid w:val="009F4A94"/>
    <w:rsid w:val="009F7467"/>
    <w:rsid w:val="00A04C7C"/>
    <w:rsid w:val="00A246B6"/>
    <w:rsid w:val="00A36E0E"/>
    <w:rsid w:val="00A42ED9"/>
    <w:rsid w:val="00A43DB5"/>
    <w:rsid w:val="00A45138"/>
    <w:rsid w:val="00A5148C"/>
    <w:rsid w:val="00A61A14"/>
    <w:rsid w:val="00A64349"/>
    <w:rsid w:val="00A7012B"/>
    <w:rsid w:val="00A73205"/>
    <w:rsid w:val="00A7519F"/>
    <w:rsid w:val="00A77163"/>
    <w:rsid w:val="00AB591B"/>
    <w:rsid w:val="00AC1A1F"/>
    <w:rsid w:val="00AE0D4A"/>
    <w:rsid w:val="00AF11C2"/>
    <w:rsid w:val="00AF5BCD"/>
    <w:rsid w:val="00B00592"/>
    <w:rsid w:val="00B14D35"/>
    <w:rsid w:val="00B22547"/>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A53EF"/>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5BB5"/>
    <w:rsid w:val="00C667E0"/>
    <w:rsid w:val="00C7083D"/>
    <w:rsid w:val="00C76569"/>
    <w:rsid w:val="00C769DF"/>
    <w:rsid w:val="00C86C94"/>
    <w:rsid w:val="00C878C0"/>
    <w:rsid w:val="00C9266F"/>
    <w:rsid w:val="00CA2C70"/>
    <w:rsid w:val="00CB164B"/>
    <w:rsid w:val="00CD1210"/>
    <w:rsid w:val="00CD1A1D"/>
    <w:rsid w:val="00CD3515"/>
    <w:rsid w:val="00CD684D"/>
    <w:rsid w:val="00CE1C7E"/>
    <w:rsid w:val="00CE221C"/>
    <w:rsid w:val="00CE283C"/>
    <w:rsid w:val="00CE6110"/>
    <w:rsid w:val="00D000A3"/>
    <w:rsid w:val="00D04854"/>
    <w:rsid w:val="00D04DA8"/>
    <w:rsid w:val="00D103D2"/>
    <w:rsid w:val="00D16756"/>
    <w:rsid w:val="00D223AA"/>
    <w:rsid w:val="00D22F18"/>
    <w:rsid w:val="00D2450E"/>
    <w:rsid w:val="00D356CF"/>
    <w:rsid w:val="00D61692"/>
    <w:rsid w:val="00D67356"/>
    <w:rsid w:val="00D73BFF"/>
    <w:rsid w:val="00D75007"/>
    <w:rsid w:val="00D857F3"/>
    <w:rsid w:val="00DA68B3"/>
    <w:rsid w:val="00DB4869"/>
    <w:rsid w:val="00DB6BA6"/>
    <w:rsid w:val="00DC03FB"/>
    <w:rsid w:val="00DC2141"/>
    <w:rsid w:val="00DD3E4F"/>
    <w:rsid w:val="00DE3B64"/>
    <w:rsid w:val="00DE7189"/>
    <w:rsid w:val="00DF3F7B"/>
    <w:rsid w:val="00DF507D"/>
    <w:rsid w:val="00DF6437"/>
    <w:rsid w:val="00DF7C95"/>
    <w:rsid w:val="00E211F0"/>
    <w:rsid w:val="00E30D7E"/>
    <w:rsid w:val="00E31973"/>
    <w:rsid w:val="00E32DF4"/>
    <w:rsid w:val="00E44068"/>
    <w:rsid w:val="00E47583"/>
    <w:rsid w:val="00E53F1E"/>
    <w:rsid w:val="00E567CE"/>
    <w:rsid w:val="00E56CF5"/>
    <w:rsid w:val="00E804B8"/>
    <w:rsid w:val="00E805CF"/>
    <w:rsid w:val="00E8683F"/>
    <w:rsid w:val="00E92F31"/>
    <w:rsid w:val="00E93800"/>
    <w:rsid w:val="00EB610E"/>
    <w:rsid w:val="00EC27AA"/>
    <w:rsid w:val="00EC7C13"/>
    <w:rsid w:val="00ED1BFF"/>
    <w:rsid w:val="00ED6BDB"/>
    <w:rsid w:val="00ED755E"/>
    <w:rsid w:val="00EE03EC"/>
    <w:rsid w:val="00EE4B30"/>
    <w:rsid w:val="00EF3208"/>
    <w:rsid w:val="00EF57A6"/>
    <w:rsid w:val="00F00A42"/>
    <w:rsid w:val="00F00DAA"/>
    <w:rsid w:val="00F063A7"/>
    <w:rsid w:val="00F20ADD"/>
    <w:rsid w:val="00F21C0C"/>
    <w:rsid w:val="00F2345E"/>
    <w:rsid w:val="00F30998"/>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1AF5E14"/>
    <w:rsid w:val="053915DE"/>
    <w:rsid w:val="05BF3033"/>
    <w:rsid w:val="072135F1"/>
    <w:rsid w:val="078B2285"/>
    <w:rsid w:val="0A56571E"/>
    <w:rsid w:val="0B611B2F"/>
    <w:rsid w:val="0CA10415"/>
    <w:rsid w:val="0CDB06DE"/>
    <w:rsid w:val="0DC27872"/>
    <w:rsid w:val="0EE72544"/>
    <w:rsid w:val="0EF93159"/>
    <w:rsid w:val="10993435"/>
    <w:rsid w:val="143502C6"/>
    <w:rsid w:val="15437AE2"/>
    <w:rsid w:val="18F12719"/>
    <w:rsid w:val="1B3714FE"/>
    <w:rsid w:val="1B5812E2"/>
    <w:rsid w:val="1E726A6B"/>
    <w:rsid w:val="221E7686"/>
    <w:rsid w:val="226D522C"/>
    <w:rsid w:val="256249B4"/>
    <w:rsid w:val="256B02CA"/>
    <w:rsid w:val="266D058E"/>
    <w:rsid w:val="291E2D55"/>
    <w:rsid w:val="293735BB"/>
    <w:rsid w:val="2B597F39"/>
    <w:rsid w:val="2BFA5B42"/>
    <w:rsid w:val="2D1C1E36"/>
    <w:rsid w:val="2D522164"/>
    <w:rsid w:val="2E8D1134"/>
    <w:rsid w:val="310D3357"/>
    <w:rsid w:val="32CD3354"/>
    <w:rsid w:val="331D184C"/>
    <w:rsid w:val="33CB33EB"/>
    <w:rsid w:val="34C51C3F"/>
    <w:rsid w:val="36531D46"/>
    <w:rsid w:val="3AEE4304"/>
    <w:rsid w:val="3CE40E1E"/>
    <w:rsid w:val="3D4C44EB"/>
    <w:rsid w:val="3D94774F"/>
    <w:rsid w:val="47476711"/>
    <w:rsid w:val="484E277B"/>
    <w:rsid w:val="48F36CB7"/>
    <w:rsid w:val="491B67CF"/>
    <w:rsid w:val="4E950123"/>
    <w:rsid w:val="518C7D77"/>
    <w:rsid w:val="54102FDB"/>
    <w:rsid w:val="58027680"/>
    <w:rsid w:val="59276AC4"/>
    <w:rsid w:val="5CE60C2C"/>
    <w:rsid w:val="5DAC3500"/>
    <w:rsid w:val="5F7A14F0"/>
    <w:rsid w:val="5F935B8A"/>
    <w:rsid w:val="61A36997"/>
    <w:rsid w:val="61BF3015"/>
    <w:rsid w:val="62132597"/>
    <w:rsid w:val="633417DE"/>
    <w:rsid w:val="653964D0"/>
    <w:rsid w:val="65C77796"/>
    <w:rsid w:val="67565413"/>
    <w:rsid w:val="69015441"/>
    <w:rsid w:val="6C1E24AA"/>
    <w:rsid w:val="6C55391E"/>
    <w:rsid w:val="6D632590"/>
    <w:rsid w:val="6F686112"/>
    <w:rsid w:val="71235062"/>
    <w:rsid w:val="716C7E6F"/>
    <w:rsid w:val="71FC39E5"/>
    <w:rsid w:val="72A057C0"/>
    <w:rsid w:val="73671EFF"/>
    <w:rsid w:val="73BA27A9"/>
    <w:rsid w:val="74B3425A"/>
    <w:rsid w:val="780A2890"/>
    <w:rsid w:val="78FC5E56"/>
    <w:rsid w:val="7906045D"/>
    <w:rsid w:val="7E436028"/>
    <w:rsid w:val="7EB97C47"/>
    <w:rsid w:val="7F5012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5"/>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6"/>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7"/>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47"/>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Body Text Indent"/>
    <w:basedOn w:val="1"/>
    <w:next w:val="12"/>
    <w:link w:val="43"/>
    <w:semiHidden/>
    <w:unhideWhenUsed/>
    <w:qFormat/>
    <w:uiPriority w:val="99"/>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8"/>
    <w:unhideWhenUsed/>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9"/>
    <w:semiHidden/>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82"/>
    <w:semiHidden/>
    <w:unhideWhenUsed/>
    <w:qFormat/>
    <w:uiPriority w:val="99"/>
    <w:pPr>
      <w:spacing w:after="120" w:line="480" w:lineRule="auto"/>
    </w:pPr>
  </w:style>
  <w:style w:type="paragraph" w:styleId="22">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25"/>
    <w:link w:val="46"/>
    <w:unhideWhenUsed/>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link w:val="44"/>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8"/>
    <w:unhideWhenUsed/>
    <w:qFormat/>
    <w:uiPriority w:val="0"/>
    <w:rPr>
      <w:color w:val="0000FF"/>
      <w:u w:val="single"/>
    </w:rPr>
  </w:style>
  <w:style w:type="paragraph" w:customStyle="1" w:styleId="31">
    <w:name w:val="*正文"/>
    <w:basedOn w:val="1"/>
    <w:next w:val="1"/>
    <w:qFormat/>
    <w:uiPriority w:val="99"/>
    <w:pPr>
      <w:keepNext/>
      <w:keepLines/>
      <w:spacing w:line="360" w:lineRule="auto"/>
      <w:ind w:firstLine="200" w:firstLineChars="200"/>
    </w:pPr>
    <w:rPr>
      <w:rFonts w:ascii="宋体" w:hAnsi="宋体"/>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8"/>
    <w:link w:val="2"/>
    <w:qFormat/>
    <w:uiPriority w:val="0"/>
    <w:rPr>
      <w:rFonts w:ascii="Calibri" w:hAnsi="Calibri" w:eastAsia="宋体" w:cs="Times New Roman"/>
      <w:b/>
      <w:bCs/>
      <w:kern w:val="44"/>
      <w:sz w:val="44"/>
      <w:szCs w:val="44"/>
    </w:rPr>
  </w:style>
  <w:style w:type="character" w:customStyle="1" w:styleId="35">
    <w:name w:val="标题 2 Char"/>
    <w:basedOn w:val="28"/>
    <w:link w:val="3"/>
    <w:semiHidden/>
    <w:qFormat/>
    <w:uiPriority w:val="0"/>
    <w:rPr>
      <w:rFonts w:ascii="Arial" w:hAnsi="Arial" w:eastAsia="黑体" w:cs="Times New Roman"/>
      <w:b/>
      <w:bCs/>
      <w:kern w:val="0"/>
      <w:sz w:val="32"/>
      <w:szCs w:val="32"/>
    </w:rPr>
  </w:style>
  <w:style w:type="character" w:customStyle="1" w:styleId="36">
    <w:name w:val="标题 3 Char"/>
    <w:basedOn w:val="28"/>
    <w:link w:val="4"/>
    <w:semiHidden/>
    <w:qFormat/>
    <w:uiPriority w:val="0"/>
    <w:rPr>
      <w:rFonts w:ascii="宋体" w:hAnsi="宋体" w:eastAsia="宋体" w:cs="宋体"/>
      <w:b/>
      <w:color w:val="000000"/>
      <w:kern w:val="0"/>
      <w:sz w:val="24"/>
      <w:szCs w:val="20"/>
      <w:lang w:val="en-GB"/>
    </w:rPr>
  </w:style>
  <w:style w:type="character" w:customStyle="1" w:styleId="37">
    <w:name w:val="标题 4 Char"/>
    <w:basedOn w:val="28"/>
    <w:link w:val="5"/>
    <w:semiHidden/>
    <w:qFormat/>
    <w:uiPriority w:val="0"/>
    <w:rPr>
      <w:rFonts w:ascii="Arial" w:hAnsi="Arial" w:eastAsia="黑体" w:cs="Times New Roman"/>
      <w:b/>
      <w:bCs/>
      <w:kern w:val="0"/>
      <w:sz w:val="28"/>
      <w:szCs w:val="28"/>
    </w:rPr>
  </w:style>
  <w:style w:type="character" w:customStyle="1" w:styleId="38">
    <w:name w:val="HTML 预设格式 Char1"/>
    <w:basedOn w:val="28"/>
    <w:link w:val="22"/>
    <w:semiHidden/>
    <w:qFormat/>
    <w:uiPriority w:val="99"/>
    <w:rPr>
      <w:rFonts w:ascii="宋体" w:hAnsi="宋体" w:eastAsia="宋体" w:cs="宋体"/>
      <w:kern w:val="0"/>
      <w:sz w:val="24"/>
      <w:szCs w:val="24"/>
    </w:rPr>
  </w:style>
  <w:style w:type="paragraph" w:customStyle="1" w:styleId="39">
    <w:name w:val="msonormal"/>
    <w:basedOn w:val="1"/>
    <w:qFormat/>
    <w:uiPriority w:val="99"/>
    <w:rPr>
      <w:rFonts w:ascii="Calibri" w:hAnsi="Calibri" w:eastAsia="宋体" w:cs="Times New Roman"/>
      <w:sz w:val="24"/>
      <w:szCs w:val="24"/>
    </w:rPr>
  </w:style>
  <w:style w:type="character" w:customStyle="1" w:styleId="40">
    <w:name w:val="页眉 Char"/>
    <w:basedOn w:val="28"/>
    <w:link w:val="19"/>
    <w:qFormat/>
    <w:uiPriority w:val="99"/>
    <w:rPr>
      <w:sz w:val="18"/>
      <w:szCs w:val="18"/>
    </w:rPr>
  </w:style>
  <w:style w:type="character" w:customStyle="1" w:styleId="41">
    <w:name w:val="页脚 Char"/>
    <w:basedOn w:val="28"/>
    <w:link w:val="18"/>
    <w:qFormat/>
    <w:uiPriority w:val="99"/>
    <w:rPr>
      <w:sz w:val="18"/>
      <w:szCs w:val="18"/>
    </w:rPr>
  </w:style>
  <w:style w:type="character" w:customStyle="1" w:styleId="42">
    <w:name w:val="正文文本 Char"/>
    <w:basedOn w:val="28"/>
    <w:link w:val="9"/>
    <w:qFormat/>
    <w:uiPriority w:val="99"/>
  </w:style>
  <w:style w:type="character" w:customStyle="1" w:styleId="43">
    <w:name w:val="正文文本缩进 Char1"/>
    <w:basedOn w:val="28"/>
    <w:link w:val="11"/>
    <w:semiHidden/>
    <w:qFormat/>
    <w:uiPriority w:val="99"/>
    <w:rPr>
      <w:kern w:val="0"/>
      <w:sz w:val="24"/>
      <w:szCs w:val="20"/>
    </w:rPr>
  </w:style>
  <w:style w:type="character" w:customStyle="1" w:styleId="44">
    <w:name w:val="正文首行缩进 2 Char"/>
    <w:basedOn w:val="43"/>
    <w:link w:val="25"/>
    <w:qFormat/>
    <w:uiPriority w:val="99"/>
    <w:rPr>
      <w:kern w:val="0"/>
      <w:sz w:val="24"/>
      <w:szCs w:val="20"/>
    </w:rPr>
  </w:style>
  <w:style w:type="character" w:customStyle="1" w:styleId="45">
    <w:name w:val="日期 Char"/>
    <w:basedOn w:val="28"/>
    <w:link w:val="16"/>
    <w:qFormat/>
    <w:uiPriority w:val="99"/>
  </w:style>
  <w:style w:type="character" w:customStyle="1" w:styleId="46">
    <w:name w:val="正文首行缩进 Char"/>
    <w:basedOn w:val="42"/>
    <w:link w:val="24"/>
    <w:qFormat/>
    <w:uiPriority w:val="0"/>
    <w:rPr>
      <w:rFonts w:ascii="宋体" w:hAnsi="Times New Roman" w:eastAsia="宋体" w:cs="Times New Roman"/>
      <w:kern w:val="0"/>
      <w:sz w:val="34"/>
      <w:szCs w:val="20"/>
    </w:rPr>
  </w:style>
  <w:style w:type="character" w:customStyle="1" w:styleId="47">
    <w:name w:val="正文文本 3 Char"/>
    <w:basedOn w:val="28"/>
    <w:link w:val="8"/>
    <w:semiHidden/>
    <w:qFormat/>
    <w:uiPriority w:val="99"/>
    <w:rPr>
      <w:rFonts w:ascii="Times New Roman" w:hAnsi="Times New Roman" w:eastAsia="宋体" w:cs="Times New Roman"/>
      <w:color w:val="FF0000"/>
      <w:sz w:val="24"/>
      <w:szCs w:val="24"/>
    </w:rPr>
  </w:style>
  <w:style w:type="character" w:customStyle="1" w:styleId="48">
    <w:name w:val="纯文本 Char"/>
    <w:basedOn w:val="28"/>
    <w:link w:val="15"/>
    <w:qFormat/>
    <w:uiPriority w:val="0"/>
    <w:rPr>
      <w:rFonts w:eastAsia="宋体"/>
      <w:sz w:val="24"/>
    </w:rPr>
  </w:style>
  <w:style w:type="character" w:customStyle="1" w:styleId="49">
    <w:name w:val="批注框文本 Char1"/>
    <w:basedOn w:val="28"/>
    <w:link w:val="17"/>
    <w:semiHidden/>
    <w:qFormat/>
    <w:uiPriority w:val="99"/>
    <w:rPr>
      <w:sz w:val="18"/>
      <w:szCs w:val="18"/>
    </w:rPr>
  </w:style>
  <w:style w:type="paragraph" w:styleId="50">
    <w:name w:val="List Paragraph"/>
    <w:basedOn w:val="1"/>
    <w:qFormat/>
    <w:uiPriority w:val="34"/>
    <w:pPr>
      <w:ind w:firstLine="420" w:firstLineChars="200"/>
    </w:pPr>
  </w:style>
  <w:style w:type="paragraph" w:customStyle="1" w:styleId="51">
    <w:name w:val="无间隔1"/>
    <w:basedOn w:val="1"/>
    <w:qFormat/>
    <w:uiPriority w:val="99"/>
    <w:pPr>
      <w:spacing w:line="400" w:lineRule="exact"/>
    </w:pPr>
    <w:rPr>
      <w:sz w:val="24"/>
    </w:rPr>
  </w:style>
  <w:style w:type="paragraph" w:customStyle="1" w:styleId="52">
    <w:name w:val="列出段落1"/>
    <w:basedOn w:val="1"/>
    <w:qFormat/>
    <w:uiPriority w:val="99"/>
    <w:pPr>
      <w:ind w:firstLine="420" w:firstLineChars="200"/>
    </w:pPr>
  </w:style>
  <w:style w:type="character" w:customStyle="1" w:styleId="53">
    <w:name w:val="正文文本缩进 Char Char"/>
    <w:link w:val="54"/>
    <w:qFormat/>
    <w:locked/>
    <w:uiPriority w:val="99"/>
    <w:rPr>
      <w:rFonts w:ascii="宋体" w:hAnsi="宋体" w:eastAsia="宋体"/>
      <w:sz w:val="24"/>
    </w:rPr>
  </w:style>
  <w:style w:type="paragraph" w:customStyle="1" w:styleId="54">
    <w:name w:val="正文文本缩进1"/>
    <w:basedOn w:val="1"/>
    <w:link w:val="53"/>
    <w:qFormat/>
    <w:uiPriority w:val="99"/>
    <w:pPr>
      <w:spacing w:line="360" w:lineRule="auto"/>
      <w:ind w:firstLine="480" w:firstLineChars="200"/>
    </w:pPr>
    <w:rPr>
      <w:rFonts w:ascii="宋体" w:hAnsi="宋体" w:eastAsia="宋体"/>
      <w:sz w:val="24"/>
    </w:rPr>
  </w:style>
  <w:style w:type="character" w:customStyle="1" w:styleId="55">
    <w:name w:val="日期 Char Char"/>
    <w:link w:val="56"/>
    <w:qFormat/>
    <w:locked/>
    <w:uiPriority w:val="99"/>
    <w:rPr>
      <w:sz w:val="24"/>
    </w:rPr>
  </w:style>
  <w:style w:type="paragraph" w:customStyle="1" w:styleId="56">
    <w:name w:val="日期1"/>
    <w:basedOn w:val="1"/>
    <w:next w:val="1"/>
    <w:link w:val="55"/>
    <w:qFormat/>
    <w:uiPriority w:val="99"/>
    <w:rPr>
      <w:sz w:val="24"/>
    </w:rPr>
  </w:style>
  <w:style w:type="paragraph" w:customStyle="1" w:styleId="57">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8">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9">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0">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2">
    <w:name w:val="List Paragraph1"/>
    <w:basedOn w:val="1"/>
    <w:qFormat/>
    <w:uiPriority w:val="99"/>
    <w:pPr>
      <w:ind w:firstLine="420" w:firstLineChars="200"/>
    </w:pPr>
    <w:rPr>
      <w:rFonts w:ascii="Calibri" w:hAnsi="Calibri" w:cs="宋体"/>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28"/>
    <w:qFormat/>
    <w:uiPriority w:val="0"/>
  </w:style>
  <w:style w:type="character" w:customStyle="1" w:styleId="69">
    <w:name w:val="批注框文本 Char"/>
    <w:basedOn w:val="28"/>
    <w:semiHidden/>
    <w:qFormat/>
    <w:uiPriority w:val="99"/>
    <w:rPr>
      <w:sz w:val="18"/>
      <w:szCs w:val="18"/>
    </w:rPr>
  </w:style>
  <w:style w:type="character" w:customStyle="1" w:styleId="70">
    <w:name w:val="HTML 预设格式 Char"/>
    <w:basedOn w:val="28"/>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28"/>
    <w:qFormat/>
    <w:uiPriority w:val="0"/>
  </w:style>
  <w:style w:type="character" w:customStyle="1" w:styleId="73">
    <w:name w:val="font01"/>
    <w:basedOn w:val="28"/>
    <w:qFormat/>
    <w:uiPriority w:val="0"/>
    <w:rPr>
      <w:rFonts w:hint="eastAsia" w:ascii="宋体" w:hAnsi="宋体" w:eastAsia="宋体" w:cs="宋体"/>
      <w:color w:val="000000"/>
      <w:sz w:val="22"/>
      <w:szCs w:val="22"/>
      <w:u w:val="none"/>
    </w:rPr>
  </w:style>
  <w:style w:type="character" w:customStyle="1" w:styleId="74">
    <w:name w:val="font31"/>
    <w:basedOn w:val="28"/>
    <w:qFormat/>
    <w:uiPriority w:val="0"/>
    <w:rPr>
      <w:rFonts w:hint="default" w:ascii="Calibri" w:hAnsi="Calibri" w:cs="Calibri"/>
      <w:b/>
      <w:color w:val="000000"/>
      <w:sz w:val="18"/>
      <w:szCs w:val="18"/>
      <w:u w:val="none"/>
    </w:rPr>
  </w:style>
  <w:style w:type="character" w:customStyle="1" w:styleId="75">
    <w:name w:val="font121"/>
    <w:basedOn w:val="28"/>
    <w:qFormat/>
    <w:uiPriority w:val="0"/>
    <w:rPr>
      <w:rFonts w:hint="eastAsia" w:ascii="宋体" w:hAnsi="宋体" w:eastAsia="宋体" w:cs="宋体"/>
      <w:color w:val="000000"/>
      <w:sz w:val="18"/>
      <w:szCs w:val="18"/>
      <w:u w:val="none"/>
    </w:rPr>
  </w:style>
  <w:style w:type="character" w:customStyle="1" w:styleId="76">
    <w:name w:val="font91"/>
    <w:basedOn w:val="28"/>
    <w:qFormat/>
    <w:uiPriority w:val="0"/>
    <w:rPr>
      <w:rFonts w:hint="eastAsia" w:ascii="宋体" w:hAnsi="宋体" w:eastAsia="宋体" w:cs="宋体"/>
      <w:color w:val="000000"/>
      <w:sz w:val="18"/>
      <w:szCs w:val="18"/>
      <w:u w:val="none"/>
    </w:rPr>
  </w:style>
  <w:style w:type="character" w:customStyle="1" w:styleId="77">
    <w:name w:val="font112"/>
    <w:basedOn w:val="28"/>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8"/>
    <w:qFormat/>
    <w:uiPriority w:val="0"/>
    <w:rPr>
      <w:rFonts w:ascii="Arial" w:hAnsi="Arial" w:cs="Arial"/>
      <w:color w:val="000000"/>
      <w:sz w:val="24"/>
      <w:szCs w:val="24"/>
      <w:u w:val="none"/>
    </w:rPr>
  </w:style>
  <w:style w:type="character" w:customStyle="1" w:styleId="82">
    <w:name w:val="正文文本 2 Char"/>
    <w:basedOn w:val="28"/>
    <w:link w:val="21"/>
    <w:semiHidden/>
    <w:qFormat/>
    <w:uiPriority w:val="99"/>
    <w:rPr>
      <w:kern w:val="2"/>
      <w:sz w:val="21"/>
      <w:szCs w:val="22"/>
    </w:rPr>
  </w:style>
  <w:style w:type="paragraph" w:customStyle="1" w:styleId="83">
    <w:name w:val="Table Paragraph"/>
    <w:basedOn w:val="1"/>
    <w:qFormat/>
    <w:uiPriority w:val="1"/>
    <w:rPr>
      <w:rFonts w:ascii="宋体" w:hAnsi="宋体" w:eastAsia="宋体" w:cs="宋体"/>
      <w:szCs w:val="24"/>
      <w:lang w:val="zh-CN" w:bidi="zh-CN"/>
    </w:rPr>
  </w:style>
  <w:style w:type="paragraph" w:customStyle="1" w:styleId="84">
    <w:name w:val="正文2"/>
    <w:qFormat/>
    <w:uiPriority w:val="0"/>
    <w:rPr>
      <w:rFonts w:ascii="Times New Roman" w:hAnsi="Times New Roman" w:eastAsia="Times New Roman" w:cs="Times New Roman"/>
      <w:sz w:val="24"/>
      <w:szCs w:val="24"/>
      <w:lang w:val="en-US" w:eastAsia="zh-CN" w:bidi="ar-SA"/>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6">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87">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88">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89">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90">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91">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2">
    <w:name w:val="Table caption|1"/>
    <w:basedOn w:val="1"/>
    <w:qFormat/>
    <w:uiPriority w:val="0"/>
    <w:pPr>
      <w:widowControl w:val="0"/>
      <w:shd w:val="clear" w:color="auto" w:fill="auto"/>
      <w:spacing w:line="418" w:lineRule="exact"/>
      <w:ind w:firstLine="480"/>
    </w:pPr>
    <w:rPr>
      <w:rFonts w:ascii="宋体" w:hAnsi="宋体" w:eastAsia="宋体" w:cs="宋体"/>
      <w:color w:val="434E5A"/>
      <w:sz w:val="22"/>
      <w:szCs w:val="22"/>
      <w:u w:val="none"/>
      <w:shd w:val="clear" w:color="auto" w:fill="auto"/>
      <w:lang w:val="zh-TW" w:eastAsia="zh-TW" w:bidi="zh-TW"/>
    </w:rPr>
  </w:style>
  <w:style w:type="paragraph" w:customStyle="1" w:styleId="93">
    <w:name w:val="Other|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4">
    <w:name w:val="Header or footer|2"/>
    <w:basedOn w:val="1"/>
    <w:qFormat/>
    <w:uiPriority w:val="0"/>
    <w:pPr>
      <w:widowControl w:val="0"/>
      <w:shd w:val="clear" w:color="auto" w:fill="auto"/>
    </w:pPr>
    <w:rPr>
      <w:sz w:val="20"/>
      <w:szCs w:val="20"/>
      <w:u w:val="none"/>
      <w:shd w:val="clear" w:color="auto" w:fill="auto"/>
    </w:rPr>
  </w:style>
  <w:style w:type="paragraph" w:customStyle="1" w:styleId="95">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63</Pages>
  <Words>36758</Words>
  <Characters>38820</Characters>
  <Lines>337</Lines>
  <Paragraphs>95</Paragraphs>
  <TotalTime>13</TotalTime>
  <ScaleCrop>false</ScaleCrop>
  <LinksUpToDate>false</LinksUpToDate>
  <CharactersWithSpaces>39640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许昌丰元咨询管理有限公司:连丹丹</cp:lastModifiedBy>
  <cp:lastPrinted>2023-06-20T03:16:00Z</cp:lastPrinted>
  <dcterms:modified xsi:type="dcterms:W3CDTF">2023-07-06T06:34:45Z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814B545819DD46B8919BD26EC259D98C_13</vt:lpwstr>
  </property>
</Properties>
</file>