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13"/>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pStyle w:val="1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color w:val="auto"/>
        </w:rPr>
      </w:pPr>
      <w:r>
        <w:rPr>
          <w:rFonts w:hint="eastAsia" w:ascii="宋体" w:hAnsi="宋体" w:cs="宋体"/>
          <w:bCs/>
          <w:color w:val="auto"/>
          <w:sz w:val="56"/>
          <w:szCs w:val="56"/>
          <w:lang w:eastAsia="zh-CN"/>
        </w:rPr>
        <w:t>件</w:t>
      </w:r>
    </w:p>
    <w:p>
      <w:pPr>
        <w:spacing w:line="600" w:lineRule="exact"/>
        <w:ind w:left="0" w:leftChars="0" w:right="-512" w:rightChars="-244" w:firstLine="162" w:firstLineChars="45"/>
        <w:jc w:val="center"/>
        <w:rPr>
          <w:rFonts w:hint="eastAsia" w:ascii="宋体" w:hAnsi="宋体" w:cs="宋体"/>
          <w:bCs/>
          <w:sz w:val="36"/>
          <w:szCs w:val="36"/>
          <w:lang w:eastAsia="zh-CN"/>
        </w:rPr>
      </w:pPr>
      <w:r>
        <w:rPr>
          <w:rFonts w:hint="eastAsia" w:ascii="宋体" w:hAnsi="宋体" w:cs="宋体"/>
          <w:bCs/>
          <w:color w:val="auto"/>
          <w:sz w:val="36"/>
          <w:szCs w:val="36"/>
        </w:rPr>
        <w:t>（不见面开标）</w:t>
      </w:r>
    </w:p>
    <w:p>
      <w:pPr>
        <w:pStyle w:val="10"/>
        <w:ind w:right="-512" w:rightChars="-244"/>
      </w:pPr>
    </w:p>
    <w:p>
      <w:pPr>
        <w:pStyle w:val="10"/>
        <w:ind w:right="-512" w:rightChars="-244"/>
      </w:pPr>
    </w:p>
    <w:p>
      <w:pPr>
        <w:pStyle w:val="10"/>
        <w:ind w:right="-512" w:rightChars="-244"/>
      </w:pPr>
    </w:p>
    <w:p>
      <w:pPr>
        <w:pStyle w:val="10"/>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建安政采竞磋商字〔2023〕21号</w:t>
      </w:r>
    </w:p>
    <w:p>
      <w:pPr>
        <w:spacing w:line="600" w:lineRule="exact"/>
        <w:ind w:right="-512" w:rightChars="-244" w:firstLine="1080" w:firstLineChars="300"/>
        <w:jc w:val="both"/>
        <w:rPr>
          <w:rFonts w:hint="eastAsia" w:ascii="宋体" w:hAnsi="宋体" w:cs="宋体"/>
          <w:bCs/>
          <w:sz w:val="36"/>
          <w:szCs w:val="36"/>
          <w:lang w:eastAsia="zh-CN"/>
        </w:rPr>
      </w:pPr>
      <w:r>
        <w:rPr>
          <w:rFonts w:hint="eastAsia" w:ascii="宋体" w:hAnsi="宋体" w:cs="宋体"/>
          <w:bCs/>
          <w:sz w:val="36"/>
          <w:szCs w:val="36"/>
          <w:lang w:eastAsia="zh-CN"/>
        </w:rPr>
        <w:t>项目名称：建安区发制品产业园造价咨询费</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许昌纤顺产业园区建设有限公司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eastAsia="宋体" w:cs="宋体"/>
          <w:bCs/>
          <w:sz w:val="36"/>
          <w:szCs w:val="36"/>
          <w:lang w:eastAsia="zh-CN"/>
        </w:rPr>
      </w:pPr>
      <w:r>
        <w:rPr>
          <w:rFonts w:hint="eastAsia" w:ascii="宋体" w:hAnsi="宋体" w:cs="宋体"/>
          <w:bCs/>
          <w:sz w:val="36"/>
          <w:szCs w:val="36"/>
        </w:rPr>
        <w:t>代理机构：</w:t>
      </w:r>
      <w:r>
        <w:rPr>
          <w:rFonts w:hint="eastAsia" w:ascii="宋体" w:hAnsi="宋体" w:cs="宋体"/>
          <w:bCs/>
          <w:sz w:val="36"/>
          <w:szCs w:val="36"/>
          <w:lang w:eastAsia="zh-CN"/>
        </w:rPr>
        <w:t>许昌安信工程管理服务有限公司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eastAsia="zh-CN"/>
        </w:rPr>
        <w:t>三</w:t>
      </w:r>
      <w:r>
        <w:rPr>
          <w:rFonts w:hint="eastAsia" w:ascii="宋体" w:hAnsi="宋体" w:cs="宋体"/>
          <w:bCs/>
          <w:sz w:val="36"/>
          <w:szCs w:val="36"/>
        </w:rPr>
        <w:t>年</w:t>
      </w:r>
      <w:r>
        <w:rPr>
          <w:rFonts w:hint="eastAsia" w:ascii="宋体" w:hAnsi="宋体" w:cs="宋体"/>
          <w:bCs/>
          <w:sz w:val="36"/>
          <w:szCs w:val="36"/>
          <w:lang w:eastAsia="zh-CN"/>
        </w:rPr>
        <w:t>六</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hint="eastAsia"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20"/>
        <w:ind w:right="-512" w:rightChars="-244"/>
      </w:pPr>
    </w:p>
    <w:p>
      <w:pPr>
        <w:ind w:right="-512" w:rightChars="-244"/>
      </w:pPr>
    </w:p>
    <w:p>
      <w:pPr>
        <w:pStyle w:val="5"/>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10"/>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建安政采竞磋商字〔2023〕21号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许昌纤顺产业园区建设有限公司</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b/>
          <w:bCs/>
          <w:sz w:val="32"/>
          <w:szCs w:val="36"/>
          <w:lang w:eastAsia="zh-CN"/>
        </w:rPr>
        <w:t>建安区发制品产业园造价咨询费</w:t>
      </w:r>
      <w:r>
        <w:rPr>
          <w:rFonts w:hint="eastAsia" w:ascii="宋体" w:hAnsi="宋体" w:cs="宋体"/>
          <w:b/>
          <w:bCs/>
          <w:sz w:val="32"/>
          <w:szCs w:val="36"/>
          <w:lang w:eastAsia="zh-CN"/>
        </w:rPr>
        <w:t>（不见面开标）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1"/>
          <w:rFonts w:ascii="宋体" w:hAnsi="宋体"/>
          <w:sz w:val="24"/>
          <w:szCs w:val="24"/>
        </w:rPr>
      </w:pPr>
      <w:bookmarkStart w:id="0" w:name="_Toc28359002"/>
      <w:bookmarkStart w:id="1" w:name="_Toc35393621"/>
      <w:bookmarkStart w:id="2" w:name="_Toc35393790"/>
      <w:bookmarkStart w:id="3" w:name="_Toc28359079"/>
      <w:bookmarkStart w:id="4" w:name="_Hlk24379207"/>
      <w:r>
        <w:rPr>
          <w:rStyle w:val="21"/>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1"/>
          <w:rFonts w:ascii="宋体" w:hAnsi="宋体"/>
          <w:sz w:val="24"/>
          <w:szCs w:val="24"/>
        </w:rPr>
      </w:pPr>
      <w:r>
        <w:rPr>
          <w:rStyle w:val="21"/>
          <w:rFonts w:hint="eastAsia" w:ascii="宋体" w:hAnsi="宋体"/>
          <w:sz w:val="24"/>
          <w:szCs w:val="24"/>
          <w:lang w:eastAsia="zh-CN"/>
        </w:rPr>
        <w:t>建安区发制品产业园造价咨询费</w:t>
      </w:r>
      <w:r>
        <w:rPr>
          <w:rStyle w:val="21"/>
          <w:rFonts w:hint="eastAsia" w:ascii="宋体" w:hAnsi="宋体"/>
          <w:sz w:val="24"/>
          <w:szCs w:val="24"/>
        </w:rPr>
        <w:t>招标项目的潜在</w:t>
      </w:r>
      <w:r>
        <w:rPr>
          <w:rStyle w:val="21"/>
          <w:rFonts w:hint="eastAsia" w:ascii="宋体" w:hAnsi="宋体"/>
          <w:sz w:val="24"/>
          <w:szCs w:val="24"/>
          <w:lang w:eastAsia="zh-CN"/>
        </w:rPr>
        <w:t>供应商</w:t>
      </w:r>
      <w:r>
        <w:rPr>
          <w:rStyle w:val="21"/>
          <w:rFonts w:hint="eastAsia" w:ascii="宋体" w:hAnsi="宋体"/>
          <w:sz w:val="24"/>
          <w:szCs w:val="24"/>
        </w:rPr>
        <w:t>应在《全国公共资源交易平台（河南省·许昌市）》（http://ggzy.xuchang.gov.cn/）获取</w:t>
      </w:r>
      <w:r>
        <w:rPr>
          <w:rStyle w:val="21"/>
          <w:rFonts w:hint="eastAsia" w:ascii="宋体" w:hAnsi="宋体"/>
          <w:sz w:val="24"/>
          <w:szCs w:val="24"/>
          <w:lang w:eastAsia="zh-CN"/>
        </w:rPr>
        <w:t>磋商文件</w:t>
      </w:r>
      <w:r>
        <w:rPr>
          <w:rStyle w:val="21"/>
          <w:rFonts w:hint="eastAsia" w:ascii="宋体" w:hAnsi="宋体"/>
          <w:sz w:val="24"/>
          <w:szCs w:val="24"/>
        </w:rPr>
        <w:t>，并于</w:t>
      </w:r>
      <w:r>
        <w:rPr>
          <w:rStyle w:val="21"/>
          <w:rFonts w:hint="eastAsia" w:ascii="宋体" w:hAnsi="宋体"/>
          <w:sz w:val="24"/>
          <w:szCs w:val="24"/>
          <w:lang w:eastAsia="zh-CN"/>
        </w:rPr>
        <w:t>2023年7月10日09点30分</w:t>
      </w:r>
      <w:r>
        <w:rPr>
          <w:rStyle w:val="21"/>
          <w:rFonts w:hint="eastAsia" w:ascii="宋体" w:hAnsi="宋体"/>
          <w:sz w:val="24"/>
          <w:szCs w:val="24"/>
        </w:rPr>
        <w:t>（北京时间）前提交（上传）</w:t>
      </w:r>
      <w:r>
        <w:rPr>
          <w:rStyle w:val="21"/>
          <w:rFonts w:hint="eastAsia" w:ascii="宋体" w:hAnsi="宋体"/>
          <w:sz w:val="24"/>
          <w:szCs w:val="24"/>
          <w:lang w:eastAsia="zh-CN"/>
        </w:rPr>
        <w:t>响应文件</w:t>
      </w:r>
      <w:r>
        <w:rPr>
          <w:rStyle w:val="21"/>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建安政采竞磋商字〔2023〕21号。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：建安区发制品产业园造价咨询费。</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建安费的1‰（自筹资金）</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建安费的1‰</w:t>
      </w:r>
      <w:r>
        <w:rPr>
          <w:rFonts w:hint="eastAsia" w:asciiTheme="minorEastAsia" w:hAnsiTheme="minorEastAsia" w:eastAsiaTheme="minorEastAsia"/>
          <w:sz w:val="24"/>
          <w:szCs w:val="24"/>
          <w:lang w:eastAsia="zh-CN"/>
        </w:rPr>
        <w:t>。</w:t>
      </w:r>
    </w:p>
    <w:tbl>
      <w:tblPr>
        <w:tblStyle w:val="15"/>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left"/>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57"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hint="default" w:ascii="宋体" w:hAnsi="宋体"/>
                <w:sz w:val="24"/>
                <w:lang w:val="en-US"/>
              </w:rPr>
            </w:pP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21</w:t>
            </w:r>
            <w:r>
              <w:rPr>
                <w:rFonts w:hint="eastAsia" w:ascii="宋体" w:hAnsi="宋体"/>
                <w:sz w:val="24"/>
                <w:lang w:eastAsia="zh-CN"/>
              </w:rPr>
              <w:t>号</w:t>
            </w:r>
            <w:r>
              <w:rPr>
                <w:rFonts w:hint="eastAsia" w:ascii="宋体" w:hAnsi="宋体"/>
                <w:sz w:val="24"/>
                <w:lang w:val="en-US" w:eastAsia="zh-CN"/>
              </w:rPr>
              <w:t>-1</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440" w:type="dxa"/>
            <w:vAlign w:val="center"/>
          </w:tcPr>
          <w:p>
            <w:pPr>
              <w:spacing w:line="360" w:lineRule="auto"/>
              <w:ind w:right="-512" w:rightChars="-244"/>
              <w:contextualSpacing/>
              <w:jc w:val="left"/>
              <w:rPr>
                <w:rFonts w:hint="default" w:ascii="宋体" w:hAnsi="宋体"/>
                <w:sz w:val="24"/>
                <w:lang w:val="en-US"/>
              </w:rPr>
            </w:pPr>
            <w:r>
              <w:rPr>
                <w:rFonts w:hint="eastAsia" w:asciiTheme="minorEastAsia" w:hAnsiTheme="minorEastAsia" w:eastAsiaTheme="minorEastAsia"/>
                <w:sz w:val="24"/>
                <w:szCs w:val="24"/>
                <w:lang w:val="en-US" w:eastAsia="zh-CN"/>
              </w:rPr>
              <w:t>650000.00</w:t>
            </w:r>
          </w:p>
        </w:tc>
        <w:tc>
          <w:tcPr>
            <w:tcW w:w="141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650000.00</w:t>
            </w:r>
          </w:p>
        </w:tc>
        <w:tc>
          <w:tcPr>
            <w:tcW w:w="1335"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20" w:type="dxa"/>
            <w:vAlign w:val="center"/>
          </w:tcPr>
          <w:p>
            <w:pPr>
              <w:spacing w:line="360" w:lineRule="auto"/>
              <w:ind w:right="-512" w:rightChars="-244" w:firstLine="240" w:firstLineChars="1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650000.00</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720" w:firstLineChars="3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详见磋商文件。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highlight w:val="none"/>
          <w:lang w:eastAsia="zh-CN"/>
        </w:rPr>
        <w:t>自合同签订之日起</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lang w:eastAsia="zh-CN"/>
        </w:rPr>
        <w:t>日历天</w:t>
      </w:r>
      <w:r>
        <w:rPr>
          <w:rFonts w:hint="eastAsia" w:asciiTheme="minorEastAsia" w:hAnsiTheme="minorEastAsia" w:eastAsiaTheme="minorEastAsia"/>
          <w:sz w:val="24"/>
          <w:szCs w:val="24"/>
          <w:highlight w:val="none"/>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28359080"/>
      <w:bookmarkStart w:id="6" w:name="_Toc28359003"/>
      <w:bookmarkStart w:id="7" w:name="_Toc35393791"/>
      <w:bookmarkStart w:id="8" w:name="_Toc35393622"/>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9、是否专门面向中小企业：是。</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35393623"/>
      <w:bookmarkStart w:id="10" w:name="_Toc35393792"/>
      <w:bookmarkStart w:id="11" w:name="_Toc28359081"/>
      <w:bookmarkStart w:id="12" w:name="_Toc28359004"/>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left="479" w:leftChars="228" w:right="-512" w:rightChars="-244" w:firstLine="0" w:firstLineChars="0"/>
        <w:jc w:val="left"/>
        <w:rPr>
          <w:rFonts w:hint="eastAsia" w:ascii="宋体" w:hAnsi="宋体"/>
          <w:sz w:val="24"/>
          <w:szCs w:val="28"/>
        </w:rPr>
      </w:pPr>
      <w:r>
        <w:rPr>
          <w:rFonts w:hint="eastAsia" w:ascii="宋体" w:hAnsi="宋体"/>
          <w:sz w:val="24"/>
          <w:szCs w:val="28"/>
        </w:rPr>
        <w:t>2、落实政府采购政策满足的资格要求：本项目属于专门面向中小企业采购的项目；3、本项目的特定资格要求：</w:t>
      </w:r>
    </w:p>
    <w:p>
      <w:pPr>
        <w:snapToGrid w:val="0"/>
        <w:spacing w:line="360" w:lineRule="auto"/>
        <w:ind w:firstLine="480" w:firstLineChars="200"/>
        <w:rPr>
          <w:rStyle w:val="21"/>
          <w:rFonts w:hint="eastAsia" w:ascii="宋体" w:hAnsi="宋体" w:eastAsia="宋体" w:cs="Times New Roman"/>
          <w:sz w:val="24"/>
          <w:szCs w:val="24"/>
        </w:rPr>
      </w:pPr>
      <w:r>
        <w:rPr>
          <w:rFonts w:hint="eastAsia" w:ascii="宋体" w:hAnsi="宋体"/>
          <w:sz w:val="24"/>
          <w:szCs w:val="28"/>
        </w:rPr>
        <w:t>供应商须具</w:t>
      </w:r>
      <w:r>
        <w:rPr>
          <w:rFonts w:hint="eastAsia" w:ascii="宋体" w:hAnsi="宋体"/>
          <w:sz w:val="24"/>
          <w:szCs w:val="28"/>
          <w:lang w:eastAsia="zh-CN"/>
        </w:rPr>
        <w:t>有</w:t>
      </w:r>
      <w:r>
        <w:rPr>
          <w:rFonts w:hint="eastAsia" w:ascii="宋体" w:hAnsi="宋体"/>
          <w:sz w:val="24"/>
          <w:szCs w:val="28"/>
        </w:rPr>
        <w:t>独立法人资格，</w:t>
      </w:r>
      <w:r>
        <w:rPr>
          <w:rFonts w:hint="eastAsia" w:ascii="宋体" w:hAnsi="宋体"/>
          <w:sz w:val="24"/>
          <w:szCs w:val="28"/>
          <w:lang w:eastAsia="zh-CN"/>
        </w:rPr>
        <w:t>并具有有效的营业执照，</w:t>
      </w:r>
      <w:r>
        <w:rPr>
          <w:rStyle w:val="21"/>
          <w:rFonts w:hint="eastAsia" w:ascii="宋体" w:hAnsi="宋体" w:eastAsia="宋体" w:cs="Times New Roman"/>
          <w:sz w:val="24"/>
          <w:szCs w:val="24"/>
        </w:rPr>
        <w:t>拟派项目负责人须具备一级造价工程师执业资格，且</w:t>
      </w:r>
      <w:r>
        <w:rPr>
          <w:rStyle w:val="21"/>
          <w:rFonts w:hint="eastAsia" w:ascii="宋体" w:hAnsi="宋体" w:eastAsia="宋体" w:cs="Times New Roman"/>
          <w:sz w:val="24"/>
          <w:szCs w:val="24"/>
          <w:lang w:eastAsia="zh-CN"/>
        </w:rPr>
        <w:t>具有工程类相关专业中级及以上技术职称</w:t>
      </w:r>
      <w:r>
        <w:rPr>
          <w:rStyle w:val="21"/>
          <w:rFonts w:hint="eastAsia" w:ascii="宋体" w:hAnsi="宋体" w:eastAsia="宋体" w:cs="Times New Roman"/>
          <w:sz w:val="24"/>
          <w:szCs w:val="24"/>
        </w:rPr>
        <w:t>。</w:t>
      </w:r>
    </w:p>
    <w:p>
      <w:pPr>
        <w:adjustRightInd w:val="0"/>
        <w:snapToGrid w:val="0"/>
        <w:spacing w:line="360" w:lineRule="auto"/>
        <w:ind w:left="19" w:leftChars="9" w:right="-512" w:rightChars="-244" w:firstLine="458" w:firstLineChars="191"/>
        <w:jc w:val="left"/>
        <w:rPr>
          <w:rFonts w:hint="eastAsia" w:ascii="宋体" w:hAnsi="宋体"/>
          <w:sz w:val="24"/>
          <w:szCs w:val="28"/>
          <w:lang w:eastAsia="zh-CN"/>
        </w:rPr>
      </w:pPr>
      <w:r>
        <w:rPr>
          <w:rFonts w:hint="eastAsia" w:ascii="宋体" w:hAnsi="宋体"/>
          <w:sz w:val="24"/>
          <w:szCs w:val="28"/>
        </w:rPr>
        <w:t>4.未被列入“信用中国”网站(www.creditchina.gov.cn)失信被执行人、税收违法黑名单的投标人；“中国政府采购网”(www.ccgp.gov.cn)政府采购严重违法失信行为记录名单的供应商；“中国社会组织公共服务平台”网站（</w:t>
      </w:r>
      <w:r>
        <w:rPr>
          <w:rFonts w:hint="eastAsia" w:ascii="宋体" w:hAnsi="宋体"/>
          <w:sz w:val="24"/>
          <w:szCs w:val="28"/>
          <w:lang w:val="zh-CN"/>
        </w:rPr>
        <w:t>chinanpo.mca.gov.cn</w:t>
      </w:r>
      <w:r>
        <w:rPr>
          <w:rFonts w:hint="eastAsia" w:ascii="宋体" w:hAnsi="宋体"/>
          <w:sz w:val="24"/>
          <w:szCs w:val="28"/>
        </w:rPr>
        <w:t>）严重违法失信名单的社会组织；</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6</w:t>
      </w:r>
      <w:r>
        <w:rPr>
          <w:rFonts w:hint="eastAsia" w:ascii="宋体" w:hAnsi="宋体" w:cs="Cambria"/>
          <w:sz w:val="24"/>
          <w:szCs w:val="28"/>
          <w:lang w:eastAsia="zh-CN"/>
        </w:rPr>
        <w:t>月</w:t>
      </w:r>
      <w:r>
        <w:rPr>
          <w:rFonts w:hint="eastAsia" w:ascii="宋体" w:hAnsi="宋体" w:cs="Cambria"/>
          <w:sz w:val="24"/>
          <w:szCs w:val="28"/>
          <w:lang w:val="en-US" w:eastAsia="zh-CN"/>
        </w:rPr>
        <w:t>25</w:t>
      </w:r>
      <w:r>
        <w:rPr>
          <w:rFonts w:hint="eastAsia" w:ascii="宋体" w:hAnsi="宋体" w:cs="Cambria"/>
          <w:sz w:val="24"/>
          <w:szCs w:val="28"/>
          <w:lang w:eastAsia="zh-CN"/>
        </w:rPr>
        <w:t>日</w:t>
      </w:r>
      <w:r>
        <w:rPr>
          <w:rFonts w:hint="eastAsia" w:ascii="宋体" w:hAnsi="宋体" w:cs="Cambria"/>
          <w:sz w:val="24"/>
          <w:szCs w:val="28"/>
        </w:rPr>
        <w:t>至</w:t>
      </w:r>
      <w:r>
        <w:rPr>
          <w:rFonts w:hint="eastAsia" w:ascii="宋体" w:hAnsi="宋体" w:cs="Cambria"/>
          <w:sz w:val="24"/>
          <w:szCs w:val="28"/>
          <w:lang w:eastAsia="zh-CN"/>
        </w:rPr>
        <w:t>2023年</w:t>
      </w:r>
      <w:r>
        <w:rPr>
          <w:rFonts w:hint="eastAsia" w:ascii="宋体" w:hAnsi="宋体" w:cs="Cambria"/>
          <w:sz w:val="24"/>
          <w:szCs w:val="28"/>
          <w:lang w:val="en-US" w:eastAsia="zh-CN"/>
        </w:rPr>
        <w:t>7</w:t>
      </w:r>
      <w:r>
        <w:rPr>
          <w:rFonts w:hint="eastAsia" w:ascii="宋体" w:hAnsi="宋体" w:cs="Cambria"/>
          <w:sz w:val="24"/>
          <w:szCs w:val="28"/>
          <w:lang w:eastAsia="zh-CN"/>
        </w:rPr>
        <w:t>月</w:t>
      </w:r>
      <w:r>
        <w:rPr>
          <w:rFonts w:hint="eastAsia" w:ascii="宋体" w:hAnsi="宋体" w:cs="Cambria"/>
          <w:sz w:val="24"/>
          <w:szCs w:val="28"/>
          <w:lang w:val="en-US" w:eastAsia="zh-CN"/>
        </w:rPr>
        <w:t>10</w:t>
      </w:r>
      <w:r>
        <w:rPr>
          <w:rFonts w:hint="eastAsia" w:ascii="宋体" w:hAnsi="宋体" w:cs="Cambria"/>
          <w:sz w:val="24"/>
          <w:szCs w:val="28"/>
          <w:lang w:eastAsia="zh-CN"/>
        </w:rPr>
        <w:t>日</w:t>
      </w:r>
      <w:r>
        <w:rPr>
          <w:rFonts w:hint="eastAsia" w:ascii="宋体" w:hAnsi="宋体" w:cs="Cambria"/>
          <w:sz w:val="24"/>
          <w:szCs w:val="28"/>
        </w:rPr>
        <w:t>，每天上午00:00至12:00，下午12:00至23:59（北京时间，法定节假日除外）。</w:t>
      </w:r>
      <w:bookmarkStart w:id="13" w:name="_Toc28359082"/>
      <w:bookmarkStart w:id="14" w:name="_Toc35393793"/>
      <w:bookmarkStart w:id="15" w:name="_Toc28359005"/>
      <w:bookmarkStart w:id="16" w:name="_Toc35393624"/>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2023年7月10日09点30分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2023年7月10日09点30分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795"/>
      <w:bookmarkStart w:id="18" w:name="_Toc35393626"/>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0" w:firstLineChars="200"/>
        <w:jc w:val="left"/>
        <w:rPr>
          <w:rFonts w:hint="eastAsia" w:ascii="宋体" w:hAnsi="宋体" w:eastAsia="宋体"/>
          <w:bCs/>
          <w:sz w:val="24"/>
          <w:szCs w:val="28"/>
          <w:lang w:eastAsia="zh-CN"/>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right="-512" w:rightChars="-244" w:firstLine="480" w:firstLineChars="200"/>
        <w:jc w:val="left"/>
        <w:rPr>
          <w:rFonts w:hint="default" w:ascii="宋体" w:hAnsi="宋体"/>
          <w:bCs/>
          <w:sz w:val="24"/>
          <w:szCs w:val="28"/>
        </w:rPr>
      </w:pPr>
      <w:r>
        <w:rPr>
          <w:rFonts w:hint="default" w:ascii="宋体" w:hAnsi="宋体"/>
          <w:bCs/>
          <w:sz w:val="24"/>
          <w:szCs w:val="28"/>
        </w:rPr>
        <w:t>2.投标供应商在电子系统使用过程中遇到涉及系统使用的问题，可致电0374-2961598进行咨询。</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许昌纤顺产业园区建设有限公司</w:t>
      </w:r>
    </w:p>
    <w:p>
      <w:pPr>
        <w:adjustRightInd w:val="0"/>
        <w:snapToGrid w:val="0"/>
        <w:spacing w:line="360" w:lineRule="auto"/>
        <w:ind w:right="-512" w:rightChars="-244" w:firstLine="480" w:firstLineChars="200"/>
        <w:jc w:val="left"/>
        <w:rPr>
          <w:rFonts w:hint="default" w:ascii="宋体" w:hAnsi="宋体"/>
          <w:sz w:val="24"/>
          <w:szCs w:val="28"/>
          <w:lang w:val="en-US" w:eastAsia="zh-CN"/>
        </w:rPr>
      </w:pPr>
      <w:r>
        <w:rPr>
          <w:rFonts w:hint="eastAsia" w:ascii="宋体" w:hAnsi="宋体"/>
          <w:sz w:val="24"/>
          <w:szCs w:val="28"/>
          <w:lang w:val="zh-CN" w:eastAsia="zh-CN"/>
        </w:rPr>
        <w:t>地    址：</w:t>
      </w:r>
      <w:r>
        <w:rPr>
          <w:rFonts w:hint="eastAsia" w:ascii="宋体" w:hAnsi="宋体"/>
          <w:sz w:val="24"/>
          <w:szCs w:val="28"/>
          <w:lang w:val="en-US" w:eastAsia="zh-CN"/>
        </w:rPr>
        <w:t>许昌市建安区兴业大厦</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lang w:eastAsia="zh-CN"/>
        </w:rPr>
        <w:t>联 系 人：</w:t>
      </w:r>
      <w:r>
        <w:rPr>
          <w:rFonts w:hint="eastAsia" w:ascii="宋体" w:hAnsi="宋体"/>
          <w:sz w:val="24"/>
          <w:szCs w:val="28"/>
          <w:lang w:val="en-US" w:eastAsia="zh-CN"/>
        </w:rPr>
        <w:t>张弼华</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lang w:eastAsia="zh-CN"/>
        </w:rPr>
        <w:t>联系方式：</w:t>
      </w:r>
      <w:bookmarkStart w:id="19" w:name="_Toc28359086"/>
      <w:bookmarkStart w:id="20" w:name="_Toc28359009"/>
      <w:r>
        <w:rPr>
          <w:rFonts w:hint="eastAsia" w:ascii="宋体" w:hAnsi="宋体"/>
          <w:sz w:val="24"/>
          <w:szCs w:val="28"/>
          <w:lang w:eastAsia="zh-CN"/>
        </w:rPr>
        <w:t>13733677709</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bookmarkStart w:id="21" w:name="_Toc28359010"/>
      <w:bookmarkStart w:id="22" w:name="_Toc28359087"/>
      <w:r>
        <w:rPr>
          <w:rFonts w:hint="eastAsia" w:ascii="宋体" w:hAnsi="宋体"/>
          <w:sz w:val="24"/>
          <w:szCs w:val="28"/>
        </w:rPr>
        <w:t>名    称：</w:t>
      </w:r>
      <w:r>
        <w:rPr>
          <w:rFonts w:hint="eastAsia" w:ascii="宋体" w:hAnsi="宋体"/>
          <w:sz w:val="24"/>
          <w:szCs w:val="28"/>
          <w:lang w:eastAsia="zh-CN"/>
        </w:rPr>
        <w:t>许昌安信工程管理服务有限公司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w:t>
      </w:r>
      <w:r>
        <w:rPr>
          <w:rStyle w:val="21"/>
          <w:rFonts w:hint="eastAsia" w:hAnsi="宋体"/>
          <w:color w:val="000000"/>
          <w:sz w:val="24"/>
          <w:szCs w:val="24"/>
        </w:rPr>
        <w:t>罗扬</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联系方式：</w:t>
      </w:r>
      <w:r>
        <w:rPr>
          <w:rFonts w:hint="eastAsia" w:ascii="宋体" w:hAnsi="宋体"/>
          <w:bCs/>
          <w:sz w:val="24"/>
          <w:szCs w:val="24"/>
          <w:lang w:eastAsia="zh-CN"/>
        </w:rPr>
        <w:t>18603747565</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9"/>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项目联系人：</w:t>
      </w:r>
      <w:r>
        <w:rPr>
          <w:rFonts w:hint="eastAsia" w:ascii="宋体" w:hAnsi="宋体"/>
          <w:sz w:val="24"/>
          <w:szCs w:val="28"/>
          <w:lang w:eastAsia="zh-CN"/>
        </w:rPr>
        <w:t>罗扬</w:t>
      </w:r>
    </w:p>
    <w:p>
      <w:pPr>
        <w:pStyle w:val="9"/>
        <w:adjustRightInd w:val="0"/>
        <w:snapToGrid w:val="0"/>
        <w:spacing w:line="360" w:lineRule="auto"/>
        <w:ind w:right="-512" w:rightChars="-244" w:firstLine="480" w:firstLineChars="200"/>
        <w:jc w:val="left"/>
        <w:rPr>
          <w:rFonts w:hint="eastAsia" w:ascii="宋体" w:hAnsi="宋体" w:eastAsia="宋体" w:cs="仿宋_GB2312"/>
          <w:sz w:val="24"/>
          <w:szCs w:val="28"/>
          <w:lang w:val="zh-CN" w:eastAsia="zh-CN"/>
        </w:rPr>
      </w:pPr>
      <w:r>
        <w:rPr>
          <w:rFonts w:hint="eastAsia" w:ascii="宋体" w:hAnsi="宋体"/>
          <w:sz w:val="24"/>
          <w:szCs w:val="28"/>
        </w:rPr>
        <w:t>联系方式：</w:t>
      </w:r>
      <w:r>
        <w:rPr>
          <w:rFonts w:hint="eastAsia" w:ascii="宋体" w:hAnsi="宋体"/>
          <w:sz w:val="24"/>
          <w:szCs w:val="28"/>
          <w:lang w:eastAsia="zh-CN"/>
        </w:rPr>
        <w:t>18603747565</w:t>
      </w:r>
    </w:p>
    <w:p>
      <w:pPr>
        <w:spacing w:line="360" w:lineRule="auto"/>
        <w:ind w:right="-512" w:rightChars="-244"/>
        <w:jc w:val="right"/>
        <w:rPr>
          <w:rFonts w:ascii="宋体" w:hAnsi="宋体" w:cs="仿宋_GB2312"/>
          <w:sz w:val="24"/>
          <w:szCs w:val="28"/>
          <w:lang w:val="zh-CN"/>
        </w:rPr>
      </w:pPr>
    </w:p>
    <w:p>
      <w:pPr>
        <w:spacing w:line="360" w:lineRule="auto"/>
        <w:ind w:right="-512" w:rightChars="-244"/>
        <w:jc w:val="right"/>
        <w:rPr>
          <w:rFonts w:ascii="宋体" w:hAnsi="宋体" w:cs="仿宋_GB2312"/>
          <w:sz w:val="24"/>
          <w:szCs w:val="28"/>
          <w:lang w:val="zh-CN"/>
        </w:rPr>
      </w:pPr>
      <w:r>
        <w:rPr>
          <w:rFonts w:hint="eastAsia" w:ascii="宋体" w:hAnsi="宋体" w:cs="仿宋_GB2312"/>
          <w:sz w:val="24"/>
          <w:szCs w:val="28"/>
          <w:lang w:val="zh-CN"/>
        </w:rPr>
        <w:t>许昌纤顺产业园区建设有限公司</w:t>
      </w:r>
    </w:p>
    <w:p>
      <w:pPr>
        <w:spacing w:line="360" w:lineRule="auto"/>
        <w:ind w:right="-512" w:rightChars="-244"/>
        <w:jc w:val="right"/>
        <w:rPr>
          <w:rFonts w:hint="eastAsia" w:ascii="宋体" w:hAnsi="宋体" w:cs="仿宋_GB2312"/>
          <w:sz w:val="24"/>
          <w:szCs w:val="28"/>
          <w:lang w:eastAsia="zh-CN"/>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6</w:t>
      </w:r>
      <w:r>
        <w:rPr>
          <w:rFonts w:hint="eastAsia" w:ascii="宋体" w:hAnsi="宋体" w:cs="仿宋_GB2312"/>
          <w:sz w:val="24"/>
          <w:szCs w:val="28"/>
          <w:lang w:eastAsia="zh-CN"/>
        </w:rPr>
        <w:t>月</w:t>
      </w:r>
      <w:r>
        <w:rPr>
          <w:rFonts w:hint="eastAsia" w:ascii="宋体" w:hAnsi="宋体" w:cs="仿宋_GB2312"/>
          <w:sz w:val="24"/>
          <w:szCs w:val="28"/>
          <w:lang w:val="en-US" w:eastAsia="zh-CN"/>
        </w:rPr>
        <w:t>25</w:t>
      </w:r>
      <w:r>
        <w:rPr>
          <w:rFonts w:hint="eastAsia" w:ascii="宋体" w:hAnsi="宋体" w:cs="仿宋_GB2312"/>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spacing w:line="360" w:lineRule="auto"/>
        <w:ind w:left="120" w:right="-512" w:rightChars="-244" w:firstLine="240" w:firstLineChars="100"/>
        <w:jc w:val="left"/>
        <w:rPr>
          <w:rFonts w:ascii="宋体" w:hAnsi="宋体" w:eastAsia="宋体" w:cs="宋体"/>
          <w:sz w:val="24"/>
          <w:szCs w:val="24"/>
        </w:rPr>
      </w:pPr>
      <w:r>
        <w:rPr>
          <w:rFonts w:ascii="宋体" w:hAnsi="宋体" w:eastAsia="宋体" w:cs="宋体"/>
          <w:sz w:val="24"/>
          <w:szCs w:val="24"/>
        </w:rPr>
        <w:t>6.2评</w:t>
      </w:r>
      <w:r>
        <w:rPr>
          <w:rFonts w:hint="eastAsia" w:ascii="宋体" w:hAnsi="宋体" w:cs="宋体"/>
          <w:sz w:val="24"/>
          <w:szCs w:val="24"/>
          <w:lang w:eastAsia="zh-CN"/>
        </w:rPr>
        <w:t>审</w:t>
      </w:r>
      <w:r>
        <w:rPr>
          <w:rFonts w:ascii="宋体" w:hAnsi="宋体" w:eastAsia="宋体" w:cs="宋体"/>
          <w:sz w:val="24"/>
          <w:szCs w:val="24"/>
        </w:rPr>
        <w:t>期间</w:t>
      </w:r>
      <w:r>
        <w:rPr>
          <w:rFonts w:hint="eastAsia" w:ascii="宋体" w:hAnsi="宋体" w:cs="宋体"/>
          <w:sz w:val="24"/>
          <w:szCs w:val="24"/>
          <w:lang w:eastAsia="zh-CN"/>
        </w:rPr>
        <w:t>，</w:t>
      </w:r>
      <w:r>
        <w:rPr>
          <w:rFonts w:ascii="宋体" w:hAnsi="宋体" w:eastAsia="宋体" w:cs="宋体"/>
          <w:sz w:val="24"/>
          <w:szCs w:val="24"/>
        </w:rPr>
        <w:t>供应商应保持通讯手机畅通。</w:t>
      </w:r>
      <w:r>
        <w:rPr>
          <w:rFonts w:hint="eastAsia" w:ascii="宋体" w:hAnsi="宋体" w:cs="宋体"/>
          <w:sz w:val="24"/>
          <w:szCs w:val="24"/>
          <w:lang w:eastAsia="zh-CN"/>
        </w:rPr>
        <w:t>磋商小组</w:t>
      </w:r>
      <w:r>
        <w:rPr>
          <w:rFonts w:ascii="宋体" w:hAnsi="宋体" w:eastAsia="宋体" w:cs="宋体"/>
          <w:sz w:val="24"/>
          <w:szCs w:val="24"/>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spacing w:line="360" w:lineRule="auto"/>
        <w:ind w:left="120" w:right="-512" w:rightChars="-244" w:firstLine="241" w:firstLineChars="100"/>
        <w:jc w:val="left"/>
        <w:rPr>
          <w:rFonts w:ascii="宋体" w:hAnsi="宋体" w:eastAsia="宋体" w:cs="宋体"/>
          <w:sz w:val="24"/>
          <w:szCs w:val="24"/>
        </w:rPr>
      </w:pPr>
      <w:r>
        <w:rPr>
          <w:rFonts w:ascii="宋体" w:hAnsi="宋体" w:eastAsia="宋体" w:cs="宋体"/>
          <w:b/>
          <w:bCs/>
          <w:sz w:val="24"/>
          <w:szCs w:val="24"/>
        </w:rPr>
        <w:t>注：</w:t>
      </w:r>
      <w:r>
        <w:rPr>
          <w:rFonts w:ascii="宋体" w:hAnsi="宋体" w:eastAsia="宋体" w:cs="宋体"/>
          <w:sz w:val="24"/>
          <w:szCs w:val="24"/>
        </w:rPr>
        <w:t xml:space="preserve">①磋商文件第二章“采购需求”中“采购清单”以工程量清单提供的，供应商应以工程量清单方式提交最后报价。 </w:t>
      </w:r>
    </w:p>
    <w:p>
      <w:pPr>
        <w:spacing w:line="360" w:lineRule="auto"/>
        <w:ind w:left="12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②请供应商根据项目情况，可提前准备分项报价。 </w:t>
      </w:r>
    </w:p>
    <w:p>
      <w:pPr>
        <w:spacing w:line="360" w:lineRule="auto"/>
        <w:ind w:left="120" w:right="-512" w:rightChars="-244" w:firstLine="240" w:firstLineChars="100"/>
        <w:jc w:val="left"/>
        <w:rPr>
          <w:rFonts w:ascii="宋体" w:hAnsi="宋体" w:eastAsia="宋体" w:cs="宋体"/>
          <w:sz w:val="24"/>
          <w:szCs w:val="24"/>
        </w:rPr>
      </w:pPr>
      <w:r>
        <w:rPr>
          <w:rFonts w:ascii="宋体" w:hAnsi="宋体" w:eastAsia="宋体" w:cs="宋体"/>
          <w:sz w:val="24"/>
          <w:szCs w:val="24"/>
        </w:rPr>
        <w:t>磋商小组如要求供应商提供“澄清、说明或者更正”</w:t>
      </w:r>
      <w:r>
        <w:rPr>
          <w:rFonts w:hint="eastAsia" w:ascii="宋体" w:hAnsi="宋体" w:eastAsia="宋体" w:cs="宋体"/>
          <w:sz w:val="24"/>
          <w:szCs w:val="24"/>
        </w:rPr>
        <w:t>；</w:t>
      </w:r>
      <w:r>
        <w:rPr>
          <w:rFonts w:ascii="宋体" w:hAnsi="宋体" w:eastAsia="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440" w:lineRule="exact"/>
        <w:ind w:right="-512" w:rightChars="-244"/>
        <w:jc w:val="left"/>
        <w:rPr>
          <w:rFonts w:ascii="宋体" w:hAnsi="宋体" w:eastAsia="宋体" w:cs="宋体"/>
          <w:b/>
          <w:sz w:val="24"/>
          <w:szCs w:val="24"/>
        </w:rPr>
      </w:pPr>
      <w:r>
        <w:rPr>
          <w:rFonts w:hint="eastAsia" w:ascii="宋体" w:hAnsi="宋体" w:eastAsia="宋体" w:cs="宋体"/>
          <w:b/>
          <w:sz w:val="24"/>
          <w:szCs w:val="24"/>
        </w:rPr>
        <w:t>一、项目概况</w:t>
      </w:r>
    </w:p>
    <w:p>
      <w:pPr>
        <w:spacing w:line="440" w:lineRule="exact"/>
        <w:ind w:right="-512" w:rightChars="-244" w:firstLine="480" w:firstLineChars="200"/>
        <w:jc w:val="left"/>
        <w:rPr>
          <w:rFonts w:hint="default" w:ascii="宋体" w:hAnsi="宋体" w:eastAsia="宋体"/>
          <w:sz w:val="24"/>
          <w:szCs w:val="24"/>
          <w:lang w:val="en-US" w:eastAsia="zh-CN"/>
        </w:rPr>
      </w:pPr>
      <w:r>
        <w:rPr>
          <w:rFonts w:hint="eastAsia" w:asciiTheme="minorEastAsia" w:hAnsiTheme="minorEastAsia" w:eastAsiaTheme="minorEastAsia"/>
          <w:sz w:val="24"/>
          <w:szCs w:val="24"/>
          <w:lang w:eastAsia="zh-CN"/>
        </w:rPr>
        <w:t>建安区发制品产业园造价咨询费</w:t>
      </w:r>
      <w:r>
        <w:rPr>
          <w:rFonts w:hint="eastAsia" w:ascii="宋体" w:hAnsi="宋体"/>
          <w:sz w:val="24"/>
          <w:szCs w:val="24"/>
          <w:lang w:val="en-US" w:eastAsia="zh-CN"/>
        </w:rPr>
        <w:t>。</w:t>
      </w:r>
    </w:p>
    <w:p>
      <w:pPr>
        <w:spacing w:line="440" w:lineRule="exact"/>
        <w:ind w:right="-512" w:rightChars="-244"/>
        <w:jc w:val="left"/>
        <w:rPr>
          <w:rFonts w:hint="eastAsia" w:ascii="宋体" w:hAnsi="宋体" w:eastAsia="宋体" w:cs="宋体"/>
          <w:b/>
          <w:sz w:val="24"/>
          <w:szCs w:val="24"/>
        </w:rPr>
      </w:pPr>
      <w:r>
        <w:rPr>
          <w:rFonts w:hint="eastAsia" w:ascii="宋体" w:hAnsi="宋体" w:eastAsia="宋体" w:cs="微软雅黑"/>
          <w:b/>
          <w:sz w:val="24"/>
          <w:szCs w:val="24"/>
        </w:rPr>
        <w:t>★</w:t>
      </w:r>
      <w:r>
        <w:rPr>
          <w:rFonts w:hint="eastAsia" w:ascii="宋体" w:hAnsi="宋体" w:eastAsia="宋体" w:cs="宋体"/>
          <w:b/>
          <w:sz w:val="24"/>
          <w:szCs w:val="24"/>
        </w:rPr>
        <w:t>二、采购需求</w:t>
      </w:r>
    </w:p>
    <w:p>
      <w:pPr>
        <w:spacing w:line="440" w:lineRule="exact"/>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为建安区发制品产业园提供造价咨询服务。</w:t>
      </w:r>
    </w:p>
    <w:p>
      <w:pPr>
        <w:widowControl/>
        <w:shd w:val="clear" w:color="auto" w:fill="FFFFFF"/>
        <w:spacing w:line="440" w:lineRule="exact"/>
        <w:ind w:right="-512" w:rightChars="-244"/>
        <w:contextualSpacing/>
        <w:jc w:val="left"/>
        <w:rPr>
          <w:rFonts w:ascii="宋体" w:hAnsi="宋体" w:cs="宋体"/>
          <w:b/>
          <w:sz w:val="24"/>
          <w:szCs w:val="24"/>
          <w:lang w:val="zh-CN"/>
        </w:rPr>
      </w:pPr>
      <w:r>
        <w:rPr>
          <w:rFonts w:hint="eastAsia" w:ascii="宋体" w:hAnsi="宋体"/>
          <w:b/>
          <w:sz w:val="24"/>
          <w:szCs w:val="24"/>
        </w:rPr>
        <w:t>★</w:t>
      </w:r>
      <w:r>
        <w:rPr>
          <w:rFonts w:hint="eastAsia" w:ascii="宋体" w:hAnsi="宋体"/>
          <w:b/>
          <w:sz w:val="24"/>
          <w:szCs w:val="24"/>
          <w:lang w:eastAsia="zh-CN"/>
        </w:rPr>
        <w:t>三</w:t>
      </w:r>
      <w:r>
        <w:rPr>
          <w:rFonts w:hint="eastAsia" w:ascii="宋体" w:hAnsi="宋体" w:cs="宋体"/>
          <w:b/>
          <w:sz w:val="24"/>
          <w:szCs w:val="24"/>
          <w:lang w:val="zh-CN"/>
        </w:rPr>
        <w:t>、服务</w:t>
      </w:r>
      <w:r>
        <w:rPr>
          <w:rFonts w:hint="eastAsia" w:ascii="宋体" w:hAnsi="宋体" w:cs="宋体"/>
          <w:b/>
          <w:sz w:val="24"/>
          <w:szCs w:val="24"/>
        </w:rPr>
        <w:t>标准</w:t>
      </w:r>
      <w:r>
        <w:rPr>
          <w:rFonts w:hint="eastAsia" w:ascii="宋体" w:hAnsi="宋体" w:cs="宋体"/>
          <w:b/>
          <w:sz w:val="24"/>
          <w:szCs w:val="24"/>
          <w:lang w:val="zh-CN"/>
        </w:rPr>
        <w:t>、期限等要求</w:t>
      </w:r>
    </w:p>
    <w:p>
      <w:pPr>
        <w:spacing w:line="440" w:lineRule="exact"/>
        <w:ind w:right="-512" w:rightChars="-244" w:firstLine="480" w:firstLineChars="200"/>
        <w:rPr>
          <w:rFonts w:ascii="宋体" w:hAnsi="宋体"/>
          <w:color w:val="auto"/>
          <w:sz w:val="24"/>
          <w:szCs w:val="24"/>
        </w:rPr>
      </w:pPr>
      <w:r>
        <w:rPr>
          <w:rFonts w:hint="eastAsia" w:ascii="宋体" w:hAnsi="宋体"/>
          <w:color w:val="auto"/>
          <w:sz w:val="24"/>
          <w:szCs w:val="28"/>
        </w:rPr>
        <w:t>1、</w:t>
      </w:r>
      <w:r>
        <w:rPr>
          <w:rFonts w:hint="eastAsia" w:ascii="宋体" w:hAnsi="宋体"/>
          <w:color w:val="auto"/>
          <w:sz w:val="24"/>
          <w:szCs w:val="24"/>
        </w:rPr>
        <w:t>合同履行期限：</w:t>
      </w:r>
      <w:r>
        <w:rPr>
          <w:rFonts w:hint="eastAsia" w:ascii="宋体" w:hAnsi="宋体"/>
          <w:color w:val="auto"/>
          <w:sz w:val="24"/>
          <w:szCs w:val="24"/>
          <w:lang w:eastAsia="zh-CN"/>
        </w:rPr>
        <w:t>自合同签订之日起</w:t>
      </w:r>
      <w:r>
        <w:rPr>
          <w:rFonts w:hint="eastAsia" w:ascii="宋体" w:hAnsi="宋体"/>
          <w:color w:val="auto"/>
          <w:sz w:val="24"/>
          <w:szCs w:val="24"/>
          <w:lang w:val="en-US" w:eastAsia="zh-CN"/>
        </w:rPr>
        <w:t>1</w:t>
      </w:r>
      <w:r>
        <w:rPr>
          <w:rFonts w:hint="eastAsia" w:ascii="宋体" w:hAnsi="宋体"/>
          <w:color w:val="auto"/>
          <w:sz w:val="24"/>
          <w:szCs w:val="24"/>
          <w:lang w:eastAsia="zh-CN"/>
        </w:rPr>
        <w:t>5日历天</w:t>
      </w:r>
      <w:r>
        <w:rPr>
          <w:rFonts w:hint="eastAsia" w:ascii="宋体" w:hAnsi="宋体"/>
          <w:color w:val="auto"/>
          <w:sz w:val="24"/>
          <w:szCs w:val="24"/>
        </w:rPr>
        <w:t>。</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ascii="宋体" w:hAnsi="宋体"/>
          <w:sz w:val="24"/>
          <w:szCs w:val="24"/>
        </w:rPr>
      </w:pPr>
      <w:r>
        <w:rPr>
          <w:rFonts w:hint="eastAsia" w:ascii="宋体" w:hAnsi="宋体"/>
          <w:sz w:val="24"/>
          <w:szCs w:val="28"/>
        </w:rPr>
        <w:t>3</w:t>
      </w:r>
      <w:r>
        <w:rPr>
          <w:rFonts w:hint="eastAsia" w:ascii="宋体" w:hAnsi="宋体"/>
          <w:sz w:val="24"/>
          <w:szCs w:val="24"/>
        </w:rPr>
        <w:t>、履约地点：采购人指定地点。</w:t>
      </w:r>
    </w:p>
    <w:p>
      <w:pPr>
        <w:spacing w:line="440" w:lineRule="exact"/>
        <w:ind w:right="-512" w:rightChars="-244"/>
        <w:contextualSpacing/>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四</w:t>
      </w:r>
      <w:r>
        <w:rPr>
          <w:rFonts w:hint="eastAsia" w:ascii="宋体" w:hAnsi="宋体"/>
          <w:b/>
          <w:sz w:val="24"/>
          <w:szCs w:val="24"/>
        </w:rPr>
        <w:t>、采购标的的其他技术、服务等要求</w:t>
      </w:r>
    </w:p>
    <w:p>
      <w:pPr>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1、投标文件中须有详细的服务方案和服务承诺，否则为无效投标。</w:t>
      </w:r>
    </w:p>
    <w:p>
      <w:pPr>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2、投标人应就本项目（每包或者标段）完整投标，否则为无效投标。</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lang w:eastAsia="zh-CN"/>
        </w:rPr>
        <w:t>五</w:t>
      </w:r>
      <w:r>
        <w:rPr>
          <w:rFonts w:hint="eastAsia" w:ascii="宋体" w:hAnsi="宋体" w:cs="宋体"/>
          <w:b/>
          <w:sz w:val="24"/>
          <w:szCs w:val="24"/>
        </w:rPr>
        <w:t>、验收标准</w:t>
      </w:r>
    </w:p>
    <w:p>
      <w:pPr>
        <w:spacing w:line="440" w:lineRule="exact"/>
        <w:ind w:right="-512" w:rightChars="-244" w:firstLine="480" w:firstLineChars="200"/>
        <w:jc w:val="left"/>
        <w:rPr>
          <w:rFonts w:ascii="宋体" w:hAnsi="宋体" w:eastAsia="宋体" w:cs="宋体"/>
          <w:sz w:val="24"/>
          <w:szCs w:val="24"/>
        </w:rPr>
      </w:pPr>
      <w:r>
        <w:rPr>
          <w:rFonts w:hint="eastAsia" w:ascii="宋体" w:hAnsi="宋体" w:eastAsia="宋体" w:cs="宋体"/>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2、按照磋商文件要求、响应文件响应和承诺验收。</w:t>
      </w:r>
    </w:p>
    <w:p>
      <w:pPr>
        <w:spacing w:line="440" w:lineRule="exact"/>
        <w:ind w:right="-512" w:rightChars="-244" w:firstLine="480" w:firstLineChars="200"/>
        <w:jc w:val="left"/>
        <w:rPr>
          <w:rFonts w:ascii="宋体" w:hAnsi="宋体" w:eastAsia="宋体" w:cs="宋体"/>
          <w:sz w:val="24"/>
          <w:szCs w:val="24"/>
        </w:rPr>
      </w:pPr>
      <w:r>
        <w:rPr>
          <w:rFonts w:hint="eastAsia" w:ascii="宋体" w:hAnsi="宋体" w:eastAsia="宋体" w:cs="宋体"/>
          <w:sz w:val="24"/>
          <w:szCs w:val="24"/>
        </w:rPr>
        <w:t>3、按照国家及行业相关标准验收。</w:t>
      </w:r>
    </w:p>
    <w:p>
      <w:pPr>
        <w:spacing w:line="440" w:lineRule="exact"/>
        <w:ind w:right="-512" w:rightChars="-244"/>
        <w:jc w:val="left"/>
        <w:rPr>
          <w:rFonts w:ascii="宋体" w:hAnsi="宋体" w:eastAsia="宋体" w:cs="宋体"/>
          <w:b/>
          <w:bCs/>
          <w:sz w:val="24"/>
          <w:szCs w:val="24"/>
        </w:rPr>
      </w:pPr>
      <w:r>
        <w:rPr>
          <w:rFonts w:hint="eastAsia" w:ascii="宋体" w:hAnsi="宋体"/>
          <w:b/>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、本项目预算金额：</w:t>
      </w:r>
      <w:r>
        <w:rPr>
          <w:rFonts w:hint="eastAsia" w:ascii="宋体" w:hAnsi="宋体" w:eastAsia="宋体" w:cs="宋体"/>
          <w:b/>
          <w:bCs/>
          <w:sz w:val="24"/>
          <w:szCs w:val="24"/>
          <w:lang w:val="en-US" w:eastAsia="zh-CN"/>
        </w:rPr>
        <w:t>建安费的1‰</w:t>
      </w:r>
      <w:r>
        <w:rPr>
          <w:rFonts w:hint="eastAsia" w:ascii="宋体" w:hAnsi="宋体" w:eastAsia="宋体" w:cs="宋体"/>
          <w:b/>
          <w:bCs/>
          <w:sz w:val="24"/>
          <w:szCs w:val="24"/>
        </w:rPr>
        <w:t>（</w:t>
      </w:r>
      <w:r>
        <w:rPr>
          <w:rFonts w:hint="eastAsia" w:ascii="宋体" w:hAnsi="宋体" w:eastAsia="宋体" w:cs="宋体"/>
          <w:b/>
          <w:bCs/>
          <w:sz w:val="24"/>
          <w:szCs w:val="24"/>
          <w:lang w:eastAsia="zh-CN"/>
        </w:rPr>
        <w:t>自筹资金</w:t>
      </w:r>
      <w:r>
        <w:rPr>
          <w:rFonts w:hint="eastAsia" w:ascii="宋体" w:hAnsi="宋体" w:eastAsia="宋体" w:cs="宋体"/>
          <w:b/>
          <w:bCs/>
          <w:sz w:val="24"/>
          <w:szCs w:val="24"/>
        </w:rPr>
        <w:t>），超出预算金额的磋商响应无效。</w:t>
      </w:r>
    </w:p>
    <w:p>
      <w:pPr>
        <w:spacing w:line="440" w:lineRule="exact"/>
        <w:ind w:right="-512" w:rightChars="-244"/>
        <w:jc w:val="left"/>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、支付方式：</w:t>
      </w:r>
    </w:p>
    <w:p>
      <w:pPr>
        <w:spacing w:line="360" w:lineRule="auto"/>
        <w:ind w:right="-512" w:rightChars="-244" w:firstLine="480" w:firstLineChars="200"/>
        <w:jc w:val="left"/>
        <w:rPr>
          <w:rFonts w:ascii="宋体" w:hAnsi="宋体" w:eastAsia="宋体" w:cs="宋体"/>
          <w:sz w:val="24"/>
          <w:szCs w:val="24"/>
          <w:lang w:val="zh-CN"/>
        </w:rPr>
      </w:pPr>
      <w:r>
        <w:rPr>
          <w:rFonts w:hint="eastAsia" w:ascii="宋体" w:hAnsi="宋体" w:eastAsia="宋体" w:cs="宋体"/>
          <w:sz w:val="24"/>
          <w:szCs w:val="24"/>
        </w:rPr>
        <w:t>1、支付方式：</w:t>
      </w:r>
      <w:r>
        <w:rPr>
          <w:rFonts w:hint="eastAsia" w:ascii="宋体" w:hAnsi="宋体" w:eastAsia="宋体" w:cs="宋体"/>
          <w:sz w:val="24"/>
          <w:szCs w:val="24"/>
          <w:lang w:val="zh-CN"/>
        </w:rPr>
        <w:t>按照合同约定。</w:t>
      </w:r>
    </w:p>
    <w:p>
      <w:pPr>
        <w:spacing w:line="360" w:lineRule="auto"/>
        <w:ind w:right="-512" w:rightChars="-244" w:firstLine="480" w:firstLineChars="200"/>
        <w:jc w:val="left"/>
        <w:rPr>
          <w:rFonts w:ascii="宋体" w:hAnsi="宋体" w:eastAsia="宋体" w:cs="宋体"/>
          <w:sz w:val="24"/>
          <w:szCs w:val="24"/>
        </w:rPr>
      </w:pPr>
      <w:r>
        <w:rPr>
          <w:rFonts w:hint="eastAsia" w:ascii="宋体" w:hAnsi="宋体" w:eastAsia="宋体" w:cs="宋体"/>
          <w:sz w:val="24"/>
          <w:szCs w:val="24"/>
        </w:rPr>
        <w:t>2、支付时间及条件：以双方签订合同为准。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1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建安区发制品产业园造价咨询费</w:t>
            </w:r>
          </w:p>
          <w:p>
            <w:pPr>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lang w:eastAsia="zh-CN"/>
              </w:rPr>
              <w:t>建安政采竞磋商字〔2023〕21号</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项目内容</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为</w:t>
            </w:r>
            <w:r>
              <w:rPr>
                <w:rFonts w:hint="eastAsia" w:ascii="宋体" w:hAnsi="宋体" w:cs="宋体"/>
                <w:bCs/>
                <w:sz w:val="24"/>
                <w:szCs w:val="24"/>
                <w:lang w:val="zh-CN" w:eastAsia="zh-CN"/>
              </w:rPr>
              <w:t>建安区发制品产业园提供造价咨询服务。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rPr>
              <w:t>名    称：许昌纤顺产业园区建设有限公司</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rPr>
              <w:t>地    址：许昌市建安区兴业大厦</w:t>
            </w:r>
          </w:p>
          <w:p>
            <w:pPr>
              <w:autoSpaceDE w:val="0"/>
              <w:autoSpaceDN w:val="0"/>
              <w:adjustRightInd w:val="0"/>
              <w:spacing w:line="360" w:lineRule="auto"/>
              <w:jc w:val="left"/>
              <w:rPr>
                <w:rFonts w:hint="eastAsia" w:ascii="宋体" w:hAnsi="宋体" w:cs="仿宋_GB2312"/>
                <w:sz w:val="24"/>
                <w:szCs w:val="24"/>
                <w:lang w:val="zh-CN" w:eastAsia="zh-CN"/>
              </w:rPr>
            </w:pPr>
            <w:r>
              <w:rPr>
                <w:rFonts w:hint="eastAsia" w:ascii="宋体" w:hAnsi="宋体" w:cs="仿宋_GB2312"/>
                <w:sz w:val="24"/>
                <w:szCs w:val="24"/>
                <w:lang w:val="zh-CN"/>
              </w:rPr>
              <w:t>联 系 人：</w:t>
            </w:r>
            <w:r>
              <w:rPr>
                <w:rFonts w:hint="eastAsia" w:ascii="宋体" w:hAnsi="宋体" w:cs="仿宋_GB2312"/>
                <w:sz w:val="24"/>
                <w:szCs w:val="24"/>
                <w:lang w:val="zh-CN" w:eastAsia="zh-CN"/>
              </w:rPr>
              <w:t>张弼华</w:t>
            </w:r>
          </w:p>
          <w:p>
            <w:pPr>
              <w:autoSpaceDE w:val="0"/>
              <w:autoSpaceDN w:val="0"/>
              <w:adjustRightInd w:val="0"/>
              <w:spacing w:line="360" w:lineRule="auto"/>
              <w:jc w:val="left"/>
              <w:rPr>
                <w:rFonts w:ascii="宋体" w:hAnsi="宋体" w:cs="宋体"/>
                <w:bCs/>
                <w:sz w:val="24"/>
                <w:szCs w:val="24"/>
                <w:highlight w:val="yellow"/>
                <w:lang w:val="zh-CN"/>
              </w:rPr>
            </w:pPr>
            <w:r>
              <w:rPr>
                <w:rFonts w:hint="eastAsia" w:ascii="宋体" w:hAnsi="宋体" w:cs="仿宋_GB2312"/>
                <w:sz w:val="24"/>
                <w:szCs w:val="24"/>
                <w:lang w:val="zh-CN"/>
              </w:rPr>
              <w:t>联系方式：</w:t>
            </w:r>
            <w:r>
              <w:rPr>
                <w:rFonts w:hint="eastAsia" w:ascii="宋体" w:hAnsi="宋体" w:cs="仿宋_GB2312"/>
                <w:sz w:val="24"/>
                <w:szCs w:val="24"/>
                <w:lang w:val="zh-CN" w:eastAsia="zh-CN"/>
              </w:rPr>
              <w:t>13733677709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称：许昌安信工程管理服务有限公司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人：罗扬</w:t>
            </w:r>
          </w:p>
          <w:p>
            <w:pPr>
              <w:autoSpaceDE w:val="0"/>
              <w:autoSpaceDN w:val="0"/>
              <w:adjustRightInd w:val="0"/>
              <w:spacing w:line="360" w:lineRule="auto"/>
              <w:ind w:right="-11" w:rightChars="0"/>
              <w:jc w:val="left"/>
              <w:rPr>
                <w:rFonts w:ascii="宋体" w:hAnsi="宋体" w:cs="宋体"/>
                <w:bCs/>
                <w:sz w:val="24"/>
                <w:szCs w:val="24"/>
                <w:highlight w:val="yellow"/>
              </w:rPr>
            </w:pPr>
            <w:r>
              <w:rPr>
                <w:rFonts w:hint="eastAsia" w:ascii="宋体" w:hAnsi="宋体" w:cs="宋体"/>
                <w:bCs/>
                <w:sz w:val="24"/>
                <w:szCs w:val="24"/>
                <w:lang w:val="zh-CN"/>
              </w:rPr>
              <w:t>联系方式：18603747565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lang w:val="en-US" w:eastAsia="zh-CN"/>
              </w:rPr>
              <w:t>建安费1‰（自筹资金）</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w:t>
            </w:r>
            <w:r>
              <w:rPr>
                <w:rFonts w:hint="eastAsia" w:ascii="宋体" w:hAnsi="宋体" w:cs="宋体"/>
                <w:b/>
                <w:sz w:val="24"/>
                <w:szCs w:val="24"/>
                <w:lang w:val="en-US" w:eastAsia="zh-CN"/>
              </w:rPr>
              <w:t>7</w:t>
            </w:r>
            <w:r>
              <w:rPr>
                <w:rFonts w:hint="eastAsia" w:ascii="宋体" w:hAnsi="宋体" w:cs="宋体"/>
                <w:b/>
                <w:sz w:val="24"/>
                <w:szCs w:val="24"/>
                <w:lang w:eastAsia="zh-CN"/>
              </w:rPr>
              <w:t>月</w:t>
            </w:r>
            <w:r>
              <w:rPr>
                <w:rFonts w:hint="eastAsia" w:ascii="宋体" w:hAnsi="宋体" w:cs="宋体"/>
                <w:b/>
                <w:sz w:val="24"/>
                <w:szCs w:val="24"/>
                <w:lang w:val="en-US" w:eastAsia="zh-CN"/>
              </w:rPr>
              <w:t>10</w:t>
            </w:r>
            <w:r>
              <w:rPr>
                <w:rFonts w:hint="eastAsia" w:ascii="宋体" w:hAnsi="宋体" w:cs="宋体"/>
                <w:b/>
                <w:sz w:val="24"/>
                <w:szCs w:val="24"/>
                <w:lang w:eastAsia="zh-CN"/>
              </w:rPr>
              <w:t>日</w:t>
            </w:r>
            <w:r>
              <w:rPr>
                <w:rFonts w:hint="eastAsia" w:ascii="宋体" w:hAnsi="宋体" w:cs="宋体"/>
                <w:b/>
                <w:sz w:val="24"/>
                <w:szCs w:val="24"/>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许昌市建安区公共资源交易中心四楼开标二室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1、本项目属于专门面向中小企业采购的项目；本次采购标的对应的中小企业划分标准所属行业：其他未列明行业。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color w:val="auto"/>
                <w:sz w:val="24"/>
                <w:szCs w:val="24"/>
              </w:rPr>
              <w:t>依据发改价格(2015]299号文件和豫招协［2023］002号文件规定计取。一次性以银行划账、电汇、汇票或支票的形式支付。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发送投标报价及分项报价一览表（包含主要中标标的的名称、规格型号、数量、单价、服务要求等）电子文档，并同时通知代理机构联系人，代理机构邮箱：1103239683@qq.com。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①磋商结束后，磋商小组应当要求所有继续参加磋商的供应商在规定时间内提交最后报价，</w:t>
            </w:r>
            <w:r>
              <w:rPr>
                <w:rFonts w:hint="eastAsia" w:hAnsi="宋体" w:cs="宋体"/>
                <w:b/>
                <w:bCs/>
                <w:sz w:val="24"/>
                <w:lang w:val="zh-CN"/>
              </w:rPr>
              <w:t>提交最后报价的供应商不得少于3家。最终报价需提供最终报价的分项报价清单（要求加盖单位公章的扫描件或图片作为附件上传）。</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 “中国社会组织政务服务平台”网站（chinanpo.mca.gov.cn）严重违法失信社会组织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1、查询渠道：</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19"/>
                <w:rFonts w:ascii="宋体" w:hAnsi="宋体" w:cs="宋体"/>
                <w:bCs/>
                <w:color w:val="auto"/>
                <w:sz w:val="24"/>
                <w:szCs w:val="24"/>
                <w:lang w:val="zh-CN"/>
              </w:rPr>
              <w:t>www.creditchina.gov.cn</w:t>
            </w:r>
            <w:r>
              <w:rPr>
                <w:rStyle w:val="19"/>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19"/>
                <w:rFonts w:ascii="宋体" w:hAnsi="宋体" w:cs="宋体"/>
                <w:bCs/>
                <w:color w:val="auto"/>
                <w:sz w:val="24"/>
                <w:szCs w:val="24"/>
                <w:lang w:val="zh-CN"/>
              </w:rPr>
              <w:t>www.ccgp.gov.cn</w:t>
            </w:r>
            <w:r>
              <w:rPr>
                <w:rStyle w:val="19"/>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③“中国社会组织政务服务平台”网站（chinanpo.mca.gov.cn）（仅查询社会组织）；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3.3.1查询渠道：“信用中国”网站（www.creditchina.gov.cn）、“中国政府采购网”（www.ccgp.gov.cn）、“中国社会组织政务服务平台”网站（</w:t>
      </w:r>
      <w:r>
        <w:rPr>
          <w:rFonts w:ascii="宋体" w:hAnsi="宋体" w:cs="宋体"/>
          <w:bCs/>
          <w:color w:val="auto"/>
          <w:sz w:val="24"/>
          <w:szCs w:val="24"/>
          <w:lang w:val="zh-CN"/>
        </w:rPr>
        <w:t>chinanpo.mca.gov.cn</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22"/>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22"/>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22"/>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22"/>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22"/>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2"/>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2"/>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（7）拟签订的合同文本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2"/>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22"/>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13.报价</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pStyle w:val="22"/>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16.响应文件格式 </w:t>
      </w:r>
    </w:p>
    <w:p>
      <w:pPr>
        <w:pStyle w:val="22"/>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22"/>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pStyle w:val="22"/>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18.磋商文件的数量和签署盖章 </w:t>
      </w:r>
    </w:p>
    <w:p>
      <w:pPr>
        <w:pStyle w:val="22"/>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22"/>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23.响应文件开启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w:t>
      </w:r>
      <w:r>
        <w:rPr>
          <w:rFonts w:hint="eastAsia" w:ascii="宋体" w:hAnsi="宋体" w:cs="宋体"/>
          <w:kern w:val="0"/>
          <w:sz w:val="24"/>
          <w:szCs w:val="24"/>
          <w:lang w:eastAsia="zh-CN"/>
        </w:rPr>
        <w:t>磋商小组</w:t>
      </w:r>
      <w:r>
        <w:rPr>
          <w:rFonts w:hint="eastAsia" w:ascii="宋体" w:hAnsi="宋体" w:cs="宋体"/>
          <w:kern w:val="0"/>
          <w:sz w:val="24"/>
          <w:szCs w:val="24"/>
        </w:rPr>
        <w:t>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25.磋商小组的组成</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29.6对响应文件进行一致性分析，分析响应文件是否有雷同现象，判定供应商是否有串通投标行为。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29.7法律、法规和磋</w:t>
      </w:r>
      <w:r>
        <w:rPr>
          <w:rFonts w:hint="eastAsia" w:ascii="宋体" w:hAnsi="宋体" w:cs="宋体"/>
          <w:kern w:val="0"/>
          <w:sz w:val="24"/>
          <w:szCs w:val="24"/>
          <w:lang w:eastAsia="zh-CN"/>
        </w:rPr>
        <w:t>商文件</w:t>
      </w:r>
      <w:r>
        <w:rPr>
          <w:rFonts w:hint="eastAsia" w:ascii="宋体" w:hAnsi="宋体" w:cs="宋体"/>
          <w:kern w:val="0"/>
          <w:sz w:val="24"/>
          <w:szCs w:val="24"/>
        </w:rPr>
        <w:t>规定的其他无效情形。</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服务方案或解决方案的，磋商结束后，磋商小组应当按照少数服从多数的原则投票推荐3家以上供应商的服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22"/>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22"/>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22"/>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联系人：李东磊 0374-2928168 18569936868地址：许昌市魏都区八一路文峰路交叉口西北角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22"/>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5"/>
        <w:rPr>
          <w:rFonts w:hint="eastAsia" w:ascii="宋体" w:hAnsi="宋体" w:eastAsia="宋体" w:cs="Times New Roman"/>
          <w:kern w:val="2"/>
          <w:sz w:val="24"/>
          <w:szCs w:val="22"/>
          <w:lang w:val="en-US" w:eastAsia="zh-CN" w:bidi="ar-SA"/>
        </w:rPr>
      </w:pPr>
    </w:p>
    <w:p>
      <w:pPr>
        <w:pStyle w:val="5"/>
        <w:ind w:right="-512" w:rightChars="-244"/>
        <w:rPr>
          <w:rFonts w:hint="default"/>
        </w:rPr>
      </w:pPr>
    </w:p>
    <w:p>
      <w:pPr>
        <w:pStyle w:val="20"/>
        <w:ind w:right="-512" w:rightChars="-244"/>
      </w:pPr>
    </w:p>
    <w:p>
      <w:pPr>
        <w:ind w:right="-512" w:rightChars="-244"/>
      </w:pPr>
    </w:p>
    <w:p>
      <w:pPr>
        <w:ind w:right="-512" w:rightChars="-244"/>
        <w:jc w:val="center"/>
        <w:rPr>
          <w:rFonts w:ascii="宋体" w:hAnsi="宋体" w:cs="宋体"/>
          <w:b/>
          <w:sz w:val="36"/>
          <w:szCs w:val="36"/>
        </w:rPr>
      </w:pPr>
    </w:p>
    <w:p>
      <w:pPr>
        <w:pStyle w:val="5"/>
        <w:ind w:right="-512" w:rightChars="-244"/>
        <w:rPr>
          <w:rFonts w:hint="default"/>
        </w:rPr>
      </w:pPr>
    </w:p>
    <w:p>
      <w:pPr>
        <w:ind w:right="-512" w:rightChars="-244"/>
      </w:pPr>
    </w:p>
    <w:p>
      <w:pPr>
        <w:pStyle w:val="5"/>
        <w:ind w:right="-512" w:rightChars="-244"/>
        <w:rPr>
          <w:rFonts w:hint="default"/>
        </w:rPr>
      </w:pPr>
    </w:p>
    <w:p>
      <w:pPr>
        <w:pStyle w:val="5"/>
        <w:ind w:right="-512" w:rightChars="-244"/>
        <w:rPr>
          <w:rFonts w:hint="default"/>
        </w:rPr>
      </w:pPr>
    </w:p>
    <w:p>
      <w:pPr>
        <w:pStyle w:val="20"/>
        <w:ind w:right="-512" w:rightChars="-244"/>
      </w:pPr>
    </w:p>
    <w:p>
      <w:pPr>
        <w:ind w:right="-512" w:rightChars="-244"/>
      </w:pPr>
    </w:p>
    <w:p>
      <w:pPr>
        <w:pStyle w:val="5"/>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9"/>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9"/>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jc w:val="left"/>
              <w:rPr>
                <w:rFonts w:hint="eastAsia" w:ascii="宋体" w:hAnsi="宋体" w:eastAsia="宋体"/>
                <w:b/>
                <w:bCs/>
                <w:szCs w:val="21"/>
                <w:lang w:eastAsia="zh-CN"/>
              </w:rPr>
            </w:pPr>
            <w:r>
              <w:rPr>
                <w:rFonts w:hint="eastAsia" w:ascii="宋体" w:hAnsi="宋体" w:eastAsia="宋体"/>
                <w:bCs/>
                <w:szCs w:val="21"/>
                <w:lang w:eastAsia="zh-CN"/>
              </w:rPr>
              <w:t>供应商须具有独立法人资格，并具有有效的营业执照，拟派项目负责人须具备一级造价工程师执业资格，且具有工程类相关专业中级及以上技术职称。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9"/>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9"/>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9"/>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9"/>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15"/>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648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682" w:type="dxa"/>
            <w:noWrap/>
            <w:vAlign w:val="center"/>
          </w:tcPr>
          <w:p>
            <w:pPr>
              <w:spacing w:line="360" w:lineRule="auto"/>
              <w:ind w:right="-512" w:rightChars="-244" w:firstLine="240" w:firstLineChars="100"/>
              <w:rPr>
                <w:rFonts w:ascii="宋体"/>
                <w:sz w:val="24"/>
                <w:szCs w:val="24"/>
              </w:rPr>
            </w:pPr>
            <w:r>
              <w:rPr>
                <w:rFonts w:hint="eastAsia" w:ascii="宋体" w:hAnsi="宋体"/>
                <w:sz w:val="24"/>
                <w:szCs w:val="24"/>
              </w:rPr>
              <w:t>分值构成</w:t>
            </w:r>
          </w:p>
          <w:p>
            <w:pPr>
              <w:spacing w:line="360" w:lineRule="auto"/>
              <w:ind w:right="-512" w:rightChars="-244"/>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785"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lang w:val="en-US" w:eastAsia="zh-CN"/>
              </w:rPr>
              <w:t>2</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lang w:val="en-US" w:eastAsia="zh-CN"/>
              </w:rPr>
              <w:t>5</w:t>
            </w:r>
            <w:r>
              <w:rPr>
                <w:rFonts w:hint="eastAsia" w:ascii="宋体" w:hAnsi="宋体"/>
                <w:sz w:val="24"/>
                <w:szCs w:val="24"/>
                <w:u w:val="single"/>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67"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w:t>
            </w:r>
            <w:r>
              <w:rPr>
                <w:rFonts w:hint="eastAsia" w:ascii="宋体" w:hAnsi="宋体"/>
                <w:b/>
                <w:bCs/>
                <w:sz w:val="24"/>
                <w:szCs w:val="24"/>
                <w:lang w:val="en-US" w:eastAsia="zh-CN"/>
              </w:rPr>
              <w:t>2</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48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298"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682" w:type="dxa"/>
            <w:noWrap/>
            <w:vAlign w:val="center"/>
          </w:tcPr>
          <w:p>
            <w:pPr>
              <w:spacing w:line="360" w:lineRule="auto"/>
              <w:ind w:right="-512" w:rightChars="-244"/>
              <w:rPr>
                <w:rFonts w:ascii="宋体"/>
                <w:sz w:val="24"/>
                <w:szCs w:val="24"/>
              </w:rPr>
            </w:pPr>
            <w:r>
              <w:rPr>
                <w:rFonts w:hint="eastAsia" w:ascii="宋体"/>
                <w:sz w:val="24"/>
                <w:szCs w:val="24"/>
              </w:rPr>
              <w:t>最终磋商报价</w:t>
            </w:r>
          </w:p>
          <w:p>
            <w:pPr>
              <w:spacing w:line="360" w:lineRule="auto"/>
              <w:ind w:right="-512" w:rightChars="-244" w:firstLine="240" w:firstLineChars="100"/>
              <w:rPr>
                <w:rFonts w:ascii="宋体"/>
                <w:sz w:val="24"/>
                <w:szCs w:val="24"/>
              </w:rPr>
            </w:pPr>
            <w:r>
              <w:rPr>
                <w:rFonts w:hint="eastAsia" w:ascii="宋体"/>
                <w:sz w:val="24"/>
                <w:szCs w:val="24"/>
              </w:rPr>
              <w:t>评分标准</w:t>
            </w:r>
          </w:p>
        </w:tc>
        <w:tc>
          <w:tcPr>
            <w:tcW w:w="6487"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eastAsia" w:hAnsi="Calibri" w:cs="Times New Roman"/>
                <w:sz w:val="24"/>
                <w:szCs w:val="24"/>
                <w:lang w:val="en-US" w:bidi="ar-SA"/>
              </w:rPr>
            </w:pPr>
            <w:r>
              <w:rPr>
                <w:rFonts w:hint="eastAsia" w:hAnsi="Calibri" w:cs="Times New Roman"/>
                <w:sz w:val="24"/>
                <w:szCs w:val="24"/>
                <w:lang w:val="en-US" w:bidi="ar-SA"/>
              </w:rPr>
              <w:t>投标报价得分采用低价优先法计算，即满足磋商文件要求且</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eastAsia" w:ascii="宋体" w:hAnsi="Calibri" w:eastAsia="宋体" w:cs="Times New Roman"/>
                <w:kern w:val="2"/>
                <w:sz w:val="24"/>
                <w:szCs w:val="24"/>
                <w:lang w:val="en-US" w:eastAsia="zh-CN" w:bidi="ar-SA"/>
              </w:rPr>
            </w:pPr>
            <w:r>
              <w:rPr>
                <w:rFonts w:hint="eastAsia" w:hAnsi="Calibri" w:cs="Times New Roman"/>
                <w:sz w:val="24"/>
                <w:szCs w:val="24"/>
                <w:lang w:val="en-US" w:bidi="ar-SA"/>
              </w:rPr>
              <w:t>最低的最终磋商报价为磋商基准价，其价格分为满分</w:t>
            </w:r>
            <w:r>
              <w:rPr>
                <w:rFonts w:hint="eastAsia" w:cs="Times New Roman"/>
                <w:sz w:val="24"/>
                <w:szCs w:val="24"/>
                <w:lang w:val="en-US" w:eastAsia="zh-CN" w:bidi="ar-SA"/>
              </w:rPr>
              <w:t>2</w:t>
            </w:r>
            <w:r>
              <w:rPr>
                <w:rFonts w:hint="eastAsia" w:hAnsi="Calibri" w:cs="Times New Roman"/>
                <w:sz w:val="24"/>
                <w:szCs w:val="24"/>
                <w:lang w:val="en-US" w:bidi="ar-SA"/>
              </w:rPr>
              <w:t>0</w:t>
            </w:r>
            <w:r>
              <w:rPr>
                <w:rFonts w:hint="eastAsia" w:ascii="宋体" w:hAnsi="Calibri" w:eastAsia="宋体" w:cs="Times New Roman"/>
                <w:kern w:val="2"/>
                <w:sz w:val="24"/>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其他供应商的报价得分计算：</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w:t>
            </w:r>
            <w:r>
              <w:rPr>
                <w:rFonts w:hint="eastAsia" w:ascii="宋体" w:cs="Times New Roman"/>
                <w:kern w:val="2"/>
                <w:sz w:val="24"/>
                <w:szCs w:val="24"/>
                <w:lang w:val="en-US" w:eastAsia="zh-CN" w:bidi="ar-SA"/>
              </w:rPr>
              <w:t>20</w:t>
            </w:r>
            <w:r>
              <w:rPr>
                <w:rFonts w:hint="eastAsia" w:ascii="宋体" w:hAnsi="Calibri" w:eastAsia="宋体" w:cs="Times New Roman"/>
                <w:kern w:val="2"/>
                <w:sz w:val="24"/>
                <w:szCs w:val="24"/>
                <w:lang w:val="en-US" w:eastAsia="zh-CN" w:bidi="ar-SA"/>
              </w:rPr>
              <w:t>计算按四舍五</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default"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入法则,保留小数点后两位。</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eastAsia" w:ascii="宋体" w:hAnsi="Calibri" w:eastAsia="宋体" w:cs="Times New Roman"/>
                <w:b/>
                <w:bCs/>
                <w:kern w:val="2"/>
                <w:sz w:val="24"/>
                <w:szCs w:val="24"/>
                <w:lang w:val="en-US" w:eastAsia="zh-CN" w:bidi="ar-SA"/>
              </w:rPr>
            </w:pPr>
            <w:r>
              <w:rPr>
                <w:rFonts w:hint="eastAsia" w:ascii="宋体" w:hAnsi="Calibri" w:eastAsia="宋体" w:cs="Times New Roman"/>
                <w:b/>
                <w:bCs/>
                <w:kern w:val="2"/>
                <w:sz w:val="24"/>
                <w:szCs w:val="24"/>
                <w:lang w:val="en-US" w:eastAsia="zh-CN" w:bidi="ar-SA"/>
              </w:rPr>
              <w:t>注：磋商小组认为供应商的报价明显低于其他通过符合性</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eastAsia" w:ascii="宋体" w:hAnsi="Calibri" w:eastAsia="宋体" w:cs="Times New Roman"/>
                <w:b/>
                <w:bCs/>
                <w:kern w:val="2"/>
                <w:sz w:val="24"/>
                <w:szCs w:val="24"/>
                <w:lang w:val="en-US" w:eastAsia="zh-CN" w:bidi="ar-SA"/>
              </w:rPr>
            </w:pPr>
            <w:r>
              <w:rPr>
                <w:rFonts w:hint="eastAsia" w:ascii="宋体" w:hAnsi="Calibri" w:eastAsia="宋体" w:cs="Times New Roman"/>
                <w:b/>
                <w:bCs/>
                <w:kern w:val="2"/>
                <w:sz w:val="24"/>
                <w:szCs w:val="24"/>
                <w:lang w:val="en-US" w:eastAsia="zh-CN" w:bidi="ar-SA"/>
              </w:rPr>
              <w:t>审查供应商的报价，有可能影响服务质量或者不能诚信履</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ascii="宋体"/>
                <w:b/>
                <w:bCs/>
                <w:sz w:val="24"/>
                <w:szCs w:val="24"/>
              </w:rPr>
            </w:pPr>
            <w:r>
              <w:rPr>
                <w:rFonts w:hint="eastAsia" w:ascii="宋体" w:hAnsi="Calibri" w:eastAsia="宋体" w:cs="Times New Roman"/>
                <w:b/>
                <w:bCs/>
                <w:kern w:val="2"/>
                <w:sz w:val="24"/>
                <w:szCs w:val="24"/>
                <w:lang w:val="en-US" w:eastAsia="zh-CN" w:bidi="ar-SA"/>
              </w:rPr>
              <w:t>约的，应当要求该供应商作出书</w:t>
            </w:r>
            <w:r>
              <w:rPr>
                <w:rFonts w:hint="eastAsia" w:ascii="宋体"/>
                <w:b/>
                <w:bCs/>
                <w:sz w:val="24"/>
                <w:szCs w:val="24"/>
              </w:rPr>
              <w:t>面说明并提供相关证明材</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ascii="宋体"/>
                <w:b/>
                <w:bCs/>
                <w:sz w:val="24"/>
                <w:szCs w:val="24"/>
              </w:rPr>
            </w:pPr>
            <w:r>
              <w:rPr>
                <w:rFonts w:hint="eastAsia" w:ascii="宋体"/>
                <w:b/>
                <w:bCs/>
                <w:sz w:val="24"/>
                <w:szCs w:val="24"/>
              </w:rPr>
              <w:t>料。供应商不能合理说明或者不能提供相关证明材料的，</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ascii="宋体"/>
                <w:sz w:val="24"/>
                <w:szCs w:val="24"/>
              </w:rPr>
            </w:pPr>
            <w:r>
              <w:rPr>
                <w:rFonts w:hint="eastAsia" w:ascii="宋体"/>
                <w:b/>
                <w:bCs/>
                <w:sz w:val="24"/>
                <w:szCs w:val="24"/>
              </w:rPr>
              <w:t>按无效标处理。</w:t>
            </w:r>
          </w:p>
        </w:tc>
        <w:tc>
          <w:tcPr>
            <w:tcW w:w="1298" w:type="dxa"/>
            <w:noWrap/>
            <w:vAlign w:val="center"/>
          </w:tcPr>
          <w:p>
            <w:pPr>
              <w:ind w:right="-512" w:rightChars="-244" w:firstLine="240" w:firstLineChars="100"/>
              <w:rPr>
                <w:rFonts w:ascii="宋体"/>
                <w:sz w:val="24"/>
                <w:szCs w:val="24"/>
              </w:rPr>
            </w:pPr>
            <w:r>
              <w:rPr>
                <w:rFonts w:hint="eastAsia" w:ascii="宋体" w:hAnsi="宋体"/>
                <w:sz w:val="24"/>
                <w:szCs w:val="24"/>
                <w:lang w:val="en-US" w:eastAsia="zh-CN"/>
              </w:rPr>
              <w:t>2</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7"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48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298"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82" w:type="dxa"/>
            <w:noWrap/>
            <w:vAlign w:val="center"/>
          </w:tcPr>
          <w:p>
            <w:pPr>
              <w:spacing w:line="360" w:lineRule="auto"/>
              <w:ind w:right="-512" w:rightChars="-244" w:firstLine="240" w:firstLineChars="100"/>
              <w:jc w:val="left"/>
              <w:rPr>
                <w:rFonts w:ascii="宋体"/>
                <w:sz w:val="24"/>
                <w:szCs w:val="24"/>
              </w:rPr>
            </w:pPr>
            <w:r>
              <w:rPr>
                <w:rFonts w:hint="eastAsia" w:ascii="宋体" w:hAnsi="宋体"/>
                <w:sz w:val="24"/>
                <w:szCs w:val="24"/>
              </w:rPr>
              <w:t>企业业绩</w:t>
            </w:r>
          </w:p>
        </w:tc>
        <w:tc>
          <w:tcPr>
            <w:tcW w:w="6487" w:type="dxa"/>
            <w:noWrap/>
            <w:vAlign w:val="center"/>
          </w:tcPr>
          <w:p>
            <w:pPr>
              <w:keepNext w:val="0"/>
              <w:keepLines w:val="0"/>
              <w:pageBreakBefore w:val="0"/>
              <w:kinsoku/>
              <w:wordWrap/>
              <w:overflowPunct/>
              <w:topLinePunct w:val="0"/>
              <w:autoSpaceDE/>
              <w:autoSpaceDN/>
              <w:bidi w:val="0"/>
              <w:adjustRightInd/>
              <w:snapToGrid/>
              <w:spacing w:line="440" w:lineRule="exact"/>
              <w:ind w:right="-512" w:rightChars="-244"/>
              <w:jc w:val="left"/>
              <w:textAlignment w:val="auto"/>
              <w:rPr>
                <w:rFonts w:hint="eastAsia" w:ascii="宋体" w:hAnsi="宋体"/>
                <w:sz w:val="24"/>
                <w:szCs w:val="24"/>
                <w:lang w:val="en-US" w:eastAsia="zh-CN"/>
              </w:rPr>
            </w:pPr>
            <w:r>
              <w:rPr>
                <w:rFonts w:hint="eastAsia" w:ascii="宋体" w:hAnsi="宋体"/>
                <w:sz w:val="24"/>
                <w:szCs w:val="24"/>
              </w:rPr>
              <w:t>自20</w:t>
            </w:r>
            <w:r>
              <w:rPr>
                <w:rFonts w:hint="eastAsia" w:ascii="宋体" w:hAnsi="宋体"/>
                <w:sz w:val="24"/>
                <w:szCs w:val="24"/>
                <w:lang w:val="en-US" w:eastAsia="zh-CN"/>
              </w:rPr>
              <w:t>20</w:t>
            </w:r>
            <w:r>
              <w:rPr>
                <w:rFonts w:hint="eastAsia" w:ascii="宋体" w:hAnsi="宋体"/>
                <w:sz w:val="24"/>
                <w:szCs w:val="24"/>
              </w:rPr>
              <w:t>年1月1日以来（以合同签订时间为准）</w:t>
            </w:r>
            <w:r>
              <w:rPr>
                <w:rFonts w:hint="eastAsia" w:ascii="宋体" w:hAnsi="宋体"/>
                <w:sz w:val="24"/>
                <w:szCs w:val="24"/>
                <w:lang w:val="en-US" w:eastAsia="zh-CN"/>
              </w:rPr>
              <w:t>承接过类似</w:t>
            </w:r>
          </w:p>
          <w:p>
            <w:pPr>
              <w:keepNext w:val="0"/>
              <w:keepLines w:val="0"/>
              <w:pageBreakBefore w:val="0"/>
              <w:kinsoku/>
              <w:wordWrap/>
              <w:overflowPunct/>
              <w:topLinePunct w:val="0"/>
              <w:autoSpaceDE/>
              <w:autoSpaceDN/>
              <w:bidi w:val="0"/>
              <w:adjustRightInd/>
              <w:snapToGrid/>
              <w:spacing w:line="440" w:lineRule="exact"/>
              <w:ind w:right="-512" w:rightChars="-244"/>
              <w:jc w:val="left"/>
              <w:textAlignment w:val="auto"/>
              <w:rPr>
                <w:rFonts w:hint="eastAsia" w:ascii="宋体" w:hAnsi="宋体"/>
                <w:sz w:val="24"/>
                <w:szCs w:val="24"/>
              </w:rPr>
            </w:pPr>
            <w:r>
              <w:rPr>
                <w:rFonts w:hint="eastAsia" w:ascii="宋体" w:hAnsi="宋体"/>
                <w:sz w:val="24"/>
                <w:szCs w:val="24"/>
                <w:lang w:val="en-US" w:eastAsia="zh-CN"/>
              </w:rPr>
              <w:t>业绩的，每项得2分，本项最高得4分</w:t>
            </w:r>
            <w:r>
              <w:rPr>
                <w:rFonts w:hint="eastAsia" w:ascii="宋体" w:hAnsi="宋体"/>
                <w:sz w:val="24"/>
                <w:szCs w:val="24"/>
              </w:rPr>
              <w:t>（须提供中标</w:t>
            </w:r>
            <w:r>
              <w:rPr>
                <w:rFonts w:hint="eastAsia" w:ascii="宋体" w:hAnsi="宋体"/>
                <w:sz w:val="24"/>
                <w:szCs w:val="24"/>
                <w:lang w:val="en-US" w:eastAsia="zh-CN"/>
              </w:rPr>
              <w:t>(</w:t>
            </w:r>
            <w:r>
              <w:rPr>
                <w:rFonts w:hint="eastAsia" w:ascii="宋体" w:hAnsi="宋体"/>
                <w:sz w:val="24"/>
                <w:szCs w:val="24"/>
              </w:rPr>
              <w:t>或成交</w:t>
            </w:r>
          </w:p>
          <w:p>
            <w:pPr>
              <w:keepNext w:val="0"/>
              <w:keepLines w:val="0"/>
              <w:pageBreakBefore w:val="0"/>
              <w:kinsoku/>
              <w:wordWrap/>
              <w:overflowPunct/>
              <w:topLinePunct w:val="0"/>
              <w:autoSpaceDE/>
              <w:autoSpaceDN/>
              <w:bidi w:val="0"/>
              <w:adjustRightInd/>
              <w:snapToGrid/>
              <w:spacing w:line="440" w:lineRule="exact"/>
              <w:ind w:right="-512" w:rightChars="-244"/>
              <w:jc w:val="left"/>
              <w:textAlignment w:val="auto"/>
              <w:rPr>
                <w:rFonts w:hint="eastAsia" w:ascii="宋体" w:eastAsia="宋体"/>
                <w:sz w:val="24"/>
                <w:szCs w:val="24"/>
                <w:lang w:eastAsia="zh-CN"/>
              </w:rPr>
            </w:pPr>
            <w:r>
              <w:rPr>
                <w:rFonts w:hint="eastAsia" w:ascii="宋体" w:hAnsi="宋体"/>
                <w:sz w:val="24"/>
                <w:szCs w:val="24"/>
                <w:lang w:val="en-US" w:eastAsia="zh-CN"/>
              </w:rPr>
              <w:t>)</w:t>
            </w:r>
            <w:r>
              <w:rPr>
                <w:rFonts w:hint="eastAsia" w:ascii="宋体" w:hAnsi="宋体"/>
                <w:sz w:val="24"/>
                <w:szCs w:val="24"/>
              </w:rPr>
              <w:t>通知书</w:t>
            </w:r>
            <w:r>
              <w:rPr>
                <w:rFonts w:hint="eastAsia" w:ascii="宋体" w:hAnsi="宋体"/>
                <w:sz w:val="24"/>
                <w:szCs w:val="24"/>
                <w:lang w:eastAsia="zh-CN"/>
              </w:rPr>
              <w:t>和</w:t>
            </w:r>
            <w:r>
              <w:rPr>
                <w:rFonts w:hint="eastAsia" w:ascii="宋体" w:hAnsi="宋体"/>
                <w:sz w:val="24"/>
                <w:szCs w:val="24"/>
              </w:rPr>
              <w:t>合同，附原件扫描件）</w:t>
            </w:r>
            <w:r>
              <w:rPr>
                <w:rFonts w:hint="eastAsia" w:ascii="宋体" w:hAnsi="宋体"/>
                <w:sz w:val="24"/>
                <w:szCs w:val="24"/>
                <w:lang w:eastAsia="zh-CN"/>
              </w:rPr>
              <w:t>。</w:t>
            </w:r>
          </w:p>
        </w:tc>
        <w:tc>
          <w:tcPr>
            <w:tcW w:w="1298" w:type="dxa"/>
            <w:noWrap/>
            <w:vAlign w:val="center"/>
          </w:tcPr>
          <w:p>
            <w:pPr>
              <w:ind w:right="-512" w:rightChars="-244" w:firstLine="240" w:firstLineChars="100"/>
              <w:jc w:val="both"/>
              <w:rPr>
                <w:rFonts w:ascii="宋体"/>
                <w:sz w:val="24"/>
                <w:szCs w:val="24"/>
                <w:lang w:val="en-GB"/>
              </w:rPr>
            </w:pPr>
            <w:r>
              <w:rPr>
                <w:rFonts w:hint="eastAsia" w:ascii="宋体" w:hAnsi="宋体"/>
                <w:sz w:val="24"/>
                <w:szCs w:val="24"/>
                <w:lang w:val="en-US" w:eastAsia="zh-CN"/>
              </w:rPr>
              <w:t>0-4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82" w:type="dxa"/>
            <w:noWrap/>
            <w:vAlign w:val="center"/>
          </w:tcPr>
          <w:p>
            <w:pPr>
              <w:spacing w:line="360" w:lineRule="auto"/>
              <w:ind w:right="-512" w:rightChars="-244" w:firstLine="240" w:firstLineChars="100"/>
              <w:jc w:val="left"/>
              <w:rPr>
                <w:rFonts w:hint="eastAsia" w:ascii="宋体" w:hAnsi="宋体" w:eastAsia="宋体"/>
                <w:color w:val="FF0000"/>
                <w:sz w:val="24"/>
                <w:szCs w:val="24"/>
                <w:lang w:eastAsia="zh-CN"/>
              </w:rPr>
            </w:pPr>
            <w:r>
              <w:rPr>
                <w:rFonts w:hint="eastAsia" w:ascii="宋体" w:hAnsi="宋体"/>
                <w:sz w:val="24"/>
                <w:szCs w:val="24"/>
                <w:lang w:eastAsia="zh-CN"/>
              </w:rPr>
              <w:t>企业实力</w:t>
            </w:r>
          </w:p>
        </w:tc>
        <w:tc>
          <w:tcPr>
            <w:tcW w:w="6487" w:type="dxa"/>
            <w:noWrap/>
            <w:vAlign w:val="center"/>
          </w:tcPr>
          <w:p>
            <w:pPr>
              <w:keepNext w:val="0"/>
              <w:keepLines w:val="0"/>
              <w:pageBreakBefore w:val="0"/>
              <w:kinsoku/>
              <w:wordWrap/>
              <w:overflowPunct/>
              <w:topLinePunct w:val="0"/>
              <w:autoSpaceDE/>
              <w:autoSpaceDN/>
              <w:bidi w:val="0"/>
              <w:adjustRightInd/>
              <w:snapToGrid/>
              <w:spacing w:line="440" w:lineRule="exact"/>
              <w:ind w:right="-512" w:rightChars="-244"/>
              <w:jc w:val="left"/>
              <w:textAlignment w:val="auto"/>
              <w:rPr>
                <w:rFonts w:hint="eastAsia" w:ascii="宋体" w:hAnsi="宋体"/>
                <w:sz w:val="24"/>
                <w:szCs w:val="24"/>
                <w:lang w:val="en-US" w:eastAsia="zh-CN"/>
              </w:rPr>
            </w:pPr>
            <w:r>
              <w:rPr>
                <w:rFonts w:hint="eastAsia" w:ascii="宋体" w:hAnsi="宋体"/>
                <w:sz w:val="24"/>
                <w:szCs w:val="24"/>
                <w:lang w:val="en-US" w:eastAsia="zh-CN"/>
              </w:rPr>
              <w:t>除项目负责人外，项目团队每多配备一名相关专业注册证书</w:t>
            </w:r>
          </w:p>
          <w:p>
            <w:pPr>
              <w:keepNext w:val="0"/>
              <w:keepLines w:val="0"/>
              <w:pageBreakBefore w:val="0"/>
              <w:kinsoku/>
              <w:wordWrap/>
              <w:overflowPunct/>
              <w:topLinePunct w:val="0"/>
              <w:autoSpaceDE/>
              <w:autoSpaceDN/>
              <w:bidi w:val="0"/>
              <w:adjustRightInd/>
              <w:snapToGrid/>
              <w:spacing w:line="440" w:lineRule="exact"/>
              <w:ind w:right="-512" w:rightChars="-244"/>
              <w:jc w:val="left"/>
              <w:textAlignment w:val="auto"/>
              <w:rPr>
                <w:rFonts w:ascii="宋体" w:hAnsi="宋体"/>
                <w:color w:val="FF0000"/>
                <w:sz w:val="24"/>
                <w:szCs w:val="24"/>
              </w:rPr>
            </w:pPr>
            <w:r>
              <w:rPr>
                <w:rFonts w:hint="eastAsia" w:ascii="宋体" w:hAnsi="宋体"/>
                <w:sz w:val="24"/>
                <w:szCs w:val="24"/>
                <w:lang w:val="en-US" w:eastAsia="zh-CN"/>
              </w:rPr>
              <w:t>或职称证书的得3分，最多得12分。</w:t>
            </w:r>
          </w:p>
        </w:tc>
        <w:tc>
          <w:tcPr>
            <w:tcW w:w="1298" w:type="dxa"/>
            <w:noWrap/>
            <w:vAlign w:val="center"/>
          </w:tcPr>
          <w:p>
            <w:pPr>
              <w:ind w:right="-512" w:rightChars="-244" w:firstLine="240" w:firstLineChars="100"/>
              <w:jc w:val="both"/>
              <w:rPr>
                <w:rFonts w:ascii="宋体" w:hAnsi="宋体"/>
                <w:sz w:val="24"/>
                <w:szCs w:val="24"/>
              </w:rPr>
            </w:pPr>
            <w:r>
              <w:rPr>
                <w:rFonts w:hint="eastAsia" w:ascii="宋体" w:hAnsi="宋体"/>
                <w:sz w:val="24"/>
                <w:szCs w:val="24"/>
                <w:lang w:val="en-US" w:eastAsia="zh-CN"/>
              </w:rPr>
              <w:t>0-12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682"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rPr>
              <w:t>信誉及荣誉</w:t>
            </w:r>
          </w:p>
          <w:p>
            <w:pPr>
              <w:spacing w:line="360" w:lineRule="auto"/>
              <w:ind w:right="-512" w:rightChars="-244"/>
              <w:jc w:val="left"/>
              <w:rPr>
                <w:rFonts w:ascii="宋体" w:hAnsi="宋体"/>
                <w:sz w:val="24"/>
                <w:szCs w:val="24"/>
              </w:rPr>
            </w:pPr>
          </w:p>
        </w:tc>
        <w:tc>
          <w:tcPr>
            <w:tcW w:w="6487" w:type="dxa"/>
            <w:noWrap/>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right="-512" w:rightChars="-244"/>
              <w:jc w:val="left"/>
              <w:textAlignment w:val="auto"/>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具</w:t>
            </w:r>
            <w:r>
              <w:rPr>
                <w:rFonts w:hint="eastAsia" w:ascii="宋体" w:hAnsi="宋体"/>
                <w:sz w:val="24"/>
                <w:szCs w:val="24"/>
                <w:lang w:eastAsia="zh-CN"/>
              </w:rPr>
              <w:t>有</w:t>
            </w:r>
            <w:r>
              <w:rPr>
                <w:rFonts w:hint="eastAsia" w:ascii="宋体" w:hAnsi="宋体"/>
                <w:sz w:val="24"/>
                <w:szCs w:val="24"/>
              </w:rPr>
              <w:t>质量管理体系认证证书得</w:t>
            </w:r>
            <w:r>
              <w:rPr>
                <w:rFonts w:hint="eastAsia" w:ascii="宋体" w:hAnsi="宋体"/>
                <w:sz w:val="24"/>
                <w:szCs w:val="24"/>
                <w:lang w:val="en-US" w:eastAsia="zh-CN"/>
              </w:rPr>
              <w:t>3</w:t>
            </w:r>
            <w:r>
              <w:rPr>
                <w:rFonts w:hint="eastAsia" w:ascii="宋体" w:hAnsi="宋体"/>
                <w:sz w:val="24"/>
                <w:szCs w:val="24"/>
              </w:rPr>
              <w:t>分，否则不得分。提供证书</w:t>
            </w:r>
          </w:p>
          <w:p>
            <w:pPr>
              <w:keepNext w:val="0"/>
              <w:keepLines w:val="0"/>
              <w:pageBreakBefore w:val="0"/>
              <w:numPr>
                <w:ilvl w:val="0"/>
                <w:numId w:val="0"/>
              </w:numPr>
              <w:kinsoku/>
              <w:wordWrap/>
              <w:overflowPunct/>
              <w:topLinePunct w:val="0"/>
              <w:autoSpaceDE/>
              <w:autoSpaceDN/>
              <w:bidi w:val="0"/>
              <w:adjustRightInd/>
              <w:snapToGrid/>
              <w:spacing w:line="440" w:lineRule="exact"/>
              <w:ind w:right="-512" w:rightChars="-244"/>
              <w:jc w:val="left"/>
              <w:textAlignment w:val="auto"/>
              <w:rPr>
                <w:rFonts w:hint="eastAsia" w:ascii="宋体" w:hAnsi="宋体"/>
                <w:sz w:val="24"/>
                <w:szCs w:val="24"/>
              </w:rPr>
            </w:pPr>
            <w:r>
              <w:rPr>
                <w:rFonts w:hint="eastAsia" w:ascii="宋体" w:hAnsi="宋体"/>
                <w:sz w:val="24"/>
                <w:szCs w:val="24"/>
                <w:lang w:eastAsia="zh-CN"/>
              </w:rPr>
              <w:t>书</w:t>
            </w:r>
            <w:r>
              <w:rPr>
                <w:rFonts w:hint="eastAsia" w:ascii="宋体" w:hAnsi="宋体"/>
                <w:sz w:val="24"/>
                <w:szCs w:val="24"/>
              </w:rPr>
              <w:t>原件扫描件或全国认证认可信息公共服务平台网页截图或</w:t>
            </w:r>
          </w:p>
          <w:p>
            <w:pPr>
              <w:keepNext w:val="0"/>
              <w:keepLines w:val="0"/>
              <w:pageBreakBefore w:val="0"/>
              <w:numPr>
                <w:ilvl w:val="0"/>
                <w:numId w:val="0"/>
              </w:numPr>
              <w:kinsoku/>
              <w:wordWrap/>
              <w:overflowPunct/>
              <w:topLinePunct w:val="0"/>
              <w:autoSpaceDE/>
              <w:autoSpaceDN/>
              <w:bidi w:val="0"/>
              <w:adjustRightInd/>
              <w:snapToGrid/>
              <w:spacing w:line="440" w:lineRule="exact"/>
              <w:ind w:right="-512" w:rightChars="-244"/>
              <w:jc w:val="left"/>
              <w:textAlignment w:val="auto"/>
              <w:rPr>
                <w:rFonts w:ascii="宋体" w:hAnsi="宋体"/>
                <w:sz w:val="24"/>
                <w:szCs w:val="24"/>
              </w:rPr>
            </w:pPr>
            <w:r>
              <w:rPr>
                <w:rFonts w:hint="eastAsia" w:ascii="宋体" w:hAnsi="宋体"/>
                <w:sz w:val="24"/>
                <w:szCs w:val="24"/>
              </w:rPr>
              <w:t xml:space="preserve">图片为准，须在有效期内。）。 </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512" w:rightChars="-244"/>
              <w:jc w:val="left"/>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企业信用等级为“AAA”级的得</w:t>
            </w:r>
            <w:r>
              <w:rPr>
                <w:rFonts w:hint="eastAsia" w:ascii="宋体" w:hAnsi="宋体"/>
                <w:sz w:val="24"/>
                <w:szCs w:val="24"/>
                <w:lang w:val="en-US" w:eastAsia="zh-CN"/>
              </w:rPr>
              <w:t>3</w:t>
            </w:r>
            <w:r>
              <w:rPr>
                <w:rFonts w:hint="eastAsia" w:ascii="宋体" w:hAnsi="宋体"/>
                <w:sz w:val="24"/>
                <w:szCs w:val="24"/>
              </w:rPr>
              <w:t>分，“AA”级的得</w:t>
            </w:r>
            <w:r>
              <w:rPr>
                <w:rFonts w:hint="eastAsia" w:ascii="宋体" w:hAnsi="宋体"/>
                <w:sz w:val="24"/>
                <w:szCs w:val="24"/>
                <w:lang w:val="en-US" w:eastAsia="zh-CN"/>
              </w:rPr>
              <w:t>2</w:t>
            </w:r>
            <w:r>
              <w:rPr>
                <w:rFonts w:hint="eastAsia" w:ascii="宋体" w:hAnsi="宋体"/>
                <w:sz w:val="24"/>
                <w:szCs w:val="24"/>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512" w:rightChars="-244"/>
              <w:jc w:val="left"/>
              <w:textAlignment w:val="auto"/>
              <w:rPr>
                <w:rFonts w:hint="eastAsia" w:ascii="宋体" w:hAnsi="宋体"/>
                <w:sz w:val="24"/>
                <w:szCs w:val="24"/>
              </w:rPr>
            </w:pPr>
            <w:r>
              <w:rPr>
                <w:rFonts w:hint="eastAsia" w:ascii="宋体" w:hAnsi="宋体"/>
                <w:sz w:val="24"/>
                <w:szCs w:val="24"/>
              </w:rPr>
              <w:t>“A”级的得</w:t>
            </w:r>
            <w:r>
              <w:rPr>
                <w:rFonts w:hint="eastAsia" w:ascii="宋体" w:hAnsi="宋体"/>
                <w:sz w:val="24"/>
                <w:szCs w:val="24"/>
                <w:lang w:val="en-US" w:eastAsia="zh-CN"/>
              </w:rPr>
              <w:t>1</w:t>
            </w:r>
            <w:r>
              <w:rPr>
                <w:rFonts w:hint="eastAsia" w:ascii="宋体" w:hAnsi="宋体"/>
                <w:sz w:val="24"/>
                <w:szCs w:val="24"/>
              </w:rPr>
              <w:t>分。（以证书或信用评级机构出具的有效的企</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512" w:rightChars="-244"/>
              <w:jc w:val="left"/>
              <w:textAlignment w:val="auto"/>
              <w:rPr>
                <w:rFonts w:hint="eastAsia" w:ascii="宋体" w:hAnsi="宋体" w:eastAsia="宋体"/>
                <w:sz w:val="24"/>
                <w:szCs w:val="24"/>
                <w:lang w:eastAsia="zh-CN"/>
              </w:rPr>
            </w:pPr>
            <w:r>
              <w:rPr>
                <w:rFonts w:hint="eastAsia" w:ascii="宋体" w:hAnsi="宋体"/>
                <w:sz w:val="24"/>
                <w:szCs w:val="24"/>
              </w:rPr>
              <w:t>业信用报告为准）</w:t>
            </w:r>
            <w:r>
              <w:rPr>
                <w:rFonts w:hint="eastAsia" w:ascii="宋体" w:hAnsi="宋体"/>
                <w:sz w:val="24"/>
                <w:szCs w:val="24"/>
                <w:lang w:eastAsia="zh-CN"/>
              </w:rPr>
              <w:t>。</w:t>
            </w:r>
          </w:p>
        </w:tc>
        <w:tc>
          <w:tcPr>
            <w:tcW w:w="1298"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0-6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682" w:type="dxa"/>
            <w:noWrap/>
            <w:vAlign w:val="center"/>
          </w:tcPr>
          <w:p>
            <w:pPr>
              <w:spacing w:line="360" w:lineRule="auto"/>
              <w:ind w:right="-512" w:rightChars="-244" w:firstLine="240" w:firstLineChars="100"/>
              <w:jc w:val="left"/>
              <w:rPr>
                <w:rFonts w:ascii="宋体" w:hAnsi="宋体"/>
                <w:sz w:val="24"/>
                <w:szCs w:val="24"/>
              </w:rPr>
            </w:pPr>
            <w:r>
              <w:rPr>
                <w:rFonts w:hint="eastAsia" w:ascii="宋体" w:hAnsi="宋体"/>
                <w:sz w:val="24"/>
                <w:szCs w:val="24"/>
              </w:rPr>
              <w:t>服务承诺</w:t>
            </w:r>
          </w:p>
        </w:tc>
        <w:tc>
          <w:tcPr>
            <w:tcW w:w="6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color w:val="000000"/>
                <w:kern w:val="0"/>
                <w:sz w:val="24"/>
                <w:szCs w:val="24"/>
                <w:lang w:val="en-US" w:eastAsia="zh-CN" w:bidi="ar"/>
              </w:rPr>
              <w:t>1、承诺服从招标人的工作计划安排，并积极配合其工作</w:t>
            </w:r>
            <w:r>
              <w:rPr>
                <w:rFonts w:hint="eastAsia" w:ascii="宋体" w:hAnsi="宋体" w:cs="宋体"/>
                <w:color w:val="000000"/>
                <w:kern w:val="0"/>
                <w:sz w:val="24"/>
                <w:szCs w:val="24"/>
                <w:lang w:val="en-US" w:eastAsia="zh-CN" w:bidi="ar"/>
              </w:rPr>
              <w:t>得0-4</w:t>
            </w:r>
            <w:r>
              <w:rPr>
                <w:rFonts w:hint="eastAsia" w:ascii="宋体" w:hAnsi="宋体" w:eastAsia="宋体" w:cs="宋体"/>
                <w:color w:val="000000"/>
                <w:kern w:val="0"/>
                <w:sz w:val="24"/>
                <w:szCs w:val="24"/>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ascii="宋体" w:hAnsi="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项目完成（服务期满）后的服务承诺得0-</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分。</w:t>
            </w:r>
          </w:p>
        </w:tc>
        <w:tc>
          <w:tcPr>
            <w:tcW w:w="1298"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0-8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67"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w:t>
            </w:r>
            <w:r>
              <w:rPr>
                <w:rFonts w:hint="eastAsia" w:ascii="宋体" w:hAnsi="宋体"/>
                <w:b/>
                <w:sz w:val="24"/>
                <w:szCs w:val="24"/>
                <w:lang w:val="en-US" w:eastAsia="zh-CN"/>
              </w:rPr>
              <w:t>50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82"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48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298"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jc w:val="center"/>
        </w:trPr>
        <w:tc>
          <w:tcPr>
            <w:tcW w:w="1682" w:type="dxa"/>
            <w:noWrap/>
            <w:vAlign w:val="center"/>
          </w:tcPr>
          <w:p>
            <w:pPr>
              <w:keepNext w:val="0"/>
              <w:keepLines w:val="0"/>
              <w:widowControl/>
              <w:suppressLineNumbers w:val="0"/>
              <w:spacing w:line="360" w:lineRule="auto"/>
              <w:ind w:firstLine="240" w:firstLineChars="100"/>
              <w:jc w:val="left"/>
              <w:rPr>
                <w:rFonts w:hint="eastAsia" w:ascii="宋体" w:eastAsia="宋体"/>
                <w:sz w:val="24"/>
                <w:szCs w:val="24"/>
                <w:lang w:eastAsia="zh-CN"/>
              </w:rPr>
            </w:pPr>
            <w:r>
              <w:rPr>
                <w:rFonts w:hint="eastAsia" w:ascii="宋体"/>
                <w:sz w:val="24"/>
                <w:szCs w:val="24"/>
                <w:lang w:eastAsia="zh-CN"/>
              </w:rPr>
              <w:t>服务方案</w:t>
            </w:r>
          </w:p>
        </w:tc>
        <w:tc>
          <w:tcPr>
            <w:tcW w:w="64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1、总体服务方案的内容详实完整、实际可行，思路清楚，各服务要求齐全，制定的服务方案能够保证项目的顺利完成，好：9分；较好：6分；一般：3分，缺项不得分，本项最多得9分；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kern w:val="0"/>
                <w:szCs w:val="21"/>
              </w:rPr>
            </w:pPr>
            <w:r>
              <w:rPr>
                <w:rFonts w:hint="eastAsia"/>
                <w:sz w:val="24"/>
                <w:szCs w:val="24"/>
              </w:rPr>
              <w:t>2、质量控制：针对本项目质量要求，制定出实现质量目标的具体保证措施，并根据工作内容、重点和难点，进行分析并制定出相应的处理方法，好：9分；较好：6分；一般：3分，缺项不得分，本项最多得9分；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kern w:val="0"/>
                <w:szCs w:val="21"/>
              </w:rPr>
            </w:pPr>
            <w:r>
              <w:rPr>
                <w:rFonts w:hint="eastAsia"/>
                <w:sz w:val="24"/>
                <w:szCs w:val="24"/>
              </w:rPr>
              <w:t>3、保障措施：时间进度管理措施、组织保障措施详细说明的，好：8分；较好：5分；一般：2分，缺项不得分，本项最多得8分；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sz w:val="24"/>
                <w:szCs w:val="24"/>
                <w:lang w:val="en-US" w:eastAsia="zh-CN"/>
              </w:rPr>
            </w:pPr>
            <w:r>
              <w:rPr>
                <w:rFonts w:hint="eastAsia"/>
                <w:sz w:val="24"/>
                <w:szCs w:val="24"/>
              </w:rPr>
              <w:t>4、技术档案管理制度：有完善档案的收集、整理、保管、利用和鉴定销毁等管理制度，并采取可靠的安全防护技术和措施，保证档案的真实、完整、可用、安全的管理制度，好：8分；较好：5分；一般：2分，缺项不得分，本项最多得8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sz w:val="24"/>
                <w:szCs w:val="24"/>
              </w:rPr>
              <w:t>5、风险控制制度：对项目风险的识别及应对有详细方案和措施的，好：8分；较好：5分；一般：2分，缺项不得分，本项最多得8分；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sz w:val="24"/>
                <w:szCs w:val="24"/>
              </w:rPr>
              <w:t>6、有后续服务及其它优化服务方案、违约责任、经济赔偿方案，好：8分；较好：5分；一般：2分，缺项不得分，本项最多得8分。</w:t>
            </w:r>
          </w:p>
        </w:tc>
        <w:tc>
          <w:tcPr>
            <w:tcW w:w="129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000000"/>
                <w:kern w:val="0"/>
                <w:sz w:val="24"/>
                <w:szCs w:val="24"/>
                <w:lang w:val="en-US" w:eastAsia="zh-CN" w:bidi="ar"/>
              </w:rPr>
            </w:pPr>
          </w:p>
        </w:tc>
      </w:tr>
    </w:tbl>
    <w:p>
      <w:pPr>
        <w:pStyle w:val="9"/>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20"/>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5"/>
        <w:ind w:right="-512" w:rightChars="-244"/>
        <w:rPr>
          <w:rFonts w:hint="default"/>
        </w:rPr>
      </w:pPr>
    </w:p>
    <w:p>
      <w:pPr>
        <w:spacing w:line="360" w:lineRule="auto"/>
        <w:ind w:firstLine="643" w:firstLineChars="200"/>
        <w:rPr>
          <w:rFonts w:hint="eastAsia" w:ascii="Times New Roman" w:hAnsi="宋体"/>
          <w:b/>
          <w:color w:val="000000"/>
          <w:sz w:val="28"/>
          <w:szCs w:val="28"/>
        </w:rPr>
      </w:pPr>
      <w:bookmarkStart w:id="24" w:name="_Toc278443514"/>
      <w:r>
        <w:rPr>
          <w:rFonts w:hint="eastAsia" w:hAnsi="宋体" w:cs="黑体"/>
          <w:b/>
          <w:sz w:val="32"/>
          <w:szCs w:val="32"/>
        </w:rPr>
        <w:t xml:space="preserve"> </w:t>
      </w:r>
      <w:bookmarkEnd w:id="24"/>
      <w:r>
        <w:rPr>
          <w:rFonts w:hint="eastAsia" w:ascii="Times New Roman" w:hAnsi="宋体"/>
          <w:b/>
          <w:color w:val="000000"/>
          <w:sz w:val="28"/>
          <w:szCs w:val="28"/>
        </w:rPr>
        <w:t>依据《建设工程造价咨询合同示范文本》（GF—2015—0212）由双方协商签订合同。</w:t>
      </w:r>
    </w:p>
    <w:p>
      <w:pPr>
        <w:spacing w:line="360" w:lineRule="auto"/>
        <w:ind w:firstLine="482" w:firstLineChars="200"/>
        <w:rPr>
          <w:rFonts w:hint="eastAsia" w:hAnsi="宋体"/>
          <w:b/>
          <w:bCs/>
          <w:sz w:val="24"/>
        </w:rPr>
      </w:pPr>
    </w:p>
    <w:p>
      <w:pPr>
        <w:spacing w:line="360" w:lineRule="auto"/>
        <w:ind w:firstLine="482" w:firstLineChars="200"/>
        <w:rPr>
          <w:rFonts w:hint="eastAsia" w:hAnsi="宋体"/>
          <w:b/>
          <w:bCs/>
          <w:sz w:val="24"/>
        </w:rPr>
      </w:pPr>
      <w:r>
        <w:rPr>
          <w:rFonts w:hint="eastAsia" w:hAnsi="宋体"/>
          <w:b/>
          <w:bCs/>
          <w:sz w:val="24"/>
        </w:rPr>
        <w:t>其他未尽事宜在签订合同时发包人与承包人商定或在补充协议中具体约定。</w:t>
      </w:r>
    </w:p>
    <w:p>
      <w:pPr>
        <w:tabs>
          <w:tab w:val="left" w:pos="5000"/>
        </w:tabs>
        <w:spacing w:line="360" w:lineRule="auto"/>
        <w:ind w:firstLine="490"/>
        <w:rPr>
          <w:rFonts w:hAnsi="宋体" w:cs="黑体"/>
          <w:b/>
          <w:sz w:val="32"/>
          <w:szCs w:val="32"/>
        </w:rPr>
      </w:pP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5"/>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27760_WPSOffice_Level1"/>
      <w:bookmarkStart w:id="26" w:name="_Toc7428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28157_WPSOffice_Level1"/>
      <w:bookmarkStart w:id="28" w:name="_Toc4840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w:t>
      </w:r>
      <w:r>
        <w:rPr>
          <w:rFonts w:hint="eastAsia" w:ascii="宋体" w:hAnsi="宋体" w:cs="Arial"/>
          <w:sz w:val="24"/>
          <w:szCs w:val="24"/>
          <w:lang w:eastAsia="zh-CN"/>
        </w:rPr>
        <w:t>‰</w:t>
      </w:r>
      <w:r>
        <w:rPr>
          <w:rFonts w:hint="eastAsia" w:ascii="宋体" w:hAnsi="宋体" w:cs="Arial"/>
          <w:sz w:val="24"/>
          <w:szCs w:val="24"/>
        </w:rPr>
        <w:t>（人民币）</w:t>
      </w:r>
    </w:p>
    <w:tbl>
      <w:tblPr>
        <w:tblStyle w:val="1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w:t>
            </w:r>
            <w:r>
              <w:rPr>
                <w:rFonts w:hint="eastAsia" w:ascii="宋体" w:hAnsi="宋体" w:cs="Arial"/>
                <w:sz w:val="24"/>
                <w:szCs w:val="24"/>
                <w:lang w:eastAsia="zh-CN"/>
              </w:rPr>
              <w:t>‰</w:t>
            </w:r>
            <w:r>
              <w:rPr>
                <w:rFonts w:hint="eastAsia" w:ascii="宋体" w:hAnsi="宋体" w:cs="宋体"/>
                <w:b/>
                <w:sz w:val="24"/>
                <w:szCs w:val="24"/>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bookmarkStart w:id="31" w:name="_GoBack"/>
      <w:bookmarkEnd w:id="31"/>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9"/>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9"/>
        <w:adjustRightInd w:val="0"/>
        <w:spacing w:line="360" w:lineRule="auto"/>
        <w:ind w:right="-512" w:rightChars="-244" w:firstLine="480" w:firstLineChars="200"/>
        <w:contextualSpacing/>
        <w:rPr>
          <w:rFonts w:hint="eastAsia" w:ascii="宋体" w:hAnsi="宋体" w:eastAsia="宋体" w:cs="Times New Roman"/>
          <w:snapToGrid w:val="0"/>
          <w:kern w:val="0"/>
          <w:sz w:val="24"/>
          <w:szCs w:val="24"/>
          <w:u w:val="single"/>
          <w:lang w:val="en-US" w:eastAsia="zh-CN" w:bidi="ar-SA"/>
        </w:rPr>
      </w:pPr>
      <w:r>
        <w:rPr>
          <w:rFonts w:hint="eastAsia" w:ascii="宋体" w:hAnsi="宋体" w:eastAsia="宋体" w:cs="Times New Roman"/>
          <w:snapToGrid w:val="0"/>
          <w:kern w:val="0"/>
          <w:sz w:val="24"/>
          <w:szCs w:val="24"/>
          <w:u w:val="single"/>
          <w:lang w:val="en-US" w:eastAsia="zh-CN" w:bidi="ar-SA"/>
        </w:rPr>
        <w:t>我方确认收到贵方提供的    （项目名称、项目编号）磋商文件的全部内容。</w:t>
      </w:r>
    </w:p>
    <w:p>
      <w:pPr>
        <w:adjustRightInd w:val="0"/>
        <w:spacing w:line="360" w:lineRule="auto"/>
        <w:ind w:right="-512" w:rightChars="-244" w:firstLine="480" w:firstLineChars="200"/>
        <w:contextualSpacing/>
        <w:rPr>
          <w:rFonts w:hint="eastAsia" w:ascii="宋体" w:hAnsi="宋体" w:eastAsia="宋体" w:cs="Courier New"/>
          <w:sz w:val="24"/>
          <w:szCs w:val="24"/>
        </w:rPr>
      </w:pPr>
      <w:r>
        <w:rPr>
          <w:rFonts w:hint="eastAsia" w:ascii="宋体" w:hAnsi="宋体" w:eastAsia="宋体" w:cs="Courier New"/>
          <w:sz w:val="24"/>
          <w:szCs w:val="24"/>
        </w:rPr>
        <w:t>我方在参与投标前已详细研究了</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的所有内容，包括澄清、修改文件（如果有）和所有已提供的参考资料以及有关附件，我方完全明白并认为此</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没有倾向性，也不存在排斥潜在投标供应商的内容，我方同意</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的相关条款和已完全理解并接受</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的各项规定和要求及资金支付规定，对</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eastAsia="宋体"/>
          <w:snapToGrid w:val="0"/>
          <w:kern w:val="0"/>
          <w:sz w:val="24"/>
          <w:szCs w:val="24"/>
          <w:u w:val="single"/>
        </w:rPr>
        <w:t>(</w:t>
      </w:r>
      <w:r>
        <w:rPr>
          <w:rFonts w:hint="eastAsia" w:ascii="宋体" w:hAnsi="宋体" w:eastAsia="宋体"/>
          <w:snapToGrid w:val="0"/>
          <w:kern w:val="0"/>
          <w:sz w:val="24"/>
          <w:szCs w:val="24"/>
          <w:u w:val="single"/>
          <w:lang w:eastAsia="zh-CN"/>
        </w:rPr>
        <w:t>供应商</w:t>
      </w:r>
      <w:r>
        <w:rPr>
          <w:rFonts w:hint="eastAsia" w:ascii="宋体" w:hAnsi="宋体" w:eastAsia="宋体"/>
          <w:snapToGrid w:val="0"/>
          <w:kern w:val="0"/>
          <w:sz w:val="24"/>
          <w:szCs w:val="24"/>
          <w:u w:val="single"/>
        </w:rPr>
        <w:t xml:space="preserve">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eastAsia="宋体"/>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12"/>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9"/>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9"/>
        <w:adjustRightInd w:val="0"/>
        <w:snapToGrid w:val="0"/>
        <w:spacing w:line="360" w:lineRule="auto"/>
        <w:ind w:right="-512" w:rightChars="-244"/>
        <w:rPr>
          <w:rFonts w:ascii="宋体" w:hAnsi="宋体"/>
          <w:szCs w:val="24"/>
        </w:rPr>
      </w:pPr>
    </w:p>
    <w:p>
      <w:pPr>
        <w:pStyle w:val="9"/>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5"/>
        <w:rPr>
          <w:rFonts w:ascii="宋体" w:hAnsi="宋体"/>
          <w:b/>
          <w:bCs/>
          <w:sz w:val="36"/>
          <w:szCs w:val="36"/>
        </w:rPr>
      </w:pPr>
    </w:p>
    <w:p>
      <w:pPr>
        <w:pStyle w:val="6"/>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24"/>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4"/>
        <w:spacing w:line="480" w:lineRule="auto"/>
        <w:ind w:right="-512" w:rightChars="-244" w:firstLine="540" w:firstLineChars="225"/>
        <w:jc w:val="left"/>
        <w:rPr>
          <w:rFonts w:hAnsi="宋体"/>
          <w:szCs w:val="24"/>
        </w:rPr>
      </w:pPr>
      <w:r>
        <w:rPr>
          <w:rFonts w:hint="eastAsia" w:hAnsi="宋体"/>
          <w:szCs w:val="24"/>
        </w:rPr>
        <w:t>地址：</w:t>
      </w:r>
    </w:p>
    <w:p>
      <w:pPr>
        <w:pStyle w:val="24"/>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24"/>
        <w:spacing w:line="480" w:lineRule="auto"/>
        <w:ind w:right="-512" w:rightChars="-244" w:firstLine="540" w:firstLineChars="225"/>
        <w:jc w:val="left"/>
        <w:rPr>
          <w:rFonts w:hAnsi="宋体"/>
          <w:szCs w:val="24"/>
        </w:rPr>
      </w:pPr>
      <w:r>
        <w:rPr>
          <w:rFonts w:hint="eastAsia" w:hAnsi="宋体"/>
          <w:szCs w:val="24"/>
        </w:rPr>
        <w:t>本人系</w:t>
      </w:r>
      <w:r>
        <w:rPr>
          <w:rFonts w:hint="eastAsia" w:hAnsi="宋体"/>
          <w:i/>
          <w:snapToGrid w:val="0"/>
          <w:szCs w:val="24"/>
          <w:u w:val="single"/>
          <w:lang w:eastAsia="zh-CN"/>
        </w:rPr>
        <w:t>供应商</w:t>
      </w:r>
      <w:r>
        <w:rPr>
          <w:rFonts w:hint="eastAsia" w:hAnsi="宋体"/>
          <w:i/>
          <w:snapToGrid w:val="0"/>
          <w:szCs w:val="24"/>
          <w:u w:val="single"/>
        </w:rPr>
        <w:t>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4"/>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4"/>
        <w:spacing w:line="480" w:lineRule="auto"/>
        <w:ind w:right="-512" w:rightChars="-244" w:firstLine="540" w:firstLineChars="225"/>
        <w:jc w:val="left"/>
        <w:rPr>
          <w:rFonts w:hAnsi="宋体"/>
          <w:szCs w:val="24"/>
        </w:rPr>
      </w:pPr>
    </w:p>
    <w:p>
      <w:pPr>
        <w:pStyle w:val="24"/>
        <w:spacing w:line="480" w:lineRule="auto"/>
        <w:ind w:right="-512" w:rightChars="-244" w:firstLine="540" w:firstLineChars="225"/>
        <w:jc w:val="left"/>
        <w:rPr>
          <w:rFonts w:hAnsi="宋体"/>
          <w:szCs w:val="24"/>
        </w:rPr>
      </w:pPr>
    </w:p>
    <w:p>
      <w:pPr>
        <w:pStyle w:val="24"/>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24"/>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25"/>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26"/>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13"/>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lang w:eastAsia="zh-CN"/>
        </w:rPr>
        <w:t>供应商</w:t>
      </w:r>
      <w:r>
        <w:rPr>
          <w:rFonts w:hint="eastAsia" w:ascii="宋体" w:hAnsi="宋体"/>
          <w:i/>
          <w:snapToGrid w:val="0"/>
          <w:sz w:val="24"/>
          <w:szCs w:val="24"/>
          <w:u w:val="single"/>
        </w:rPr>
        <w:t xml:space="preserve">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1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w:t>
      </w:r>
      <w:r>
        <w:rPr>
          <w:rFonts w:hint="eastAsia"/>
          <w:sz w:val="24"/>
          <w:szCs w:val="24"/>
          <w:u w:val="single"/>
          <w:lang w:val="en-US" w:eastAsia="zh-CN"/>
        </w:rPr>
        <w:t xml:space="preserve">    </w:t>
      </w:r>
      <w:r>
        <w:rPr>
          <w:sz w:val="24"/>
          <w:szCs w:val="24"/>
        </w:rPr>
        <w:t>人，营业收入为</w:t>
      </w:r>
      <w:r>
        <w:rPr>
          <w:rFonts w:hint="eastAsia"/>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4"/>
        <w:rPr>
          <w:rFonts w:hint="default"/>
        </w:rPr>
      </w:pPr>
    </w:p>
    <w:p>
      <w:pPr>
        <w:pStyle w:val="13"/>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eastAsia="宋体"/>
          <w:b/>
          <w:bCs/>
          <w:sz w:val="32"/>
          <w:szCs w:val="32"/>
          <w:lang w:eastAsia="zh-CN"/>
        </w:rPr>
      </w:pPr>
      <w:r>
        <w:rPr>
          <w:rFonts w:hint="eastAsia" w:ascii="宋体" w:hAnsi="宋体"/>
          <w:b/>
          <w:bCs/>
          <w:sz w:val="32"/>
          <w:szCs w:val="32"/>
        </w:rPr>
        <w:t>4.</w:t>
      </w:r>
      <w:r>
        <w:rPr>
          <w:rFonts w:hint="eastAsia" w:ascii="宋体" w:hAnsi="宋体"/>
          <w:b/>
          <w:bCs/>
          <w:sz w:val="32"/>
          <w:szCs w:val="32"/>
          <w:lang w:val="en-US" w:eastAsia="zh-CN"/>
        </w:rPr>
        <w:t>1</w:t>
      </w:r>
      <w:r>
        <w:rPr>
          <w:rFonts w:hint="eastAsia" w:ascii="宋体" w:hAnsi="宋体"/>
          <w:b/>
          <w:bCs/>
          <w:sz w:val="32"/>
          <w:szCs w:val="32"/>
        </w:rPr>
        <w:t xml:space="preserve"> </w:t>
      </w:r>
      <w:r>
        <w:rPr>
          <w:rFonts w:hint="eastAsia" w:ascii="宋体" w:hAnsi="宋体"/>
          <w:b/>
          <w:bCs/>
          <w:sz w:val="32"/>
          <w:szCs w:val="32"/>
          <w:lang w:eastAsia="zh-CN"/>
        </w:rPr>
        <w:t>服务方案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4"/>
              <w:spacing w:line="360" w:lineRule="auto"/>
              <w:rPr>
                <w:rFonts w:ascii="宋体" w:hAnsi="宋体" w:eastAsia="宋体" w:cs="宋体"/>
                <w:sz w:val="21"/>
                <w:szCs w:val="21"/>
              </w:rPr>
            </w:pPr>
          </w:p>
        </w:tc>
        <w:tc>
          <w:tcPr>
            <w:tcW w:w="3579" w:type="dxa"/>
            <w:noWrap w:val="0"/>
            <w:vAlign w:val="center"/>
          </w:tcPr>
          <w:p>
            <w:pPr>
              <w:pStyle w:val="4"/>
              <w:spacing w:line="360" w:lineRule="auto"/>
              <w:rPr>
                <w:rFonts w:ascii="宋体" w:hAnsi="宋体" w:eastAsia="宋体" w:cs="宋体"/>
                <w:sz w:val="21"/>
                <w:szCs w:val="21"/>
              </w:rPr>
            </w:pPr>
          </w:p>
        </w:tc>
        <w:tc>
          <w:tcPr>
            <w:tcW w:w="1440" w:type="dxa"/>
            <w:noWrap w:val="0"/>
            <w:vAlign w:val="center"/>
          </w:tcPr>
          <w:p>
            <w:pPr>
              <w:pStyle w:val="4"/>
              <w:spacing w:line="360" w:lineRule="auto"/>
              <w:rPr>
                <w:rFonts w:ascii="宋体" w:hAnsi="宋体" w:eastAsia="宋体" w:cs="宋体"/>
                <w:sz w:val="21"/>
                <w:szCs w:val="21"/>
              </w:rPr>
            </w:pPr>
          </w:p>
        </w:tc>
        <w:tc>
          <w:tcPr>
            <w:tcW w:w="1706" w:type="dxa"/>
            <w:noWrap w:val="0"/>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4"/>
              <w:spacing w:line="360" w:lineRule="auto"/>
              <w:rPr>
                <w:rFonts w:ascii="宋体" w:hAnsi="宋体" w:eastAsia="宋体" w:cs="宋体"/>
                <w:sz w:val="21"/>
                <w:szCs w:val="21"/>
              </w:rPr>
            </w:pPr>
          </w:p>
        </w:tc>
        <w:tc>
          <w:tcPr>
            <w:tcW w:w="3579" w:type="dxa"/>
            <w:noWrap w:val="0"/>
            <w:vAlign w:val="center"/>
          </w:tcPr>
          <w:p>
            <w:pPr>
              <w:pStyle w:val="4"/>
              <w:spacing w:line="360" w:lineRule="auto"/>
              <w:rPr>
                <w:rFonts w:ascii="宋体" w:hAnsi="宋体" w:eastAsia="宋体" w:cs="宋体"/>
                <w:sz w:val="21"/>
                <w:szCs w:val="21"/>
              </w:rPr>
            </w:pPr>
          </w:p>
        </w:tc>
        <w:tc>
          <w:tcPr>
            <w:tcW w:w="1440" w:type="dxa"/>
            <w:noWrap w:val="0"/>
            <w:vAlign w:val="center"/>
          </w:tcPr>
          <w:p>
            <w:pPr>
              <w:pStyle w:val="4"/>
              <w:spacing w:line="360" w:lineRule="auto"/>
              <w:rPr>
                <w:rFonts w:ascii="宋体" w:hAnsi="宋体" w:eastAsia="宋体" w:cs="宋体"/>
                <w:sz w:val="21"/>
                <w:szCs w:val="21"/>
              </w:rPr>
            </w:pPr>
          </w:p>
        </w:tc>
        <w:tc>
          <w:tcPr>
            <w:tcW w:w="1706" w:type="dxa"/>
            <w:noWrap w:val="0"/>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4"/>
              <w:spacing w:line="360" w:lineRule="auto"/>
              <w:rPr>
                <w:rFonts w:ascii="宋体" w:hAnsi="宋体" w:eastAsia="宋体" w:cs="宋体"/>
                <w:sz w:val="21"/>
                <w:szCs w:val="21"/>
              </w:rPr>
            </w:pPr>
          </w:p>
        </w:tc>
        <w:tc>
          <w:tcPr>
            <w:tcW w:w="3579" w:type="dxa"/>
            <w:noWrap w:val="0"/>
            <w:vAlign w:val="center"/>
          </w:tcPr>
          <w:p>
            <w:pPr>
              <w:pStyle w:val="4"/>
              <w:spacing w:line="360" w:lineRule="auto"/>
              <w:rPr>
                <w:rFonts w:ascii="宋体" w:hAnsi="宋体" w:eastAsia="宋体" w:cs="宋体"/>
                <w:sz w:val="21"/>
                <w:szCs w:val="21"/>
              </w:rPr>
            </w:pPr>
          </w:p>
        </w:tc>
        <w:tc>
          <w:tcPr>
            <w:tcW w:w="1440" w:type="dxa"/>
            <w:noWrap w:val="0"/>
            <w:vAlign w:val="center"/>
          </w:tcPr>
          <w:p>
            <w:pPr>
              <w:pStyle w:val="4"/>
              <w:spacing w:line="360" w:lineRule="auto"/>
              <w:rPr>
                <w:rFonts w:ascii="宋体" w:hAnsi="宋体" w:eastAsia="宋体" w:cs="宋体"/>
                <w:sz w:val="21"/>
                <w:szCs w:val="21"/>
              </w:rPr>
            </w:pPr>
          </w:p>
        </w:tc>
        <w:tc>
          <w:tcPr>
            <w:tcW w:w="1706" w:type="dxa"/>
            <w:noWrap w:val="0"/>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3"/>
        <w:rPr>
          <w:rFonts w:ascii="宋体" w:hAnsi="宋体"/>
          <w:b/>
          <w:bCs/>
          <w:sz w:val="32"/>
          <w:szCs w:val="32"/>
        </w:rPr>
      </w:pPr>
    </w:p>
    <w:p>
      <w:pPr>
        <w:rPr>
          <w:rFonts w:ascii="宋体" w:hAnsi="宋体"/>
          <w:b/>
          <w:bCs/>
          <w:sz w:val="32"/>
          <w:szCs w:val="32"/>
        </w:rPr>
      </w:pPr>
    </w:p>
    <w:p>
      <w:pPr>
        <w:pStyle w:val="3"/>
        <w:rPr>
          <w:rFonts w:ascii="宋体" w:hAnsi="宋体"/>
          <w:b/>
          <w:bCs/>
          <w:sz w:val="32"/>
          <w:szCs w:val="32"/>
        </w:rPr>
      </w:pPr>
    </w:p>
    <w:p>
      <w:pPr>
        <w:rPr>
          <w:rFonts w:ascii="宋体" w:hAnsi="宋体"/>
          <w:b/>
          <w:bCs/>
          <w:sz w:val="32"/>
          <w:szCs w:val="32"/>
        </w:rPr>
      </w:pPr>
    </w:p>
    <w:p>
      <w:pPr>
        <w:pStyle w:val="3"/>
        <w:rPr>
          <w:rFonts w:ascii="宋体" w:hAnsi="宋体"/>
          <w:b/>
          <w:bCs/>
          <w:sz w:val="32"/>
          <w:szCs w:val="32"/>
        </w:rPr>
      </w:pPr>
    </w:p>
    <w:p>
      <w:pPr>
        <w:rPr>
          <w:rFonts w:ascii="宋体" w:hAnsi="宋体"/>
          <w:b/>
          <w:bCs/>
          <w:sz w:val="32"/>
          <w:szCs w:val="32"/>
        </w:rPr>
      </w:pPr>
    </w:p>
    <w:p>
      <w:pPr>
        <w:pStyle w:val="3"/>
        <w:rPr>
          <w:rFonts w:ascii="宋体" w:hAnsi="宋体"/>
          <w:b/>
          <w:bCs/>
          <w:sz w:val="32"/>
          <w:szCs w:val="32"/>
        </w:rPr>
      </w:pPr>
    </w:p>
    <w:p>
      <w:pPr>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hint="eastAsia" w:ascii="宋体" w:hAnsi="宋体"/>
          <w:b/>
          <w:bCs/>
          <w:sz w:val="36"/>
          <w:szCs w:val="36"/>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pPr>
    </w:p>
    <w:p>
      <w:pPr>
        <w:ind w:right="-512" w:rightChars="-244"/>
      </w:pPr>
    </w:p>
    <w:p>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p/>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 important">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1">
    <w:nsid w:val="2C6A7CBA"/>
    <w:multiLevelType w:val="singleLevel"/>
    <w:tmpl w:val="2C6A7CBA"/>
    <w:lvl w:ilvl="0" w:tentative="0">
      <w:start w:val="8"/>
      <w:numFmt w:val="decimal"/>
      <w:suff w:val="nothing"/>
      <w:lvlText w:val="（%1）"/>
      <w:lvlJc w:val="left"/>
    </w:lvl>
  </w:abstractNum>
  <w:abstractNum w:abstractNumId="2">
    <w:nsid w:val="68F0CF0D"/>
    <w:multiLevelType w:val="singleLevel"/>
    <w:tmpl w:val="68F0CF0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58D116D7"/>
    <w:rsid w:val="17AD0D3B"/>
    <w:rsid w:val="1FBA64F8"/>
    <w:rsid w:val="3F261466"/>
    <w:rsid w:val="3FFC44B1"/>
    <w:rsid w:val="405F5A31"/>
    <w:rsid w:val="43EE6514"/>
    <w:rsid w:val="44F76D3C"/>
    <w:rsid w:val="48D94587"/>
    <w:rsid w:val="4BFF0B99"/>
    <w:rsid w:val="53590166"/>
    <w:rsid w:val="58D116D7"/>
    <w:rsid w:val="5C8E2B48"/>
    <w:rsid w:val="5EE148F6"/>
    <w:rsid w:val="6CDF064C"/>
    <w:rsid w:val="708A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rPr>
      <w:rFonts w:hint="eastAsia" w:hAnsi="宋体" w:cs="宋体"/>
      <w:szCs w:val="34"/>
    </w:rPr>
  </w:style>
  <w:style w:type="paragraph" w:styleId="6">
    <w:name w:val="Body Text 2"/>
    <w:basedOn w:val="1"/>
    <w:next w:val="5"/>
    <w:qFormat/>
    <w:uiPriority w:val="0"/>
    <w:pPr>
      <w:widowControl/>
      <w:spacing w:before="100" w:beforeAutospacing="1" w:after="100" w:afterAutospacing="1"/>
      <w:jc w:val="left"/>
    </w:pPr>
    <w:rPr>
      <w:rFonts w:ascii="宋体" w:hAnsi="宋体"/>
      <w:kern w:val="0"/>
      <w:sz w:val="24"/>
    </w:rPr>
  </w:style>
  <w:style w:type="paragraph" w:styleId="7">
    <w:name w:val="Body Text Indent"/>
    <w:basedOn w:val="1"/>
    <w:next w:val="8"/>
    <w:qFormat/>
    <w:uiPriority w:val="99"/>
    <w:pPr>
      <w:spacing w:after="120"/>
      <w:ind w:left="420" w:leftChars="200"/>
    </w:pPr>
  </w:style>
  <w:style w:type="paragraph" w:customStyle="1" w:styleId="8">
    <w:name w:val="Blockquote"/>
    <w:basedOn w:val="1"/>
    <w:next w:val="1"/>
    <w:qFormat/>
    <w:uiPriority w:val="0"/>
    <w:pPr>
      <w:autoSpaceDE w:val="0"/>
      <w:autoSpaceDN w:val="0"/>
      <w:adjustRightInd w:val="0"/>
      <w:ind w:left="360" w:right="360"/>
      <w:jc w:val="left"/>
    </w:pPr>
    <w:rPr>
      <w:kern w:val="0"/>
      <w:sz w:val="24"/>
      <w:szCs w:val="20"/>
    </w:rPr>
  </w:style>
  <w:style w:type="paragraph" w:styleId="9">
    <w:name w:val="Plain Text"/>
    <w:basedOn w:val="1"/>
    <w:qFormat/>
    <w:uiPriority w:val="0"/>
    <w:rPr>
      <w:rFonts w:hAnsi="Courier New" w:cs="Courier New"/>
      <w:szCs w:val="21"/>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paragraph" w:styleId="13">
    <w:name w:val="Body Text First Indent"/>
    <w:basedOn w:val="5"/>
    <w:next w:val="14"/>
    <w:qFormat/>
    <w:uiPriority w:val="99"/>
    <w:pPr>
      <w:ind w:firstLine="420" w:firstLineChars="100"/>
    </w:pPr>
  </w:style>
  <w:style w:type="paragraph" w:styleId="14">
    <w:name w:val="Body Text First Indent 2"/>
    <w:basedOn w:val="7"/>
    <w:next w:val="1"/>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99"/>
    <w:rPr>
      <w:color w:val="000000"/>
      <w:u w:val="none"/>
    </w:rPr>
  </w:style>
  <w:style w:type="paragraph" w:customStyle="1" w:styleId="20">
    <w:name w:val="_Style 2"/>
    <w:basedOn w:val="1"/>
    <w:next w:val="1"/>
    <w:qFormat/>
    <w:uiPriority w:val="0"/>
    <w:pPr>
      <w:ind w:firstLine="420" w:firstLineChars="200"/>
    </w:pPr>
  </w:style>
  <w:style w:type="character" w:customStyle="1" w:styleId="21">
    <w:name w:val="NormalCharacter"/>
    <w:qFormat/>
    <w:uiPriority w:val="0"/>
  </w:style>
  <w:style w:type="paragraph" w:styleId="22">
    <w:name w:val="List Paragraph"/>
    <w:basedOn w:val="1"/>
    <w:qFormat/>
    <w:uiPriority w:val="99"/>
    <w:pPr>
      <w:ind w:firstLine="420" w:firstLineChars="200"/>
    </w:pPr>
  </w:style>
  <w:style w:type="paragraph" w:customStyle="1" w:styleId="23">
    <w:name w:val="Table Paragraph"/>
    <w:basedOn w:val="1"/>
    <w:qFormat/>
    <w:uiPriority w:val="1"/>
    <w:rPr>
      <w:rFonts w:ascii="宋体" w:hAnsi="宋体" w:cs="宋体"/>
      <w:szCs w:val="20"/>
      <w:lang w:val="zh-CN" w:bidi="zh-CN"/>
    </w:rPr>
  </w:style>
  <w:style w:type="paragraph" w:customStyle="1" w:styleId="24">
    <w:name w:val="正文文本缩进1"/>
    <w:basedOn w:val="1"/>
    <w:qFormat/>
    <w:uiPriority w:val="0"/>
    <w:pPr>
      <w:spacing w:line="360" w:lineRule="auto"/>
      <w:ind w:firstLine="480" w:firstLineChars="200"/>
    </w:pPr>
    <w:rPr>
      <w:rFonts w:ascii="宋体"/>
      <w:kern w:val="0"/>
      <w:sz w:val="24"/>
      <w:szCs w:val="20"/>
    </w:rPr>
  </w:style>
  <w:style w:type="paragraph" w:customStyle="1" w:styleId="25">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6">
    <w:name w:val="日期1"/>
    <w:basedOn w:val="1"/>
    <w:next w:val="1"/>
    <w:qFormat/>
    <w:uiPriority w:val="0"/>
    <w:rPr>
      <w:kern w:val="0"/>
      <w:sz w:val="24"/>
      <w:szCs w:val="20"/>
    </w:rPr>
  </w:style>
  <w:style w:type="paragraph" w:customStyle="1" w:styleId="27">
    <w:name w:val="_Style 7"/>
    <w:basedOn w:val="1"/>
    <w:next w:val="22"/>
    <w:qFormat/>
    <w:uiPriority w:val="99"/>
    <w:pPr>
      <w:ind w:firstLine="420" w:firstLineChars="200"/>
    </w:pPr>
  </w:style>
  <w:style w:type="character" w:customStyle="1" w:styleId="28">
    <w:name w:val="red"/>
    <w:basedOn w:val="16"/>
    <w:qFormat/>
    <w:uiPriority w:val="0"/>
    <w:rPr>
      <w:color w:val="FF0000"/>
      <w:sz w:val="18"/>
      <w:szCs w:val="18"/>
    </w:rPr>
  </w:style>
  <w:style w:type="character" w:customStyle="1" w:styleId="29">
    <w:name w:val="red1"/>
    <w:basedOn w:val="16"/>
    <w:qFormat/>
    <w:uiPriority w:val="0"/>
    <w:rPr>
      <w:color w:val="FF0000"/>
      <w:sz w:val="18"/>
      <w:szCs w:val="18"/>
    </w:rPr>
  </w:style>
  <w:style w:type="character" w:customStyle="1" w:styleId="30">
    <w:name w:val="red2"/>
    <w:basedOn w:val="16"/>
    <w:qFormat/>
    <w:uiPriority w:val="0"/>
    <w:rPr>
      <w:color w:val="FF0000"/>
    </w:rPr>
  </w:style>
  <w:style w:type="character" w:customStyle="1" w:styleId="31">
    <w:name w:val="red3"/>
    <w:basedOn w:val="16"/>
    <w:qFormat/>
    <w:uiPriority w:val="0"/>
    <w:rPr>
      <w:color w:val="CC0000"/>
    </w:rPr>
  </w:style>
  <w:style w:type="character" w:customStyle="1" w:styleId="32">
    <w:name w:val="right"/>
    <w:basedOn w:val="16"/>
    <w:qFormat/>
    <w:uiPriority w:val="0"/>
    <w:rPr>
      <w:color w:val="999999"/>
      <w:sz w:val="18"/>
      <w:szCs w:val="18"/>
    </w:rPr>
  </w:style>
  <w:style w:type="character" w:customStyle="1" w:styleId="33">
    <w:name w:val="hover"/>
    <w:basedOn w:val="16"/>
    <w:qFormat/>
    <w:uiPriority w:val="0"/>
  </w:style>
  <w:style w:type="character" w:customStyle="1" w:styleId="34">
    <w:name w:val="blue"/>
    <w:basedOn w:val="16"/>
    <w:qFormat/>
    <w:uiPriority w:val="0"/>
    <w:rPr>
      <w:color w:val="0371C6"/>
      <w:sz w:val="21"/>
      <w:szCs w:val="21"/>
    </w:rPr>
  </w:style>
  <w:style w:type="character" w:customStyle="1" w:styleId="35">
    <w:name w:val="green"/>
    <w:basedOn w:val="16"/>
    <w:qFormat/>
    <w:uiPriority w:val="0"/>
    <w:rPr>
      <w:color w:val="66AE00"/>
      <w:sz w:val="18"/>
      <w:szCs w:val="18"/>
    </w:rPr>
  </w:style>
  <w:style w:type="character" w:customStyle="1" w:styleId="36">
    <w:name w:val="green1"/>
    <w:basedOn w:val="16"/>
    <w:qFormat/>
    <w:uiPriority w:val="0"/>
    <w:rPr>
      <w:color w:val="66AE00"/>
      <w:sz w:val="18"/>
      <w:szCs w:val="18"/>
    </w:rPr>
  </w:style>
  <w:style w:type="character" w:customStyle="1" w:styleId="37">
    <w:name w:val="gb-jt"/>
    <w:basedOn w:val="16"/>
    <w:qFormat/>
    <w:uiPriority w:val="0"/>
  </w:style>
  <w:style w:type="character" w:customStyle="1" w:styleId="38">
    <w:name w:val="active4"/>
    <w:basedOn w:val="16"/>
    <w:qFormat/>
    <w:uiPriority w:val="0"/>
    <w:rPr>
      <w:color w:val="FFFFFF"/>
      <w:shd w:val="clear" w:fill="2B7AFC"/>
    </w:rPr>
  </w:style>
  <w:style w:type="character" w:customStyle="1" w:styleId="39">
    <w:name w:val="hover25"/>
    <w:basedOn w:val="16"/>
    <w:qFormat/>
    <w:uiPriority w:val="0"/>
  </w:style>
  <w:style w:type="character" w:customStyle="1" w:styleId="40">
    <w:name w:val="hover24"/>
    <w:basedOn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31589</Words>
  <Characters>33609</Characters>
  <Lines>0</Lines>
  <Paragraphs>0</Paragraphs>
  <TotalTime>4</TotalTime>
  <ScaleCrop>false</ScaleCrop>
  <LinksUpToDate>false</LinksUpToDate>
  <CharactersWithSpaces>34433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2023-01-03T03:35:00Z</dcterms:created>
  <dc:creator>八色花</dc:creator>
  <cp:lastModifiedBy>八色花</cp:lastModifiedBy>
  <cp:lastPrinted>2023-06-06T04:46:00Z</cp:lastPrinted>
  <dcterms:modified xsi:type="dcterms:W3CDTF">2023-06-25T03:47:55Z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971D55EE9A534D2799D028F8A309FA3D_13</vt:lpwstr>
  </property>
</Properties>
</file>