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</w:rPr>
        <w:t>禹州市民政局禹州市特殊困难老年人家庭适老化改造项目</w:t>
      </w:r>
    </w:p>
    <w:p>
      <w:pPr>
        <w:pStyle w:val="10"/>
        <w:widowControl/>
        <w:jc w:val="center"/>
        <w:rPr>
          <w:rFonts w:asciiTheme="majorEastAsia" w:hAnsiTheme="majorEastAsia" w:eastAsiaTheme="majorEastAsia" w:cstheme="majorEastAsia"/>
          <w:b/>
          <w:bCs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</w:rPr>
        <w:t>（不见面开标）招标公告</w:t>
      </w:r>
    </w:p>
    <w:p>
      <w:pPr>
        <w:tabs>
          <w:tab w:val="left" w:pos="7095"/>
        </w:tabs>
        <w:spacing w:line="384" w:lineRule="auto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项目概况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禹州市民政局禹州市特殊困难老年人家庭适老化改造项目</w:t>
      </w:r>
      <w:r>
        <w:rPr>
          <w:rFonts w:hint="eastAsia" w:hAnsi="宋体"/>
          <w:color w:val="auto"/>
          <w:szCs w:val="21"/>
        </w:rPr>
        <w:t>招标项目的潜在投标人应在投标截止时间前登录《全国公共资源交易平台（河南省·许昌市）》“投标人/供应商登录”入口（http://ggzy.xuchang.gov.cn:8088/ggzy/）自行免费下载获取招标文件，并于202</w:t>
      </w:r>
      <w:r>
        <w:rPr>
          <w:rFonts w:hint="eastAsia" w:hAnsi="宋体"/>
          <w:color w:val="auto"/>
          <w:szCs w:val="21"/>
        </w:rPr>
        <w:t>3年</w:t>
      </w:r>
      <w:r>
        <w:rPr>
          <w:rFonts w:hint="eastAsia" w:hAnsi="宋体"/>
          <w:color w:val="auto"/>
          <w:szCs w:val="21"/>
          <w:lang w:val="en-US" w:eastAsia="zh-CN"/>
        </w:rPr>
        <w:t>07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 xml:space="preserve">11 </w:t>
      </w:r>
      <w:r>
        <w:rPr>
          <w:rFonts w:hint="eastAsia" w:hAnsi="宋体"/>
          <w:color w:val="auto"/>
          <w:szCs w:val="21"/>
        </w:rPr>
        <w:t>日</w:t>
      </w:r>
      <w:r>
        <w:rPr>
          <w:rFonts w:hint="eastAsia" w:hAnsi="宋体"/>
          <w:color w:val="auto"/>
          <w:szCs w:val="21"/>
          <w:lang w:val="en-US" w:eastAsia="zh-CN"/>
        </w:rPr>
        <w:t xml:space="preserve">10 </w:t>
      </w:r>
      <w:r>
        <w:rPr>
          <w:rFonts w:hint="eastAsia" w:hAnsi="宋体"/>
          <w:color w:val="auto"/>
          <w:szCs w:val="21"/>
        </w:rPr>
        <w:t>时30 分（北京时间）前递交投标文件。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一、项目基本情况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 w:eastAsiaTheme="minorEastAsia"/>
          <w:color w:val="auto"/>
          <w:szCs w:val="21"/>
          <w:lang w:eastAsia="zh-CN"/>
        </w:rPr>
      </w:pPr>
      <w:r>
        <w:rPr>
          <w:rFonts w:hint="eastAsia" w:hAnsi="宋体"/>
          <w:color w:val="auto"/>
          <w:szCs w:val="21"/>
        </w:rPr>
        <w:t>1.项目编号：YZCG-DLG2023</w:t>
      </w:r>
      <w:r>
        <w:rPr>
          <w:rFonts w:hint="eastAsia" w:hAnsi="宋体"/>
          <w:color w:val="auto"/>
          <w:szCs w:val="21"/>
          <w:lang w:val="en-US" w:eastAsia="zh-CN"/>
        </w:rPr>
        <w:t xml:space="preserve">043 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2.项目名称：禹州市民政局禹州市特殊困难老年人家庭适老化改造项目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3.采购方式：公开招标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4.预算金额：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3221765.35</w:t>
      </w:r>
      <w:r>
        <w:rPr>
          <w:rFonts w:hint="eastAsia" w:ascii="宋体" w:hAnsi="宋体" w:eastAsia="宋体" w:cs="宋体"/>
          <w:color w:val="auto"/>
          <w:szCs w:val="21"/>
        </w:rPr>
        <w:t>元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最高限价：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3221765.35</w:t>
      </w:r>
      <w:r>
        <w:rPr>
          <w:rFonts w:hint="eastAsia" w:ascii="宋体" w:hAnsi="宋体" w:eastAsia="宋体" w:cs="宋体"/>
          <w:color w:val="auto"/>
          <w:szCs w:val="21"/>
        </w:rPr>
        <w:t xml:space="preserve">元 </w:t>
      </w:r>
    </w:p>
    <w:tbl>
      <w:tblPr>
        <w:tblStyle w:val="13"/>
        <w:tblW w:w="9175" w:type="dxa"/>
        <w:tblCellSpacing w:w="0" w:type="dxa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2141"/>
        <w:gridCol w:w="2890"/>
        <w:gridCol w:w="1843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tblCellSpacing w:w="0" w:type="dxa"/>
        </w:trPr>
        <w:tc>
          <w:tcPr>
            <w:tcW w:w="656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序号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ind w:firstLine="420" w:firstLineChars="200"/>
              <w:contextualSpacing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包号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ind w:firstLine="420" w:firstLineChars="200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包名称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包预算（元）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tblCellSpacing w:w="0" w:type="dxa"/>
        </w:trPr>
        <w:tc>
          <w:tcPr>
            <w:tcW w:w="656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1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default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21"/>
              </w:rPr>
              <w:t>YZCG-DLG2023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 xml:space="preserve">043  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84" w:lineRule="auto"/>
              <w:contextualSpacing/>
              <w:jc w:val="center"/>
              <w:rPr>
                <w:rFonts w:hint="eastAsia"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禹州市民政局禹州市特殊困难老年人家庭适老化改造项目</w:t>
            </w:r>
          </w:p>
          <w:p>
            <w:pPr>
              <w:tabs>
                <w:tab w:val="left" w:pos="7095"/>
              </w:tabs>
              <w:spacing w:line="384" w:lineRule="auto"/>
              <w:contextualSpacing/>
              <w:jc w:val="center"/>
              <w:rPr>
                <w:rFonts w:hint="eastAsia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21"/>
                <w:lang w:eastAsia="zh-CN"/>
              </w:rPr>
              <w:t>第一标段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924582.86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924582.86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tblCellSpacing w:w="0" w:type="dxa"/>
        </w:trPr>
        <w:tc>
          <w:tcPr>
            <w:tcW w:w="656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eastAsia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eastAsia"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YZCG-DLG2023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 xml:space="preserve">043   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84" w:lineRule="auto"/>
              <w:contextualSpacing/>
              <w:jc w:val="center"/>
              <w:rPr>
                <w:rFonts w:hint="eastAsia"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禹州市民政局禹州市特殊困难老年人家庭适老化改造项目</w:t>
            </w:r>
          </w:p>
          <w:p>
            <w:pPr>
              <w:tabs>
                <w:tab w:val="left" w:pos="7095"/>
              </w:tabs>
              <w:spacing w:line="384" w:lineRule="auto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  <w:lang w:eastAsia="zh-CN"/>
              </w:rPr>
              <w:t>第二标段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846072.83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846072.83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tblCellSpacing w:w="0" w:type="dxa"/>
        </w:trPr>
        <w:tc>
          <w:tcPr>
            <w:tcW w:w="656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default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eastAsia" w:hAnsi="宋体" w:asci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color w:val="auto"/>
                <w:szCs w:val="21"/>
              </w:rPr>
              <w:t>YZCG-DLG2023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 xml:space="preserve">043   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84" w:lineRule="auto"/>
              <w:contextualSpacing/>
              <w:jc w:val="center"/>
              <w:rPr>
                <w:rFonts w:hint="eastAsia"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禹州市民政局禹州市特殊困难老年人家庭适老化改造项目</w:t>
            </w:r>
          </w:p>
          <w:p>
            <w:pPr>
              <w:tabs>
                <w:tab w:val="left" w:pos="7095"/>
              </w:tabs>
              <w:spacing w:line="384" w:lineRule="auto"/>
              <w:contextualSpacing/>
              <w:jc w:val="center"/>
              <w:rPr>
                <w:rFonts w:hint="eastAsia" w:hAnsi="宋体" w:asci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color w:val="auto"/>
                <w:szCs w:val="21"/>
                <w:lang w:eastAsia="zh-CN"/>
              </w:rPr>
              <w:t>第三标段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1451109.66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1451109.66</w:t>
            </w:r>
          </w:p>
        </w:tc>
      </w:tr>
    </w:tbl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5.采购需求（包括但不限于标的的名称、数量、简要技术需求或服务要求等）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禹州市民政局禹州市特殊困难老年人家庭适老化改造项目</w:t>
      </w:r>
      <w:r>
        <w:rPr>
          <w:rFonts w:hint="eastAsia" w:hAnsi="宋体"/>
          <w:color w:val="auto"/>
          <w:szCs w:val="21"/>
          <w:lang w:eastAsia="zh-CN"/>
        </w:rPr>
        <w:t>，重点围绕特殊困难老年人家庭实际居住环境和健康状况需求，从施工改造、设施配备、老年用品配置等方面实施改造。</w:t>
      </w:r>
      <w:r>
        <w:rPr>
          <w:rFonts w:hint="eastAsia" w:hAnsi="宋体"/>
          <w:color w:val="auto"/>
          <w:szCs w:val="21"/>
        </w:rPr>
        <w:t>（详见招标文件）。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default" w:hAnsi="宋体" w:eastAsiaTheme="minorEastAsia"/>
          <w:color w:val="auto"/>
          <w:szCs w:val="21"/>
          <w:lang w:val="en-US" w:eastAsia="zh-CN"/>
        </w:rPr>
      </w:pPr>
      <w:r>
        <w:rPr>
          <w:rFonts w:hint="eastAsia" w:hAnsi="宋体"/>
          <w:color w:val="auto"/>
          <w:szCs w:val="21"/>
        </w:rPr>
        <w:t>6.合同履行期限：</w:t>
      </w:r>
      <w:r>
        <w:rPr>
          <w:rFonts w:hint="eastAsia" w:hAnsi="宋体"/>
          <w:color w:val="auto"/>
          <w:szCs w:val="21"/>
          <w:lang w:eastAsia="zh-CN"/>
        </w:rPr>
        <w:t>自合同签订</w:t>
      </w:r>
      <w:r>
        <w:rPr>
          <w:rFonts w:hint="eastAsia" w:hAnsi="宋体"/>
          <w:color w:val="auto"/>
          <w:szCs w:val="21"/>
          <w:lang w:eastAsia="zh-CN"/>
        </w:rPr>
        <w:t>之日起</w:t>
      </w:r>
      <w:r>
        <w:rPr>
          <w:rFonts w:hint="eastAsia" w:hAnsi="宋体"/>
          <w:color w:val="auto"/>
          <w:szCs w:val="21"/>
          <w:lang w:val="en-US" w:eastAsia="zh-CN"/>
        </w:rPr>
        <w:t>30天。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7.本项目是否接受联合体投标：否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8.是否接受进口产品：否</w:t>
      </w:r>
    </w:p>
    <w:p>
      <w:pPr>
        <w:pStyle w:val="2"/>
        <w:rPr>
          <w:rFonts w:hint="eastAsia" w:eastAsiaTheme="minorEastAsia"/>
          <w:color w:val="auto"/>
          <w:lang w:val="en-US" w:eastAsia="zh-CN"/>
        </w:rPr>
      </w:pPr>
      <w:r>
        <w:rPr>
          <w:rFonts w:hint="eastAsia" w:hAnsi="宋体"/>
          <w:color w:val="auto"/>
          <w:szCs w:val="21"/>
          <w:lang w:val="en-US" w:eastAsia="zh-CN"/>
        </w:rPr>
        <w:t xml:space="preserve">    9.是否专门面向中小企业：是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二、申请人资格要求：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1.满足《中华人民共和国政府采购法》第二十二条规定；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2.落实政府采购政策满足的资格要求：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本项目落实节约能源、保护环境、扶持不发达地区和少数民族地区、促进中小企业、监狱企业发展等政府采购政策。（根据财政部、工业和信息化部《政府采购促进中小企业发展管理办法》（财库[2020]46号）,本项目专门面向中小企业采购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）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 w:eastAsiaTheme="minorEastAsia"/>
          <w:color w:val="auto"/>
          <w:szCs w:val="21"/>
          <w:lang w:eastAsia="zh-CN"/>
        </w:rPr>
      </w:pPr>
      <w:r>
        <w:rPr>
          <w:rFonts w:hint="eastAsia" w:hAnsi="宋体"/>
          <w:color w:val="auto"/>
          <w:szCs w:val="21"/>
        </w:rPr>
        <w:t>3.本项目的特定资格要求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ascii="宋体" w:hAnsi="宋体" w:eastAsia="宋体"/>
          <w:color w:val="auto"/>
          <w:szCs w:val="21"/>
          <w:lang w:eastAsia="zh-CN"/>
        </w:rPr>
      </w:pPr>
      <w:r>
        <w:rPr>
          <w:rFonts w:hint="eastAsia" w:ascii="宋体" w:hAnsi="宋体" w:eastAsia="宋体"/>
          <w:color w:val="auto"/>
          <w:szCs w:val="21"/>
        </w:rPr>
        <w:t>3.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1</w:t>
      </w:r>
      <w:r>
        <w:rPr>
          <w:rFonts w:hint="eastAsia" w:ascii="宋体" w:hAnsi="宋体" w:eastAsia="宋体"/>
          <w:color w:val="auto"/>
          <w:szCs w:val="21"/>
        </w:rPr>
        <w:t>供应商须具有履行合同所必需的设备和专业技术能力。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3.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 xml:space="preserve">2 </w:t>
      </w:r>
      <w:r>
        <w:rPr>
          <w:rFonts w:hint="eastAsia" w:ascii="宋体" w:hAnsi="宋体" w:eastAsia="宋体"/>
          <w:color w:val="auto"/>
          <w:szCs w:val="21"/>
        </w:rPr>
        <w:t>被委托人须是本单位职工，须提供公司为本人缴纳社会保险证明。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  <w:lang w:val="en-US" w:eastAsia="zh-CN"/>
        </w:rPr>
        <w:t>3.3</w:t>
      </w:r>
      <w:r>
        <w:rPr>
          <w:rFonts w:hint="eastAsia" w:ascii="宋体" w:hAnsi="宋体" w:eastAsia="宋体"/>
          <w:color w:val="auto"/>
          <w:szCs w:val="21"/>
        </w:rPr>
        <w:t xml:space="preserve">投标人为产品制造商时，提供有效的《医疗器械生产许可证》；投标人为代理商或经销商时，提供有效的《第二类医疗器械经营备案凭证》（指二类医疗设备）。 </w:t>
      </w:r>
    </w:p>
    <w:p>
      <w:pPr>
        <w:pStyle w:val="2"/>
        <w:ind w:firstLine="420" w:firstLineChars="200"/>
        <w:jc w:val="both"/>
        <w:rPr>
          <w:rFonts w:hint="eastAsia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lang w:val="en-US" w:eastAsia="zh-CN"/>
        </w:rPr>
        <w:t>3.4供应商只能投一个标段。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三、获取招标文件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1.时间：2023年</w:t>
      </w:r>
      <w:r>
        <w:rPr>
          <w:rFonts w:hint="eastAsia" w:hAnsi="宋体"/>
          <w:color w:val="auto"/>
          <w:szCs w:val="21"/>
          <w:lang w:val="en-US" w:eastAsia="zh-CN"/>
        </w:rPr>
        <w:t xml:space="preserve">06 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 xml:space="preserve">20 </w:t>
      </w:r>
      <w:r>
        <w:rPr>
          <w:rFonts w:hint="eastAsia" w:hAnsi="宋体"/>
          <w:color w:val="auto"/>
          <w:szCs w:val="21"/>
        </w:rPr>
        <w:t>日 至 2023年</w:t>
      </w:r>
      <w:r>
        <w:rPr>
          <w:rFonts w:hint="eastAsia" w:hAnsi="宋体"/>
          <w:color w:val="auto"/>
          <w:szCs w:val="21"/>
          <w:lang w:val="en-US" w:eastAsia="zh-CN"/>
        </w:rPr>
        <w:t xml:space="preserve"> 07 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 xml:space="preserve"> 11  </w:t>
      </w:r>
      <w:r>
        <w:rPr>
          <w:rFonts w:hint="eastAsia" w:hAnsi="宋体"/>
          <w:color w:val="auto"/>
          <w:szCs w:val="21"/>
        </w:rPr>
        <w:t>日，每天上午00:00至12:00，下午12:01至23:59（北京时间，法定节假日除外。）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2.地点：投标截止时间前登录《全国公共资源交易平台（河南省·许昌市）》“投标人/供应商登录”入口（http://ggzy.xuchang.gov.cn:8088/ggzy/）自行免费下载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3.方式：网上自行下载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4.售价：0元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四、投标截止时间及地点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1.时间：2</w:t>
      </w:r>
      <w:r>
        <w:rPr>
          <w:rFonts w:hint="eastAsia" w:hAnsi="宋体"/>
          <w:color w:val="auto"/>
          <w:szCs w:val="21"/>
        </w:rPr>
        <w:t>023年</w:t>
      </w:r>
      <w:r>
        <w:rPr>
          <w:rFonts w:hint="eastAsia" w:hAnsi="宋体"/>
          <w:color w:val="auto"/>
          <w:szCs w:val="21"/>
          <w:lang w:val="en-US" w:eastAsia="zh-CN"/>
        </w:rPr>
        <w:t>07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>11</w:t>
      </w:r>
      <w:r>
        <w:rPr>
          <w:rFonts w:hint="eastAsia" w:hAnsi="宋体"/>
          <w:color w:val="auto"/>
          <w:szCs w:val="21"/>
        </w:rPr>
        <w:t>日</w:t>
      </w:r>
      <w:r>
        <w:rPr>
          <w:rFonts w:hint="eastAsia" w:hAnsi="宋体"/>
          <w:color w:val="auto"/>
          <w:szCs w:val="21"/>
          <w:lang w:val="en-US" w:eastAsia="zh-CN"/>
        </w:rPr>
        <w:t xml:space="preserve"> 10</w:t>
      </w:r>
      <w:r>
        <w:rPr>
          <w:rFonts w:hint="eastAsia" w:hAnsi="宋体"/>
          <w:color w:val="auto"/>
          <w:szCs w:val="21"/>
        </w:rPr>
        <w:t>时</w:t>
      </w:r>
      <w:r>
        <w:rPr>
          <w:rFonts w:hint="eastAsia" w:hAnsi="宋体"/>
          <w:color w:val="auto"/>
          <w:szCs w:val="21"/>
        </w:rPr>
        <w:t xml:space="preserve"> 30分（北京时间）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2.地点：本项目采用网上投标，请符合投标条件的投标人使用CA数字证书加密上传投标文件。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五、开标时间及地点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1.时间：2</w:t>
      </w:r>
      <w:r>
        <w:rPr>
          <w:rFonts w:hint="eastAsia" w:hAnsi="宋体"/>
          <w:color w:val="auto"/>
          <w:szCs w:val="21"/>
        </w:rPr>
        <w:t>023年</w:t>
      </w:r>
      <w:r>
        <w:rPr>
          <w:rFonts w:hint="eastAsia" w:hAnsi="宋体"/>
          <w:color w:val="auto"/>
          <w:szCs w:val="21"/>
          <w:lang w:val="en-US" w:eastAsia="zh-CN"/>
        </w:rPr>
        <w:t xml:space="preserve">07 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 xml:space="preserve"> 11</w:t>
      </w:r>
      <w:r>
        <w:rPr>
          <w:rFonts w:hint="eastAsia" w:hAnsi="宋体"/>
          <w:color w:val="auto"/>
          <w:szCs w:val="21"/>
        </w:rPr>
        <w:t>日</w:t>
      </w:r>
      <w:r>
        <w:rPr>
          <w:rFonts w:hint="eastAsia" w:hAnsi="宋体"/>
          <w:color w:val="auto"/>
          <w:szCs w:val="21"/>
          <w:lang w:val="en-US" w:eastAsia="zh-CN"/>
        </w:rPr>
        <w:t xml:space="preserve"> 10 </w:t>
      </w:r>
      <w:r>
        <w:rPr>
          <w:rFonts w:hint="eastAsia" w:hAnsi="宋体"/>
          <w:color w:val="auto"/>
          <w:szCs w:val="21"/>
        </w:rPr>
        <w:t xml:space="preserve">时 </w:t>
      </w:r>
      <w:r>
        <w:rPr>
          <w:rFonts w:hint="eastAsia" w:hAnsi="宋体"/>
          <w:color w:val="auto"/>
          <w:szCs w:val="21"/>
        </w:rPr>
        <w:t>30分（北京时间）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地点：本项目采用“不见面”网上开启方式，请投标人使用CA数字证书登录全国公共资源交易平台（河南省.许昌市）——进入公共资源交易系统（http://ggzy.xuchang.gov.cn:8088/ggzy/）——点击“项目信息——项目名称”——在系统操作导航栏点击“开标——不见面开标大厅”， 在规定的开启时间内进行解密开启。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六、发布公告的媒介及招标公告期限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本次招标公告在《河南省政府采购网》《许昌市政府采购网》《全国公共资源交易平台（河南省·许昌市）》上发布。 招标公告期限为五个工作日。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七、其他补充事宜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监督单位：禹州市政府采购监督管理办公室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电话：0374-8112523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八、凡对本次招标提出询问，请按照以下方式联系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1.采购人信息</w:t>
      </w:r>
    </w:p>
    <w:p>
      <w:pPr>
        <w:spacing w:line="384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名称：禹州市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  <w:t>民政局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地址：禹州市钧台路266号</w:t>
      </w:r>
    </w:p>
    <w:p>
      <w:pPr>
        <w:spacing w:line="384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联系人：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  <w:t>冯先生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 xml:space="preserve"> </w:t>
      </w:r>
    </w:p>
    <w:p>
      <w:pPr>
        <w:spacing w:line="384" w:lineRule="auto"/>
        <w:ind w:firstLine="420" w:firstLineChars="200"/>
        <w:jc w:val="left"/>
        <w:rPr>
          <w:rFonts w:hint="default" w:asciiTheme="majorEastAsia" w:hAnsiTheme="majorEastAsia" w:eastAsiaTheme="majorEastAsia" w:cstheme="majorEastAsia"/>
          <w:color w:val="auto"/>
          <w:szCs w:val="21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联系电话：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 xml:space="preserve"> 13598999801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2.采购代理机构信息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名称：许昌丰元咨询管理有限公司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地址：禹州市颍北大道6号</w:t>
      </w:r>
    </w:p>
    <w:p>
      <w:pPr>
        <w:spacing w:line="384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联系人：连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  <w:t>女士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联系电话：0374-8281999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3.项目联系方式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联系人： 连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  <w:t>女士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联系电话：0374-8281999</w:t>
      </w:r>
    </w:p>
    <w:p>
      <w:pPr>
        <w:spacing w:line="560" w:lineRule="exact"/>
        <w:ind w:firstLine="480" w:firstLineChars="200"/>
        <w:rPr>
          <w:rFonts w:ascii="微软雅黑" w:hAnsi="微软雅黑" w:eastAsia="微软雅黑" w:cs="微软雅黑"/>
          <w:color w:val="auto"/>
          <w:kern w:val="0"/>
          <w:sz w:val="24"/>
        </w:rPr>
      </w:pPr>
    </w:p>
    <w:bookmarkEnd w:id="0"/>
    <w:sectPr>
      <w:footerReference r:id="rId3" w:type="default"/>
      <w:pgSz w:w="11906" w:h="16838"/>
      <w:pgMar w:top="1361" w:right="1417" w:bottom="136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5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JhZmZmNzIzN2U0NDdjNGYyMDVjOWE5NTljYjJhNDkifQ=="/>
    <w:docVar w:name="KSO_WPS_MARK_KEY" w:val="633143ed-6081-415f-9fe1-3719b1bf9f48"/>
  </w:docVars>
  <w:rsids>
    <w:rsidRoot w:val="6FC14EB8"/>
    <w:rsid w:val="00054361"/>
    <w:rsid w:val="00083856"/>
    <w:rsid w:val="0008589B"/>
    <w:rsid w:val="0011206B"/>
    <w:rsid w:val="00126491"/>
    <w:rsid w:val="00220730"/>
    <w:rsid w:val="00236772"/>
    <w:rsid w:val="00257F88"/>
    <w:rsid w:val="002F0651"/>
    <w:rsid w:val="00384296"/>
    <w:rsid w:val="003F06D3"/>
    <w:rsid w:val="004476DE"/>
    <w:rsid w:val="00467DCE"/>
    <w:rsid w:val="004E505B"/>
    <w:rsid w:val="0054418D"/>
    <w:rsid w:val="00563163"/>
    <w:rsid w:val="005A25DB"/>
    <w:rsid w:val="00626402"/>
    <w:rsid w:val="00793998"/>
    <w:rsid w:val="007E6974"/>
    <w:rsid w:val="00910BB9"/>
    <w:rsid w:val="00925F25"/>
    <w:rsid w:val="0094246D"/>
    <w:rsid w:val="009C5C6A"/>
    <w:rsid w:val="00AE74DF"/>
    <w:rsid w:val="00B81C02"/>
    <w:rsid w:val="00B820CC"/>
    <w:rsid w:val="00BC0966"/>
    <w:rsid w:val="00C52FED"/>
    <w:rsid w:val="00DA5194"/>
    <w:rsid w:val="00ED081B"/>
    <w:rsid w:val="00EE7581"/>
    <w:rsid w:val="00F06421"/>
    <w:rsid w:val="00F23EE8"/>
    <w:rsid w:val="00F51B45"/>
    <w:rsid w:val="00F62936"/>
    <w:rsid w:val="025D7B9F"/>
    <w:rsid w:val="02661F84"/>
    <w:rsid w:val="042661BD"/>
    <w:rsid w:val="07A37A40"/>
    <w:rsid w:val="093E0C81"/>
    <w:rsid w:val="0B293A5F"/>
    <w:rsid w:val="0D63594E"/>
    <w:rsid w:val="0DC02A29"/>
    <w:rsid w:val="0DEA35D7"/>
    <w:rsid w:val="117B6FDE"/>
    <w:rsid w:val="119E0EEA"/>
    <w:rsid w:val="130628D8"/>
    <w:rsid w:val="14D33543"/>
    <w:rsid w:val="17086943"/>
    <w:rsid w:val="18116993"/>
    <w:rsid w:val="1AC272B5"/>
    <w:rsid w:val="1B59200F"/>
    <w:rsid w:val="1BA77F35"/>
    <w:rsid w:val="1E3417FF"/>
    <w:rsid w:val="1F221CF8"/>
    <w:rsid w:val="1F914E56"/>
    <w:rsid w:val="20472039"/>
    <w:rsid w:val="21C019ED"/>
    <w:rsid w:val="23F748C5"/>
    <w:rsid w:val="24F47F9A"/>
    <w:rsid w:val="250126A8"/>
    <w:rsid w:val="25581738"/>
    <w:rsid w:val="27604658"/>
    <w:rsid w:val="2E4A497A"/>
    <w:rsid w:val="2ECD538A"/>
    <w:rsid w:val="301F2D1D"/>
    <w:rsid w:val="306000B1"/>
    <w:rsid w:val="317672F1"/>
    <w:rsid w:val="341140DB"/>
    <w:rsid w:val="34E26A56"/>
    <w:rsid w:val="37C340EC"/>
    <w:rsid w:val="399F0DA8"/>
    <w:rsid w:val="3ADB3ABB"/>
    <w:rsid w:val="3DEE4511"/>
    <w:rsid w:val="3F075C81"/>
    <w:rsid w:val="40C83FF8"/>
    <w:rsid w:val="411C0608"/>
    <w:rsid w:val="422F3761"/>
    <w:rsid w:val="42A86A4F"/>
    <w:rsid w:val="48406524"/>
    <w:rsid w:val="4C3F23DE"/>
    <w:rsid w:val="4D8A7F66"/>
    <w:rsid w:val="4E3D322C"/>
    <w:rsid w:val="4E4F5496"/>
    <w:rsid w:val="500A3C2D"/>
    <w:rsid w:val="51C961B3"/>
    <w:rsid w:val="52876E7A"/>
    <w:rsid w:val="58C44394"/>
    <w:rsid w:val="58E82C2D"/>
    <w:rsid w:val="59D23357"/>
    <w:rsid w:val="5B245E69"/>
    <w:rsid w:val="5DA24229"/>
    <w:rsid w:val="64145F33"/>
    <w:rsid w:val="684F3C7A"/>
    <w:rsid w:val="68A847B6"/>
    <w:rsid w:val="69AC398E"/>
    <w:rsid w:val="6BCE14C4"/>
    <w:rsid w:val="6FC14EB8"/>
    <w:rsid w:val="725F6F08"/>
    <w:rsid w:val="73891774"/>
    <w:rsid w:val="743E2807"/>
    <w:rsid w:val="74432700"/>
    <w:rsid w:val="77040D55"/>
    <w:rsid w:val="78053506"/>
    <w:rsid w:val="78983B8D"/>
    <w:rsid w:val="7BE261CB"/>
    <w:rsid w:val="7D133F23"/>
    <w:rsid w:val="7E9F4AAE"/>
    <w:rsid w:val="7F3D43D5"/>
    <w:rsid w:val="7F6851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Body Text First Indent"/>
    <w:basedOn w:val="2"/>
    <w:next w:val="12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12">
    <w:name w:val="Body Text First Indent 2"/>
    <w:basedOn w:val="6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character" w:styleId="15">
    <w:name w:val="FollowedHyperlink"/>
    <w:basedOn w:val="14"/>
    <w:qFormat/>
    <w:uiPriority w:val="0"/>
    <w:rPr>
      <w:color w:val="000000"/>
      <w:u w:val="none"/>
    </w:rPr>
  </w:style>
  <w:style w:type="character" w:styleId="16">
    <w:name w:val="Hyperlink"/>
    <w:basedOn w:val="14"/>
    <w:qFormat/>
    <w:uiPriority w:val="0"/>
    <w:rPr>
      <w:color w:val="000000"/>
      <w:u w:val="none"/>
    </w:rPr>
  </w:style>
  <w:style w:type="character" w:customStyle="1" w:styleId="17">
    <w:name w:val="icon_gys"/>
    <w:basedOn w:val="14"/>
    <w:qFormat/>
    <w:uiPriority w:val="0"/>
    <w:rPr>
      <w:sz w:val="21"/>
      <w:szCs w:val="21"/>
    </w:rPr>
  </w:style>
  <w:style w:type="character" w:customStyle="1" w:styleId="18">
    <w:name w:val="xiadan"/>
    <w:basedOn w:val="14"/>
    <w:qFormat/>
    <w:uiPriority w:val="0"/>
    <w:rPr>
      <w:shd w:val="clear" w:color="auto" w:fill="E4393C"/>
    </w:rPr>
  </w:style>
  <w:style w:type="character" w:customStyle="1" w:styleId="19">
    <w:name w:val="first-child1"/>
    <w:basedOn w:val="14"/>
    <w:qFormat/>
    <w:uiPriority w:val="0"/>
    <w:rPr>
      <w:color w:val="1F3149"/>
      <w:sz w:val="24"/>
      <w:szCs w:val="24"/>
    </w:rPr>
  </w:style>
  <w:style w:type="character" w:customStyle="1" w:styleId="20">
    <w:name w:val="first-child2"/>
    <w:basedOn w:val="14"/>
    <w:qFormat/>
    <w:uiPriority w:val="0"/>
    <w:rPr>
      <w:color w:val="1F3149"/>
      <w:sz w:val="24"/>
      <w:szCs w:val="24"/>
    </w:rPr>
  </w:style>
  <w:style w:type="character" w:customStyle="1" w:styleId="21">
    <w:name w:val="fr"/>
    <w:basedOn w:val="14"/>
    <w:qFormat/>
    <w:uiPriority w:val="0"/>
  </w:style>
  <w:style w:type="character" w:customStyle="1" w:styleId="22">
    <w:name w:val="icon_ds"/>
    <w:basedOn w:val="14"/>
    <w:qFormat/>
    <w:uiPriority w:val="0"/>
  </w:style>
  <w:style w:type="character" w:customStyle="1" w:styleId="23">
    <w:name w:val="icon_ds1"/>
    <w:basedOn w:val="14"/>
    <w:qFormat/>
    <w:uiPriority w:val="0"/>
    <w:rPr>
      <w:sz w:val="21"/>
      <w:szCs w:val="21"/>
    </w:rPr>
  </w:style>
  <w:style w:type="character" w:customStyle="1" w:styleId="24">
    <w:name w:val="first-child"/>
    <w:basedOn w:val="14"/>
    <w:qFormat/>
    <w:uiPriority w:val="0"/>
    <w:rPr>
      <w:color w:val="1F3149"/>
      <w:sz w:val="24"/>
      <w:szCs w:val="24"/>
    </w:rPr>
  </w:style>
  <w:style w:type="character" w:customStyle="1" w:styleId="25">
    <w:name w:val="hover18"/>
    <w:basedOn w:val="14"/>
    <w:qFormat/>
    <w:uiPriority w:val="0"/>
  </w:style>
  <w:style w:type="character" w:customStyle="1" w:styleId="26">
    <w:name w:val="hover17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3</Pages>
  <Words>1434</Words>
  <Characters>1799</Characters>
  <Lines>12</Lines>
  <Paragraphs>3</Paragraphs>
  <TotalTime>45</TotalTime>
  <ScaleCrop>false</ScaleCrop>
  <LinksUpToDate>false</LinksUpToDate>
  <CharactersWithSpaces>1839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2021-11-29T07:45:00Z</dcterms:created>
  <dc:creator>WPS_1591240706</dc:creator>
  <cp:lastModifiedBy>许昌丰元咨询管理有限公司:连丹丹</cp:lastModifiedBy>
  <cp:lastPrinted>2022-02-09T01:34:00Z</cp:lastPrinted>
  <dcterms:modified xsi:type="dcterms:W3CDTF">2023-06-20T10:09:57Z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A5A972D3A4D7492498E3F4902B218294</vt:lpwstr>
  </property>
</Properties>
</file>