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000000"/>
          <w:sz w:val="36"/>
          <w:szCs w:val="36"/>
          <w:highlight w:val="none"/>
        </w:rPr>
      </w:pPr>
      <w:bookmarkStart w:id="0" w:name="_Hlk37167609"/>
    </w:p>
    <w:p>
      <w:pPr>
        <w:spacing w:line="360" w:lineRule="auto"/>
        <w:jc w:val="center"/>
        <w:rPr>
          <w:rFonts w:ascii="宋体" w:hAnsi="宋体" w:eastAsia="宋体" w:cs="宋体"/>
          <w:b/>
          <w:bCs/>
          <w:color w:val="000000"/>
          <w:sz w:val="36"/>
          <w:szCs w:val="36"/>
          <w:highlight w:val="none"/>
        </w:rPr>
      </w:pPr>
      <w:r>
        <w:rPr>
          <w:rFonts w:hint="eastAsia" w:ascii="宋体" w:hAnsi="宋体" w:eastAsia="宋体" w:cs="宋体"/>
          <w:b/>
          <w:bCs/>
          <w:color w:val="000000"/>
          <w:sz w:val="36"/>
          <w:szCs w:val="36"/>
          <w:highlight w:val="none"/>
        </w:rPr>
        <w:t>禹州市市场监督管理局知识产权快速维权中心建设项目（不见面开标）</w:t>
      </w:r>
    </w:p>
    <w:bookmarkEnd w:id="0"/>
    <w:p>
      <w:pPr>
        <w:rPr>
          <w:rFonts w:ascii="微软简隶书" w:eastAsia="微软简隶书"/>
          <w:color w:val="000000"/>
          <w:highlight w:val="none"/>
        </w:rPr>
      </w:pPr>
    </w:p>
    <w:p>
      <w:pPr>
        <w:rPr>
          <w:rFonts w:ascii="微软简隶书" w:eastAsia="微软简隶书"/>
          <w:color w:val="000000"/>
          <w:highlight w:val="none"/>
        </w:rPr>
      </w:pPr>
    </w:p>
    <w:p>
      <w:pPr>
        <w:rPr>
          <w:rFonts w:ascii="微软简隶书" w:eastAsia="微软简隶书"/>
          <w:color w:val="000000"/>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rPr>
          <w:rFonts w:ascii="微软简隶书" w:eastAsia="微软简隶书"/>
          <w:color w:val="000000"/>
          <w:highlight w:val="none"/>
        </w:rPr>
      </w:pPr>
    </w:p>
    <w:p>
      <w:pPr>
        <w:rPr>
          <w:rFonts w:ascii="微软简隶书" w:eastAsia="微软简隶书"/>
          <w:color w:val="000000"/>
          <w:highlight w:val="none"/>
        </w:rPr>
      </w:pPr>
    </w:p>
    <w:p>
      <w:pPr>
        <w:jc w:val="center"/>
        <w:rPr>
          <w:rFonts w:ascii="黑体" w:hAnsi="黑体" w:eastAsia="黑体" w:cs="黑体"/>
          <w:b/>
          <w:color w:val="000000"/>
          <w:w w:val="90"/>
          <w:sz w:val="84"/>
          <w:szCs w:val="84"/>
          <w:highlight w:val="none"/>
        </w:rPr>
      </w:pPr>
      <w:r>
        <w:rPr>
          <w:rFonts w:hint="eastAsia" w:ascii="黑体" w:hAnsi="黑体" w:eastAsia="黑体" w:cs="黑体"/>
          <w:b/>
          <w:color w:val="000000"/>
          <w:w w:val="90"/>
          <w:sz w:val="84"/>
          <w:szCs w:val="84"/>
          <w:highlight w:val="none"/>
          <w:lang w:val="en-US" w:eastAsia="zh-CN"/>
        </w:rPr>
        <w:t>第三、四标段</w:t>
      </w:r>
      <w:r>
        <w:rPr>
          <w:rFonts w:hint="eastAsia" w:ascii="黑体" w:hAnsi="黑体" w:eastAsia="黑体" w:cs="黑体"/>
          <w:b/>
          <w:color w:val="000000"/>
          <w:w w:val="90"/>
          <w:sz w:val="84"/>
          <w:szCs w:val="84"/>
          <w:highlight w:val="none"/>
        </w:rPr>
        <w:t>招标文件</w:t>
      </w:r>
    </w:p>
    <w:p>
      <w:pPr>
        <w:rPr>
          <w:rFonts w:ascii="微软简隶书" w:eastAsia="微软简隶书"/>
          <w:color w:val="000000"/>
          <w:highlight w:val="none"/>
        </w:rPr>
      </w:pPr>
    </w:p>
    <w:p>
      <w:pPr>
        <w:rPr>
          <w:rFonts w:ascii="微软简隶书" w:eastAsia="微软简隶书"/>
          <w:color w:val="000000"/>
          <w:highlight w:val="none"/>
        </w:rPr>
      </w:pPr>
    </w:p>
    <w:p>
      <w:pPr>
        <w:rPr>
          <w:rFonts w:ascii="微软简隶书" w:eastAsia="微软简隶书"/>
          <w:color w:val="000000"/>
          <w:highlight w:val="none"/>
        </w:rPr>
      </w:pPr>
    </w:p>
    <w:p>
      <w:pPr>
        <w:rPr>
          <w:rFonts w:ascii="微软简隶书" w:eastAsia="微软简隶书"/>
          <w:color w:val="000000"/>
          <w:highlight w:val="none"/>
        </w:rPr>
      </w:pPr>
    </w:p>
    <w:p>
      <w:pPr>
        <w:rPr>
          <w:rFonts w:ascii="微软简隶书" w:eastAsia="微软简隶书"/>
          <w:color w:val="000000"/>
          <w:highlight w:val="none"/>
        </w:rPr>
      </w:pPr>
    </w:p>
    <w:p>
      <w:pPr>
        <w:rPr>
          <w:rFonts w:ascii="微软简隶书" w:eastAsia="微软简隶书"/>
          <w:color w:val="000000"/>
          <w:highlight w:val="none"/>
        </w:rPr>
      </w:pPr>
    </w:p>
    <w:p>
      <w:pPr>
        <w:rPr>
          <w:rFonts w:ascii="微软简隶书" w:eastAsia="微软简隶书"/>
          <w:color w:val="000000"/>
          <w:highlight w:val="none"/>
        </w:rPr>
      </w:pPr>
    </w:p>
    <w:p>
      <w:pPr>
        <w:pStyle w:val="2"/>
        <w:rPr>
          <w:highlight w:val="none"/>
        </w:rPr>
      </w:pPr>
    </w:p>
    <w:p>
      <w:pPr>
        <w:rPr>
          <w:rFonts w:ascii="微软简隶书" w:eastAsia="微软简隶书"/>
          <w:color w:val="000000"/>
          <w:highlight w:val="none"/>
        </w:rPr>
      </w:pPr>
    </w:p>
    <w:p>
      <w:pPr>
        <w:adjustRightInd w:val="0"/>
        <w:snapToGrid w:val="0"/>
        <w:spacing w:line="600" w:lineRule="auto"/>
        <w:ind w:firstLine="643" w:firstLineChars="200"/>
        <w:jc w:val="left"/>
        <w:rPr>
          <w:rFonts w:ascii="宋体" w:hAnsi="宋体" w:cs="宋体"/>
          <w:color w:val="000000"/>
          <w:sz w:val="28"/>
          <w:highlight w:val="none"/>
        </w:rPr>
      </w:pPr>
      <w:r>
        <w:rPr>
          <w:rFonts w:hint="eastAsia" w:ascii="宋体" w:hAnsi="宋体" w:cs="宋体"/>
          <w:b/>
          <w:bCs/>
          <w:color w:val="000000"/>
          <w:sz w:val="32"/>
          <w:szCs w:val="32"/>
          <w:highlight w:val="none"/>
        </w:rPr>
        <w:t>项目编号</w:t>
      </w:r>
      <w:r>
        <w:rPr>
          <w:rFonts w:hint="eastAsia" w:ascii="宋体" w:hAnsi="宋体" w:cs="宋体"/>
          <w:color w:val="000000"/>
          <w:sz w:val="32"/>
          <w:szCs w:val="32"/>
          <w:highlight w:val="none"/>
        </w:rPr>
        <w:t xml:space="preserve">：  </w:t>
      </w:r>
      <w:r>
        <w:rPr>
          <w:rFonts w:hint="eastAsia" w:ascii="宋体" w:hAnsi="宋体" w:cs="宋体"/>
          <w:color w:val="000000"/>
          <w:sz w:val="32"/>
          <w:szCs w:val="32"/>
          <w:highlight w:val="none"/>
          <w:u w:val="single"/>
        </w:rPr>
        <w:tab/>
      </w:r>
      <w:r>
        <w:rPr>
          <w:rFonts w:ascii="宋体" w:hAnsi="宋体" w:cs="宋体"/>
          <w:color w:val="000000"/>
          <w:sz w:val="32"/>
          <w:szCs w:val="32"/>
          <w:highlight w:val="none"/>
          <w:u w:val="single"/>
        </w:rPr>
        <w:t xml:space="preserve"> YZCG-DLG202</w:t>
      </w:r>
      <w:r>
        <w:rPr>
          <w:rFonts w:hint="eastAsia" w:ascii="宋体" w:hAnsi="宋体" w:cs="宋体"/>
          <w:color w:val="000000"/>
          <w:sz w:val="32"/>
          <w:szCs w:val="32"/>
          <w:highlight w:val="none"/>
          <w:u w:val="single"/>
          <w:lang w:val="en-US" w:eastAsia="zh-CN"/>
        </w:rPr>
        <w:t xml:space="preserve">3046   </w:t>
      </w:r>
      <w:r>
        <w:rPr>
          <w:rFonts w:ascii="宋体" w:hAnsi="宋体" w:cs="宋体"/>
          <w:color w:val="000000"/>
          <w:sz w:val="32"/>
          <w:szCs w:val="32"/>
          <w:highlight w:val="none"/>
          <w:u w:val="single"/>
        </w:rPr>
        <w:t xml:space="preserve">                     </w:t>
      </w:r>
    </w:p>
    <w:p>
      <w:pPr>
        <w:adjustRightInd w:val="0"/>
        <w:snapToGrid w:val="0"/>
        <w:spacing w:line="600" w:lineRule="auto"/>
        <w:ind w:firstLine="643" w:firstLineChars="200"/>
        <w:rPr>
          <w:rFonts w:ascii="宋体" w:hAnsi="宋体" w:cs="宋体"/>
          <w:color w:val="000000"/>
          <w:sz w:val="32"/>
          <w:szCs w:val="32"/>
          <w:highlight w:val="none"/>
          <w:u w:val="single"/>
        </w:rPr>
      </w:pPr>
      <w:r>
        <w:rPr>
          <w:rFonts w:hint="eastAsia" w:ascii="宋体" w:hAnsi="宋体" w:cs="宋体"/>
          <w:b/>
          <w:bCs/>
          <w:color w:val="000000"/>
          <w:sz w:val="32"/>
          <w:szCs w:val="32"/>
          <w:highlight w:val="none"/>
        </w:rPr>
        <w:t>采购单位</w:t>
      </w:r>
      <w:r>
        <w:rPr>
          <w:rFonts w:hint="eastAsia" w:ascii="宋体" w:hAnsi="宋体" w:cs="宋体"/>
          <w:color w:val="000000"/>
          <w:sz w:val="32"/>
          <w:szCs w:val="32"/>
          <w:highlight w:val="none"/>
        </w:rPr>
        <w:t xml:space="preserve">： </w:t>
      </w:r>
      <w:r>
        <w:rPr>
          <w:rFonts w:hint="eastAsia" w:ascii="宋体" w:hAnsi="宋体" w:cs="宋体"/>
          <w:color w:val="000000"/>
          <w:sz w:val="32"/>
          <w:szCs w:val="32"/>
          <w:highlight w:val="none"/>
          <w:u w:val="single"/>
        </w:rPr>
        <w:t xml:space="preserve"> </w:t>
      </w:r>
      <w:r>
        <w:rPr>
          <w:rFonts w:ascii="宋体" w:hAnsi="宋体" w:cs="宋体"/>
          <w:color w:val="000000"/>
          <w:sz w:val="32"/>
          <w:szCs w:val="32"/>
          <w:highlight w:val="none"/>
          <w:u w:val="single"/>
        </w:rPr>
        <w:t xml:space="preserve">   </w:t>
      </w:r>
      <w:r>
        <w:rPr>
          <w:rFonts w:hint="eastAsia" w:ascii="宋体" w:hAnsi="宋体" w:cs="宋体"/>
          <w:color w:val="000000"/>
          <w:sz w:val="32"/>
          <w:szCs w:val="32"/>
          <w:highlight w:val="none"/>
          <w:u w:val="single"/>
        </w:rPr>
        <w:t xml:space="preserve">禹州市市场监督管理局          </w:t>
      </w:r>
      <w:r>
        <w:rPr>
          <w:rFonts w:ascii="宋体" w:hAnsi="宋体" w:cs="宋体"/>
          <w:color w:val="000000"/>
          <w:sz w:val="32"/>
          <w:szCs w:val="32"/>
          <w:highlight w:val="none"/>
          <w:u w:val="single"/>
        </w:rPr>
        <w:t xml:space="preserve">        </w:t>
      </w:r>
    </w:p>
    <w:p>
      <w:pPr>
        <w:adjustRightInd w:val="0"/>
        <w:snapToGrid w:val="0"/>
        <w:spacing w:line="600" w:lineRule="auto"/>
        <w:ind w:firstLine="643" w:firstLineChars="200"/>
        <w:rPr>
          <w:rFonts w:ascii="宋体" w:hAnsi="宋体" w:cs="宋体"/>
          <w:color w:val="000000"/>
          <w:sz w:val="32"/>
          <w:szCs w:val="32"/>
          <w:highlight w:val="none"/>
        </w:rPr>
      </w:pPr>
      <w:r>
        <w:rPr>
          <w:rFonts w:hint="eastAsia" w:ascii="宋体" w:hAnsi="宋体" w:cs="宋体"/>
          <w:b/>
          <w:bCs/>
          <w:color w:val="000000"/>
          <w:sz w:val="32"/>
          <w:szCs w:val="32"/>
          <w:highlight w:val="none"/>
        </w:rPr>
        <w:t>采购代理机构</w:t>
      </w:r>
      <w:r>
        <w:rPr>
          <w:rFonts w:hint="eastAsia" w:ascii="宋体" w:hAnsi="宋体" w:cs="宋体"/>
          <w:color w:val="000000"/>
          <w:sz w:val="32"/>
          <w:szCs w:val="32"/>
          <w:highlight w:val="none"/>
        </w:rPr>
        <w:t>：</w:t>
      </w:r>
      <w:r>
        <w:rPr>
          <w:rFonts w:hint="eastAsia" w:ascii="宋体" w:hAnsi="宋体" w:cs="宋体"/>
          <w:color w:val="000000"/>
          <w:sz w:val="32"/>
          <w:szCs w:val="32"/>
          <w:highlight w:val="none"/>
          <w:u w:val="single"/>
        </w:rPr>
        <w:t>建基工程咨询有限公司</w:t>
      </w:r>
      <w:r>
        <w:rPr>
          <w:rFonts w:hint="eastAsia" w:ascii="宋体" w:hAnsi="宋体" w:cs="宋体"/>
          <w:sz w:val="32"/>
          <w:szCs w:val="32"/>
          <w:highlight w:val="none"/>
          <w:u w:val="single"/>
        </w:rPr>
        <w:t xml:space="preserve">        </w:t>
      </w:r>
      <w:r>
        <w:rPr>
          <w:rFonts w:ascii="宋体" w:hAnsi="宋体" w:cs="宋体"/>
          <w:sz w:val="32"/>
          <w:szCs w:val="32"/>
          <w:highlight w:val="none"/>
          <w:u w:val="single"/>
        </w:rPr>
        <w:t xml:space="preserve">         </w:t>
      </w:r>
      <w:r>
        <w:rPr>
          <w:rFonts w:hint="eastAsia" w:ascii="宋体" w:hAnsi="宋体" w:cs="宋体"/>
          <w:color w:val="000000"/>
          <w:sz w:val="32"/>
          <w:szCs w:val="32"/>
          <w:highlight w:val="none"/>
        </w:rPr>
        <w:t xml:space="preserve"> </w:t>
      </w:r>
    </w:p>
    <w:p>
      <w:pPr>
        <w:adjustRightInd w:val="0"/>
        <w:snapToGrid w:val="0"/>
        <w:spacing w:line="600" w:lineRule="auto"/>
        <w:rPr>
          <w:rFonts w:ascii="华文中宋" w:hAnsi="华文中宋" w:eastAsia="华文中宋"/>
          <w:bCs/>
          <w:color w:val="000000"/>
          <w:kern w:val="36"/>
          <w:sz w:val="32"/>
          <w:szCs w:val="32"/>
          <w:highlight w:val="none"/>
        </w:rPr>
        <w:sectPr>
          <w:footerReference r:id="rId3" w:type="default"/>
          <w:footerReference r:id="rId4" w:type="even"/>
          <w:pgSz w:w="11907" w:h="16840"/>
          <w:pgMar w:top="1418" w:right="1418" w:bottom="1418" w:left="1418" w:header="907" w:footer="907" w:gutter="0"/>
          <w:pgNumType w:start="0"/>
          <w:cols w:space="720" w:num="1"/>
          <w:titlePg/>
          <w:docGrid w:linePitch="286" w:charSpace="0"/>
        </w:sectPr>
      </w:pPr>
      <w:r>
        <w:rPr>
          <w:rFonts w:hint="eastAsia" w:ascii="华文中宋" w:eastAsia="华文中宋"/>
          <w:b/>
          <w:bCs/>
          <w:color w:val="000000"/>
          <w:sz w:val="32"/>
          <w:szCs w:val="32"/>
          <w:highlight w:val="none"/>
        </w:rPr>
        <w:t xml:space="preserve">                   </w:t>
      </w:r>
      <w:r>
        <w:rPr>
          <w:rFonts w:hint="eastAsia" w:ascii="华文中宋" w:eastAsia="华文中宋"/>
          <w:color w:val="000000"/>
          <w:sz w:val="32"/>
          <w:szCs w:val="32"/>
          <w:highlight w:val="none"/>
        </w:rPr>
        <w:t xml:space="preserve">  二零二</w:t>
      </w:r>
      <w:r>
        <w:rPr>
          <w:rFonts w:hint="eastAsia" w:ascii="华文中宋" w:eastAsia="华文中宋"/>
          <w:color w:val="000000"/>
          <w:sz w:val="32"/>
          <w:szCs w:val="32"/>
          <w:highlight w:val="none"/>
          <w:lang w:eastAsia="zh-CN"/>
        </w:rPr>
        <w:t>三</w:t>
      </w:r>
      <w:r>
        <w:rPr>
          <w:rFonts w:hint="eastAsia" w:ascii="华文中宋" w:eastAsia="华文中宋"/>
          <w:color w:val="000000"/>
          <w:sz w:val="32"/>
          <w:szCs w:val="32"/>
          <w:highlight w:val="none"/>
        </w:rPr>
        <w:t>年</w:t>
      </w:r>
      <w:r>
        <w:rPr>
          <w:rFonts w:hint="eastAsia" w:ascii="华文中宋" w:eastAsia="华文中宋"/>
          <w:color w:val="000000"/>
          <w:sz w:val="32"/>
          <w:szCs w:val="32"/>
          <w:highlight w:val="none"/>
          <w:lang w:val="en-US" w:eastAsia="zh-CN"/>
        </w:rPr>
        <w:t>六</w:t>
      </w:r>
      <w:r>
        <w:rPr>
          <w:rFonts w:hint="eastAsia" w:ascii="华文中宋" w:eastAsia="华文中宋"/>
          <w:color w:val="000000"/>
          <w:sz w:val="32"/>
          <w:szCs w:val="32"/>
          <w:highlight w:val="none"/>
        </w:rPr>
        <w:t>月</w:t>
      </w:r>
    </w:p>
    <w:p>
      <w:pPr>
        <w:autoSpaceDE w:val="0"/>
        <w:autoSpaceDN w:val="0"/>
        <w:adjustRightInd w:val="0"/>
        <w:spacing w:line="700" w:lineRule="exact"/>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highlight w:val="none"/>
        </w:rPr>
      </w:pPr>
      <w:r>
        <w:rPr>
          <w:rFonts w:hint="eastAsia" w:asciiTheme="majorEastAsia" w:hAnsiTheme="majorEastAsia" w:eastAsiaTheme="majorEastAsia" w:cstheme="majorEastAsia"/>
          <w:b/>
          <w:bCs/>
          <w:color w:val="auto"/>
          <w:sz w:val="30"/>
          <w:szCs w:val="30"/>
          <w:highlight w:val="none"/>
          <w:lang w:val="zh-CN"/>
        </w:rPr>
        <w:t xml:space="preserve">第三章 </w:t>
      </w:r>
      <w:r>
        <w:rPr>
          <w:rFonts w:hint="eastAsia" w:asciiTheme="majorEastAsia" w:hAnsiTheme="majorEastAsia" w:eastAsiaTheme="majorEastAsia" w:cstheme="majorEastAsia"/>
          <w:b/>
          <w:color w:val="auto"/>
          <w:kern w:val="0"/>
          <w:sz w:val="30"/>
          <w:szCs w:val="30"/>
          <w:highlight w:val="none"/>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highlight w:val="none"/>
        </w:rPr>
      </w:pPr>
      <w:r>
        <w:rPr>
          <w:rFonts w:hint="eastAsia" w:asciiTheme="majorEastAsia" w:hAnsiTheme="majorEastAsia" w:eastAsiaTheme="majorEastAsia" w:cstheme="majorEastAsia"/>
          <w:b/>
          <w:bCs/>
          <w:color w:val="auto"/>
          <w:sz w:val="30"/>
          <w:szCs w:val="30"/>
          <w:highlight w:val="none"/>
          <w:lang w:val="zh-CN"/>
        </w:rPr>
        <w:t xml:space="preserve">第四章 </w:t>
      </w:r>
      <w:r>
        <w:rPr>
          <w:rFonts w:hint="eastAsia" w:asciiTheme="majorEastAsia" w:hAnsiTheme="majorEastAsia" w:eastAsiaTheme="majorEastAsia" w:cstheme="majorEastAsia"/>
          <w:b/>
          <w:color w:val="auto"/>
          <w:kern w:val="0"/>
          <w:sz w:val="30"/>
          <w:szCs w:val="30"/>
          <w:highlight w:val="none"/>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六、定标和授予合同</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第五章 政府采购政策功能</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第六章 资格审查与评标</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第七章 拟签订的合同文本</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第八章 投标文件有关格式</w:t>
      </w:r>
    </w:p>
    <w:p>
      <w:pPr>
        <w:pStyle w:val="30"/>
        <w:ind w:firstLine="301"/>
        <w:rPr>
          <w:rFonts w:asciiTheme="majorEastAsia" w:hAnsiTheme="majorEastAsia" w:eastAsiaTheme="majorEastAsia" w:cstheme="majorEastAsia"/>
          <w:b/>
          <w:bCs/>
          <w:color w:val="auto"/>
          <w:sz w:val="30"/>
          <w:szCs w:val="30"/>
          <w:highlight w:val="none"/>
          <w:lang w:val="zh-CN"/>
        </w:rPr>
      </w:pPr>
    </w:p>
    <w:p>
      <w:pPr>
        <w:pStyle w:val="32"/>
        <w:ind w:firstLine="480"/>
        <w:rPr>
          <w:color w:val="auto"/>
          <w:highlight w:val="none"/>
        </w:rPr>
      </w:pPr>
    </w:p>
    <w:p>
      <w:pPr>
        <w:jc w:val="center"/>
        <w:rPr>
          <w:color w:val="auto"/>
          <w:highlight w:val="none"/>
        </w:rPr>
      </w:pPr>
      <w:r>
        <w:rPr>
          <w:rFonts w:hint="eastAsia" w:cs="宋体" w:asciiTheme="majorEastAsia" w:hAnsiTheme="majorEastAsia" w:eastAsiaTheme="majorEastAsia"/>
          <w:b/>
          <w:color w:val="auto"/>
          <w:kern w:val="0"/>
          <w:sz w:val="32"/>
          <w:szCs w:val="32"/>
          <w:highlight w:val="none"/>
        </w:rPr>
        <w:t>第一章  投标邀请</w:t>
      </w:r>
    </w:p>
    <w:p>
      <w:pPr>
        <w:spacing w:line="600" w:lineRule="exact"/>
        <w:jc w:val="center"/>
        <w:rPr>
          <w:rFonts w:hint="eastAsia" w:ascii="宋体" w:hAnsi="宋体" w:eastAsia="宋体" w:cs="宋体"/>
          <w:b/>
          <w:bCs/>
          <w:sz w:val="28"/>
          <w:szCs w:val="28"/>
          <w:highlight w:val="none"/>
        </w:rPr>
      </w:pPr>
      <w:bookmarkStart w:id="1" w:name="_Hlk23412151"/>
      <w:bookmarkStart w:id="2" w:name="_Hlk20646304"/>
      <w:bookmarkStart w:id="3" w:name="_Hlk78217998"/>
      <w:bookmarkStart w:id="4" w:name="_Hlk12871648"/>
      <w:bookmarkStart w:id="5" w:name="_Hlk40949035"/>
      <w:bookmarkStart w:id="6" w:name="_Hlk112162800"/>
      <w:r>
        <w:rPr>
          <w:rFonts w:hint="eastAsia" w:ascii="宋体" w:hAnsi="宋体" w:eastAsia="宋体" w:cs="宋体"/>
          <w:b/>
          <w:bCs/>
          <w:sz w:val="28"/>
          <w:szCs w:val="28"/>
          <w:highlight w:val="none"/>
        </w:rPr>
        <w:t>禹州市市场监督管理局知识产权快速维权中心建设项目</w:t>
      </w:r>
    </w:p>
    <w:p>
      <w:pPr>
        <w:spacing w:line="60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(不见面开标)招标公告</w:t>
      </w:r>
    </w:p>
    <w:p>
      <w:pPr>
        <w:autoSpaceDE w:val="0"/>
        <w:autoSpaceDN w:val="0"/>
        <w:adjustRightInd w:val="0"/>
        <w:spacing w:line="360" w:lineRule="auto"/>
        <w:ind w:firstLine="56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建基工程咨询有限公司受禹州市市场监督管理局的委托，就“禹州市市场监督管理局知识产权快速维权中心建设项目（不见面开标）”进行公开招标，欢迎合格投标人前来投标。</w:t>
      </w:r>
    </w:p>
    <w:p>
      <w:pPr>
        <w:autoSpaceDE w:val="0"/>
        <w:autoSpaceDN w:val="0"/>
        <w:adjustRightInd w:val="0"/>
        <w:spacing w:line="360"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一、项目基本情况</w:t>
      </w:r>
    </w:p>
    <w:p>
      <w:pPr>
        <w:autoSpaceDE w:val="0"/>
        <w:autoSpaceDN w:val="0"/>
        <w:adjustRightInd w:val="0"/>
        <w:spacing w:line="360" w:lineRule="auto"/>
        <w:ind w:firstLine="56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1、采购人：禹州市市场监督管理局</w:t>
      </w:r>
      <w:r>
        <w:rPr>
          <w:rFonts w:hint="eastAsia" w:ascii="宋体" w:hAnsi="宋体" w:eastAsia="宋体" w:cs="宋体"/>
          <w:color w:val="000000"/>
          <w:sz w:val="21"/>
          <w:szCs w:val="21"/>
          <w:highlight w:val="none"/>
          <w:lang w:eastAsia="zh-CN"/>
        </w:rPr>
        <w:t>；</w:t>
      </w:r>
    </w:p>
    <w:p>
      <w:pPr>
        <w:autoSpaceDE w:val="0"/>
        <w:autoSpaceDN w:val="0"/>
        <w:adjustRightInd w:val="0"/>
        <w:spacing w:line="360" w:lineRule="auto"/>
        <w:ind w:firstLine="56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2、项目名称：禹州市市场监督管理局知识产权快速维权中心建设项目</w:t>
      </w:r>
      <w:r>
        <w:rPr>
          <w:rFonts w:hint="eastAsia" w:ascii="宋体" w:hAnsi="宋体" w:eastAsia="宋体" w:cs="宋体"/>
          <w:color w:val="000000"/>
          <w:sz w:val="21"/>
          <w:szCs w:val="21"/>
          <w:highlight w:val="none"/>
          <w:lang w:eastAsia="zh-CN"/>
        </w:rPr>
        <w:t>；</w:t>
      </w:r>
    </w:p>
    <w:p>
      <w:pPr>
        <w:autoSpaceDE w:val="0"/>
        <w:autoSpaceDN w:val="0"/>
        <w:adjustRightInd w:val="0"/>
        <w:spacing w:line="360" w:lineRule="auto"/>
        <w:ind w:firstLine="56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3、采购编号：YZCG-DLG202</w:t>
      </w:r>
      <w:r>
        <w:rPr>
          <w:rFonts w:hint="eastAsia" w:ascii="宋体" w:hAnsi="宋体" w:eastAsia="宋体" w:cs="宋体"/>
          <w:color w:val="000000"/>
          <w:sz w:val="21"/>
          <w:szCs w:val="21"/>
          <w:highlight w:val="none"/>
          <w:lang w:val="en-US" w:eastAsia="zh-CN"/>
        </w:rPr>
        <w:t>3046</w:t>
      </w:r>
      <w:r>
        <w:rPr>
          <w:rFonts w:hint="eastAsia" w:ascii="宋体" w:hAnsi="宋体" w:eastAsia="宋体" w:cs="宋体"/>
          <w:color w:val="000000"/>
          <w:sz w:val="21"/>
          <w:szCs w:val="21"/>
          <w:highlight w:val="none"/>
        </w:rPr>
        <w:t>；</w:t>
      </w:r>
    </w:p>
    <w:p>
      <w:pPr>
        <w:autoSpaceDE w:val="0"/>
        <w:autoSpaceDN w:val="0"/>
        <w:adjustRightInd w:val="0"/>
        <w:spacing w:line="360" w:lineRule="auto"/>
        <w:ind w:firstLine="56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4、项目需求：知识产权快维中心含装修工程、办公设备、软件工程等项目（详见文件）。</w:t>
      </w:r>
    </w:p>
    <w:p>
      <w:pPr>
        <w:autoSpaceDE w:val="0"/>
        <w:autoSpaceDN w:val="0"/>
        <w:adjustRightInd w:val="0"/>
        <w:spacing w:line="360" w:lineRule="auto"/>
        <w:ind w:firstLine="560"/>
        <w:rPr>
          <w:rFonts w:hint="eastAsia"/>
          <w:highlight w:val="none"/>
        </w:rPr>
      </w:pPr>
      <w:r>
        <w:rPr>
          <w:rFonts w:hint="eastAsia" w:ascii="宋体" w:hAnsi="宋体" w:eastAsia="宋体" w:cs="宋体"/>
          <w:b w:val="0"/>
          <w:color w:val="000000"/>
          <w:kern w:val="2"/>
          <w:sz w:val="21"/>
          <w:szCs w:val="21"/>
          <w:highlight w:val="none"/>
          <w:lang w:val="en-US" w:eastAsia="zh-CN" w:bidi="ar-SA"/>
        </w:rPr>
        <w:t>5、采购范围：招标文件、工程量清单、答疑纪要及补充文件等范围内的所有工程内容；</w:t>
      </w:r>
    </w:p>
    <w:p>
      <w:pPr>
        <w:autoSpaceDE w:val="0"/>
        <w:autoSpaceDN w:val="0"/>
        <w:adjustRightInd w:val="0"/>
        <w:spacing w:line="360" w:lineRule="auto"/>
        <w:ind w:firstLine="56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、采购预算（采购限价）：</w:t>
      </w:r>
      <w:bookmarkStart w:id="7" w:name="_Hlk19171515"/>
      <w:r>
        <w:rPr>
          <w:rFonts w:hint="eastAsia" w:ascii="宋体" w:hAnsi="宋体" w:eastAsia="宋体" w:cs="宋体"/>
          <w:color w:val="000000"/>
          <w:sz w:val="21"/>
          <w:szCs w:val="21"/>
          <w:highlight w:val="none"/>
        </w:rPr>
        <w:t xml:space="preserve"> 第一标段：1290124.34元；第二标段：2597170元；第三标段：163830元；第四标段：639000元； </w:t>
      </w:r>
    </w:p>
    <w:bookmarkEnd w:id="7"/>
    <w:p>
      <w:pPr>
        <w:autoSpaceDE w:val="0"/>
        <w:autoSpaceDN w:val="0"/>
        <w:adjustRightInd w:val="0"/>
        <w:spacing w:line="360" w:lineRule="auto"/>
        <w:ind w:firstLine="56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、交付（服务、完工）时间：第一标段合同签订后60日历天内完成；第二标段服务期限三年；</w:t>
      </w:r>
      <w:r>
        <w:rPr>
          <w:rFonts w:hint="eastAsia" w:ascii="宋体" w:hAnsi="宋体" w:eastAsia="宋体" w:cs="宋体"/>
          <w:color w:val="000000"/>
          <w:sz w:val="21"/>
          <w:szCs w:val="21"/>
          <w:highlight w:val="none"/>
          <w:lang w:val="en-US" w:eastAsia="zh-CN"/>
        </w:rPr>
        <w:t>第</w:t>
      </w:r>
      <w:r>
        <w:rPr>
          <w:rFonts w:hint="eastAsia" w:ascii="宋体" w:hAnsi="宋体" w:eastAsia="宋体" w:cs="宋体"/>
          <w:color w:val="000000"/>
          <w:sz w:val="21"/>
          <w:szCs w:val="21"/>
          <w:highlight w:val="none"/>
        </w:rPr>
        <w:t>三</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四</w:t>
      </w:r>
      <w:r>
        <w:rPr>
          <w:rFonts w:hint="eastAsia" w:ascii="宋体" w:hAnsi="宋体" w:eastAsia="宋体" w:cs="宋体"/>
          <w:color w:val="000000"/>
          <w:sz w:val="21"/>
          <w:szCs w:val="21"/>
          <w:highlight w:val="none"/>
        </w:rPr>
        <w:t>标段合同签订后60日历天内完成</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质保期1年；</w:t>
      </w:r>
    </w:p>
    <w:p>
      <w:pPr>
        <w:pStyle w:val="2"/>
        <w:ind w:firstLine="630" w:firstLineChars="3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8、是否专门面向中小企业：第一、三标段专门面向中小企业采购，二、四标段不专门面向中小企业采购。</w:t>
      </w:r>
    </w:p>
    <w:p>
      <w:pPr>
        <w:autoSpaceDE w:val="0"/>
        <w:autoSpaceDN w:val="0"/>
        <w:adjustRightInd w:val="0"/>
        <w:spacing w:line="360" w:lineRule="auto"/>
        <w:ind w:firstLine="560"/>
        <w:rPr>
          <w:rFonts w:hint="eastAsia" w:ascii="宋体" w:hAnsi="宋体" w:eastAsia="宋体" w:cs="宋体"/>
          <w:color w:val="000000"/>
          <w:sz w:val="21"/>
          <w:szCs w:val="21"/>
          <w:highlight w:val="none"/>
        </w:rPr>
      </w:pPr>
      <w:r>
        <w:rPr>
          <w:rFonts w:hint="eastAsia" w:ascii="宋体" w:hAnsi="宋体" w:eastAsia="宋体" w:cs="宋体"/>
          <w:color w:val="000000"/>
          <w:kern w:val="2"/>
          <w:sz w:val="21"/>
          <w:szCs w:val="21"/>
          <w:highlight w:val="none"/>
          <w:lang w:val="en-US" w:eastAsia="zh-CN" w:bidi="ar-SA"/>
        </w:rPr>
        <w:t>8、交付（</w:t>
      </w:r>
      <w:r>
        <w:rPr>
          <w:rFonts w:hint="eastAsia" w:ascii="宋体" w:hAnsi="宋体" w:eastAsia="宋体" w:cs="宋体"/>
          <w:color w:val="000000"/>
          <w:sz w:val="21"/>
          <w:szCs w:val="21"/>
          <w:highlight w:val="none"/>
        </w:rPr>
        <w:t>服务、施工）地点：以业主需求为准；</w:t>
      </w:r>
    </w:p>
    <w:p>
      <w:pPr>
        <w:autoSpaceDE w:val="0"/>
        <w:autoSpaceDN w:val="0"/>
        <w:adjustRightInd w:val="0"/>
        <w:spacing w:line="360" w:lineRule="auto"/>
        <w:ind w:firstLine="56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、标段划分：本项目共划分为四个标段；</w:t>
      </w:r>
    </w:p>
    <w:p>
      <w:pPr>
        <w:pStyle w:val="2"/>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二、需要落实的政府采购政策</w:t>
      </w:r>
    </w:p>
    <w:p>
      <w:pPr>
        <w:tabs>
          <w:tab w:val="left" w:pos="7095"/>
        </w:tabs>
        <w:spacing w:line="384" w:lineRule="auto"/>
        <w:ind w:firstLine="420" w:firstLineChars="200"/>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本项目落实节约能源、保护环境、扶持不发达地区和少数民族地区、促进中小企业、监狱企业发展等政府采购政策。（本项目第一、三标段专门面向中小企业采购</w:t>
      </w:r>
      <w:r>
        <w:rPr>
          <w:rFonts w:hint="eastAsia" w:ascii="宋体" w:hAnsi="宋体" w:eastAsia="宋体" w:cs="宋体"/>
          <w:color w:val="000000"/>
          <w:sz w:val="21"/>
          <w:szCs w:val="21"/>
          <w:highlight w:val="none"/>
          <w:lang w:eastAsia="zh-CN"/>
        </w:rPr>
        <w:t>，二、四标段不</w:t>
      </w:r>
      <w:r>
        <w:rPr>
          <w:rFonts w:hint="eastAsia" w:ascii="宋体" w:hAnsi="宋体" w:eastAsia="宋体" w:cs="宋体"/>
          <w:color w:val="000000"/>
          <w:sz w:val="21"/>
          <w:szCs w:val="21"/>
          <w:highlight w:val="none"/>
        </w:rPr>
        <w:t>专门面向中小企业采购。）</w:t>
      </w:r>
    </w:p>
    <w:p>
      <w:pPr>
        <w:autoSpaceDE w:val="0"/>
        <w:autoSpaceDN w:val="0"/>
        <w:adjustRightInd w:val="0"/>
        <w:spacing w:line="360"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三、供应商资格要求：</w:t>
      </w:r>
    </w:p>
    <w:p>
      <w:pPr>
        <w:widowControl/>
        <w:shd w:val="clear" w:color="auto" w:fill="FFFFFF"/>
        <w:tabs>
          <w:tab w:val="left" w:pos="5113"/>
        </w:tabs>
        <w:spacing w:line="360" w:lineRule="auto"/>
        <w:ind w:firstLine="422" w:firstLineChars="200"/>
        <w:rPr>
          <w:rFonts w:hint="eastAsia" w:ascii="宋体" w:hAnsi="宋体" w:eastAsia="宋体" w:cs="宋体"/>
          <w:color w:val="000000"/>
          <w:sz w:val="21"/>
          <w:szCs w:val="21"/>
          <w:highlight w:val="none"/>
          <w:lang w:eastAsia="zh-CN"/>
        </w:rPr>
      </w:pPr>
      <w:r>
        <w:rPr>
          <w:rFonts w:hint="eastAsia" w:ascii="宋体" w:hAnsi="宋体" w:eastAsia="宋体" w:cs="宋体"/>
          <w:b/>
          <w:bCs/>
          <w:color w:val="000000"/>
          <w:sz w:val="21"/>
          <w:szCs w:val="21"/>
          <w:highlight w:val="none"/>
        </w:rPr>
        <w:t>第一标段资格要求</w:t>
      </w:r>
      <w:r>
        <w:rPr>
          <w:rFonts w:hint="eastAsia" w:ascii="宋体" w:hAnsi="宋体" w:eastAsia="宋体" w:cs="宋体"/>
          <w:b/>
          <w:bCs/>
          <w:color w:val="000000"/>
          <w:sz w:val="21"/>
          <w:szCs w:val="21"/>
          <w:highlight w:val="none"/>
          <w:lang w:eastAsia="zh-CN"/>
        </w:rPr>
        <w:t>：</w:t>
      </w:r>
    </w:p>
    <w:p>
      <w:pPr>
        <w:widowControl/>
        <w:shd w:val="clear" w:color="auto" w:fill="FFFFFF"/>
        <w:tabs>
          <w:tab w:val="left" w:pos="5113"/>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1、满足《中华人民共和国政府采购法》第二十二条规定； </w:t>
      </w:r>
    </w:p>
    <w:p>
      <w:pPr>
        <w:widowControl/>
        <w:shd w:val="clear" w:color="auto" w:fill="FFFFFF"/>
        <w:tabs>
          <w:tab w:val="left" w:pos="5113"/>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投标商须具有建筑工程</w:t>
      </w:r>
      <w:r>
        <w:rPr>
          <w:rFonts w:hint="eastAsia" w:ascii="宋体" w:hAnsi="宋体" w:eastAsia="宋体" w:cs="宋体"/>
          <w:color w:val="000000"/>
          <w:sz w:val="21"/>
          <w:szCs w:val="21"/>
          <w:highlight w:val="none"/>
          <w:lang w:val="en-US" w:eastAsia="zh-CN"/>
        </w:rPr>
        <w:t>施工</w:t>
      </w:r>
      <w:r>
        <w:rPr>
          <w:rFonts w:hint="eastAsia" w:ascii="宋体" w:hAnsi="宋体" w:eastAsia="宋体" w:cs="宋体"/>
          <w:color w:val="000000"/>
          <w:sz w:val="21"/>
          <w:szCs w:val="21"/>
          <w:highlight w:val="none"/>
        </w:rPr>
        <w:t>总承包</w:t>
      </w:r>
      <w:r>
        <w:rPr>
          <w:rFonts w:hint="eastAsia" w:ascii="宋体" w:hAnsi="宋体" w:eastAsia="宋体" w:cs="宋体"/>
          <w:color w:val="000000"/>
          <w:sz w:val="21"/>
          <w:szCs w:val="21"/>
          <w:highlight w:val="none"/>
          <w:lang w:val="en-US" w:eastAsia="zh-CN"/>
        </w:rPr>
        <w:t>叁</w:t>
      </w:r>
      <w:r>
        <w:rPr>
          <w:rFonts w:hint="eastAsia" w:ascii="宋体" w:hAnsi="宋体" w:eastAsia="宋体" w:cs="宋体"/>
          <w:color w:val="000000"/>
          <w:sz w:val="21"/>
          <w:szCs w:val="21"/>
          <w:highlight w:val="none"/>
        </w:rPr>
        <w:t>级及以上资质；拟派项目经理须具有</w:t>
      </w:r>
      <w:r>
        <w:rPr>
          <w:rFonts w:hint="eastAsia" w:ascii="宋体" w:hAnsi="宋体" w:eastAsia="宋体" w:cs="宋体"/>
          <w:color w:val="000000"/>
          <w:sz w:val="21"/>
          <w:szCs w:val="21"/>
          <w:highlight w:val="none"/>
          <w:lang w:val="en-US" w:eastAsia="zh-CN"/>
        </w:rPr>
        <w:t>建筑工程</w:t>
      </w:r>
      <w:r>
        <w:rPr>
          <w:rFonts w:hint="eastAsia" w:ascii="宋体" w:hAnsi="宋体" w:eastAsia="宋体" w:cs="宋体"/>
          <w:color w:val="000000"/>
          <w:sz w:val="21"/>
          <w:szCs w:val="21"/>
          <w:highlight w:val="none"/>
        </w:rPr>
        <w:t>专业二级及以上建造师资格证</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并具有有效的B类《安全生产考核合格证书》，且未担任其他在施建设工程项目的项目经理；</w:t>
      </w:r>
    </w:p>
    <w:p>
      <w:pPr>
        <w:widowControl/>
        <w:shd w:val="clear" w:color="auto" w:fill="FFFFFF"/>
        <w:tabs>
          <w:tab w:val="left" w:pos="5113"/>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、被委托人须是本单位职工，须提供公司为本人缴纳的社会保险证明。</w:t>
      </w:r>
    </w:p>
    <w:p>
      <w:pPr>
        <w:widowControl/>
        <w:shd w:val="clear" w:color="auto" w:fill="FFFFFF"/>
        <w:tabs>
          <w:tab w:val="left" w:pos="5113"/>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、本次招标不接受联合体投标。</w:t>
      </w:r>
    </w:p>
    <w:p>
      <w:pPr>
        <w:pStyle w:val="2"/>
        <w:ind w:firstLine="422" w:firstLineChars="200"/>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rPr>
        <w:t>第</w:t>
      </w:r>
      <w:r>
        <w:rPr>
          <w:rFonts w:hint="eastAsia" w:ascii="宋体" w:hAnsi="宋体" w:eastAsia="宋体" w:cs="宋体"/>
          <w:b/>
          <w:bCs/>
          <w:color w:val="000000"/>
          <w:sz w:val="21"/>
          <w:szCs w:val="21"/>
          <w:highlight w:val="none"/>
          <w:lang w:eastAsia="zh-CN"/>
        </w:rPr>
        <w:t>二</w:t>
      </w:r>
      <w:r>
        <w:rPr>
          <w:rFonts w:hint="eastAsia" w:ascii="宋体" w:hAnsi="宋体" w:eastAsia="宋体" w:cs="宋体"/>
          <w:b/>
          <w:bCs/>
          <w:color w:val="000000"/>
          <w:sz w:val="21"/>
          <w:szCs w:val="21"/>
          <w:highlight w:val="none"/>
        </w:rPr>
        <w:t>、三、四标段资格要求</w:t>
      </w:r>
      <w:r>
        <w:rPr>
          <w:rFonts w:hint="eastAsia" w:ascii="宋体" w:hAnsi="宋体" w:eastAsia="宋体" w:cs="宋体"/>
          <w:b/>
          <w:bCs/>
          <w:color w:val="000000"/>
          <w:sz w:val="21"/>
          <w:szCs w:val="21"/>
          <w:highlight w:val="none"/>
          <w:lang w:eastAsia="zh-CN"/>
        </w:rPr>
        <w:t>：</w:t>
      </w:r>
    </w:p>
    <w:p>
      <w:pPr>
        <w:widowControl/>
        <w:shd w:val="clear" w:color="auto" w:fill="FFFFFF"/>
        <w:tabs>
          <w:tab w:val="left" w:pos="5113"/>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1、满足《中华人民共和国政府采购法》第二十二条规定； </w:t>
      </w:r>
    </w:p>
    <w:p>
      <w:pPr>
        <w:widowControl/>
        <w:shd w:val="clear" w:color="auto" w:fill="FFFFFF"/>
        <w:tabs>
          <w:tab w:val="left" w:pos="5113"/>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、被委托人须是本单位职工，须提供公司为本人缴纳的社会保险证明。</w:t>
      </w:r>
    </w:p>
    <w:p>
      <w:pPr>
        <w:widowControl/>
        <w:shd w:val="clear" w:color="auto" w:fill="FFFFFF"/>
        <w:tabs>
          <w:tab w:val="left" w:pos="5113"/>
        </w:tabs>
        <w:spacing w:line="360" w:lineRule="auto"/>
        <w:ind w:firstLine="420" w:firstLineChars="200"/>
        <w:rPr>
          <w:rFonts w:hint="eastAsia"/>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、本次招标不接受联合体投标。</w:t>
      </w:r>
    </w:p>
    <w:p>
      <w:pPr>
        <w:autoSpaceDE w:val="0"/>
        <w:autoSpaceDN w:val="0"/>
        <w:adjustRightInd w:val="0"/>
        <w:spacing w:line="360"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四、获取招标文件的方式</w:t>
      </w:r>
      <w:bookmarkStart w:id="18" w:name="_GoBack"/>
      <w:bookmarkEnd w:id="18"/>
    </w:p>
    <w:p>
      <w:pPr>
        <w:widowControl/>
        <w:shd w:val="clear" w:color="auto" w:fill="FFFFFF"/>
        <w:tabs>
          <w:tab w:val="left" w:pos="5113"/>
        </w:tabs>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1、持CA数字认证证书，登录《全国公共资源交易平台（河南省·许昌市）》“系统用户注册”入口</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"file:///C:\\Users\\ZB001\\AppData\\Roaming\\Microsoft\\Word\\（一）持CA数字认证证书，登录《全国公共资源交易平台（河南省·许昌市）》" </w:instrText>
      </w:r>
      <w:r>
        <w:rPr>
          <w:rFonts w:hint="eastAsia" w:ascii="宋体" w:hAnsi="宋体" w:eastAsia="宋体" w:cs="宋体"/>
          <w:sz w:val="21"/>
          <w:szCs w:val="21"/>
          <w:highlight w:val="none"/>
        </w:rPr>
        <w:fldChar w:fldCharType="separate"/>
      </w:r>
      <w:r>
        <w:rPr>
          <w:rFonts w:hint="eastAsia" w:ascii="宋体" w:hAnsi="宋体" w:eastAsia="宋体" w:cs="宋体"/>
          <w:color w:val="000000"/>
          <w:sz w:val="21"/>
          <w:szCs w:val="21"/>
          <w:highlight w:val="none"/>
        </w:rPr>
        <w:t xml:space="preserve"> http://ggzy.xuchang.gov.cn/）</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进行免费注册登记（详见“常见问题解答-诚信库网上注册相关资料下载”）；</w:t>
      </w:r>
    </w:p>
    <w:p>
      <w:pPr>
        <w:autoSpaceDE w:val="0"/>
        <w:autoSpaceDN w:val="0"/>
        <w:adjustRightIn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2、在招标响应截止时间前均可登录《全国公共资源交易平台（河南省·许昌市）》“投标人/供应商登录”入口（http://ggzy.xuchang.gov.cn:8088/ggzy/）自行下载招标文件（详见“常见问题解答-交易系统操作手册”）。</w:t>
      </w:r>
    </w:p>
    <w:p>
      <w:pPr>
        <w:autoSpaceDE w:val="0"/>
        <w:autoSpaceDN w:val="0"/>
        <w:adjustRightInd w:val="0"/>
        <w:spacing w:line="360"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五、投标文件提交截止时间及开标时间</w:t>
      </w:r>
    </w:p>
    <w:p>
      <w:pPr>
        <w:autoSpaceDE w:val="0"/>
        <w:autoSpaceDN w:val="0"/>
        <w:adjustRightInd w:val="0"/>
        <w:spacing w:line="360" w:lineRule="auto"/>
        <w:ind w:firstLine="56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sz w:val="21"/>
          <w:szCs w:val="21"/>
          <w:highlight w:val="none"/>
        </w:rPr>
        <w:t>1、投标文件提交截止时间及开标时间</w:t>
      </w:r>
      <w:r>
        <w:rPr>
          <w:rFonts w:hint="eastAsia" w:ascii="宋体" w:hAnsi="宋体" w:eastAsia="宋体" w:cs="宋体"/>
          <w:color w:val="000000" w:themeColor="text1"/>
          <w:sz w:val="21"/>
          <w:szCs w:val="21"/>
          <w:highlight w:val="none"/>
          <w14:textFill>
            <w14:solidFill>
              <w14:schemeClr w14:val="tx1"/>
            </w14:solidFill>
          </w14:textFill>
        </w:rPr>
        <w:t>：2023年</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日上午08时30分（北京时间），逾期送达或不符合规定的投标文件不予接受。</w:t>
      </w:r>
    </w:p>
    <w:p>
      <w:pPr>
        <w:pStyle w:val="2"/>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2、投标文件开启时间：同投标文件提交截止时间。</w:t>
      </w:r>
    </w:p>
    <w:p>
      <w:pPr>
        <w:widowControl/>
        <w:shd w:val="clear" w:color="auto" w:fill="FFFFFF"/>
        <w:spacing w:line="360" w:lineRule="auto"/>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六、投标响应文件开启</w:t>
      </w:r>
    </w:p>
    <w:p>
      <w:pPr>
        <w:widowControl/>
        <w:shd w:val="clear" w:color="auto" w:fill="FFFFFF"/>
        <w:spacing w:line="360" w:lineRule="auto"/>
        <w:ind w:firstLine="420"/>
        <w:contextualSpacing/>
        <w:jc w:val="left"/>
        <w:rPr>
          <w:rFonts w:hint="eastAsia" w:ascii="宋体" w:hAnsi="宋体" w:eastAsia="宋体" w:cs="宋体"/>
          <w:color w:val="000000"/>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（一）投标文件开启地点：禹州市公共资源交易中心九楼开标</w:t>
      </w:r>
      <w:r>
        <w:rPr>
          <w:rFonts w:hint="eastAsia" w:ascii="宋体" w:hAnsi="宋体" w:eastAsia="宋体" w:cs="宋体"/>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color w:val="000000" w:themeColor="text1"/>
          <w:sz w:val="21"/>
          <w:szCs w:val="21"/>
          <w:highlight w:val="none"/>
          <w14:textFill>
            <w14:solidFill>
              <w14:schemeClr w14:val="tx1"/>
            </w14:solidFill>
          </w14:textFill>
        </w:rPr>
        <w:t>室。（本项目采用远</w:t>
      </w:r>
      <w:r>
        <w:rPr>
          <w:rFonts w:hint="eastAsia" w:ascii="宋体" w:hAnsi="宋体" w:eastAsia="宋体" w:cs="宋体"/>
          <w:color w:val="000000"/>
          <w:sz w:val="21"/>
          <w:szCs w:val="21"/>
          <w:highlight w:val="none"/>
        </w:rPr>
        <w:t>程不见面开标，供应商无须到达现场）。</w:t>
      </w:r>
    </w:p>
    <w:p>
      <w:pPr>
        <w:widowControl/>
        <w:shd w:val="clear" w:color="auto" w:fill="FFFFFF"/>
        <w:spacing w:line="360" w:lineRule="auto"/>
        <w:ind w:firstLine="420"/>
        <w:contextualSpacing/>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（二）本项目为全流程电子化交易项目，供应商须提交电子投标文件。</w:t>
      </w:r>
    </w:p>
    <w:p>
      <w:pPr>
        <w:widowControl/>
        <w:shd w:val="clear" w:color="auto" w:fill="FFFFFF"/>
        <w:spacing w:line="360" w:lineRule="auto"/>
        <w:ind w:firstLine="420"/>
        <w:contextualSpacing/>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1、加密电子投标文件（.file格式）须在投标文件提交截止时间（投标截止时间）前通过《全国公共资源交易平台(河南省▪许昌市)》公共资源交易系统成功上传。</w:t>
      </w:r>
    </w:p>
    <w:p>
      <w:pPr>
        <w:widowControl/>
        <w:shd w:val="clear" w:color="auto" w:fill="FFFFFF"/>
        <w:spacing w:line="360" w:lineRule="auto"/>
        <w:ind w:firstLine="420"/>
        <w:contextualSpacing/>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autoSpaceDE w:val="0"/>
        <w:autoSpaceDN w:val="0"/>
        <w:adjustRightInd w:val="0"/>
        <w:spacing w:line="360" w:lineRule="auto"/>
        <w:ind w:left="482" w:hanging="420" w:hanging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3、不见面开标大厅登录：供应商使用CA数字证书登录全国公共资源交易平台（河南省·许昌市）——进入公共资源交易系统</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"file:///C:\\Users\\ZB001\\AppData\\Roaming\\Microsoft\\Word\\（一）持CA数字认证证书，登录《全国公共资源交易平台（河南省·许昌市）》" </w:instrText>
      </w:r>
      <w:r>
        <w:rPr>
          <w:rFonts w:hint="eastAsia" w:ascii="宋体" w:hAnsi="宋体" w:eastAsia="宋体" w:cs="宋体"/>
          <w:sz w:val="21"/>
          <w:szCs w:val="21"/>
          <w:highlight w:val="none"/>
        </w:rPr>
        <w:fldChar w:fldCharType="separate"/>
      </w:r>
      <w:r>
        <w:rPr>
          <w:rFonts w:hint="eastAsia" w:ascii="宋体" w:hAnsi="宋体" w:eastAsia="宋体" w:cs="宋体"/>
          <w:color w:val="000000"/>
          <w:sz w:val="21"/>
          <w:szCs w:val="21"/>
          <w:highlight w:val="none"/>
        </w:rPr>
        <w:t>（http://ggzy.xuchang.gov.cn:8088/ggzy/）</w:t>
      </w:r>
      <w:r>
        <w:rPr>
          <w:rFonts w:hint="eastAsia" w:ascii="宋体" w:hAnsi="宋体" w:eastAsia="宋体" w:cs="宋体"/>
          <w:color w:val="000000"/>
          <w:sz w:val="21"/>
          <w:szCs w:val="21"/>
          <w:highlight w:val="none"/>
        </w:rPr>
        <w:fldChar w:fldCharType="end"/>
      </w:r>
      <w:r>
        <w:rPr>
          <w:rFonts w:hint="eastAsia" w:ascii="宋体" w:hAnsi="宋体" w:eastAsia="宋体" w:cs="宋体"/>
          <w:color w:val="000000"/>
          <w:sz w:val="21"/>
          <w:szCs w:val="21"/>
          <w:highlight w:val="none"/>
        </w:rPr>
        <w:t>——点击“项目信息——项目名称”——在系统操作导航栏点击“开标——不见面开标大厅”。</w:t>
      </w:r>
    </w:p>
    <w:p>
      <w:pPr>
        <w:autoSpaceDE w:val="0"/>
        <w:autoSpaceDN w:val="0"/>
        <w:adjustRightInd w:val="0"/>
        <w:spacing w:line="360" w:lineRule="auto"/>
        <w:ind w:left="482" w:hanging="422" w:hanging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七、本次招标公告同时在《河南省政府采购网》《许昌市政府采购网》《全国公共资源交易平台（河南省•许昌市）》发布等。</w:t>
      </w:r>
    </w:p>
    <w:p>
      <w:pPr>
        <w:pStyle w:val="2"/>
        <w:spacing w:line="360"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八、公告期限</w:t>
      </w:r>
    </w:p>
    <w:p>
      <w:pPr>
        <w:pStyle w:val="2"/>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本招标公告自发布之日起公告期限为5个工作日。</w:t>
      </w:r>
    </w:p>
    <w:p>
      <w:pPr>
        <w:pStyle w:val="2"/>
        <w:spacing w:line="360" w:lineRule="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九、代理机构及采购单位地址、联系人、联系电话</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招 标 人：禹州市市场监督管理局          </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地    址：禹州市行政南路70号 </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 系 人：李先生   联系方式：13937460878</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招标代理机构：建基工程咨询有限公司</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 系 人：刘女士   联系电话：15303996356</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    址：河南省郑州市管城回族区正商向阳广场a座1401</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监督单位：禹州市政府采购监督管理办公室</w:t>
      </w:r>
    </w:p>
    <w:p>
      <w:pPr>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监督电话：0374-8112523</w:t>
      </w:r>
    </w:p>
    <w:p>
      <w:pPr>
        <w:spacing w:line="360" w:lineRule="auto"/>
        <w:ind w:firstLine="3570" w:firstLineChars="1700"/>
        <w:rPr>
          <w:rFonts w:hint="eastAsia" w:ascii="宋体" w:hAnsi="宋体" w:eastAsia="宋体" w:cs="宋体"/>
          <w:color w:val="000000"/>
          <w:sz w:val="21"/>
          <w:szCs w:val="21"/>
          <w:highlight w:val="none"/>
        </w:rPr>
      </w:pPr>
    </w:p>
    <w:p>
      <w:pPr>
        <w:spacing w:line="360" w:lineRule="auto"/>
        <w:ind w:firstLine="3570" w:firstLineChars="1700"/>
        <w:rPr>
          <w:rFonts w:hint="eastAsia" w:ascii="宋体" w:hAnsi="宋体" w:eastAsia="宋体" w:cs="宋体"/>
          <w:color w:val="000000"/>
          <w:sz w:val="21"/>
          <w:szCs w:val="21"/>
          <w:highlight w:val="none"/>
        </w:rPr>
      </w:pPr>
    </w:p>
    <w:p>
      <w:pPr>
        <w:spacing w:line="360" w:lineRule="auto"/>
        <w:ind w:firstLine="3570" w:firstLineChars="1700"/>
        <w:rPr>
          <w:rFonts w:hint="eastAsia" w:ascii="宋体" w:hAnsi="宋体" w:eastAsia="宋体" w:cs="宋体"/>
          <w:color w:val="000000"/>
          <w:sz w:val="21"/>
          <w:szCs w:val="21"/>
          <w:highlight w:val="none"/>
        </w:rPr>
      </w:pPr>
    </w:p>
    <w:p>
      <w:pPr>
        <w:spacing w:line="360" w:lineRule="auto"/>
        <w:ind w:firstLine="3570" w:firstLineChars="1700"/>
        <w:rPr>
          <w:rFonts w:hint="eastAsia" w:ascii="宋体" w:hAnsi="宋体" w:eastAsia="宋体" w:cs="宋体"/>
          <w:color w:val="000000"/>
          <w:sz w:val="21"/>
          <w:szCs w:val="21"/>
          <w:highlight w:val="none"/>
        </w:rPr>
      </w:pPr>
    </w:p>
    <w:p>
      <w:pPr>
        <w:spacing w:line="360" w:lineRule="auto"/>
        <w:ind w:firstLine="3570" w:firstLineChars="1700"/>
        <w:rPr>
          <w:rFonts w:hint="eastAsia" w:ascii="宋体" w:hAnsi="宋体" w:eastAsia="宋体" w:cs="宋体"/>
          <w:color w:val="000000"/>
          <w:sz w:val="21"/>
          <w:szCs w:val="21"/>
          <w:highlight w:val="none"/>
        </w:rPr>
      </w:pPr>
    </w:p>
    <w:p>
      <w:pPr>
        <w:spacing w:line="360" w:lineRule="auto"/>
        <w:ind w:firstLine="3570" w:firstLineChars="1700"/>
        <w:rPr>
          <w:rFonts w:hint="eastAsia" w:ascii="宋体" w:hAnsi="宋体" w:eastAsia="宋体" w:cs="宋体"/>
          <w:color w:val="000000"/>
          <w:sz w:val="21"/>
          <w:szCs w:val="21"/>
          <w:highlight w:val="none"/>
        </w:rPr>
      </w:pPr>
    </w:p>
    <w:p>
      <w:pPr>
        <w:spacing w:line="360" w:lineRule="auto"/>
        <w:ind w:firstLine="3570" w:firstLineChars="17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p>
    <w:bookmarkEnd w:id="1"/>
    <w:bookmarkEnd w:id="2"/>
    <w:p>
      <w:p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温馨提示：</w:t>
      </w:r>
    </w:p>
    <w:p>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本项目为全流程电子化交易项目，请认真阅读招标文件，并注意以下事项。</w:t>
      </w:r>
    </w:p>
    <w:p>
      <w:pPr>
        <w:tabs>
          <w:tab w:val="left" w:pos="7095"/>
        </w:tabs>
        <w:spacing w:line="360" w:lineRule="auto"/>
        <w:ind w:firstLine="422" w:firstLineChars="200"/>
        <w:contextualSpacing/>
        <w:rPr>
          <w:rFonts w:hint="eastAsia" w:ascii="宋体" w:hAnsi="宋体" w:eastAsia="宋体" w:cs="宋体"/>
          <w:b/>
          <w:bCs/>
          <w:sz w:val="21"/>
          <w:szCs w:val="21"/>
          <w:highlight w:val="none"/>
        </w:rPr>
      </w:pPr>
      <w:r>
        <w:rPr>
          <w:rFonts w:hint="eastAsia" w:ascii="宋体" w:hAnsi="宋体" w:eastAsia="宋体" w:cs="宋体"/>
          <w:b/>
          <w:sz w:val="21"/>
          <w:szCs w:val="21"/>
          <w:highlight w:val="none"/>
        </w:rPr>
        <w:t>1.</w:t>
      </w:r>
      <w:r>
        <w:rPr>
          <w:rFonts w:hint="eastAsia" w:ascii="宋体" w:hAnsi="宋体" w:eastAsia="宋体" w:cs="宋体"/>
          <w:sz w:val="21"/>
          <w:szCs w:val="21"/>
          <w:highlight w:val="none"/>
        </w:rPr>
        <w:t xml:space="preserve"> </w:t>
      </w:r>
      <w:r>
        <w:rPr>
          <w:rFonts w:hint="eastAsia" w:ascii="宋体" w:hAnsi="宋体" w:eastAsia="宋体" w:cs="宋体"/>
          <w:b/>
          <w:bCs/>
          <w:sz w:val="21"/>
          <w:szCs w:val="21"/>
          <w:highlight w:val="none"/>
        </w:rPr>
        <w:t>供应商参加本项目投标，需提前自行联系CA服务机构办理数字认证证书并进行电子签章。</w:t>
      </w:r>
    </w:p>
    <w:p>
      <w:pPr>
        <w:tabs>
          <w:tab w:val="left" w:pos="6228"/>
        </w:tabs>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2.</w:t>
      </w:r>
      <w:r>
        <w:rPr>
          <w:rFonts w:hint="eastAsia" w:ascii="宋体" w:hAnsi="宋体" w:eastAsia="宋体" w:cs="宋体"/>
          <w:sz w:val="21"/>
          <w:szCs w:val="21"/>
          <w:highlight w:val="none"/>
        </w:rPr>
        <w:t xml:space="preserve"> </w:t>
      </w:r>
      <w:r>
        <w:rPr>
          <w:rFonts w:hint="eastAsia" w:ascii="宋体" w:hAnsi="宋体" w:eastAsia="宋体" w:cs="宋体"/>
          <w:b/>
          <w:sz w:val="21"/>
          <w:szCs w:val="21"/>
          <w:highlight w:val="none"/>
        </w:rPr>
        <w:t>招标文件下载、投标文件制作、提交、远程不见面开标（电子投标文件的解密）环节，投标人须使用同一个CA数字证书（证书须在有效期内并可正常使用）。</w:t>
      </w:r>
    </w:p>
    <w:p>
      <w:pPr>
        <w:tabs>
          <w:tab w:val="left" w:pos="7095"/>
        </w:tabs>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3.电子投标文件的制作</w:t>
      </w:r>
    </w:p>
    <w:p>
      <w:pPr>
        <w:tabs>
          <w:tab w:val="left" w:pos="7095"/>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 投标人登录《全国公共资源交易平台(河南省▪许昌市)》公共资源交易系统（http://ggzy.xuchang.gov.cn:8088/ggzy/）下载“许昌投标文件制作系统SEARUN 最新版本”，按招标文件要求制作电子投标文件。</w:t>
      </w:r>
    </w:p>
    <w:p>
      <w:pPr>
        <w:tabs>
          <w:tab w:val="left" w:pos="7095"/>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 投标人对同一项目多个标段进行投标的，应分别下载所投标段的招标文件，按标段制作投标文件。一个标段对应生成一个文件夹（xxxx项目xx标段）,其中后缀名为“.file”的文件用于投标。</w:t>
      </w:r>
    </w:p>
    <w:p>
      <w:pPr>
        <w:tabs>
          <w:tab w:val="left" w:pos="7095"/>
        </w:tabs>
        <w:spacing w:line="360" w:lineRule="auto"/>
        <w:ind w:firstLine="211" w:firstLineChars="100"/>
        <w:rPr>
          <w:rFonts w:hint="eastAsia" w:ascii="宋体" w:hAnsi="宋体" w:eastAsia="宋体" w:cs="宋体"/>
          <w:b/>
          <w:sz w:val="21"/>
          <w:szCs w:val="21"/>
          <w:highlight w:val="none"/>
        </w:rPr>
      </w:pPr>
      <w:r>
        <w:rPr>
          <w:rFonts w:hint="eastAsia" w:ascii="宋体" w:hAnsi="宋体" w:eastAsia="宋体" w:cs="宋体"/>
          <w:b/>
          <w:sz w:val="21"/>
          <w:szCs w:val="21"/>
          <w:highlight w:val="none"/>
        </w:rPr>
        <w:t>4.加密电子投标文件的提交</w:t>
      </w:r>
    </w:p>
    <w:p>
      <w:pPr>
        <w:tabs>
          <w:tab w:val="left" w:pos="7095"/>
        </w:tabs>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4.1投标人对同一项目多个标段进行投标的，加密电子投标文件应按标段分别提交。</w:t>
      </w:r>
    </w:p>
    <w:p>
      <w:pPr>
        <w:tabs>
          <w:tab w:val="left" w:pos="7095"/>
        </w:tabs>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4.2加密电子投标文件成功提交后，《全国公共资源交易平台(河南省▪许昌市)》公共资源交易系统（http://ggzy.xuchang.gov.cn:8088/ggzy/）生成“投标文件提交回执单”。</w:t>
      </w:r>
    </w:p>
    <w:p>
      <w:pPr>
        <w:tabs>
          <w:tab w:val="left" w:pos="7095"/>
        </w:tabs>
        <w:spacing w:line="360" w:lineRule="auto"/>
        <w:ind w:firstLine="211" w:firstLineChars="100"/>
        <w:rPr>
          <w:rFonts w:hint="eastAsia" w:ascii="宋体" w:hAnsi="宋体" w:eastAsia="宋体" w:cs="宋体"/>
          <w:b/>
          <w:sz w:val="21"/>
          <w:szCs w:val="21"/>
          <w:highlight w:val="none"/>
        </w:rPr>
      </w:pPr>
      <w:r>
        <w:rPr>
          <w:rFonts w:hint="eastAsia" w:ascii="宋体" w:hAnsi="宋体" w:eastAsia="宋体" w:cs="宋体"/>
          <w:b/>
          <w:sz w:val="21"/>
          <w:szCs w:val="21"/>
          <w:highlight w:val="none"/>
        </w:rPr>
        <w:t>5.远程不见面开标（电子投标文件的解密）</w:t>
      </w:r>
    </w:p>
    <w:p>
      <w:pPr>
        <w:tabs>
          <w:tab w:val="left" w:pos="6445"/>
        </w:tabs>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5.1本项目采用远程“不见面”开标方式，投标前请详细阅读全国公共资源交易平台（河南省·许昌市）首页“资料下载”栏目的《许昌市不见面操作手册（代理机构/投标人）》。</w:t>
      </w:r>
    </w:p>
    <w:p>
      <w:pPr>
        <w:tabs>
          <w:tab w:val="left" w:pos="7095"/>
        </w:tabs>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5.2 投标人提前设置不见面开标浏览器，并于开标时间前登录本项目不见面开标大厅，按照规定的开标时间准时参加网上开标。</w:t>
      </w:r>
    </w:p>
    <w:p>
      <w:pPr>
        <w:tabs>
          <w:tab w:val="left" w:pos="7095"/>
        </w:tabs>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5.3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tabs>
          <w:tab w:val="left" w:pos="7095"/>
        </w:tabs>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5.4开标活动结束时，投标人应在《开标记录表》上进行电子签章。投标人未签章的，视同认可开标结果。</w:t>
      </w:r>
    </w:p>
    <w:p>
      <w:pPr>
        <w:tabs>
          <w:tab w:val="left" w:pos="7095"/>
        </w:tabs>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5.5投标人对开标过程和开标记录如有疑义，可在本项目不见面开标大厅“文字互动”对话框或“新增质疑”处在线提出询问。</w:t>
      </w:r>
    </w:p>
    <w:p>
      <w:pPr>
        <w:tabs>
          <w:tab w:val="left" w:pos="7095"/>
        </w:tabs>
        <w:spacing w:line="360" w:lineRule="auto"/>
        <w:ind w:firstLine="211" w:firstLineChars="100"/>
        <w:rPr>
          <w:rFonts w:hint="eastAsia" w:ascii="宋体" w:hAnsi="宋体" w:eastAsia="宋体" w:cs="宋体"/>
          <w:b/>
          <w:sz w:val="21"/>
          <w:szCs w:val="21"/>
          <w:highlight w:val="none"/>
        </w:rPr>
      </w:pPr>
      <w:r>
        <w:rPr>
          <w:rFonts w:hint="eastAsia" w:ascii="宋体" w:hAnsi="宋体" w:eastAsia="宋体" w:cs="宋体"/>
          <w:b/>
          <w:sz w:val="21"/>
          <w:szCs w:val="21"/>
          <w:highlight w:val="none"/>
        </w:rPr>
        <w:t>6.评标依据</w:t>
      </w:r>
    </w:p>
    <w:bookmarkEnd w:id="3"/>
    <w:bookmarkEnd w:id="4"/>
    <w:bookmarkEnd w:id="5"/>
    <w:p>
      <w:pPr>
        <w:pStyle w:val="2"/>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6.1全流程电子化交易（不见面开标）项目，评标委员会以成功上传、解密的电子投标文件为依据评审。</w:t>
      </w:r>
    </w:p>
    <w:p>
      <w:pPr>
        <w:pStyle w:val="2"/>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6.2评标期间，投标人应保持通讯手机畅通。评标委员会如要求投标人作出澄清、说明或者补正等，投标人应在评标委员会要求的评标期间合理的时间内通过电子邮件形式提供。</w:t>
      </w:r>
    </w:p>
    <w:p>
      <w:pPr>
        <w:pStyle w:val="2"/>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6.3投标人通过电子邮件提供的书面说明或相关证明材料应加盖公章，或者由法定代表人或其授权的代表签字。</w:t>
      </w:r>
    </w:p>
    <w:p>
      <w:pPr>
        <w:pStyle w:val="24"/>
        <w:rPr>
          <w:rFonts w:hint="eastAsia" w:ascii="宋体" w:hAnsi="宋体" w:eastAsia="宋体" w:cs="宋体"/>
          <w:bCs/>
          <w:sz w:val="21"/>
          <w:szCs w:val="21"/>
          <w:highlight w:val="none"/>
        </w:rPr>
      </w:pPr>
    </w:p>
    <w:p>
      <w:pPr>
        <w:pStyle w:val="25"/>
        <w:rPr>
          <w:rFonts w:hint="eastAsia" w:ascii="宋体" w:hAnsi="宋体" w:eastAsia="宋体" w:cs="宋体"/>
          <w:bCs/>
          <w:sz w:val="21"/>
          <w:szCs w:val="21"/>
          <w:highlight w:val="none"/>
        </w:rPr>
      </w:pPr>
    </w:p>
    <w:p>
      <w:pPr>
        <w:pStyle w:val="26"/>
        <w:rPr>
          <w:rFonts w:hint="eastAsia" w:ascii="宋体" w:hAnsi="宋体" w:eastAsia="宋体" w:cs="宋体"/>
          <w:bCs/>
          <w:sz w:val="21"/>
          <w:szCs w:val="21"/>
          <w:highlight w:val="none"/>
        </w:rPr>
      </w:pPr>
    </w:p>
    <w:p>
      <w:pPr>
        <w:pStyle w:val="27"/>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pStyle w:val="24"/>
        <w:rPr>
          <w:rFonts w:hint="eastAsia" w:ascii="宋体" w:hAnsi="宋体" w:eastAsia="宋体" w:cs="宋体"/>
          <w:bCs/>
          <w:sz w:val="21"/>
          <w:szCs w:val="21"/>
          <w:highlight w:val="none"/>
        </w:rPr>
      </w:pPr>
    </w:p>
    <w:p>
      <w:pPr>
        <w:pStyle w:val="25"/>
        <w:rPr>
          <w:rFonts w:hint="eastAsia" w:ascii="宋体" w:hAnsi="宋体" w:eastAsia="宋体" w:cs="宋体"/>
          <w:bCs/>
          <w:sz w:val="21"/>
          <w:szCs w:val="21"/>
          <w:highlight w:val="none"/>
        </w:rPr>
      </w:pPr>
    </w:p>
    <w:p>
      <w:pPr>
        <w:pStyle w:val="26"/>
        <w:rPr>
          <w:rFonts w:hint="eastAsia" w:ascii="宋体" w:hAnsi="宋体" w:eastAsia="宋体" w:cs="宋体"/>
          <w:bCs/>
          <w:sz w:val="21"/>
          <w:szCs w:val="21"/>
          <w:highlight w:val="none"/>
        </w:rPr>
      </w:pPr>
    </w:p>
    <w:p>
      <w:pPr>
        <w:pStyle w:val="27"/>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pStyle w:val="24"/>
        <w:rPr>
          <w:rFonts w:hint="eastAsia" w:ascii="宋体" w:hAnsi="宋体" w:eastAsia="宋体" w:cs="宋体"/>
          <w:bCs/>
          <w:sz w:val="21"/>
          <w:szCs w:val="21"/>
          <w:highlight w:val="none"/>
        </w:rPr>
      </w:pPr>
    </w:p>
    <w:p>
      <w:pPr>
        <w:pStyle w:val="25"/>
        <w:rPr>
          <w:rFonts w:hint="eastAsia"/>
          <w:highlight w:val="none"/>
        </w:rPr>
      </w:pPr>
    </w:p>
    <w:bookmarkEnd w:id="6"/>
    <w:p>
      <w:pPr>
        <w:pStyle w:val="42"/>
        <w:rPr>
          <w:color w:val="auto"/>
          <w:highlight w:val="none"/>
        </w:rPr>
      </w:pPr>
    </w:p>
    <w:p>
      <w:pPr>
        <w:numPr>
          <w:ilvl w:val="0"/>
          <w:numId w:val="4"/>
        </w:numPr>
        <w:tabs>
          <w:tab w:val="left" w:pos="7095"/>
        </w:tabs>
        <w:spacing w:line="360" w:lineRule="auto"/>
        <w:ind w:firstLine="3213" w:firstLineChars="1000"/>
        <w:contextualSpacing/>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 xml:space="preserve"> 采购需求</w:t>
      </w:r>
    </w:p>
    <w:p>
      <w:pPr>
        <w:widowControl/>
        <w:shd w:val="clear" w:color="auto" w:fill="FFFFFF"/>
        <w:spacing w:line="580" w:lineRule="exact"/>
        <w:jc w:val="left"/>
        <w:rPr>
          <w:rFonts w:ascii="宋体" w:hAnsi="宋体" w:eastAsia="宋体" w:cs="黑体"/>
          <w:b/>
          <w:bCs/>
          <w:sz w:val="24"/>
          <w:szCs w:val="24"/>
          <w:highlight w:val="none"/>
          <w:shd w:val="clear" w:color="auto" w:fill="FFFFFF"/>
        </w:rPr>
      </w:pPr>
      <w:r>
        <w:rPr>
          <w:rFonts w:hint="eastAsia" w:ascii="宋体" w:hAnsi="宋体" w:eastAsia="宋体" w:cs="黑体"/>
          <w:b/>
          <w:bCs/>
          <w:sz w:val="24"/>
          <w:szCs w:val="24"/>
          <w:highlight w:val="none"/>
          <w:shd w:val="clear" w:color="auto" w:fill="FFFFFF"/>
        </w:rPr>
        <w:t>一、本项目需实现的功能或者目标：</w:t>
      </w:r>
    </w:p>
    <w:p>
      <w:pPr>
        <w:pStyle w:val="30"/>
        <w:spacing w:line="420" w:lineRule="exact"/>
        <w:ind w:firstLine="280" w:firstLineChars="117"/>
        <w:rPr>
          <w:rFonts w:hint="default" w:hAnsi="宋体"/>
          <w:sz w:val="24"/>
          <w:szCs w:val="24"/>
          <w:highlight w:val="none"/>
          <w:lang w:val="en-US" w:eastAsia="zh-CN"/>
        </w:rPr>
      </w:pPr>
      <w:r>
        <w:rPr>
          <w:rFonts w:hint="eastAsia" w:hAnsi="宋体"/>
          <w:sz w:val="24"/>
          <w:szCs w:val="24"/>
          <w:highlight w:val="none"/>
          <w:lang w:eastAsia="zh-CN"/>
        </w:rPr>
        <w:t>禹州市市场监督管理局知识产权快速维权中心建设项目，</w:t>
      </w:r>
      <w:r>
        <w:rPr>
          <w:rFonts w:hint="eastAsia" w:hAnsi="宋体"/>
          <w:sz w:val="24"/>
          <w:szCs w:val="24"/>
          <w:highlight w:val="none"/>
          <w:lang w:val="en-US" w:eastAsia="zh-CN"/>
        </w:rPr>
        <w:t>采购一批办公家具及办公设备。</w:t>
      </w:r>
    </w:p>
    <w:p>
      <w:pPr>
        <w:widowControl/>
        <w:shd w:val="clear" w:color="auto" w:fill="FFFFFF"/>
        <w:spacing w:line="580" w:lineRule="exact"/>
        <w:jc w:val="left"/>
        <w:rPr>
          <w:rFonts w:ascii="宋体" w:hAnsi="宋体" w:eastAsia="宋体" w:cs="黑体"/>
          <w:b/>
          <w:bCs/>
          <w:sz w:val="24"/>
          <w:szCs w:val="24"/>
          <w:highlight w:val="none"/>
          <w:shd w:val="clear" w:color="auto" w:fill="FFFFFF"/>
        </w:rPr>
      </w:pPr>
      <w:r>
        <w:rPr>
          <w:rFonts w:hint="eastAsia" w:ascii="宋体" w:hAnsi="宋体" w:eastAsia="宋体" w:cs="黑体"/>
          <w:b/>
          <w:bCs/>
          <w:sz w:val="24"/>
          <w:szCs w:val="24"/>
          <w:highlight w:val="none"/>
          <w:shd w:val="clear" w:color="auto" w:fill="FFFFFF"/>
        </w:rPr>
        <w:t>二、</w:t>
      </w:r>
      <w:r>
        <w:rPr>
          <w:rFonts w:hint="eastAsia" w:ascii="宋体" w:hAnsi="宋体" w:eastAsia="宋体" w:cs="黑体"/>
          <w:b/>
          <w:bCs/>
          <w:sz w:val="24"/>
          <w:szCs w:val="24"/>
          <w:highlight w:val="none"/>
          <w:shd w:val="clear" w:color="auto" w:fill="FFFFFF"/>
          <w:lang w:val="en-US" w:eastAsia="zh-CN"/>
        </w:rPr>
        <w:t>第三标段</w:t>
      </w:r>
      <w:r>
        <w:rPr>
          <w:rFonts w:hint="eastAsia" w:ascii="宋体" w:hAnsi="宋体" w:eastAsia="宋体" w:cs="黑体"/>
          <w:b/>
          <w:bCs/>
          <w:sz w:val="24"/>
          <w:szCs w:val="24"/>
          <w:highlight w:val="none"/>
          <w:shd w:val="clear" w:color="auto" w:fill="FFFFFF"/>
        </w:rPr>
        <w:t>采购清单：</w:t>
      </w:r>
    </w:p>
    <w:tbl>
      <w:tblPr>
        <w:tblStyle w:val="33"/>
        <w:tblW w:w="111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0"/>
        <w:gridCol w:w="1046"/>
        <w:gridCol w:w="7327"/>
        <w:gridCol w:w="709"/>
        <w:gridCol w:w="736"/>
        <w:gridCol w:w="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品类</w:t>
            </w:r>
          </w:p>
        </w:tc>
        <w:tc>
          <w:tcPr>
            <w:tcW w:w="7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参数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单位</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ascii="宋体" w:hAnsi="宋体"/>
                <w:highlight w:val="none"/>
              </w:rPr>
              <w:t>是否核心产品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93"/>
                <w:rFonts w:hint="eastAsia" w:ascii="宋体" w:hAnsi="宋体" w:eastAsia="宋体" w:cs="宋体"/>
                <w:sz w:val="21"/>
                <w:szCs w:val="21"/>
                <w:highlight w:val="none"/>
                <w:lang w:val="en-US" w:eastAsia="zh-CN" w:bidi="ar"/>
              </w:rPr>
              <w:t>会议桌</w:t>
            </w:r>
          </w:p>
        </w:tc>
        <w:tc>
          <w:tcPr>
            <w:tcW w:w="7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▲1、基材采用E1级中密度纤维板，符合GB/T 11718-2009及GB 18580-2017检验依据：含水率5%-7%，密度0.65-0.75g/cm³，板内密度差±1.5%，甲醛释放量＜0.037mg/m³；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▲2、胡桃木皮贴面,符合GB18580-2017及GB/T17657- 2013检验依据：采用1m3气候箱法甲醛释放限量＜0.016mg/m³，含水率12%-14%；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▲3、水性油漆饰面，符合符合GB18581-2020及GB/T23999-2009检验依据，VOC含量≤14g/L，甲醛含量 ≤10mg/kg，不挥发物≥48%，可溶性重金属含量（铅、镉、铬、汞）符合要求，检验合格，硬度(擦伤)≥2H，附着力(划格间距2mm)≤1级，耐干热性[(70±2)℃，15min] ≤2级；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4、粘胶剂选用白乳胶，符合GB18583-2008检验依据：苯含量低于检出限，未检出，游离甲醛＜0.051g/kg；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5、选用三合-扣件，符合GB/T 3324-2017及QB/T 3826-1999检验依据：五金件外观（金属合金件）应无锈蚀、氧化膜脱落、刃口、锐棱，表面细密，应无裂纹、毛刺、黑斑等，金属电镀层抗盐雾：喷雾周期: 18h，直径1.5mm以下锈点应不超过20点/dm2,其中直径1.0mm以上锈点不应超过5点/dm²( 距离边缘棱角2mm以内的不计)；</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尺寸：3000*1400*760 mm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张</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ascii="宋体" w:hAnsi="宋体"/>
                <w:highlight w:val="none"/>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93"/>
                <w:rFonts w:hint="eastAsia" w:ascii="宋体" w:hAnsi="宋体" w:eastAsia="宋体" w:cs="宋体"/>
                <w:sz w:val="21"/>
                <w:szCs w:val="21"/>
                <w:highlight w:val="none"/>
                <w:lang w:val="en-US" w:eastAsia="zh-CN" w:bidi="ar"/>
              </w:rPr>
              <w:t>办公桌</w:t>
            </w:r>
          </w:p>
        </w:tc>
        <w:tc>
          <w:tcPr>
            <w:tcW w:w="7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1、基材采用E1级中密度纤维板，符合GB/T 11718-2009及GB 18580-2017检验依据：含水率5%-7%，密度0.65-0.75g/cm³，板内密度差±1.5%，甲醛释放量＜0.037mg/m³；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2、胡桃木皮贴面,符合GB18580-2017及GB/T17657- 2013检验依据：采用1m3气候箱法甲醛释放限量＜0.016mg/m³，含水率12%-14%；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3、水性油漆饰面，符合符合GB18581-2020及GB/T23999-2009检验依据，VOC含量≤14g/L，甲醛含量 ≤10mg/kg，不挥发物≥48%，可溶性重金属含量（铅、镉、铬、汞）符合要求，检验合格，硬度(擦伤)≥2H，附着力(划格间距2mm)≤1级，耐干热性[(70±2)℃，15min] ≤2级；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▲4、粘胶剂选用白乳胶，符合GB18583-2008检验依据：苯含量低于检出限，未检出，游离甲醛＜0.051g/kg；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▲5、优质五金配件：锁具符合GB/T 3324-2017、QB/T 3832-1999、QB/T 3826-1999检验依据：五金件外观及抗盐雾性能未见缺陷，符合要求；缓冲门铰符合GB/T3325-2017及QB/T2189-2013检验依据，金属件外观（电镀层、喷涂层）表面未见缺陷，符合要求，金属喷塑图层理化性能硬度3H，附着力1级，耐冲击强度和耐腐蚀符合要求，金属电镀层抗盐雾能力符合要求；缓冲滑轨符合GB/T3325-2017及QB/T2454-2013检验依据，金属件外观（电镀层、喷涂层）未见缺陷，符合要求，金属喷塑图层理化性能硬度4H，附着力1级，冲击强度和耐腐蚀未见缺陷，金属电镀层抗盐雾未见缺陷，符合要求；</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尺寸：1600*800*760mm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张</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ascii="宋体" w:hAnsi="宋体"/>
                <w:highlight w:val="none"/>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审判台</w:t>
            </w:r>
          </w:p>
        </w:tc>
        <w:tc>
          <w:tcPr>
            <w:tcW w:w="7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1、基材采用E1级中密度纤维板，符合GB/T 11718-2009及GB 18580-2017检验依据：含水率5%-7%，密度0.65-0.75g/cm³，板内密度差±1.5%，甲醛释放量＜0.037mg/m³；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2、胡桃木皮贴面,符合GB18580-2017及GB/T17657- 2013检验依据：采用1m3气候箱法甲醛释放限量＜0.016mg/m³，含水率12%-14%；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3、水性油漆饰面，符合符合GB18581-2020及GB/T23999-2009检验依据，VOC含量≤14g/L，甲醛含量 ≤10mg/kg，不挥发物≥48%，可溶性重金属含量（铅、镉、铬、汞）符合要求，检验合格，硬度(擦伤)≥2H，附着力(划格间距2mm)≤1级，耐干热性[(70±2)℃，15min] ≤2级；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4、粘胶剂选用白乳胶，符合GB18583-2008检验依据：苯含量低于检出限，未检出，游离甲醛＜0.051g/kg；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▲5、选用三合-扣件，符合GB/T 3324-2017及QB/T 3826-1999检验依据：五金件外观（金属合金件）应无锈蚀、氧化膜脱落、刃口、锐棱，表面细密，应无裂纹、毛刺、黑斑等，金属电镀层抗盐雾：喷雾周期: 18h，直径1.5mm以下锈点应不超过20点/dm2,其中直径1.0mm以上锈点不应超过5点/dm²( 距离边缘棱角2mm以内的不计)；</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尺寸：2400*800*980mm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张</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ascii="宋体" w:hAnsi="宋体"/>
                <w:highlight w:val="none"/>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书记员台</w:t>
            </w:r>
          </w:p>
        </w:tc>
        <w:tc>
          <w:tcPr>
            <w:tcW w:w="7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1、基材采用E1级中密度纤维板，符合GB/T 11718-2009及GB 18580-2017检验依据：含水率5%-7%，密度0.65-0.75g/cm³，板内密度差±1.5%，甲醛释放量＜0.037mg/m³；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2、胡桃木皮贴面,符合GB18580-2017及GB/T17657- 2013检验依据：采用1m3气候箱法甲醛释放限量＜0.016mg/m³，含水率12%-14%；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3、水性油漆饰面，符合符合GB18581-2020及GB/T23999-2009检验依据，VOC含量≤14g/L，甲醛含量 ≤10mg/kg，不挥发物≥48%，可溶性重金属含量（铅、镉、铬、汞）符合要求，检验合格，硬度(擦伤)≥2H，附着力(划格间距2mm)≤1级，耐干热性[(70±2)℃，15min] ≤2级；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4、粘胶剂选用白乳胶，符合GB18583-2008检验依据：苯含量低于检出限，未检出，游离甲醛＜0.051g/kg；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5、选用三合-扣件，符合GB/T 3324-2017及QB/T 3826-1999检验依据：五金件外观（金属合金件）应无锈蚀、氧化膜脱落、刃口、锐棱，表面细密，应无裂纹、毛刺、黑斑等，金属电镀层抗盐雾：喷雾周期: 18h，直径1.5mm以下锈点应不超过20点/dm2,其中直径1.0mm以上锈点不应超过5点/dm²( 距离边缘棱角2mm以内的不计)；</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尺寸：1400*800*760mm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张</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ascii="宋体" w:hAnsi="宋体"/>
                <w:highlight w:val="none"/>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陪审台</w:t>
            </w:r>
          </w:p>
        </w:tc>
        <w:tc>
          <w:tcPr>
            <w:tcW w:w="7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1、基材采用E1级中密度纤维板，符合GB/T 11718-2009及GB 18580-2017检验依据：含水率5%-7%，密度0.65-0.75g/cm³，板内密度差±1.5%，甲醛释放量＜0.037mg/m³；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2、胡桃木皮贴面,符合GB18580-2017及GB/T17657- 2013检验依据：采用1m3气候箱法甲醛释放限量＜0.016mg/m³，含水率12%-14%；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3、水性油漆饰面，符合符合GB18581-2020及GB/T23999-2009检验依据，VOC含量≤14g/L，甲醛含量 ≤10mg/kg，不挥发物≥48%，可溶性重金属含量（铅、镉、铬、汞）符合要求，检验合格，硬度(擦伤)≥2H，附着力(划格间距2mm)≤1级，耐干热性[(70±2)℃，15min] ≤2级；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4、粘胶剂选用白乳胶，符合GB18583-2008检验依据：苯含量低于检出限，未检出，游离甲醛＜0.051g/kg；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5、选用三合-扣件，符合GB/T 3324-2017及QB/T 3826-1999检验依据：五金件外观（金属合金件）应无锈蚀、氧化膜脱落、刃口、锐棱，表面细密，应无裂纹、毛刺、黑斑等，金属电镀层抗盐雾：喷雾周期: 18h，直径1.5mm以下锈点应不超过20点/dm2,其中直径1.0mm以上锈点不应超过5点/dm²( 距离边缘棱角2mm以内的不计)；</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尺寸：1400*800*760mm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张</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ascii="宋体" w:hAnsi="宋体"/>
                <w:highlight w:val="none"/>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93"/>
                <w:rFonts w:hint="eastAsia" w:ascii="宋体" w:hAnsi="宋体" w:eastAsia="宋体" w:cs="宋体"/>
                <w:sz w:val="21"/>
                <w:szCs w:val="21"/>
                <w:highlight w:val="none"/>
                <w:lang w:val="en-US" w:eastAsia="zh-CN" w:bidi="ar"/>
              </w:rPr>
              <w:t>法官椅</w:t>
            </w:r>
          </w:p>
        </w:tc>
        <w:tc>
          <w:tcPr>
            <w:tcW w:w="7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▲1、采用优质头层牛皮为基材，符合GB/T 16799-2018及SZJG 52-2016 及GB/T 8948-2008 检验依据；（拉伸/撕裂/剥离）负荷、（摩擦色/耐折/表面颜色耐干湿）牢度、耐光性、六价铬、断裂伸长率符合要求，涂层粘着牢度≥9N/10mm，富马酸二甲酯禁用未检出，撕裂力≥39N，pH值≥4,气味2级、禁用偶氮染料含量、游离甲醛、可萃取的重金属符合检测要求，挥发性有机物（VOC)≤39mg/k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▲2、优质海绵，经过防潮防腐防虫处理,软硬适中，符合QB/T1952.1-2012和GB/T10802-2006检验依据，表观(体积)密度＞43kg/m³，回弹性能&gt;48%,75%压缩永久变形≤5.0%；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3、内衬优质曲木板,经防虫、脱脂处理，强度高、刚性好、不变形，符合GB/T3324-2008及GB18584-2001检验依据，含水率9.5%-10.3%，甲醛释放量＜0.52mg/L；</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4、框架采用实木制作，经防腐、防虫、脱脂处理，强度高不变形，水性油漆饰面，符合GB/T 1931-2009及GB 18584- 2001检验依据：木制件甲醛释放量≤0.12mg/L，木材含水率＜8.7%；</w:t>
            </w:r>
          </w:p>
          <w:p>
            <w:pPr>
              <w:keepNext w:val="0"/>
              <w:keepLines w:val="0"/>
              <w:widowControl/>
              <w:suppressLineNumbers w:val="0"/>
              <w:jc w:val="left"/>
              <w:textAlignment w:val="center"/>
              <w:rPr>
                <w:rFonts w:hint="eastAsia" w:ascii="宋体" w:hAnsi="宋体" w:eastAsia="宋体" w:cs="宋体"/>
                <w:b/>
                <w:bCs/>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尺寸：680*600*1700mm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把</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ascii="宋体" w:hAnsi="宋体"/>
                <w:highlight w:val="none"/>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93"/>
                <w:rFonts w:hint="eastAsia" w:ascii="宋体" w:hAnsi="宋体" w:eastAsia="宋体" w:cs="宋体"/>
                <w:sz w:val="21"/>
                <w:szCs w:val="21"/>
                <w:highlight w:val="none"/>
                <w:lang w:val="en-US" w:eastAsia="zh-CN" w:bidi="ar"/>
              </w:rPr>
              <w:t>办公椅</w:t>
            </w:r>
          </w:p>
        </w:tc>
        <w:tc>
          <w:tcPr>
            <w:tcW w:w="7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1、采用优质头层牛皮为基材，符合GB/T 16799-2018及SZJG 52-2016 及GB/T 8948-2008 检验依据；（拉伸/撕裂/剥离）负荷、（摩擦色/耐折/表面颜色耐干湿）牢度、耐光性、六价铬、断裂伸长率符合要求，涂层粘着牢度≥9N/10mm，富马酸二甲酯禁用未检出，撕裂力≥39N，pH值≥4,气味2级、禁用偶氮染料含量、游离甲醛、可萃取的重金属符合检测要求，挥发性有机物（VOC)≤39mg/k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2、优质海绵，经过防潮防腐防虫处理,软硬适中，符合QB/T1952.1-2012和GB/T10802-2006检验依据，表观(体积)密度＞43kg/m³，回弹性能&gt;48%,75%压缩永久变形≤5.0%；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3、内衬优质曲木板,经防虫、脱脂处理，强度高、刚性好、不变形，符合GB/T3324-2008及GB18584-2001检验依据，含水率9.5%-10.3%，甲醛释放量＜0.52mg/L；</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4、框架采用实木制作，经防腐、防虫、脱脂处理，强度高不变形，水性油漆饰面，符合GB/T 1931-2009及GB 18584- 2001检验依据：木制件甲醛释放量≤0.12mg/L，木材含水率＜8.7%；</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尺寸：550*530*1160mm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把</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ascii="宋体" w:hAnsi="宋体"/>
                <w:highlight w:val="none"/>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93"/>
                <w:rFonts w:hint="eastAsia" w:ascii="宋体" w:hAnsi="宋体" w:eastAsia="宋体" w:cs="宋体"/>
                <w:sz w:val="21"/>
                <w:szCs w:val="21"/>
                <w:highlight w:val="none"/>
                <w:lang w:val="en-US" w:eastAsia="zh-CN" w:bidi="ar"/>
              </w:rPr>
              <w:t>旋转椅</w:t>
            </w:r>
          </w:p>
        </w:tc>
        <w:tc>
          <w:tcPr>
            <w:tcW w:w="7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▲1、基材采用加厚加密型面料(网布)，符合GB 18401-2010及GB/T 17593.1-2006检验依据：甲醛含量、禁用可分解致癌芳香胺染料、可萃取的重金属（铅、镉）均低于检出限，结果为未检出；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2、优质海绵，厚度为40mm，经过防潮防腐防虫处理,软硬适中，符合QB/T1952.1-2012和GB/T10802-2006检验依据：表观(体积)密度＞43kg/m³，回弹性能&gt;48%,75%压缩永久变形≤5.0%；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3、内衬15mm厚优质曲木板,经防虫、脱脂处理，强度高、刚性好、不变形，符合GB/T3324-2008及GB18584-2001检验依据：含水率9.5%-10.3%，甲醛释放量＜0.52mg/L；曲木板上加装防爆钢板；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4、气压棒符合QB/T2280-2007检验依据，气动杆耐久性寿命试验符合JB/T9064.2中耐久性要求：经过高低温储存性能试验后，能够承受30000次循环使用，公称力衰减量＜3%，动态摩擦力＜48N，密封性能要符合要求；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5、配置五星钢脚架及静音滚轮；</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尺寸：930～1030*575*550mm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把</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ascii="宋体" w:hAnsi="宋体"/>
                <w:highlight w:val="none"/>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93"/>
                <w:rFonts w:hint="eastAsia" w:ascii="宋体" w:hAnsi="宋体" w:eastAsia="宋体" w:cs="宋体"/>
                <w:sz w:val="21"/>
                <w:szCs w:val="21"/>
                <w:highlight w:val="none"/>
                <w:lang w:val="en-US" w:eastAsia="zh-CN" w:bidi="ar"/>
              </w:rPr>
              <w:t>吧台椅</w:t>
            </w:r>
          </w:p>
        </w:tc>
        <w:tc>
          <w:tcPr>
            <w:tcW w:w="7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材质：采用304不锈钢板，符合GB/T3826-1999及QB/T3832-1999的检验依据；中性盐雾试验检验合格，实测结果≥9级。金属件外观表面应无剥落、返绣、毛刺，无烧焦、起泡、针孔、裂纹、花斑（不包括镀彩锌）和划痕。</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尺寸：380*450～550mm                  </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把</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ascii="宋体" w:hAnsi="宋体"/>
                <w:highlight w:val="none"/>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93"/>
                <w:rFonts w:hint="eastAsia" w:ascii="宋体" w:hAnsi="宋体" w:eastAsia="宋体" w:cs="宋体"/>
                <w:sz w:val="21"/>
                <w:szCs w:val="21"/>
                <w:highlight w:val="none"/>
                <w:lang w:val="en-US" w:eastAsia="zh-CN" w:bidi="ar"/>
              </w:rPr>
              <w:t>公共连排椅</w:t>
            </w:r>
          </w:p>
        </w:tc>
        <w:tc>
          <w:tcPr>
            <w:tcW w:w="7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▲1、材质：采用304不锈钢板，符合GB/T3826-1999及QB/T3832-1999的检验依据；中性盐雾试验检验合格，实测结果≥9级。；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2、座面靠面加压透气孔；3、扶手脚：采用 优质铝合金材质压铸成型，不分左右；4、横梁：采用厚度≥2.5mm、直径≥118mm的六边十二角铝合金型材压铸成型；5、支撑架:采用厚度≥3.5mm的优质铝合金材质，支撑架与承重横梁为卡扣式连接；</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尺寸：2320*670*780mm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ascii="宋体" w:hAnsi="宋体"/>
                <w:highlight w:val="none"/>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93"/>
                <w:rFonts w:hint="eastAsia" w:ascii="宋体" w:hAnsi="宋体" w:eastAsia="宋体" w:cs="宋体"/>
                <w:sz w:val="21"/>
                <w:szCs w:val="21"/>
                <w:highlight w:val="none"/>
                <w:lang w:val="en-US" w:eastAsia="zh-CN" w:bidi="ar"/>
              </w:rPr>
              <w:t>档案柜</w:t>
            </w:r>
          </w:p>
        </w:tc>
        <w:tc>
          <w:tcPr>
            <w:tcW w:w="7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板材：选用优质0.8mm冷轧钢板制作，经剪板机下料冲床、冲孔、冲角、折弯、电焊装配成型。工艺要求：钢板表面要采用九工位酸洗磷化除锈纯水处理。结构功能：产品为拆卸式结构对开门分上下，设标识牌卡槽，内有一块通搁板，搁板下方有一块中立板。侧板使用专用模具成圆弧形，圆弧起终点带1.5mm工艺性台阶减少锐角，消除安全隐患，美观大方。柜体侧面无锐角，人性化设计。柜体静电喷塑处理，不生锈、不变形、不变色，防潮、防鼠、防尘、防盗功能。扣手：采用优质锌合金成型，流线型设计，手感细腻，单个尺寸：29*137。门板模具一次性拉伸成椭圆形型，线条流畅手感极佳，方便扣手，尺寸：26*76，整体美观大气. 五金件：采用优质五金件，旺通锁具。</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尺寸：1850*900*400mm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93"/>
                <w:rFonts w:hint="eastAsia" w:ascii="宋体" w:hAnsi="宋体" w:eastAsia="宋体" w:cs="宋体"/>
                <w:sz w:val="21"/>
                <w:szCs w:val="21"/>
                <w:highlight w:val="none"/>
                <w:lang w:val="en-US" w:eastAsia="zh-CN" w:bidi="ar"/>
              </w:rPr>
              <w:t>资料柜</w:t>
            </w:r>
          </w:p>
        </w:tc>
        <w:tc>
          <w:tcPr>
            <w:tcW w:w="7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▲1、材料：采用优质冷轧钢板，表面平整光滑，质地坚硬细腻，边缘整齐，易加工焊接，强度高，承载力大，不易变形，应符合GB/T 3325-2017检验依据，金属件外观要求喷涂件涂层应无漏喷、锈蚀和脱色、掉色现象，涂层应光滑均匀、色泽-致,应无流挂、疙瘩、皱皮、飞漆等缺陷，厚度不低于1.0mm；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2、工艺：脱脂、磷酸除锈、锌系薄膜磷化、钝化、55C-65"C热水脱脂一冷水清洗一除锈一冷水清洗一中和一表调一35"C-45"C磷化一-冷水清洗一55C-65"C热钝化一烘干；</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尺寸：650*390*440mm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ascii="宋体" w:hAnsi="宋体"/>
                <w:highlight w:val="none"/>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93"/>
                <w:rFonts w:hint="eastAsia" w:ascii="宋体" w:hAnsi="宋体" w:eastAsia="宋体" w:cs="宋体"/>
                <w:sz w:val="21"/>
                <w:szCs w:val="21"/>
                <w:highlight w:val="none"/>
                <w:lang w:val="en-US" w:eastAsia="zh-CN" w:bidi="ar"/>
              </w:rPr>
              <w:t>沙发</w:t>
            </w:r>
          </w:p>
        </w:tc>
        <w:tc>
          <w:tcPr>
            <w:tcW w:w="7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1、采用优质头层牛皮为基材，符合GB/T 16799-2018及SZJG 52-2016 及GB/T 8948-2008 检验依据；（拉伸/撕裂/剥离）负荷、（摩擦色/耐折/表面颜色耐干湿）牢度、耐光性、六价铬、断裂伸长率符合要求，涂层粘着牢度≥9N/10mm，富马酸二甲酯禁用未检出，撕裂力≥39N，pH值≥4,气味2级、禁用偶氮染料含量、游离甲醛、可萃取的重金属符合检测要求，挥发性有机物（VOC)≤39mg/k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2、优质海绵，经过防潮防腐防虫处理,软硬适中，符合QB/T1952.1-2012和GB/T10802-2006检验依据，表观(体积)密度＞43kg/m³，回弹性能&gt;48%,75%压缩永久变形≤5.0%；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3、框架采用实木制作，经防腐、防虫、脱脂处理，强度高不变形，水性油漆饰面，符合GB/T 1931-2009及GB 18584- 2001检验依据，木制件甲醛释放量≤0.12mg/L，木材含水率＜8.7%；</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4、沙发绷带符合GB 18401-2010检验依据，耐干摩擦不低于4级，甲醛含量未检出；</w:t>
            </w:r>
          </w:p>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尺寸：1600*850*850mm</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是</w:t>
            </w:r>
          </w:p>
        </w:tc>
      </w:tr>
    </w:tbl>
    <w:p>
      <w:pPr>
        <w:widowControl/>
        <w:shd w:val="clear" w:color="auto" w:fill="FFFFFF"/>
        <w:spacing w:line="440" w:lineRule="exact"/>
        <w:jc w:val="left"/>
        <w:rPr>
          <w:rFonts w:hint="eastAsia" w:ascii="宋体" w:hAnsi="宋体" w:eastAsia="宋体" w:cs="黑体"/>
          <w:b/>
          <w:bCs/>
          <w:sz w:val="24"/>
          <w:szCs w:val="24"/>
          <w:highlight w:val="none"/>
          <w:shd w:val="clear" w:color="auto" w:fill="FFFFFF"/>
        </w:rPr>
      </w:pPr>
      <w:r>
        <w:rPr>
          <w:rFonts w:hint="eastAsia" w:ascii="宋体" w:hAnsi="宋体" w:eastAsia="宋体" w:cs="黑体"/>
          <w:b/>
          <w:bCs/>
          <w:sz w:val="24"/>
          <w:szCs w:val="24"/>
          <w:highlight w:val="none"/>
          <w:shd w:val="clear" w:color="auto" w:fill="FFFFFF"/>
          <w:lang w:val="en-US" w:eastAsia="zh-CN"/>
        </w:rPr>
        <w:t>第四标段</w:t>
      </w:r>
      <w:r>
        <w:rPr>
          <w:rFonts w:hint="eastAsia" w:ascii="宋体" w:hAnsi="宋体" w:eastAsia="宋体" w:cs="黑体"/>
          <w:b/>
          <w:bCs/>
          <w:sz w:val="24"/>
          <w:szCs w:val="24"/>
          <w:highlight w:val="none"/>
          <w:shd w:val="clear" w:color="auto" w:fill="FFFFFF"/>
        </w:rPr>
        <w:t>采购清单：</w:t>
      </w:r>
    </w:p>
    <w:tbl>
      <w:tblPr>
        <w:tblStyle w:val="33"/>
        <w:tblW w:w="11016" w:type="dxa"/>
        <w:jc w:val="center"/>
        <w:tblLayout w:type="autofit"/>
        <w:tblCellMar>
          <w:top w:w="0" w:type="dxa"/>
          <w:left w:w="108" w:type="dxa"/>
          <w:bottom w:w="0" w:type="dxa"/>
          <w:right w:w="108" w:type="dxa"/>
        </w:tblCellMar>
      </w:tblPr>
      <w:tblGrid>
        <w:gridCol w:w="782"/>
        <w:gridCol w:w="1349"/>
        <w:gridCol w:w="6578"/>
        <w:gridCol w:w="685"/>
        <w:gridCol w:w="811"/>
        <w:gridCol w:w="811"/>
      </w:tblGrid>
      <w:tr>
        <w:tblPrEx>
          <w:tblCellMar>
            <w:top w:w="0" w:type="dxa"/>
            <w:left w:w="108" w:type="dxa"/>
            <w:bottom w:w="0" w:type="dxa"/>
            <w:right w:w="108" w:type="dxa"/>
          </w:tblCellMar>
        </w:tblPrEx>
        <w:trPr>
          <w:trHeight w:val="692" w:hRule="atLeast"/>
          <w:jc w:val="center"/>
        </w:trPr>
        <w:tc>
          <w:tcPr>
            <w:tcW w:w="782"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序号</w:t>
            </w:r>
          </w:p>
        </w:tc>
        <w:tc>
          <w:tcPr>
            <w:tcW w:w="1349"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项目名称</w:t>
            </w:r>
          </w:p>
        </w:tc>
        <w:tc>
          <w:tcPr>
            <w:tcW w:w="6578"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项目特征描述</w:t>
            </w:r>
          </w:p>
        </w:tc>
        <w:tc>
          <w:tcPr>
            <w:tcW w:w="685"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单位</w:t>
            </w:r>
          </w:p>
        </w:tc>
        <w:tc>
          <w:tcPr>
            <w:tcW w:w="811"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数量</w:t>
            </w:r>
          </w:p>
        </w:tc>
        <w:tc>
          <w:tcPr>
            <w:tcW w:w="811"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是否核心产品</w:t>
            </w:r>
          </w:p>
        </w:tc>
      </w:tr>
      <w:tr>
        <w:tblPrEx>
          <w:tblCellMar>
            <w:top w:w="0" w:type="dxa"/>
            <w:left w:w="108" w:type="dxa"/>
            <w:bottom w:w="0" w:type="dxa"/>
            <w:right w:w="108" w:type="dxa"/>
          </w:tblCellMar>
        </w:tblPrEx>
        <w:trPr>
          <w:trHeight w:val="500" w:hRule="atLeast"/>
          <w:jc w:val="center"/>
        </w:trPr>
        <w:tc>
          <w:tcPr>
            <w:tcW w:w="11016" w:type="dxa"/>
            <w:gridSpan w:val="6"/>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（一）办公设备（电脑、打印机等）</w:t>
            </w:r>
          </w:p>
        </w:tc>
      </w:tr>
      <w:tr>
        <w:tblPrEx>
          <w:tblCellMar>
            <w:top w:w="0" w:type="dxa"/>
            <w:left w:w="108" w:type="dxa"/>
            <w:bottom w:w="0" w:type="dxa"/>
            <w:right w:w="108" w:type="dxa"/>
          </w:tblCellMar>
        </w:tblPrEx>
        <w:trPr>
          <w:trHeight w:val="90"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计算机</w:t>
            </w:r>
            <w:r>
              <w:rPr>
                <w:rFonts w:hint="eastAsia" w:ascii="宋体" w:hAnsi="宋体" w:eastAsia="宋体" w:cs="宋体"/>
                <w:color w:val="auto"/>
                <w:kern w:val="0"/>
                <w:sz w:val="21"/>
                <w:szCs w:val="21"/>
                <w:highlight w:val="none"/>
                <w:lang w:eastAsia="zh-CN"/>
              </w:rPr>
              <w:t>主机</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、机箱：考虑到散热空间，要求机箱容量≥20L，标配顶置提手</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、处理器：CPU采用国产飞腾D2000处理器，核数≥8核，主频≥2.3GHz</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、内存：配置内存≥8GB DDR4，频率≥2666Mhz</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、显卡：配置独立显卡，显存≥2GB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、硬盘：配置≥1块 256GB M.2 NVME SSD硬盘</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、机箱前设计：为方便日常使用，标配DVD-RW≥1，USB3.0≥2，均需采用横置设计；</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、机箱后设计：≥2个USB3.0接口、≥2个USB2.0接口，≥1个HDMI接口，≥1个VGA接口，≥1个 LAN 1000M网口</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、标配5.1声道</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、电源：配置≥250W 电源</w:t>
            </w:r>
            <w:r>
              <w:rPr>
                <w:rFonts w:hint="eastAsia" w:ascii="宋体" w:hAnsi="宋体" w:eastAsia="宋体" w:cs="宋体"/>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、可靠性：主机MTBF 平均无故障时间≥150000小时</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、操作系统：支持UOS操作系统</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、服务能力：主机三年保修，主机三年上门、</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、键鼠：配置≥1套防水键盘及抗菌鼠标</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26</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ascii="宋体" w:hAnsi="宋体"/>
                <w:highlight w:val="none"/>
              </w:rPr>
              <w:t>否</w:t>
            </w:r>
          </w:p>
        </w:tc>
      </w:tr>
      <w:tr>
        <w:tblPrEx>
          <w:tblCellMar>
            <w:top w:w="0" w:type="dxa"/>
            <w:left w:w="108" w:type="dxa"/>
            <w:bottom w:w="0" w:type="dxa"/>
            <w:right w:w="108" w:type="dxa"/>
          </w:tblCellMar>
        </w:tblPrEx>
        <w:trPr>
          <w:trHeight w:val="730"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显示器</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显示器：配置≥23.8</w:t>
            </w:r>
            <w:r>
              <w:rPr>
                <w:rFonts w:hint="eastAsia" w:ascii="宋体" w:hAnsi="宋体" w:eastAsia="宋体" w:cs="宋体"/>
                <w:color w:val="auto"/>
                <w:sz w:val="21"/>
                <w:szCs w:val="21"/>
                <w:highlight w:val="none"/>
                <w:lang w:eastAsia="zh-CN"/>
              </w:rPr>
              <w:t>英寸</w:t>
            </w:r>
            <w:r>
              <w:rPr>
                <w:rFonts w:hint="eastAsia" w:ascii="宋体" w:hAnsi="宋体" w:eastAsia="宋体" w:cs="宋体"/>
                <w:color w:val="auto"/>
                <w:sz w:val="21"/>
                <w:szCs w:val="21"/>
                <w:highlight w:val="none"/>
              </w:rPr>
              <w:t xml:space="preserve">LED示器，与主机同品牌，分辨率1920x1080。 </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台</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ascii="宋体" w:hAnsi="宋体"/>
                <w:highlight w:val="none"/>
              </w:rPr>
              <w:t>否</w:t>
            </w:r>
          </w:p>
        </w:tc>
      </w:tr>
      <w:tr>
        <w:tblPrEx>
          <w:tblCellMar>
            <w:top w:w="0" w:type="dxa"/>
            <w:left w:w="108" w:type="dxa"/>
            <w:bottom w:w="0" w:type="dxa"/>
            <w:right w:w="108" w:type="dxa"/>
          </w:tblCellMar>
        </w:tblPrEx>
        <w:trPr>
          <w:trHeight w:val="90"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3</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计算机配套</w:t>
            </w:r>
            <w:r>
              <w:rPr>
                <w:rFonts w:hint="eastAsia" w:ascii="宋体" w:hAnsi="宋体" w:eastAsia="宋体" w:cs="宋体"/>
                <w:color w:val="auto"/>
                <w:kern w:val="0"/>
                <w:sz w:val="21"/>
                <w:szCs w:val="21"/>
                <w:highlight w:val="none"/>
              </w:rPr>
              <w:t>软件</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为保障业务正常使用需使用国产</w:t>
            </w:r>
            <w:r>
              <w:rPr>
                <w:rFonts w:hint="eastAsia" w:ascii="宋体" w:hAnsi="宋体" w:eastAsia="宋体" w:cs="宋体"/>
                <w:color w:val="auto"/>
                <w:kern w:val="0"/>
                <w:sz w:val="21"/>
                <w:szCs w:val="21"/>
                <w:highlight w:val="none"/>
                <w:lang w:val="en-US" w:eastAsia="zh-CN"/>
              </w:rPr>
              <w:t>UOS</w:t>
            </w:r>
            <w:r>
              <w:rPr>
                <w:rFonts w:hint="eastAsia" w:ascii="宋体" w:hAnsi="宋体" w:eastAsia="宋体" w:cs="宋体"/>
                <w:color w:val="auto"/>
                <w:kern w:val="0"/>
                <w:sz w:val="21"/>
                <w:szCs w:val="21"/>
                <w:highlight w:val="none"/>
              </w:rPr>
              <w:t>操作系统</w:t>
            </w:r>
            <w:r>
              <w:rPr>
                <w:rFonts w:hint="eastAsia" w:ascii="宋体" w:hAnsi="宋体" w:eastAsia="宋体" w:cs="宋体"/>
                <w:color w:val="auto"/>
                <w:kern w:val="0"/>
                <w:sz w:val="21"/>
                <w:szCs w:val="21"/>
                <w:highlight w:val="none"/>
                <w:lang w:eastAsia="zh-CN"/>
              </w:rPr>
              <w:t>、版式软件、办公软件、杀毒软件。</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26</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ascii="宋体" w:hAnsi="宋体"/>
                <w:highlight w:val="none"/>
              </w:rPr>
              <w:t>否</w:t>
            </w:r>
          </w:p>
        </w:tc>
      </w:tr>
      <w:tr>
        <w:tblPrEx>
          <w:tblCellMar>
            <w:top w:w="0" w:type="dxa"/>
            <w:left w:w="108" w:type="dxa"/>
            <w:bottom w:w="0" w:type="dxa"/>
            <w:right w:w="108" w:type="dxa"/>
          </w:tblCellMar>
        </w:tblPrEx>
        <w:trPr>
          <w:trHeight w:val="1930"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多功能打印机</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打印最大幅面</w:t>
            </w:r>
            <w:r>
              <w:rPr>
                <w:rFonts w:hint="eastAsia" w:ascii="宋体" w:hAnsi="宋体" w:eastAsia="宋体" w:cs="宋体"/>
                <w:color w:val="auto"/>
                <w:kern w:val="0"/>
                <w:sz w:val="21"/>
                <w:szCs w:val="21"/>
                <w:highlight w:val="none"/>
                <w:lang w:val="en-US" w:eastAsia="zh-CN"/>
              </w:rPr>
              <w:t>A4</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首页输出时间：6.3秒；打印速度：35PPM；</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打印分辨率：1200dpi；复印速度：35PPM；复印分辨率：600dpi；</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复印缩放比率：25%到400%；扫描分辨率：1200dpi；；</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输入纸盒容量：100页纸盒+250页进纸盒；输出纸盒容量：150页；最高打印负荷：80000页/月；</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接口：1 个高速 USB 2.0 端口;1 个主机 USB 端口;1个前置USB端口，1 个千兆以太网 10/100/1000T 网络端口；1 个无线 802.11b/g/n 无线端口; 自动双面打印单元：标配；扫描自动进纸器容量：50页；</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2.7英寸彩色触摸屏;</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支持UOS操作系统</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ascii="宋体" w:hAnsi="宋体"/>
                <w:highlight w:val="none"/>
              </w:rPr>
              <w:t>否</w:t>
            </w:r>
          </w:p>
        </w:tc>
      </w:tr>
      <w:tr>
        <w:tblPrEx>
          <w:tblCellMar>
            <w:top w:w="0" w:type="dxa"/>
            <w:left w:w="108" w:type="dxa"/>
            <w:bottom w:w="0" w:type="dxa"/>
            <w:right w:w="108" w:type="dxa"/>
          </w:tblCellMar>
        </w:tblPrEx>
        <w:trPr>
          <w:trHeight w:val="760"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叫号机</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机柜质材： 全钢板，金属烤漆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X86主板：低功耗工业级工控主板</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CPU：Intel 双核2.2GHz BGA；</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芯片组：Intel NM10,南北桥最大功耗2.1W；</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网卡：10/100M自适应网卡；</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操作系统：WIN7操作系统；</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 示 器： 17</w:t>
            </w:r>
            <w:r>
              <w:rPr>
                <w:rFonts w:hint="eastAsia" w:ascii="宋体" w:hAnsi="宋体" w:eastAsia="宋体" w:cs="宋体"/>
                <w:color w:val="auto"/>
                <w:sz w:val="21"/>
                <w:szCs w:val="21"/>
                <w:highlight w:val="none"/>
                <w:lang w:eastAsia="zh-CN"/>
              </w:rPr>
              <w:t>英寸</w:t>
            </w:r>
            <w:r>
              <w:rPr>
                <w:rFonts w:hint="eastAsia" w:ascii="宋体" w:hAnsi="宋体" w:eastAsia="宋体" w:cs="宋体"/>
                <w:color w:val="auto"/>
                <w:sz w:val="21"/>
                <w:szCs w:val="21"/>
                <w:highlight w:val="none"/>
              </w:rPr>
              <w:t>液晶显示器；</w:t>
            </w:r>
          </w:p>
          <w:p>
            <w:pPr>
              <w:keepNext w:val="0"/>
              <w:keepLines w:val="0"/>
              <w:pageBreakBefore w:val="0"/>
              <w:widowControl/>
              <w:kinsoku/>
              <w:wordWrap/>
              <w:overflowPunct/>
              <w:topLinePunct w:val="0"/>
              <w:autoSpaceDE/>
              <w:autoSpaceDN/>
              <w:bidi w:val="0"/>
              <w:adjustRightInd/>
              <w:snapToGrid/>
              <w:spacing w:line="240" w:lineRule="auto"/>
              <w:ind w:left="3780" w:hanging="3780" w:hangingChars="18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触 摸 屏：17</w:t>
            </w:r>
            <w:r>
              <w:rPr>
                <w:rFonts w:hint="eastAsia" w:ascii="宋体" w:hAnsi="宋体" w:eastAsia="宋体" w:cs="宋体"/>
                <w:color w:val="auto"/>
                <w:sz w:val="21"/>
                <w:szCs w:val="21"/>
                <w:highlight w:val="none"/>
                <w:lang w:eastAsia="zh-CN"/>
              </w:rPr>
              <w:t>英寸</w:t>
            </w:r>
            <w:r>
              <w:rPr>
                <w:rFonts w:hint="eastAsia" w:ascii="宋体" w:hAnsi="宋体" w:eastAsia="宋体" w:cs="宋体"/>
                <w:color w:val="auto"/>
                <w:sz w:val="21"/>
                <w:szCs w:val="21"/>
                <w:highlight w:val="none"/>
              </w:rPr>
              <w:t>多点电容式触摸屏；</w:t>
            </w:r>
          </w:p>
          <w:p>
            <w:pPr>
              <w:keepNext w:val="0"/>
              <w:keepLines w:val="0"/>
              <w:pageBreakBefore w:val="0"/>
              <w:widowControl/>
              <w:kinsoku/>
              <w:wordWrap/>
              <w:overflowPunct/>
              <w:topLinePunct w:val="0"/>
              <w:autoSpaceDE/>
              <w:autoSpaceDN/>
              <w:bidi w:val="0"/>
              <w:adjustRightInd/>
              <w:snapToGrid/>
              <w:spacing w:line="240" w:lineRule="auto"/>
              <w:ind w:left="3780" w:hanging="3780" w:hangingChars="18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音响：2*10W 高保真音响；</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打印机型号:热敏打印机；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打</w:t>
            </w:r>
            <w:r>
              <w:rPr>
                <w:rFonts w:hint="eastAsia" w:ascii="宋体" w:hAnsi="宋体" w:eastAsia="宋体" w:cs="宋体"/>
                <w:color w:val="auto"/>
                <w:sz w:val="21"/>
                <w:szCs w:val="21"/>
                <w:highlight w:val="none"/>
              </w:rPr>
              <w:t>印寿命： 大于150km；</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打印速度： 200mm/sec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打印纸宽： 80mm ；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无线频率：905MHz~917MHz (内置无线模块，双频道：CH1/CH2)；                             通讯距离：100M；</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多任务多队列功能，多级菜单功能；                               多语种呼叫功能，背景音乐播放功能；                                               顺呼、逆呼、指呼、特呼、重呼、转移、插前等；                                              自由编辑背景图片、业务种类、号票格式功能；                                           限时限量发号功能，暂停/恢复发号功能；                                           缺纸报警功能，掉电保护功能；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服务质量评价功能，顾客不满意报警功能；                                            贵宾身份识别功能，贵宾到达通知功能；                                             柜员呼叫大堂经理功能；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外接大屏幕系统功能(如大屏幕电视、多媒体播放系统等)；                   自动开关机功能；</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ascii="宋体" w:hAnsi="宋体"/>
                <w:highlight w:val="none"/>
              </w:rPr>
              <w:t>否</w:t>
            </w:r>
          </w:p>
        </w:tc>
      </w:tr>
      <w:tr>
        <w:tblPrEx>
          <w:tblCellMar>
            <w:top w:w="0" w:type="dxa"/>
            <w:left w:w="108" w:type="dxa"/>
            <w:bottom w:w="0" w:type="dxa"/>
            <w:right w:w="108" w:type="dxa"/>
          </w:tblCellMar>
        </w:tblPrEx>
        <w:trPr>
          <w:trHeight w:val="98"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窗口显示屏</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面板：高级亚克力板；</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屏芯：高亮单红16X16点阵模块，管径5MM；</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结构：专用LED铝型材；</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控制电路：低功耗嵌入式32位单片机；                                             无线频率：905MHz~917MHz (内置无线模块，双频道：CH1/CH2)；                              频 段：15频段、20频段、25频段、30频段、35频段、40频段；                             通讯距离：100M；</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接口：USB2.0；</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安装：吊杆式、壁挂式和嵌入式安装；</w:t>
            </w:r>
          </w:p>
          <w:p>
            <w:pPr>
              <w:keepNext w:val="0"/>
              <w:keepLines w:val="0"/>
              <w:pageBreakBefore w:val="0"/>
              <w:widowControl/>
              <w:kinsoku/>
              <w:wordWrap/>
              <w:overflowPunct/>
              <w:topLinePunct w:val="0"/>
              <w:autoSpaceDE/>
              <w:autoSpaceDN/>
              <w:bidi w:val="0"/>
              <w:adjustRightInd/>
              <w:snapToGrid/>
              <w:spacing w:line="240" w:lineRule="auto"/>
              <w:ind w:left="210" w:hanging="210" w:hangingChars="1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使用寿命：≥20万小时、坏点率≤1%；</w:t>
            </w:r>
          </w:p>
          <w:p>
            <w:pPr>
              <w:keepNext w:val="0"/>
              <w:keepLines w:val="0"/>
              <w:pageBreakBefore w:val="0"/>
              <w:widowControl/>
              <w:kinsoku/>
              <w:wordWrap/>
              <w:overflowPunct/>
              <w:topLinePunct w:val="0"/>
              <w:autoSpaceDE/>
              <w:autoSpaceDN/>
              <w:bidi w:val="0"/>
              <w:adjustRightInd/>
              <w:snapToGrid/>
              <w:spacing w:line="240" w:lineRule="auto"/>
              <w:ind w:left="210" w:hanging="210" w:hangingChars="1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尺寸：≥10</w:t>
            </w:r>
            <w:r>
              <w:rPr>
                <w:rFonts w:hint="eastAsia" w:ascii="宋体" w:hAnsi="宋体" w:eastAsia="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rPr>
              <w:t>×16</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×32 mm (长×高×深)</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动态显示服务序号、窗口号或问候语，可通过发号主机编辑显示汉字、数字、英文等信息；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显示的长度：8个汉字的长度，①请A008号到01窗口；</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显示的样式：至少支持静止显示,从左往右显示,从右往左显示,从下往上显示,从上往下显示,闪烁显示6种方式；</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显示汉字：能够显示常用标准汉字</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显示英文：能够显示26个英文字母（大/小写）；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显示数字：能够显示数字；</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设备的状态：定时自动检测设备在线状态；</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窗口屏开机状态时屏幕可显示：排队信息，“欢迎光临”或“个人业务”“对公业务”等业务名称，支持中英文双语显示；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窗口屏的显示内容可以通过发号主机进行修改，显示内容可自行定义和修改；能显示排队信息、欢迎信息或其它提示性信息等；</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含呼叫器</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块</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ascii="宋体" w:hAnsi="宋体"/>
                <w:highlight w:val="none"/>
              </w:rPr>
              <w:t>否</w:t>
            </w:r>
          </w:p>
        </w:tc>
      </w:tr>
      <w:tr>
        <w:tblPrEx>
          <w:tblCellMar>
            <w:top w:w="0" w:type="dxa"/>
            <w:left w:w="108" w:type="dxa"/>
            <w:bottom w:w="0" w:type="dxa"/>
            <w:right w:w="108" w:type="dxa"/>
          </w:tblCellMar>
        </w:tblPrEx>
        <w:trPr>
          <w:trHeight w:val="1320"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自助查询触摸一体机</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55英寸内置音箱；</w:t>
            </w:r>
            <w:r>
              <w:rPr>
                <w:rFonts w:hint="eastAsia" w:ascii="宋体" w:hAnsi="宋体" w:eastAsia="宋体" w:cs="宋体"/>
                <w:color w:val="auto"/>
                <w:kern w:val="0"/>
                <w:sz w:val="21"/>
                <w:szCs w:val="21"/>
                <w:highlight w:val="none"/>
                <w:lang w:eastAsia="zh-CN"/>
              </w:rPr>
              <w:t>含硬件及</w:t>
            </w:r>
            <w:r>
              <w:rPr>
                <w:rFonts w:hint="eastAsia" w:ascii="宋体" w:hAnsi="宋体" w:eastAsia="宋体" w:cs="宋体"/>
                <w:color w:val="auto"/>
                <w:kern w:val="0"/>
                <w:sz w:val="21"/>
                <w:szCs w:val="21"/>
                <w:highlight w:val="none"/>
              </w:rPr>
              <w:t>windows系统；</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分辨率：1920x1080</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对比度：3000:1</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含落地支架</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ascii="宋体" w:hAnsi="宋体"/>
                <w:highlight w:val="none"/>
              </w:rPr>
              <w:t>否</w:t>
            </w:r>
          </w:p>
        </w:tc>
      </w:tr>
      <w:tr>
        <w:tblPrEx>
          <w:tblCellMar>
            <w:top w:w="0" w:type="dxa"/>
            <w:left w:w="108" w:type="dxa"/>
            <w:bottom w:w="0" w:type="dxa"/>
            <w:right w:w="108" w:type="dxa"/>
          </w:tblCellMar>
        </w:tblPrEx>
        <w:trPr>
          <w:trHeight w:val="612"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液晶电视机</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65英寸语音金属全面屏4K超高清</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ascii="宋体" w:hAnsi="宋体"/>
                <w:highlight w:val="none"/>
              </w:rPr>
              <w:t>否</w:t>
            </w:r>
          </w:p>
        </w:tc>
      </w:tr>
      <w:tr>
        <w:tblPrEx>
          <w:tblCellMar>
            <w:top w:w="0" w:type="dxa"/>
            <w:left w:w="108" w:type="dxa"/>
            <w:bottom w:w="0" w:type="dxa"/>
            <w:right w:w="108" w:type="dxa"/>
          </w:tblCellMar>
        </w:tblPrEx>
        <w:trPr>
          <w:trHeight w:val="590"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9</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窗口对讲机</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工作电压  12V</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工作电流  300mA</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金属外观</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金属护线管</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ascii="宋体" w:hAnsi="宋体"/>
                <w:highlight w:val="none"/>
              </w:rPr>
              <w:t>否</w:t>
            </w:r>
          </w:p>
        </w:tc>
      </w:tr>
      <w:tr>
        <w:tblPrEx>
          <w:tblCellMar>
            <w:top w:w="0" w:type="dxa"/>
            <w:left w:w="108" w:type="dxa"/>
            <w:bottom w:w="0" w:type="dxa"/>
            <w:right w:w="108" w:type="dxa"/>
          </w:tblCellMar>
        </w:tblPrEx>
        <w:trPr>
          <w:trHeight w:val="540" w:hRule="atLeast"/>
          <w:jc w:val="center"/>
        </w:trPr>
        <w:tc>
          <w:tcPr>
            <w:tcW w:w="10205" w:type="dxa"/>
            <w:gridSpan w:val="5"/>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（二）法庭设施</w:t>
            </w:r>
          </w:p>
        </w:tc>
        <w:tc>
          <w:tcPr>
            <w:tcW w:w="811"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21"/>
                <w:szCs w:val="21"/>
                <w:highlight w:val="none"/>
              </w:rPr>
            </w:pPr>
          </w:p>
        </w:tc>
      </w:tr>
      <w:tr>
        <w:trPr>
          <w:trHeight w:val="1000" w:hRule="atLeast"/>
          <w:jc w:val="center"/>
        </w:trPr>
        <w:tc>
          <w:tcPr>
            <w:tcW w:w="782"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49"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数字法庭音频系统主机</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1、具有不少于2个RJ45千兆网口、4个RS485、4个RS-232、5个USB接口、8个SATA接口、1个蓝牙接口、2个报警输入，2个报警输出接口、8组红外控制接口。</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2、★前置不少于6块硬盘插槽；</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3、内置不小于7英寸电容触摸屏、感应式触摸按键，具有实时视频预览，主机录像回放和光盘录像回放等功能；</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4、★具有不少于8个HDbaseT视频输入接口、2个VGA In、2个VGA Out、10个HDMI Out示证输出接口。</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5、具有不少于16个Mic In音频接口、6个Line In接口、9个Line Out接口、1个3.5mm混音输出接口。</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6、★可以通过HDbaseT对摄像机供电、音视频传输，对云台、镜头等控制功能。</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7、支持蓝牙、Wifi通信，配合无线中控终端使用，应能实现主机及外围设备开/关机和示证切换等功能。</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8、★支持不小于4K（3840*2160）视频实时编解码；</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9、★支持通过HDMI输出不少于2路不低于4K、不低于30fps 实时独立画面；</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10、支持同时接入不少于2路本地示证视频；</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11★支持合成画面及独立画面分辨率不低于4K（3840×2160），图像流畅，无明显卡顿；</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12、支持示证、远程视频的音量调节。</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13、支持接入手拉手麦克主机，连接手拉手麦克单元，实现庭审多角色音频接入；</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14、★支持至少2个光驱，模块式设计，可方便插拔更换；</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15、刻录光盘自带光盘播放器，可实现在任意电脑上自动播放；</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16、支持对庭审录像、证据、庭审笔录等庭审信息进行光盘刻录，对庭审各阶段进行时间标记，支持光盘封盘、防擦写、防篡改、防剪辑等安全保护措施；</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17、支持庭审视频片头叠加案件信息；</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18、支持语音激励功能，能联动摄像机切换和控制。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19、支持通过查询案件信息回放相关的庭审录像（支持双光盘回放），并可进行单/双光盘备份；</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20、支持单盘刻录、双盘刻录、循环刻录三种刻录模式，支持哈希校验；</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21、支持通过强电控制器对庭审部分相关设备进行供电控制。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22、支持案件加锁功能。</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23、支持盘组、配额两种磁盘管理模式，支持录像模板和录像策略设置：最大支持16T硬盘。</w:t>
            </w:r>
          </w:p>
        </w:tc>
        <w:tc>
          <w:tcPr>
            <w:tcW w:w="685"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台</w:t>
            </w:r>
          </w:p>
        </w:tc>
        <w:tc>
          <w:tcPr>
            <w:tcW w:w="811"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11"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ascii="宋体" w:hAnsi="宋体"/>
                <w:highlight w:val="none"/>
              </w:rPr>
              <w:t>否</w:t>
            </w:r>
          </w:p>
        </w:tc>
      </w:tr>
      <w:tr>
        <w:tblPrEx>
          <w:tblCellMar>
            <w:top w:w="0" w:type="dxa"/>
            <w:left w:w="108" w:type="dxa"/>
            <w:bottom w:w="0" w:type="dxa"/>
            <w:right w:w="108" w:type="dxa"/>
          </w:tblCellMar>
        </w:tblPrEx>
        <w:trPr>
          <w:trHeight w:val="540" w:hRule="atLeast"/>
          <w:jc w:val="center"/>
        </w:trPr>
        <w:tc>
          <w:tcPr>
            <w:tcW w:w="782"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1349"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4K高清球</w:t>
            </w:r>
            <w:r>
              <w:rPr>
                <w:rFonts w:hint="eastAsia" w:ascii="宋体" w:hAnsi="宋体" w:eastAsia="宋体" w:cs="宋体"/>
                <w:color w:val="auto"/>
                <w:kern w:val="0"/>
                <w:sz w:val="21"/>
                <w:szCs w:val="21"/>
                <w:highlight w:val="none"/>
                <w:lang w:eastAsia="zh-CN"/>
              </w:rPr>
              <w:t>机</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1、★不低于6倍光学变焦。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2、具有不少于1个RS485接口、1个复位按钮、1个RJ45接口 、1个TF卡槽、1对音频输入/输出接口、内置MIC，支持不少于2路报警输入、1路报警输出。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3、红外不光距离不少于30米。</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4、至少支持H.265、H.264（Main Profile，High Profile，Baseline Profile）、M-JPEG视频编码方式。</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5、宽动态范围不低于120dB，亮度鉴别等级不小于11级。</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6、最低照度不高于彩色0.002 lx，能基本分辨被摄目标的轮廓特征和色彩；不高于黑白0.001 lx能基本分辨被摄目标的轮廓特征。</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7、支持水平不少于0°～350°旋转；支持垂直不少于0°～90°旋转。</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8、支持双向语音对讲。</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9、支持智能监控模式：支持人群聚集、拌线、周界、物品丢失、徘徊、奔跑、物品遗留、人数统计、值岗检测等智能算法。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10、支持图像畸变矫正，等级可调。</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11、支持3D定位功能，可实现点击跟踪和放大。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12、★支持声光预警功能，可联动语音提示、白光闪烁、录像及抓拍功能。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13、本地存储最大支持512G TF卡。</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14、应同时支持POE/DC12V供电方式。</w:t>
            </w:r>
          </w:p>
        </w:tc>
        <w:tc>
          <w:tcPr>
            <w:tcW w:w="685"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台</w:t>
            </w:r>
          </w:p>
        </w:tc>
        <w:tc>
          <w:tcPr>
            <w:tcW w:w="811"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811"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ascii="宋体" w:hAnsi="宋体"/>
                <w:highlight w:val="none"/>
              </w:rPr>
              <w:t>否</w:t>
            </w:r>
          </w:p>
        </w:tc>
      </w:tr>
      <w:tr>
        <w:tblPrEx>
          <w:tblCellMar>
            <w:top w:w="0" w:type="dxa"/>
            <w:left w:w="108" w:type="dxa"/>
            <w:bottom w:w="0" w:type="dxa"/>
            <w:right w:w="108" w:type="dxa"/>
          </w:tblCellMar>
        </w:tblPrEx>
        <w:trPr>
          <w:trHeight w:val="540" w:hRule="atLeast"/>
          <w:jc w:val="center"/>
        </w:trPr>
        <w:tc>
          <w:tcPr>
            <w:tcW w:w="782"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1349"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司法庭审</w:t>
            </w:r>
            <w:r>
              <w:rPr>
                <w:rFonts w:hint="eastAsia" w:ascii="宋体" w:hAnsi="宋体" w:eastAsia="宋体" w:cs="宋体"/>
                <w:color w:val="auto"/>
                <w:kern w:val="0"/>
                <w:sz w:val="21"/>
                <w:szCs w:val="21"/>
                <w:highlight w:val="none"/>
              </w:rPr>
              <w:t>麦克风</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双预极化高度单指向性麦克风； 频响：80-15KHz重点突出语言的清晰度；话筒杆顶部装有红色灯环，指示发言人发言状态，当灯环亮时，发言状态接通；话筒固定座设有机械式锁死开关，按下时为打开话筒，弹起时为关闭话筒，开关设有指示灯，打开时亮，关闭时熄灭；话筒固定座后部为标准卡侬公头座； 表面处理为全哑光黑色涂料，有效屏蔽镁光灯等闪光器材的反射。</w:t>
            </w:r>
          </w:p>
        </w:tc>
        <w:tc>
          <w:tcPr>
            <w:tcW w:w="685"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c>
          <w:tcPr>
            <w:tcW w:w="811"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811"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ascii="宋体" w:hAnsi="宋体"/>
                <w:highlight w:val="none"/>
              </w:rPr>
              <w:t>否</w:t>
            </w:r>
          </w:p>
        </w:tc>
      </w:tr>
      <w:tr>
        <w:trPr>
          <w:trHeight w:val="540" w:hRule="atLeast"/>
          <w:jc w:val="center"/>
        </w:trPr>
        <w:tc>
          <w:tcPr>
            <w:tcW w:w="782"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1349"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音箱</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模式:2音路全频</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额定功率:250W</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阻抗:8ohms</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频率响应:48Hz-19KHz</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灵敏度:96dB</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扩散角度：80×50</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低音:10＂×1</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高音:1.35＂×1</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板材:优质密度板15mmMDF</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表面:黑色耐磨粗点喷漆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面罩:黑色网</w:t>
            </w:r>
          </w:p>
        </w:tc>
        <w:tc>
          <w:tcPr>
            <w:tcW w:w="685"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w:t>
            </w:r>
          </w:p>
        </w:tc>
        <w:tc>
          <w:tcPr>
            <w:tcW w:w="811"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811"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ascii="宋体" w:hAnsi="宋体"/>
                <w:highlight w:val="none"/>
              </w:rPr>
              <w:t>否</w:t>
            </w:r>
          </w:p>
        </w:tc>
      </w:tr>
      <w:tr>
        <w:tblPrEx>
          <w:tblCellMar>
            <w:top w:w="0" w:type="dxa"/>
            <w:left w:w="108" w:type="dxa"/>
            <w:bottom w:w="0" w:type="dxa"/>
            <w:right w:w="108" w:type="dxa"/>
          </w:tblCellMar>
        </w:tblPrEx>
        <w:trPr>
          <w:trHeight w:val="540"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功放</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输出功率: 450W*2/8Ω，</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输出功率:600W*2/4Ω;</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频率响应: 20Hz-20Khz（±0.5dB）</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总谐波失真THD+N: ≤0.05%;</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输入阻抗: 20KΩ平衡输入;</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信噪比: ≥90dB;</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输入灵敏度: 1.0V;</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消耗功率:1350W;</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台</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ascii="宋体" w:hAnsi="宋体"/>
                <w:highlight w:val="none"/>
              </w:rPr>
              <w:t>否</w:t>
            </w:r>
          </w:p>
        </w:tc>
      </w:tr>
      <w:tr>
        <w:tblPrEx>
          <w:tblCellMar>
            <w:top w:w="0" w:type="dxa"/>
            <w:left w:w="108" w:type="dxa"/>
            <w:bottom w:w="0" w:type="dxa"/>
            <w:right w:w="108" w:type="dxa"/>
          </w:tblCellMar>
        </w:tblPrEx>
        <w:trPr>
          <w:trHeight w:val="540"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调音台</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6路XLR平衡单声通道输入+1组立体声输入通道</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XLR平衡输入话放噪声极低，超低噪音线路设计，动态余量大</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每通道带3段均衡调节， 60MM平滑推子衰减器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1组立体声母线，2组AUX母线输出（包括FX)</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内置48V幻象电源供电</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自带数字效果器,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USB音频播放MP3</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自带蓝牙播放MP3</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LED显示屏清淅显示播放状态</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八段三色精准电平灯显示</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台</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ascii="宋体" w:hAnsi="宋体"/>
                <w:highlight w:val="none"/>
              </w:rPr>
              <w:t>否</w:t>
            </w:r>
          </w:p>
        </w:tc>
      </w:tr>
      <w:tr>
        <w:tblPrEx>
          <w:tblCellMar>
            <w:top w:w="0" w:type="dxa"/>
            <w:left w:w="108" w:type="dxa"/>
            <w:bottom w:w="0" w:type="dxa"/>
            <w:right w:w="108" w:type="dxa"/>
          </w:tblCellMar>
        </w:tblPrEx>
        <w:trPr>
          <w:trHeight w:val="540"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电源时序器</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支持多台设备级联控制，级联状态可自动检测及设置；</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配置RS232接口，支持外部中央控制设备控制；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支持面板Lock锁定功能，防止人为误操作。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参数：额定输出电压 AC 220V 50Hz</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可控制电源 8路，外加2路输出辅助通道</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每路动作延时时间 0-999s</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供电电源 AC 220V 50/60Hz 30A</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状态显示 2”TFT彩色液晶实时显示当前电压,日期,时间,每路开关状态</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单路额定输出电流 13A</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额定总输出电流 30A</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定时器功能：支持</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台</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ascii="宋体" w:hAnsi="宋体"/>
                <w:highlight w:val="none"/>
              </w:rPr>
              <w:t>否</w:t>
            </w:r>
          </w:p>
        </w:tc>
      </w:tr>
      <w:tr>
        <w:tblPrEx>
          <w:tblCellMar>
            <w:top w:w="0" w:type="dxa"/>
            <w:left w:w="108" w:type="dxa"/>
            <w:bottom w:w="0" w:type="dxa"/>
            <w:right w:w="108" w:type="dxa"/>
          </w:tblCellMar>
        </w:tblPrEx>
        <w:trPr>
          <w:trHeight w:val="540"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实物投影仪</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扫描仪类型 直立式</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分辨率 （800万）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传感器 1/2.5 COMS</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对焦方式 自动对焦</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最大拍摄幅面 A4幅面</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图像色彩 RGB24位真彩</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支持</w:t>
            </w:r>
            <w:r>
              <w:rPr>
                <w:rFonts w:hint="eastAsia" w:ascii="宋体" w:hAnsi="宋体" w:eastAsia="宋体" w:cs="宋体"/>
                <w:color w:val="auto"/>
                <w:kern w:val="0"/>
                <w:sz w:val="21"/>
                <w:szCs w:val="21"/>
                <w:highlight w:val="none"/>
                <w:lang w:val="en-US" w:eastAsia="zh-CN"/>
              </w:rPr>
              <w:t>UOS操作系统</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ascii="宋体" w:hAnsi="宋体"/>
                <w:highlight w:val="none"/>
              </w:rPr>
              <w:t>否</w:t>
            </w:r>
          </w:p>
        </w:tc>
      </w:tr>
      <w:tr>
        <w:trPr>
          <w:trHeight w:val="800"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9</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多功能</w:t>
            </w:r>
            <w:r>
              <w:rPr>
                <w:rFonts w:hint="eastAsia" w:ascii="宋体" w:hAnsi="宋体" w:eastAsia="宋体" w:cs="宋体"/>
                <w:color w:val="auto"/>
                <w:kern w:val="0"/>
                <w:sz w:val="21"/>
                <w:szCs w:val="21"/>
                <w:highlight w:val="none"/>
              </w:rPr>
              <w:t>打印机</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打印最大幅面</w:t>
            </w:r>
            <w:r>
              <w:rPr>
                <w:rFonts w:hint="eastAsia" w:ascii="宋体" w:hAnsi="宋体" w:eastAsia="宋体" w:cs="宋体"/>
                <w:color w:val="auto"/>
                <w:kern w:val="0"/>
                <w:sz w:val="21"/>
                <w:szCs w:val="21"/>
                <w:highlight w:val="none"/>
                <w:lang w:val="en-US" w:eastAsia="zh-CN"/>
              </w:rPr>
              <w:t>A4</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首页输出时间：6.3秒；打印速度：35PPM；</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打印分辨率：1200dpi；复印速度：35PPM；复印分辨率：600dpi；</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复印缩放比率：25%到400%；扫描分辨率：1200dpi；</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内存：512M；处理器：1.2GHz；</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输入纸盒容量：100页纸盒+250页进纸盒+50页ADF；输出纸盒容量：150页；最高打印负荷：80000页/月；</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接口：1 个高速 USB 2.0 端口;1 个主机 USB 端口;1个前置USB端口，1 个千兆以太网 10/100/1000T 网络端口；1 个无线 802.11b/g/n 无线端口; 自动双面打印单元：标配；移动打印功能：标配；扫描自动进纸器容量：50页；</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2.7英寸彩色触摸屏;</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支持UOS操作系统</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ascii="宋体" w:hAnsi="宋体"/>
                <w:highlight w:val="none"/>
              </w:rPr>
              <w:t>否</w:t>
            </w:r>
          </w:p>
        </w:tc>
      </w:tr>
      <w:tr>
        <w:tblPrEx>
          <w:tblCellMar>
            <w:top w:w="0" w:type="dxa"/>
            <w:left w:w="108" w:type="dxa"/>
            <w:bottom w:w="0" w:type="dxa"/>
            <w:right w:w="108" w:type="dxa"/>
          </w:tblCellMar>
        </w:tblPrEx>
        <w:trPr>
          <w:trHeight w:val="540"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液晶电视机</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65英寸语音金属全面屏4K超高清</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ascii="宋体" w:hAnsi="宋体"/>
                <w:highlight w:val="none"/>
              </w:rPr>
              <w:t>否</w:t>
            </w:r>
          </w:p>
        </w:tc>
      </w:tr>
      <w:tr>
        <w:trPr>
          <w:trHeight w:val="540"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显示器</w:t>
            </w:r>
            <w:r>
              <w:rPr>
                <w:rFonts w:hint="eastAsia" w:ascii="宋体" w:hAnsi="宋体" w:eastAsia="宋体" w:cs="宋体"/>
                <w:color w:val="auto"/>
                <w:kern w:val="0"/>
                <w:sz w:val="21"/>
                <w:szCs w:val="21"/>
                <w:highlight w:val="none"/>
                <w:lang w:eastAsia="zh-CN"/>
              </w:rPr>
              <w:t>支架</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颜色：黑色  桌面显示器专用支架，可调整显示器与桌面成0度～90度角，75mm及100mm孔距</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个</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ascii="宋体" w:hAnsi="宋体"/>
                <w:highlight w:val="none"/>
              </w:rPr>
              <w:t>否</w:t>
            </w:r>
          </w:p>
        </w:tc>
      </w:tr>
      <w:tr>
        <w:tblPrEx>
          <w:tblCellMar>
            <w:top w:w="0" w:type="dxa"/>
            <w:left w:w="108" w:type="dxa"/>
            <w:bottom w:w="0" w:type="dxa"/>
            <w:right w:w="108" w:type="dxa"/>
          </w:tblCellMar>
        </w:tblPrEx>
        <w:trPr>
          <w:trHeight w:val="540"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显示器</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配置≥</w:t>
            </w:r>
            <w:r>
              <w:rPr>
                <w:rFonts w:hint="eastAsia" w:ascii="宋体" w:hAnsi="宋体" w:eastAsia="宋体" w:cs="宋体"/>
                <w:color w:val="auto"/>
                <w:sz w:val="21"/>
                <w:szCs w:val="21"/>
                <w:highlight w:val="none"/>
                <w:lang w:val="en-US" w:eastAsia="zh-CN"/>
              </w:rPr>
              <w:t>21.5</w:t>
            </w:r>
            <w:r>
              <w:rPr>
                <w:rFonts w:hint="eastAsia" w:ascii="宋体" w:hAnsi="宋体" w:eastAsia="宋体" w:cs="宋体"/>
                <w:color w:val="auto"/>
                <w:sz w:val="21"/>
                <w:szCs w:val="21"/>
                <w:highlight w:val="none"/>
                <w:lang w:eastAsia="zh-CN"/>
              </w:rPr>
              <w:t>英寸</w:t>
            </w:r>
            <w:r>
              <w:rPr>
                <w:rFonts w:hint="eastAsia" w:ascii="宋体" w:hAnsi="宋体" w:eastAsia="宋体" w:cs="宋体"/>
                <w:color w:val="auto"/>
                <w:sz w:val="21"/>
                <w:szCs w:val="21"/>
                <w:highlight w:val="none"/>
              </w:rPr>
              <w:t>LED示器</w:t>
            </w:r>
            <w:r>
              <w:rPr>
                <w:rFonts w:hint="eastAsia" w:ascii="宋体" w:hAnsi="宋体" w:eastAsia="宋体" w:cs="宋体"/>
                <w:color w:val="auto"/>
                <w:sz w:val="21"/>
                <w:szCs w:val="21"/>
                <w:highlight w:val="none"/>
                <w:lang w:eastAsia="zh-CN"/>
              </w:rPr>
              <w:t>，支持</w:t>
            </w:r>
            <w:r>
              <w:rPr>
                <w:rFonts w:hint="eastAsia" w:ascii="宋体" w:hAnsi="宋体" w:eastAsia="宋体" w:cs="宋体"/>
                <w:color w:val="auto"/>
                <w:sz w:val="21"/>
                <w:szCs w:val="21"/>
                <w:highlight w:val="none"/>
                <w:lang w:val="en-US" w:eastAsia="zh-CN"/>
              </w:rPr>
              <w:t>HDMI</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ascii="宋体" w:hAnsi="宋体"/>
                <w:highlight w:val="none"/>
              </w:rPr>
              <w:t>否</w:t>
            </w:r>
          </w:p>
        </w:tc>
      </w:tr>
      <w:tr>
        <w:tblPrEx>
          <w:tblCellMar>
            <w:top w:w="0" w:type="dxa"/>
            <w:left w:w="108" w:type="dxa"/>
            <w:bottom w:w="0" w:type="dxa"/>
            <w:right w:w="108" w:type="dxa"/>
          </w:tblCellMar>
        </w:tblPrEx>
        <w:trPr>
          <w:trHeight w:val="540"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电脑图像分配器</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HDMI</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台</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ascii="宋体" w:hAnsi="宋体"/>
                <w:highlight w:val="none"/>
              </w:rPr>
              <w:t>否</w:t>
            </w:r>
          </w:p>
        </w:tc>
      </w:tr>
      <w:tr>
        <w:tblPrEx>
          <w:tblCellMar>
            <w:top w:w="0" w:type="dxa"/>
            <w:left w:w="108" w:type="dxa"/>
            <w:bottom w:w="0" w:type="dxa"/>
            <w:right w:w="108" w:type="dxa"/>
          </w:tblCellMar>
        </w:tblPrEx>
        <w:trPr>
          <w:trHeight w:val="540"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HDMI切换器</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书记员切换庭审现场示证画面或切换笔录显示</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台</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ascii="宋体" w:hAnsi="宋体"/>
                <w:highlight w:val="none"/>
              </w:rPr>
              <w:t>否</w:t>
            </w:r>
          </w:p>
        </w:tc>
      </w:tr>
      <w:tr>
        <w:tblPrEx>
          <w:tblCellMar>
            <w:top w:w="0" w:type="dxa"/>
            <w:left w:w="108" w:type="dxa"/>
            <w:bottom w:w="0" w:type="dxa"/>
            <w:right w:w="108" w:type="dxa"/>
          </w:tblCellMar>
        </w:tblPrEx>
        <w:trPr>
          <w:trHeight w:val="639"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桌面接口</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原被告桌面下接口，VGA×1、音频×1、电源接口×1、网口×2、切换键×1</w:t>
            </w:r>
            <w:r>
              <w:rPr>
                <w:rFonts w:hint="eastAsia" w:ascii="宋体" w:hAnsi="宋体" w:eastAsia="宋体" w:cs="宋体"/>
                <w:color w:val="auto"/>
                <w:kern w:val="0"/>
                <w:sz w:val="21"/>
                <w:szCs w:val="21"/>
                <w:highlight w:val="none"/>
                <w:lang w:val="en-US" w:eastAsia="zh-CN" w:bidi="ar"/>
              </w:rPr>
              <w:t xml:space="preserve"> </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台</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ascii="宋体" w:hAnsi="宋体"/>
                <w:highlight w:val="none"/>
              </w:rPr>
              <w:t>否</w:t>
            </w:r>
          </w:p>
        </w:tc>
      </w:tr>
      <w:tr>
        <w:tblPrEx>
          <w:tblCellMar>
            <w:top w:w="0" w:type="dxa"/>
            <w:left w:w="108" w:type="dxa"/>
            <w:bottom w:w="0" w:type="dxa"/>
            <w:right w:w="108" w:type="dxa"/>
          </w:tblCellMar>
        </w:tblPrEx>
        <w:trPr>
          <w:trHeight w:val="540"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交换机</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8端口POE千兆交换机，设备自身能自动检测识别符合标准的受电设备并通过网线为其供电</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台</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ascii="宋体" w:hAnsi="宋体"/>
                <w:highlight w:val="none"/>
              </w:rPr>
              <w:t>否</w:t>
            </w:r>
          </w:p>
        </w:tc>
      </w:tr>
      <w:tr>
        <w:tblPrEx>
          <w:tblCellMar>
            <w:top w:w="0" w:type="dxa"/>
            <w:left w:w="108" w:type="dxa"/>
            <w:bottom w:w="0" w:type="dxa"/>
            <w:right w:w="108" w:type="dxa"/>
          </w:tblCellMar>
        </w:tblPrEx>
        <w:trPr>
          <w:trHeight w:val="90"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线材辅料</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bidi="ar"/>
              </w:rPr>
              <w:t>庭审</w:t>
            </w:r>
            <w:r>
              <w:rPr>
                <w:rFonts w:hint="eastAsia" w:ascii="宋体" w:hAnsi="宋体" w:eastAsia="宋体" w:cs="宋体"/>
                <w:color w:val="auto"/>
                <w:kern w:val="0"/>
                <w:sz w:val="21"/>
                <w:szCs w:val="21"/>
                <w:highlight w:val="none"/>
                <w:lang w:bidi="ar"/>
              </w:rPr>
              <w:t>系统设备使用配套线材</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sz w:val="21"/>
                <w:szCs w:val="21"/>
                <w:highlight w:val="none"/>
                <w:lang w:val="en-US" w:eastAsia="zh-CN"/>
              </w:rPr>
              <w:t>HDMI</w:t>
            </w:r>
            <w:r>
              <w:rPr>
                <w:rFonts w:hint="eastAsia" w:ascii="宋体" w:hAnsi="宋体" w:eastAsia="宋体" w:cs="宋体"/>
                <w:color w:val="auto"/>
                <w:sz w:val="21"/>
                <w:szCs w:val="21"/>
                <w:highlight w:val="none"/>
                <w:lang w:eastAsia="zh-CN"/>
              </w:rPr>
              <w:t>须支持4K和音视频同传，根据实际长度数量定制</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项</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ascii="宋体" w:hAnsi="宋体"/>
                <w:highlight w:val="none"/>
              </w:rPr>
              <w:t>否</w:t>
            </w:r>
          </w:p>
        </w:tc>
      </w:tr>
      <w:tr>
        <w:tblPrEx>
          <w:tblCellMar>
            <w:top w:w="0" w:type="dxa"/>
            <w:left w:w="108" w:type="dxa"/>
            <w:bottom w:w="0" w:type="dxa"/>
            <w:right w:w="108" w:type="dxa"/>
          </w:tblCellMar>
        </w:tblPrEx>
        <w:trPr>
          <w:trHeight w:val="540" w:hRule="atLeast"/>
          <w:jc w:val="center"/>
        </w:trPr>
        <w:tc>
          <w:tcPr>
            <w:tcW w:w="10205" w:type="dxa"/>
            <w:gridSpan w:val="5"/>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（三）机房精密空调</w:t>
            </w:r>
          </w:p>
        </w:tc>
        <w:tc>
          <w:tcPr>
            <w:tcW w:w="811"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21"/>
                <w:szCs w:val="21"/>
                <w:highlight w:val="none"/>
              </w:rPr>
            </w:pPr>
          </w:p>
        </w:tc>
      </w:tr>
      <w:tr>
        <w:tblPrEx>
          <w:tblCellMar>
            <w:top w:w="0" w:type="dxa"/>
            <w:left w:w="108" w:type="dxa"/>
            <w:bottom w:w="0" w:type="dxa"/>
            <w:right w:w="108" w:type="dxa"/>
          </w:tblCellMar>
        </w:tblPrEx>
        <w:trPr>
          <w:trHeight w:val="540" w:hRule="atLeast"/>
          <w:jc w:val="center"/>
        </w:trPr>
        <w:tc>
          <w:tcPr>
            <w:tcW w:w="782"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49"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机房精密空调</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（1）精密空调总冷量≥12.5 kW，显冷量≥11.25 kW，风量≥ 3200m³/h</w:t>
            </w:r>
            <w:r>
              <w:rPr>
                <w:rFonts w:hint="eastAsia" w:ascii="宋体" w:hAnsi="宋体" w:eastAsia="宋体" w:cs="宋体"/>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（2）为提高系统可靠性，空调压缩机应采用柔性涡旋式压缩机。 应采用R410A环保制冷剂。</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（3）蒸发器应为“/”型设计，且采用内螺纹紫铜管亲水开窗铝箔结构，增强蒸发换热效率和亲水性，不接受微通道结构。</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（4）为快速响应制冷需求变化，精准确保制冷剂流量，必须配置节能高效电子膨胀阀，不接受热力膨胀阀。</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（5）为方便查询精密空调运行状态，空调必须具有存储不少于30天的温度、湿度曲线数据。</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（6）为防止触电风险，电控盒不允许直接裸露，应具备防护盖设计，以确保安全。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（7）为保证空调电源线的可靠连接，防止接触不良轻易脱落等危险，空调电控盒开关下方应采用线缆防脱落压线夹设计。</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（8）为方便判定空调故障追溯查看历史信息，空调必须具有本地存储不少于1000条历史记录</w:t>
            </w:r>
            <w:r>
              <w:rPr>
                <w:rFonts w:hint="eastAsia" w:ascii="宋体" w:hAnsi="宋体" w:eastAsia="宋体" w:cs="宋体"/>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（9）为提高空调可靠性，防止电网波动导致空调故障，空调应能检测电源电压、频率、相序等参数，同时对超过其允许范围有报警提醒，以保障机房空调用电的安全可靠，该功能支持现场验证。</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（10）精密空调显示屏可显示系统实时高低压压力，并能根据冷凝器管道内部压力变化自动调节冷凝风机的运转速度，保障系统正常运行。</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（11）机房精密空调应具备电加热器，为提高加热器的效率和可靠性，应采用PTC式加热器，加热量≥3kW。在风量较低或者没有风量的情况下，加热器基本上不加热，防止机组出现高温损伤并节约能耗。</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（12）机房精密空调机组应采用可拆洗式电极加湿器，加湿量≥3kg/h, 为降低加湿能耗，避免加湿量与需求量不相符造成的环境湿度精度下降及不必要的损耗，加湿量应在30%～100%范围内连续可调。</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（13）机房精密空调工作电源制式应支持：380VAC±10%，50Hz±2Hz，电网适应能力更强。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（14）机房精密空调出厂预充制冷剂，配置5米内外机连接管路，7米内外机连接线缆，现场安装可免焊接、免充注。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15）机房精密空调机组应采用上前送风的型式，并采用独立风机系统，风机的电机和风扇数量一致，不接受一台电机带多台风扇的设计。（16）机房精密空调过滤网应采用免工具维护设计，拆装无需额外借助螺丝刀等工具，有效节省现场安装维护时间。</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（17）为提高风机效率及可靠性，应采用AC后倾离心风机。风机应支持从机组正面取出进行现场维修,提高系统的可维护性。该功能支持现场验证。</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（18）精密空调应采用不小于4.3英寸触控屏幕设计，可显示空调实时工作制冷量、风量等关键性能指标参数。</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（19）机房精密空调应具备设定温度数值、湿度数值、加湿比例、除湿比例、制冷制热比例等功能。</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（20）机房精密空调应具备计算压缩机、风机、室外机等主要部件累计运行时间的功能，且能显示工作状况及实时数值，允许对主要部件手动控制等功能。</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（21）机房精密空调应具有三级密码权限管理，对空调运行状态保护。</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（22）精密空调应支持轮巡组网功能，可实现最多不少于64台空调轮巡组网，对轮巡组网内空调机组实现定时轮巡，故障轮值，层叠，需求同步，防竞争运行等功能。</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（23）为方便对空调进行管理，空调应当具有定时开关机功能，可设置在一周内的任何一天开机时间，关机时间或者全天开、全天关闭等功能。</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（24）空调应配置标准RS485通讯接口，支持监控信息上传动环监控，故障自诊断及故障告警，支持来电自启动。</w:t>
            </w:r>
          </w:p>
        </w:tc>
        <w:tc>
          <w:tcPr>
            <w:tcW w:w="685"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w:t>
            </w:r>
          </w:p>
        </w:tc>
        <w:tc>
          <w:tcPr>
            <w:tcW w:w="811"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11"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ascii="宋体" w:hAnsi="宋体"/>
                <w:highlight w:val="none"/>
              </w:rPr>
              <w:t>否</w:t>
            </w:r>
          </w:p>
        </w:tc>
      </w:tr>
      <w:tr>
        <w:tblPrEx>
          <w:tblCellMar>
            <w:top w:w="0" w:type="dxa"/>
            <w:left w:w="108" w:type="dxa"/>
            <w:bottom w:w="0" w:type="dxa"/>
            <w:right w:w="108" w:type="dxa"/>
          </w:tblCellMar>
        </w:tblPrEx>
        <w:trPr>
          <w:trHeight w:val="90" w:hRule="atLeast"/>
          <w:jc w:val="center"/>
        </w:trPr>
        <w:tc>
          <w:tcPr>
            <w:tcW w:w="10205" w:type="dxa"/>
            <w:gridSpan w:val="5"/>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（四）多功能培训会议室</w:t>
            </w:r>
          </w:p>
        </w:tc>
        <w:tc>
          <w:tcPr>
            <w:tcW w:w="811"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21"/>
                <w:szCs w:val="21"/>
                <w:highlight w:val="none"/>
              </w:rPr>
            </w:pPr>
          </w:p>
        </w:tc>
      </w:tr>
      <w:tr>
        <w:tblPrEx>
          <w:tblCellMar>
            <w:top w:w="0" w:type="dxa"/>
            <w:left w:w="108" w:type="dxa"/>
            <w:bottom w:w="0" w:type="dxa"/>
            <w:right w:w="108" w:type="dxa"/>
          </w:tblCellMar>
        </w:tblPrEx>
        <w:trPr>
          <w:trHeight w:val="90"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小间距显示屏</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屏显尺寸：</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352X96CM</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eastAsia="宋体" w:cs="宋体"/>
                <w:color w:val="000000" w:themeColor="text1"/>
                <w:kern w:val="0"/>
                <w:sz w:val="21"/>
                <w:szCs w:val="21"/>
                <w:highlight w:val="none"/>
                <w14:textFill>
                  <w14:solidFill>
                    <w14:schemeClr w14:val="tx1"/>
                  </w14:solidFill>
                </w14:textFill>
              </w:rPr>
              <w:t>1、像素点间距：</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≤1.5mm</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2、像素密度：</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≥422500Dots/m2</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3、单元板分辨率：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≥21632Dots</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4、显示效果：4K超清显示、色温均匀性好、亮度均匀性好，对比度高、色域广</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5、驱动方式：恒流驱动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6、供电方式：支持电源均流DC4.2V～DC5V，供电支持电源双输出电压DC2.8V/DC3.8V</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7、整屏平整度：≤0.04mm</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8、模组平整度：≤0.03mm</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9、拼接缝：≤0.03mm</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10、白平衡亮度：≥600Cd/m²</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11、亮度均匀性：≥99%</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12、色度均匀性：±0.001Cx、Cy内</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13、刷新率：≥3840Hz</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14、像素失控率：&lt;1/100000</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15、发光点中心偏距：＜0.8%</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16、峰值功耗：≤300W/m²</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17、平均功耗：≤120W/m²</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18、最大电流：≤5A</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19、电流增益：电流增益调节范围：1%～199%，电流增益调节级别≥8位</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20、具有列下消隐功能、倍频刷新率提升2/4/8倍、低灰偏色改善</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21、色温为6500K时，100%、75%、50%、25%四档电平白场调节色温误差≤200K</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22、PCB板材采用玻璃化温度≥150℃的覆铜板；PCB板采用FR-4材质，电路采用多层设计，符合CQC13-471301-2018国家标准"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23、每个灯芯的波长误差值在±1nm以内，每个灯芯的亮度误差在5%以内</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24、具有H2S宽动态处理技术，解决主控机二次重复播放时的衰减等现象</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屏幕表面光反射率：照度=10Lux/5600K条件下， 显示屏屏幕表面光反射率 （单位面积反射亮度）＜3.0cd/m²</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26、绝缘电阻：在器具输入插座端或者电源引入端子与外壳裸露金属部件之间的绝缘电阻在正常大气条件下应≥100MΩ，湿热条件下应≥2MΩ</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27、抗拉强度：≥230Mpa</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28、屈服强度：≥170Mpa</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29、灰度等级：采用14bit技术</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具有单点亮度校正，校正后亮度损失≤8%；具有颜色校正功能，具有灰度校正，支持模组校正，具有校正数据存储及自动回读功能</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31、可实现LED单点检测，通讯检测、温度检测、电源检测、温度监控等功能。</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数据备份：数据记忆储存于LED显示模块箱体中，更换箱体设备时，无需重新设定参数</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产品采用高端芯片，可智能调节正常工作与睡眠状态下的节能效果（动态节能，智能息屏），开启智能节电功能比没有开启节能45%以上</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34、防护性能：具有防静电、防电磁干扰、防腐蚀、防霉菌、防虫、防潮、抗震动、抗雷击等功能；具有电源过压、过流、断电保护、分布上电措施、防护等级达到IP60</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35、LED显示屏通过在正常环境下168h不间断运行无故障的老化测试</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36、屏幕温升：最高亮度（白平衡）持续工作4小时，模组表面温升小于20K</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、支持一键点屏技术，开机后自动识别系统连接，无需重置系统配置</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ascii="宋体" w:hAnsi="宋体"/>
                <w:highlight w:val="none"/>
              </w:rPr>
              <w:t>否</w:t>
            </w:r>
          </w:p>
        </w:tc>
      </w:tr>
      <w:tr>
        <w:tblPrEx>
          <w:tblCellMar>
            <w:top w:w="0" w:type="dxa"/>
            <w:left w:w="108" w:type="dxa"/>
            <w:bottom w:w="0" w:type="dxa"/>
            <w:right w:w="108" w:type="dxa"/>
          </w:tblCellMar>
        </w:tblPrEx>
        <w:trPr>
          <w:trHeight w:val="540"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视频处理器</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支持丰富的数字信号接口，包括1路SDI，1路HDMI，2路DVI；</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最大输入分辨率1920*1200@60Hz，支持分辨率任意设置；</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最大带载390万像素，最宽可达8192点，或最高可达4096点；</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支持视频源任意切换，任意缩放；</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支持三画面显示，位置、大小可自由调节；</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支持HDCP高带宽数字内容保护技术；</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双USB2.0高速通讯接口，用于电脑调试和主控间任意级联；</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支持亮度和色温调节；</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支持低亮高灰；</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★支持亮度调节在低亮度时显示画面层次,小间距LED显示屏的亮度10%以下，灰度损失的程度在人眼难以觉察的范围，此功能可以在低亮度的情况下表现更广灰阶范围。；</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★在-20°C-65°C下，控制器所有功能打开且参数设置到最大依然能正常工作，一直连续开断电处理，控制器依然可以正常启动工作， 机箱结构配合散热风扇达到很好的扇热效果。</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★支持自动倍频、2 倍频、3 倍频，采用独特的倍频算法，针对视频源信号小于 30hz 可启用 2 倍频，小于 20hz 可启用 3 倍频，可以将输入信号转成 60Hz 信号输出，提高画面显示效果，信号最高帧率可达 100Hz。</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★支持屏幕除湿功能，通过自定义设置预热屏幕减少屏幕水汽，可以减少死灯、短路、暗亮等问题，延长显示屏使用寿命。</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内部 Vsync, 可以产生固定的帧率，支持设备内部生成 Vsync 同步锁定信号，不仅可避免视频信号 Vsync 不稳定导致的画面异常问题，还可以锁定输出 60/100/120Hz 高帧率高画质画面。</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视频控制设备可支持EUT的连接方法。</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★支持SELV电路，属于I类设备，正常工作条件下和出现单一故障后，SELV 电路所呈现的电压不超过42.4V 交流峰值电压或60V 直流值。</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台</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ascii="宋体" w:hAnsi="宋体"/>
                <w:highlight w:val="none"/>
              </w:rPr>
              <w:t>否</w:t>
            </w:r>
          </w:p>
        </w:tc>
      </w:tr>
      <w:tr>
        <w:tblPrEx>
          <w:tblCellMar>
            <w:top w:w="0" w:type="dxa"/>
            <w:left w:w="108" w:type="dxa"/>
            <w:bottom w:w="0" w:type="dxa"/>
            <w:right w:w="108" w:type="dxa"/>
          </w:tblCellMar>
        </w:tblPrEx>
        <w:trPr>
          <w:trHeight w:val="90"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3</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音箱</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模式:2音路全频</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额定功率: 200W</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阻抗: 8 ohms</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频率响应:60Hz-20KHz</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灵敏度: 101dB</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低音:10"×1布边低音</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高音: 号角高音1"×1</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板材:优质密度板15mm MDF</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表面: 白色耐磨粗点喷漆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面罩: 黑色铁网</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支</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4</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ascii="宋体" w:hAnsi="宋体"/>
                <w:highlight w:val="none"/>
              </w:rPr>
              <w:t>否</w:t>
            </w:r>
          </w:p>
        </w:tc>
      </w:tr>
      <w:tr>
        <w:tblPrEx>
          <w:tblCellMar>
            <w:top w:w="0" w:type="dxa"/>
            <w:left w:w="108" w:type="dxa"/>
            <w:bottom w:w="0" w:type="dxa"/>
            <w:right w:w="108" w:type="dxa"/>
          </w:tblCellMar>
        </w:tblPrEx>
        <w:trPr>
          <w:trHeight w:val="540"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4</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功放</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输出功率: 450W*2/8Ω，</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输出功率:600W*2/4Ω;</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频率响应: 20Hz-20Khz（±0.5dB）</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总谐波失真THD+N: ≤0.05%;</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输入阻抗: 20KΩ平衡输入;</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信噪比: ≥90dB;</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输入灵敏度: 1.0V;</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消耗功率:1350W;</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台</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ascii="宋体" w:hAnsi="宋体"/>
                <w:highlight w:val="none"/>
              </w:rPr>
              <w:t>否</w:t>
            </w:r>
          </w:p>
        </w:tc>
      </w:tr>
      <w:tr>
        <w:tblPrEx>
          <w:tblCellMar>
            <w:top w:w="0" w:type="dxa"/>
            <w:left w:w="108" w:type="dxa"/>
            <w:bottom w:w="0" w:type="dxa"/>
            <w:right w:w="108" w:type="dxa"/>
          </w:tblCellMar>
        </w:tblPrEx>
        <w:trPr>
          <w:trHeight w:val="540"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5</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调音台</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6路XLR平衡单声通道输入+1组立体声输入通道</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XLR平衡输入话放噪声极低，超低噪音线路设计，动态余量大</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每通道带3段均衡调节， 60MM平滑推子衰减器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1组立体声母线，2组AUX母线输出（包括FX)</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内置48V幻象电源供电</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自带数字效果器,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USB音频播放MP3</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自带蓝牙播放MP3</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LED显示屏清淅显示播放状态</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八段三色精准电平灯显示</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台</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ascii="宋体" w:hAnsi="宋体"/>
                <w:highlight w:val="none"/>
              </w:rPr>
              <w:t>否</w:t>
            </w:r>
          </w:p>
        </w:tc>
      </w:tr>
      <w:tr>
        <w:tblPrEx>
          <w:tblCellMar>
            <w:top w:w="0" w:type="dxa"/>
            <w:left w:w="108" w:type="dxa"/>
            <w:bottom w:w="0" w:type="dxa"/>
            <w:right w:w="108" w:type="dxa"/>
          </w:tblCellMar>
        </w:tblPrEx>
        <w:trPr>
          <w:trHeight w:val="540"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6</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电源时序器</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支持多台设备级联控制，级联状态可自动检测及设置；</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配置RS232接口，支持外部中央控制设备控制；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支持面板Lock锁定功能，防止人为误操作。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参数：额定输出电压 AC 220V 50Hz</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可控制电源 8路，外加2路输出辅助通道</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每路动作延时时间 0-999s</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供电电源 AC 220V 50/60Hz 30A</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状态显示 2”TFT彩色液晶实时显示当前电压,日期,时间,每路开关状态</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单路额定输出电流 13A</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额定总输出电流 30A</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定时器功能：支持</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台</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p>
        </w:tc>
      </w:tr>
      <w:tr>
        <w:tblPrEx>
          <w:tblCellMar>
            <w:top w:w="0" w:type="dxa"/>
            <w:left w:w="108" w:type="dxa"/>
            <w:bottom w:w="0" w:type="dxa"/>
            <w:right w:w="108" w:type="dxa"/>
          </w:tblCellMar>
        </w:tblPrEx>
        <w:trPr>
          <w:trHeight w:val="540"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7</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会议数字扩声系统</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频率范围：500-900MHz调制方式：宽带FM</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可调范围：50MHz</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信道数目：200</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信道间隔：250KHz</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频率稳定度：±0.005%以内</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动态范围：&gt;105dB</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最大频偏：±45KHz</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音频响应：40Hz-18KHz(±3dB)</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综合信噪比：&gt;110dB</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综合失真：≤0.2%</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工作温度：-25℃--+40℃</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接收机指标：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接收机方式：二次变频超外差</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输入功率：5W</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中频频率：第一中频：110MHz,第二中频10.7MHz</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无线接口：BNC/50Ω</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灵敏度：12 dBμV (80dBS/N)</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灵敏度调节范围：10-32dBμV</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杂散抑制：≥95dB</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最大输出电平：+10 dBV</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发射器指标：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天线程式：佩挂发射器采用1/4 波长鞭状天线,手持麦克风 内置天线</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输出功率： 20mW</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杂散抑制：-60dB</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配置说明：</w:t>
            </w:r>
            <w:r>
              <w:rPr>
                <w:rFonts w:hint="eastAsia" w:ascii="宋体" w:hAnsi="宋体" w:eastAsia="宋体" w:cs="宋体"/>
                <w:color w:val="auto"/>
                <w:kern w:val="0"/>
                <w:sz w:val="21"/>
                <w:szCs w:val="21"/>
                <w:highlight w:val="none"/>
                <w:lang w:val="en-US" w:eastAsia="zh-CN"/>
              </w:rPr>
              <w:t>1主机4话筒</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ascii="宋体" w:hAnsi="宋体"/>
                <w:highlight w:val="none"/>
              </w:rPr>
              <w:t>否</w:t>
            </w:r>
          </w:p>
        </w:tc>
      </w:tr>
      <w:tr>
        <w:tblPrEx>
          <w:tblCellMar>
            <w:top w:w="0" w:type="dxa"/>
            <w:left w:w="108" w:type="dxa"/>
            <w:bottom w:w="0" w:type="dxa"/>
            <w:right w:w="108" w:type="dxa"/>
          </w:tblCellMar>
        </w:tblPrEx>
        <w:trPr>
          <w:trHeight w:val="540"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8</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高清视频会议终端</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1.采用分体式结构，嵌入式操作系统，非PC架构、非工控机架构。</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2.采用国产自主编解码芯片。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3.支持64Kbps-8Mbps呼叫带宽。</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4.支持ITU-TH.323、IETFSIP协议，具有良好的兼容性和开放性。</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5.支持H.265、H.264HP、H.264BP等图像编码协议。</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6.1080P30fps、720P60fps、720P30fps等分辨率。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7.支持G.711、G.722、G.722.1C、G.729A、AAC-LD、Opus等音频协议，支持双声道立体声功能。</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8.支持数字阵列麦克风接入，麦克风拾音距离≥8米。</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9.支持TR069，实现平台对终端自动配置下发、软件升级、状态监测、故障诊断等功能。</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10.支持H.239和BFCP双流协议。</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11.支持主流达到1080p30fps情况下，辅流同时达到1080p30fps。</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12.支持≥3路高清视频输入接口、≥2路高清视频输出接口</w:t>
            </w:r>
            <w:r>
              <w:rPr>
                <w:rFonts w:hint="eastAsia" w:ascii="宋体" w:hAnsi="宋体" w:eastAsia="宋体" w:cs="宋体"/>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13.支持≥4路音频输入接口、≥4路音频输出接口，至少具备卡侬头、RCA等音频接口</w:t>
            </w:r>
            <w:r>
              <w:rPr>
                <w:rFonts w:hint="eastAsia" w:ascii="宋体" w:hAnsi="宋体" w:eastAsia="宋体" w:cs="宋体"/>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14.支持高清视频信号远距离传输，通过以太网线无须增加额外设备，传输距离不少于100米，方便大型会议室摄像机远距离布置。</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15.支持摄像头一线连接终端，实现同时传输视频信号、控制信号和摄像头供电。</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16.支持不少于2个10M/100M/1000M自适应网口。</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17.标配触控终端，触控屏尺寸≥10英寸，分辨率≥1280×800。</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18.支持终端休眠和唤醒、麦克风静音、音量调节、摄像机PTZ控制、预置位调用、双流共享、呼叫/挂断会场、添加/删除会场、观看/广播会场、结束会议等功能。</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19.支持电源适配器及PoE供电。</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20.需要接入市局视频会议系统</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台</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是</w:t>
            </w:r>
          </w:p>
        </w:tc>
      </w:tr>
      <w:tr>
        <w:tblPrEx>
          <w:tblCellMar>
            <w:top w:w="0" w:type="dxa"/>
            <w:left w:w="108" w:type="dxa"/>
            <w:bottom w:w="0" w:type="dxa"/>
            <w:right w:w="108" w:type="dxa"/>
          </w:tblCellMar>
        </w:tblPrEx>
        <w:trPr>
          <w:trHeight w:val="540"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9</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视频会议摄像机</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1.与所投高清终端同一品牌。</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2.支持图像倒转功能，方便摄像机安装在天花板上。</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3.支持≥851万像素1/2.5英寸CMOS成像芯片，支持WDR图像数字宽动态功能。</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4.支持4K30fps、1080P60fps、1080P30fps等视频输出格式。</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5.支持≥12倍光学变焦。</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6.支持水平视角≥80°。水平转动范围：≥+/-110°，垂直转动范围：≥+/- 30°。</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7.支持≥254个预置位。</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8.支持≥2个RS-232控制接口，支持标准VISCA控制协议。</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9.支持红外透传功能，实现终端遥控器通过摄像机控制机房内会议终端，方便调试。</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10.支持自动白平衡（AWB）、自动曝光（AE）、自动聚焦（AF）功能。</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11.支持本地USB接口软件升级功能。</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台</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ascii="宋体" w:hAnsi="宋体"/>
                <w:highlight w:val="none"/>
              </w:rPr>
              <w:t>否</w:t>
            </w:r>
          </w:p>
        </w:tc>
      </w:tr>
      <w:tr>
        <w:tblPrEx>
          <w:tblCellMar>
            <w:top w:w="0" w:type="dxa"/>
            <w:left w:w="108" w:type="dxa"/>
            <w:bottom w:w="0" w:type="dxa"/>
            <w:right w:w="108" w:type="dxa"/>
          </w:tblCellMar>
        </w:tblPrEx>
        <w:trPr>
          <w:trHeight w:val="796" w:hRule="atLeast"/>
          <w:jc w:val="center"/>
        </w:trPr>
        <w:tc>
          <w:tcPr>
            <w:tcW w:w="782" w:type="dxa"/>
            <w:tcBorders>
              <w:top w:val="nil"/>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34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液晶电视机</w:t>
            </w:r>
          </w:p>
        </w:tc>
        <w:tc>
          <w:tcPr>
            <w:tcW w:w="6578" w:type="dxa"/>
            <w:tcBorders>
              <w:top w:val="single" w:color="auto" w:sz="4" w:space="0"/>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65英寸语音金属全面屏4K超高清</w:t>
            </w:r>
          </w:p>
        </w:tc>
        <w:tc>
          <w:tcPr>
            <w:tcW w:w="685"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11"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ascii="宋体" w:hAnsi="宋体"/>
                <w:highlight w:val="none"/>
              </w:rPr>
              <w:t>否</w:t>
            </w:r>
          </w:p>
        </w:tc>
      </w:tr>
    </w:tbl>
    <w:p>
      <w:pPr>
        <w:widowControl/>
        <w:shd w:val="clear" w:color="auto" w:fill="FFFFFF"/>
        <w:spacing w:line="440" w:lineRule="exact"/>
        <w:jc w:val="left"/>
        <w:rPr>
          <w:rFonts w:ascii="宋体" w:hAnsi="宋体" w:eastAsia="宋体"/>
          <w:highlight w:val="none"/>
        </w:rPr>
      </w:pPr>
      <w:r>
        <w:rPr>
          <w:rFonts w:hint="eastAsia" w:ascii="宋体" w:hAnsi="宋体" w:eastAsia="宋体" w:cs="微软雅黑"/>
          <w:b/>
          <w:sz w:val="24"/>
          <w:szCs w:val="24"/>
          <w:highlight w:val="none"/>
        </w:rPr>
        <w:t>注：本采购清单中所列技术规格或主要参数为最低要求，不允许负偏离，否则为无效响应。</w:t>
      </w:r>
    </w:p>
    <w:p>
      <w:pPr>
        <w:widowControl/>
        <w:shd w:val="clear" w:color="auto" w:fill="FFFFFF"/>
        <w:spacing w:line="440" w:lineRule="exact"/>
        <w:jc w:val="left"/>
        <w:rPr>
          <w:rFonts w:ascii="宋体" w:hAnsi="宋体" w:eastAsia="宋体" w:cs="黑体"/>
          <w:b/>
          <w:bCs/>
          <w:sz w:val="24"/>
          <w:szCs w:val="24"/>
          <w:highlight w:val="none"/>
          <w:shd w:val="clear" w:color="auto" w:fill="FFFFFF"/>
        </w:rPr>
      </w:pPr>
      <w:r>
        <w:rPr>
          <w:rFonts w:hint="eastAsia" w:ascii="宋体" w:hAnsi="宋体" w:eastAsia="宋体" w:cs="黑体"/>
          <w:b/>
          <w:bCs/>
          <w:sz w:val="24"/>
          <w:szCs w:val="24"/>
          <w:highlight w:val="none"/>
          <w:shd w:val="clear" w:color="auto" w:fill="FFFFFF"/>
        </w:rPr>
        <w:t>三、采购标的执行标准：执行国家相关标准。</w:t>
      </w:r>
    </w:p>
    <w:p>
      <w:pPr>
        <w:tabs>
          <w:tab w:val="left" w:pos="7095"/>
        </w:tabs>
        <w:spacing w:line="440" w:lineRule="exact"/>
        <w:rPr>
          <w:rFonts w:ascii="宋体" w:hAnsi="宋体" w:eastAsia="宋体" w:cs="黑体"/>
          <w:b/>
          <w:bCs/>
          <w:sz w:val="24"/>
          <w:szCs w:val="24"/>
          <w:highlight w:val="none"/>
          <w:shd w:val="clear" w:color="auto" w:fill="FFFFFF"/>
        </w:rPr>
      </w:pPr>
      <w:r>
        <w:rPr>
          <w:rFonts w:hint="eastAsia" w:ascii="宋体" w:hAnsi="宋体" w:eastAsia="宋体" w:cs="黑体"/>
          <w:b/>
          <w:bCs/>
          <w:sz w:val="24"/>
          <w:szCs w:val="24"/>
          <w:highlight w:val="none"/>
          <w:shd w:val="clear" w:color="auto" w:fill="FFFFFF"/>
        </w:rPr>
        <w:t>四、服务标准、期限、效率等要求：</w:t>
      </w:r>
    </w:p>
    <w:p>
      <w:pPr>
        <w:tabs>
          <w:tab w:val="left" w:pos="7095"/>
        </w:tabs>
        <w:spacing w:line="440" w:lineRule="exact"/>
        <w:ind w:firstLine="420" w:firstLineChars="200"/>
        <w:rPr>
          <w:rFonts w:ascii="宋体" w:hAnsi="宋体" w:eastAsia="宋体"/>
          <w:szCs w:val="21"/>
          <w:highlight w:val="none"/>
        </w:rPr>
      </w:pPr>
      <w:r>
        <w:rPr>
          <w:rFonts w:hint="eastAsia" w:ascii="宋体" w:hAnsi="宋体" w:eastAsia="宋体"/>
          <w:szCs w:val="21"/>
          <w:highlight w:val="none"/>
        </w:rPr>
        <w:t>符合业主需求，合同</w:t>
      </w:r>
      <w:r>
        <w:rPr>
          <w:rFonts w:hint="eastAsia" w:ascii="宋体" w:hAnsi="宋体" w:eastAsia="宋体"/>
          <w:szCs w:val="21"/>
          <w:highlight w:val="none"/>
          <w:lang w:val="en-US" w:eastAsia="zh-CN"/>
        </w:rPr>
        <w:t>签订后60日历天内完成</w:t>
      </w:r>
      <w:r>
        <w:rPr>
          <w:rFonts w:hint="eastAsia" w:ascii="宋体" w:hAnsi="宋体" w:eastAsia="宋体"/>
          <w:szCs w:val="21"/>
          <w:highlight w:val="none"/>
        </w:rPr>
        <w:t>。</w:t>
      </w:r>
    </w:p>
    <w:p>
      <w:pPr>
        <w:tabs>
          <w:tab w:val="left" w:pos="7095"/>
        </w:tabs>
        <w:spacing w:line="440" w:lineRule="exact"/>
        <w:rPr>
          <w:rFonts w:ascii="宋体" w:hAnsi="宋体" w:eastAsia="宋体" w:cs="黑体"/>
          <w:b/>
          <w:bCs/>
          <w:sz w:val="24"/>
          <w:szCs w:val="24"/>
          <w:highlight w:val="none"/>
          <w:shd w:val="clear" w:color="auto" w:fill="FFFFFF"/>
        </w:rPr>
      </w:pPr>
      <w:r>
        <w:rPr>
          <w:rFonts w:hint="eastAsia" w:ascii="宋体" w:hAnsi="宋体" w:eastAsia="宋体" w:cs="黑体"/>
          <w:b/>
          <w:bCs/>
          <w:sz w:val="24"/>
          <w:szCs w:val="24"/>
          <w:highlight w:val="none"/>
          <w:shd w:val="clear" w:color="auto" w:fill="FFFFFF"/>
        </w:rPr>
        <w:t>五、采购标的的其他技术、服务等要求：</w:t>
      </w:r>
    </w:p>
    <w:p>
      <w:pPr>
        <w:tabs>
          <w:tab w:val="left" w:pos="7095"/>
        </w:tabs>
        <w:spacing w:line="440" w:lineRule="exact"/>
        <w:ind w:firstLine="420" w:firstLineChars="200"/>
        <w:rPr>
          <w:rFonts w:ascii="宋体" w:hAnsi="宋体" w:eastAsia="宋体"/>
          <w:szCs w:val="21"/>
          <w:highlight w:val="none"/>
        </w:rPr>
      </w:pPr>
      <w:r>
        <w:rPr>
          <w:rFonts w:hint="eastAsia" w:ascii="宋体" w:hAnsi="宋体" w:eastAsia="宋体"/>
          <w:szCs w:val="21"/>
          <w:highlight w:val="none"/>
        </w:rPr>
        <w:t>1、供应商须明确投标产品的厂家、产地、品牌、型号，否则为无效响应文件 。</w:t>
      </w:r>
    </w:p>
    <w:p>
      <w:pPr>
        <w:tabs>
          <w:tab w:val="left" w:pos="7095"/>
        </w:tabs>
        <w:spacing w:line="440" w:lineRule="exact"/>
        <w:ind w:firstLine="420" w:firstLineChars="200"/>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、供应商应就该项目完整投标（报价含税费等），否则为无效响应文件。</w:t>
      </w:r>
    </w:p>
    <w:p>
      <w:pPr>
        <w:tabs>
          <w:tab w:val="left" w:pos="7095"/>
        </w:tabs>
        <w:spacing w:line="440" w:lineRule="exact"/>
        <w:ind w:firstLine="420" w:firstLineChars="200"/>
        <w:rPr>
          <w:rFonts w:ascii="宋体" w:hAnsi="宋体" w:eastAsia="宋体"/>
          <w:szCs w:val="21"/>
          <w:highlight w:val="none"/>
        </w:rPr>
      </w:pPr>
      <w:r>
        <w:rPr>
          <w:rFonts w:hint="eastAsia" w:ascii="宋体" w:hAnsi="宋体" w:eastAsia="宋体"/>
          <w:szCs w:val="21"/>
          <w:highlight w:val="none"/>
        </w:rPr>
        <w:t>3、所投产品必须符合</w:t>
      </w:r>
      <w:r>
        <w:rPr>
          <w:rFonts w:hint="eastAsia" w:ascii="宋体" w:hAnsi="宋体" w:eastAsia="宋体"/>
          <w:szCs w:val="21"/>
          <w:highlight w:val="none"/>
          <w:lang w:eastAsia="zh-CN"/>
        </w:rPr>
        <w:t>招标</w:t>
      </w:r>
      <w:r>
        <w:rPr>
          <w:rFonts w:hint="eastAsia" w:ascii="宋体" w:hAnsi="宋体" w:eastAsia="宋体"/>
          <w:szCs w:val="21"/>
          <w:highlight w:val="none"/>
        </w:rPr>
        <w:t>文件规定标准的全新正品现货，否则为无效响应文件 。</w:t>
      </w:r>
    </w:p>
    <w:p>
      <w:pPr>
        <w:tabs>
          <w:tab w:val="left" w:pos="7095"/>
        </w:tabs>
        <w:spacing w:line="440" w:lineRule="exact"/>
        <w:ind w:firstLine="420" w:firstLineChars="200"/>
        <w:rPr>
          <w:rFonts w:ascii="宋体" w:hAnsi="宋体" w:eastAsia="宋体"/>
          <w:szCs w:val="21"/>
          <w:highlight w:val="none"/>
        </w:rPr>
      </w:pPr>
      <w:r>
        <w:rPr>
          <w:rFonts w:ascii="宋体" w:hAnsi="宋体" w:eastAsia="宋体"/>
          <w:szCs w:val="21"/>
          <w:highlight w:val="none"/>
        </w:rPr>
        <w:t>4</w:t>
      </w:r>
      <w:r>
        <w:rPr>
          <w:rFonts w:hint="eastAsia" w:ascii="宋体" w:hAnsi="宋体" w:eastAsia="宋体"/>
          <w:szCs w:val="21"/>
          <w:highlight w:val="none"/>
        </w:rPr>
        <w:t>、本</w:t>
      </w:r>
      <w:r>
        <w:rPr>
          <w:rFonts w:hint="eastAsia" w:ascii="宋体" w:hAnsi="宋体" w:eastAsia="宋体"/>
          <w:szCs w:val="21"/>
          <w:highlight w:val="none"/>
          <w:lang w:eastAsia="zh-CN"/>
        </w:rPr>
        <w:t>招标</w:t>
      </w:r>
      <w:r>
        <w:rPr>
          <w:rFonts w:hint="eastAsia" w:ascii="宋体" w:hAnsi="宋体" w:eastAsia="宋体"/>
          <w:szCs w:val="21"/>
          <w:highlight w:val="none"/>
        </w:rPr>
        <w:t>文件所列需求为最低要求，供应商不得低于此要求，否则为无效响应文件。</w:t>
      </w:r>
    </w:p>
    <w:p>
      <w:pPr>
        <w:tabs>
          <w:tab w:val="left" w:pos="7095"/>
        </w:tabs>
        <w:spacing w:line="440" w:lineRule="exact"/>
        <w:ind w:firstLine="420" w:firstLineChars="200"/>
        <w:rPr>
          <w:rFonts w:ascii="宋体" w:hAnsi="宋体" w:eastAsia="宋体"/>
          <w:szCs w:val="21"/>
          <w:highlight w:val="none"/>
        </w:rPr>
      </w:pPr>
      <w:r>
        <w:rPr>
          <w:rFonts w:ascii="宋体" w:hAnsi="宋体" w:eastAsia="宋体"/>
          <w:szCs w:val="21"/>
          <w:highlight w:val="none"/>
        </w:rPr>
        <w:t>5</w:t>
      </w:r>
      <w:r>
        <w:rPr>
          <w:rFonts w:hint="eastAsia" w:ascii="宋体" w:hAnsi="宋体" w:eastAsia="宋体"/>
          <w:szCs w:val="21"/>
          <w:highlight w:val="none"/>
        </w:rPr>
        <w:t>、响应文件中须有详细的实施（技术）方案，须明确售后负责人、联系人和联系电话否则为无效响应文件。</w:t>
      </w:r>
    </w:p>
    <w:p>
      <w:pPr>
        <w:tabs>
          <w:tab w:val="left" w:pos="7095"/>
        </w:tabs>
        <w:spacing w:line="440" w:lineRule="exact"/>
        <w:rPr>
          <w:rFonts w:ascii="宋体" w:hAnsi="宋体" w:eastAsia="宋体" w:cs="黑体"/>
          <w:b/>
          <w:bCs/>
          <w:color w:val="auto"/>
          <w:sz w:val="24"/>
          <w:szCs w:val="24"/>
          <w:highlight w:val="none"/>
          <w:shd w:val="clear" w:color="auto" w:fill="FFFFFF"/>
        </w:rPr>
      </w:pPr>
      <w:r>
        <w:rPr>
          <w:rFonts w:hint="eastAsia" w:ascii="宋体" w:hAnsi="宋体" w:eastAsia="宋体" w:cs="黑体"/>
          <w:b/>
          <w:bCs/>
          <w:color w:val="auto"/>
          <w:sz w:val="24"/>
          <w:szCs w:val="24"/>
          <w:highlight w:val="none"/>
          <w:shd w:val="clear" w:color="auto" w:fill="FFFFFF"/>
        </w:rPr>
        <w:t>六、验收标准：</w:t>
      </w:r>
    </w:p>
    <w:p>
      <w:pPr>
        <w:tabs>
          <w:tab w:val="left" w:pos="7095"/>
        </w:tabs>
        <w:spacing w:line="44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tabs>
          <w:tab w:val="left" w:pos="7095"/>
        </w:tabs>
        <w:spacing w:line="44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1、按照国家相关标准、行业标准、地方标准或者其他标准、规范验收（与采购标的执行标准一致，选填）；</w:t>
      </w:r>
    </w:p>
    <w:p>
      <w:pPr>
        <w:tabs>
          <w:tab w:val="left" w:pos="7095"/>
        </w:tabs>
        <w:spacing w:line="44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2、按照</w:t>
      </w:r>
      <w:r>
        <w:rPr>
          <w:rFonts w:hint="eastAsia" w:ascii="宋体" w:hAnsi="宋体" w:eastAsia="宋体"/>
          <w:color w:val="auto"/>
          <w:szCs w:val="21"/>
          <w:highlight w:val="none"/>
          <w:lang w:eastAsia="zh-CN"/>
        </w:rPr>
        <w:t>招标</w:t>
      </w:r>
      <w:r>
        <w:rPr>
          <w:rFonts w:hint="eastAsia" w:ascii="宋体" w:hAnsi="宋体" w:eastAsia="宋体"/>
          <w:color w:val="auto"/>
          <w:szCs w:val="21"/>
          <w:highlight w:val="none"/>
        </w:rPr>
        <w:t>文件要求、响应文件响应和承诺验收；</w:t>
      </w:r>
    </w:p>
    <w:p>
      <w:pPr>
        <w:tabs>
          <w:tab w:val="left" w:pos="7095"/>
        </w:tabs>
        <w:spacing w:line="44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3、符合</w:t>
      </w:r>
      <w:r>
        <w:rPr>
          <w:rFonts w:hint="eastAsia" w:ascii="宋体" w:hAnsi="宋体" w:eastAsia="宋体"/>
          <w:color w:val="auto"/>
          <w:szCs w:val="21"/>
          <w:highlight w:val="none"/>
          <w:lang w:eastAsia="zh-CN"/>
        </w:rPr>
        <w:t>招标</w:t>
      </w:r>
      <w:r>
        <w:rPr>
          <w:rFonts w:hint="eastAsia" w:ascii="宋体" w:hAnsi="宋体" w:eastAsia="宋体"/>
          <w:color w:val="auto"/>
          <w:szCs w:val="21"/>
          <w:highlight w:val="none"/>
        </w:rPr>
        <w:t>文件要求和响应文件承诺；</w:t>
      </w:r>
    </w:p>
    <w:p>
      <w:pPr>
        <w:tabs>
          <w:tab w:val="left" w:pos="7095"/>
        </w:tabs>
        <w:spacing w:line="44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4、本项目验收如需要第三方验收，中标方将承担所有产生的费用。</w:t>
      </w:r>
    </w:p>
    <w:p>
      <w:pPr>
        <w:tabs>
          <w:tab w:val="left" w:pos="7095"/>
        </w:tabs>
        <w:spacing w:line="440" w:lineRule="exact"/>
        <w:rPr>
          <w:rFonts w:ascii="宋体" w:hAnsi="宋体" w:eastAsia="宋体" w:cs="黑体"/>
          <w:b/>
          <w:bCs/>
          <w:color w:val="auto"/>
          <w:sz w:val="24"/>
          <w:szCs w:val="24"/>
          <w:highlight w:val="none"/>
          <w:shd w:val="clear" w:color="auto" w:fill="FFFFFF"/>
        </w:rPr>
      </w:pPr>
      <w:r>
        <w:rPr>
          <w:rFonts w:hint="eastAsia" w:ascii="宋体" w:hAnsi="宋体" w:eastAsia="宋体" w:cs="黑体"/>
          <w:b/>
          <w:bCs/>
          <w:color w:val="auto"/>
          <w:sz w:val="24"/>
          <w:szCs w:val="24"/>
          <w:highlight w:val="none"/>
          <w:shd w:val="clear" w:color="auto" w:fill="FFFFFF"/>
        </w:rPr>
        <w:t>七、采购资金支付</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ascii="宋体" w:hAnsi="宋体" w:eastAsia="宋体"/>
          <w:color w:val="auto"/>
          <w:szCs w:val="21"/>
          <w:highlight w:val="none"/>
        </w:rPr>
      </w:pPr>
      <w:r>
        <w:rPr>
          <w:rFonts w:hint="eastAsia" w:ascii="宋体" w:hAnsi="宋体" w:eastAsia="宋体"/>
          <w:color w:val="auto"/>
          <w:szCs w:val="21"/>
          <w:highlight w:val="none"/>
        </w:rPr>
        <w:t>（一）支付方式：</w:t>
      </w:r>
      <w:r>
        <w:rPr>
          <w:rFonts w:hint="eastAsia" w:cs="仿宋_GB2312" w:asciiTheme="minorEastAsia" w:hAnsiTheme="minorEastAsia"/>
          <w:color w:val="auto"/>
          <w:szCs w:val="21"/>
          <w:highlight w:val="none"/>
          <w:lang w:val="zh-CN"/>
        </w:rPr>
        <w:t>双方签订合同约定。</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hint="eastAsia" w:cs="仿宋_GB2312" w:asciiTheme="minorEastAsia" w:hAnsiTheme="minorEastAsia"/>
          <w:color w:val="auto"/>
          <w:szCs w:val="21"/>
          <w:highlight w:val="none"/>
          <w:lang w:val="zh-CN"/>
        </w:rPr>
      </w:pPr>
      <w:r>
        <w:rPr>
          <w:rFonts w:hint="eastAsia" w:ascii="宋体" w:hAnsi="宋体"/>
          <w:color w:val="auto"/>
          <w:szCs w:val="21"/>
          <w:highlight w:val="none"/>
        </w:rPr>
        <w:t>（二）支付时间及条件：</w:t>
      </w:r>
      <w:r>
        <w:rPr>
          <w:rFonts w:hint="eastAsia" w:cs="仿宋_GB2312" w:asciiTheme="minorEastAsia" w:hAnsiTheme="minorEastAsia"/>
          <w:color w:val="auto"/>
          <w:szCs w:val="21"/>
          <w:highlight w:val="none"/>
          <w:lang w:val="zh-CN"/>
        </w:rPr>
        <w:t>双方签订合同约定。</w:t>
      </w:r>
    </w:p>
    <w:p>
      <w:pPr>
        <w:pStyle w:val="2"/>
        <w:rPr>
          <w:rFonts w:hint="eastAsia" w:cs="仿宋_GB2312" w:asciiTheme="minorEastAsia" w:hAnsiTheme="minorEastAsia"/>
          <w:color w:val="auto"/>
          <w:szCs w:val="21"/>
          <w:highlight w:val="none"/>
          <w:lang w:val="zh-CN"/>
        </w:rPr>
      </w:pPr>
    </w:p>
    <w:p>
      <w:pPr>
        <w:pStyle w:val="24"/>
        <w:rPr>
          <w:rFonts w:hint="eastAsia" w:cs="仿宋_GB2312" w:asciiTheme="minorEastAsia" w:hAnsiTheme="minorEastAsia"/>
          <w:color w:val="auto"/>
          <w:szCs w:val="21"/>
          <w:highlight w:val="none"/>
          <w:lang w:val="zh-CN"/>
        </w:rPr>
      </w:pPr>
    </w:p>
    <w:p>
      <w:pPr>
        <w:pStyle w:val="26"/>
        <w:jc w:val="both"/>
        <w:rPr>
          <w:rFonts w:hint="eastAsia"/>
          <w:highlight w:val="none"/>
          <w:lang w:val="zh-CN"/>
        </w:rPr>
      </w:pPr>
    </w:p>
    <w:p>
      <w:pPr>
        <w:autoSpaceDE w:val="0"/>
        <w:autoSpaceDN w:val="0"/>
        <w:adjustRightInd w:val="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投标人须知前附表</w:t>
      </w:r>
    </w:p>
    <w:p>
      <w:pPr>
        <w:autoSpaceDE w:val="0"/>
        <w:autoSpaceDN w:val="0"/>
        <w:adjustRightInd w:val="0"/>
        <w:spacing w:line="360" w:lineRule="auto"/>
        <w:ind w:right="-11"/>
        <w:jc w:val="left"/>
        <w:rPr>
          <w:rFonts w:hint="eastAsia" w:ascii="宋体" w:hAnsi="宋体" w:eastAsia="宋体" w:cs="宋体"/>
          <w:b/>
          <w:kern w:val="0"/>
          <w:sz w:val="21"/>
          <w:szCs w:val="21"/>
          <w:highlight w:val="none"/>
        </w:rPr>
      </w:pPr>
      <w:r>
        <w:rPr>
          <w:rFonts w:hint="eastAsia" w:ascii="宋体" w:hAnsi="宋体" w:eastAsia="宋体" w:cs="宋体"/>
          <w:b/>
          <w:color w:val="FF0000"/>
          <w:sz w:val="21"/>
          <w:szCs w:val="21"/>
          <w:highlight w:val="none"/>
        </w:rPr>
        <w:t>招标文件中凡标有★条款均为实质性要求条款，投标文件须完全响应，未实质响应的，按照无效投标处理。</w:t>
      </w:r>
    </w:p>
    <w:tbl>
      <w:tblPr>
        <w:tblStyle w:val="33"/>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61"/>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2061" w:type="dxa"/>
            <w:vAlign w:val="center"/>
          </w:tcPr>
          <w:p>
            <w:pPr>
              <w:autoSpaceDE w:val="0"/>
              <w:autoSpaceDN w:val="0"/>
              <w:adjustRightInd w:val="0"/>
              <w:spacing w:line="276"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条款名称</w:t>
            </w:r>
          </w:p>
        </w:tc>
        <w:tc>
          <w:tcPr>
            <w:tcW w:w="6439" w:type="dxa"/>
            <w:vAlign w:val="center"/>
          </w:tcPr>
          <w:p>
            <w:pPr>
              <w:autoSpaceDE w:val="0"/>
              <w:autoSpaceDN w:val="0"/>
              <w:adjustRightInd w:val="0"/>
              <w:spacing w:line="276"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061"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采购项目</w:t>
            </w:r>
          </w:p>
        </w:tc>
        <w:tc>
          <w:tcPr>
            <w:tcW w:w="6439" w:type="dxa"/>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项目名称：禹州市市场监督管理局知识产权快速维权中心建设项目（不见面开标）第</w:t>
            </w:r>
            <w:r>
              <w:rPr>
                <w:rFonts w:hint="eastAsia" w:ascii="宋体" w:hAnsi="宋体" w:eastAsia="宋体" w:cs="宋体"/>
                <w:sz w:val="21"/>
                <w:szCs w:val="21"/>
                <w:highlight w:val="none"/>
                <w:lang w:eastAsia="zh-CN"/>
              </w:rPr>
              <w:t>三、四</w:t>
            </w:r>
            <w:r>
              <w:rPr>
                <w:rFonts w:hint="eastAsia" w:ascii="宋体" w:hAnsi="宋体" w:eastAsia="宋体" w:cs="宋体"/>
                <w:sz w:val="21"/>
                <w:szCs w:val="21"/>
                <w:highlight w:val="none"/>
              </w:rPr>
              <w:t>标段</w:t>
            </w:r>
            <w:r>
              <w:rPr>
                <w:rFonts w:hint="eastAsia" w:ascii="宋体" w:hAnsi="宋体" w:eastAsia="宋体" w:cs="宋体"/>
                <w:color w:val="000000"/>
                <w:sz w:val="21"/>
                <w:szCs w:val="21"/>
                <w:highlight w:val="none"/>
              </w:rPr>
              <w:t>；</w:t>
            </w:r>
          </w:p>
          <w:p>
            <w:pPr>
              <w:autoSpaceDE w:val="0"/>
              <w:autoSpaceDN w:val="0"/>
              <w:adjustRightInd w:val="0"/>
              <w:spacing w:line="360" w:lineRule="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项目编号：</w:t>
            </w:r>
            <w:r>
              <w:rPr>
                <w:rFonts w:hint="eastAsia" w:ascii="宋体" w:hAnsi="宋体" w:eastAsia="宋体" w:cs="宋体"/>
                <w:color w:val="000000"/>
                <w:sz w:val="21"/>
                <w:szCs w:val="21"/>
                <w:highlight w:val="none"/>
              </w:rPr>
              <w:t>YZCG-DLG202</w:t>
            </w:r>
            <w:r>
              <w:rPr>
                <w:rFonts w:hint="eastAsia" w:ascii="宋体" w:hAnsi="宋体" w:eastAsia="宋体" w:cs="宋体"/>
                <w:color w:val="000000"/>
                <w:sz w:val="21"/>
                <w:szCs w:val="21"/>
                <w:highlight w:val="none"/>
                <w:lang w:val="en-US" w:eastAsia="zh-CN"/>
              </w:rPr>
              <w:t>3046</w:t>
            </w:r>
            <w:r>
              <w:rPr>
                <w:rFonts w:hint="eastAsia" w:ascii="宋体" w:hAnsi="宋体" w:eastAsia="宋体" w:cs="宋体"/>
                <w:color w:val="000000"/>
                <w:sz w:val="21"/>
                <w:szCs w:val="21"/>
                <w:highlight w:val="none"/>
              </w:rPr>
              <w:t xml:space="preserve">； </w:t>
            </w:r>
          </w:p>
          <w:p>
            <w:pPr>
              <w:pStyle w:val="2"/>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投标人制作投标文件时项目编号以该项目编号为准</w:t>
            </w:r>
          </w:p>
          <w:p>
            <w:pPr>
              <w:pStyle w:val="2"/>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项目内容：</w:t>
            </w:r>
            <w:r>
              <w:rPr>
                <w:rFonts w:hint="eastAsia" w:ascii="宋体" w:hAnsi="宋体" w:eastAsia="宋体" w:cs="宋体"/>
                <w:color w:val="000000"/>
                <w:sz w:val="21"/>
                <w:szCs w:val="21"/>
                <w:highlight w:val="none"/>
              </w:rPr>
              <w:t>详见招标文件第二章项目需求；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061"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采购人</w:t>
            </w:r>
          </w:p>
        </w:tc>
        <w:tc>
          <w:tcPr>
            <w:tcW w:w="6439" w:type="dxa"/>
            <w:vAlign w:val="center"/>
          </w:tcPr>
          <w:p>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招 标 人：</w:t>
            </w:r>
            <w:r>
              <w:rPr>
                <w:rFonts w:hint="eastAsia" w:ascii="宋体" w:hAnsi="宋体" w:eastAsia="宋体" w:cs="宋体"/>
                <w:sz w:val="21"/>
                <w:szCs w:val="21"/>
                <w:highlight w:val="none"/>
                <w:lang w:eastAsia="zh-CN"/>
              </w:rPr>
              <w:t>禹州市市场监督管理局</w:t>
            </w:r>
            <w:r>
              <w:rPr>
                <w:rFonts w:hint="eastAsia" w:ascii="宋体" w:hAnsi="宋体" w:eastAsia="宋体" w:cs="宋体"/>
                <w:sz w:val="21"/>
                <w:szCs w:val="21"/>
                <w:highlight w:val="none"/>
              </w:rPr>
              <w:t xml:space="preserve">          </w:t>
            </w:r>
          </w:p>
          <w:p>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地    址：禹州市行政南路70号</w:t>
            </w:r>
          </w:p>
          <w:p>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联 系 人：李先生</w:t>
            </w:r>
          </w:p>
          <w:p>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联系方式：13937460878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061"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代理机构</w:t>
            </w:r>
          </w:p>
        </w:tc>
        <w:tc>
          <w:tcPr>
            <w:tcW w:w="6439" w:type="dxa"/>
            <w:vAlign w:val="center"/>
          </w:tcPr>
          <w:p>
            <w:pPr>
              <w:autoSpaceDE w:val="0"/>
              <w:autoSpaceDN w:val="0"/>
              <w:adjustRightInd w:val="0"/>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名称：</w:t>
            </w:r>
            <w:r>
              <w:rPr>
                <w:rFonts w:hint="eastAsia" w:ascii="宋体" w:hAnsi="宋体" w:eastAsia="宋体" w:cs="宋体"/>
                <w:sz w:val="21"/>
                <w:szCs w:val="21"/>
                <w:highlight w:val="none"/>
                <w:lang w:eastAsia="zh-CN"/>
              </w:rPr>
              <w:t>建基工程咨询有限公司</w:t>
            </w:r>
          </w:p>
          <w:p>
            <w:pPr>
              <w:autoSpaceDE w:val="0"/>
              <w:autoSpaceDN w:val="0"/>
              <w:adjustRightInd w:val="0"/>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val="en-US" w:eastAsia="zh-CN"/>
              </w:rPr>
              <w:t>刘女士</w:t>
            </w:r>
          </w:p>
          <w:p>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lang w:val="en-US" w:eastAsia="zh-CN"/>
              </w:rPr>
              <w:t>15303996356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061" w:type="dxa"/>
            <w:vAlign w:val="center"/>
          </w:tcPr>
          <w:p>
            <w:pPr>
              <w:autoSpaceDE w:val="0"/>
              <w:autoSpaceDN w:val="0"/>
              <w:adjustRightInd w:val="0"/>
              <w:spacing w:line="276" w:lineRule="auto"/>
              <w:jc w:val="center"/>
              <w:rPr>
                <w:rFonts w:hint="eastAsia" w:ascii="宋体" w:hAnsi="宋体" w:eastAsia="宋体" w:cs="宋体"/>
                <w:color w:val="4F81BD" w:themeColor="accent1"/>
                <w:sz w:val="21"/>
                <w:szCs w:val="21"/>
                <w:highlight w:val="none"/>
                <w14:textFill>
                  <w14:solidFill>
                    <w14:schemeClr w14:val="accent1"/>
                  </w14:solidFill>
                </w14:textFill>
              </w:rPr>
            </w:pPr>
            <w:r>
              <w:rPr>
                <w:rFonts w:hint="eastAsia" w:ascii="宋体" w:hAnsi="宋体" w:eastAsia="宋体" w:cs="宋体"/>
                <w:color w:val="4F81BD" w:themeColor="accent1"/>
                <w:sz w:val="21"/>
                <w:szCs w:val="21"/>
                <w:highlight w:val="none"/>
                <w14:textFill>
                  <w14:solidFill>
                    <w14:schemeClr w14:val="accent1"/>
                  </w14:solidFill>
                </w14:textFill>
              </w:rPr>
              <w:t>资金来源及落实情况</w:t>
            </w:r>
          </w:p>
        </w:tc>
        <w:tc>
          <w:tcPr>
            <w:tcW w:w="6439" w:type="dxa"/>
            <w:vAlign w:val="center"/>
          </w:tcPr>
          <w:p>
            <w:pPr>
              <w:autoSpaceDE w:val="0"/>
              <w:autoSpaceDN w:val="0"/>
              <w:adjustRightInd w:val="0"/>
              <w:spacing w:line="360" w:lineRule="auto"/>
              <w:jc w:val="left"/>
              <w:rPr>
                <w:rFonts w:hint="eastAsia" w:ascii="宋体" w:hAnsi="宋体" w:eastAsia="宋体" w:cs="宋体"/>
                <w:color w:val="4F81BD" w:themeColor="accent1"/>
                <w:sz w:val="21"/>
                <w:szCs w:val="21"/>
                <w:highlight w:val="none"/>
                <w14:textFill>
                  <w14:solidFill>
                    <w14:schemeClr w14:val="accent1"/>
                  </w14:solidFill>
                </w14:textFill>
              </w:rPr>
            </w:pPr>
            <w:r>
              <w:rPr>
                <w:rFonts w:hint="eastAsia" w:ascii="宋体" w:hAnsi="宋体" w:eastAsia="宋体" w:cs="宋体"/>
                <w:color w:val="4F81BD" w:themeColor="accent1"/>
                <w:sz w:val="21"/>
                <w:szCs w:val="21"/>
                <w:highlight w:val="none"/>
                <w14:textFill>
                  <w14:solidFill>
                    <w14:schemeClr w14:val="accent1"/>
                  </w14:solidFill>
                </w14:textFill>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2061"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仿宋_GB2312"/>
                <w:szCs w:val="21"/>
                <w:highlight w:val="none"/>
              </w:rPr>
              <w:t>交付（服务、完工）时间</w:t>
            </w:r>
          </w:p>
        </w:tc>
        <w:tc>
          <w:tcPr>
            <w:tcW w:w="6439" w:type="dxa"/>
            <w:vAlign w:val="center"/>
          </w:tcPr>
          <w:p>
            <w:pPr>
              <w:autoSpaceDE w:val="0"/>
              <w:autoSpaceDN w:val="0"/>
              <w:adjustRightInd w:val="0"/>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合同签订后60日历天内完成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2061"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质量要求</w:t>
            </w:r>
          </w:p>
        </w:tc>
        <w:tc>
          <w:tcPr>
            <w:tcW w:w="6439" w:type="dxa"/>
            <w:vAlign w:val="center"/>
          </w:tcPr>
          <w:p>
            <w:pPr>
              <w:autoSpaceDE w:val="0"/>
              <w:autoSpaceDN w:val="0"/>
              <w:adjustRightInd w:val="0"/>
              <w:spacing w:line="360" w:lineRule="auto"/>
              <w:rPr>
                <w:rFonts w:hint="eastAsia" w:ascii="宋体" w:hAnsi="宋体" w:eastAsia="宋体" w:cs="宋体"/>
                <w:color w:val="000000"/>
                <w:sz w:val="21"/>
                <w:szCs w:val="21"/>
                <w:highlight w:val="none"/>
              </w:rPr>
            </w:pPr>
            <w:r>
              <w:rPr>
                <w:rFonts w:hint="eastAsia" w:ascii="宋体" w:hAnsi="宋体" w:eastAsia="宋体" w:cs="宋体"/>
                <w:kern w:val="0"/>
                <w:sz w:val="21"/>
                <w:szCs w:val="21"/>
                <w:highlight w:val="none"/>
              </w:rPr>
              <w:t>合格（满足国家、行业和主管部门相关标准）；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09" w:type="dxa"/>
            <w:vMerge w:val="restart"/>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2061" w:type="dxa"/>
            <w:vMerge w:val="restart"/>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b/>
                <w:color w:val="FF0000"/>
                <w:sz w:val="21"/>
                <w:szCs w:val="21"/>
                <w:highlight w:val="none"/>
              </w:rPr>
              <w:t>★</w:t>
            </w:r>
            <w:r>
              <w:rPr>
                <w:rFonts w:hint="eastAsia" w:ascii="宋体" w:hAnsi="宋体" w:eastAsia="宋体" w:cs="宋体"/>
                <w:sz w:val="21"/>
                <w:szCs w:val="21"/>
                <w:highlight w:val="none"/>
              </w:rPr>
              <w:t>投标人资格</w:t>
            </w:r>
          </w:p>
        </w:tc>
        <w:tc>
          <w:tcPr>
            <w:tcW w:w="6439" w:type="dxa"/>
            <w:vAlign w:val="center"/>
          </w:tcPr>
          <w:p>
            <w:pPr>
              <w:pStyle w:val="43"/>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一、中小企业或者残疾人福利性单位声明函 （三标段提供）</w:t>
            </w:r>
          </w:p>
          <w:p>
            <w:pPr>
              <w:pStyle w:val="43"/>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1、中小企业出具《中小企业声明函》 </w:t>
            </w:r>
          </w:p>
          <w:p>
            <w:pPr>
              <w:pStyle w:val="43"/>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3" w:hRule="atLeast"/>
          <w:jc w:val="center"/>
        </w:trPr>
        <w:tc>
          <w:tcPr>
            <w:tcW w:w="709" w:type="dxa"/>
            <w:vMerge w:val="continue"/>
            <w:vAlign w:val="center"/>
          </w:tcPr>
          <w:p>
            <w:pPr>
              <w:autoSpaceDE w:val="0"/>
              <w:autoSpaceDN w:val="0"/>
              <w:adjustRightInd w:val="0"/>
              <w:spacing w:line="276" w:lineRule="auto"/>
              <w:jc w:val="center"/>
              <w:rPr>
                <w:rFonts w:hint="eastAsia" w:ascii="宋体" w:hAnsi="宋体" w:eastAsia="宋体" w:cs="宋体"/>
                <w:sz w:val="21"/>
                <w:szCs w:val="21"/>
                <w:highlight w:val="none"/>
              </w:rPr>
            </w:pPr>
          </w:p>
        </w:tc>
        <w:tc>
          <w:tcPr>
            <w:tcW w:w="2061" w:type="dxa"/>
            <w:vMerge w:val="continue"/>
            <w:vAlign w:val="center"/>
          </w:tcPr>
          <w:p>
            <w:pPr>
              <w:autoSpaceDE w:val="0"/>
              <w:autoSpaceDN w:val="0"/>
              <w:adjustRightInd w:val="0"/>
              <w:spacing w:line="276" w:lineRule="auto"/>
              <w:jc w:val="center"/>
              <w:rPr>
                <w:rFonts w:hint="eastAsia" w:ascii="宋体" w:hAnsi="宋体" w:eastAsia="宋体" w:cs="宋体"/>
                <w:sz w:val="21"/>
                <w:szCs w:val="21"/>
                <w:highlight w:val="none"/>
              </w:rPr>
            </w:pPr>
          </w:p>
        </w:tc>
        <w:tc>
          <w:tcPr>
            <w:tcW w:w="6439" w:type="dxa"/>
            <w:vAlign w:val="center"/>
          </w:tcPr>
          <w:p>
            <w:pPr>
              <w:pStyle w:val="43"/>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符合《政府采购法》第二十二条之规定；</w:t>
            </w:r>
          </w:p>
          <w:p>
            <w:pPr>
              <w:pStyle w:val="43"/>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1．具有独立承担民事责任的能力； </w:t>
            </w:r>
          </w:p>
          <w:p>
            <w:pPr>
              <w:pStyle w:val="43"/>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2．具有良好的商业信誉和健全的财务会计制度； </w:t>
            </w:r>
          </w:p>
          <w:p>
            <w:pPr>
              <w:pStyle w:val="43"/>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3．具有履行合同所必需的设备和专业技术能力； </w:t>
            </w:r>
          </w:p>
          <w:p>
            <w:pPr>
              <w:pStyle w:val="43"/>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4．具有依法缴纳税收和社会保障资金的良好记录； </w:t>
            </w:r>
          </w:p>
          <w:p>
            <w:pPr>
              <w:pStyle w:val="43"/>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5．参加政府采购活动前三年内，在经营活动中没有重大违法记录。</w:t>
            </w:r>
          </w:p>
          <w:p>
            <w:pPr>
              <w:pStyle w:val="43"/>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w:t>
            </w:r>
          </w:p>
          <w:p>
            <w:pPr>
              <w:pStyle w:val="43"/>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供应商在投标时，提供《禹州市政府采购供应商信用承诺函》（详见招标文件第八章3.4格式），无需再提交上述证明材料。</w:t>
            </w:r>
          </w:p>
          <w:p>
            <w:pPr>
              <w:pStyle w:val="43"/>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采购人有权在签订合同前要求中标供应商提供相关证明材料以核实中标供应商承诺事项的真实性。</w:t>
            </w:r>
          </w:p>
          <w:p>
            <w:pPr>
              <w:pStyle w:val="43"/>
              <w:spacing w:line="360" w:lineRule="auto"/>
              <w:ind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2061" w:type="dxa"/>
            <w:vAlign w:val="center"/>
          </w:tcPr>
          <w:p>
            <w:pPr>
              <w:autoSpaceDE w:val="0"/>
              <w:autoSpaceDN w:val="0"/>
              <w:adjustRightInd w:val="0"/>
              <w:spacing w:line="276" w:lineRule="auto"/>
              <w:jc w:val="center"/>
              <w:rPr>
                <w:rFonts w:hint="eastAsia" w:ascii="宋体" w:hAnsi="宋体" w:eastAsia="宋体" w:cs="宋体"/>
                <w:bCs/>
                <w:sz w:val="21"/>
                <w:szCs w:val="21"/>
                <w:highlight w:val="none"/>
                <w:lang w:val="zh-CN"/>
              </w:rPr>
            </w:pPr>
            <w:r>
              <w:rPr>
                <w:rFonts w:hint="eastAsia" w:ascii="宋体" w:hAnsi="宋体" w:eastAsia="宋体" w:cs="宋体"/>
                <w:b/>
                <w:color w:val="FF0000"/>
                <w:sz w:val="21"/>
                <w:szCs w:val="21"/>
                <w:highlight w:val="none"/>
              </w:rPr>
              <w:t>★</w:t>
            </w:r>
            <w:r>
              <w:rPr>
                <w:rFonts w:hint="eastAsia" w:ascii="宋体" w:hAnsi="宋体" w:eastAsia="宋体" w:cs="宋体"/>
                <w:bCs/>
                <w:sz w:val="21"/>
                <w:szCs w:val="21"/>
                <w:highlight w:val="none"/>
                <w:lang w:val="zh-CN"/>
              </w:rPr>
              <w:t>联合体投标</w:t>
            </w:r>
          </w:p>
        </w:tc>
        <w:tc>
          <w:tcPr>
            <w:tcW w:w="6439" w:type="dxa"/>
            <w:vAlign w:val="center"/>
          </w:tcPr>
          <w:p>
            <w:pPr>
              <w:autoSpaceDE w:val="0"/>
              <w:autoSpaceDN w:val="0"/>
              <w:adjustRightInd w:val="0"/>
              <w:spacing w:line="276" w:lineRule="auto"/>
              <w:rPr>
                <w:rFonts w:hint="eastAsia" w:ascii="宋体" w:hAnsi="宋体" w:eastAsia="宋体" w:cs="宋体"/>
                <w:bCs/>
                <w:sz w:val="21"/>
                <w:szCs w:val="21"/>
                <w:highlight w:val="none"/>
                <w:lang w:val="zh-CN"/>
              </w:rPr>
            </w:pPr>
            <w:r>
              <w:rPr>
                <w:rFonts w:hint="eastAsia" w:ascii="宋体" w:hAnsi="宋体" w:eastAsia="宋体" w:cs="宋体"/>
                <w:kern w:val="0"/>
                <w:sz w:val="21"/>
                <w:szCs w:val="21"/>
                <w:highlight w:val="none"/>
              </w:rPr>
              <w:t>本项目</w:t>
            </w:r>
            <w:r>
              <w:rPr>
                <w:rFonts w:hint="eastAsia" w:ascii="宋体" w:hAnsi="宋体" w:eastAsia="宋体" w:cs="宋体"/>
                <w:b/>
                <w:color w:val="000000"/>
                <w:kern w:val="0"/>
                <w:sz w:val="21"/>
                <w:szCs w:val="21"/>
                <w:highlight w:val="none"/>
                <w:lang w:val="zh-CN"/>
              </w:rPr>
              <w:fldChar w:fldCharType="begin"/>
            </w:r>
            <w:r>
              <w:rPr>
                <w:rFonts w:hint="eastAsia" w:ascii="宋体" w:hAnsi="宋体" w:eastAsia="宋体" w:cs="宋体"/>
                <w:b/>
                <w:color w:val="000000"/>
                <w:kern w:val="0"/>
                <w:sz w:val="21"/>
                <w:szCs w:val="21"/>
                <w:highlight w:val="none"/>
                <w:lang w:val="zh-CN"/>
              </w:rPr>
              <w:instrText xml:space="preserve"> eq \o\ac(</w:instrText>
            </w:r>
            <w:r>
              <w:rPr>
                <w:rFonts w:hint="eastAsia" w:ascii="宋体" w:hAnsi="宋体" w:eastAsia="宋体" w:cs="宋体"/>
                <w:b/>
                <w:color w:val="000000"/>
                <w:kern w:val="0"/>
                <w:position w:val="-4"/>
                <w:sz w:val="31"/>
                <w:szCs w:val="21"/>
                <w:highlight w:val="none"/>
                <w:lang w:val="zh-CN"/>
              </w:rPr>
              <w:instrText xml:space="preserve">□</w:instrText>
            </w:r>
            <w:r>
              <w:rPr>
                <w:rFonts w:hint="eastAsia" w:ascii="宋体" w:hAnsi="宋体" w:eastAsia="宋体" w:cs="宋体"/>
                <w:b/>
                <w:color w:val="000000"/>
                <w:kern w:val="0"/>
                <w:position w:val="0"/>
                <w:sz w:val="21"/>
                <w:szCs w:val="21"/>
                <w:highlight w:val="none"/>
                <w:lang w:val="zh-CN"/>
              </w:rPr>
              <w:instrText xml:space="preserve">,√)</w:instrText>
            </w:r>
            <w:r>
              <w:rPr>
                <w:rFonts w:hint="eastAsia" w:ascii="宋体" w:hAnsi="宋体" w:eastAsia="宋体" w:cs="宋体"/>
                <w:b/>
                <w:color w:val="000000"/>
                <w:kern w:val="0"/>
                <w:sz w:val="21"/>
                <w:szCs w:val="21"/>
                <w:highlight w:val="none"/>
                <w:lang w:val="zh-CN"/>
              </w:rPr>
              <w:fldChar w:fldCharType="end"/>
            </w:r>
            <w:r>
              <w:rPr>
                <w:rFonts w:hint="eastAsia" w:ascii="宋体" w:hAnsi="宋体" w:eastAsia="宋体" w:cs="宋体"/>
                <w:kern w:val="0"/>
                <w:sz w:val="21"/>
                <w:szCs w:val="21"/>
                <w:highlight w:val="none"/>
              </w:rPr>
              <w:t>不接受</w:t>
            </w:r>
            <w:r>
              <w:rPr>
                <w:rFonts w:hint="eastAsia" w:ascii="宋体" w:hAnsi="宋体" w:eastAsia="宋体" w:cs="宋体"/>
                <w:bCs/>
                <w:sz w:val="21"/>
                <w:szCs w:val="21"/>
                <w:highlight w:val="none"/>
                <w:lang w:val="zh-CN"/>
              </w:rPr>
              <w:t>□接受</w:t>
            </w:r>
            <w:r>
              <w:rPr>
                <w:rFonts w:hint="eastAsia" w:ascii="宋体" w:hAnsi="宋体" w:eastAsia="宋体" w:cs="宋体"/>
                <w:kern w:val="0"/>
                <w:sz w:val="21"/>
                <w:szCs w:val="21"/>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2061" w:type="dxa"/>
            <w:vAlign w:val="center"/>
          </w:tcPr>
          <w:p>
            <w:pPr>
              <w:autoSpaceDE w:val="0"/>
              <w:autoSpaceDN w:val="0"/>
              <w:adjustRightInd w:val="0"/>
              <w:spacing w:line="276" w:lineRule="auto"/>
              <w:jc w:val="center"/>
              <w:rPr>
                <w:rFonts w:hint="eastAsia" w:ascii="宋体" w:hAnsi="宋体" w:eastAsia="宋体" w:cs="宋体"/>
                <w:bCs/>
                <w:sz w:val="21"/>
                <w:szCs w:val="21"/>
                <w:highlight w:val="none"/>
                <w:lang w:val="zh-CN"/>
              </w:rPr>
            </w:pPr>
            <w:r>
              <w:rPr>
                <w:rFonts w:hint="eastAsia" w:ascii="宋体" w:hAnsi="宋体" w:eastAsia="宋体" w:cs="宋体"/>
                <w:b/>
                <w:color w:val="FF0000"/>
                <w:sz w:val="21"/>
                <w:szCs w:val="21"/>
                <w:highlight w:val="none"/>
              </w:rPr>
              <w:t>★</w:t>
            </w:r>
            <w:r>
              <w:rPr>
                <w:rFonts w:hint="eastAsia" w:ascii="宋体" w:hAnsi="宋体" w:eastAsia="宋体" w:cs="宋体"/>
                <w:bCs/>
                <w:sz w:val="21"/>
                <w:szCs w:val="21"/>
                <w:highlight w:val="none"/>
                <w:lang w:val="zh-CN"/>
              </w:rPr>
              <w:t>最高限价</w:t>
            </w:r>
          </w:p>
        </w:tc>
        <w:tc>
          <w:tcPr>
            <w:tcW w:w="6439" w:type="dxa"/>
            <w:vAlign w:val="center"/>
          </w:tcPr>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本项目最高限价为</w:t>
            </w:r>
          </w:p>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招标控制价（最高限价）：</w:t>
            </w:r>
            <w:bookmarkStart w:id="8" w:name="_Hlk25596104"/>
            <w:r>
              <w:rPr>
                <w:rFonts w:hint="eastAsia" w:ascii="宋体" w:hAnsi="宋体" w:eastAsia="宋体" w:cs="宋体"/>
                <w:bCs/>
                <w:sz w:val="21"/>
                <w:szCs w:val="21"/>
                <w:highlight w:val="none"/>
                <w:lang w:val="zh-CN"/>
              </w:rPr>
              <w:t>第三标段：163830元；第四标段：639000元；投标人投标报价超出招标人发布的相应招标控制价的，投标无效。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p>
        </w:tc>
        <w:tc>
          <w:tcPr>
            <w:tcW w:w="2061" w:type="dxa"/>
            <w:vAlign w:val="center"/>
          </w:tcPr>
          <w:p>
            <w:pPr>
              <w:autoSpaceDE w:val="0"/>
              <w:autoSpaceDN w:val="0"/>
              <w:adjustRightInd w:val="0"/>
              <w:spacing w:line="276"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现场考察</w:t>
            </w:r>
          </w:p>
        </w:tc>
        <w:tc>
          <w:tcPr>
            <w:tcW w:w="6439" w:type="dxa"/>
            <w:vAlign w:val="center"/>
          </w:tcPr>
          <w:p>
            <w:pPr>
              <w:autoSpaceDE w:val="0"/>
              <w:autoSpaceDN w:val="0"/>
              <w:adjustRightInd w:val="0"/>
              <w:spacing w:line="360" w:lineRule="auto"/>
              <w:rPr>
                <w:rFonts w:hint="eastAsia" w:ascii="宋体" w:hAnsi="宋体" w:eastAsia="宋体" w:cs="宋体"/>
                <w:color w:val="000000"/>
                <w:kern w:val="0"/>
                <w:sz w:val="21"/>
                <w:szCs w:val="21"/>
                <w:highlight w:val="none"/>
                <w:lang w:val="zh-CN"/>
              </w:rPr>
            </w:pPr>
            <w:r>
              <w:rPr>
                <w:rFonts w:hint="eastAsia" w:ascii="宋体" w:hAnsi="宋体" w:eastAsia="宋体" w:cs="宋体"/>
                <w:b/>
                <w:color w:val="000000"/>
                <w:kern w:val="0"/>
                <w:sz w:val="21"/>
                <w:szCs w:val="21"/>
                <w:highlight w:val="none"/>
                <w:lang w:val="zh-CN"/>
              </w:rPr>
              <w:fldChar w:fldCharType="begin"/>
            </w:r>
            <w:r>
              <w:rPr>
                <w:rFonts w:hint="eastAsia" w:ascii="宋体" w:hAnsi="宋体" w:eastAsia="宋体" w:cs="宋体"/>
                <w:b/>
                <w:color w:val="000000"/>
                <w:kern w:val="0"/>
                <w:sz w:val="21"/>
                <w:szCs w:val="21"/>
                <w:highlight w:val="none"/>
                <w:lang w:val="zh-CN"/>
              </w:rPr>
              <w:instrText xml:space="preserve"> eq \o\ac(</w:instrText>
            </w:r>
            <w:r>
              <w:rPr>
                <w:rFonts w:hint="eastAsia" w:ascii="宋体" w:hAnsi="宋体" w:eastAsia="宋体" w:cs="宋体"/>
                <w:b/>
                <w:color w:val="000000"/>
                <w:kern w:val="0"/>
                <w:position w:val="-4"/>
                <w:sz w:val="31"/>
                <w:szCs w:val="21"/>
                <w:highlight w:val="none"/>
                <w:lang w:val="zh-CN"/>
              </w:rPr>
              <w:instrText xml:space="preserve">□</w:instrText>
            </w:r>
            <w:r>
              <w:rPr>
                <w:rFonts w:hint="eastAsia" w:ascii="宋体" w:hAnsi="宋体" w:eastAsia="宋体" w:cs="宋体"/>
                <w:b/>
                <w:color w:val="000000"/>
                <w:kern w:val="0"/>
                <w:position w:val="0"/>
                <w:sz w:val="21"/>
                <w:szCs w:val="21"/>
                <w:highlight w:val="none"/>
                <w:lang w:val="zh-CN"/>
              </w:rPr>
              <w:instrText xml:space="preserve">,√)</w:instrText>
            </w:r>
            <w:r>
              <w:rPr>
                <w:rFonts w:hint="eastAsia" w:ascii="宋体" w:hAnsi="宋体" w:eastAsia="宋体" w:cs="宋体"/>
                <w:b/>
                <w:color w:val="000000"/>
                <w:kern w:val="0"/>
                <w:sz w:val="21"/>
                <w:szCs w:val="21"/>
                <w:highlight w:val="none"/>
                <w:lang w:val="zh-CN"/>
              </w:rPr>
              <w:fldChar w:fldCharType="end"/>
            </w:r>
            <w:r>
              <w:rPr>
                <w:rFonts w:hint="eastAsia" w:ascii="宋体" w:hAnsi="宋体" w:eastAsia="宋体" w:cs="宋体"/>
                <w:bCs/>
                <w:sz w:val="21"/>
                <w:szCs w:val="21"/>
                <w:highlight w:val="none"/>
                <w:lang w:val="zh-CN"/>
              </w:rPr>
              <w:t>不组织</w:t>
            </w:r>
          </w:p>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
                <w:bCs/>
                <w:sz w:val="21"/>
                <w:szCs w:val="21"/>
                <w:highlight w:val="none"/>
                <w:lang w:val="zh-CN"/>
              </w:rPr>
              <w:t>□</w:t>
            </w:r>
            <w:r>
              <w:rPr>
                <w:rFonts w:hint="eastAsia" w:ascii="宋体" w:hAnsi="宋体" w:eastAsia="宋体" w:cs="宋体"/>
                <w:bCs/>
                <w:sz w:val="21"/>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2061" w:type="dxa"/>
            <w:vAlign w:val="center"/>
          </w:tcPr>
          <w:p>
            <w:pPr>
              <w:autoSpaceDE w:val="0"/>
              <w:autoSpaceDN w:val="0"/>
              <w:adjustRightInd w:val="0"/>
              <w:spacing w:line="276"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开标前答疑会</w:t>
            </w:r>
          </w:p>
        </w:tc>
        <w:tc>
          <w:tcPr>
            <w:tcW w:w="6439" w:type="dxa"/>
            <w:vAlign w:val="center"/>
          </w:tcPr>
          <w:p>
            <w:pPr>
              <w:autoSpaceDE w:val="0"/>
              <w:autoSpaceDN w:val="0"/>
              <w:adjustRightInd w:val="0"/>
              <w:spacing w:line="360" w:lineRule="auto"/>
              <w:rPr>
                <w:rFonts w:hint="eastAsia" w:ascii="宋体" w:hAnsi="宋体" w:eastAsia="宋体" w:cs="宋体"/>
                <w:color w:val="000000"/>
                <w:kern w:val="0"/>
                <w:sz w:val="21"/>
                <w:szCs w:val="21"/>
                <w:highlight w:val="none"/>
                <w:lang w:val="zh-CN"/>
              </w:rPr>
            </w:pPr>
            <w:r>
              <w:rPr>
                <w:rFonts w:hint="eastAsia" w:ascii="宋体" w:hAnsi="宋体" w:eastAsia="宋体" w:cs="宋体"/>
                <w:b/>
                <w:color w:val="000000"/>
                <w:kern w:val="0"/>
                <w:sz w:val="21"/>
                <w:szCs w:val="21"/>
                <w:highlight w:val="none"/>
                <w:lang w:val="zh-CN"/>
              </w:rPr>
              <w:fldChar w:fldCharType="begin"/>
            </w:r>
            <w:r>
              <w:rPr>
                <w:rFonts w:hint="eastAsia" w:ascii="宋体" w:hAnsi="宋体" w:eastAsia="宋体" w:cs="宋体"/>
                <w:b/>
                <w:color w:val="000000"/>
                <w:kern w:val="0"/>
                <w:sz w:val="21"/>
                <w:szCs w:val="21"/>
                <w:highlight w:val="none"/>
                <w:lang w:val="zh-CN"/>
              </w:rPr>
              <w:instrText xml:space="preserve"> eq \o\ac(</w:instrText>
            </w:r>
            <w:r>
              <w:rPr>
                <w:rFonts w:hint="eastAsia" w:ascii="宋体" w:hAnsi="宋体" w:eastAsia="宋体" w:cs="宋体"/>
                <w:b/>
                <w:color w:val="000000"/>
                <w:kern w:val="0"/>
                <w:position w:val="-4"/>
                <w:sz w:val="31"/>
                <w:szCs w:val="21"/>
                <w:highlight w:val="none"/>
                <w:lang w:val="zh-CN"/>
              </w:rPr>
              <w:instrText xml:space="preserve">□</w:instrText>
            </w:r>
            <w:r>
              <w:rPr>
                <w:rFonts w:hint="eastAsia" w:ascii="宋体" w:hAnsi="宋体" w:eastAsia="宋体" w:cs="宋体"/>
                <w:b/>
                <w:color w:val="000000"/>
                <w:kern w:val="0"/>
                <w:position w:val="0"/>
                <w:sz w:val="21"/>
                <w:szCs w:val="21"/>
                <w:highlight w:val="none"/>
                <w:lang w:val="zh-CN"/>
              </w:rPr>
              <w:instrText xml:space="preserve">,√)</w:instrText>
            </w:r>
            <w:r>
              <w:rPr>
                <w:rFonts w:hint="eastAsia" w:ascii="宋体" w:hAnsi="宋体" w:eastAsia="宋体" w:cs="宋体"/>
                <w:b/>
                <w:color w:val="000000"/>
                <w:kern w:val="0"/>
                <w:sz w:val="21"/>
                <w:szCs w:val="21"/>
                <w:highlight w:val="none"/>
                <w:lang w:val="zh-CN"/>
              </w:rPr>
              <w:fldChar w:fldCharType="end"/>
            </w:r>
            <w:r>
              <w:rPr>
                <w:rFonts w:hint="eastAsia" w:ascii="宋体" w:hAnsi="宋体" w:eastAsia="宋体" w:cs="宋体"/>
                <w:bCs/>
                <w:sz w:val="21"/>
                <w:szCs w:val="21"/>
                <w:highlight w:val="none"/>
                <w:lang w:val="zh-CN"/>
              </w:rPr>
              <w:t>不召开</w:t>
            </w:r>
          </w:p>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2061" w:type="dxa"/>
            <w:vAlign w:val="center"/>
          </w:tcPr>
          <w:p>
            <w:pPr>
              <w:autoSpaceDE w:val="0"/>
              <w:autoSpaceDN w:val="0"/>
              <w:adjustRightInd w:val="0"/>
              <w:spacing w:line="276" w:lineRule="auto"/>
              <w:jc w:val="center"/>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进口产品参与</w:t>
            </w:r>
          </w:p>
        </w:tc>
        <w:tc>
          <w:tcPr>
            <w:tcW w:w="6439" w:type="dxa"/>
            <w:vAlign w:val="center"/>
          </w:tcPr>
          <w:p>
            <w:pPr>
              <w:autoSpaceDE w:val="0"/>
              <w:autoSpaceDN w:val="0"/>
              <w:adjustRightInd w:val="0"/>
              <w:spacing w:line="276" w:lineRule="auto"/>
              <w:rPr>
                <w:rFonts w:hint="eastAsia" w:ascii="宋体" w:hAnsi="宋体" w:eastAsia="宋体" w:cs="宋体"/>
                <w:sz w:val="21"/>
                <w:szCs w:val="21"/>
                <w:highlight w:val="none"/>
              </w:rPr>
            </w:pPr>
            <w:r>
              <w:rPr>
                <w:rFonts w:hint="eastAsia" w:ascii="宋体" w:hAnsi="宋体" w:eastAsia="宋体" w:cs="宋体"/>
                <w:b/>
                <w:bCs/>
                <w:sz w:val="21"/>
                <w:szCs w:val="21"/>
                <w:highlight w:val="none"/>
                <w:lang w:val="zh-CN"/>
              </w:rPr>
              <w:sym w:font="Wingdings 2" w:char="0052"/>
            </w:r>
            <w:r>
              <w:rPr>
                <w:rFonts w:hint="eastAsia" w:ascii="宋体" w:hAnsi="宋体" w:eastAsia="宋体" w:cs="宋体"/>
                <w:bCs/>
                <w:sz w:val="21"/>
                <w:szCs w:val="21"/>
                <w:highlight w:val="none"/>
                <w:lang w:val="zh-CN"/>
              </w:rPr>
              <w:t xml:space="preserve">不允许    </w:t>
            </w:r>
            <w:r>
              <w:rPr>
                <w:rFonts w:hint="eastAsia" w:ascii="宋体" w:hAnsi="宋体" w:eastAsia="宋体" w:cs="宋体"/>
                <w:b/>
                <w:color w:val="000000"/>
                <w:kern w:val="0"/>
                <w:sz w:val="21"/>
                <w:szCs w:val="21"/>
                <w:highlight w:val="none"/>
                <w:lang w:val="zh-CN"/>
              </w:rPr>
              <w:fldChar w:fldCharType="begin"/>
            </w:r>
            <w:r>
              <w:rPr>
                <w:rFonts w:hint="eastAsia" w:ascii="宋体" w:hAnsi="宋体" w:eastAsia="宋体" w:cs="宋体"/>
                <w:b/>
                <w:color w:val="000000"/>
                <w:kern w:val="0"/>
                <w:sz w:val="21"/>
                <w:szCs w:val="21"/>
                <w:highlight w:val="none"/>
                <w:lang w:val="zh-CN"/>
              </w:rPr>
              <w:instrText xml:space="preserve"> eq \o\ac(</w:instrText>
            </w:r>
            <w:r>
              <w:rPr>
                <w:rFonts w:hint="eastAsia" w:ascii="宋体" w:hAnsi="宋体" w:eastAsia="宋体" w:cs="宋体"/>
                <w:b/>
                <w:color w:val="000000"/>
                <w:kern w:val="0"/>
                <w:position w:val="-4"/>
                <w:sz w:val="31"/>
                <w:szCs w:val="21"/>
                <w:highlight w:val="none"/>
                <w:lang w:val="zh-CN"/>
              </w:rPr>
              <w:instrText xml:space="preserve">□</w:instrText>
            </w:r>
            <w:r>
              <w:rPr>
                <w:rFonts w:hint="eastAsia" w:ascii="宋体" w:hAnsi="宋体" w:eastAsia="宋体" w:cs="宋体"/>
                <w:b/>
                <w:color w:val="000000"/>
                <w:kern w:val="0"/>
                <w:position w:val="0"/>
                <w:sz w:val="21"/>
                <w:szCs w:val="21"/>
                <w:highlight w:val="none"/>
                <w:lang w:val="zh-CN"/>
              </w:rPr>
              <w:instrText xml:space="preserve">)</w:instrText>
            </w:r>
            <w:r>
              <w:rPr>
                <w:rFonts w:hint="eastAsia" w:ascii="宋体" w:hAnsi="宋体" w:eastAsia="宋体" w:cs="宋体"/>
                <w:b/>
                <w:color w:val="000000"/>
                <w:kern w:val="0"/>
                <w:sz w:val="21"/>
                <w:szCs w:val="21"/>
                <w:highlight w:val="none"/>
                <w:lang w:val="zh-CN"/>
              </w:rPr>
              <w:fldChar w:fldCharType="end"/>
            </w:r>
            <w:r>
              <w:rPr>
                <w:rFonts w:hint="eastAsia" w:ascii="宋体" w:hAnsi="宋体" w:eastAsia="宋体" w:cs="宋体"/>
                <w:sz w:val="21"/>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2061"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b/>
                <w:color w:val="FF0000"/>
                <w:sz w:val="21"/>
                <w:szCs w:val="21"/>
                <w:highlight w:val="none"/>
              </w:rPr>
              <w:t>★</w:t>
            </w:r>
            <w:r>
              <w:rPr>
                <w:rFonts w:hint="eastAsia" w:ascii="宋体" w:hAnsi="宋体" w:eastAsia="宋体" w:cs="宋体"/>
                <w:sz w:val="21"/>
                <w:szCs w:val="21"/>
                <w:highlight w:val="none"/>
              </w:rPr>
              <w:t>投标有效期</w:t>
            </w:r>
          </w:p>
        </w:tc>
        <w:tc>
          <w:tcPr>
            <w:tcW w:w="6439" w:type="dxa"/>
            <w:vAlign w:val="center"/>
          </w:tcPr>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90天（自提交投标文件的截止之日起算）</w:t>
            </w:r>
          </w:p>
          <w:p>
            <w:pPr>
              <w:autoSpaceDE w:val="0"/>
              <w:autoSpaceDN w:val="0"/>
              <w:adjustRightInd w:val="0"/>
              <w:spacing w:line="360" w:lineRule="auto"/>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中标人投标有效期延至合同验收之日，中标人全部合同义务履行完毕为止。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14</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中标人将本项目的非主体、非关键性工作分包</w:t>
            </w:r>
          </w:p>
        </w:tc>
        <w:tc>
          <w:tcPr>
            <w:tcW w:w="6439" w:type="dxa"/>
            <w:vAlign w:val="center"/>
          </w:tcPr>
          <w:p>
            <w:pPr>
              <w:autoSpaceDE w:val="0"/>
              <w:autoSpaceDN w:val="0"/>
              <w:adjustRightInd w:val="0"/>
              <w:spacing w:line="276" w:lineRule="auto"/>
              <w:rPr>
                <w:rFonts w:hint="eastAsia" w:ascii="宋体" w:hAnsi="宋体" w:eastAsia="宋体" w:cs="宋体"/>
                <w:sz w:val="21"/>
                <w:szCs w:val="21"/>
                <w:highlight w:val="none"/>
              </w:rPr>
            </w:pPr>
            <w:r>
              <w:rPr>
                <w:rFonts w:hint="eastAsia" w:ascii="宋体" w:hAnsi="宋体" w:eastAsia="宋体" w:cs="宋体"/>
                <w:b/>
                <w:color w:val="000000"/>
                <w:kern w:val="0"/>
                <w:sz w:val="21"/>
                <w:szCs w:val="21"/>
                <w:highlight w:val="none"/>
                <w:lang w:val="zh-CN"/>
              </w:rPr>
              <w:fldChar w:fldCharType="begin"/>
            </w:r>
            <w:r>
              <w:rPr>
                <w:rFonts w:hint="eastAsia" w:ascii="宋体" w:hAnsi="宋体" w:eastAsia="宋体" w:cs="宋体"/>
                <w:b/>
                <w:color w:val="000000"/>
                <w:kern w:val="0"/>
                <w:sz w:val="21"/>
                <w:szCs w:val="21"/>
                <w:highlight w:val="none"/>
                <w:lang w:val="zh-CN"/>
              </w:rPr>
              <w:instrText xml:space="preserve"> eq \o\ac(</w:instrText>
            </w:r>
            <w:r>
              <w:rPr>
                <w:rFonts w:hint="eastAsia" w:ascii="宋体" w:hAnsi="宋体" w:eastAsia="宋体" w:cs="宋体"/>
                <w:b/>
                <w:color w:val="000000"/>
                <w:kern w:val="0"/>
                <w:position w:val="-4"/>
                <w:sz w:val="31"/>
                <w:szCs w:val="21"/>
                <w:highlight w:val="none"/>
                <w:lang w:val="zh-CN"/>
              </w:rPr>
              <w:instrText xml:space="preserve">□</w:instrText>
            </w:r>
            <w:r>
              <w:rPr>
                <w:rFonts w:hint="eastAsia" w:ascii="宋体" w:hAnsi="宋体" w:eastAsia="宋体" w:cs="宋体"/>
                <w:b/>
                <w:color w:val="000000"/>
                <w:kern w:val="0"/>
                <w:position w:val="0"/>
                <w:sz w:val="21"/>
                <w:szCs w:val="21"/>
                <w:highlight w:val="none"/>
                <w:lang w:val="zh-CN"/>
              </w:rPr>
              <w:instrText xml:space="preserve">,√)</w:instrText>
            </w:r>
            <w:r>
              <w:rPr>
                <w:rFonts w:hint="eastAsia" w:ascii="宋体" w:hAnsi="宋体" w:eastAsia="宋体" w:cs="宋体"/>
                <w:b/>
                <w:color w:val="000000"/>
                <w:kern w:val="0"/>
                <w:sz w:val="21"/>
                <w:szCs w:val="21"/>
                <w:highlight w:val="none"/>
                <w:lang w:val="zh-CN"/>
              </w:rPr>
              <w:fldChar w:fldCharType="end"/>
            </w:r>
            <w:r>
              <w:rPr>
                <w:rFonts w:hint="eastAsia" w:ascii="宋体" w:hAnsi="宋体" w:eastAsia="宋体" w:cs="宋体"/>
                <w:bCs/>
                <w:sz w:val="21"/>
                <w:szCs w:val="21"/>
                <w:highlight w:val="none"/>
                <w:lang w:val="zh-CN"/>
              </w:rPr>
              <w:t xml:space="preserve">不允许   </w:t>
            </w:r>
            <w:r>
              <w:rPr>
                <w:rFonts w:hint="eastAsia" w:ascii="宋体" w:hAnsi="宋体" w:eastAsia="宋体" w:cs="宋体"/>
                <w:b/>
                <w:bCs/>
                <w:sz w:val="21"/>
                <w:szCs w:val="21"/>
                <w:highlight w:val="none"/>
                <w:lang w:val="zh-CN"/>
              </w:rPr>
              <w:t>□</w:t>
            </w:r>
            <w:r>
              <w:rPr>
                <w:rFonts w:hint="eastAsia" w:ascii="宋体" w:hAnsi="宋体" w:eastAsia="宋体" w:cs="宋体"/>
                <w:sz w:val="21"/>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投标截止及</w:t>
            </w:r>
          </w:p>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开标时间</w:t>
            </w:r>
          </w:p>
        </w:tc>
        <w:tc>
          <w:tcPr>
            <w:tcW w:w="6439" w:type="dxa"/>
            <w:vAlign w:val="center"/>
          </w:tcPr>
          <w:p>
            <w:pPr>
              <w:autoSpaceDE w:val="0"/>
              <w:autoSpaceDN w:val="0"/>
              <w:adjustRightInd w:val="0"/>
              <w:spacing w:line="360" w:lineRule="auto"/>
              <w:rPr>
                <w:rFonts w:hint="eastAsia" w:ascii="宋体" w:hAnsi="宋体" w:eastAsia="宋体" w:cs="宋体"/>
                <w:b/>
                <w:bCs/>
                <w:color w:val="0000FF"/>
                <w:sz w:val="21"/>
                <w:szCs w:val="21"/>
                <w:highlight w:val="none"/>
                <w:lang w:val="zh-CN"/>
              </w:rPr>
            </w:pPr>
            <w:r>
              <w:rPr>
                <w:rFonts w:hint="eastAsia" w:ascii="宋体" w:hAnsi="宋体" w:eastAsia="宋体" w:cs="宋体"/>
                <w:bCs/>
                <w:sz w:val="21"/>
                <w:szCs w:val="21"/>
                <w:highlight w:val="none"/>
              </w:rPr>
              <w:t>2023年</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lang w:val="en-US" w:eastAsia="zh-CN"/>
              </w:rPr>
              <w:t>10</w:t>
            </w:r>
            <w:r>
              <w:rPr>
                <w:rFonts w:hint="eastAsia" w:ascii="宋体" w:hAnsi="宋体" w:eastAsia="宋体" w:cs="宋体"/>
                <w:bCs/>
                <w:sz w:val="21"/>
                <w:szCs w:val="21"/>
                <w:highlight w:val="none"/>
              </w:rPr>
              <w:t>日上午08时30分（北京时间）；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递交投标文件</w:t>
            </w:r>
          </w:p>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及开标地点</w:t>
            </w:r>
          </w:p>
        </w:tc>
        <w:tc>
          <w:tcPr>
            <w:tcW w:w="6439" w:type="dxa"/>
            <w:vAlign w:val="center"/>
          </w:tcPr>
          <w:p>
            <w:pPr>
              <w:autoSpaceDE w:val="0"/>
              <w:autoSpaceDN w:val="0"/>
              <w:adjustRightInd w:val="0"/>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zh-CN"/>
              </w:rPr>
              <w:t>电子投标文件递交地点</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zh-CN"/>
              </w:rPr>
              <w:t>电子投标文件应按规定在投标截止时间</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zh-CN"/>
              </w:rPr>
              <w:t>开标时间</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zh-CN"/>
              </w:rPr>
              <w:t>之前成功提交至【全国公共资源交易平台</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zh-CN"/>
              </w:rPr>
              <w:t>河南省</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zh-CN"/>
              </w:rPr>
              <w:t>许昌市</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zh-CN"/>
              </w:rPr>
              <w:t>】公共资源交易系统</w:t>
            </w:r>
            <w:r>
              <w:rPr>
                <w:rFonts w:hint="eastAsia" w:ascii="宋体" w:hAnsi="宋体" w:eastAsia="宋体" w:cs="宋体"/>
                <w:bCs/>
                <w:sz w:val="21"/>
                <w:szCs w:val="21"/>
                <w:highlight w:val="none"/>
              </w:rPr>
              <w:t>（</w:t>
            </w:r>
            <w:r>
              <w:rPr>
                <w:rFonts w:hint="eastAsia" w:ascii="宋体" w:hAnsi="宋体" w:eastAsia="宋体" w:cs="宋体"/>
                <w:bCs/>
                <w:color w:val="0000FF"/>
                <w:sz w:val="21"/>
                <w:szCs w:val="21"/>
                <w:highlight w:val="none"/>
                <w:u w:val="single"/>
              </w:rPr>
              <w:t>http://ggzy.xuchang.gov.cn/</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zh-CN"/>
              </w:rPr>
              <w:t>。</w:t>
            </w:r>
          </w:p>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开标地点：禹州市公共资源交易中心开标</w:t>
            </w:r>
            <w:r>
              <w:rPr>
                <w:rFonts w:hint="eastAsia" w:ascii="宋体" w:hAnsi="宋体" w:eastAsia="宋体" w:cs="宋体"/>
                <w:bCs/>
                <w:sz w:val="21"/>
                <w:szCs w:val="21"/>
                <w:highlight w:val="none"/>
                <w:lang w:val="en-US" w:eastAsia="zh-CN"/>
              </w:rPr>
              <w:t>二</w:t>
            </w:r>
            <w:r>
              <w:rPr>
                <w:rFonts w:hint="eastAsia" w:ascii="宋体" w:hAnsi="宋体" w:eastAsia="宋体" w:cs="宋体"/>
                <w:bCs/>
                <w:sz w:val="21"/>
                <w:szCs w:val="21"/>
                <w:highlight w:val="none"/>
                <w:lang w:val="zh-CN"/>
              </w:rPr>
              <w:t>室（地址：禹州市行政服务中心楼九楼）（本项目采用远程不见面开标，供应商无须到达现场）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17</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w:t>
            </w:r>
          </w:p>
        </w:tc>
        <w:tc>
          <w:tcPr>
            <w:tcW w:w="6439" w:type="dxa"/>
            <w:vAlign w:val="center"/>
          </w:tcPr>
          <w:p>
            <w:pPr>
              <w:tabs>
                <w:tab w:val="left" w:pos="1260"/>
              </w:tabs>
              <w:autoSpaceDE w:val="0"/>
              <w:autoSpaceDN w:val="0"/>
              <w:adjustRightInd w:val="0"/>
              <w:spacing w:line="360" w:lineRule="auto"/>
              <w:contextualSpacing/>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本项目不收取。</w:t>
            </w:r>
          </w:p>
          <w:p>
            <w:pPr>
              <w:tabs>
                <w:tab w:val="left" w:pos="1260"/>
              </w:tabs>
              <w:autoSpaceDE w:val="0"/>
              <w:autoSpaceDN w:val="0"/>
              <w:spacing w:line="360" w:lineRule="auto"/>
              <w:contextualSpacing/>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18</w:t>
            </w:r>
          </w:p>
        </w:tc>
        <w:tc>
          <w:tcPr>
            <w:tcW w:w="2061"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公告发布</w:t>
            </w:r>
          </w:p>
        </w:tc>
        <w:tc>
          <w:tcPr>
            <w:tcW w:w="6439" w:type="dxa"/>
            <w:tcBorders>
              <w:top w:val="single" w:color="auto" w:sz="4" w:space="0"/>
            </w:tcBorders>
            <w:vAlign w:val="center"/>
          </w:tcPr>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color w:val="000000"/>
                <w:sz w:val="21"/>
                <w:szCs w:val="21"/>
                <w:highlight w:val="none"/>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19</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采购人澄清或修改招标文件时间</w:t>
            </w:r>
          </w:p>
        </w:tc>
        <w:tc>
          <w:tcPr>
            <w:tcW w:w="6439" w:type="dxa"/>
            <w:vAlign w:val="center"/>
          </w:tcPr>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投标截止时间15日前（</w:t>
            </w:r>
            <w:r>
              <w:rPr>
                <w:rFonts w:hint="eastAsia" w:ascii="宋体" w:hAnsi="宋体" w:eastAsia="宋体" w:cs="宋体"/>
                <w:sz w:val="21"/>
                <w:szCs w:val="21"/>
                <w:highlight w:val="none"/>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投标人对采购文件质疑截止时间</w:t>
            </w:r>
          </w:p>
        </w:tc>
        <w:tc>
          <w:tcPr>
            <w:tcW w:w="6439" w:type="dxa"/>
            <w:vAlign w:val="center"/>
          </w:tcPr>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21</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投标文件份数</w:t>
            </w:r>
          </w:p>
        </w:tc>
        <w:tc>
          <w:tcPr>
            <w:tcW w:w="6439" w:type="dxa"/>
            <w:vAlign w:val="center"/>
          </w:tcPr>
          <w:p>
            <w:pPr>
              <w:autoSpaceDE w:val="0"/>
              <w:autoSpaceDN w:val="0"/>
              <w:adjustRightInd w:val="0"/>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电子投标文件：成功上传至《全国公共资源交易平台（河南省·许昌市）》公共资源交易系统加密电子投标文件1份</w:t>
            </w:r>
            <w:r>
              <w:rPr>
                <w:rFonts w:hint="eastAsia" w:ascii="宋体" w:hAnsi="宋体" w:eastAsia="宋体" w:cs="宋体"/>
                <w:sz w:val="21"/>
                <w:szCs w:val="21"/>
                <w:highlight w:val="none"/>
                <w:lang w:val="zh-CN"/>
              </w:rPr>
              <w:t>（文件格式为： XXX公司XXX项目编号.file）。</w:t>
            </w:r>
          </w:p>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
                <w:sz w:val="21"/>
                <w:szCs w:val="21"/>
                <w:highlight w:val="none"/>
              </w:rPr>
              <w:t>注:投标人提交的电子投标文件，必须是通过“许昌投标文件制作系统SEARUNV最新版本”制作，并经过签章和加密后生成的电子投标文件。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投标文件的</w:t>
            </w:r>
          </w:p>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签署盖章</w:t>
            </w:r>
          </w:p>
        </w:tc>
        <w:tc>
          <w:tcPr>
            <w:tcW w:w="6439" w:type="dxa"/>
            <w:vAlign w:val="center"/>
          </w:tcPr>
          <w:p>
            <w:pPr>
              <w:autoSpaceDE w:val="0"/>
              <w:autoSpaceDN w:val="0"/>
              <w:adjustRightInd w:val="0"/>
              <w:spacing w:line="4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23</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本项目是否采用不见面开标</w:t>
            </w:r>
          </w:p>
        </w:tc>
        <w:tc>
          <w:tcPr>
            <w:tcW w:w="6439" w:type="dxa"/>
            <w:vAlign w:val="center"/>
          </w:tcPr>
          <w:p>
            <w:pPr>
              <w:autoSpaceDE w:val="0"/>
              <w:autoSpaceDN w:val="0"/>
              <w:adjustRightInd w:val="0"/>
              <w:spacing w:line="420" w:lineRule="exact"/>
              <w:rPr>
                <w:rFonts w:hint="eastAsia" w:ascii="宋体" w:hAnsi="宋体" w:eastAsia="宋体" w:cs="宋体"/>
                <w:b/>
                <w:sz w:val="21"/>
                <w:szCs w:val="21"/>
                <w:highlight w:val="none"/>
              </w:rPr>
            </w:pPr>
            <w:r>
              <w:rPr>
                <w:rFonts w:hint="eastAsia" w:ascii="宋体" w:hAnsi="宋体" w:eastAsia="宋体" w:cs="宋体"/>
                <w:sz w:val="21"/>
                <w:szCs w:val="21"/>
                <w:highlight w:val="none"/>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24</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评标委员会组建</w:t>
            </w:r>
          </w:p>
        </w:tc>
        <w:tc>
          <w:tcPr>
            <w:tcW w:w="6439" w:type="dxa"/>
            <w:vAlign w:val="center"/>
          </w:tcPr>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由采购人代表1人和评审专家4人共5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25</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rPr>
              <w:t>评标方法</w:t>
            </w:r>
          </w:p>
        </w:tc>
        <w:tc>
          <w:tcPr>
            <w:tcW w:w="6439" w:type="dxa"/>
            <w:vAlign w:val="center"/>
          </w:tcPr>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
                <w:kern w:val="0"/>
                <w:sz w:val="21"/>
                <w:szCs w:val="21"/>
                <w:highlight w:val="none"/>
                <w:lang w:val="zh-CN"/>
              </w:rPr>
              <w:fldChar w:fldCharType="begin"/>
            </w:r>
            <w:r>
              <w:rPr>
                <w:rFonts w:hint="eastAsia" w:ascii="宋体" w:hAnsi="宋体" w:eastAsia="宋体" w:cs="宋体"/>
                <w:b/>
                <w:kern w:val="0"/>
                <w:sz w:val="21"/>
                <w:szCs w:val="21"/>
                <w:highlight w:val="none"/>
                <w:lang w:val="zh-CN"/>
              </w:rPr>
              <w:instrText xml:space="preserve">eq \o\ac(</w:instrText>
            </w:r>
            <w:r>
              <w:rPr>
                <w:rFonts w:hint="eastAsia" w:ascii="宋体" w:hAnsi="宋体" w:eastAsia="宋体" w:cs="宋体"/>
                <w:b/>
                <w:kern w:val="0"/>
                <w:position w:val="-4"/>
                <w:sz w:val="31"/>
                <w:szCs w:val="21"/>
                <w:highlight w:val="none"/>
                <w:lang w:val="zh-CN"/>
              </w:rPr>
              <w:instrText xml:space="preserve">□</w:instrText>
            </w:r>
            <w:r>
              <w:rPr>
                <w:rFonts w:hint="eastAsia" w:ascii="宋体" w:hAnsi="宋体" w:eastAsia="宋体" w:cs="宋体"/>
                <w:b/>
                <w:kern w:val="0"/>
                <w:position w:val="0"/>
                <w:sz w:val="21"/>
                <w:szCs w:val="21"/>
                <w:highlight w:val="none"/>
                <w:lang w:val="zh-CN"/>
              </w:rPr>
              <w:instrText xml:space="preserve">,√)</w:instrText>
            </w:r>
            <w:r>
              <w:rPr>
                <w:rFonts w:hint="eastAsia" w:ascii="宋体" w:hAnsi="宋体" w:eastAsia="宋体" w:cs="宋体"/>
                <w:b/>
                <w:kern w:val="0"/>
                <w:sz w:val="21"/>
                <w:szCs w:val="21"/>
                <w:highlight w:val="none"/>
                <w:lang w:val="zh-CN"/>
              </w:rPr>
              <w:fldChar w:fldCharType="end"/>
            </w:r>
            <w:r>
              <w:rPr>
                <w:rFonts w:hint="eastAsia" w:ascii="宋体" w:hAnsi="宋体" w:eastAsia="宋体" w:cs="宋体"/>
                <w:bCs/>
                <w:sz w:val="21"/>
                <w:szCs w:val="21"/>
                <w:highlight w:val="none"/>
                <w:lang w:val="zh-CN"/>
              </w:rPr>
              <w:t>综合评分法</w:t>
            </w:r>
            <w:r>
              <w:rPr>
                <w:rFonts w:hint="eastAsia" w:ascii="宋体" w:hAnsi="宋体" w:eastAsia="宋体" w:cs="宋体"/>
                <w:b/>
                <w:bCs/>
                <w:sz w:val="21"/>
                <w:szCs w:val="21"/>
                <w:highlight w:val="none"/>
                <w:lang w:val="zh-CN"/>
              </w:rPr>
              <w:t>□</w:t>
            </w:r>
            <w:r>
              <w:rPr>
                <w:rFonts w:hint="eastAsia" w:ascii="宋体" w:hAnsi="宋体" w:eastAsia="宋体" w:cs="宋体"/>
                <w:sz w:val="21"/>
                <w:szCs w:val="21"/>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26</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授权函</w:t>
            </w:r>
          </w:p>
        </w:tc>
        <w:tc>
          <w:tcPr>
            <w:tcW w:w="6439" w:type="dxa"/>
            <w:vAlign w:val="center"/>
          </w:tcPr>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采购单位委派代表参加资格审查和评审委员会的，须出具授权函。除授权代表外，采购单位委派纪检监察人员对评标过程实施监督的须进入禹州市公共资源交易中心电子监督室，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27</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中小企业有关政策</w:t>
            </w:r>
          </w:p>
        </w:tc>
        <w:tc>
          <w:tcPr>
            <w:tcW w:w="6439" w:type="dxa"/>
            <w:vAlign w:val="center"/>
          </w:tcPr>
          <w:p>
            <w:pPr>
              <w:autoSpaceDE w:val="0"/>
              <w:autoSpaceDN w:val="0"/>
              <w:adjustRightInd w:val="0"/>
              <w:spacing w:line="360" w:lineRule="auto"/>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三标段</w:t>
            </w:r>
            <w:r>
              <w:rPr>
                <w:rFonts w:hint="eastAsia" w:ascii="宋体" w:hAnsi="宋体" w:eastAsia="宋体" w:cs="宋体"/>
                <w:color w:val="auto"/>
                <w:sz w:val="21"/>
                <w:szCs w:val="21"/>
                <w:highlight w:val="none"/>
              </w:rPr>
              <w:t>属于专门面向中小企业采购的项目（不再执行价格评审优惠的扶持政策）</w:t>
            </w:r>
            <w:r>
              <w:rPr>
                <w:rFonts w:hint="eastAsia" w:ascii="宋体" w:hAnsi="宋体" w:eastAsia="宋体" w:cs="宋体"/>
                <w:color w:val="auto"/>
                <w:sz w:val="21"/>
                <w:szCs w:val="21"/>
                <w:highlight w:val="none"/>
                <w:lang w:eastAsia="zh-CN"/>
              </w:rPr>
              <w:t>、四标段</w:t>
            </w:r>
            <w:r>
              <w:rPr>
                <w:rFonts w:hint="eastAsia" w:ascii="宋体" w:hAnsi="宋体" w:eastAsia="宋体" w:cs="宋体"/>
                <w:color w:val="000000"/>
                <w:kern w:val="2"/>
                <w:sz w:val="21"/>
                <w:szCs w:val="21"/>
                <w:highlight w:val="none"/>
                <w:lang w:val="en-US" w:eastAsia="zh-CN" w:bidi="ar-SA"/>
              </w:rPr>
              <w:t>不专门面向中小企业采购。</w:t>
            </w:r>
          </w:p>
          <w:p>
            <w:pPr>
              <w:autoSpaceDE w:val="0"/>
              <w:autoSpaceDN w:val="0"/>
              <w:adjustRightInd w:val="0"/>
              <w:spacing w:line="360" w:lineRule="auto"/>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、本次采购标的对应的中小企业划分标准所属行业：</w:t>
            </w:r>
            <w:r>
              <w:rPr>
                <w:rFonts w:hint="eastAsia" w:ascii="宋体" w:hAnsi="宋体" w:eastAsia="宋体" w:cs="宋体"/>
                <w:b w:val="0"/>
                <w:bCs/>
                <w:color w:val="000000"/>
                <w:kern w:val="0"/>
                <w:szCs w:val="21"/>
                <w:highlight w:val="none"/>
                <w:lang w:val="en-US" w:eastAsia="zh-CN"/>
              </w:rPr>
              <w:t>制造业</w:t>
            </w:r>
          </w:p>
          <w:p>
            <w:pPr>
              <w:autoSpaceDE w:val="0"/>
              <w:autoSpaceDN w:val="0"/>
              <w:adjustRightInd w:val="0"/>
              <w:spacing w:line="360" w:lineRule="auto"/>
              <w:contextualSpacing/>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、根据工信部等部委发布的《关于印发中小企业划型标准规定的通知》 （工信部联企业〔2011〕300号），按照本次采购标的所属行业的划型标准，符合条件的中小企业应按照招标文件格式要求提供《中小企业声明函》，否则不得享受相关中小企业扶持政策。 </w:t>
            </w:r>
          </w:p>
          <w:p>
            <w:pPr>
              <w:autoSpaceDE w:val="0"/>
              <w:autoSpaceDN w:val="0"/>
              <w:adjustRightInd w:val="0"/>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、提供由省级以上监狱管理局、戒毒管理局（含新疆生产建设兵团）出具的属于监狱企业证明文件的，视同为小型和微型企业。 </w:t>
            </w:r>
          </w:p>
          <w:p>
            <w:pPr>
              <w:autoSpaceDE w:val="0"/>
              <w:autoSpaceDN w:val="0"/>
              <w:adjustRightInd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28</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节能环保要求</w:t>
            </w:r>
          </w:p>
        </w:tc>
        <w:tc>
          <w:tcPr>
            <w:tcW w:w="6439" w:type="dxa"/>
            <w:vAlign w:val="center"/>
          </w:tcPr>
          <w:p>
            <w:pPr>
              <w:autoSpaceDE w:val="0"/>
              <w:autoSpaceDN w:val="0"/>
              <w:adjustRightInd w:val="0"/>
              <w:spacing w:line="360" w:lineRule="auto"/>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执行《财政部发展改革委 生态环境部 市场监管总局关于调整优化节能产品、环境标志产品政府采购执行机制的通知》 （财库〔2019〕9号） 、关于印发节能产品政府采购品目清单的通知（财库〔2019〕19号） 、关于印发环境标志产品政府采购品目清单的通知（财库〔2019〕18号） 、市场监管总局关于发布参与实施政府采购节能产品、环境标志产品认证机构名录的公告（2019年第16号） ，本次投标产品类别属于政府强制采购产品类别的，须按照要求提供依据国家确定的认证机构出具的、处于有效期之内的节能产品</w:t>
            </w:r>
            <w:r>
              <w:rPr>
                <w:rFonts w:hint="eastAsia" w:ascii="宋体" w:hAnsi="宋体" w:eastAsia="宋体" w:cs="宋体"/>
                <w:sz w:val="21"/>
                <w:szCs w:val="21"/>
                <w:highlight w:val="none"/>
                <w:lang w:eastAsia="zh-CN"/>
              </w:rPr>
              <w:t>或</w:t>
            </w:r>
            <w:r>
              <w:rPr>
                <w:rFonts w:hint="eastAsia" w:ascii="宋体" w:hAnsi="宋体" w:eastAsia="宋体" w:cs="宋体"/>
                <w:sz w:val="21"/>
                <w:szCs w:val="21"/>
                <w:highlight w:val="none"/>
              </w:rPr>
              <w:t>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29</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信息安全要求</w:t>
            </w:r>
          </w:p>
        </w:tc>
        <w:tc>
          <w:tcPr>
            <w:tcW w:w="6439" w:type="dxa"/>
            <w:vAlign w:val="center"/>
          </w:tcPr>
          <w:p>
            <w:pPr>
              <w:autoSpaceDE w:val="0"/>
              <w:autoSpaceDN w:val="0"/>
              <w:adjustRightInd w:val="0"/>
              <w:spacing w:line="360" w:lineRule="auto"/>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按照《关于信息安全产品实施政府采购的通知》 （财库【2010】48号）要求：信息安全产品，需提供由中国信息安全认证中心按国家标准认证颁发的有效认证证书。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30</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履约保证金</w:t>
            </w:r>
          </w:p>
        </w:tc>
        <w:tc>
          <w:tcPr>
            <w:tcW w:w="6439" w:type="dxa"/>
            <w:vAlign w:val="center"/>
          </w:tcPr>
          <w:p>
            <w:pPr>
              <w:autoSpaceDE w:val="0"/>
              <w:autoSpaceDN w:val="0"/>
              <w:adjustRightInd w:val="0"/>
              <w:spacing w:line="360" w:lineRule="auto"/>
              <w:rPr>
                <w:rFonts w:hint="eastAsia" w:ascii="宋体" w:hAnsi="宋体" w:eastAsia="宋体" w:cs="宋体"/>
                <w:color w:val="000000"/>
                <w:kern w:val="0"/>
                <w:sz w:val="21"/>
                <w:szCs w:val="21"/>
                <w:highlight w:val="none"/>
                <w:lang w:val="zh-CN"/>
              </w:rPr>
            </w:pPr>
            <w:r>
              <w:rPr>
                <w:rFonts w:hint="eastAsia" w:ascii="宋体" w:hAnsi="宋体" w:eastAsia="宋体" w:cs="宋体"/>
                <w:b/>
                <w:color w:val="000000"/>
                <w:kern w:val="0"/>
                <w:sz w:val="21"/>
                <w:szCs w:val="21"/>
                <w:highlight w:val="none"/>
                <w:lang w:val="zh-CN"/>
              </w:rPr>
              <w:fldChar w:fldCharType="begin"/>
            </w:r>
            <w:r>
              <w:rPr>
                <w:rFonts w:hint="eastAsia" w:ascii="宋体" w:hAnsi="宋体" w:eastAsia="宋体" w:cs="宋体"/>
                <w:b/>
                <w:color w:val="000000"/>
                <w:kern w:val="0"/>
                <w:sz w:val="21"/>
                <w:szCs w:val="21"/>
                <w:highlight w:val="none"/>
                <w:lang w:val="zh-CN"/>
              </w:rPr>
              <w:instrText xml:space="preserve"> eq \o\ac(</w:instrText>
            </w:r>
            <w:r>
              <w:rPr>
                <w:rFonts w:hint="eastAsia" w:ascii="宋体" w:hAnsi="宋体" w:eastAsia="宋体" w:cs="宋体"/>
                <w:b/>
                <w:color w:val="000000"/>
                <w:kern w:val="0"/>
                <w:position w:val="-4"/>
                <w:sz w:val="31"/>
                <w:szCs w:val="21"/>
                <w:highlight w:val="none"/>
                <w:lang w:val="zh-CN"/>
              </w:rPr>
              <w:instrText xml:space="preserve">□</w:instrText>
            </w:r>
            <w:r>
              <w:rPr>
                <w:rFonts w:hint="eastAsia" w:ascii="宋体" w:hAnsi="宋体" w:eastAsia="宋体" w:cs="宋体"/>
                <w:b/>
                <w:color w:val="000000"/>
                <w:kern w:val="0"/>
                <w:position w:val="0"/>
                <w:sz w:val="21"/>
                <w:szCs w:val="21"/>
                <w:highlight w:val="none"/>
                <w:lang w:val="zh-CN"/>
              </w:rPr>
              <w:instrText xml:space="preserve">,√)</w:instrText>
            </w:r>
            <w:r>
              <w:rPr>
                <w:rFonts w:hint="eastAsia" w:ascii="宋体" w:hAnsi="宋体" w:eastAsia="宋体" w:cs="宋体"/>
                <w:b/>
                <w:color w:val="000000"/>
                <w:kern w:val="0"/>
                <w:sz w:val="21"/>
                <w:szCs w:val="21"/>
                <w:highlight w:val="none"/>
                <w:lang w:val="zh-CN"/>
              </w:rPr>
              <w:fldChar w:fldCharType="end"/>
            </w:r>
            <w:r>
              <w:rPr>
                <w:rFonts w:hint="eastAsia" w:ascii="宋体" w:hAnsi="宋体" w:eastAsia="宋体" w:cs="宋体"/>
                <w:bCs/>
                <w:sz w:val="21"/>
                <w:szCs w:val="21"/>
                <w:highlight w:val="none"/>
                <w:lang w:val="zh-CN"/>
              </w:rPr>
              <w:t>无要求</w:t>
            </w:r>
          </w:p>
          <w:p>
            <w:pPr>
              <w:autoSpaceDE w:val="0"/>
              <w:autoSpaceDN w:val="0"/>
              <w:adjustRightInd w:val="0"/>
              <w:spacing w:line="360" w:lineRule="auto"/>
              <w:rPr>
                <w:rFonts w:hint="eastAsia" w:ascii="宋体" w:hAnsi="宋体" w:eastAsia="宋体" w:cs="宋体"/>
                <w:bCs/>
                <w:sz w:val="21"/>
                <w:szCs w:val="21"/>
                <w:highlight w:val="none"/>
                <w:lang w:val="zh-CN"/>
              </w:rPr>
            </w:pPr>
            <w:r>
              <w:rPr>
                <w:rFonts w:hint="eastAsia" w:ascii="宋体" w:hAnsi="宋体" w:eastAsia="宋体" w:cs="宋体"/>
                <w:b/>
                <w:bCs/>
                <w:sz w:val="21"/>
                <w:szCs w:val="21"/>
                <w:highlight w:val="none"/>
                <w:lang w:val="zh-CN"/>
              </w:rPr>
              <w:t>□</w:t>
            </w:r>
            <w:r>
              <w:rPr>
                <w:rFonts w:hint="eastAsia" w:ascii="宋体" w:hAnsi="宋体" w:eastAsia="宋体" w:cs="宋体"/>
                <w:color w:val="333333"/>
                <w:sz w:val="21"/>
                <w:szCs w:val="21"/>
                <w:highlight w:val="none"/>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31</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代理服务费</w:t>
            </w:r>
          </w:p>
        </w:tc>
        <w:tc>
          <w:tcPr>
            <w:tcW w:w="6439" w:type="dxa"/>
            <w:vAlign w:val="center"/>
          </w:tcPr>
          <w:p>
            <w:pPr>
              <w:autoSpaceDE w:val="0"/>
              <w:autoSpaceDN w:val="0"/>
              <w:spacing w:line="360" w:lineRule="auto"/>
              <w:contextualSpacing/>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收取，招标代理服务费由中标人支付，按照豫招协〔2023〕002《河南省招标代理服务收费指导意见》收取，由中标单位在领取中标通知书时一次性支付给代理机构。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32</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中标通知书</w:t>
            </w:r>
          </w:p>
        </w:tc>
        <w:tc>
          <w:tcPr>
            <w:tcW w:w="6439" w:type="dxa"/>
            <w:vAlign w:val="center"/>
          </w:tcPr>
          <w:p>
            <w:pPr>
              <w:autoSpaceDE w:val="0"/>
              <w:autoSpaceDN w:val="0"/>
              <w:adjustRightInd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评标结束后，投标人接到招标代理机构通知获得第一中标候选人24小时内，应将由《禹州市政府采购供应商信用承诺函》替代的证明材料提交采购人和招标代理机构核验，经核验无误后，招标代理机构向中标人发出中标通知书。</w:t>
            </w:r>
          </w:p>
          <w:p>
            <w:pPr>
              <w:pStyle w:val="2"/>
              <w:spacing w:line="360" w:lineRule="auto"/>
              <w:rPr>
                <w:rFonts w:hint="eastAsia" w:ascii="宋体" w:hAnsi="宋体" w:eastAsia="宋体" w:cs="宋体"/>
                <w:sz w:val="21"/>
                <w:szCs w:val="21"/>
                <w:highlight w:val="none"/>
                <w:lang w:val="zh-CN"/>
              </w:rPr>
            </w:pPr>
            <w:r>
              <w:rPr>
                <w:rFonts w:hint="eastAsia" w:ascii="宋体" w:hAnsi="宋体" w:eastAsia="宋体" w:cs="宋体"/>
                <w:kern w:val="0"/>
                <w:sz w:val="21"/>
                <w:szCs w:val="21"/>
                <w:highlight w:val="none"/>
              </w:rPr>
              <w:t>2、招标代理机构在中标公告发布后通知成交人领取成交通知书，特殊情况（特殊情况需书面申请延后领取成交通知书）外需在五个工作日内完成。由于成交人的原因逾期未领取成交通知书的将视为放弃中标，取消其中标资格并将按相关规定进行处理，招标代理机构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33</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电子化采购模式</w:t>
            </w:r>
          </w:p>
        </w:tc>
        <w:tc>
          <w:tcPr>
            <w:tcW w:w="6439" w:type="dxa"/>
            <w:vAlign w:val="center"/>
          </w:tcPr>
          <w:p>
            <w:pPr>
              <w:autoSpaceDE w:val="0"/>
              <w:autoSpaceDN w:val="0"/>
              <w:adjustRightInd w:val="0"/>
              <w:spacing w:line="360" w:lineRule="auto"/>
              <w:contextualSpacing/>
              <w:rPr>
                <w:rFonts w:hint="eastAsia" w:ascii="宋体" w:hAnsi="宋体" w:eastAsia="宋体" w:cs="宋体"/>
                <w:bCs/>
                <w:sz w:val="21"/>
                <w:szCs w:val="21"/>
                <w:highlight w:val="none"/>
                <w:lang w:val="zh-CN"/>
              </w:rPr>
            </w:pPr>
            <w:r>
              <w:rPr>
                <w:rFonts w:hint="eastAsia" w:ascii="宋体" w:hAnsi="宋体" w:eastAsia="宋体" w:cs="宋体"/>
                <w:b/>
                <w:color w:val="000000"/>
                <w:kern w:val="0"/>
                <w:sz w:val="21"/>
                <w:szCs w:val="21"/>
                <w:highlight w:val="none"/>
                <w:lang w:val="zh-CN"/>
              </w:rPr>
              <w:fldChar w:fldCharType="begin"/>
            </w:r>
            <w:r>
              <w:rPr>
                <w:rFonts w:hint="eastAsia" w:ascii="宋体" w:hAnsi="宋体" w:eastAsia="宋体" w:cs="宋体"/>
                <w:b/>
                <w:color w:val="000000"/>
                <w:kern w:val="0"/>
                <w:sz w:val="21"/>
                <w:szCs w:val="21"/>
                <w:highlight w:val="none"/>
                <w:lang w:val="zh-CN"/>
              </w:rPr>
              <w:instrText xml:space="preserve"> eq \o\ac(</w:instrText>
            </w:r>
            <w:r>
              <w:rPr>
                <w:rFonts w:hint="eastAsia" w:ascii="宋体" w:hAnsi="宋体" w:eastAsia="宋体" w:cs="宋体"/>
                <w:b/>
                <w:color w:val="000000"/>
                <w:kern w:val="0"/>
                <w:position w:val="-4"/>
                <w:sz w:val="31"/>
                <w:szCs w:val="21"/>
                <w:highlight w:val="none"/>
                <w:lang w:val="zh-CN"/>
              </w:rPr>
              <w:instrText xml:space="preserve">□</w:instrText>
            </w:r>
            <w:r>
              <w:rPr>
                <w:rFonts w:hint="eastAsia" w:ascii="宋体" w:hAnsi="宋体" w:eastAsia="宋体" w:cs="宋体"/>
                <w:b/>
                <w:color w:val="000000"/>
                <w:kern w:val="0"/>
                <w:position w:val="0"/>
                <w:sz w:val="21"/>
                <w:szCs w:val="21"/>
                <w:highlight w:val="none"/>
                <w:lang w:val="zh-CN"/>
              </w:rPr>
              <w:instrText xml:space="preserve">,√)</w:instrText>
            </w:r>
            <w:r>
              <w:rPr>
                <w:rFonts w:hint="eastAsia" w:ascii="宋体" w:hAnsi="宋体" w:eastAsia="宋体" w:cs="宋体"/>
                <w:b/>
                <w:color w:val="000000"/>
                <w:kern w:val="0"/>
                <w:sz w:val="21"/>
                <w:szCs w:val="21"/>
                <w:highlight w:val="none"/>
                <w:lang w:val="zh-CN"/>
              </w:rPr>
              <w:fldChar w:fldCharType="end"/>
            </w:r>
            <w:r>
              <w:rPr>
                <w:rFonts w:hint="eastAsia" w:ascii="宋体" w:hAnsi="宋体" w:eastAsia="宋体" w:cs="宋体"/>
                <w:bCs/>
                <w:sz w:val="21"/>
                <w:szCs w:val="21"/>
                <w:highlight w:val="none"/>
                <w:lang w:val="zh-CN"/>
              </w:rPr>
              <w:t>是。</w:t>
            </w:r>
            <w:r>
              <w:rPr>
                <w:rFonts w:hint="eastAsia" w:ascii="宋体" w:hAnsi="宋体" w:eastAsia="宋体" w:cs="宋体"/>
                <w:sz w:val="21"/>
                <w:szCs w:val="21"/>
                <w:highlight w:val="none"/>
                <w:lang w:val="zh-CN"/>
              </w:rPr>
              <w:t>电子投标文件：成功上传至《全国公共资源交易平台（河南省·许昌市）》公共资源交易系统加密电子投标文件1份（文件格式为：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34</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投标人代表出席开标会及其他</w:t>
            </w:r>
          </w:p>
        </w:tc>
        <w:tc>
          <w:tcPr>
            <w:tcW w:w="6439" w:type="dxa"/>
            <w:vAlign w:val="center"/>
          </w:tcPr>
          <w:p>
            <w:pPr>
              <w:spacing w:line="312" w:lineRule="auto"/>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7"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35</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解释权</w:t>
            </w:r>
          </w:p>
        </w:tc>
        <w:tc>
          <w:tcPr>
            <w:tcW w:w="6439" w:type="dxa"/>
            <w:vAlign w:val="center"/>
          </w:tcPr>
          <w:p>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构成本招标文件的各个组成文件应互为解释，互为说明；</w:t>
            </w:r>
          </w:p>
          <w:p>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1、除招标文件中有特别规定外，仅适用于招标投标阶段的规定，按招标公告（投标邀请书）、投标人须知、评标办法的先后顺序解释；</w:t>
            </w:r>
          </w:p>
          <w:p>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3、同一组成文件中就同一事项的规定或约定不一致的，以编排顺序在后者为准；</w:t>
            </w:r>
          </w:p>
          <w:p>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4、同一组成文件不同版本之间有不一致的，以形成时间在后者为准；</w:t>
            </w:r>
          </w:p>
          <w:p>
            <w:pPr>
              <w:autoSpaceDE w:val="0"/>
              <w:autoSpaceDN w:val="0"/>
              <w:adjustRightInd w:val="0"/>
              <w:spacing w:line="360" w:lineRule="auto"/>
              <w:contextualSpacing/>
              <w:rPr>
                <w:rFonts w:hint="eastAsia" w:ascii="宋体" w:hAnsi="宋体" w:eastAsia="宋体" w:cs="宋体"/>
                <w:b/>
                <w:color w:val="000000"/>
                <w:kern w:val="0"/>
                <w:sz w:val="21"/>
                <w:szCs w:val="21"/>
                <w:highlight w:val="none"/>
                <w:lang w:val="zh-CN"/>
              </w:rPr>
            </w:pPr>
            <w:r>
              <w:rPr>
                <w:rFonts w:hint="eastAsia" w:ascii="宋体" w:hAnsi="宋体" w:eastAsia="宋体" w:cs="宋体"/>
                <w:sz w:val="21"/>
                <w:szCs w:val="21"/>
                <w:highlight w:val="none"/>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36</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知识产权</w:t>
            </w:r>
          </w:p>
        </w:tc>
        <w:tc>
          <w:tcPr>
            <w:tcW w:w="6439" w:type="dxa"/>
            <w:vAlign w:val="center"/>
          </w:tcPr>
          <w:p>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37</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投标费用</w:t>
            </w:r>
          </w:p>
        </w:tc>
        <w:tc>
          <w:tcPr>
            <w:tcW w:w="6439" w:type="dxa"/>
            <w:vAlign w:val="center"/>
          </w:tcPr>
          <w:p>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38</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纪律和监督</w:t>
            </w:r>
          </w:p>
        </w:tc>
        <w:tc>
          <w:tcPr>
            <w:tcW w:w="6439" w:type="dxa"/>
            <w:vAlign w:val="center"/>
          </w:tcPr>
          <w:p>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采购人或招标代理机构不得泄漏招标投标活动中应当保密的情况和资料，不得与供应商串通损害国家利益、社会公共利益或者他人合法权益。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39</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投标文件的拒收</w:t>
            </w:r>
          </w:p>
        </w:tc>
        <w:tc>
          <w:tcPr>
            <w:tcW w:w="6439" w:type="dxa"/>
            <w:vAlign w:val="center"/>
          </w:tcPr>
          <w:p>
            <w:pPr>
              <w:autoSpaceDE w:val="0"/>
              <w:autoSpaceDN w:val="0"/>
              <w:adjustRightInd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kern w:val="0"/>
                <w:sz w:val="21"/>
                <w:szCs w:val="21"/>
                <w:highlight w:val="none"/>
              </w:rPr>
              <w:t>1</w:t>
            </w:r>
            <w:r>
              <w:rPr>
                <w:rFonts w:hint="eastAsia" w:ascii="宋体" w:hAnsi="宋体" w:eastAsia="宋体" w:cs="宋体"/>
                <w:sz w:val="21"/>
                <w:szCs w:val="21"/>
                <w:highlight w:val="none"/>
                <w:lang w:val="zh-CN"/>
              </w:rPr>
              <w:t>、未成功上传的投标文件；</w:t>
            </w:r>
          </w:p>
          <w:p>
            <w:pPr>
              <w:autoSpaceDE w:val="0"/>
              <w:autoSpaceDN w:val="0"/>
              <w:adjustRightInd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40</w:t>
            </w:r>
          </w:p>
        </w:tc>
        <w:tc>
          <w:tcPr>
            <w:tcW w:w="2061" w:type="dxa"/>
            <w:vAlign w:val="center"/>
          </w:tcPr>
          <w:p>
            <w:pPr>
              <w:autoSpaceDE w:val="0"/>
              <w:autoSpaceDN w:val="0"/>
              <w:adjustRightInd w:val="0"/>
              <w:spacing w:line="360" w:lineRule="auto"/>
              <w:jc w:val="center"/>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特别提示</w:t>
            </w:r>
          </w:p>
        </w:tc>
        <w:tc>
          <w:tcPr>
            <w:tcW w:w="6439" w:type="dxa"/>
            <w:vAlign w:val="center"/>
          </w:tcPr>
          <w:p>
            <w:pPr>
              <w:autoSpaceDE w:val="0"/>
              <w:autoSpaceDN w:val="0"/>
              <w:adjustRightInd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1、按照《关于推进全流程电子化交易和在线监管工作有关问题的通知》（许公管办[2019]3号）规定：</w:t>
            </w:r>
          </w:p>
          <w:p>
            <w:pPr>
              <w:autoSpaceDE w:val="0"/>
              <w:autoSpaceDN w:val="0"/>
              <w:adjustRightInd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评审专家应严格按照要求查看“硬件特征码” 相关信息并进行评审，在评审报告中显示“不同投标人电子投标文件制作硬件特征码”是否雷同的分析及判定结果。</w:t>
            </w:r>
          </w:p>
          <w:p>
            <w:pPr>
              <w:spacing w:after="156" w:afterLines="5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2、</w:t>
            </w:r>
            <w:r>
              <w:rPr>
                <w:rFonts w:hint="eastAsia" w:ascii="宋体" w:hAnsi="宋体" w:eastAsia="宋体" w:cs="宋体"/>
                <w:sz w:val="21"/>
                <w:szCs w:val="21"/>
                <w:highlight w:val="non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pPr>
              <w:autoSpaceDE w:val="0"/>
              <w:autoSpaceDN w:val="0"/>
              <w:spacing w:line="360" w:lineRule="auto"/>
              <w:jc w:val="left"/>
              <w:outlineLvl w:val="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3、投标人需提前熟悉招标文件相关事项及《许昌市不见面开标操作手册》，并设置不见面开标浏览器（设置流程详见《许昌市不见面开标操作手册》）。</w:t>
            </w:r>
          </w:p>
          <w:p>
            <w:pPr>
              <w:autoSpaceDE w:val="0"/>
              <w:autoSpaceDN w:val="0"/>
              <w:spacing w:line="360" w:lineRule="auto"/>
              <w:jc w:val="left"/>
              <w:outlineLvl w:val="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10" w:firstLineChars="1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不见面开标活动结束时，投标人应在《开标记录表》上进行电子签章，未进行电子签章的视为对开标结果无异议。</w:t>
            </w:r>
          </w:p>
          <w:p>
            <w:pPr>
              <w:autoSpaceDE w:val="0"/>
              <w:autoSpaceDN w:val="0"/>
              <w:adjustRightInd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pStyle w:val="2"/>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7、项目编号、项目名称以本项目招标文件项目编号、项目名称为准。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709" w:type="dxa"/>
            <w:vAlign w:val="center"/>
          </w:tcPr>
          <w:p>
            <w:pPr>
              <w:autoSpaceDE w:val="0"/>
              <w:autoSpaceDN w:val="0"/>
              <w:adjustRightInd w:val="0"/>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41</w:t>
            </w:r>
          </w:p>
        </w:tc>
        <w:tc>
          <w:tcPr>
            <w:tcW w:w="2061" w:type="dxa"/>
            <w:vAlign w:val="center"/>
          </w:tcPr>
          <w:p>
            <w:pPr>
              <w:autoSpaceDE w:val="0"/>
              <w:autoSpaceDN w:val="0"/>
              <w:adjustRightInd w:val="0"/>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投标人资格核验</w:t>
            </w:r>
          </w:p>
        </w:tc>
        <w:tc>
          <w:tcPr>
            <w:tcW w:w="6439" w:type="dxa"/>
            <w:vAlign w:val="center"/>
          </w:tcPr>
          <w:p>
            <w:pPr>
              <w:autoSpaceDE w:val="0"/>
              <w:autoSpaceDN w:val="0"/>
              <w:adjustRightInd w:val="0"/>
              <w:spacing w:line="360" w:lineRule="auto"/>
              <w:ind w:right="-11"/>
              <w:rPr>
                <w:rFonts w:hint="eastAsia" w:ascii="宋体" w:hAnsi="宋体" w:eastAsia="宋体" w:cs="宋体"/>
                <w:sz w:val="21"/>
                <w:szCs w:val="21"/>
                <w:highlight w:val="none"/>
              </w:rPr>
            </w:pPr>
            <w:r>
              <w:rPr>
                <w:rFonts w:hint="eastAsia" w:ascii="宋体" w:hAnsi="宋体" w:eastAsia="宋体" w:cs="宋体"/>
                <w:sz w:val="21"/>
                <w:szCs w:val="21"/>
                <w:highlight w:val="none"/>
              </w:rPr>
              <w:t>评标结束后，投标人接到招标代理机构通知获得第一中标候选人24小时内，应将由《禹州市政府采购供应商信用承诺函》替代的证明材料提交采购人和招标代理机构核验，经核验无误后，招标代理机构向中标人发出中标通知书。</w:t>
            </w:r>
          </w:p>
          <w:p>
            <w:pPr>
              <w:autoSpaceDE w:val="0"/>
              <w:autoSpaceDN w:val="0"/>
              <w:adjustRightInd w:val="0"/>
              <w:spacing w:line="360" w:lineRule="auto"/>
              <w:ind w:right="-11"/>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1、企业法人营业执照或营业执照。（企业投标提供）</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2、事业单位法人证书。（事业单位投标提供）</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3、执业许可证。（非企业专业服务机构投标提供）</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4、个体工商户营业执照。（个体工商户投标提供）</w:t>
            </w:r>
          </w:p>
          <w:p>
            <w:pPr>
              <w:autoSpaceDE w:val="0"/>
              <w:autoSpaceDN w:val="0"/>
              <w:adjustRightInd w:val="0"/>
              <w:spacing w:line="360" w:lineRule="auto"/>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5、自然人身份证明。（自然人投标提供）</w:t>
            </w:r>
          </w:p>
          <w:p>
            <w:pPr>
              <w:autoSpaceDE w:val="0"/>
              <w:autoSpaceDN w:val="0"/>
              <w:adjustRightInd w:val="0"/>
              <w:spacing w:line="360" w:lineRule="auto"/>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6、民办非企业单位登记证书。（民办非企业单位投标提供）</w:t>
            </w:r>
          </w:p>
          <w:p>
            <w:pPr>
              <w:autoSpaceDE w:val="0"/>
              <w:autoSpaceDN w:val="0"/>
              <w:adjustRightInd w:val="0"/>
              <w:spacing w:line="360" w:lineRule="auto"/>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二、财务状况报告相关材料</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1、投标人是法人（法人包括企业法人、机关法人、事业单位法人和社会团体法人），提供本单位：</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①</w:t>
            </w:r>
            <w:r>
              <w:rPr>
                <w:rFonts w:hint="eastAsia" w:ascii="宋体" w:hAnsi="宋体" w:eastAsia="宋体" w:cs="宋体"/>
                <w:b/>
                <w:bCs/>
                <w:sz w:val="21"/>
                <w:szCs w:val="21"/>
                <w:highlight w:val="none"/>
              </w:rPr>
              <w:t>2021年度</w:t>
            </w:r>
            <w:r>
              <w:rPr>
                <w:rFonts w:hint="eastAsia" w:ascii="宋体" w:hAnsi="宋体" w:eastAsia="宋体" w:cs="宋体"/>
                <w:b/>
                <w:bCs/>
                <w:sz w:val="21"/>
                <w:szCs w:val="21"/>
                <w:highlight w:val="none"/>
                <w:lang w:val="en-US" w:eastAsia="zh-CN"/>
              </w:rPr>
              <w:t>或2022年度</w:t>
            </w:r>
            <w:r>
              <w:rPr>
                <w:rFonts w:hint="eastAsia" w:ascii="宋体" w:hAnsi="宋体" w:eastAsia="宋体" w:cs="宋体"/>
                <w:b/>
                <w:bCs/>
                <w:sz w:val="21"/>
                <w:szCs w:val="21"/>
                <w:highlight w:val="none"/>
              </w:rPr>
              <w:t>经审计的财务报告</w:t>
            </w:r>
            <w:r>
              <w:rPr>
                <w:rFonts w:hint="eastAsia" w:ascii="宋体" w:hAnsi="宋体" w:eastAsia="宋体" w:cs="宋体"/>
                <w:bCs/>
                <w:sz w:val="21"/>
                <w:szCs w:val="21"/>
                <w:highlight w:val="none"/>
              </w:rPr>
              <w:t>，包括资产负债表、利润表、现金流量表、所有者权益变动表及其附注；</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②基本开户银行出具的资信证明；</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③财政部门认可的政府采购专业担保机构的证明文件和担保机构出具的投标担保函。</w:t>
            </w:r>
          </w:p>
          <w:p>
            <w:pPr>
              <w:spacing w:line="360" w:lineRule="auto"/>
              <w:rPr>
                <w:rFonts w:hint="eastAsia" w:ascii="宋体" w:hAnsi="宋体" w:eastAsia="宋体" w:cs="宋体"/>
                <w:bCs/>
                <w:sz w:val="21"/>
                <w:szCs w:val="21"/>
                <w:highlight w:val="none"/>
              </w:rPr>
            </w:pPr>
            <w:r>
              <w:rPr>
                <w:rFonts w:hint="eastAsia" w:ascii="宋体" w:hAnsi="宋体" w:eastAsia="宋体" w:cs="宋体"/>
                <w:sz w:val="21"/>
                <w:szCs w:val="21"/>
                <w:highlight w:val="none"/>
                <w:lang w:val="zh-CN"/>
              </w:rPr>
              <w:t>注：仅需提供序号</w:t>
            </w:r>
            <w:r>
              <w:rPr>
                <w:rFonts w:hint="eastAsia" w:ascii="宋体" w:hAnsi="宋体" w:eastAsia="宋体" w:cs="宋体"/>
                <w:sz w:val="21"/>
                <w:szCs w:val="21"/>
                <w:highlight w:val="none"/>
              </w:rPr>
              <w:t>①～③其中之一即可。</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2、投标人（其他组织和自然人）提供本单位：</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①</w:t>
            </w:r>
            <w:r>
              <w:rPr>
                <w:rFonts w:hint="eastAsia" w:ascii="宋体" w:hAnsi="宋体" w:eastAsia="宋体" w:cs="宋体"/>
                <w:b/>
                <w:bCs/>
                <w:sz w:val="21"/>
                <w:szCs w:val="21"/>
                <w:highlight w:val="none"/>
              </w:rPr>
              <w:t>2021年度</w:t>
            </w:r>
            <w:r>
              <w:rPr>
                <w:rFonts w:hint="eastAsia" w:ascii="宋体" w:hAnsi="宋体" w:eastAsia="宋体" w:cs="宋体"/>
                <w:b/>
                <w:bCs/>
                <w:sz w:val="21"/>
                <w:szCs w:val="21"/>
                <w:highlight w:val="none"/>
                <w:lang w:val="en-US" w:eastAsia="zh-CN"/>
              </w:rPr>
              <w:t>或2022年度</w:t>
            </w:r>
            <w:r>
              <w:rPr>
                <w:rFonts w:hint="eastAsia" w:ascii="宋体" w:hAnsi="宋体" w:eastAsia="宋体" w:cs="宋体"/>
                <w:b/>
                <w:bCs/>
                <w:sz w:val="21"/>
                <w:szCs w:val="21"/>
                <w:highlight w:val="none"/>
              </w:rPr>
              <w:t>经审计的财务报告</w:t>
            </w:r>
            <w:r>
              <w:rPr>
                <w:rFonts w:hint="eastAsia" w:ascii="宋体" w:hAnsi="宋体" w:eastAsia="宋体" w:cs="宋体"/>
                <w:bCs/>
                <w:sz w:val="21"/>
                <w:szCs w:val="21"/>
                <w:highlight w:val="none"/>
              </w:rPr>
              <w:t>，包括资产负债表、利润表、现金流量表、所有者权益变动表及其附注；</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②银行出具的资信证明；</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注：仅需提供序号</w:t>
            </w:r>
            <w:r>
              <w:rPr>
                <w:rFonts w:hint="eastAsia" w:ascii="宋体" w:hAnsi="宋体" w:eastAsia="宋体" w:cs="宋体"/>
                <w:sz w:val="21"/>
                <w:szCs w:val="21"/>
                <w:highlight w:val="none"/>
              </w:rPr>
              <w:t>①～③其中之一即可。</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b/>
                <w:sz w:val="21"/>
                <w:szCs w:val="21"/>
                <w:highlight w:val="none"/>
              </w:rPr>
              <w:t>三、依法缴纳税收相关材料</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参加本次政府采购项目投标截止时间前6个月内任意一个月缴纳税收凭据。（依法免税的投标人，应提供相应文件证明依法免税）</w:t>
            </w:r>
          </w:p>
          <w:p>
            <w:pPr>
              <w:autoSpaceDE w:val="0"/>
              <w:autoSpaceDN w:val="0"/>
              <w:adjustRightInd w:val="0"/>
              <w:spacing w:line="360" w:lineRule="auto"/>
              <w:ind w:right="-11"/>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四、依法缴纳社会保障资金的证明材料</w:t>
            </w:r>
          </w:p>
          <w:p>
            <w:pPr>
              <w:autoSpaceDE w:val="0"/>
              <w:autoSpaceDN w:val="0"/>
              <w:adjustRightInd w:val="0"/>
              <w:spacing w:line="360" w:lineRule="auto"/>
              <w:ind w:right="-11"/>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参加本次政府采购项目投标截止时间前6个月内任意一个月缴纳社会保险凭据。（依法不需要缴纳社会保障资金的投标人，应提供相应文件证明依法不需要缴纳社会保障资金）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1、相关设备的购置发票、专业技术人员职称证书、用工合同等；</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2、投标人具备履行合同所必须的设备和专业技术能力承诺函或声明（承诺函或声明格式自拟）。</w:t>
            </w:r>
          </w:p>
          <w:p>
            <w:pPr>
              <w:autoSpaceDE w:val="0"/>
              <w:autoSpaceDN w:val="0"/>
              <w:adjustRightInd w:val="0"/>
              <w:spacing w:line="360" w:lineRule="auto"/>
              <w:ind w:right="-11"/>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注：仅需提供序号</w:t>
            </w:r>
            <w:r>
              <w:rPr>
                <w:rFonts w:hint="eastAsia" w:ascii="宋体" w:hAnsi="宋体" w:eastAsia="宋体" w:cs="宋体"/>
                <w:sz w:val="21"/>
                <w:szCs w:val="21"/>
                <w:highlight w:val="none"/>
              </w:rPr>
              <w:t>1～2其中之一即可。</w:t>
            </w:r>
          </w:p>
          <w:p>
            <w:pPr>
              <w:autoSpaceDE w:val="0"/>
              <w:autoSpaceDN w:val="0"/>
              <w:adjustRightInd w:val="0"/>
              <w:spacing w:line="360" w:lineRule="auto"/>
              <w:ind w:right="-11"/>
              <w:rPr>
                <w:rFonts w:hint="eastAsia" w:ascii="宋体" w:hAnsi="宋体" w:eastAsia="宋体" w:cs="宋体"/>
                <w:b/>
                <w:bCs/>
                <w:sz w:val="21"/>
                <w:szCs w:val="21"/>
                <w:highlight w:val="none"/>
                <w:lang w:val="zh-CN"/>
              </w:rPr>
            </w:pPr>
            <w:r>
              <w:rPr>
                <w:rFonts w:hint="eastAsia" w:ascii="宋体" w:hAnsi="宋体" w:eastAsia="宋体" w:cs="宋体"/>
                <w:b/>
                <w:kern w:val="0"/>
                <w:sz w:val="21"/>
                <w:szCs w:val="21"/>
                <w:highlight w:val="none"/>
              </w:rPr>
              <w:t>六、</w:t>
            </w:r>
            <w:r>
              <w:rPr>
                <w:rFonts w:hint="eastAsia" w:ascii="宋体" w:hAnsi="宋体" w:eastAsia="宋体" w:cs="宋体"/>
                <w:b/>
                <w:bCs/>
                <w:sz w:val="21"/>
                <w:szCs w:val="21"/>
                <w:highlight w:val="none"/>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hint="eastAsia" w:ascii="宋体" w:hAnsi="宋体" w:eastAsia="宋体" w:cs="宋体"/>
                <w:kern w:val="0"/>
                <w:sz w:val="21"/>
                <w:szCs w:val="21"/>
                <w:highlight w:val="none"/>
              </w:rPr>
            </w:pPr>
            <w:r>
              <w:rPr>
                <w:rFonts w:hint="eastAsia" w:ascii="宋体" w:hAnsi="宋体" w:eastAsia="宋体" w:cs="宋体"/>
                <w:b/>
                <w:bCs/>
                <w:sz w:val="21"/>
                <w:szCs w:val="21"/>
                <w:highlight w:val="none"/>
                <w:lang w:val="zh-CN"/>
              </w:rPr>
              <w:t>七、</w:t>
            </w:r>
            <w:r>
              <w:rPr>
                <w:rFonts w:hint="eastAsia" w:ascii="宋体" w:hAnsi="宋体" w:eastAsia="宋体" w:cs="宋体"/>
                <w:b/>
                <w:sz w:val="21"/>
                <w:szCs w:val="21"/>
                <w:highlight w:val="none"/>
                <w:shd w:val="clear" w:color="auto" w:fill="FFFFFF"/>
              </w:rPr>
              <w:t>未被列入“信用中国”网站(www.creditchina.gov.cn)失信被执行人、重大税收违法失信主体；“中国政府采购网” (www.ccgp.gov.cn)政府采购严重违法失信行为记录名单的投标人</w:t>
            </w:r>
            <w:r>
              <w:rPr>
                <w:rFonts w:hint="eastAsia" w:ascii="宋体" w:hAnsi="宋体" w:eastAsia="宋体" w:cs="宋体"/>
                <w:b/>
                <w:bCs/>
                <w:sz w:val="21"/>
                <w:szCs w:val="21"/>
                <w:highlight w:val="none"/>
                <w:lang w:val="zh-CN"/>
              </w:rPr>
              <w:t>；</w:t>
            </w:r>
            <w:r>
              <w:rPr>
                <w:rFonts w:hint="eastAsia" w:ascii="宋体" w:hAnsi="宋体" w:eastAsia="宋体" w:cs="宋体"/>
                <w:b/>
                <w:sz w:val="21"/>
                <w:szCs w:val="21"/>
                <w:highlight w:val="none"/>
                <w:shd w:val="clear" w:color="auto" w:fill="FFFFFF"/>
              </w:rPr>
              <w:t xml:space="preserve"> “中国社会组织政务服务平台”网站（https://chinanpo.mca.gov.cn）严重违法失信社会组织（</w:t>
            </w:r>
            <w:r>
              <w:rPr>
                <w:rFonts w:hint="eastAsia" w:ascii="宋体" w:hAnsi="宋体" w:eastAsia="宋体" w:cs="宋体"/>
                <w:kern w:val="0"/>
                <w:sz w:val="21"/>
                <w:szCs w:val="21"/>
                <w:highlight w:val="none"/>
              </w:rPr>
              <w:t>联合体形式投标的，联合体成员存在不良信用记录，视同联合体存在不良信用记录）。</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1、查询渠道：</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①“信用中国”网站（</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"http://www.creditchina.gov.cn" </w:instrText>
            </w:r>
            <w:r>
              <w:rPr>
                <w:rFonts w:hint="eastAsia" w:ascii="宋体" w:hAnsi="宋体" w:eastAsia="宋体" w:cs="宋体"/>
                <w:sz w:val="21"/>
                <w:szCs w:val="21"/>
                <w:highlight w:val="none"/>
              </w:rPr>
              <w:fldChar w:fldCharType="separate"/>
            </w:r>
            <w:r>
              <w:rPr>
                <w:rFonts w:hint="eastAsia" w:ascii="宋体" w:hAnsi="宋体" w:eastAsia="宋体" w:cs="宋体"/>
                <w:kern w:val="0"/>
                <w:sz w:val="21"/>
                <w:szCs w:val="21"/>
                <w:highlight w:val="none"/>
              </w:rPr>
              <w:t>www.creditchina.gov.cn</w:t>
            </w:r>
            <w:r>
              <w:rPr>
                <w:rFonts w:hint="eastAsia" w:ascii="宋体" w:hAnsi="宋体" w:eastAsia="宋体" w:cs="宋体"/>
                <w:kern w:val="0"/>
                <w:sz w:val="21"/>
                <w:szCs w:val="21"/>
                <w:highlight w:val="none"/>
              </w:rPr>
              <w:fldChar w:fldCharType="end"/>
            </w:r>
            <w:r>
              <w:rPr>
                <w:rFonts w:hint="eastAsia" w:ascii="宋体" w:hAnsi="宋体" w:eastAsia="宋体" w:cs="宋体"/>
                <w:kern w:val="0"/>
                <w:sz w:val="21"/>
                <w:szCs w:val="21"/>
                <w:highlight w:val="none"/>
              </w:rPr>
              <w:t>）</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②“中国政府采购网”（www.ccgp.gov.cn）</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③“中国社会组织政务服务平台”网站（https://chinanpo.mca.gov.cn）（仅查询社会组织）；</w:t>
            </w:r>
          </w:p>
          <w:p>
            <w:pPr>
              <w:autoSpaceDE w:val="0"/>
              <w:autoSpaceDN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2、截止时间：中标公告发布前；</w:t>
            </w:r>
          </w:p>
          <w:p>
            <w:pPr>
              <w:autoSpaceDE w:val="0"/>
              <w:autoSpaceDN w:val="0"/>
              <w:adjustRightInd w:val="0"/>
              <w:spacing w:line="360" w:lineRule="auto"/>
              <w:contextualSpacing/>
              <w:rPr>
                <w:rFonts w:hint="eastAsia" w:ascii="宋体" w:hAnsi="宋体" w:eastAsia="宋体" w:cs="宋体"/>
                <w:sz w:val="21"/>
                <w:szCs w:val="21"/>
                <w:highlight w:val="none"/>
                <w:lang w:val="zh-CN"/>
              </w:rPr>
            </w:pPr>
            <w:r>
              <w:rPr>
                <w:rFonts w:hint="eastAsia" w:ascii="宋体" w:hAnsi="宋体" w:eastAsia="宋体" w:cs="宋体"/>
                <w:kern w:val="0"/>
                <w:sz w:val="21"/>
                <w:szCs w:val="21"/>
                <w:highlight w:val="none"/>
              </w:rPr>
              <w:t>3、信用信息的使用原则：经采购人认定的被列入失信被执行人、重大税收违法失信主体、</w:t>
            </w:r>
            <w:r>
              <w:rPr>
                <w:rFonts w:hint="eastAsia" w:ascii="宋体" w:hAnsi="宋体" w:eastAsia="宋体" w:cs="宋体"/>
                <w:sz w:val="21"/>
                <w:szCs w:val="21"/>
                <w:highlight w:val="none"/>
                <w:shd w:val="clear" w:color="auto" w:fill="FFFFFF"/>
              </w:rPr>
              <w:t>政府采购严重违法失信行为记录名单的投标人、</w:t>
            </w:r>
            <w:r>
              <w:rPr>
                <w:rFonts w:hint="eastAsia" w:ascii="宋体" w:hAnsi="宋体" w:eastAsia="宋体" w:cs="宋体"/>
                <w:kern w:val="0"/>
                <w:sz w:val="21"/>
                <w:szCs w:val="21"/>
                <w:highlight w:val="none"/>
              </w:rPr>
              <w:t>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209" w:type="dxa"/>
            <w:gridSpan w:val="3"/>
            <w:vAlign w:val="center"/>
          </w:tcPr>
          <w:p>
            <w:pPr>
              <w:autoSpaceDE w:val="0"/>
              <w:autoSpaceDN w:val="0"/>
              <w:adjustRightInd w:val="0"/>
              <w:spacing w:line="360" w:lineRule="auto"/>
              <w:contextualSpacing/>
              <w:rPr>
                <w:rFonts w:hint="eastAsia" w:ascii="宋体" w:hAnsi="宋体" w:eastAsia="宋体" w:cs="宋体"/>
                <w:kern w:val="0"/>
                <w:sz w:val="21"/>
                <w:szCs w:val="21"/>
                <w:highlight w:val="none"/>
              </w:rPr>
            </w:pPr>
            <w:r>
              <w:rPr>
                <w:rFonts w:hint="eastAsia" w:ascii="宋体" w:hAnsi="宋体" w:eastAsia="宋体" w:cs="宋体"/>
                <w:position w:val="6"/>
                <w:sz w:val="21"/>
                <w:szCs w:val="21"/>
                <w:highlight w:val="none"/>
              </w:rPr>
              <w:t>未尽事宜，按国家有关规定执行。</w:t>
            </w:r>
          </w:p>
        </w:tc>
      </w:tr>
    </w:tbl>
    <w:p>
      <w:pPr>
        <w:widowControl/>
        <w:jc w:val="center"/>
        <w:rPr>
          <w:rFonts w:hint="eastAsia" w:ascii="宋体" w:hAnsi="宋体" w:eastAsia="宋体" w:cs="宋体"/>
          <w:b/>
          <w:kern w:val="0"/>
          <w:sz w:val="21"/>
          <w:szCs w:val="21"/>
          <w:highlight w:val="none"/>
        </w:rPr>
      </w:pPr>
    </w:p>
    <w:p>
      <w:pPr>
        <w:widowControl/>
        <w:jc w:val="center"/>
        <w:rPr>
          <w:rFonts w:hint="eastAsia" w:ascii="宋体" w:hAnsi="宋体" w:eastAsia="宋体" w:cs="宋体"/>
          <w:b/>
          <w:kern w:val="0"/>
          <w:sz w:val="21"/>
          <w:szCs w:val="21"/>
          <w:highlight w:val="none"/>
        </w:rPr>
      </w:pPr>
    </w:p>
    <w:p>
      <w:pPr>
        <w:widowControl/>
        <w:jc w:val="center"/>
        <w:rPr>
          <w:rFonts w:hint="eastAsia" w:ascii="宋体" w:hAnsi="宋体" w:eastAsia="宋体" w:cs="宋体"/>
          <w:b/>
          <w:kern w:val="0"/>
          <w:sz w:val="21"/>
          <w:szCs w:val="21"/>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pStyle w:val="2"/>
        <w:rPr>
          <w:rFonts w:hint="eastAsia" w:cs="宋体" w:asciiTheme="majorEastAsia" w:hAnsiTheme="majorEastAsia" w:eastAsiaTheme="majorEastAsia"/>
          <w:b/>
          <w:color w:val="auto"/>
          <w:kern w:val="0"/>
          <w:sz w:val="32"/>
          <w:szCs w:val="32"/>
          <w:highlight w:val="none"/>
        </w:rPr>
      </w:pPr>
    </w:p>
    <w:p>
      <w:pPr>
        <w:pStyle w:val="24"/>
        <w:rPr>
          <w:rFonts w:hint="eastAsia" w:cs="宋体" w:asciiTheme="majorEastAsia" w:hAnsiTheme="majorEastAsia" w:eastAsiaTheme="majorEastAsia"/>
          <w:b/>
          <w:color w:val="auto"/>
          <w:kern w:val="0"/>
          <w:sz w:val="32"/>
          <w:szCs w:val="32"/>
          <w:highlight w:val="none"/>
        </w:rPr>
      </w:pPr>
    </w:p>
    <w:p>
      <w:pPr>
        <w:pStyle w:val="27"/>
        <w:rPr>
          <w:rFonts w:hint="eastAsia"/>
          <w:highlight w:val="none"/>
        </w:rPr>
      </w:pPr>
    </w:p>
    <w:p>
      <w:pPr>
        <w:pStyle w:val="30"/>
        <w:rPr>
          <w:rFonts w:hint="eastAsia" w:cs="宋体" w:asciiTheme="majorEastAsia" w:hAnsiTheme="majorEastAsia" w:eastAsiaTheme="majorEastAsia"/>
          <w:b/>
          <w:color w:val="auto"/>
          <w:kern w:val="0"/>
          <w:sz w:val="32"/>
          <w:szCs w:val="32"/>
          <w:highlight w:val="none"/>
        </w:rPr>
      </w:pPr>
    </w:p>
    <w:p>
      <w:pPr>
        <w:pStyle w:val="31"/>
        <w:rPr>
          <w:rFonts w:hint="eastAsia" w:cs="宋体" w:asciiTheme="majorEastAsia" w:hAnsiTheme="majorEastAsia" w:eastAsiaTheme="majorEastAsia"/>
          <w:b/>
          <w:color w:val="auto"/>
          <w:kern w:val="0"/>
          <w:sz w:val="32"/>
          <w:szCs w:val="32"/>
          <w:highlight w:val="none"/>
        </w:rPr>
      </w:pPr>
    </w:p>
    <w:p>
      <w:pPr>
        <w:rPr>
          <w:rFonts w:hint="eastAsia"/>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一、概念释义</w:t>
      </w:r>
    </w:p>
    <w:p>
      <w:pPr>
        <w:pStyle w:val="62"/>
        <w:numPr>
          <w:ilvl w:val="0"/>
          <w:numId w:val="5"/>
        </w:numPr>
        <w:autoSpaceDE w:val="0"/>
        <w:autoSpaceDN w:val="0"/>
        <w:spacing w:line="360" w:lineRule="auto"/>
        <w:ind w:firstLineChars="0"/>
        <w:contextualSpacing/>
        <w:rPr>
          <w:rFonts w:ascii="宋体" w:cs="宋体"/>
          <w:b/>
          <w:color w:val="auto"/>
          <w:kern w:val="0"/>
          <w:szCs w:val="21"/>
          <w:highlight w:val="none"/>
        </w:rPr>
      </w:pPr>
      <w:r>
        <w:rPr>
          <w:rFonts w:hint="eastAsia" w:ascii="宋体" w:hAnsi="宋体" w:cs="宋体"/>
          <w:b/>
          <w:color w:val="auto"/>
          <w:kern w:val="0"/>
          <w:szCs w:val="21"/>
          <w:highlight w:val="none"/>
        </w:rPr>
        <w:t>适用范围</w:t>
      </w:r>
    </w:p>
    <w:p>
      <w:pPr>
        <w:pStyle w:val="62"/>
        <w:numPr>
          <w:ilvl w:val="0"/>
          <w:numId w:val="6"/>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本招标文件仅适用于本次“投标邀请”中所述采购项目。</w:t>
      </w:r>
    </w:p>
    <w:p>
      <w:pPr>
        <w:pStyle w:val="62"/>
        <w:numPr>
          <w:ilvl w:val="1"/>
          <w:numId w:val="5"/>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本招标文件解释权属于“投标邀请”所述的采购人。</w:t>
      </w:r>
    </w:p>
    <w:p>
      <w:pPr>
        <w:pStyle w:val="62"/>
        <w:numPr>
          <w:ilvl w:val="0"/>
          <w:numId w:val="5"/>
        </w:numPr>
        <w:autoSpaceDE w:val="0"/>
        <w:autoSpaceDN w:val="0"/>
        <w:spacing w:line="360" w:lineRule="auto"/>
        <w:ind w:firstLineChars="0"/>
        <w:contextualSpacing/>
        <w:rPr>
          <w:rFonts w:ascii="宋体" w:cs="宋体"/>
          <w:b/>
          <w:color w:val="auto"/>
          <w:kern w:val="0"/>
          <w:szCs w:val="21"/>
          <w:highlight w:val="none"/>
        </w:rPr>
      </w:pPr>
      <w:r>
        <w:rPr>
          <w:rFonts w:hint="eastAsia" w:ascii="宋体" w:hAnsi="宋体" w:cs="宋体"/>
          <w:b/>
          <w:color w:val="auto"/>
          <w:kern w:val="0"/>
          <w:szCs w:val="21"/>
          <w:highlight w:val="none"/>
        </w:rPr>
        <w:t>定义</w:t>
      </w:r>
    </w:p>
    <w:p>
      <w:pPr>
        <w:pStyle w:val="62"/>
        <w:numPr>
          <w:ilvl w:val="0"/>
          <w:numId w:val="6"/>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“采购项目”：“投标人须知前附表”中所述的采购项目。</w:t>
      </w:r>
    </w:p>
    <w:p>
      <w:pPr>
        <w:pStyle w:val="62"/>
        <w:numPr>
          <w:ilvl w:val="1"/>
          <w:numId w:val="5"/>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“招标人”：“投标人须知前附表”中所述的组织本次招标的代理机构和采购人。</w:t>
      </w:r>
    </w:p>
    <w:p>
      <w:pPr>
        <w:pStyle w:val="62"/>
        <w:numPr>
          <w:ilvl w:val="1"/>
          <w:numId w:val="5"/>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“采购人”：是指依法进行政府采购的国家机关、事业单位、团体组织。采购人</w:t>
      </w:r>
    </w:p>
    <w:p>
      <w:pPr>
        <w:pStyle w:val="62"/>
        <w:autoSpaceDE w:val="0"/>
        <w:autoSpaceDN w:val="0"/>
        <w:spacing w:line="360" w:lineRule="auto"/>
        <w:ind w:firstLine="0" w:firstLineChars="0"/>
        <w:contextualSpacing/>
        <w:rPr>
          <w:rFonts w:ascii="宋体" w:cs="宋体"/>
          <w:color w:val="auto"/>
          <w:kern w:val="0"/>
          <w:szCs w:val="21"/>
          <w:highlight w:val="none"/>
        </w:rPr>
      </w:pPr>
      <w:r>
        <w:rPr>
          <w:rFonts w:hint="eastAsia" w:ascii="宋体" w:hAnsi="宋体" w:cs="宋体"/>
          <w:color w:val="auto"/>
          <w:kern w:val="0"/>
          <w:szCs w:val="21"/>
          <w:highlight w:val="none"/>
        </w:rPr>
        <w:t>名称、地址、电话、联系人见“投标人须知前附表”。</w:t>
      </w:r>
    </w:p>
    <w:p>
      <w:pPr>
        <w:pStyle w:val="62"/>
        <w:numPr>
          <w:ilvl w:val="1"/>
          <w:numId w:val="5"/>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“代理机构”：接受采购人委托，代理采购项目的采购代理机构。代理机构名称、地址、</w:t>
      </w:r>
    </w:p>
    <w:p>
      <w:pPr>
        <w:pStyle w:val="62"/>
        <w:autoSpaceDE w:val="0"/>
        <w:autoSpaceDN w:val="0"/>
        <w:spacing w:line="360" w:lineRule="auto"/>
        <w:ind w:firstLine="0" w:firstLineChars="0"/>
        <w:contextualSpacing/>
        <w:rPr>
          <w:rFonts w:ascii="宋体" w:cs="宋体"/>
          <w:color w:val="auto"/>
          <w:kern w:val="0"/>
          <w:szCs w:val="21"/>
          <w:highlight w:val="none"/>
        </w:rPr>
      </w:pPr>
      <w:r>
        <w:rPr>
          <w:rFonts w:hint="eastAsia" w:ascii="宋体" w:hAnsi="宋体" w:cs="宋体"/>
          <w:color w:val="auto"/>
          <w:kern w:val="0"/>
          <w:szCs w:val="21"/>
          <w:highlight w:val="none"/>
        </w:rPr>
        <w:t>电话、联系人见“投标人须知前附表”。</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采购代理机构及其分支机构不得在所代理的采购项目中投标或者代理投标，不得为所代理的采购项目的投标人参加本项目提供投标咨询。</w:t>
      </w:r>
    </w:p>
    <w:p>
      <w:pPr>
        <w:pStyle w:val="62"/>
        <w:numPr>
          <w:ilvl w:val="1"/>
          <w:numId w:val="5"/>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“潜在投标人”指符合《中华人民共和国政府采购法》及相关法律法规和本招标文件的</w:t>
      </w:r>
    </w:p>
    <w:p>
      <w:pPr>
        <w:pStyle w:val="62"/>
        <w:autoSpaceDE w:val="0"/>
        <w:autoSpaceDN w:val="0"/>
        <w:spacing w:line="360" w:lineRule="auto"/>
        <w:ind w:firstLine="0" w:firstLineChars="0"/>
        <w:contextualSpacing/>
        <w:rPr>
          <w:rFonts w:ascii="宋体" w:cs="宋体"/>
          <w:color w:val="auto"/>
          <w:kern w:val="0"/>
          <w:szCs w:val="21"/>
          <w:highlight w:val="none"/>
        </w:rPr>
      </w:pPr>
      <w:r>
        <w:rPr>
          <w:rFonts w:hint="eastAsia" w:ascii="宋体" w:hAnsi="宋体" w:cs="宋体"/>
          <w:color w:val="auto"/>
          <w:kern w:val="0"/>
          <w:szCs w:val="21"/>
          <w:highlight w:val="none"/>
        </w:rPr>
        <w:t>各项规定，且按照本项目招标公告及招标文件规定的方式获取招标文件的法人、其他组织或者自然人。</w:t>
      </w:r>
    </w:p>
    <w:p>
      <w:pPr>
        <w:pStyle w:val="62"/>
        <w:numPr>
          <w:ilvl w:val="1"/>
          <w:numId w:val="5"/>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“投标人”：是指符合《中华人民共和国政府采购法》及相关法律法规和本招标文件的</w:t>
      </w:r>
    </w:p>
    <w:p>
      <w:pPr>
        <w:pStyle w:val="62"/>
        <w:autoSpaceDE w:val="0"/>
        <w:autoSpaceDN w:val="0"/>
        <w:spacing w:line="360" w:lineRule="auto"/>
        <w:ind w:firstLine="0" w:firstLineChars="0"/>
        <w:contextualSpacing/>
        <w:rPr>
          <w:rFonts w:ascii="宋体" w:cs="宋体"/>
          <w:color w:val="auto"/>
          <w:kern w:val="0"/>
          <w:szCs w:val="21"/>
          <w:highlight w:val="none"/>
        </w:rPr>
      </w:pPr>
      <w:r>
        <w:rPr>
          <w:rFonts w:hint="eastAsia" w:ascii="宋体" w:hAnsi="宋体" w:cs="宋体"/>
          <w:color w:val="auto"/>
          <w:kern w:val="0"/>
          <w:szCs w:val="21"/>
          <w:highlight w:val="none"/>
        </w:rPr>
        <w:t>各项规定，响应招标、参加投标竞争，从招标人处按规定获取招标文件，并按照招标文件要求向招标人提交投标文件的法人、其他组织或者自然人。</w:t>
      </w:r>
    </w:p>
    <w:p>
      <w:pPr>
        <w:pStyle w:val="62"/>
        <w:numPr>
          <w:ilvl w:val="1"/>
          <w:numId w:val="5"/>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“进口产品”：是指通过中国海关报关验放进入中国境内且产自关境外的产品，包括已</w:t>
      </w:r>
    </w:p>
    <w:p>
      <w:pPr>
        <w:pStyle w:val="62"/>
        <w:autoSpaceDE w:val="0"/>
        <w:autoSpaceDN w:val="0"/>
        <w:spacing w:line="360" w:lineRule="auto"/>
        <w:ind w:firstLine="0" w:firstLineChars="0"/>
        <w:contextualSpacing/>
        <w:rPr>
          <w:rFonts w:ascii="宋体" w:cs="宋体"/>
          <w:color w:val="auto"/>
          <w:kern w:val="0"/>
          <w:szCs w:val="21"/>
          <w:highlight w:val="none"/>
        </w:rPr>
      </w:pPr>
      <w:r>
        <w:rPr>
          <w:rFonts w:hint="eastAsia" w:ascii="宋体" w:hAnsi="宋体" w:cs="宋体"/>
          <w:color w:val="auto"/>
          <w:kern w:val="0"/>
          <w:szCs w:val="21"/>
          <w:highlight w:val="none"/>
        </w:rPr>
        <w:t>经进入中国境内的进口产品。详见《关于政府采购进口产品管理有关问题的通知》</w:t>
      </w:r>
      <w:r>
        <w:rPr>
          <w:rFonts w:ascii="宋体" w:hAnsi="宋体" w:cs="宋体"/>
          <w:color w:val="auto"/>
          <w:kern w:val="0"/>
          <w:szCs w:val="21"/>
          <w:highlight w:val="none"/>
        </w:rPr>
        <w:t>(</w:t>
      </w:r>
      <w:r>
        <w:rPr>
          <w:rFonts w:hint="eastAsia" w:ascii="宋体" w:hAnsi="宋体" w:cs="宋体"/>
          <w:color w:val="auto"/>
          <w:kern w:val="0"/>
          <w:szCs w:val="21"/>
          <w:highlight w:val="none"/>
        </w:rPr>
        <w:t>财库</w:t>
      </w:r>
      <w:r>
        <w:rPr>
          <w:rFonts w:ascii="宋体" w:hAnsi="宋体" w:cs="宋体"/>
          <w:color w:val="auto"/>
          <w:kern w:val="0"/>
          <w:szCs w:val="21"/>
          <w:highlight w:val="none"/>
        </w:rPr>
        <w:t>[2007]119</w:t>
      </w:r>
      <w:r>
        <w:rPr>
          <w:rFonts w:hint="eastAsia" w:ascii="宋体" w:hAnsi="宋体" w:cs="宋体"/>
          <w:color w:val="auto"/>
          <w:kern w:val="0"/>
          <w:szCs w:val="21"/>
          <w:highlight w:val="none"/>
        </w:rPr>
        <w:t>号</w:t>
      </w:r>
      <w:r>
        <w:rPr>
          <w:rFonts w:ascii="宋体" w:hAnsi="宋体" w:cs="宋体"/>
          <w:color w:val="auto"/>
          <w:kern w:val="0"/>
          <w:szCs w:val="21"/>
          <w:highlight w:val="none"/>
        </w:rPr>
        <w:t>)</w:t>
      </w:r>
      <w:r>
        <w:rPr>
          <w:rFonts w:hint="eastAsia" w:ascii="宋体" w:hAnsi="宋体" w:cs="宋体"/>
          <w:color w:val="auto"/>
          <w:kern w:val="0"/>
          <w:szCs w:val="21"/>
          <w:highlight w:val="none"/>
        </w:rPr>
        <w:t>、《关于政府采购进口产品管理有关问题的通知》（财办库［</w:t>
      </w:r>
      <w:r>
        <w:rPr>
          <w:rFonts w:ascii="宋体" w:hAnsi="宋体" w:cs="宋体"/>
          <w:color w:val="auto"/>
          <w:kern w:val="0"/>
          <w:szCs w:val="21"/>
          <w:highlight w:val="none"/>
        </w:rPr>
        <w:t>2008</w:t>
      </w:r>
      <w:r>
        <w:rPr>
          <w:rFonts w:hint="eastAsia" w:ascii="宋体" w:hAnsi="宋体" w:cs="宋体"/>
          <w:color w:val="auto"/>
          <w:kern w:val="0"/>
          <w:szCs w:val="21"/>
          <w:highlight w:val="none"/>
        </w:rPr>
        <w:t>］</w:t>
      </w:r>
      <w:r>
        <w:rPr>
          <w:rFonts w:ascii="宋体" w:hAnsi="宋体" w:cs="宋体"/>
          <w:color w:val="auto"/>
          <w:kern w:val="0"/>
          <w:szCs w:val="21"/>
          <w:highlight w:val="none"/>
        </w:rPr>
        <w:t xml:space="preserve">248 </w:t>
      </w:r>
      <w:r>
        <w:rPr>
          <w:rFonts w:hint="eastAsia" w:ascii="宋体" w:hAnsi="宋体" w:cs="宋体"/>
          <w:color w:val="auto"/>
          <w:kern w:val="0"/>
          <w:szCs w:val="21"/>
          <w:highlight w:val="none"/>
        </w:rPr>
        <w:t>号）。</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2.7.1 </w:t>
      </w:r>
      <w:r>
        <w:rPr>
          <w:rFonts w:hint="eastAsia" w:ascii="宋体" w:hAnsi="宋体" w:cs="宋体"/>
          <w:color w:val="auto"/>
          <w:kern w:val="0"/>
          <w:szCs w:val="21"/>
          <w:highlight w:val="none"/>
        </w:rPr>
        <w:t>招标文件列明不允许或未列明允许进口产品参加投标的，均视为拒绝进口产品参加投标。</w:t>
      </w:r>
    </w:p>
    <w:p>
      <w:pPr>
        <w:autoSpaceDE w:val="0"/>
        <w:autoSpaceDN w:val="0"/>
        <w:spacing w:line="360" w:lineRule="auto"/>
        <w:ind w:firstLine="420" w:firstLineChars="200"/>
        <w:contextualSpacing/>
        <w:rPr>
          <w:rFonts w:ascii="宋体" w:hAnsi="宋体" w:cs="宋体"/>
          <w:color w:val="auto"/>
          <w:kern w:val="0"/>
          <w:szCs w:val="21"/>
          <w:highlight w:val="none"/>
        </w:rPr>
      </w:pPr>
      <w:r>
        <w:rPr>
          <w:rFonts w:ascii="宋体" w:hAnsi="宋体" w:cs="宋体"/>
          <w:color w:val="auto"/>
          <w:kern w:val="0"/>
          <w:szCs w:val="21"/>
          <w:highlight w:val="none"/>
        </w:rPr>
        <w:t xml:space="preserve">2.7.2 </w:t>
      </w:r>
      <w:r>
        <w:rPr>
          <w:rFonts w:hint="eastAsia" w:ascii="宋体" w:hAnsi="宋体" w:cs="宋体"/>
          <w:color w:val="auto"/>
          <w:kern w:val="0"/>
          <w:szCs w:val="21"/>
          <w:highlight w:val="none"/>
        </w:rPr>
        <w:t>如招标文件中已说明，经财政部门审核同意，允许部分或全部产品采购进口产品，投标人既可提供本国产品，也可以提供进口产品。</w:t>
      </w:r>
    </w:p>
    <w:p>
      <w:pPr>
        <w:pStyle w:val="62"/>
        <w:autoSpaceDE w:val="0"/>
        <w:autoSpaceDN w:val="0"/>
        <w:spacing w:line="360" w:lineRule="auto"/>
        <w:ind w:left="-987" w:leftChars="-470" w:firstLine="1470" w:firstLineChars="700"/>
        <w:contextualSpacing/>
        <w:rPr>
          <w:color w:val="auto"/>
          <w:highlight w:val="none"/>
        </w:rPr>
      </w:pPr>
      <w:r>
        <w:rPr>
          <w:rFonts w:hint="eastAsia" w:cs="宋体" w:asciiTheme="minorEastAsia" w:hAnsiTheme="minorEastAsia"/>
          <w:color w:val="auto"/>
          <w:kern w:val="0"/>
          <w:szCs w:val="21"/>
          <w:highlight w:val="none"/>
        </w:rPr>
        <w:t>2.8 招标文件中凡标有“★”的条款均系实质性要求条款。</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3.</w:t>
      </w:r>
      <w:r>
        <w:rPr>
          <w:rFonts w:hint="eastAsia" w:ascii="宋体" w:hAnsi="宋体" w:cs="宋体"/>
          <w:b/>
          <w:color w:val="auto"/>
          <w:kern w:val="0"/>
          <w:szCs w:val="21"/>
          <w:highlight w:val="none"/>
        </w:rPr>
        <w:t>合格的投标人</w:t>
      </w:r>
    </w:p>
    <w:p>
      <w:pPr>
        <w:pStyle w:val="68"/>
        <w:numPr>
          <w:ilvl w:val="0"/>
          <w:numId w:val="0"/>
        </w:numPr>
        <w:tabs>
          <w:tab w:val="left" w:pos="0"/>
        </w:tabs>
        <w:adjustRightInd/>
        <w:spacing w:line="360" w:lineRule="auto"/>
        <w:ind w:firstLine="420" w:firstLineChars="200"/>
        <w:contextualSpacing/>
        <w:rPr>
          <w:rFonts w:cs="宋体"/>
          <w:color w:val="auto"/>
          <w:highlight w:val="none"/>
        </w:rPr>
      </w:pPr>
      <w:r>
        <w:rPr>
          <w:rFonts w:cs="宋体"/>
          <w:color w:val="auto"/>
          <w:highlight w:val="none"/>
        </w:rPr>
        <w:t>3.1</w:t>
      </w:r>
      <w:r>
        <w:rPr>
          <w:rFonts w:hint="eastAsia" w:cs="宋体"/>
          <w:color w:val="auto"/>
          <w:highlight w:val="none"/>
        </w:rPr>
        <w:t>在中华人民共和国境内注册，具有本项目实施能力，符合、承认并承诺履行本招标文件各项规定的法人、其他组织或者自然人。</w:t>
      </w:r>
    </w:p>
    <w:p>
      <w:pPr>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3.2 </w:t>
      </w:r>
      <w:r>
        <w:rPr>
          <w:rFonts w:hint="eastAsia" w:ascii="宋体" w:hAnsi="宋体" w:cs="宋体"/>
          <w:color w:val="auto"/>
          <w:kern w:val="0"/>
          <w:szCs w:val="21"/>
          <w:highlight w:val="none"/>
        </w:rPr>
        <w:t>符合本项目“投标邀请”和“投标人须知前附表”中规定的合格投标人所必须具备的条件。</w:t>
      </w:r>
    </w:p>
    <w:p>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numPr>
          <w:ilvl w:val="0"/>
          <w:numId w:val="7"/>
        </w:numPr>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查询渠道：“信用中国”网站（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39"/>
          <w:rFonts w:cs="宋体"/>
          <w:color w:val="auto"/>
          <w:szCs w:val="21"/>
          <w:highlight w:val="none"/>
        </w:rPr>
        <w:t>www.creditchina.gov.cn</w:t>
      </w:r>
      <w:r>
        <w:rPr>
          <w:rStyle w:val="39"/>
          <w:rFonts w:cs="宋体"/>
          <w:color w:val="auto"/>
          <w:szCs w:val="21"/>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9"/>
          <w:rFonts w:cs="宋体"/>
          <w:color w:val="auto"/>
          <w:szCs w:val="21"/>
          <w:highlight w:val="none"/>
        </w:rPr>
        <w:t>www.ccgp.gov.cn</w:t>
      </w:r>
      <w:r>
        <w:rPr>
          <w:rStyle w:val="39"/>
          <w:rFonts w:cs="宋体"/>
          <w:color w:val="auto"/>
          <w:szCs w:val="21"/>
          <w:highlight w:val="none"/>
        </w:rPr>
        <w:fldChar w:fldCharType="end"/>
      </w:r>
      <w:r>
        <w:rPr>
          <w:rFonts w:hint="eastAsia" w:ascii="宋体" w:hAnsi="宋体" w:cs="宋体"/>
          <w:color w:val="auto"/>
          <w:szCs w:val="21"/>
          <w:highlight w:val="none"/>
        </w:rPr>
        <w:t>）、“国家企业信用公示系统”网站（</w:t>
      </w:r>
      <w:r>
        <w:rPr>
          <w:color w:val="auto"/>
          <w:highlight w:val="none"/>
        </w:rPr>
        <w:fldChar w:fldCharType="begin"/>
      </w:r>
      <w:r>
        <w:rPr>
          <w:color w:val="auto"/>
          <w:highlight w:val="none"/>
        </w:rPr>
        <w:instrText xml:space="preserve"> HYPERLINK "http://www.gsxt.gov.cn" </w:instrText>
      </w:r>
      <w:r>
        <w:rPr>
          <w:color w:val="auto"/>
          <w:highlight w:val="none"/>
        </w:rPr>
        <w:fldChar w:fldCharType="separate"/>
      </w:r>
      <w:r>
        <w:rPr>
          <w:rStyle w:val="39"/>
          <w:rFonts w:cs="宋体"/>
          <w:color w:val="auto"/>
          <w:szCs w:val="21"/>
          <w:highlight w:val="none"/>
        </w:rPr>
        <w:t>www.gsxt.gov.cn</w:t>
      </w:r>
      <w:r>
        <w:rPr>
          <w:rStyle w:val="39"/>
          <w:rFonts w:cs="宋体"/>
          <w:color w:val="auto"/>
          <w:szCs w:val="21"/>
          <w:highlight w:val="none"/>
        </w:rPr>
        <w:fldChar w:fldCharType="end"/>
      </w:r>
      <w:r>
        <w:rPr>
          <w:rFonts w:hint="eastAsia" w:ascii="宋体" w:hAnsi="宋体" w:cs="宋体"/>
          <w:color w:val="auto"/>
          <w:szCs w:val="21"/>
          <w:highlight w:val="none"/>
        </w:rPr>
        <w:t>）、“中国社会组织政务服务平台”网站（</w:t>
      </w:r>
      <w:r>
        <w:rPr>
          <w:rFonts w:hint="eastAsia"/>
          <w:color w:val="auto"/>
          <w:highlight w:val="none"/>
          <w:u w:val="single"/>
        </w:rPr>
        <w:t>chinanpo.mca.gov.cn</w:t>
      </w:r>
      <w:r>
        <w:rPr>
          <w:rFonts w:hint="eastAsia" w:ascii="宋体" w:hAnsi="宋体" w:cs="宋体"/>
          <w:color w:val="auto"/>
          <w:szCs w:val="21"/>
          <w:highlight w:val="none"/>
        </w:rPr>
        <w:t>）；</w:t>
      </w:r>
    </w:p>
    <w:p>
      <w:pPr>
        <w:numPr>
          <w:ilvl w:val="0"/>
          <w:numId w:val="7"/>
        </w:numPr>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截止时间：</w:t>
      </w:r>
      <w:r>
        <w:rPr>
          <w:rFonts w:hint="eastAsia" w:cs="宋体" w:asciiTheme="minorEastAsia" w:hAnsiTheme="minorEastAsia"/>
          <w:color w:val="auto"/>
          <w:kern w:val="0"/>
          <w:szCs w:val="21"/>
          <w:highlight w:val="none"/>
        </w:rPr>
        <w:t>采购人通知提交审查资料时间止；</w:t>
      </w:r>
    </w:p>
    <w:p>
      <w:pPr>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（3）信用信息的使用原则：经采购人认定的被列入失信被执行人、</w:t>
      </w:r>
      <w:r>
        <w:rPr>
          <w:rFonts w:cs="仿宋_GB2312" w:asciiTheme="minorEastAsia" w:hAnsiTheme="minorEastAsia"/>
          <w:color w:val="auto"/>
          <w:szCs w:val="21"/>
          <w:highlight w:val="none"/>
          <w:shd w:val="clear" w:color="auto" w:fill="FFFFFF"/>
        </w:rPr>
        <w:t>重大税收违法失信主体</w:t>
      </w:r>
      <w:r>
        <w:rPr>
          <w:rFonts w:hint="eastAsia" w:ascii="宋体" w:hAnsi="宋体" w:cs="宋体"/>
          <w:color w:val="auto"/>
          <w:szCs w:val="21"/>
          <w:highlight w:val="none"/>
        </w:rPr>
        <w:t>、政府采购严重违法失信名单、政府采购严重违法失信行为记录名单、严重违法失信企业名单（黑名单）、严重违法失信社会组织名单的投标人，将拒绝其参与本次政府采购活动。</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3.4 </w:t>
      </w:r>
      <w:r>
        <w:rPr>
          <w:rFonts w:hint="eastAsia" w:ascii="宋体" w:hAnsi="宋体" w:cs="宋体"/>
          <w:color w:val="auto"/>
          <w:kern w:val="0"/>
          <w:szCs w:val="21"/>
          <w:highlight w:val="none"/>
        </w:rPr>
        <w:t>单位负责人为同一人或者存在直接控股、管理关系的不同供应商，不得参加同一合同项下的政府采购活动；</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3.5 </w:t>
      </w:r>
      <w:r>
        <w:rPr>
          <w:rFonts w:hint="eastAsia" w:ascii="宋体" w:hAnsi="宋体" w:cs="宋体"/>
          <w:color w:val="auto"/>
          <w:kern w:val="0"/>
          <w:szCs w:val="21"/>
          <w:highlight w:val="none"/>
        </w:rPr>
        <w:t>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3.6 </w:t>
      </w:r>
      <w:r>
        <w:rPr>
          <w:rFonts w:hint="eastAsia" w:ascii="宋体" w:hAnsi="宋体" w:cs="宋体"/>
          <w:color w:val="auto"/>
          <w:kern w:val="0"/>
          <w:szCs w:val="21"/>
          <w:highlight w:val="none"/>
        </w:rPr>
        <w:t>“投标邀请”和“投标人须知前附表”规定接受联合体投标的，除应符合本章第</w:t>
      </w:r>
      <w:r>
        <w:rPr>
          <w:rFonts w:ascii="宋体" w:hAnsi="宋体" w:cs="宋体"/>
          <w:color w:val="auto"/>
          <w:kern w:val="0"/>
          <w:szCs w:val="21"/>
          <w:highlight w:val="none"/>
        </w:rPr>
        <w:t>3.1</w:t>
      </w:r>
      <w:r>
        <w:rPr>
          <w:rFonts w:hint="eastAsia" w:ascii="宋体" w:hAnsi="宋体" w:cs="宋体"/>
          <w:color w:val="auto"/>
          <w:kern w:val="0"/>
          <w:szCs w:val="21"/>
          <w:highlight w:val="none"/>
        </w:rPr>
        <w:t>项和</w:t>
      </w:r>
      <w:r>
        <w:rPr>
          <w:rFonts w:ascii="宋体" w:hAnsi="宋体" w:cs="宋体"/>
          <w:color w:val="auto"/>
          <w:kern w:val="0"/>
          <w:szCs w:val="21"/>
          <w:highlight w:val="none"/>
        </w:rPr>
        <w:t>3.2</w:t>
      </w:r>
      <w:r>
        <w:rPr>
          <w:rFonts w:hint="eastAsia" w:ascii="宋体" w:hAnsi="宋体" w:cs="宋体"/>
          <w:color w:val="auto"/>
          <w:kern w:val="0"/>
          <w:szCs w:val="21"/>
          <w:highlight w:val="none"/>
        </w:rPr>
        <w:t>项要求外，还应遵守以下规定：</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）在投标文件中向采购人提交联合体协议书，明确联合体各方承担的工作和义务；</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hint="eastAsia" w:ascii="宋体" w:hAnsi="宋体" w:cs="宋体"/>
          <w:color w:val="auto"/>
          <w:kern w:val="0"/>
          <w:szCs w:val="21"/>
          <w:highlight w:val="none"/>
        </w:rPr>
        <w:t>承担连带责任</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3.7 </w:t>
      </w:r>
      <w:r>
        <w:rPr>
          <w:rFonts w:hint="eastAsia" w:ascii="宋体" w:hAnsi="宋体" w:cs="宋体"/>
          <w:color w:val="auto"/>
          <w:kern w:val="0"/>
          <w:szCs w:val="21"/>
          <w:highlight w:val="none"/>
        </w:rPr>
        <w:t>法律、行政法规规定的其他条件。</w:t>
      </w:r>
    </w:p>
    <w:p>
      <w:pPr>
        <w:pStyle w:val="62"/>
        <w:autoSpaceDE w:val="0"/>
        <w:autoSpaceDN w:val="0"/>
        <w:spacing w:line="360" w:lineRule="auto"/>
        <w:ind w:firstLine="0" w:firstLineChars="0"/>
        <w:contextualSpacing/>
        <w:rPr>
          <w:rFonts w:ascii="宋体" w:cs="宋体"/>
          <w:b/>
          <w:color w:val="auto"/>
          <w:kern w:val="0"/>
          <w:szCs w:val="21"/>
          <w:highlight w:val="none"/>
        </w:rPr>
      </w:pPr>
      <w:r>
        <w:rPr>
          <w:rFonts w:ascii="宋体" w:hAnsi="宋体" w:cs="宋体"/>
          <w:b/>
          <w:color w:val="auto"/>
          <w:kern w:val="0"/>
          <w:szCs w:val="21"/>
          <w:highlight w:val="none"/>
        </w:rPr>
        <w:t>4.</w:t>
      </w:r>
      <w:r>
        <w:rPr>
          <w:rFonts w:hint="eastAsia" w:ascii="宋体" w:hAnsi="宋体" w:cs="宋体"/>
          <w:b/>
          <w:color w:val="auto"/>
          <w:kern w:val="0"/>
          <w:szCs w:val="21"/>
          <w:highlight w:val="none"/>
        </w:rPr>
        <w:t>合格的货物和服务</w:t>
      </w:r>
    </w:p>
    <w:p>
      <w:pPr>
        <w:pStyle w:val="62"/>
        <w:autoSpaceDE w:val="0"/>
        <w:autoSpaceDN w:val="0"/>
        <w:spacing w:line="360" w:lineRule="auto"/>
        <w:contextualSpacing/>
        <w:rPr>
          <w:rFonts w:ascii="宋体" w:cs="宋体"/>
          <w:color w:val="auto"/>
          <w:kern w:val="0"/>
          <w:szCs w:val="21"/>
          <w:highlight w:val="none"/>
        </w:rPr>
      </w:pPr>
      <w:r>
        <w:rPr>
          <w:rFonts w:ascii="宋体" w:hAnsi="宋体" w:cs="宋体"/>
          <w:color w:val="auto"/>
          <w:kern w:val="0"/>
          <w:szCs w:val="21"/>
          <w:highlight w:val="none"/>
        </w:rPr>
        <w:t xml:space="preserve">4.1 </w:t>
      </w:r>
      <w:r>
        <w:rPr>
          <w:rFonts w:hint="eastAsia" w:ascii="宋体" w:hAnsi="宋体" w:cs="宋体"/>
          <w:color w:val="auto"/>
          <w:kern w:val="0"/>
          <w:szCs w:val="21"/>
          <w:highlight w:val="none"/>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2"/>
        <w:autoSpaceDE w:val="0"/>
        <w:autoSpaceDN w:val="0"/>
        <w:spacing w:line="360" w:lineRule="auto"/>
        <w:contextualSpacing/>
        <w:rPr>
          <w:rFonts w:ascii="宋体" w:hAnsi="宋体" w:cs="宋体"/>
          <w:color w:val="auto"/>
          <w:kern w:val="0"/>
          <w:szCs w:val="21"/>
          <w:highlight w:val="none"/>
        </w:rPr>
      </w:pPr>
      <w:r>
        <w:rPr>
          <w:rFonts w:ascii="宋体" w:hAnsi="宋体" w:cs="宋体"/>
          <w:color w:val="auto"/>
          <w:kern w:val="0"/>
          <w:szCs w:val="21"/>
          <w:highlight w:val="none"/>
        </w:rPr>
        <w:t xml:space="preserve">4.2 </w:t>
      </w:r>
      <w:r>
        <w:rPr>
          <w:rFonts w:hint="eastAsia" w:ascii="宋体" w:hAnsi="宋体" w:cs="宋体"/>
          <w:color w:val="auto"/>
          <w:kern w:val="0"/>
          <w:szCs w:val="21"/>
          <w:highlight w:val="none"/>
        </w:rPr>
        <w:t>投标人所提供的服务应当没有侵犯任何第三方的知识产权、秘密等合法权利。</w:t>
      </w:r>
    </w:p>
    <w:p>
      <w:pPr>
        <w:pStyle w:val="62"/>
        <w:autoSpaceDE w:val="0"/>
        <w:autoSpaceDN w:val="0"/>
        <w:spacing w:line="360"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62"/>
        <w:autoSpaceDE w:val="0"/>
        <w:autoSpaceDN w:val="0"/>
        <w:spacing w:line="360" w:lineRule="auto"/>
        <w:contextualSpacing/>
        <w:rPr>
          <w:rFonts w:asci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4 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auto"/>
          <w:kern w:val="0"/>
          <w:szCs w:val="21"/>
          <w:highlight w:val="none"/>
        </w:rPr>
        <w:t xml:space="preserve">CCC </w:t>
      </w:r>
      <w:r>
        <w:rPr>
          <w:rFonts w:hint="eastAsia" w:ascii="宋体" w:hAnsi="宋体" w:cs="宋体"/>
          <w:color w:val="auto"/>
          <w:kern w:val="0"/>
          <w:szCs w:val="21"/>
          <w:highlight w:val="none"/>
        </w:rPr>
        <w:t>认证）。投标人不能提供超出此目录范畴外的替代品。</w:t>
      </w:r>
    </w:p>
    <w:p>
      <w:pPr>
        <w:pStyle w:val="62"/>
        <w:autoSpaceDE w:val="0"/>
        <w:autoSpaceDN w:val="0"/>
        <w:spacing w:line="360" w:lineRule="auto"/>
        <w:contextualSpacing/>
        <w:rPr>
          <w:rFonts w:ascii="宋体" w:hAns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5 投标人所投产品如被列入《信息安全产品强制性认证目录》，则该产品应具备中国信息安全认证中心颁发的《</w:t>
      </w:r>
      <w:r>
        <w:rPr>
          <w:color w:val="auto"/>
          <w:highlight w:val="none"/>
        </w:rPr>
        <w:fldChar w:fldCharType="begin"/>
      </w:r>
      <w:r>
        <w:rPr>
          <w:color w:val="auto"/>
          <w:highlight w:val="none"/>
        </w:rPr>
        <w:instrText xml:space="preserve"> HYPERLINK "http://www.cnca.gov.cn/cnca/zwxx/ggxx/images/2010/07/19/A6C32D2A507AC2A38326896013A67542.doc" \t "_blank" </w:instrText>
      </w:r>
      <w:r>
        <w:rPr>
          <w:color w:val="auto"/>
          <w:highlight w:val="none"/>
        </w:rPr>
        <w:fldChar w:fldCharType="separate"/>
      </w:r>
      <w:r>
        <w:rPr>
          <w:rFonts w:hint="eastAsia" w:ascii="宋体" w:hAnsi="宋体" w:cs="宋体"/>
          <w:color w:val="auto"/>
          <w:kern w:val="0"/>
          <w:szCs w:val="21"/>
          <w:highlight w:val="none"/>
        </w:rPr>
        <w:t>中国国家信息安全产品认证证书</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》。投标人不能提供超出此目录范畴外的替代品。</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5</w:t>
      </w:r>
      <w:r>
        <w:rPr>
          <w:rFonts w:hint="eastAsia" w:ascii="宋体" w:hAnsi="宋体" w:cs="宋体"/>
          <w:b/>
          <w:color w:val="auto"/>
          <w:kern w:val="0"/>
          <w:szCs w:val="21"/>
          <w:highlight w:val="none"/>
        </w:rPr>
        <w:t>．投标费用</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6</w:t>
      </w:r>
      <w:r>
        <w:rPr>
          <w:rFonts w:hint="eastAsia" w:ascii="宋体" w:hAnsi="宋体" w:cs="宋体"/>
          <w:b/>
          <w:color w:val="auto"/>
          <w:kern w:val="0"/>
          <w:szCs w:val="21"/>
          <w:highlight w:val="none"/>
        </w:rPr>
        <w:t>．信息发布</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本采购项目需要公开的有关信息，包括招标公告、招标文件澄清或修改公告、中标公告以及延长投标截止时间等与招标活动有关的通知，招标人均将通过在</w:t>
      </w:r>
      <w:r>
        <w:rPr>
          <w:rFonts w:hint="eastAsia" w:hAnsi="宋体"/>
          <w:color w:val="auto"/>
          <w:szCs w:val="21"/>
          <w:highlight w:val="none"/>
        </w:rPr>
        <w:t>《河南省政府采购网》、《许昌市政府采购网》</w:t>
      </w:r>
      <w:r>
        <w:rPr>
          <w:rFonts w:hint="eastAsia" w:ascii="宋体" w:hAnsi="宋体" w:cs="宋体"/>
          <w:color w:val="auto"/>
          <w:kern w:val="0"/>
          <w:szCs w:val="21"/>
          <w:highlight w:val="none"/>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7.</w:t>
      </w:r>
      <w:r>
        <w:rPr>
          <w:rFonts w:hint="eastAsia" w:ascii="宋体" w:hAnsi="宋体" w:cs="宋体"/>
          <w:b/>
          <w:color w:val="auto"/>
          <w:kern w:val="0"/>
          <w:szCs w:val="21"/>
          <w:highlight w:val="none"/>
        </w:rPr>
        <w:t>采购代理机构代理费用收取标准和方式</w:t>
      </w:r>
    </w:p>
    <w:p>
      <w:pPr>
        <w:autoSpaceDE w:val="0"/>
        <w:autoSpaceDN w:val="0"/>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见投标人须知前附表。</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 xml:space="preserve">8. </w:t>
      </w:r>
      <w:r>
        <w:rPr>
          <w:rFonts w:hint="eastAsia" w:ascii="宋体" w:hAnsi="宋体" w:cs="宋体"/>
          <w:b/>
          <w:color w:val="auto"/>
          <w:kern w:val="0"/>
          <w:szCs w:val="21"/>
          <w:highlight w:val="none"/>
        </w:rPr>
        <w:t>其他</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spacing w:line="360" w:lineRule="auto"/>
        <w:contextualSpacing/>
        <w:jc w:val="center"/>
        <w:rPr>
          <w:rFonts w:ascii="宋体" w:cs="宋体"/>
          <w:b/>
          <w:color w:val="auto"/>
          <w:kern w:val="0"/>
          <w:szCs w:val="21"/>
          <w:highlight w:val="none"/>
        </w:rPr>
      </w:pPr>
      <w:r>
        <w:rPr>
          <w:rFonts w:hint="eastAsia" w:ascii="宋体" w:hAnsi="宋体" w:cs="宋体"/>
          <w:b/>
          <w:color w:val="auto"/>
          <w:kern w:val="0"/>
          <w:szCs w:val="21"/>
          <w:highlight w:val="none"/>
        </w:rPr>
        <w:t>二、招标文件说明</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9</w:t>
      </w:r>
      <w:r>
        <w:rPr>
          <w:rFonts w:hint="eastAsia" w:ascii="宋体" w:hAnsi="宋体" w:cs="宋体"/>
          <w:b/>
          <w:color w:val="auto"/>
          <w:kern w:val="0"/>
          <w:szCs w:val="21"/>
          <w:highlight w:val="none"/>
        </w:rPr>
        <w:t>．招标文件构成</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9.1 </w:t>
      </w:r>
      <w:r>
        <w:rPr>
          <w:rFonts w:hint="eastAsia" w:ascii="宋体" w:hAnsi="宋体" w:cs="宋体"/>
          <w:color w:val="auto"/>
          <w:kern w:val="0"/>
          <w:szCs w:val="21"/>
          <w:highlight w:val="none"/>
        </w:rPr>
        <w:t>招标文件由以下部分组成：</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）投标邀请</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）项目需求</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）投标人须知前附表</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）投标人须知</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）政府采购政策功能</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6</w:t>
      </w:r>
      <w:r>
        <w:rPr>
          <w:rFonts w:hint="eastAsia" w:ascii="宋体" w:hAnsi="宋体" w:cs="宋体"/>
          <w:color w:val="auto"/>
          <w:kern w:val="0"/>
          <w:szCs w:val="21"/>
          <w:highlight w:val="none"/>
        </w:rPr>
        <w:t>）资格审查与评标</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7</w:t>
      </w:r>
      <w:r>
        <w:rPr>
          <w:rFonts w:hint="eastAsia" w:ascii="宋体" w:hAnsi="宋体" w:cs="宋体"/>
          <w:color w:val="auto"/>
          <w:kern w:val="0"/>
          <w:szCs w:val="21"/>
          <w:highlight w:val="none"/>
        </w:rPr>
        <w:t>）合同条款及格式</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8</w:t>
      </w:r>
      <w:r>
        <w:rPr>
          <w:rFonts w:hint="eastAsia" w:ascii="宋体" w:hAnsi="宋体" w:cs="宋体"/>
          <w:color w:val="auto"/>
          <w:kern w:val="0"/>
          <w:szCs w:val="21"/>
          <w:highlight w:val="none"/>
        </w:rPr>
        <w:t>）投标文件有关格式</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9</w:t>
      </w:r>
      <w:r>
        <w:rPr>
          <w:rFonts w:hint="eastAsia" w:ascii="宋体" w:hAnsi="宋体" w:cs="宋体"/>
          <w:color w:val="auto"/>
          <w:kern w:val="0"/>
          <w:szCs w:val="21"/>
          <w:highlight w:val="none"/>
        </w:rPr>
        <w:t>）本项目招标文件的附件澄清、答复、修改、补充内容（如有的话）</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9.2 </w:t>
      </w:r>
      <w:r>
        <w:rPr>
          <w:rFonts w:hint="eastAsia" w:ascii="宋体" w:hAnsi="宋体" w:cs="宋体"/>
          <w:color w:val="auto"/>
          <w:kern w:val="0"/>
          <w:szCs w:val="21"/>
          <w:highlight w:val="none"/>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9.3 </w:t>
      </w:r>
      <w:r>
        <w:rPr>
          <w:rFonts w:hint="eastAsia" w:ascii="宋体" w:hAnsi="宋体" w:cs="宋体"/>
          <w:color w:val="auto"/>
          <w:kern w:val="0"/>
          <w:szCs w:val="21"/>
          <w:highlight w:val="none"/>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10.</w:t>
      </w:r>
      <w:r>
        <w:rPr>
          <w:rFonts w:hint="eastAsia" w:ascii="宋体" w:hAnsi="宋体" w:cs="宋体"/>
          <w:b/>
          <w:color w:val="auto"/>
          <w:kern w:val="0"/>
          <w:szCs w:val="21"/>
          <w:highlight w:val="none"/>
        </w:rPr>
        <w:t>现场考察、开标前答疑会</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10.1 </w:t>
      </w:r>
      <w:r>
        <w:rPr>
          <w:rFonts w:hint="eastAsia" w:ascii="宋体" w:hAnsi="宋体" w:cs="宋体"/>
          <w:color w:val="auto"/>
          <w:kern w:val="0"/>
          <w:szCs w:val="21"/>
          <w:highlight w:val="none"/>
        </w:rPr>
        <w:t>不统一组织，自行考察。</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10.</w:t>
      </w:r>
      <w:r>
        <w:rPr>
          <w:rFonts w:hint="eastAsia" w:ascii="宋体" w:hAnsi="宋体" w:cs="宋体"/>
          <w:color w:val="auto"/>
          <w:kern w:val="0"/>
          <w:szCs w:val="21"/>
          <w:highlight w:val="none"/>
        </w:rPr>
        <w:t>2自行现场考察所发生的费用及一切责任由投标人自行承担。</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11.</w:t>
      </w:r>
      <w:r>
        <w:rPr>
          <w:rFonts w:hint="eastAsia" w:ascii="宋体" w:hAnsi="宋体" w:cs="宋体"/>
          <w:b/>
          <w:color w:val="auto"/>
          <w:kern w:val="0"/>
          <w:szCs w:val="21"/>
          <w:highlight w:val="none"/>
        </w:rPr>
        <w:t>招标文件的澄清或修改</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11.1 </w:t>
      </w:r>
      <w:r>
        <w:rPr>
          <w:rFonts w:hint="eastAsia" w:ascii="宋体" w:hAnsi="宋体" w:cs="宋体"/>
          <w:color w:val="auto"/>
          <w:kern w:val="0"/>
          <w:szCs w:val="21"/>
          <w:highlight w:val="none"/>
        </w:rPr>
        <w:t>在投标截止期前，无论出于何种原因，招标人可主动地或在解答潜在投标人提出的澄清问题时对招标文件进行修改。</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11.2 </w:t>
      </w:r>
      <w:r>
        <w:rPr>
          <w:rFonts w:hint="eastAsia" w:ascii="宋体" w:hAnsi="宋体" w:cs="宋体"/>
          <w:color w:val="auto"/>
          <w:kern w:val="0"/>
          <w:szCs w:val="21"/>
          <w:highlight w:val="none"/>
        </w:rPr>
        <w:t>招标人可以对已发出的招标文件进行必要的澄清或者修改。澄清或者修改的内容可能影响投标文件编制的，招标人将在投标截止时间</w:t>
      </w:r>
      <w:r>
        <w:rPr>
          <w:rFonts w:ascii="宋体" w:hAnsi="宋体" w:cs="宋体"/>
          <w:color w:val="auto"/>
          <w:kern w:val="0"/>
          <w:szCs w:val="21"/>
          <w:highlight w:val="none"/>
        </w:rPr>
        <w:t>15</w:t>
      </w:r>
      <w:r>
        <w:rPr>
          <w:rFonts w:hint="eastAsia" w:ascii="宋体" w:hAnsi="宋体" w:cs="宋体"/>
          <w:color w:val="auto"/>
          <w:kern w:val="0"/>
          <w:szCs w:val="21"/>
          <w:highlight w:val="none"/>
        </w:rPr>
        <w:t>日前，在财政部门指定的政府采购信息发布媒体和《全国公共资源交易平台（河南省·许昌市）》发布更正公告。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11.3 </w:t>
      </w:r>
      <w:r>
        <w:rPr>
          <w:rFonts w:hint="eastAsia" w:ascii="宋体" w:hAnsi="宋体" w:cs="宋体"/>
          <w:color w:val="auto"/>
          <w:kern w:val="0"/>
          <w:szCs w:val="21"/>
          <w:highlight w:val="none"/>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0" w:firstLineChars="200"/>
        <w:contextualSpacing/>
        <w:rPr>
          <w:rFonts w:ascii="宋体" w:cs="宋体"/>
          <w:b/>
          <w:color w:val="auto"/>
          <w:kern w:val="0"/>
          <w:szCs w:val="21"/>
          <w:highlight w:val="none"/>
        </w:rPr>
      </w:pPr>
      <w:r>
        <w:rPr>
          <w:rFonts w:ascii="宋体" w:hAnsi="宋体" w:cs="宋体"/>
          <w:color w:val="auto"/>
          <w:kern w:val="0"/>
          <w:szCs w:val="21"/>
          <w:highlight w:val="none"/>
        </w:rPr>
        <w:t xml:space="preserve">11.4 </w:t>
      </w:r>
      <w:r>
        <w:rPr>
          <w:rFonts w:hint="eastAsia" w:ascii="宋体" w:hAnsi="宋体" w:cs="宋体"/>
          <w:color w:val="auto"/>
          <w:kern w:val="0"/>
          <w:szCs w:val="21"/>
          <w:highlight w:val="none"/>
        </w:rPr>
        <w:t>如果澄清或者修改发出的时间距规定的投标截止时间不足</w:t>
      </w:r>
      <w:r>
        <w:rPr>
          <w:rFonts w:ascii="宋体" w:hAnsi="宋体" w:cs="宋体"/>
          <w:color w:val="auto"/>
          <w:kern w:val="0"/>
          <w:szCs w:val="21"/>
          <w:highlight w:val="none"/>
        </w:rPr>
        <w:t>15</w:t>
      </w:r>
      <w:r>
        <w:rPr>
          <w:rFonts w:hint="eastAsia" w:ascii="宋体" w:hAnsi="宋体" w:cs="宋体"/>
          <w:color w:val="auto"/>
          <w:kern w:val="0"/>
          <w:szCs w:val="21"/>
          <w:highlight w:val="none"/>
        </w:rPr>
        <w:t>日，招标人将顺延提交投标文件的截止时间。</w:t>
      </w:r>
    </w:p>
    <w:p>
      <w:pPr>
        <w:tabs>
          <w:tab w:val="left" w:pos="1260"/>
        </w:tabs>
        <w:autoSpaceDE w:val="0"/>
        <w:autoSpaceDN w:val="0"/>
        <w:spacing w:line="360" w:lineRule="auto"/>
        <w:contextualSpacing/>
        <w:jc w:val="center"/>
        <w:rPr>
          <w:rFonts w:cs="宋体"/>
          <w:color w:val="auto"/>
          <w:szCs w:val="21"/>
          <w:highlight w:val="none"/>
        </w:rPr>
      </w:pPr>
      <w:r>
        <w:rPr>
          <w:rFonts w:hint="eastAsia" w:ascii="宋体" w:hAnsi="宋体" w:cs="宋体"/>
          <w:b/>
          <w:color w:val="auto"/>
          <w:kern w:val="0"/>
          <w:szCs w:val="21"/>
          <w:highlight w:val="none"/>
        </w:rPr>
        <w:t>三、投标文件的编制</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12</w:t>
      </w:r>
      <w:r>
        <w:rPr>
          <w:rFonts w:hint="eastAsia" w:ascii="宋体" w:hAnsi="宋体" w:cs="宋体"/>
          <w:b/>
          <w:color w:val="auto"/>
          <w:kern w:val="0"/>
          <w:szCs w:val="21"/>
          <w:highlight w:val="none"/>
        </w:rPr>
        <w:t>．投标的语言及计量单位</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12</w:t>
      </w:r>
      <w:r>
        <w:rPr>
          <w:rFonts w:hint="eastAsia" w:ascii="宋体" w:hAnsi="宋体" w:cs="宋体"/>
          <w:color w:val="auto"/>
          <w:kern w:val="0"/>
          <w:szCs w:val="21"/>
          <w:highlight w:val="none"/>
        </w:rPr>
        <w:t>.</w:t>
      </w:r>
      <w:r>
        <w:rPr>
          <w:rFonts w:ascii="宋体" w:hAnsi="宋体" w:cs="宋体"/>
          <w:color w:val="auto"/>
          <w:kern w:val="0"/>
          <w:szCs w:val="21"/>
          <w:highlight w:val="none"/>
        </w:rPr>
        <w:t xml:space="preserve">1 </w:t>
      </w:r>
      <w:r>
        <w:rPr>
          <w:rFonts w:hint="eastAsia" w:ascii="宋体" w:hAnsi="宋体" w:cs="宋体"/>
          <w:color w:val="auto"/>
          <w:kern w:val="0"/>
          <w:szCs w:val="21"/>
          <w:highlight w:val="none"/>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12.2 </w:t>
      </w:r>
      <w:r>
        <w:rPr>
          <w:rFonts w:hint="eastAsia" w:ascii="宋体" w:hAnsi="宋体" w:cs="宋体"/>
          <w:color w:val="auto"/>
          <w:kern w:val="0"/>
          <w:szCs w:val="21"/>
          <w:highlight w:val="none"/>
        </w:rPr>
        <w:t>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 xml:space="preserve">13. </w:t>
      </w:r>
      <w:r>
        <w:rPr>
          <w:rFonts w:hint="eastAsia" w:ascii="宋体" w:hAnsi="宋体" w:cs="宋体"/>
          <w:b/>
          <w:color w:val="auto"/>
          <w:kern w:val="0"/>
          <w:szCs w:val="21"/>
          <w:highlight w:val="none"/>
        </w:rPr>
        <w:t>投标报价</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13.1 </w:t>
      </w:r>
      <w:r>
        <w:rPr>
          <w:rFonts w:hint="eastAsia" w:ascii="宋体" w:hAnsi="宋体" w:cs="宋体"/>
          <w:color w:val="auto"/>
          <w:kern w:val="0"/>
          <w:szCs w:val="21"/>
          <w:highlight w:val="none"/>
        </w:rPr>
        <w:t>本次招标项目的投标均以</w:t>
      </w:r>
      <w:r>
        <w:rPr>
          <w:rFonts w:hint="eastAsia" w:ascii="宋体" w:hAnsi="宋体" w:cs="宋体"/>
          <w:b/>
          <w:color w:val="auto"/>
          <w:kern w:val="0"/>
          <w:szCs w:val="21"/>
          <w:highlight w:val="none"/>
        </w:rPr>
        <w:t>人民币</w:t>
      </w:r>
      <w:r>
        <w:rPr>
          <w:rFonts w:hint="eastAsia" w:ascii="宋体" w:hAnsi="宋体" w:cs="宋体"/>
          <w:color w:val="auto"/>
          <w:kern w:val="0"/>
          <w:szCs w:val="21"/>
          <w:highlight w:val="none"/>
        </w:rPr>
        <w:t>为计算单位。</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13.2 </w:t>
      </w:r>
      <w:r>
        <w:rPr>
          <w:rFonts w:hint="eastAsia" w:ascii="宋体" w:hAnsi="宋体" w:cs="宋体"/>
          <w:color w:val="auto"/>
          <w:kern w:val="0"/>
          <w:szCs w:val="21"/>
          <w:highlight w:val="none"/>
        </w:rPr>
        <w:t>采购人不得向投标人索要或者接受其给予的赠品、回扣或者与采购无关的其他商品、服务。</w:t>
      </w:r>
    </w:p>
    <w:p>
      <w:pPr>
        <w:pStyle w:val="43"/>
        <w:spacing w:line="374" w:lineRule="auto"/>
        <w:rPr>
          <w:rFonts w:ascii="宋体" w:cs="宋体"/>
          <w:color w:val="auto"/>
          <w:kern w:val="0"/>
          <w:szCs w:val="21"/>
          <w:highlight w:val="none"/>
        </w:rPr>
      </w:pPr>
      <w:r>
        <w:rPr>
          <w:rFonts w:ascii="宋体" w:hAnsi="宋体" w:cs="宋体"/>
          <w:color w:val="auto"/>
          <w:kern w:val="0"/>
          <w:szCs w:val="21"/>
          <w:highlight w:val="none"/>
        </w:rPr>
        <w:t xml:space="preserve">13.3 </w:t>
      </w:r>
      <w:r>
        <w:rPr>
          <w:rFonts w:hint="eastAsia" w:ascii="宋体" w:hAnsi="宋体" w:cs="宋体"/>
          <w:color w:val="auto"/>
          <w:kern w:val="0"/>
          <w:szCs w:val="21"/>
          <w:highlight w:val="none"/>
        </w:rPr>
        <w:t>投标人应对项目要求的全部内容进行报价，少报漏报将导致其投标</w:t>
      </w:r>
      <w:r>
        <w:rPr>
          <w:rFonts w:hint="eastAsia" w:ascii="宋体" w:hAnsi="宋体" w:cs="宋体"/>
          <w:color w:val="auto"/>
          <w:szCs w:val="21"/>
          <w:highlight w:val="none"/>
          <w:lang w:val="en-GB"/>
        </w:rPr>
        <w:t>为非实质性响应予以拒绝。</w:t>
      </w:r>
    </w:p>
    <w:p>
      <w:pPr>
        <w:spacing w:line="360" w:lineRule="auto"/>
        <w:ind w:firstLine="420" w:firstLineChars="200"/>
        <w:outlineLvl w:val="0"/>
        <w:rPr>
          <w:rFonts w:ascii="宋体" w:cs="宋体"/>
          <w:color w:val="auto"/>
          <w:kern w:val="0"/>
          <w:szCs w:val="21"/>
          <w:highlight w:val="none"/>
        </w:rPr>
      </w:pPr>
      <w:r>
        <w:rPr>
          <w:rFonts w:ascii="宋体" w:hAnsi="宋体" w:cs="宋体"/>
          <w:color w:val="auto"/>
          <w:kern w:val="0"/>
          <w:szCs w:val="21"/>
          <w:highlight w:val="none"/>
        </w:rPr>
        <w:t xml:space="preserve">13.4 </w:t>
      </w:r>
      <w:r>
        <w:rPr>
          <w:rFonts w:hint="eastAsia" w:ascii="宋体" w:hAnsi="宋体" w:cs="宋体"/>
          <w:color w:val="auto"/>
          <w:kern w:val="0"/>
          <w:szCs w:val="21"/>
          <w:highlight w:val="none"/>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国家规定检测、外发包、材料（含辅材）、管理、税费及利润等。</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13.5 </w:t>
      </w:r>
      <w:r>
        <w:rPr>
          <w:rFonts w:hint="eastAsia" w:ascii="宋体" w:hAnsi="宋体" w:cs="宋体"/>
          <w:color w:val="auto"/>
          <w:kern w:val="0"/>
          <w:szCs w:val="21"/>
          <w:highlight w:val="none"/>
        </w:rPr>
        <w:t>本项目所涉及的运输、施工、安装、集成、调试、验收、备品和工具等费用均包含在投标报价中。</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13.6 </w:t>
      </w:r>
      <w:r>
        <w:rPr>
          <w:rFonts w:hint="eastAsia" w:ascii="宋体" w:hAnsi="宋体" w:cs="宋体"/>
          <w:color w:val="auto"/>
          <w:kern w:val="0"/>
          <w:szCs w:val="21"/>
          <w:highlight w:val="none"/>
        </w:rPr>
        <w:t>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13.7 </w:t>
      </w:r>
      <w:r>
        <w:rPr>
          <w:rFonts w:hint="eastAsia" w:ascii="宋体" w:hAnsi="宋体" w:cs="宋体"/>
          <w:color w:val="auto"/>
          <w:kern w:val="0"/>
          <w:szCs w:val="21"/>
          <w:highlight w:val="none"/>
        </w:rPr>
        <w:t>报价不得高于本项目最高限价，且不低于成本价。</w:t>
      </w:r>
      <w:r>
        <w:rPr>
          <w:rFonts w:hint="eastAsia" w:ascii="宋体" w:hAnsi="宋体" w:cs="宋体"/>
          <w:color w:val="auto"/>
          <w:szCs w:val="21"/>
          <w:highlight w:val="none"/>
          <w:lang w:val="en-GB"/>
        </w:rPr>
        <w:t>本次招标实行“最高限价（项目控制金额上限）”</w:t>
      </w:r>
      <w:r>
        <w:rPr>
          <w:rFonts w:ascii="宋体" w:cs="宋体"/>
          <w:color w:val="auto"/>
          <w:szCs w:val="21"/>
          <w:highlight w:val="none"/>
          <w:lang w:val="en-GB"/>
        </w:rPr>
        <w:t>,</w:t>
      </w:r>
      <w:r>
        <w:rPr>
          <w:rFonts w:hint="eastAsia" w:ascii="宋体" w:hAnsi="宋体" w:cs="宋体"/>
          <w:color w:val="auto"/>
          <w:szCs w:val="21"/>
          <w:highlight w:val="none"/>
          <w:lang w:val="en-GB"/>
        </w:rPr>
        <w:t>投标人的投标报价高于最高限价（项目控制金额上限）的，该投标人的投标文件将被视为非实质性响应予以拒绝。</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13.8 </w:t>
      </w:r>
      <w:r>
        <w:rPr>
          <w:rFonts w:hint="eastAsia" w:ascii="宋体" w:hAnsi="宋体" w:cs="宋体"/>
          <w:color w:val="auto"/>
          <w:kern w:val="0"/>
          <w:szCs w:val="21"/>
          <w:highlight w:val="none"/>
        </w:rPr>
        <w:t>最低报价不能作为中标的保证。</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14</w:t>
      </w:r>
      <w:r>
        <w:rPr>
          <w:rFonts w:hint="eastAsia" w:ascii="宋体" w:hAnsi="宋体" w:cs="宋体"/>
          <w:b/>
          <w:color w:val="auto"/>
          <w:kern w:val="0"/>
          <w:szCs w:val="21"/>
          <w:highlight w:val="none"/>
        </w:rPr>
        <w:t>．投标有效期</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14.1 </w:t>
      </w:r>
      <w:r>
        <w:rPr>
          <w:rFonts w:hint="eastAsia" w:ascii="宋体" w:hAnsi="宋体" w:cs="宋体"/>
          <w:color w:val="auto"/>
          <w:kern w:val="0"/>
          <w:szCs w:val="21"/>
          <w:highlight w:val="none"/>
        </w:rPr>
        <w:t>投标有效期从提交投标文件的截止之日起算。本项目投标有效期详</w:t>
      </w:r>
      <w:r>
        <w:rPr>
          <w:rFonts w:hint="eastAsia" w:ascii="宋体" w:hAnsi="宋体" w:cs="宋体"/>
          <w:color w:val="auto"/>
          <w:szCs w:val="21"/>
          <w:highlight w:val="none"/>
          <w:lang w:val="zh-CN"/>
        </w:rPr>
        <w:t>见投标人须知前附表。</w:t>
      </w:r>
      <w:r>
        <w:rPr>
          <w:rFonts w:hint="eastAsia" w:ascii="宋体" w:hAnsi="宋体" w:cs="宋体"/>
          <w:color w:val="auto"/>
          <w:kern w:val="0"/>
          <w:szCs w:val="21"/>
          <w:highlight w:val="none"/>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14.2 </w:t>
      </w:r>
      <w:r>
        <w:rPr>
          <w:rFonts w:hint="eastAsia" w:ascii="宋体" w:hAnsi="宋体" w:cs="宋体"/>
          <w:color w:val="auto"/>
          <w:kern w:val="0"/>
          <w:szCs w:val="21"/>
          <w:highlight w:val="none"/>
        </w:rPr>
        <w:t>投标有效期内投标人撤销投标文件的，招标人将不退还投标保证金。</w:t>
      </w:r>
    </w:p>
    <w:p>
      <w:pPr>
        <w:widowControl/>
        <w:tabs>
          <w:tab w:val="left" w:pos="636"/>
        </w:tabs>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14.3 </w:t>
      </w:r>
      <w:r>
        <w:rPr>
          <w:rFonts w:hint="eastAsia" w:ascii="宋体" w:hAnsi="宋体" w:cs="宋体"/>
          <w:color w:val="auto"/>
          <w:kern w:val="0"/>
          <w:szCs w:val="21"/>
          <w:highlight w:val="none"/>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14.4 </w:t>
      </w:r>
      <w:r>
        <w:rPr>
          <w:rFonts w:hint="eastAsia" w:ascii="宋体" w:hAnsi="宋体" w:cs="宋体"/>
          <w:color w:val="auto"/>
          <w:kern w:val="0"/>
          <w:szCs w:val="21"/>
          <w:highlight w:val="none"/>
        </w:rPr>
        <w:t>中标人的投标文件作为项目合同的附件，其有效期至中标人全部合同义务履行完毕为止。</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15</w:t>
      </w:r>
      <w:r>
        <w:rPr>
          <w:rFonts w:hint="eastAsia" w:ascii="宋体" w:hAnsi="宋体" w:cs="宋体"/>
          <w:b/>
          <w:color w:val="auto"/>
          <w:kern w:val="0"/>
          <w:szCs w:val="21"/>
          <w:highlight w:val="none"/>
        </w:rPr>
        <w:t>．投标文件构成</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15.1 </w:t>
      </w:r>
      <w:r>
        <w:rPr>
          <w:rFonts w:hint="eastAsia" w:ascii="宋体" w:hAnsi="宋体" w:cs="宋体"/>
          <w:color w:val="auto"/>
          <w:kern w:val="0"/>
          <w:szCs w:val="21"/>
          <w:highlight w:val="none"/>
        </w:rPr>
        <w:t>投标文件的构成应符合法律法规及招标文件的要求。</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15.2 </w:t>
      </w:r>
      <w:r>
        <w:rPr>
          <w:rFonts w:hint="eastAsia" w:ascii="宋体" w:hAnsi="宋体" w:cs="宋体"/>
          <w:color w:val="auto"/>
          <w:kern w:val="0"/>
          <w:szCs w:val="21"/>
          <w:highlight w:val="none"/>
        </w:rPr>
        <w:t>投标人应当按照招标文件的要求编制投标文件。投标文件应当对招标文件提出的要求和条件作出明确响应。</w:t>
      </w:r>
    </w:p>
    <w:p>
      <w:pPr>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15.3 </w:t>
      </w:r>
      <w:r>
        <w:rPr>
          <w:rFonts w:hint="eastAsia" w:ascii="宋体" w:hAnsi="宋体" w:cs="宋体"/>
          <w:color w:val="auto"/>
          <w:kern w:val="0"/>
          <w:szCs w:val="21"/>
          <w:highlight w:val="none"/>
        </w:rPr>
        <w:t>投标文件由资格证明材料、符合性证明材料、其它材料等组成。</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15.4 </w:t>
      </w:r>
      <w:r>
        <w:rPr>
          <w:rFonts w:hint="eastAsia" w:ascii="宋体" w:hAnsi="宋体" w:cs="宋体"/>
          <w:color w:val="auto"/>
          <w:kern w:val="0"/>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0" w:firstLineChars="200"/>
        <w:contextualSpacing/>
        <w:rPr>
          <w:rFonts w:ascii="宋体" w:hAnsi="宋体" w:cs="宋体"/>
          <w:bCs/>
          <w:color w:val="auto"/>
          <w:kern w:val="0"/>
          <w:szCs w:val="21"/>
          <w:highlight w:val="none"/>
        </w:rPr>
      </w:pPr>
      <w:r>
        <w:rPr>
          <w:rFonts w:hint="eastAsia" w:ascii="宋体" w:hAnsi="宋体" w:cs="宋体"/>
          <w:bCs/>
          <w:color w:val="auto"/>
          <w:kern w:val="0"/>
          <w:szCs w:val="21"/>
          <w:highlight w:val="none"/>
        </w:rPr>
        <w:t>15.5 投标人登录许昌公共资源交易系统下载“许昌投标文件制作系统SEARUN 最新版本”，按招标文件要求根据所投标段制作电子投标文件。 一个标段对应生成一个文件夹（xxxx项目xx标段）,后缀名为“</w:t>
      </w:r>
      <w:r>
        <w:rPr>
          <w:rFonts w:ascii="宋体" w:hAnsi="宋体" w:cs="宋体"/>
          <w:bCs/>
          <w:color w:val="auto"/>
          <w:kern w:val="0"/>
          <w:szCs w:val="21"/>
          <w:highlight w:val="none"/>
        </w:rPr>
        <w:t>.file</w:t>
      </w:r>
      <w:r>
        <w:rPr>
          <w:rFonts w:hint="eastAsia" w:ascii="宋体" w:hAnsi="宋体" w:cs="宋体"/>
          <w:bCs/>
          <w:color w:val="auto"/>
          <w:kern w:val="0"/>
          <w:szCs w:val="21"/>
          <w:highlight w:val="none"/>
        </w:rPr>
        <w:t>”的文件用于电子投标使用。</w:t>
      </w:r>
    </w:p>
    <w:p>
      <w:pPr>
        <w:autoSpaceDE w:val="0"/>
        <w:autoSpaceDN w:val="0"/>
        <w:spacing w:line="360" w:lineRule="auto"/>
        <w:ind w:firstLine="420" w:firstLineChars="200"/>
        <w:contextualSpacing/>
        <w:rPr>
          <w:rFonts w:ascii="宋体" w:hAnsi="宋体" w:cs="宋体"/>
          <w:bCs/>
          <w:color w:val="auto"/>
          <w:kern w:val="0"/>
          <w:szCs w:val="21"/>
          <w:highlight w:val="none"/>
        </w:rPr>
      </w:pPr>
      <w:r>
        <w:rPr>
          <w:rFonts w:hint="eastAsia" w:ascii="宋体" w:hAnsi="宋体" w:cs="宋体"/>
          <w:bCs/>
          <w:color w:val="auto"/>
          <w:kern w:val="0"/>
          <w:szCs w:val="21"/>
          <w:highlight w:val="none"/>
        </w:rPr>
        <w:t>电子投标文件制作技术咨询：0374-2961598。</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16.</w:t>
      </w:r>
      <w:r>
        <w:rPr>
          <w:rFonts w:hint="eastAsia" w:ascii="宋体" w:hAnsi="宋体" w:cs="宋体"/>
          <w:b/>
          <w:color w:val="auto"/>
          <w:kern w:val="0"/>
          <w:szCs w:val="21"/>
          <w:highlight w:val="none"/>
        </w:rPr>
        <w:t>投标文件格式</w:t>
      </w:r>
    </w:p>
    <w:p>
      <w:pPr>
        <w:autoSpaceDE w:val="0"/>
        <w:autoSpaceDN w:val="0"/>
        <w:spacing w:line="360" w:lineRule="auto"/>
        <w:ind w:firstLine="420"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投标人应按招标文件提供的格式编写投标文件。招标文件未提供标准格式的投标人可自行拟定。</w:t>
      </w:r>
    </w:p>
    <w:p>
      <w:pPr>
        <w:autoSpaceDE w:val="0"/>
        <w:autoSpaceDN w:val="0"/>
        <w:spacing w:line="360" w:lineRule="auto"/>
        <w:contextualSpacing/>
        <w:rPr>
          <w:rFonts w:ascii="宋体" w:hAnsi="宋体" w:cs="宋体"/>
          <w:b/>
          <w:color w:val="auto"/>
          <w:kern w:val="0"/>
          <w:szCs w:val="21"/>
          <w:highlight w:val="none"/>
        </w:rPr>
      </w:pPr>
      <w:r>
        <w:rPr>
          <w:rFonts w:hint="eastAsia" w:ascii="宋体" w:hAnsi="宋体" w:cs="宋体"/>
          <w:b/>
          <w:color w:val="auto"/>
          <w:kern w:val="0"/>
          <w:szCs w:val="21"/>
          <w:highlight w:val="none"/>
        </w:rPr>
        <w:t>17.投标保证金</w:t>
      </w:r>
    </w:p>
    <w:p>
      <w:pPr>
        <w:autoSpaceDE w:val="0"/>
        <w:autoSpaceDN w:val="0"/>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17.1</w:t>
      </w:r>
      <w:r>
        <w:rPr>
          <w:rFonts w:hint="eastAsia" w:ascii="宋体" w:hAnsi="宋体" w:cs="宋体"/>
          <w:color w:val="auto"/>
          <w:szCs w:val="21"/>
          <w:highlight w:val="none"/>
          <w:lang w:val="zh-CN"/>
        </w:rPr>
        <w:t>本项目不收取投标保证金。</w:t>
      </w:r>
    </w:p>
    <w:p>
      <w:pPr>
        <w:autoSpaceDE w:val="0"/>
        <w:autoSpaceDN w:val="0"/>
        <w:adjustRightInd w:val="0"/>
        <w:spacing w:line="360" w:lineRule="auto"/>
        <w:ind w:firstLine="420" w:firstLineChars="200"/>
        <w:rPr>
          <w:color w:val="auto"/>
          <w:highlight w:val="none"/>
        </w:rPr>
      </w:pPr>
      <w:r>
        <w:rPr>
          <w:rFonts w:hint="eastAsia" w:ascii="宋体" w:hAnsi="宋体" w:cs="宋体"/>
          <w:color w:val="auto"/>
          <w:szCs w:val="21"/>
          <w:highlight w:val="none"/>
        </w:rPr>
        <w:t>17.2</w:t>
      </w:r>
      <w:r>
        <w:rPr>
          <w:rFonts w:hint="eastAsia" w:ascii="宋体" w:hAnsi="宋体" w:cs="宋体"/>
          <w:color w:val="auto"/>
          <w:szCs w:val="21"/>
          <w:highlight w:val="none"/>
          <w:lang w:val="zh-CN"/>
        </w:rPr>
        <w:t>投标人应提供投标承诺函。</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1</w:t>
      </w:r>
      <w:r>
        <w:rPr>
          <w:rFonts w:hint="eastAsia" w:ascii="宋体" w:hAnsi="宋体" w:cs="宋体"/>
          <w:b/>
          <w:color w:val="auto"/>
          <w:szCs w:val="21"/>
          <w:highlight w:val="none"/>
        </w:rPr>
        <w:t>8</w:t>
      </w:r>
      <w:r>
        <w:rPr>
          <w:rFonts w:ascii="宋体" w:cs="宋体"/>
          <w:b/>
          <w:color w:val="auto"/>
          <w:szCs w:val="21"/>
          <w:highlight w:val="none"/>
          <w:lang w:val="zh-CN"/>
        </w:rPr>
        <w:t>.</w:t>
      </w:r>
      <w:r>
        <w:rPr>
          <w:rFonts w:hint="eastAsia" w:ascii="宋体" w:hAnsi="宋体" w:cs="宋体"/>
          <w:b/>
          <w:color w:val="auto"/>
          <w:szCs w:val="21"/>
          <w:highlight w:val="none"/>
          <w:lang w:val="zh-CN"/>
        </w:rPr>
        <w:t>投标文件的数量和签署盖章</w:t>
      </w:r>
    </w:p>
    <w:p>
      <w:pPr>
        <w:autoSpaceDE w:val="0"/>
        <w:autoSpaceDN w:val="0"/>
        <w:adjustRightInd w:val="0"/>
        <w:spacing w:line="360" w:lineRule="auto"/>
        <w:ind w:firstLine="420" w:firstLineChars="200"/>
        <w:rPr>
          <w:rFonts w:ascii="宋体" w:cs="宋体"/>
          <w:color w:val="auto"/>
          <w:szCs w:val="21"/>
          <w:highlight w:val="none"/>
          <w:lang w:val="zh-CN"/>
        </w:rPr>
      </w:pPr>
      <w:r>
        <w:rPr>
          <w:rFonts w:ascii="宋体" w:hAnsi="宋体" w:cs="宋体"/>
          <w:color w:val="auto"/>
          <w:szCs w:val="21"/>
          <w:highlight w:val="none"/>
          <w:lang w:val="zh-CN"/>
        </w:rPr>
        <w:t>1</w:t>
      </w:r>
      <w:r>
        <w:rPr>
          <w:rFonts w:hint="eastAsia" w:ascii="宋体" w:hAnsi="宋体" w:cs="宋体"/>
          <w:color w:val="auto"/>
          <w:szCs w:val="21"/>
          <w:highlight w:val="none"/>
        </w:rPr>
        <w:t>8</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投标人应提交投标文件份数见“投标人须知前附表”。</w:t>
      </w:r>
    </w:p>
    <w:p>
      <w:pPr>
        <w:tabs>
          <w:tab w:val="left" w:pos="1260"/>
        </w:tabs>
        <w:autoSpaceDE w:val="0"/>
        <w:autoSpaceDN w:val="0"/>
        <w:spacing w:line="360" w:lineRule="auto"/>
        <w:ind w:firstLine="420" w:firstLineChars="200"/>
        <w:contextualSpacing/>
        <w:rPr>
          <w:rFonts w:ascii="宋体" w:hAnsi="宋体" w:cs="宋体"/>
          <w:b/>
          <w:color w:val="auto"/>
          <w:kern w:val="0"/>
          <w:sz w:val="28"/>
          <w:szCs w:val="28"/>
          <w:highlight w:val="none"/>
        </w:rPr>
      </w:pPr>
      <w:r>
        <w:rPr>
          <w:rFonts w:ascii="宋体" w:hAnsi="宋体" w:cs="宋体"/>
          <w:color w:val="auto"/>
          <w:szCs w:val="21"/>
          <w:highlight w:val="none"/>
          <w:lang w:val="zh-CN"/>
        </w:rPr>
        <w:t>1</w:t>
      </w:r>
      <w:r>
        <w:rPr>
          <w:rFonts w:hint="eastAsia" w:ascii="宋体" w:hAnsi="宋体" w:cs="宋体"/>
          <w:color w:val="auto"/>
          <w:szCs w:val="21"/>
          <w:highlight w:val="none"/>
        </w:rPr>
        <w:t>8</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在招标文件中已明示需盖章及签名之处，</w:t>
      </w:r>
      <w:r>
        <w:rPr>
          <w:rFonts w:hint="eastAsia" w:ascii="宋体" w:hAnsi="宋体" w:cs="宋体"/>
          <w:color w:val="auto"/>
          <w:szCs w:val="21"/>
          <w:highlight w:val="none"/>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cs="宋体"/>
          <w:b/>
          <w:color w:val="auto"/>
          <w:kern w:val="0"/>
          <w:szCs w:val="21"/>
          <w:highlight w:val="none"/>
        </w:rPr>
      </w:pPr>
      <w:r>
        <w:rPr>
          <w:rFonts w:hint="eastAsia" w:ascii="宋体" w:hAnsi="宋体" w:cs="宋体"/>
          <w:b/>
          <w:color w:val="auto"/>
          <w:kern w:val="0"/>
          <w:szCs w:val="21"/>
          <w:highlight w:val="none"/>
        </w:rPr>
        <w:t>四、投标文件的递交</w:t>
      </w:r>
    </w:p>
    <w:p>
      <w:pPr>
        <w:numPr>
          <w:ilvl w:val="0"/>
          <w:numId w:val="8"/>
        </w:numPr>
        <w:tabs>
          <w:tab w:val="left" w:pos="1260"/>
        </w:tabs>
        <w:autoSpaceDE w:val="0"/>
        <w:autoSpaceDN w:val="0"/>
        <w:spacing w:line="360" w:lineRule="auto"/>
        <w:contextualSpacing/>
        <w:rPr>
          <w:rFonts w:ascii="宋体" w:hAnsi="宋体" w:cs="宋体"/>
          <w:b/>
          <w:color w:val="auto"/>
          <w:szCs w:val="21"/>
          <w:highlight w:val="none"/>
          <w:lang w:val="zh-CN"/>
        </w:rPr>
      </w:pPr>
      <w:r>
        <w:rPr>
          <w:rFonts w:hint="eastAsia" w:ascii="宋体" w:hAnsi="宋体" w:cs="宋体"/>
          <w:b/>
          <w:color w:val="auto"/>
          <w:szCs w:val="21"/>
          <w:highlight w:val="none"/>
          <w:lang w:val="zh-CN"/>
        </w:rPr>
        <w:t>投标文件的递交及投标截止时间</w:t>
      </w:r>
    </w:p>
    <w:p>
      <w:pPr>
        <w:tabs>
          <w:tab w:val="left" w:pos="1260"/>
        </w:tabs>
        <w:autoSpaceDE w:val="0"/>
        <w:autoSpaceDN w:val="0"/>
        <w:spacing w:line="360" w:lineRule="auto"/>
        <w:ind w:firstLine="420" w:firstLineChars="200"/>
        <w:contextualSpacing/>
        <w:rPr>
          <w:color w:val="auto"/>
          <w:highlight w:val="none"/>
          <w:lang w:val="zh-CN"/>
        </w:rPr>
      </w:pPr>
      <w:r>
        <w:rPr>
          <w:rFonts w:hint="eastAsia" w:ascii="宋体" w:hAnsi="宋体" w:cs="仿宋_GB2312"/>
          <w:color w:val="auto"/>
          <w:szCs w:val="21"/>
          <w:highlight w:val="none"/>
        </w:rPr>
        <w:t>19.1 电子投标文件：成功上传至《全国公共资源交易平台（河南省·许昌市）》公共资源交易系统加密电子投标文件</w:t>
      </w:r>
      <w:r>
        <w:rPr>
          <w:rFonts w:ascii="宋体" w:hAnsi="宋体" w:cs="仿宋_GB2312"/>
          <w:color w:val="auto"/>
          <w:szCs w:val="21"/>
          <w:highlight w:val="none"/>
        </w:rPr>
        <w:t>1份（文件格式为： XXX公司XXX项目编号.file）。</w:t>
      </w:r>
    </w:p>
    <w:p>
      <w:pPr>
        <w:pStyle w:val="62"/>
        <w:autoSpaceDE w:val="0"/>
        <w:autoSpaceDN w:val="0"/>
        <w:spacing w:line="360" w:lineRule="auto"/>
        <w:contextualSpacing/>
        <w:rPr>
          <w:rFonts w:ascii="宋体" w:cs="宋体"/>
          <w:bCs/>
          <w:color w:val="auto"/>
          <w:szCs w:val="21"/>
          <w:highlight w:val="none"/>
        </w:rPr>
      </w:pPr>
      <w:r>
        <w:rPr>
          <w:rFonts w:hint="eastAsia" w:ascii="宋体" w:hAnsi="宋体" w:cs="宋体"/>
          <w:color w:val="auto"/>
          <w:szCs w:val="21"/>
          <w:highlight w:val="none"/>
        </w:rPr>
        <w:t>19</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投标人必须在</w:t>
      </w:r>
      <w:r>
        <w:rPr>
          <w:rFonts w:hint="eastAsia" w:ascii="宋体" w:hAnsi="宋体" w:cs="宋体"/>
          <w:color w:val="auto"/>
          <w:kern w:val="0"/>
          <w:szCs w:val="21"/>
          <w:highlight w:val="none"/>
        </w:rPr>
        <w:t>“投标邀请”</w:t>
      </w:r>
      <w:r>
        <w:rPr>
          <w:rFonts w:hint="eastAsia" w:ascii="宋体" w:hAnsi="宋体" w:cs="宋体"/>
          <w:bCs/>
          <w:color w:val="auto"/>
          <w:szCs w:val="21"/>
          <w:highlight w:val="none"/>
        </w:rPr>
        <w:t>和“投标人须知前附表”中规定的投标截止时间前，</w:t>
      </w:r>
      <w:r>
        <w:rPr>
          <w:rFonts w:hint="eastAsia" w:ascii="宋体" w:hAnsi="宋体" w:cs="宋体"/>
          <w:color w:val="auto"/>
          <w:kern w:val="0"/>
          <w:szCs w:val="21"/>
          <w:highlight w:val="none"/>
        </w:rPr>
        <w:t>将加密电子投标文件（.file格式）通过《全国公共资源交易平台(河南省</w:t>
      </w:r>
      <w:r>
        <w:rPr>
          <w:rFonts w:hint="eastAsia" w:ascii="MS Mincho" w:hAnsi="MS Mincho" w:eastAsia="MS Mincho" w:cs="MS Mincho"/>
          <w:color w:val="auto"/>
          <w:kern w:val="0"/>
          <w:szCs w:val="21"/>
          <w:highlight w:val="none"/>
        </w:rPr>
        <w:t>▪</w:t>
      </w:r>
      <w:r>
        <w:rPr>
          <w:rFonts w:hint="eastAsia" w:ascii="宋体" w:hAnsi="宋体" w:eastAsia="宋体" w:cs="宋体"/>
          <w:color w:val="auto"/>
          <w:kern w:val="0"/>
          <w:szCs w:val="21"/>
          <w:highlight w:val="none"/>
        </w:rPr>
        <w:t>许昌市</w:t>
      </w:r>
      <w:r>
        <w:rPr>
          <w:rFonts w:hint="eastAsia" w:ascii="宋体" w:hAnsi="宋体" w:cs="宋体"/>
          <w:color w:val="auto"/>
          <w:kern w:val="0"/>
          <w:szCs w:val="21"/>
          <w:highlight w:val="none"/>
        </w:rPr>
        <w:t>)》公共资源交易系统成功上传。在提交截止时间以后上传的投标文件，采购人、采购代理机构将予以拒绝</w:t>
      </w:r>
      <w:r>
        <w:rPr>
          <w:rFonts w:hint="eastAsia" w:ascii="宋体" w:hAnsi="宋体" w:cs="宋体"/>
          <w:bCs/>
          <w:color w:val="auto"/>
          <w:szCs w:val="21"/>
          <w:highlight w:val="none"/>
        </w:rPr>
        <w:t>。</w:t>
      </w:r>
    </w:p>
    <w:p>
      <w:pPr>
        <w:autoSpaceDE w:val="0"/>
        <w:autoSpaceDN w:val="0"/>
        <w:spacing w:line="360" w:lineRule="auto"/>
        <w:ind w:firstLine="420" w:firstLineChars="200"/>
        <w:contextualSpacing/>
        <w:rPr>
          <w:rFonts w:ascii="宋体" w:cs="宋体"/>
          <w:bCs/>
          <w:color w:val="auto"/>
          <w:szCs w:val="21"/>
          <w:highlight w:val="none"/>
        </w:rPr>
      </w:pPr>
      <w:r>
        <w:rPr>
          <w:rFonts w:hint="eastAsia" w:ascii="宋体" w:hAnsi="宋体" w:cs="宋体"/>
          <w:color w:val="auto"/>
          <w:szCs w:val="21"/>
          <w:highlight w:val="none"/>
        </w:rPr>
        <w:t>19</w:t>
      </w:r>
      <w:r>
        <w:rPr>
          <w:rFonts w:ascii="宋体" w:hAnsi="宋体" w:cs="宋体"/>
          <w:color w:val="auto"/>
          <w:szCs w:val="21"/>
          <w:highlight w:val="none"/>
          <w:lang w:val="zh-CN"/>
        </w:rPr>
        <w:t>.</w:t>
      </w:r>
      <w:r>
        <w:rPr>
          <w:rFonts w:hint="eastAsia" w:ascii="宋体" w:hAnsi="宋体" w:cs="宋体"/>
          <w:color w:val="auto"/>
          <w:szCs w:val="21"/>
          <w:highlight w:val="none"/>
        </w:rPr>
        <w:t xml:space="preserve">3 </w:t>
      </w:r>
      <w:r>
        <w:rPr>
          <w:rFonts w:hint="eastAsia" w:ascii="宋体" w:hAnsi="宋体" w:cs="宋体"/>
          <w:bCs/>
          <w:color w:val="auto"/>
          <w:szCs w:val="21"/>
          <w:highlight w:val="none"/>
        </w:rPr>
        <w:t>招标人可以按本须知第</w:t>
      </w:r>
      <w:r>
        <w:rPr>
          <w:rFonts w:ascii="宋体" w:hAnsi="宋体" w:cs="宋体"/>
          <w:bCs/>
          <w:color w:val="auto"/>
          <w:szCs w:val="21"/>
          <w:highlight w:val="none"/>
        </w:rPr>
        <w:t>1</w:t>
      </w:r>
      <w:r>
        <w:rPr>
          <w:rFonts w:hint="eastAsia" w:ascii="宋体" w:hAnsi="宋体" w:cs="宋体"/>
          <w:bCs/>
          <w:color w:val="auto"/>
          <w:szCs w:val="21"/>
          <w:highlight w:val="none"/>
        </w:rPr>
        <w:t>4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cs="宋体"/>
          <w:b/>
          <w:color w:val="auto"/>
          <w:szCs w:val="21"/>
          <w:highlight w:val="none"/>
          <w:lang w:val="zh-CN"/>
        </w:rPr>
      </w:pPr>
      <w:r>
        <w:rPr>
          <w:rFonts w:hint="eastAsia" w:ascii="宋体" w:hAnsi="宋体" w:cs="宋体"/>
          <w:b/>
          <w:color w:val="auto"/>
          <w:szCs w:val="21"/>
          <w:highlight w:val="none"/>
        </w:rPr>
        <w:t>20</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迟交的投标文件</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投标截止时间之后上传的投标文件，招标人将拒绝接收。</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1</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投标文件的修改和撤回</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1</w:t>
      </w:r>
      <w:r>
        <w:rPr>
          <w:rFonts w:ascii="宋体" w:hAnsi="宋体" w:cs="宋体"/>
          <w:color w:val="auto"/>
          <w:szCs w:val="21"/>
          <w:highlight w:val="none"/>
          <w:lang w:val="zh-CN"/>
        </w:rPr>
        <w:t xml:space="preserve">.1 </w:t>
      </w:r>
      <w:r>
        <w:rPr>
          <w:rFonts w:hint="eastAsia" w:ascii="宋体" w:hAnsi="宋体" w:cs="宋体"/>
          <w:color w:val="auto"/>
          <w:szCs w:val="21"/>
          <w:highlight w:val="none"/>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1</w:t>
      </w:r>
      <w:r>
        <w:rPr>
          <w:rFonts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投标人在递交投标文件后，可以撤回其投标，但投标人必须在规定的投标截止时间前以书面形式告知招标人。</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szCs w:val="21"/>
          <w:highlight w:val="none"/>
          <w:lang w:val="zh-CN"/>
        </w:rPr>
        <w:t>2</w:t>
      </w:r>
      <w:r>
        <w:rPr>
          <w:rFonts w:hint="eastAsia" w:ascii="宋体" w:hAnsi="宋体" w:cs="宋体"/>
          <w:color w:val="auto"/>
          <w:szCs w:val="21"/>
          <w:highlight w:val="none"/>
        </w:rPr>
        <w:t>1</w:t>
      </w:r>
      <w:r>
        <w:rPr>
          <w:rFonts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kern w:val="0"/>
          <w:szCs w:val="21"/>
          <w:highlight w:val="none"/>
        </w:rPr>
        <w:t>投标人不得在投标有效期内撤销投标文件，否则招标人将不退还其投标保证金。</w:t>
      </w:r>
    </w:p>
    <w:p>
      <w:pPr>
        <w:autoSpaceDE w:val="0"/>
        <w:autoSpaceDN w:val="0"/>
        <w:spacing w:line="360" w:lineRule="auto"/>
        <w:contextualSpacing/>
        <w:rPr>
          <w:rFonts w:ascii="宋体" w:cs="宋体"/>
          <w:color w:val="auto"/>
          <w:kern w:val="0"/>
          <w:szCs w:val="21"/>
          <w:highlight w:val="none"/>
        </w:rPr>
      </w:pPr>
      <w:r>
        <w:rPr>
          <w:rFonts w:ascii="宋体" w:hAnsi="宋体" w:cs="宋体"/>
          <w:b/>
          <w:color w:val="auto"/>
          <w:kern w:val="0"/>
          <w:szCs w:val="21"/>
          <w:highlight w:val="none"/>
        </w:rPr>
        <w:t>2</w:t>
      </w:r>
      <w:r>
        <w:rPr>
          <w:rFonts w:hint="eastAsia" w:ascii="宋体" w:hAnsi="宋体" w:cs="宋体"/>
          <w:b/>
          <w:color w:val="auto"/>
          <w:kern w:val="0"/>
          <w:szCs w:val="21"/>
          <w:highlight w:val="none"/>
        </w:rPr>
        <w:t>2．</w:t>
      </w:r>
      <w:r>
        <w:rPr>
          <w:rFonts w:hint="eastAsia" w:ascii="宋体" w:hAnsi="宋体" w:cs="宋体"/>
          <w:b/>
          <w:color w:val="auto"/>
          <w:szCs w:val="21"/>
          <w:highlight w:val="none"/>
        </w:rPr>
        <w:t>除投标人须知前附表另有规定外，投标人所提交的电子投标文件不予退还。</w:t>
      </w:r>
    </w:p>
    <w:p>
      <w:pPr>
        <w:tabs>
          <w:tab w:val="left" w:pos="1260"/>
        </w:tabs>
        <w:autoSpaceDE w:val="0"/>
        <w:autoSpaceDN w:val="0"/>
        <w:spacing w:line="360" w:lineRule="auto"/>
        <w:contextualSpacing/>
        <w:jc w:val="center"/>
        <w:rPr>
          <w:rFonts w:ascii="宋体" w:cs="宋体"/>
          <w:b/>
          <w:color w:val="auto"/>
          <w:kern w:val="0"/>
          <w:szCs w:val="21"/>
          <w:highlight w:val="none"/>
        </w:rPr>
      </w:pPr>
      <w:r>
        <w:rPr>
          <w:rFonts w:hint="eastAsia" w:ascii="宋体" w:hAnsi="宋体" w:cs="宋体"/>
          <w:b/>
          <w:color w:val="auto"/>
          <w:kern w:val="0"/>
          <w:szCs w:val="21"/>
          <w:highlight w:val="none"/>
        </w:rPr>
        <w:t>五、开标和评标</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3</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开标</w:t>
      </w:r>
    </w:p>
    <w:p>
      <w:pPr>
        <w:pStyle w:val="62"/>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23.1招标人将按招标文件规定的时间和地点组织远程不见面开标。开标由代理机构主持，投标人无须到现场。评标委员会成员不得参加开标活动。</w:t>
      </w:r>
    </w:p>
    <w:p>
      <w:pPr>
        <w:pStyle w:val="62"/>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23.2招标人应当对开标、评标现场活动进行全程录音录像。录音录像应当清晰可辨，音像资料作为采购文件一并存档。</w:t>
      </w:r>
    </w:p>
    <w:p>
      <w:pPr>
        <w:pStyle w:val="62"/>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23.3开标时，由代理机构开通远程不见面开标大厅及开启“文字互动”等功能；投标人、代理机构进行电子投标文件的解密。解密后</w:t>
      </w:r>
      <w:r>
        <w:rPr>
          <w:rFonts w:hint="eastAsia" w:asciiTheme="minorEastAsia" w:hAnsiTheme="minorEastAsia"/>
          <w:color w:val="auto"/>
          <w:szCs w:val="21"/>
          <w:highlight w:val="none"/>
        </w:rPr>
        <w:t>投标人选择功能栏“开标记录”按钮可查看</w:t>
      </w:r>
      <w:r>
        <w:rPr>
          <w:rFonts w:hint="eastAsia" w:cs="宋体" w:asciiTheme="minorEastAsia" w:hAnsiTheme="minorEastAsia"/>
          <w:color w:val="auto"/>
          <w:kern w:val="0"/>
          <w:szCs w:val="21"/>
          <w:highlight w:val="none"/>
        </w:rPr>
        <w:t>投标人名称、投标价格、修改和撤回投标的通知（如有的话）和招标文件规定的需要宣布的其他内容。</w:t>
      </w:r>
    </w:p>
    <w:p>
      <w:pPr>
        <w:pStyle w:val="62"/>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23.4电子投标文件的解密。全流程电子化交易项目电子投标文件采用双重加密。解密需分标段进行两次解密。</w:t>
      </w:r>
    </w:p>
    <w:p>
      <w:pPr>
        <w:pStyle w:val="62"/>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23.5投标人解密：投标人使用本单位CA数字证书远程进行解密。</w:t>
      </w:r>
    </w:p>
    <w:p>
      <w:pPr>
        <w:autoSpaceDE w:val="0"/>
        <w:autoSpaceDN w:val="0"/>
        <w:spacing w:line="360" w:lineRule="auto"/>
        <w:ind w:left="1837" w:leftChars="199" w:hanging="1419" w:hangingChars="676"/>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23.6代理机构解密：代理机构</w:t>
      </w:r>
      <w:r>
        <w:rPr>
          <w:rFonts w:cs="宋体" w:asciiTheme="minorEastAsia" w:hAnsiTheme="minorEastAsia"/>
          <w:color w:val="auto"/>
          <w:kern w:val="0"/>
          <w:szCs w:val="21"/>
          <w:highlight w:val="none"/>
        </w:rPr>
        <w:t>按</w:t>
      </w:r>
      <w:r>
        <w:rPr>
          <w:rFonts w:hint="eastAsia" w:cs="宋体" w:asciiTheme="minorEastAsia" w:hAnsiTheme="minorEastAsia"/>
          <w:color w:val="auto"/>
          <w:kern w:val="0"/>
          <w:szCs w:val="21"/>
          <w:highlight w:val="none"/>
        </w:rPr>
        <w:t>电子</w:t>
      </w:r>
      <w:r>
        <w:rPr>
          <w:rFonts w:cs="宋体" w:asciiTheme="minorEastAsia" w:hAnsiTheme="minorEastAsia"/>
          <w:color w:val="auto"/>
          <w:kern w:val="0"/>
          <w:szCs w:val="21"/>
          <w:highlight w:val="none"/>
        </w:rPr>
        <w:t>投标</w:t>
      </w:r>
      <w:r>
        <w:rPr>
          <w:rFonts w:hint="eastAsia" w:cs="宋体" w:asciiTheme="minorEastAsia" w:hAnsiTheme="minorEastAsia"/>
          <w:color w:val="auto"/>
          <w:kern w:val="0"/>
          <w:szCs w:val="21"/>
          <w:highlight w:val="none"/>
        </w:rPr>
        <w:t>文件到达交易系统</w:t>
      </w:r>
      <w:r>
        <w:rPr>
          <w:rFonts w:cs="宋体" w:asciiTheme="minorEastAsia" w:hAnsiTheme="minorEastAsia"/>
          <w:color w:val="auto"/>
          <w:kern w:val="0"/>
          <w:szCs w:val="21"/>
          <w:highlight w:val="none"/>
        </w:rPr>
        <w:t>的先后顺序</w:t>
      </w:r>
      <w:r>
        <w:rPr>
          <w:rFonts w:hint="eastAsia" w:cs="宋体" w:asciiTheme="minorEastAsia" w:hAnsiTheme="minorEastAsia"/>
          <w:color w:val="auto"/>
          <w:kern w:val="0"/>
          <w:szCs w:val="21"/>
          <w:highlight w:val="none"/>
        </w:rPr>
        <w:t>，使用本单</w:t>
      </w:r>
    </w:p>
    <w:p>
      <w:pPr>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位CA数字证书进行再次解密。</w:t>
      </w:r>
    </w:p>
    <w:p>
      <w:pPr>
        <w:pStyle w:val="62"/>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23.7因投标人原因电子投标文件解密失败的，其投标将被拒绝。</w:t>
      </w:r>
    </w:p>
    <w:p>
      <w:pPr>
        <w:pStyle w:val="62"/>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23.8投标人不足3家的，不得开标。</w:t>
      </w:r>
    </w:p>
    <w:p>
      <w:pPr>
        <w:pStyle w:val="62"/>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23.9开标过程由采购代理机构负责记录，</w:t>
      </w:r>
      <w:r>
        <w:rPr>
          <w:rFonts w:hint="eastAsia" w:hAnsi="宋体"/>
          <w:color w:val="auto"/>
          <w:szCs w:val="21"/>
          <w:highlight w:val="none"/>
        </w:rPr>
        <w:t>《开标记录表》经投标人进行电子签章、</w:t>
      </w:r>
      <w:r>
        <w:rPr>
          <w:rFonts w:hint="eastAsia" w:cs="宋体" w:asciiTheme="minorEastAsia" w:hAnsiTheme="minorEastAsia"/>
          <w:color w:val="auto"/>
          <w:kern w:val="0"/>
          <w:szCs w:val="21"/>
          <w:highlight w:val="none"/>
        </w:rPr>
        <w:t>由参加开标相关工作人员签字确认后随采购文件一并存档。</w:t>
      </w:r>
      <w:r>
        <w:rPr>
          <w:rFonts w:hint="eastAsia" w:hAnsi="宋体"/>
          <w:color w:val="auto"/>
          <w:szCs w:val="21"/>
          <w:highlight w:val="none"/>
        </w:rPr>
        <w:t>投标人未电子签章的，视同认可开标结果。</w:t>
      </w:r>
    </w:p>
    <w:p>
      <w:pPr>
        <w:pStyle w:val="62"/>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23.10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62"/>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23.11项目远程不见面开标活动结束时，投标人应在《开标记录表》上进行电子签章。投标人未签章的，视同认可开标结果。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cs="宋体"/>
          <w:b/>
          <w:color w:val="auto"/>
          <w:szCs w:val="21"/>
          <w:highlight w:val="none"/>
          <w:lang w:val="zh-CN"/>
        </w:rPr>
      </w:pPr>
      <w:r>
        <w:rPr>
          <w:rFonts w:hint="eastAsia" w:ascii="宋体" w:hAnsi="宋体" w:cs="宋体"/>
          <w:b/>
          <w:color w:val="auto"/>
          <w:szCs w:val="21"/>
          <w:highlight w:val="none"/>
        </w:rPr>
        <w:t>24</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资格审查</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bCs/>
          <w:color w:val="auto"/>
          <w:szCs w:val="21"/>
          <w:highlight w:val="none"/>
        </w:rPr>
        <w:t>开标结束后，采购人依法对投标人的资格进行审查。</w:t>
      </w:r>
      <w:r>
        <w:rPr>
          <w:rFonts w:hint="eastAsia" w:ascii="宋体" w:hAnsi="宋体" w:cs="宋体"/>
          <w:color w:val="auto"/>
          <w:szCs w:val="21"/>
          <w:highlight w:val="none"/>
          <w:lang w:val="zh-CN"/>
        </w:rPr>
        <w:t>合格投标人不足</w:t>
      </w:r>
      <w:r>
        <w:rPr>
          <w:rFonts w:ascii="宋体" w:hAnsi="宋体" w:cs="宋体"/>
          <w:color w:val="auto"/>
          <w:szCs w:val="21"/>
          <w:highlight w:val="none"/>
          <w:lang w:val="zh-CN"/>
        </w:rPr>
        <w:t>3</w:t>
      </w:r>
      <w:r>
        <w:rPr>
          <w:rFonts w:hint="eastAsia" w:ascii="宋体" w:hAnsi="宋体" w:cs="宋体"/>
          <w:color w:val="auto"/>
          <w:szCs w:val="21"/>
          <w:highlight w:val="none"/>
          <w:lang w:val="zh-CN"/>
        </w:rPr>
        <w:t>家的，不得评标。</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5</w:t>
      </w:r>
      <w:r>
        <w:rPr>
          <w:rFonts w:ascii="宋体" w:cs="宋体"/>
          <w:b/>
          <w:color w:val="auto"/>
          <w:szCs w:val="21"/>
          <w:highlight w:val="none"/>
          <w:lang w:val="zh-CN"/>
        </w:rPr>
        <w:t>.</w:t>
      </w:r>
      <w:r>
        <w:rPr>
          <w:rFonts w:hint="eastAsia" w:ascii="宋体" w:hAnsi="宋体" w:cs="宋体"/>
          <w:b/>
          <w:color w:val="auto"/>
          <w:szCs w:val="21"/>
          <w:highlight w:val="none"/>
          <w:lang w:val="zh-CN"/>
        </w:rPr>
        <w:t>评标委员会的组成</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hint="eastAsia" w:ascii="宋体" w:hAnsi="宋体" w:cs="宋体"/>
          <w:color w:val="auto"/>
          <w:szCs w:val="21"/>
          <w:highlight w:val="none"/>
          <w:lang w:val="zh-CN"/>
        </w:rPr>
        <w:t>．</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招标人将依法组建评标委员会，评标委员会由采购人代表和评审专家组成，成员人数应当为</w:t>
      </w:r>
      <w:r>
        <w:rPr>
          <w:rFonts w:ascii="宋体" w:hAnsi="宋体" w:cs="宋体"/>
          <w:color w:val="auto"/>
          <w:szCs w:val="21"/>
          <w:highlight w:val="none"/>
          <w:lang w:val="zh-CN"/>
        </w:rPr>
        <w:t>5</w:t>
      </w:r>
      <w:r>
        <w:rPr>
          <w:rFonts w:hint="eastAsia" w:ascii="宋体" w:hAnsi="宋体" w:cs="宋体"/>
          <w:color w:val="auto"/>
          <w:szCs w:val="21"/>
          <w:highlight w:val="none"/>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.1.1 </w:t>
      </w:r>
      <w:r>
        <w:rPr>
          <w:rFonts w:hint="eastAsia" w:ascii="宋体" w:hAnsi="宋体" w:cs="宋体"/>
          <w:color w:val="auto"/>
          <w:szCs w:val="21"/>
          <w:highlight w:val="none"/>
          <w:lang w:val="zh-CN"/>
        </w:rPr>
        <w:t>采购项目符合下列情形之一的，评标委员会成员人数应当为</w:t>
      </w:r>
      <w:r>
        <w:rPr>
          <w:rFonts w:ascii="宋体" w:hAnsi="宋体" w:cs="宋体"/>
          <w:color w:val="auto"/>
          <w:szCs w:val="21"/>
          <w:highlight w:val="none"/>
          <w:lang w:val="zh-CN"/>
        </w:rPr>
        <w:t>7</w:t>
      </w:r>
      <w:r>
        <w:rPr>
          <w:rFonts w:hint="eastAsia" w:ascii="宋体" w:hAnsi="宋体" w:cs="宋体"/>
          <w:color w:val="auto"/>
          <w:szCs w:val="21"/>
          <w:highlight w:val="none"/>
          <w:lang w:val="zh-CN"/>
        </w:rPr>
        <w:t>人以上单数：</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（一）采购预算金额在</w:t>
      </w:r>
      <w:r>
        <w:rPr>
          <w:rFonts w:ascii="宋体" w:hAnsi="宋体" w:cs="宋体"/>
          <w:color w:val="auto"/>
          <w:szCs w:val="21"/>
          <w:highlight w:val="none"/>
          <w:lang w:val="zh-CN"/>
        </w:rPr>
        <w:t>1000</w:t>
      </w:r>
      <w:r>
        <w:rPr>
          <w:rFonts w:hint="eastAsia" w:ascii="宋体" w:hAnsi="宋体" w:cs="宋体"/>
          <w:color w:val="auto"/>
          <w:szCs w:val="21"/>
          <w:highlight w:val="none"/>
          <w:lang w:val="zh-CN"/>
        </w:rPr>
        <w:t>万元以上；</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（二）技术复杂；</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（三）社会影响较大。</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.3 </w:t>
      </w:r>
      <w:r>
        <w:rPr>
          <w:rFonts w:hint="eastAsia" w:ascii="宋体" w:hAnsi="宋体" w:cs="宋体"/>
          <w:color w:val="auto"/>
          <w:szCs w:val="21"/>
          <w:highlight w:val="none"/>
          <w:lang w:val="zh-CN"/>
        </w:rPr>
        <w:t>评审专家与投标人存在下列利害关系之一的</w:t>
      </w:r>
      <w:r>
        <w:rPr>
          <w:rFonts w:ascii="宋体" w:cs="宋体"/>
          <w:color w:val="auto"/>
          <w:szCs w:val="21"/>
          <w:highlight w:val="none"/>
          <w:lang w:val="zh-CN"/>
        </w:rPr>
        <w:t>,</w:t>
      </w:r>
      <w:r>
        <w:rPr>
          <w:rFonts w:hint="eastAsia" w:ascii="宋体" w:hAnsi="宋体" w:cs="宋体"/>
          <w:color w:val="auto"/>
          <w:szCs w:val="21"/>
          <w:highlight w:val="none"/>
          <w:lang w:val="zh-CN"/>
        </w:rPr>
        <w:t>应当回避</w:t>
      </w:r>
      <w:r>
        <w:rPr>
          <w:rFonts w:ascii="宋体" w:hAnsi="宋体" w:cs="宋体"/>
          <w:color w:val="auto"/>
          <w:szCs w:val="21"/>
          <w:highlight w:val="none"/>
          <w:lang w:val="zh-CN"/>
        </w:rPr>
        <w:t>:</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zh-CN"/>
        </w:rPr>
        <w:t>一</w:t>
      </w:r>
      <w:r>
        <w:rPr>
          <w:rFonts w:ascii="宋体" w:hAnsi="宋体" w:cs="宋体"/>
          <w:color w:val="auto"/>
          <w:szCs w:val="21"/>
          <w:highlight w:val="none"/>
          <w:lang w:val="zh-CN"/>
        </w:rPr>
        <w:t>)</w:t>
      </w:r>
      <w:r>
        <w:rPr>
          <w:rFonts w:hint="eastAsia" w:ascii="宋体" w:hAnsi="宋体" w:cs="宋体"/>
          <w:color w:val="auto"/>
          <w:szCs w:val="21"/>
          <w:highlight w:val="none"/>
          <w:lang w:val="zh-CN"/>
        </w:rPr>
        <w:t>参加采购活动前三年内</w:t>
      </w:r>
      <w:r>
        <w:rPr>
          <w:rFonts w:ascii="宋体" w:cs="宋体"/>
          <w:color w:val="auto"/>
          <w:szCs w:val="21"/>
          <w:highlight w:val="none"/>
          <w:lang w:val="zh-CN"/>
        </w:rPr>
        <w:t>,</w:t>
      </w:r>
      <w:r>
        <w:rPr>
          <w:rFonts w:hint="eastAsia" w:ascii="宋体" w:hAnsi="宋体" w:cs="宋体"/>
          <w:color w:val="auto"/>
          <w:szCs w:val="21"/>
          <w:highlight w:val="none"/>
          <w:lang w:val="zh-CN"/>
        </w:rPr>
        <w:t>与供应商存在劳动关系</w:t>
      </w:r>
      <w:r>
        <w:rPr>
          <w:rFonts w:ascii="宋体" w:cs="宋体"/>
          <w:color w:val="auto"/>
          <w:szCs w:val="21"/>
          <w:highlight w:val="none"/>
          <w:lang w:val="zh-CN"/>
        </w:rPr>
        <w:t>,</w:t>
      </w:r>
      <w:r>
        <w:rPr>
          <w:rFonts w:hint="eastAsia" w:ascii="宋体" w:hAnsi="宋体" w:cs="宋体"/>
          <w:color w:val="auto"/>
          <w:szCs w:val="21"/>
          <w:highlight w:val="none"/>
          <w:lang w:val="zh-CN"/>
        </w:rPr>
        <w:t>或者担任过供应商的董事、监事</w:t>
      </w:r>
      <w:r>
        <w:rPr>
          <w:rFonts w:ascii="宋体" w:cs="宋体"/>
          <w:color w:val="auto"/>
          <w:szCs w:val="21"/>
          <w:highlight w:val="none"/>
          <w:lang w:val="zh-CN"/>
        </w:rPr>
        <w:t>,</w:t>
      </w:r>
      <w:r>
        <w:rPr>
          <w:rFonts w:hint="eastAsia" w:ascii="宋体" w:hAnsi="宋体" w:cs="宋体"/>
          <w:color w:val="auto"/>
          <w:szCs w:val="21"/>
          <w:highlight w:val="none"/>
          <w:lang w:val="zh-CN"/>
        </w:rPr>
        <w:t>或者是供应商的控股股东或实际控制人；</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zh-CN"/>
        </w:rPr>
        <w:t>二</w:t>
      </w:r>
      <w:r>
        <w:rPr>
          <w:rFonts w:ascii="宋体" w:hAnsi="宋体" w:cs="宋体"/>
          <w:color w:val="auto"/>
          <w:szCs w:val="21"/>
          <w:highlight w:val="none"/>
          <w:lang w:val="zh-CN"/>
        </w:rPr>
        <w:t>)</w:t>
      </w:r>
      <w:r>
        <w:rPr>
          <w:rFonts w:hint="eastAsia" w:ascii="宋体" w:hAnsi="宋体" w:cs="宋体"/>
          <w:color w:val="auto"/>
          <w:szCs w:val="21"/>
          <w:highlight w:val="none"/>
          <w:lang w:val="zh-CN"/>
        </w:rPr>
        <w:t>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zh-CN"/>
        </w:rPr>
        <w:t>三</w:t>
      </w:r>
      <w:r>
        <w:rPr>
          <w:rFonts w:ascii="宋体" w:hAnsi="宋体" w:cs="宋体"/>
          <w:color w:val="auto"/>
          <w:szCs w:val="21"/>
          <w:highlight w:val="none"/>
          <w:lang w:val="zh-CN"/>
        </w:rPr>
        <w:t>)</w:t>
      </w:r>
      <w:r>
        <w:rPr>
          <w:rFonts w:hint="eastAsia" w:ascii="宋体" w:hAnsi="宋体" w:cs="宋体"/>
          <w:color w:val="auto"/>
          <w:szCs w:val="21"/>
          <w:highlight w:val="none"/>
          <w:lang w:val="zh-CN"/>
        </w:rPr>
        <w:t>与供应商有其他可能影响政府采购活动公平、公正进行的关系。</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.4 </w:t>
      </w:r>
      <w:r>
        <w:rPr>
          <w:rFonts w:hint="eastAsia" w:ascii="宋体" w:hAnsi="宋体" w:cs="宋体"/>
          <w:color w:val="auto"/>
          <w:szCs w:val="21"/>
          <w:highlight w:val="none"/>
          <w:lang w:val="zh-CN"/>
        </w:rPr>
        <w:t>评审专家发现本人与参加采购活动的供应商有利害关系的</w:t>
      </w:r>
      <w:r>
        <w:rPr>
          <w:rFonts w:ascii="宋体" w:cs="宋体"/>
          <w:color w:val="auto"/>
          <w:szCs w:val="21"/>
          <w:highlight w:val="none"/>
          <w:lang w:val="zh-CN"/>
        </w:rPr>
        <w:t>,</w:t>
      </w:r>
      <w:r>
        <w:rPr>
          <w:rFonts w:hint="eastAsia" w:ascii="宋体" w:hAnsi="宋体" w:cs="宋体"/>
          <w:color w:val="auto"/>
          <w:szCs w:val="21"/>
          <w:highlight w:val="none"/>
          <w:lang w:val="zh-CN"/>
        </w:rPr>
        <w:t>应当主动提出回避。采购人或者代理机构发现评审专家与参加采购活动的供应商有利害关系的</w:t>
      </w:r>
      <w:r>
        <w:rPr>
          <w:rFonts w:ascii="宋体" w:cs="宋体"/>
          <w:color w:val="auto"/>
          <w:szCs w:val="21"/>
          <w:highlight w:val="none"/>
          <w:lang w:val="zh-CN"/>
        </w:rPr>
        <w:t>,</w:t>
      </w:r>
      <w:r>
        <w:rPr>
          <w:rFonts w:hint="eastAsia" w:ascii="宋体" w:hAnsi="宋体" w:cs="宋体"/>
          <w:color w:val="auto"/>
          <w:szCs w:val="21"/>
          <w:highlight w:val="none"/>
          <w:lang w:val="zh-CN"/>
        </w:rPr>
        <w:t>应当要求其回避。</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.5 </w:t>
      </w:r>
      <w:r>
        <w:rPr>
          <w:rFonts w:hint="eastAsia" w:ascii="宋体" w:hAnsi="宋体" w:cs="宋体"/>
          <w:color w:val="auto"/>
          <w:szCs w:val="21"/>
          <w:highlight w:val="none"/>
          <w:lang w:val="zh-CN"/>
        </w:rPr>
        <w:t>采购人不得担任评标小组长。</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.6 </w:t>
      </w:r>
      <w:r>
        <w:rPr>
          <w:rFonts w:hint="eastAsia" w:ascii="宋体" w:hAnsi="宋体" w:cs="宋体"/>
          <w:color w:val="auto"/>
          <w:szCs w:val="21"/>
          <w:highlight w:val="none"/>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.7 </w:t>
      </w:r>
      <w:r>
        <w:rPr>
          <w:rFonts w:hint="eastAsia" w:ascii="宋体" w:hAnsi="宋体" w:cs="宋体"/>
          <w:color w:val="auto"/>
          <w:szCs w:val="21"/>
          <w:highlight w:val="none"/>
          <w:lang w:val="zh-CN"/>
        </w:rPr>
        <w:t>评标委员会成员名单在评标结果公告前应当保密。</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6</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符合性审查</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6</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6</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审查、评价投标文件是否符合招标文件的商务、技术等实质性要求。</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6</w:t>
      </w:r>
      <w:r>
        <w:rPr>
          <w:rFonts w:ascii="宋体" w:hAnsi="宋体" w:cs="宋体"/>
          <w:color w:val="auto"/>
          <w:szCs w:val="21"/>
          <w:highlight w:val="none"/>
          <w:lang w:val="zh-CN"/>
        </w:rPr>
        <w:t xml:space="preserve">.3 </w:t>
      </w:r>
      <w:r>
        <w:rPr>
          <w:rFonts w:hint="eastAsia" w:ascii="宋体" w:hAnsi="宋体" w:cs="宋体"/>
          <w:color w:val="auto"/>
          <w:szCs w:val="21"/>
          <w:highlight w:val="none"/>
          <w:lang w:val="zh-CN"/>
        </w:rPr>
        <w:t>可要求投标人对投标文件有关事项作出澄清或者说明。</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7</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投标文件的澄清</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7</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27</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7</w:t>
      </w:r>
      <w:r>
        <w:rPr>
          <w:rFonts w:ascii="宋体" w:hAnsi="宋体" w:cs="宋体"/>
          <w:color w:val="auto"/>
          <w:szCs w:val="21"/>
          <w:highlight w:val="none"/>
          <w:lang w:val="zh-CN"/>
        </w:rPr>
        <w:t xml:space="preserve">.3 </w:t>
      </w:r>
      <w:r>
        <w:rPr>
          <w:rFonts w:hint="eastAsia" w:ascii="宋体" w:hAnsi="宋体" w:cs="宋体"/>
          <w:color w:val="auto"/>
          <w:szCs w:val="21"/>
          <w:highlight w:val="none"/>
          <w:lang w:val="zh-CN"/>
        </w:rPr>
        <w:t>投标人的澄清文件是其投标文件的组成部分。</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8</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投标文件报价出现前后不一致的修正</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8</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投标文件中开标一览表</w:t>
      </w:r>
      <w:r>
        <w:rPr>
          <w:rFonts w:ascii="宋体" w:hAnsi="宋体" w:cs="宋体"/>
          <w:color w:val="auto"/>
          <w:szCs w:val="21"/>
          <w:highlight w:val="none"/>
          <w:lang w:val="zh-CN"/>
        </w:rPr>
        <w:t>(</w:t>
      </w:r>
      <w:r>
        <w:rPr>
          <w:rFonts w:hint="eastAsia" w:ascii="宋体" w:hAnsi="宋体" w:cs="宋体"/>
          <w:color w:val="auto"/>
          <w:szCs w:val="21"/>
          <w:highlight w:val="none"/>
          <w:lang w:val="zh-CN"/>
        </w:rPr>
        <w:t>报价表</w:t>
      </w:r>
      <w:r>
        <w:rPr>
          <w:rFonts w:ascii="宋体" w:hAnsi="宋体" w:cs="宋体"/>
          <w:color w:val="auto"/>
          <w:szCs w:val="21"/>
          <w:highlight w:val="none"/>
          <w:lang w:val="zh-CN"/>
        </w:rPr>
        <w:t>)</w:t>
      </w:r>
      <w:r>
        <w:rPr>
          <w:rFonts w:hint="eastAsia" w:ascii="宋体" w:hAnsi="宋体" w:cs="宋体"/>
          <w:color w:val="auto"/>
          <w:szCs w:val="21"/>
          <w:highlight w:val="none"/>
          <w:lang w:val="zh-CN"/>
        </w:rPr>
        <w:t>内容与投标文件中相应内容不一致的，以开标一览表</w:t>
      </w:r>
      <w:r>
        <w:rPr>
          <w:rFonts w:ascii="宋体" w:hAnsi="宋体" w:cs="宋体"/>
          <w:color w:val="auto"/>
          <w:szCs w:val="21"/>
          <w:highlight w:val="none"/>
          <w:lang w:val="zh-CN"/>
        </w:rPr>
        <w:t>(</w:t>
      </w:r>
      <w:r>
        <w:rPr>
          <w:rFonts w:hint="eastAsia" w:ascii="宋体" w:hAnsi="宋体" w:cs="宋体"/>
          <w:color w:val="auto"/>
          <w:szCs w:val="21"/>
          <w:highlight w:val="none"/>
          <w:lang w:val="zh-CN"/>
        </w:rPr>
        <w:t>报价表</w:t>
      </w:r>
      <w:r>
        <w:rPr>
          <w:rFonts w:ascii="宋体" w:hAnsi="宋体" w:cs="宋体"/>
          <w:color w:val="auto"/>
          <w:szCs w:val="21"/>
          <w:highlight w:val="none"/>
          <w:lang w:val="zh-CN"/>
        </w:rPr>
        <w:t>)</w:t>
      </w:r>
      <w:r>
        <w:rPr>
          <w:rFonts w:hint="eastAsia" w:ascii="宋体" w:hAnsi="宋体" w:cs="宋体"/>
          <w:color w:val="auto"/>
          <w:szCs w:val="21"/>
          <w:highlight w:val="none"/>
          <w:lang w:val="zh-CN"/>
        </w:rPr>
        <w:t>为准；</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8</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大写金额和小写金额不一致的，以大写金额为准；</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8</w:t>
      </w:r>
      <w:r>
        <w:rPr>
          <w:rFonts w:ascii="宋体" w:hAnsi="宋体" w:cs="宋体"/>
          <w:color w:val="auto"/>
          <w:szCs w:val="21"/>
          <w:highlight w:val="none"/>
          <w:lang w:val="zh-CN"/>
        </w:rPr>
        <w:t xml:space="preserve">.3 </w:t>
      </w:r>
      <w:r>
        <w:rPr>
          <w:rFonts w:hint="eastAsia" w:ascii="宋体" w:hAnsi="宋体" w:cs="宋体"/>
          <w:color w:val="auto"/>
          <w:szCs w:val="21"/>
          <w:highlight w:val="none"/>
          <w:lang w:val="zh-CN"/>
        </w:rPr>
        <w:t>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8</w:t>
      </w:r>
      <w:r>
        <w:rPr>
          <w:rFonts w:ascii="宋体" w:hAnsi="宋体" w:cs="宋体"/>
          <w:color w:val="auto"/>
          <w:szCs w:val="21"/>
          <w:highlight w:val="none"/>
          <w:lang w:val="zh-CN"/>
        </w:rPr>
        <w:t xml:space="preserve">.4 </w:t>
      </w:r>
      <w:r>
        <w:rPr>
          <w:rFonts w:hint="eastAsia" w:ascii="宋体" w:hAnsi="宋体" w:cs="宋体"/>
          <w:color w:val="auto"/>
          <w:szCs w:val="21"/>
          <w:highlight w:val="none"/>
          <w:lang w:val="zh-CN"/>
        </w:rPr>
        <w:t>总价金额与按单价汇总金额不一致的，以单价金额计算结果为准。同时出现两种以上不一致的，按照前款规定的顺序修正。修正后的报价按照“投标人须知”</w:t>
      </w:r>
      <w:r>
        <w:rPr>
          <w:rFonts w:ascii="宋体" w:hAnsi="宋体" w:cs="宋体"/>
          <w:color w:val="auto"/>
          <w:szCs w:val="21"/>
          <w:highlight w:val="none"/>
          <w:lang w:val="zh-CN"/>
        </w:rPr>
        <w:t>2</w:t>
      </w:r>
      <w:r>
        <w:rPr>
          <w:rFonts w:ascii="宋体" w:hAnsi="宋体" w:cs="宋体"/>
          <w:color w:val="auto"/>
          <w:szCs w:val="21"/>
          <w:highlight w:val="none"/>
        </w:rPr>
        <w:t>8</w:t>
      </w:r>
      <w:r>
        <w:rPr>
          <w:rFonts w:ascii="宋体" w:hAnsi="宋体" w:cs="宋体"/>
          <w:color w:val="auto"/>
          <w:szCs w:val="21"/>
          <w:highlight w:val="none"/>
          <w:lang w:val="zh-CN"/>
        </w:rPr>
        <w:t>.2</w:t>
      </w:r>
      <w:r>
        <w:rPr>
          <w:rFonts w:hint="eastAsia" w:ascii="宋体" w:hAnsi="宋体" w:cs="宋体"/>
          <w:color w:val="auto"/>
          <w:szCs w:val="21"/>
          <w:highlight w:val="none"/>
          <w:lang w:val="zh-CN"/>
        </w:rPr>
        <w:t>规定经投标人确认后产生约束力，投标人不确认的，其投标无效。</w:t>
      </w:r>
    </w:p>
    <w:p>
      <w:pPr>
        <w:tabs>
          <w:tab w:val="left" w:pos="1260"/>
        </w:tabs>
        <w:autoSpaceDE w:val="0"/>
        <w:autoSpaceDN w:val="0"/>
        <w:spacing w:line="360" w:lineRule="auto"/>
        <w:contextualSpacing/>
        <w:rPr>
          <w:rFonts w:ascii="宋体" w:cs="宋体"/>
          <w:b/>
          <w:color w:val="auto"/>
          <w:szCs w:val="21"/>
          <w:highlight w:val="none"/>
          <w:lang w:val="zh-CN"/>
        </w:rPr>
      </w:pPr>
      <w:r>
        <w:rPr>
          <w:rFonts w:hint="eastAsia" w:ascii="宋体" w:hAnsi="宋体" w:cs="宋体"/>
          <w:b/>
          <w:color w:val="auto"/>
          <w:szCs w:val="21"/>
          <w:highlight w:val="none"/>
        </w:rPr>
        <w:t>29</w:t>
      </w:r>
      <w:r>
        <w:rPr>
          <w:rFonts w:ascii="宋体" w:hAnsi="宋体" w:cs="宋体"/>
          <w:b/>
          <w:color w:val="auto"/>
          <w:szCs w:val="21"/>
          <w:highlight w:val="none"/>
          <w:lang w:val="zh-CN"/>
        </w:rPr>
        <w:t>.</w:t>
      </w:r>
      <w:r>
        <w:rPr>
          <w:rFonts w:hint="eastAsia" w:ascii="宋体" w:hAnsi="宋体" w:cs="宋体"/>
          <w:b/>
          <w:color w:val="auto"/>
          <w:szCs w:val="21"/>
          <w:highlight w:val="none"/>
          <w:lang w:val="zh-CN"/>
        </w:rPr>
        <w:t>投标无效情形</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投标文件属下列情况之一的，按照无效投标处理：</w:t>
      </w:r>
    </w:p>
    <w:p>
      <w:pPr>
        <w:tabs>
          <w:tab w:val="left" w:pos="1260"/>
        </w:tabs>
        <w:autoSpaceDE w:val="0"/>
        <w:autoSpaceDN w:val="0"/>
        <w:spacing w:line="360" w:lineRule="auto"/>
        <w:ind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.1.1 </w:t>
      </w:r>
      <w:r>
        <w:rPr>
          <w:rFonts w:hint="eastAsia" w:ascii="宋体" w:hAnsi="宋体" w:cs="宋体"/>
          <w:color w:val="auto"/>
          <w:szCs w:val="21"/>
          <w:highlight w:val="none"/>
          <w:lang w:val="zh-CN"/>
        </w:rPr>
        <w:t>未按照招标文件的规定提供投标承诺函的；</w:t>
      </w:r>
    </w:p>
    <w:p>
      <w:pPr>
        <w:tabs>
          <w:tab w:val="left" w:pos="1260"/>
        </w:tabs>
        <w:autoSpaceDE w:val="0"/>
        <w:autoSpaceDN w:val="0"/>
        <w:spacing w:line="360" w:lineRule="auto"/>
        <w:ind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29.1.2未按照招标文件的规定提交《禹州市政府采购供应商信用承诺函》的；</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.1.</w:t>
      </w:r>
      <w:r>
        <w:rPr>
          <w:rFonts w:hint="eastAsia" w:ascii="宋体" w:hAnsi="宋体" w:cs="宋体"/>
          <w:color w:val="auto"/>
          <w:szCs w:val="21"/>
          <w:highlight w:val="none"/>
          <w:lang w:val="zh-CN"/>
        </w:rPr>
        <w:t>3</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投标文件未按招标文件要求签署、盖章的；</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.1.</w:t>
      </w:r>
      <w:r>
        <w:rPr>
          <w:rFonts w:hint="eastAsia" w:ascii="宋体" w:hAnsi="宋体" w:cs="宋体"/>
          <w:color w:val="auto"/>
          <w:szCs w:val="21"/>
          <w:highlight w:val="none"/>
          <w:lang w:val="zh-CN"/>
        </w:rPr>
        <w:t>4不具备招标文件中规定的资格要求的；</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.1.</w:t>
      </w:r>
      <w:r>
        <w:rPr>
          <w:rFonts w:hint="eastAsia" w:ascii="宋体" w:hAnsi="宋体" w:cs="宋体"/>
          <w:color w:val="auto"/>
          <w:szCs w:val="21"/>
          <w:highlight w:val="none"/>
          <w:lang w:val="zh-CN"/>
        </w:rPr>
        <w:t>5</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报价超过招标文件中规定的预算金额或者最高限价的；</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.1.</w:t>
      </w:r>
      <w:r>
        <w:rPr>
          <w:rFonts w:hint="eastAsia" w:ascii="宋体" w:hAnsi="宋体" w:cs="宋体"/>
          <w:color w:val="auto"/>
          <w:szCs w:val="21"/>
          <w:highlight w:val="none"/>
          <w:lang w:val="zh-CN"/>
        </w:rPr>
        <w:t>6投标文件内容模糊清，无法辨认的；</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.1.</w:t>
      </w:r>
      <w:r>
        <w:rPr>
          <w:rFonts w:hint="eastAsia" w:ascii="宋体" w:hAnsi="宋体" w:cs="宋体"/>
          <w:color w:val="auto"/>
          <w:szCs w:val="21"/>
          <w:highlight w:val="none"/>
          <w:lang w:val="zh-CN"/>
        </w:rPr>
        <w:t>7投标文件含有采购人不能接受的附加条件的。</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.2.1 </w:t>
      </w:r>
      <w:r>
        <w:rPr>
          <w:rFonts w:hint="eastAsia" w:ascii="宋体" w:hAnsi="宋体" w:cs="宋体"/>
          <w:color w:val="auto"/>
          <w:szCs w:val="21"/>
          <w:highlight w:val="none"/>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.2.2 </w:t>
      </w:r>
      <w:r>
        <w:rPr>
          <w:rFonts w:hint="eastAsia" w:ascii="宋体" w:hAnsi="宋体" w:cs="宋体"/>
          <w:color w:val="auto"/>
          <w:szCs w:val="21"/>
          <w:highlight w:val="none"/>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.2.3 </w:t>
      </w:r>
      <w:r>
        <w:rPr>
          <w:rFonts w:hint="eastAsia" w:ascii="宋体" w:hAnsi="宋体" w:cs="宋体"/>
          <w:color w:val="auto"/>
          <w:szCs w:val="21"/>
          <w:highlight w:val="none"/>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.2.4 </w:t>
      </w:r>
      <w:r>
        <w:rPr>
          <w:rFonts w:hint="eastAsia" w:ascii="宋体" w:hAnsi="宋体" w:cs="宋体"/>
          <w:color w:val="auto"/>
          <w:szCs w:val="21"/>
          <w:highlight w:val="none"/>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.2.5 </w:t>
      </w:r>
      <w:r>
        <w:rPr>
          <w:rFonts w:hint="eastAsia" w:ascii="宋体" w:hAnsi="宋体" w:cs="宋体"/>
          <w:color w:val="auto"/>
          <w:szCs w:val="21"/>
          <w:highlight w:val="none"/>
          <w:lang w:val="zh-CN"/>
        </w:rPr>
        <w:t>不同投标人的投标文件相互混装；</w:t>
      </w:r>
    </w:p>
    <w:p>
      <w:pPr>
        <w:pStyle w:val="18"/>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29</w:t>
      </w:r>
      <w:r>
        <w:rPr>
          <w:rFonts w:ascii="宋体" w:hAnsi="宋体" w:cs="宋体"/>
          <w:color w:val="auto"/>
          <w:sz w:val="21"/>
          <w:szCs w:val="21"/>
          <w:highlight w:val="none"/>
          <w:lang w:val="zh-CN"/>
        </w:rPr>
        <w:t>.3</w:t>
      </w:r>
      <w:r>
        <w:rPr>
          <w:rFonts w:hint="eastAsia" w:ascii="宋体" w:hAnsi="宋体" w:cs="宋体"/>
          <w:color w:val="auto"/>
          <w:sz w:val="21"/>
          <w:szCs w:val="21"/>
          <w:highlight w:val="none"/>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8"/>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（一）提供虚假材料谋取中标、成交的；</w:t>
      </w:r>
    </w:p>
    <w:p>
      <w:pPr>
        <w:pStyle w:val="18"/>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（二）采取不正当手段诋毁、排挤其他供应商的；</w:t>
      </w:r>
    </w:p>
    <w:p>
      <w:pPr>
        <w:pStyle w:val="18"/>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（三）与采购人、其他供应商或者采购代理机构恶意串通的；</w:t>
      </w:r>
    </w:p>
    <w:p>
      <w:pPr>
        <w:pStyle w:val="18"/>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（四）向采购人、采购代理机构行贿或者提供其他不正当利益的；</w:t>
      </w:r>
    </w:p>
    <w:p>
      <w:pPr>
        <w:pStyle w:val="18"/>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（五）在招标采购过程中与采购人进行协商谈判的；</w:t>
      </w:r>
    </w:p>
    <w:p>
      <w:pPr>
        <w:pStyle w:val="18"/>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（六）拒绝有关部门监督检查或者提供虚假情况的。</w:t>
      </w:r>
    </w:p>
    <w:p>
      <w:pPr>
        <w:pStyle w:val="18"/>
        <w:spacing w:line="360" w:lineRule="auto"/>
        <w:ind w:firstLine="420" w:firstLineChars="200"/>
        <w:rPr>
          <w:rFonts w:ascii="宋体" w:cs="宋体"/>
          <w:color w:val="auto"/>
          <w:kern w:val="0"/>
          <w:sz w:val="21"/>
          <w:szCs w:val="21"/>
          <w:highlight w:val="none"/>
        </w:rPr>
      </w:pPr>
      <w:r>
        <w:rPr>
          <w:rFonts w:hint="eastAsia" w:ascii="宋体" w:hAnsi="宋体" w:cs="宋体"/>
          <w:color w:val="auto"/>
          <w:sz w:val="21"/>
          <w:szCs w:val="21"/>
          <w:highlight w:val="none"/>
        </w:rPr>
        <w:t>投标人有前款第（一）至（五）项情形之一的，中标、成交无效。</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.4 </w:t>
      </w:r>
      <w:r>
        <w:rPr>
          <w:rFonts w:hint="eastAsia" w:ascii="宋体" w:hAnsi="宋体" w:cs="宋体"/>
          <w:color w:val="auto"/>
          <w:szCs w:val="21"/>
          <w:highlight w:val="none"/>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.5 </w:t>
      </w:r>
      <w:r>
        <w:rPr>
          <w:rFonts w:hint="eastAsia" w:ascii="宋体" w:hAnsi="宋体" w:cs="宋体"/>
          <w:color w:val="auto"/>
          <w:szCs w:val="21"/>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62"/>
        <w:autoSpaceDE w:val="0"/>
        <w:autoSpaceDN w:val="0"/>
        <w:spacing w:line="360" w:lineRule="auto"/>
        <w:contextualSpacing/>
        <w:rPr>
          <w:color w:val="auto"/>
          <w:highlight w:val="none"/>
          <w:lang w:val="zh-CN"/>
        </w:rPr>
      </w:pPr>
      <w:r>
        <w:rPr>
          <w:rFonts w:hint="eastAsia" w:ascii="宋体" w:hAnsi="宋体" w:cs="宋体"/>
          <w:color w:val="auto"/>
          <w:szCs w:val="21"/>
          <w:highlight w:val="none"/>
        </w:rPr>
        <w:t>29.6 按照</w:t>
      </w:r>
      <w:r>
        <w:rPr>
          <w:rFonts w:hint="eastAsia" w:ascii="ˎ̥" w:hAnsi="ˎ̥"/>
          <w:color w:val="auto"/>
          <w:highlight w:val="none"/>
        </w:rPr>
        <w:t>《关于推进全流程电子化交易和在线监管工作有关问题的通知》（许公管办[2019]3号）规定，不同投标人电子投标文件制作硬件特征码（网卡MAC地址、CPU序号、硬盘序列号）均一致时，视为‘</w:t>
      </w:r>
      <w:r>
        <w:rPr>
          <w:rFonts w:ascii="ˎ̥" w:hAnsi="ˎ̥"/>
          <w:color w:val="auto"/>
          <w:highlight w:val="none"/>
        </w:rPr>
        <w:t>不同</w:t>
      </w:r>
      <w:r>
        <w:rPr>
          <w:rFonts w:hint="eastAsia" w:ascii="ˎ̥" w:hAnsi="ˎ̥"/>
          <w:color w:val="auto"/>
          <w:highlight w:val="none"/>
        </w:rPr>
        <w:t>投标人</w:t>
      </w:r>
      <w:r>
        <w:rPr>
          <w:rFonts w:ascii="ˎ̥" w:hAnsi="ˎ̥"/>
          <w:color w:val="auto"/>
          <w:highlight w:val="none"/>
        </w:rPr>
        <w:t>的</w:t>
      </w:r>
      <w:r>
        <w:rPr>
          <w:rFonts w:hint="eastAsia" w:ascii="ˎ̥" w:hAnsi="ˎ̥"/>
          <w:color w:val="auto"/>
          <w:highlight w:val="none"/>
        </w:rPr>
        <w:t>投标</w:t>
      </w:r>
      <w:r>
        <w:rPr>
          <w:rFonts w:ascii="ˎ̥" w:hAnsi="ˎ̥"/>
          <w:color w:val="auto"/>
          <w:highlight w:val="none"/>
        </w:rPr>
        <w:t>文件由同一单位或者个人编制</w:t>
      </w:r>
      <w:r>
        <w:rPr>
          <w:rFonts w:hint="eastAsia" w:ascii="ˎ̥" w:hAnsi="ˎ̥"/>
          <w:color w:val="auto"/>
          <w:highlight w:val="none"/>
        </w:rPr>
        <w:t>’或‘</w:t>
      </w:r>
      <w:r>
        <w:rPr>
          <w:rFonts w:ascii="ˎ̥" w:hAnsi="ˎ̥"/>
          <w:color w:val="auto"/>
          <w:highlight w:val="none"/>
        </w:rPr>
        <w:t>不同</w:t>
      </w:r>
      <w:r>
        <w:rPr>
          <w:rFonts w:hint="eastAsia" w:ascii="ˎ̥" w:hAnsi="ˎ̥"/>
          <w:color w:val="auto"/>
          <w:highlight w:val="none"/>
        </w:rPr>
        <w:t>投标人</w:t>
      </w:r>
      <w:r>
        <w:rPr>
          <w:rFonts w:ascii="ˎ̥" w:hAnsi="ˎ̥"/>
          <w:color w:val="auto"/>
          <w:highlight w:val="none"/>
        </w:rPr>
        <w:t>委托同一单位或者个人办理</w:t>
      </w:r>
      <w:r>
        <w:rPr>
          <w:rFonts w:hint="eastAsia" w:ascii="ˎ̥" w:hAnsi="ˎ̥"/>
          <w:color w:val="auto"/>
          <w:highlight w:val="none"/>
        </w:rPr>
        <w:t>响应</w:t>
      </w:r>
      <w:r>
        <w:rPr>
          <w:rFonts w:ascii="ˎ̥" w:hAnsi="ˎ̥"/>
          <w:color w:val="auto"/>
          <w:highlight w:val="none"/>
        </w:rPr>
        <w:t>事宜</w:t>
      </w:r>
      <w:r>
        <w:rPr>
          <w:rFonts w:hint="eastAsia" w:ascii="ˎ̥" w:hAnsi="ˎ̥"/>
          <w:color w:val="auto"/>
          <w:highlight w:val="none"/>
        </w:rPr>
        <w:t>’，其投标无效。</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w:t>
      </w:r>
      <w:r>
        <w:rPr>
          <w:rFonts w:hint="eastAsia" w:ascii="宋体" w:hAnsi="宋体" w:cs="宋体"/>
          <w:color w:val="auto"/>
          <w:szCs w:val="21"/>
          <w:highlight w:val="none"/>
        </w:rPr>
        <w:t xml:space="preserve">7 </w:t>
      </w:r>
      <w:r>
        <w:rPr>
          <w:rFonts w:hint="eastAsia" w:ascii="宋体" w:hAnsi="宋体" w:cs="宋体"/>
          <w:color w:val="auto"/>
          <w:szCs w:val="21"/>
          <w:highlight w:val="none"/>
          <w:lang w:val="zh-CN"/>
        </w:rPr>
        <w:t>法律、法规和招标文件规定的其他无效情形。</w:t>
      </w:r>
    </w:p>
    <w:p>
      <w:pPr>
        <w:tabs>
          <w:tab w:val="left" w:pos="1260"/>
        </w:tabs>
        <w:autoSpaceDE w:val="0"/>
        <w:autoSpaceDN w:val="0"/>
        <w:spacing w:line="360" w:lineRule="auto"/>
        <w:contextualSpacing/>
        <w:rPr>
          <w:rFonts w:ascii="宋体" w:cs="宋体"/>
          <w:b/>
          <w:bCs/>
          <w:color w:val="auto"/>
          <w:szCs w:val="21"/>
          <w:highlight w:val="none"/>
          <w:lang w:val="zh-CN"/>
        </w:rPr>
      </w:pPr>
      <w:r>
        <w:rPr>
          <w:rFonts w:hint="eastAsia" w:ascii="宋体" w:hAnsi="宋体" w:cs="宋体"/>
          <w:b/>
          <w:bCs/>
          <w:color w:val="auto"/>
          <w:szCs w:val="21"/>
          <w:highlight w:val="none"/>
        </w:rPr>
        <w:t>30</w:t>
      </w:r>
      <w:r>
        <w:rPr>
          <w:rFonts w:ascii="宋体" w:hAnsi="宋体" w:cs="宋体"/>
          <w:b/>
          <w:bCs/>
          <w:color w:val="auto"/>
          <w:szCs w:val="21"/>
          <w:highlight w:val="none"/>
          <w:lang w:val="zh-CN"/>
        </w:rPr>
        <w:t>.</w:t>
      </w:r>
      <w:r>
        <w:rPr>
          <w:rFonts w:hint="eastAsia" w:ascii="宋体" w:hAnsi="宋体" w:cs="宋体"/>
          <w:b/>
          <w:bCs/>
          <w:color w:val="auto"/>
          <w:szCs w:val="21"/>
          <w:highlight w:val="none"/>
          <w:lang w:val="zh-CN"/>
        </w:rPr>
        <w:t>相同品牌投标人的认定（服务类项目不适用本条款规定）</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30</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30</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auto"/>
          <w:szCs w:val="21"/>
          <w:highlight w:val="none"/>
          <w:lang w:val="zh-CN"/>
        </w:rPr>
        <w:t>;</w:t>
      </w:r>
      <w:r>
        <w:rPr>
          <w:rFonts w:hint="eastAsia" w:ascii="宋体" w:hAnsi="宋体" w:cs="宋体"/>
          <w:color w:val="auto"/>
          <w:szCs w:val="21"/>
          <w:highlight w:val="none"/>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rPr>
        <w:t>3</w:t>
      </w:r>
      <w:r>
        <w:rPr>
          <w:rFonts w:hint="eastAsia" w:ascii="宋体" w:hAnsi="宋体" w:cs="宋体"/>
          <w:b/>
          <w:color w:val="auto"/>
          <w:szCs w:val="21"/>
          <w:highlight w:val="none"/>
        </w:rPr>
        <w:t>1</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投标文件的比较与评价</w:t>
      </w:r>
    </w:p>
    <w:p>
      <w:pPr>
        <w:tabs>
          <w:tab w:val="left" w:pos="1260"/>
        </w:tabs>
        <w:autoSpaceDE w:val="0"/>
        <w:autoSpaceDN w:val="0"/>
        <w:spacing w:line="360" w:lineRule="auto"/>
        <w:ind w:firstLine="420" w:firstLineChars="200"/>
        <w:contextualSpacing/>
        <w:rPr>
          <w:rFonts w:hint="eastAsia" w:ascii="宋体" w:hAnsi="宋体" w:cs="宋体"/>
          <w:color w:val="auto"/>
          <w:szCs w:val="21"/>
          <w:highlight w:val="none"/>
          <w:lang w:val="zh-CN"/>
        </w:rPr>
      </w:pPr>
      <w:r>
        <w:rPr>
          <w:rFonts w:hint="eastAsia" w:ascii="宋体" w:hAnsi="宋体" w:cs="宋体"/>
          <w:color w:val="auto"/>
          <w:szCs w:val="21"/>
          <w:highlight w:val="none"/>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宋体"/>
          <w:b/>
          <w:color w:val="auto"/>
          <w:szCs w:val="21"/>
          <w:highlight w:val="none"/>
          <w:lang w:val="zh-CN"/>
        </w:rPr>
      </w:pPr>
      <w:r>
        <w:rPr>
          <w:rFonts w:hint="eastAsia" w:ascii="宋体" w:hAnsi="宋体" w:cs="宋体"/>
          <w:b/>
          <w:color w:val="auto"/>
          <w:szCs w:val="21"/>
          <w:highlight w:val="none"/>
          <w:lang w:val="zh-CN"/>
        </w:rPr>
        <w:t>32. 投标文件一般医用耗材承诺的配送时间出现前后不一致的修正</w:t>
      </w:r>
    </w:p>
    <w:p>
      <w:pPr>
        <w:tabs>
          <w:tab w:val="left" w:pos="1260"/>
        </w:tabs>
        <w:autoSpaceDE w:val="0"/>
        <w:autoSpaceDN w:val="0"/>
        <w:spacing w:line="360" w:lineRule="auto"/>
        <w:ind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32.1 投标文件中开标一览表内容与投标文件中相应内容不一致的，以开标一览表为准；</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3</w:t>
      </w:r>
      <w:r>
        <w:rPr>
          <w:rFonts w:hint="eastAsia" w:ascii="宋体" w:hAnsi="宋体" w:cs="宋体"/>
          <w:b/>
          <w:color w:val="auto"/>
          <w:szCs w:val="21"/>
          <w:highlight w:val="none"/>
        </w:rPr>
        <w:t>3</w:t>
      </w:r>
      <w:r>
        <w:rPr>
          <w:rFonts w:ascii="宋体" w:hAnsi="宋体" w:cs="宋体"/>
          <w:b/>
          <w:color w:val="auto"/>
          <w:szCs w:val="21"/>
          <w:highlight w:val="none"/>
          <w:lang w:val="zh-CN"/>
        </w:rPr>
        <w:t>.</w:t>
      </w:r>
      <w:r>
        <w:rPr>
          <w:rFonts w:hint="eastAsia" w:ascii="宋体" w:hAnsi="宋体" w:cs="宋体"/>
          <w:b/>
          <w:color w:val="auto"/>
          <w:szCs w:val="21"/>
          <w:highlight w:val="none"/>
          <w:lang w:val="zh-CN"/>
        </w:rPr>
        <w:t>评标方法、评标标准</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3</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评标方法分为最低评标价法和综合评分法。</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3</w:t>
      </w:r>
      <w:r>
        <w:rPr>
          <w:rFonts w:ascii="宋体" w:hAnsi="宋体" w:cs="宋体"/>
          <w:color w:val="auto"/>
          <w:szCs w:val="21"/>
          <w:highlight w:val="none"/>
          <w:lang w:val="zh-CN"/>
        </w:rPr>
        <w:t xml:space="preserve">.1.1 </w:t>
      </w:r>
      <w:r>
        <w:rPr>
          <w:rFonts w:hint="eastAsia" w:ascii="宋体" w:hAnsi="宋体" w:cs="宋体"/>
          <w:color w:val="auto"/>
          <w:szCs w:val="21"/>
          <w:highlight w:val="none"/>
          <w:lang w:val="zh-CN"/>
        </w:rPr>
        <w:t>最低评标价法</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lang w:val="zh-CN"/>
        </w:rPr>
        <w:t xml:space="preserve">.1.1.1 </w:t>
      </w:r>
      <w:r>
        <w:rPr>
          <w:rFonts w:hint="eastAsia" w:ascii="宋体" w:hAnsi="宋体" w:cs="宋体"/>
          <w:color w:val="auto"/>
          <w:szCs w:val="21"/>
          <w:highlight w:val="none"/>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3</w:t>
      </w:r>
      <w:r>
        <w:rPr>
          <w:rFonts w:ascii="宋体" w:hAnsi="宋体" w:cs="宋体"/>
          <w:color w:val="auto"/>
          <w:szCs w:val="21"/>
          <w:highlight w:val="none"/>
          <w:lang w:val="zh-CN"/>
        </w:rPr>
        <w:t xml:space="preserve">.1.1.2 </w:t>
      </w:r>
      <w:r>
        <w:rPr>
          <w:rFonts w:hint="eastAsia" w:ascii="宋体" w:hAnsi="宋体" w:cs="宋体"/>
          <w:color w:val="auto"/>
          <w:szCs w:val="21"/>
          <w:highlight w:val="none"/>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33</w:t>
      </w:r>
      <w:r>
        <w:rPr>
          <w:rFonts w:ascii="宋体" w:hAnsi="宋体" w:cs="宋体"/>
          <w:color w:val="auto"/>
          <w:szCs w:val="21"/>
          <w:highlight w:val="none"/>
          <w:lang w:val="zh-CN"/>
        </w:rPr>
        <w:t xml:space="preserve">.1.2 </w:t>
      </w:r>
      <w:r>
        <w:rPr>
          <w:rFonts w:hint="eastAsia" w:ascii="宋体" w:hAnsi="宋体" w:cs="宋体"/>
          <w:color w:val="auto"/>
          <w:szCs w:val="21"/>
          <w:highlight w:val="none"/>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3</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价格分</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3</w:t>
      </w:r>
      <w:r>
        <w:rPr>
          <w:rFonts w:ascii="宋体" w:hAnsi="宋体" w:cs="宋体"/>
          <w:color w:val="auto"/>
          <w:szCs w:val="21"/>
          <w:highlight w:val="none"/>
          <w:lang w:val="zh-CN"/>
        </w:rPr>
        <w:t xml:space="preserve">.2.1 </w:t>
      </w:r>
      <w:r>
        <w:rPr>
          <w:rFonts w:hint="eastAsia" w:ascii="宋体" w:hAnsi="宋体" w:cs="宋体"/>
          <w:color w:val="auto"/>
          <w:szCs w:val="21"/>
          <w:highlight w:val="none"/>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cs="宋体"/>
          <w:color w:val="auto"/>
          <w:szCs w:val="21"/>
          <w:highlight w:val="none"/>
          <w:lang w:val="zh-CN"/>
        </w:rPr>
      </w:pPr>
      <w:r>
        <w:rPr>
          <w:rFonts w:hint="eastAsia" w:ascii="宋体" w:hAnsi="宋体" w:cs="宋体"/>
          <w:color w:val="auto"/>
          <w:szCs w:val="21"/>
          <w:highlight w:val="none"/>
          <w:lang w:val="zh-CN"/>
        </w:rPr>
        <w:t>投标报价得分</w:t>
      </w:r>
      <w:r>
        <w:rPr>
          <w:rFonts w:ascii="宋体" w:hAnsi="宋体" w:cs="宋体"/>
          <w:color w:val="auto"/>
          <w:szCs w:val="21"/>
          <w:highlight w:val="none"/>
          <w:lang w:val="zh-CN"/>
        </w:rPr>
        <w:t>=(</w:t>
      </w:r>
      <w:r>
        <w:rPr>
          <w:rFonts w:hint="eastAsia" w:ascii="宋体" w:hAnsi="宋体" w:cs="宋体"/>
          <w:color w:val="auto"/>
          <w:szCs w:val="21"/>
          <w:highlight w:val="none"/>
          <w:lang w:val="zh-CN"/>
        </w:rPr>
        <w:t>评标基准价</w:t>
      </w:r>
      <w:r>
        <w:rPr>
          <w:rFonts w:ascii="宋体" w:hAnsi="宋体" w:cs="宋体"/>
          <w:color w:val="auto"/>
          <w:szCs w:val="21"/>
          <w:highlight w:val="none"/>
          <w:lang w:val="zh-CN"/>
        </w:rPr>
        <w:t>/</w:t>
      </w:r>
      <w:r>
        <w:rPr>
          <w:rFonts w:hint="eastAsia" w:ascii="宋体" w:hAnsi="宋体" w:cs="宋体"/>
          <w:color w:val="auto"/>
          <w:szCs w:val="21"/>
          <w:highlight w:val="none"/>
          <w:lang w:val="zh-CN"/>
        </w:rPr>
        <w:t>投标报价</w:t>
      </w:r>
      <w:r>
        <w:rPr>
          <w:rFonts w:ascii="宋体" w:hAnsi="宋体" w:cs="宋体"/>
          <w:color w:val="auto"/>
          <w:szCs w:val="21"/>
          <w:highlight w:val="none"/>
          <w:lang w:val="zh-CN"/>
        </w:rPr>
        <w:t>)</w:t>
      </w:r>
      <w:r>
        <w:rPr>
          <w:rFonts w:hint="eastAsia" w:ascii="宋体" w:hAnsi="宋体" w:cs="宋体"/>
          <w:color w:val="auto"/>
          <w:szCs w:val="21"/>
          <w:highlight w:val="none"/>
          <w:lang w:val="zh-CN"/>
        </w:rPr>
        <w:t>×</w:t>
      </w:r>
      <w:r>
        <w:rPr>
          <w:rFonts w:ascii="宋体" w:hAnsi="宋体" w:cs="宋体"/>
          <w:color w:val="auto"/>
          <w:szCs w:val="21"/>
          <w:highlight w:val="none"/>
          <w:lang w:val="zh-CN"/>
        </w:rPr>
        <w:t>100</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评标总得分</w:t>
      </w:r>
      <w:r>
        <w:rPr>
          <w:rFonts w:ascii="宋体" w:hAnsi="宋体" w:cs="宋体"/>
          <w:color w:val="auto"/>
          <w:szCs w:val="21"/>
          <w:highlight w:val="none"/>
          <w:lang w:val="zh-CN"/>
        </w:rPr>
        <w:t>=F1</w:t>
      </w:r>
      <w:r>
        <w:rPr>
          <w:rFonts w:hint="eastAsia" w:ascii="宋体" w:hAnsi="宋体" w:cs="宋体"/>
          <w:color w:val="auto"/>
          <w:szCs w:val="21"/>
          <w:highlight w:val="none"/>
          <w:lang w:val="zh-CN"/>
        </w:rPr>
        <w:t>×</w:t>
      </w:r>
      <w:r>
        <w:rPr>
          <w:rFonts w:ascii="宋体" w:hAnsi="宋体" w:cs="宋体"/>
          <w:color w:val="auto"/>
          <w:szCs w:val="21"/>
          <w:highlight w:val="none"/>
          <w:lang w:val="zh-CN"/>
        </w:rPr>
        <w:t>A1+F2</w:t>
      </w:r>
      <w:r>
        <w:rPr>
          <w:rFonts w:hint="eastAsia" w:ascii="宋体" w:hAnsi="宋体" w:cs="宋体"/>
          <w:color w:val="auto"/>
          <w:szCs w:val="21"/>
          <w:highlight w:val="none"/>
          <w:lang w:val="zh-CN"/>
        </w:rPr>
        <w:t>×</w:t>
      </w:r>
      <w:r>
        <w:rPr>
          <w:rFonts w:ascii="宋体" w:hAnsi="宋体" w:cs="宋体"/>
          <w:color w:val="auto"/>
          <w:szCs w:val="21"/>
          <w:highlight w:val="none"/>
          <w:lang w:val="zh-CN"/>
        </w:rPr>
        <w:t>A2+</w:t>
      </w:r>
      <w:r>
        <w:rPr>
          <w:rFonts w:hint="eastAsia" w:ascii="宋体" w:hAnsi="宋体" w:cs="宋体"/>
          <w:color w:val="auto"/>
          <w:szCs w:val="21"/>
          <w:highlight w:val="none"/>
          <w:lang w:val="zh-CN"/>
        </w:rPr>
        <w:t>……</w:t>
      </w:r>
      <w:r>
        <w:rPr>
          <w:rFonts w:ascii="宋体" w:hAnsi="宋体" w:cs="宋体"/>
          <w:color w:val="auto"/>
          <w:szCs w:val="21"/>
          <w:highlight w:val="none"/>
          <w:lang w:val="zh-CN"/>
        </w:rPr>
        <w:t>+Fn</w:t>
      </w:r>
      <w:r>
        <w:rPr>
          <w:rFonts w:hint="eastAsia" w:ascii="宋体" w:hAnsi="宋体" w:cs="宋体"/>
          <w:color w:val="auto"/>
          <w:szCs w:val="21"/>
          <w:highlight w:val="none"/>
          <w:lang w:val="zh-CN"/>
        </w:rPr>
        <w:t>×</w:t>
      </w:r>
      <w:r>
        <w:rPr>
          <w:rFonts w:ascii="宋体" w:hAnsi="宋体" w:cs="宋体"/>
          <w:color w:val="auto"/>
          <w:szCs w:val="21"/>
          <w:highlight w:val="none"/>
          <w:lang w:val="zh-CN"/>
        </w:rPr>
        <w:t>An</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F1</w:t>
      </w:r>
      <w:r>
        <w:rPr>
          <w:rFonts w:hint="eastAsia" w:ascii="宋体" w:hAnsi="宋体" w:cs="宋体"/>
          <w:color w:val="auto"/>
          <w:szCs w:val="21"/>
          <w:highlight w:val="none"/>
          <w:lang w:val="zh-CN"/>
        </w:rPr>
        <w:t>、</w:t>
      </w:r>
      <w:r>
        <w:rPr>
          <w:rFonts w:ascii="宋体" w:hAnsi="宋体" w:cs="宋体"/>
          <w:color w:val="auto"/>
          <w:szCs w:val="21"/>
          <w:highlight w:val="none"/>
          <w:lang w:val="zh-CN"/>
        </w:rPr>
        <w:t>F2</w:t>
      </w:r>
      <w:r>
        <w:rPr>
          <w:rFonts w:hint="eastAsia" w:ascii="宋体" w:hAnsi="宋体" w:cs="宋体"/>
          <w:color w:val="auto"/>
          <w:szCs w:val="21"/>
          <w:highlight w:val="none"/>
          <w:lang w:val="zh-CN"/>
        </w:rPr>
        <w:t>……</w:t>
      </w:r>
      <w:r>
        <w:rPr>
          <w:rFonts w:ascii="宋体" w:hAnsi="宋体" w:cs="宋体"/>
          <w:color w:val="auto"/>
          <w:szCs w:val="21"/>
          <w:highlight w:val="none"/>
          <w:lang w:val="zh-CN"/>
        </w:rPr>
        <w:t>Fn</w:t>
      </w:r>
      <w:r>
        <w:rPr>
          <w:rFonts w:hint="eastAsia" w:ascii="宋体" w:hAnsi="宋体" w:cs="宋体"/>
          <w:color w:val="auto"/>
          <w:szCs w:val="21"/>
          <w:highlight w:val="none"/>
          <w:lang w:val="zh-CN"/>
        </w:rPr>
        <w:t>分别为各项评审因素的得分</w:t>
      </w:r>
      <w:r>
        <w:rPr>
          <w:rFonts w:ascii="宋体" w:hAnsi="宋体" w:cs="宋体"/>
          <w:color w:val="auto"/>
          <w:szCs w:val="21"/>
          <w:highlight w:val="none"/>
          <w:lang w:val="zh-CN"/>
        </w:rPr>
        <w:t>;</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A1</w:t>
      </w:r>
      <w:r>
        <w:rPr>
          <w:rFonts w:hint="eastAsia" w:ascii="宋体" w:hAnsi="宋体" w:cs="宋体"/>
          <w:color w:val="auto"/>
          <w:szCs w:val="21"/>
          <w:highlight w:val="none"/>
          <w:lang w:val="zh-CN"/>
        </w:rPr>
        <w:t>、</w:t>
      </w:r>
      <w:r>
        <w:rPr>
          <w:rFonts w:ascii="宋体" w:hAnsi="宋体" w:cs="宋体"/>
          <w:color w:val="auto"/>
          <w:szCs w:val="21"/>
          <w:highlight w:val="none"/>
          <w:lang w:val="zh-CN"/>
        </w:rPr>
        <w:t>A2</w:t>
      </w:r>
      <w:r>
        <w:rPr>
          <w:rFonts w:hint="eastAsia" w:ascii="宋体" w:hAnsi="宋体" w:cs="宋体"/>
          <w:color w:val="auto"/>
          <w:szCs w:val="21"/>
          <w:highlight w:val="none"/>
          <w:lang w:val="zh-CN"/>
        </w:rPr>
        <w:t>、……</w:t>
      </w:r>
      <w:r>
        <w:rPr>
          <w:rFonts w:ascii="宋体" w:hAnsi="宋体" w:cs="宋体"/>
          <w:color w:val="auto"/>
          <w:szCs w:val="21"/>
          <w:highlight w:val="none"/>
          <w:lang w:val="zh-CN"/>
        </w:rPr>
        <w:t xml:space="preserve">An </w:t>
      </w:r>
      <w:r>
        <w:rPr>
          <w:rFonts w:hint="eastAsia" w:ascii="宋体" w:hAnsi="宋体" w:cs="宋体"/>
          <w:color w:val="auto"/>
          <w:szCs w:val="21"/>
          <w:highlight w:val="none"/>
          <w:lang w:val="zh-CN"/>
        </w:rPr>
        <w:t>分别为各项评审因素所占的权重</w:t>
      </w:r>
      <w:r>
        <w:rPr>
          <w:rFonts w:ascii="宋体" w:hAnsi="宋体" w:cs="宋体"/>
          <w:color w:val="auto"/>
          <w:szCs w:val="21"/>
          <w:highlight w:val="none"/>
          <w:lang w:val="zh-CN"/>
        </w:rPr>
        <w:t>(A1+A2+</w:t>
      </w:r>
      <w:r>
        <w:rPr>
          <w:rFonts w:hint="eastAsia" w:ascii="宋体" w:hAnsi="宋体" w:cs="宋体"/>
          <w:color w:val="auto"/>
          <w:szCs w:val="21"/>
          <w:highlight w:val="none"/>
          <w:lang w:val="zh-CN"/>
        </w:rPr>
        <w:t>……</w:t>
      </w:r>
      <w:r>
        <w:rPr>
          <w:rFonts w:ascii="宋体" w:hAnsi="宋体" w:cs="宋体"/>
          <w:color w:val="auto"/>
          <w:szCs w:val="21"/>
          <w:highlight w:val="none"/>
          <w:lang w:val="zh-CN"/>
        </w:rPr>
        <w:t>+An=1)</w:t>
      </w:r>
      <w:r>
        <w:rPr>
          <w:rFonts w:hint="eastAsia" w:ascii="宋体" w:hAnsi="宋体" w:cs="宋体"/>
          <w:color w:val="auto"/>
          <w:szCs w:val="21"/>
          <w:highlight w:val="none"/>
          <w:lang w:val="zh-CN"/>
        </w:rPr>
        <w:t>。</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3</w:t>
      </w:r>
      <w:r>
        <w:rPr>
          <w:rFonts w:ascii="宋体" w:hAnsi="宋体" w:cs="宋体"/>
          <w:color w:val="auto"/>
          <w:szCs w:val="21"/>
          <w:highlight w:val="none"/>
          <w:lang w:val="zh-CN"/>
        </w:rPr>
        <w:t xml:space="preserve">.2.2 </w:t>
      </w:r>
      <w:r>
        <w:rPr>
          <w:rFonts w:hint="eastAsia" w:ascii="宋体" w:hAnsi="宋体" w:cs="宋体"/>
          <w:color w:val="auto"/>
          <w:szCs w:val="21"/>
          <w:highlight w:val="none"/>
          <w:lang w:val="zh-CN"/>
        </w:rPr>
        <w:t>评标过程中，不得去掉报价中的最高报价和最低报价。</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3</w:t>
      </w:r>
      <w:r>
        <w:rPr>
          <w:rFonts w:ascii="宋体" w:hAnsi="宋体" w:cs="宋体"/>
          <w:color w:val="auto"/>
          <w:szCs w:val="21"/>
          <w:highlight w:val="none"/>
          <w:lang w:val="zh-CN"/>
        </w:rPr>
        <w:t xml:space="preserve">.2.3 </w:t>
      </w:r>
      <w:r>
        <w:rPr>
          <w:rFonts w:hint="eastAsia" w:ascii="宋体" w:hAnsi="宋体" w:cs="宋体"/>
          <w:color w:val="auto"/>
          <w:szCs w:val="21"/>
          <w:highlight w:val="none"/>
          <w:lang w:val="zh-CN"/>
        </w:rPr>
        <w:t>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ascii="宋体" w:cs="宋体"/>
          <w:b/>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3</w:t>
      </w:r>
      <w:r>
        <w:rPr>
          <w:rFonts w:ascii="宋体" w:hAnsi="宋体" w:cs="宋体"/>
          <w:color w:val="auto"/>
          <w:szCs w:val="21"/>
          <w:highlight w:val="none"/>
          <w:lang w:val="zh-CN"/>
        </w:rPr>
        <w:t>.3</w:t>
      </w:r>
      <w:r>
        <w:rPr>
          <w:rFonts w:hint="eastAsia" w:ascii="宋体" w:hAnsi="宋体" w:cs="宋体"/>
          <w:b/>
          <w:color w:val="auto"/>
          <w:szCs w:val="21"/>
          <w:highlight w:val="none"/>
          <w:lang w:val="zh-CN"/>
        </w:rPr>
        <w:t>本次评标具体评标方法、评标标准见（第六章资格审查与</w:t>
      </w:r>
      <w:r>
        <w:rPr>
          <w:rFonts w:hint="eastAsia" w:ascii="宋体" w:hAnsi="宋体" w:cs="宋体"/>
          <w:b/>
          <w:color w:val="auto"/>
          <w:kern w:val="0"/>
          <w:szCs w:val="21"/>
          <w:highlight w:val="none"/>
        </w:rPr>
        <w:t>评标</w:t>
      </w:r>
      <w:r>
        <w:rPr>
          <w:rFonts w:hint="eastAsia" w:ascii="宋体" w:hAnsi="宋体" w:cs="宋体"/>
          <w:b/>
          <w:color w:val="auto"/>
          <w:szCs w:val="21"/>
          <w:highlight w:val="none"/>
          <w:lang w:val="zh-CN"/>
        </w:rPr>
        <w:t>）。</w:t>
      </w:r>
    </w:p>
    <w:p>
      <w:pPr>
        <w:tabs>
          <w:tab w:val="left" w:pos="1260"/>
        </w:tabs>
        <w:autoSpaceDE w:val="0"/>
        <w:autoSpaceDN w:val="0"/>
        <w:spacing w:line="360" w:lineRule="auto"/>
        <w:contextualSpacing/>
        <w:rPr>
          <w:rFonts w:ascii="宋体" w:cs="宋体"/>
          <w:color w:val="auto"/>
          <w:szCs w:val="21"/>
          <w:highlight w:val="none"/>
          <w:lang w:val="zh-CN"/>
        </w:rPr>
      </w:pPr>
      <w:r>
        <w:rPr>
          <w:rFonts w:ascii="宋体" w:hAnsi="宋体" w:cs="宋体"/>
          <w:b/>
          <w:bCs/>
          <w:color w:val="auto"/>
          <w:szCs w:val="21"/>
          <w:highlight w:val="none"/>
          <w:lang w:val="zh-CN"/>
        </w:rPr>
        <w:t>3</w:t>
      </w:r>
      <w:r>
        <w:rPr>
          <w:rFonts w:hint="eastAsia" w:ascii="宋体" w:hAnsi="宋体" w:cs="宋体"/>
          <w:b/>
          <w:bCs/>
          <w:color w:val="auto"/>
          <w:szCs w:val="21"/>
          <w:highlight w:val="none"/>
        </w:rPr>
        <w:t>4</w:t>
      </w:r>
      <w:r>
        <w:rPr>
          <w:rFonts w:ascii="宋体" w:hAnsi="宋体" w:cs="宋体"/>
          <w:b/>
          <w:bCs/>
          <w:color w:val="auto"/>
          <w:szCs w:val="21"/>
          <w:highlight w:val="none"/>
          <w:lang w:val="zh-CN"/>
        </w:rPr>
        <w:t xml:space="preserve">. </w:t>
      </w:r>
      <w:r>
        <w:rPr>
          <w:rFonts w:hint="eastAsia" w:ascii="宋体" w:hAnsi="宋体" w:cs="宋体"/>
          <w:b/>
          <w:bCs/>
          <w:color w:val="auto"/>
          <w:szCs w:val="21"/>
          <w:highlight w:val="none"/>
          <w:lang w:val="zh-CN"/>
        </w:rPr>
        <w:t>推荐中标候选人</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4</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4</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3</w:t>
      </w:r>
      <w:r>
        <w:rPr>
          <w:rFonts w:hint="eastAsia" w:ascii="宋体" w:hAnsi="宋体" w:cs="宋体"/>
          <w:b/>
          <w:color w:val="auto"/>
          <w:szCs w:val="21"/>
          <w:highlight w:val="none"/>
        </w:rPr>
        <w:t>5</w:t>
      </w:r>
      <w:r>
        <w:rPr>
          <w:rFonts w:ascii="宋体" w:cs="宋体"/>
          <w:b/>
          <w:color w:val="auto"/>
          <w:szCs w:val="21"/>
          <w:highlight w:val="none"/>
          <w:lang w:val="zh-CN"/>
        </w:rPr>
        <w:t>.</w:t>
      </w:r>
      <w:r>
        <w:rPr>
          <w:rFonts w:hint="eastAsia" w:ascii="宋体" w:hAnsi="宋体" w:cs="宋体"/>
          <w:b/>
          <w:color w:val="auto"/>
          <w:szCs w:val="21"/>
          <w:highlight w:val="none"/>
          <w:lang w:val="zh-CN"/>
        </w:rPr>
        <w:t>评审意见无效情形</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5</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确定参与评标至评标结束前私自接触投标人；</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5</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接受投标人提出的与投标文件不一致的澄清或者说明，《投标人须知》</w:t>
      </w:r>
      <w:r>
        <w:rPr>
          <w:rFonts w:ascii="宋体" w:hAnsi="宋体" w:cs="宋体"/>
          <w:color w:val="auto"/>
          <w:szCs w:val="21"/>
          <w:highlight w:val="none"/>
          <w:lang w:val="zh-CN"/>
        </w:rPr>
        <w:t>2</w:t>
      </w:r>
      <w:r>
        <w:rPr>
          <w:rFonts w:ascii="宋体" w:hAnsi="宋体" w:cs="宋体"/>
          <w:color w:val="auto"/>
          <w:szCs w:val="21"/>
          <w:highlight w:val="none"/>
        </w:rPr>
        <w:t>6</w:t>
      </w:r>
      <w:r>
        <w:rPr>
          <w:rFonts w:hint="eastAsia" w:ascii="宋体" w:hAnsi="宋体" w:cs="宋体"/>
          <w:color w:val="auto"/>
          <w:szCs w:val="21"/>
          <w:highlight w:val="none"/>
          <w:lang w:val="zh-CN"/>
        </w:rPr>
        <w:t>条规定的情形除外；</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5</w:t>
      </w:r>
      <w:r>
        <w:rPr>
          <w:rFonts w:ascii="宋体" w:hAnsi="宋体" w:cs="宋体"/>
          <w:color w:val="auto"/>
          <w:szCs w:val="21"/>
          <w:highlight w:val="none"/>
          <w:lang w:val="zh-CN"/>
        </w:rPr>
        <w:t xml:space="preserve">.3 </w:t>
      </w:r>
      <w:r>
        <w:rPr>
          <w:rFonts w:hint="eastAsia" w:ascii="宋体" w:hAnsi="宋体" w:cs="宋体"/>
          <w:color w:val="auto"/>
          <w:szCs w:val="21"/>
          <w:highlight w:val="none"/>
          <w:lang w:val="zh-CN"/>
        </w:rPr>
        <w:t>违反评标纪律发表倾向性意见或者征询采购人的倾向性意见；</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5</w:t>
      </w:r>
      <w:r>
        <w:rPr>
          <w:rFonts w:ascii="宋体" w:hAnsi="宋体" w:cs="宋体"/>
          <w:color w:val="auto"/>
          <w:szCs w:val="21"/>
          <w:highlight w:val="none"/>
          <w:lang w:val="zh-CN"/>
        </w:rPr>
        <w:t xml:space="preserve">.4 </w:t>
      </w:r>
      <w:r>
        <w:rPr>
          <w:rFonts w:hint="eastAsia" w:ascii="宋体" w:hAnsi="宋体" w:cs="宋体"/>
          <w:color w:val="auto"/>
          <w:szCs w:val="21"/>
          <w:highlight w:val="none"/>
          <w:lang w:val="zh-CN"/>
        </w:rPr>
        <w:t>对需要专业判断的主观评审因素协商评分；</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5</w:t>
      </w:r>
      <w:r>
        <w:rPr>
          <w:rFonts w:ascii="宋体" w:hAnsi="宋体" w:cs="宋体"/>
          <w:color w:val="auto"/>
          <w:szCs w:val="21"/>
          <w:highlight w:val="none"/>
          <w:lang w:val="zh-CN"/>
        </w:rPr>
        <w:t xml:space="preserve">.5 </w:t>
      </w:r>
      <w:r>
        <w:rPr>
          <w:rFonts w:hint="eastAsia" w:ascii="宋体" w:hAnsi="宋体" w:cs="宋体"/>
          <w:color w:val="auto"/>
          <w:szCs w:val="21"/>
          <w:highlight w:val="none"/>
          <w:lang w:val="zh-CN"/>
        </w:rPr>
        <w:t>在评标过程中擅离职守，影响评标程序正常进行的；</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5</w:t>
      </w:r>
      <w:r>
        <w:rPr>
          <w:rFonts w:ascii="宋体" w:hAnsi="宋体" w:cs="宋体"/>
          <w:color w:val="auto"/>
          <w:szCs w:val="21"/>
          <w:highlight w:val="none"/>
          <w:lang w:val="zh-CN"/>
        </w:rPr>
        <w:t xml:space="preserve">.6 </w:t>
      </w:r>
      <w:r>
        <w:rPr>
          <w:rFonts w:hint="eastAsia" w:ascii="宋体" w:hAnsi="宋体" w:cs="宋体"/>
          <w:color w:val="auto"/>
          <w:szCs w:val="21"/>
          <w:highlight w:val="none"/>
          <w:lang w:val="zh-CN"/>
        </w:rPr>
        <w:t>记录、复制或者带走任何评标资料；</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5</w:t>
      </w:r>
      <w:r>
        <w:rPr>
          <w:rFonts w:ascii="宋体" w:hAnsi="宋体" w:cs="宋体"/>
          <w:color w:val="auto"/>
          <w:szCs w:val="21"/>
          <w:highlight w:val="none"/>
          <w:lang w:val="zh-CN"/>
        </w:rPr>
        <w:t xml:space="preserve">.7 </w:t>
      </w:r>
      <w:r>
        <w:rPr>
          <w:rFonts w:hint="eastAsia" w:ascii="宋体" w:hAnsi="宋体" w:cs="宋体"/>
          <w:color w:val="auto"/>
          <w:szCs w:val="21"/>
          <w:highlight w:val="none"/>
          <w:lang w:val="zh-CN"/>
        </w:rPr>
        <w:t>其他不遵守评标纪律的行为。</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3</w:t>
      </w:r>
      <w:r>
        <w:rPr>
          <w:rFonts w:hint="eastAsia" w:ascii="宋体" w:hAnsi="宋体" w:cs="宋体"/>
          <w:b/>
          <w:color w:val="auto"/>
          <w:szCs w:val="21"/>
          <w:highlight w:val="none"/>
        </w:rPr>
        <w:t>6</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保密</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6</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ascii="宋体" w:cs="宋体"/>
          <w:color w:val="auto"/>
          <w:sz w:val="24"/>
          <w:szCs w:val="24"/>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6</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cs="宋体"/>
          <w:b/>
          <w:color w:val="auto"/>
          <w:kern w:val="0"/>
          <w:szCs w:val="21"/>
          <w:highlight w:val="none"/>
        </w:rPr>
      </w:pPr>
      <w:r>
        <w:rPr>
          <w:rFonts w:hint="eastAsia" w:ascii="宋体" w:hAnsi="宋体" w:cs="宋体"/>
          <w:b/>
          <w:color w:val="auto"/>
          <w:kern w:val="0"/>
          <w:szCs w:val="21"/>
          <w:highlight w:val="none"/>
        </w:rPr>
        <w:t>六、定标和授予合同</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3</w:t>
      </w:r>
      <w:r>
        <w:rPr>
          <w:rFonts w:hint="eastAsia" w:ascii="宋体" w:hAnsi="宋体" w:cs="宋体"/>
          <w:b/>
          <w:color w:val="auto"/>
          <w:szCs w:val="21"/>
          <w:highlight w:val="none"/>
        </w:rPr>
        <w:t>7</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确定中标人</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7</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采购人应当自收到评标报告之日起</w:t>
      </w:r>
      <w:r>
        <w:rPr>
          <w:rFonts w:ascii="宋体" w:hAnsi="宋体" w:cs="宋体"/>
          <w:color w:val="auto"/>
          <w:szCs w:val="21"/>
          <w:highlight w:val="none"/>
        </w:rPr>
        <w:t>5</w:t>
      </w:r>
      <w:r>
        <w:rPr>
          <w:rFonts w:hint="eastAsia" w:ascii="宋体" w:hAnsi="宋体" w:cs="宋体"/>
          <w:color w:val="auto"/>
          <w:szCs w:val="21"/>
          <w:highlight w:val="none"/>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7</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采购人在收到评标报告</w:t>
      </w:r>
      <w:r>
        <w:rPr>
          <w:rFonts w:ascii="宋体" w:hAnsi="宋体" w:cs="宋体"/>
          <w:color w:val="auto"/>
          <w:szCs w:val="21"/>
          <w:highlight w:val="none"/>
          <w:lang w:val="zh-CN"/>
        </w:rPr>
        <w:t>5</w:t>
      </w:r>
      <w:r>
        <w:rPr>
          <w:rFonts w:hint="eastAsia" w:ascii="宋体" w:hAnsi="宋体" w:cs="宋体"/>
          <w:color w:val="auto"/>
          <w:szCs w:val="21"/>
          <w:highlight w:val="none"/>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3</w:t>
      </w:r>
      <w:r>
        <w:rPr>
          <w:rFonts w:hint="eastAsia" w:ascii="宋体" w:hAnsi="宋体" w:cs="宋体"/>
          <w:b/>
          <w:color w:val="auto"/>
          <w:szCs w:val="21"/>
          <w:highlight w:val="none"/>
        </w:rPr>
        <w:t>8</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中标公告、发出中标通知书</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8</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采购人确认中标人后，招标人在公告中标结果的同时，向中标人发出中标通知书。</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8</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ascii="宋体" w:cs="宋体"/>
          <w:bCs/>
          <w:color w:val="auto"/>
          <w:szCs w:val="21"/>
          <w:highlight w:val="none"/>
          <w:lang w:val="zh-CN"/>
        </w:rPr>
      </w:pPr>
      <w:r>
        <w:rPr>
          <w:rFonts w:ascii="宋体" w:hAnsi="宋体" w:cs="宋体"/>
          <w:color w:val="auto"/>
          <w:szCs w:val="21"/>
          <w:highlight w:val="none"/>
        </w:rPr>
        <w:t>3</w:t>
      </w:r>
      <w:r>
        <w:rPr>
          <w:rFonts w:hint="eastAsia" w:ascii="宋体" w:hAnsi="宋体" w:cs="宋体"/>
          <w:color w:val="auto"/>
          <w:szCs w:val="21"/>
          <w:highlight w:val="none"/>
        </w:rPr>
        <w:t>8</w:t>
      </w:r>
      <w:r>
        <w:rPr>
          <w:rFonts w:ascii="宋体" w:hAnsi="宋体" w:cs="宋体"/>
          <w:color w:val="auto"/>
          <w:szCs w:val="21"/>
          <w:highlight w:val="none"/>
        </w:rPr>
        <w:t xml:space="preserve">.3 </w:t>
      </w:r>
      <w:r>
        <w:rPr>
          <w:rFonts w:hint="eastAsia" w:ascii="宋体" w:hAnsi="宋体" w:cs="宋体"/>
          <w:bCs/>
          <w:color w:val="auto"/>
          <w:szCs w:val="21"/>
          <w:highlight w:val="none"/>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rPr>
        <w:t>3</w:t>
      </w:r>
      <w:r>
        <w:rPr>
          <w:rFonts w:hint="eastAsia" w:ascii="宋体" w:hAnsi="宋体" w:cs="宋体"/>
          <w:b/>
          <w:color w:val="auto"/>
          <w:szCs w:val="21"/>
          <w:highlight w:val="none"/>
        </w:rPr>
        <w:t>9</w:t>
      </w:r>
      <w:r>
        <w:rPr>
          <w:rFonts w:ascii="宋体" w:hAnsi="宋体" w:cs="宋体"/>
          <w:b/>
          <w:color w:val="auto"/>
          <w:szCs w:val="21"/>
          <w:highlight w:val="none"/>
        </w:rPr>
        <w:t>.</w:t>
      </w:r>
      <w:r>
        <w:rPr>
          <w:rFonts w:hint="eastAsia" w:ascii="宋体" w:hAnsi="宋体" w:cs="宋体"/>
          <w:b/>
          <w:color w:val="auto"/>
          <w:szCs w:val="21"/>
          <w:highlight w:val="none"/>
          <w:lang w:val="zh-CN"/>
        </w:rPr>
        <w:t>质疑提出与答复</w:t>
      </w:r>
    </w:p>
    <w:p>
      <w:pPr>
        <w:tabs>
          <w:tab w:val="left" w:pos="1260"/>
        </w:tabs>
        <w:autoSpaceDE w:val="0"/>
        <w:autoSpaceDN w:val="0"/>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 xml:space="preserve">.1 </w:t>
      </w:r>
      <w:r>
        <w:rPr>
          <w:rFonts w:hint="eastAsia" w:ascii="宋体" w:hAnsi="宋体" w:cs="宋体"/>
          <w:color w:val="auto"/>
          <w:szCs w:val="21"/>
          <w:highlight w:val="none"/>
        </w:rPr>
        <w:t>供应商认为招标文件、采购过程和中标结果使自己的权益受到损害的，可以按照</w:t>
      </w:r>
      <w:r>
        <w:rPr>
          <w:rFonts w:hint="eastAsia" w:ascii="宋体" w:hAnsi="宋体" w:cs="宋体"/>
          <w:bCs/>
          <w:color w:val="auto"/>
          <w:kern w:val="0"/>
          <w:szCs w:val="21"/>
          <w:highlight w:val="none"/>
          <w:lang w:val="zh-CN"/>
        </w:rPr>
        <w:t>财政部</w:t>
      </w:r>
      <w:r>
        <w:rPr>
          <w:rFonts w:ascii="宋体" w:hAnsi="宋体" w:cs="宋体"/>
          <w:bCs/>
          <w:color w:val="auto"/>
          <w:kern w:val="0"/>
          <w:szCs w:val="21"/>
          <w:highlight w:val="none"/>
          <w:lang w:val="zh-CN"/>
        </w:rPr>
        <w:t>94</w:t>
      </w:r>
      <w:r>
        <w:rPr>
          <w:rFonts w:hint="eastAsia" w:ascii="宋体" w:hAnsi="宋体" w:cs="宋体"/>
          <w:bCs/>
          <w:color w:val="auto"/>
          <w:kern w:val="0"/>
          <w:szCs w:val="21"/>
          <w:highlight w:val="none"/>
          <w:lang w:val="zh-CN"/>
        </w:rPr>
        <w:t>号令</w:t>
      </w:r>
      <w:r>
        <w:rPr>
          <w:rFonts w:hint="eastAsia" w:ascii="宋体" w:hAnsi="宋体" w:cs="宋体"/>
          <w:bCs/>
          <w:color w:val="auto"/>
          <w:szCs w:val="21"/>
          <w:highlight w:val="none"/>
          <w:lang w:val="zh-CN"/>
        </w:rPr>
        <w:t>提出质</w:t>
      </w:r>
      <w:r>
        <w:rPr>
          <w:rFonts w:hint="eastAsia" w:ascii="宋体" w:hAnsi="宋体" w:cs="宋体"/>
          <w:color w:val="auto"/>
          <w:szCs w:val="21"/>
          <w:highlight w:val="none"/>
        </w:rPr>
        <w:t>疑。提出质疑的供应商应当是参与本项目采购活动的供应商。</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39.1.1</w:t>
      </w:r>
      <w:r>
        <w:rPr>
          <w:rFonts w:hint="eastAsia" w:cs="宋体" w:asciiTheme="minorEastAsia" w:hAnsiTheme="minorEastAsia"/>
          <w:color w:val="auto"/>
          <w:kern w:val="0"/>
          <w:szCs w:val="21"/>
          <w:highlight w:val="none"/>
        </w:rPr>
        <w:t>对采购文件提出质疑的，</w:t>
      </w:r>
      <w:r>
        <w:rPr>
          <w:rFonts w:cs="宋体" w:asciiTheme="minorEastAsia" w:hAnsiTheme="minorEastAsia"/>
          <w:color w:val="auto"/>
          <w:kern w:val="0"/>
          <w:szCs w:val="21"/>
          <w:highlight w:val="none"/>
        </w:rPr>
        <w:t>潜在</w:t>
      </w:r>
      <w:r>
        <w:rPr>
          <w:rFonts w:hint="eastAsia" w:cs="宋体" w:asciiTheme="minorEastAsia" w:hAnsiTheme="minorEastAsia"/>
          <w:color w:val="auto"/>
          <w:kern w:val="0"/>
          <w:szCs w:val="21"/>
          <w:highlight w:val="none"/>
        </w:rPr>
        <w:t>投标人应</w:t>
      </w:r>
      <w:r>
        <w:rPr>
          <w:rFonts w:cs="宋体" w:asciiTheme="minorEastAsia" w:hAnsiTheme="minorEastAsia"/>
          <w:color w:val="auto"/>
          <w:kern w:val="0"/>
          <w:szCs w:val="21"/>
          <w:highlight w:val="none"/>
        </w:rPr>
        <w:t>已依法获取采购文件</w:t>
      </w:r>
      <w:r>
        <w:rPr>
          <w:rFonts w:hint="eastAsia" w:cs="宋体" w:asciiTheme="minorEastAsia" w:hAnsiTheme="minorEastAsia"/>
          <w:color w:val="auto"/>
          <w:kern w:val="0"/>
          <w:szCs w:val="21"/>
          <w:highlight w:val="none"/>
        </w:rPr>
        <w:t>，且应当在</w:t>
      </w:r>
      <w:r>
        <w:rPr>
          <w:rFonts w:cs="宋体" w:asciiTheme="minorEastAsia" w:hAnsiTheme="minorEastAsia"/>
          <w:color w:val="auto"/>
          <w:kern w:val="0"/>
          <w:szCs w:val="21"/>
          <w:highlight w:val="none"/>
        </w:rPr>
        <w:t>获取采购文件或者采购文件公告期限届满之日起7个工作日内</w:t>
      </w:r>
      <w:r>
        <w:rPr>
          <w:rFonts w:hint="eastAsia" w:cs="宋体" w:asciiTheme="minorEastAsia" w:hAnsiTheme="minorEastAsia"/>
          <w:color w:val="auto"/>
          <w:kern w:val="0"/>
          <w:szCs w:val="21"/>
          <w:highlight w:val="none"/>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color w:val="auto"/>
          <w:kern w:val="0"/>
          <w:szCs w:val="21"/>
          <w:highlight w:val="none"/>
        </w:rPr>
        <w:t>潜在</w:t>
      </w:r>
      <w:r>
        <w:rPr>
          <w:rFonts w:hint="eastAsia" w:cs="宋体" w:asciiTheme="minorEastAsia" w:hAnsiTheme="minorEastAsia"/>
          <w:color w:val="auto"/>
          <w:kern w:val="0"/>
          <w:szCs w:val="21"/>
          <w:highlight w:val="none"/>
        </w:rPr>
        <w:t>投标人应及时联系招标公告中代理机构联系人查看。如未提出视为全面接受。</w:t>
      </w:r>
    </w:p>
    <w:p>
      <w:pPr>
        <w:tabs>
          <w:tab w:val="left" w:pos="1260"/>
        </w:tabs>
        <w:autoSpaceDE w:val="0"/>
        <w:autoSpaceDN w:val="0"/>
        <w:spacing w:line="360" w:lineRule="auto"/>
        <w:ind w:firstLine="420" w:firstLineChars="200"/>
        <w:contextualSpacing/>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39</w:t>
      </w:r>
      <w:r>
        <w:rPr>
          <w:rFonts w:ascii="宋体" w:hAnsi="宋体" w:cs="宋体"/>
          <w:color w:val="auto"/>
          <w:szCs w:val="21"/>
          <w:highlight w:val="none"/>
        </w:rPr>
        <w:t xml:space="preserve">.1.2 </w:t>
      </w:r>
      <w:r>
        <w:rPr>
          <w:rFonts w:hint="eastAsia" w:ascii="宋体" w:hAnsi="宋体" w:cs="宋体"/>
          <w:color w:val="auto"/>
          <w:szCs w:val="21"/>
          <w:highlight w:val="none"/>
        </w:rPr>
        <w:t>对采购过程提出质疑的，为各采购程序环节结束之日起七个工作日内，以书面形式向采购人和采购代理机构一次性提出；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 xml:space="preserve">.1.3 </w:t>
      </w:r>
      <w:r>
        <w:rPr>
          <w:rFonts w:hint="eastAsia" w:ascii="宋体" w:hAnsi="宋体" w:cs="宋体"/>
          <w:color w:val="auto"/>
          <w:szCs w:val="21"/>
          <w:highlight w:val="none"/>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 xml:space="preserve">.2 </w:t>
      </w:r>
      <w:r>
        <w:rPr>
          <w:rFonts w:hint="eastAsia" w:ascii="宋体" w:hAnsi="宋体" w:cs="宋体"/>
          <w:color w:val="auto"/>
          <w:szCs w:val="21"/>
          <w:highlight w:val="none"/>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 xml:space="preserve">.2.1 </w:t>
      </w:r>
      <w:r>
        <w:rPr>
          <w:rFonts w:hint="eastAsia" w:ascii="宋体" w:hAnsi="宋体" w:cs="宋体"/>
          <w:color w:val="auto"/>
          <w:szCs w:val="21"/>
          <w:highlight w:val="none"/>
        </w:rPr>
        <w:t>对招标文件提出的质疑，依法通过澄清或者修改可以继续开展采购活动的，澄清或者修改招标文件后继续开展采购活动；否则应当修改招标文件后重新开展采购活动。</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 xml:space="preserve">.2.2 </w:t>
      </w:r>
      <w:r>
        <w:rPr>
          <w:rFonts w:hint="eastAsia" w:ascii="宋体" w:hAnsi="宋体" w:cs="宋体"/>
          <w:color w:val="auto"/>
          <w:szCs w:val="21"/>
          <w:highlight w:val="none"/>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 xml:space="preserve">.3 </w:t>
      </w:r>
      <w:r>
        <w:rPr>
          <w:rFonts w:hint="eastAsia" w:ascii="宋体" w:hAnsi="宋体" w:cs="宋体"/>
          <w:color w:val="auto"/>
          <w:szCs w:val="21"/>
          <w:highlight w:val="none"/>
        </w:rPr>
        <w:t>答复</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 xml:space="preserve">.3.1 </w:t>
      </w:r>
      <w:r>
        <w:rPr>
          <w:rFonts w:hint="eastAsia" w:ascii="宋体" w:hAnsi="宋体" w:cs="宋体"/>
          <w:color w:val="auto"/>
          <w:szCs w:val="21"/>
          <w:highlight w:val="none"/>
        </w:rPr>
        <w:t>对招标文件提出质疑的，质疑供应商和其他有关供应商在法定时限内到《全国公共资源交易平台（河南省·许昌市）》自行下载并打印书面质疑回复函，或者联系采购单位领取书面质疑回复函。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 xml:space="preserve">.3.2 </w:t>
      </w:r>
      <w:r>
        <w:rPr>
          <w:rFonts w:hint="eastAsia" w:ascii="宋体" w:hAnsi="宋体" w:cs="宋体"/>
          <w:color w:val="auto"/>
          <w:szCs w:val="21"/>
          <w:highlight w:val="none"/>
        </w:rPr>
        <w:t>对采购过程提出质疑的，质疑供应商和其他有关供应商在法定时限内联系采购单位领取书面质疑回复函。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 xml:space="preserve">.3.3 </w:t>
      </w:r>
      <w:r>
        <w:rPr>
          <w:rFonts w:hint="eastAsia" w:ascii="宋体" w:hAnsi="宋体" w:cs="宋体"/>
          <w:color w:val="auto"/>
          <w:szCs w:val="21"/>
          <w:highlight w:val="none"/>
        </w:rPr>
        <w:t>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cs="宋体"/>
          <w:b/>
          <w:color w:val="auto"/>
          <w:szCs w:val="21"/>
          <w:highlight w:val="none"/>
        </w:rPr>
      </w:pPr>
      <w:r>
        <w:rPr>
          <w:rFonts w:hint="eastAsia" w:ascii="宋体" w:hAnsi="宋体" w:cs="宋体"/>
          <w:b/>
          <w:color w:val="auto"/>
          <w:szCs w:val="21"/>
          <w:highlight w:val="none"/>
        </w:rPr>
        <w:t>40</w:t>
      </w:r>
      <w:r>
        <w:rPr>
          <w:rFonts w:ascii="宋体" w:hAnsi="宋体" w:cs="宋体"/>
          <w:b/>
          <w:color w:val="auto"/>
          <w:szCs w:val="21"/>
          <w:highlight w:val="none"/>
        </w:rPr>
        <w:t>.</w:t>
      </w:r>
      <w:r>
        <w:rPr>
          <w:rFonts w:hint="eastAsia" w:ascii="宋体" w:hAnsi="宋体" w:cs="宋体"/>
          <w:b/>
          <w:color w:val="auto"/>
          <w:szCs w:val="21"/>
          <w:highlight w:val="none"/>
          <w:lang w:val="zh-CN"/>
        </w:rPr>
        <w:t>签订合同</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采购人应当自中标通知书发出之日起</w:t>
      </w:r>
      <w:r>
        <w:rPr>
          <w:rFonts w:ascii="宋体" w:hAnsi="宋体" w:cs="宋体"/>
          <w:color w:val="auto"/>
          <w:szCs w:val="21"/>
          <w:highlight w:val="none"/>
          <w:lang w:val="zh-CN"/>
        </w:rPr>
        <w:t>30</w:t>
      </w:r>
      <w:r>
        <w:rPr>
          <w:rFonts w:hint="eastAsia" w:ascii="宋体" w:hAnsi="宋体" w:cs="宋体"/>
          <w:color w:val="auto"/>
          <w:szCs w:val="21"/>
          <w:highlight w:val="none"/>
          <w:lang w:val="zh-CN"/>
        </w:rPr>
        <w:t>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cs="宋体"/>
          <w:b/>
          <w:color w:val="auto"/>
          <w:szCs w:val="21"/>
          <w:highlight w:val="none"/>
        </w:rPr>
      </w:pPr>
      <w:r>
        <w:rPr>
          <w:rFonts w:hint="eastAsia" w:ascii="宋体" w:hAnsi="宋体" w:cs="宋体"/>
          <w:b/>
          <w:color w:val="auto"/>
          <w:szCs w:val="21"/>
          <w:highlight w:val="none"/>
        </w:rPr>
        <w:t>41</w:t>
      </w:r>
      <w:r>
        <w:rPr>
          <w:rFonts w:ascii="宋体" w:hAnsi="宋体" w:cs="宋体"/>
          <w:b/>
          <w:color w:val="auto"/>
          <w:szCs w:val="21"/>
          <w:highlight w:val="none"/>
        </w:rPr>
        <w:t>.</w:t>
      </w:r>
      <w:r>
        <w:rPr>
          <w:rFonts w:hint="eastAsia" w:ascii="宋体" w:hAnsi="宋体" w:cs="宋体"/>
          <w:b/>
          <w:color w:val="auto"/>
          <w:szCs w:val="21"/>
          <w:highlight w:val="none"/>
        </w:rPr>
        <w:t>履约保证金</w:t>
      </w:r>
    </w:p>
    <w:p>
      <w:pPr>
        <w:autoSpaceDE w:val="0"/>
        <w:autoSpaceDN w:val="0"/>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kern w:val="0"/>
          <w:szCs w:val="21"/>
          <w:highlight w:val="none"/>
        </w:rPr>
        <w:t>“投标人须知前附表”中规定</w:t>
      </w:r>
      <w:r>
        <w:rPr>
          <w:rFonts w:hint="eastAsia" w:ascii="宋体" w:hAnsi="宋体" w:cs="宋体"/>
          <w:color w:val="auto"/>
          <w:szCs w:val="21"/>
          <w:highlight w:val="none"/>
        </w:rPr>
        <w:t xml:space="preserve">中标人提交履约保证金的，中标人应当以支票、汇票、本票或者金融机构、担保机构出具的保函等非现金形式向采购人提交。履约保证金的数额不得超过政府采购合同金额的   </w:t>
      </w:r>
      <w:r>
        <w:rPr>
          <w:rFonts w:ascii="宋体" w:hAnsi="宋体" w:cs="宋体"/>
          <w:color w:val="auto"/>
          <w:szCs w:val="21"/>
          <w:highlight w:val="none"/>
        </w:rPr>
        <w:t>%</w:t>
      </w:r>
      <w:r>
        <w:rPr>
          <w:rFonts w:hint="eastAsia" w:ascii="宋体" w:hAnsi="宋体" w:cs="宋体"/>
          <w:color w:val="auto"/>
          <w:szCs w:val="21"/>
          <w:highlight w:val="none"/>
        </w:rPr>
        <w:t>。</w:t>
      </w:r>
    </w:p>
    <w:p>
      <w:pPr>
        <w:autoSpaceDE w:val="0"/>
        <w:autoSpaceDN w:val="0"/>
        <w:spacing w:line="360" w:lineRule="auto"/>
        <w:contextualSpacing/>
        <w:rPr>
          <w:rFonts w:hint="eastAsia" w:ascii="宋体" w:hAnsi="宋体" w:eastAsia="宋体" w:cs="宋体"/>
          <w:b/>
          <w:sz w:val="21"/>
          <w:szCs w:val="21"/>
          <w:highlight w:val="none"/>
        </w:rPr>
      </w:pPr>
      <w:r>
        <w:rPr>
          <w:rFonts w:hint="eastAsia" w:ascii="宋体" w:hAnsi="宋体" w:eastAsia="宋体" w:cs="宋体"/>
          <w:b/>
          <w:sz w:val="21"/>
          <w:szCs w:val="21"/>
          <w:highlight w:val="none"/>
        </w:rPr>
        <w:t>42.政府采购合同融资</w:t>
      </w:r>
    </w:p>
    <w:p>
      <w:pPr>
        <w:wordWrap w:val="0"/>
        <w:topLinePunct/>
        <w:autoSpaceDE w:val="0"/>
        <w:autoSpaceDN w:val="0"/>
        <w:adjustRightInd w:val="0"/>
        <w:spacing w:line="360" w:lineRule="auto"/>
        <w:contextualSpacing/>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42.1缓解中小企业融资难题</w:t>
      </w:r>
    </w:p>
    <w:p>
      <w:pPr>
        <w:autoSpaceDE w:val="0"/>
        <w:autoSpaceDN w:val="0"/>
        <w:spacing w:line="360" w:lineRule="auto"/>
        <w:ind w:left="964"/>
        <w:contextualSpacing/>
        <w:jc w:val="left"/>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42.2 合作金融机构（排名不分先后）</w:t>
      </w:r>
    </w:p>
    <w:p>
      <w:pPr>
        <w:autoSpaceDE w:val="0"/>
        <w:autoSpaceDN w:val="0"/>
        <w:spacing w:line="360" w:lineRule="auto"/>
        <w:ind w:left="964"/>
        <w:contextualSpacing/>
        <w:jc w:val="left"/>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合作金融机构名称：中原银行许昌分行（小微金融部）</w:t>
      </w:r>
    </w:p>
    <w:p>
      <w:pPr>
        <w:autoSpaceDE w:val="0"/>
        <w:autoSpaceDN w:val="0"/>
        <w:spacing w:line="360" w:lineRule="auto"/>
        <w:ind w:left="964"/>
        <w:contextualSpacing/>
        <w:jc w:val="left"/>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联系人及电话：陈阳 13137407575   方金龙   15836539901</w:t>
      </w:r>
    </w:p>
    <w:p>
      <w:pPr>
        <w:autoSpaceDE w:val="0"/>
        <w:autoSpaceDN w:val="0"/>
        <w:spacing w:line="360" w:lineRule="auto"/>
        <w:ind w:left="964"/>
        <w:contextualSpacing/>
        <w:jc w:val="left"/>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地址：许昌市建安大道与紫云路交汇处中原银行</w:t>
      </w:r>
    </w:p>
    <w:p>
      <w:pPr>
        <w:autoSpaceDE w:val="0"/>
        <w:autoSpaceDN w:val="0"/>
        <w:spacing w:line="360" w:lineRule="auto"/>
        <w:ind w:left="964"/>
        <w:contextualSpacing/>
        <w:jc w:val="left"/>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合作金融机构名称：浦发银行许昌分行</w:t>
      </w:r>
    </w:p>
    <w:p>
      <w:pPr>
        <w:autoSpaceDE w:val="0"/>
        <w:autoSpaceDN w:val="0"/>
        <w:spacing w:line="360" w:lineRule="auto"/>
        <w:ind w:left="964"/>
        <w:contextualSpacing/>
        <w:jc w:val="left"/>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联系人及电话：赵勇  0374-7313551  18937425515</w:t>
      </w:r>
    </w:p>
    <w:p>
      <w:pPr>
        <w:autoSpaceDE w:val="0"/>
        <w:autoSpaceDN w:val="0"/>
        <w:spacing w:line="360" w:lineRule="auto"/>
        <w:ind w:left="964"/>
        <w:contextualSpacing/>
        <w:jc w:val="left"/>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地址：禹州市禹王大道与府东路交叉口</w:t>
      </w:r>
    </w:p>
    <w:p>
      <w:pPr>
        <w:autoSpaceDE w:val="0"/>
        <w:autoSpaceDN w:val="0"/>
        <w:spacing w:line="360" w:lineRule="auto"/>
        <w:contextualSpacing/>
        <w:rPr>
          <w:rFonts w:asci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3</w:t>
      </w:r>
      <w:r>
        <w:rPr>
          <w:rFonts w:ascii="宋体" w:hAnsi="宋体" w:cs="宋体"/>
          <w:b/>
          <w:color w:val="auto"/>
          <w:szCs w:val="21"/>
          <w:highlight w:val="none"/>
        </w:rPr>
        <w:t xml:space="preserve">. </w:t>
      </w:r>
      <w:r>
        <w:rPr>
          <w:rFonts w:hint="eastAsia" w:ascii="宋体" w:hAnsi="宋体" w:cs="宋体"/>
          <w:b/>
          <w:color w:val="auto"/>
          <w:szCs w:val="21"/>
          <w:highlight w:val="none"/>
        </w:rPr>
        <w:t>其他</w:t>
      </w:r>
    </w:p>
    <w:p>
      <w:pPr>
        <w:tabs>
          <w:tab w:val="left" w:pos="1260"/>
        </w:tabs>
        <w:autoSpaceDE w:val="0"/>
        <w:autoSpaceDN w:val="0"/>
        <w:spacing w:line="360" w:lineRule="auto"/>
        <w:ind w:firstLine="420" w:firstLineChars="200"/>
        <w:contextualSpacing/>
        <w:jc w:val="left"/>
        <w:rPr>
          <w:rFonts w:cs="宋体" w:asciiTheme="majorEastAsia" w:hAnsiTheme="majorEastAsia" w:eastAsiaTheme="majorEastAsia"/>
          <w:b/>
          <w:color w:val="auto"/>
          <w:kern w:val="0"/>
          <w:sz w:val="32"/>
          <w:szCs w:val="32"/>
          <w:highlight w:val="none"/>
        </w:rPr>
      </w:pPr>
      <w:r>
        <w:rPr>
          <w:rFonts w:hint="eastAsia" w:ascii="宋体" w:hAnsi="宋体" w:cs="宋体"/>
          <w:color w:val="auto"/>
          <w:kern w:val="0"/>
          <w:szCs w:val="21"/>
          <w:highlight w:val="none"/>
        </w:rPr>
        <w:t>本次招标文件未尽事项，以法律法规规定的为准</w:t>
      </w:r>
    </w:p>
    <w:p>
      <w:pPr>
        <w:autoSpaceDE w:val="0"/>
        <w:autoSpaceDN w:val="0"/>
        <w:spacing w:line="360" w:lineRule="auto"/>
        <w:contextualSpacing/>
        <w:jc w:val="both"/>
        <w:rPr>
          <w:rFonts w:hint="eastAsia" w:cs="宋体" w:asciiTheme="majorEastAsia" w:hAnsiTheme="majorEastAsia" w:eastAsiaTheme="majorEastAsia"/>
          <w:b/>
          <w:color w:val="auto"/>
          <w:kern w:val="0"/>
          <w:sz w:val="32"/>
          <w:szCs w:val="32"/>
          <w:highlight w:val="none"/>
        </w:rPr>
      </w:pPr>
    </w:p>
    <w:p>
      <w:pPr>
        <w:pStyle w:val="30"/>
        <w:rPr>
          <w:rFonts w:hint="eastAsia" w:cs="宋体" w:asciiTheme="majorEastAsia" w:hAnsiTheme="majorEastAsia" w:eastAsiaTheme="majorEastAsia"/>
          <w:b/>
          <w:color w:val="auto"/>
          <w:kern w:val="0"/>
          <w:sz w:val="32"/>
          <w:szCs w:val="32"/>
          <w:highlight w:val="none"/>
        </w:rPr>
      </w:pPr>
    </w:p>
    <w:p>
      <w:pPr>
        <w:pStyle w:val="31"/>
        <w:rPr>
          <w:rFonts w:hint="eastAsia" w:cs="宋体" w:asciiTheme="majorEastAsia" w:hAnsiTheme="majorEastAsia" w:eastAsiaTheme="majorEastAsia"/>
          <w:b/>
          <w:color w:val="auto"/>
          <w:kern w:val="0"/>
          <w:sz w:val="32"/>
          <w:szCs w:val="32"/>
          <w:highlight w:val="none"/>
        </w:rPr>
      </w:pPr>
    </w:p>
    <w:p>
      <w:pPr>
        <w:rPr>
          <w:rFonts w:hint="eastAsia" w:cs="宋体" w:asciiTheme="majorEastAsia" w:hAnsiTheme="majorEastAsia" w:eastAsiaTheme="majorEastAsia"/>
          <w:b/>
          <w:color w:val="auto"/>
          <w:kern w:val="0"/>
          <w:sz w:val="32"/>
          <w:szCs w:val="32"/>
          <w:highlight w:val="none"/>
        </w:rPr>
      </w:pPr>
    </w:p>
    <w:p>
      <w:pPr>
        <w:pStyle w:val="30"/>
        <w:rPr>
          <w:rFonts w:hint="eastAsia" w:cs="宋体" w:asciiTheme="majorEastAsia" w:hAnsiTheme="majorEastAsia" w:eastAsiaTheme="majorEastAsia"/>
          <w:b/>
          <w:color w:val="auto"/>
          <w:kern w:val="0"/>
          <w:sz w:val="32"/>
          <w:szCs w:val="32"/>
          <w:highlight w:val="none"/>
        </w:rPr>
      </w:pPr>
    </w:p>
    <w:p>
      <w:pPr>
        <w:pStyle w:val="31"/>
        <w:rPr>
          <w:rFonts w:hint="eastAsia" w:cs="宋体" w:asciiTheme="majorEastAsia" w:hAnsiTheme="majorEastAsia" w:eastAsiaTheme="majorEastAsia"/>
          <w:b/>
          <w:color w:val="auto"/>
          <w:kern w:val="0"/>
          <w:sz w:val="32"/>
          <w:szCs w:val="32"/>
          <w:highlight w:val="none"/>
        </w:rPr>
      </w:pPr>
    </w:p>
    <w:p>
      <w:pPr>
        <w:rPr>
          <w:rFonts w:hint="eastAsia"/>
          <w:highlight w:val="none"/>
        </w:rPr>
      </w:pPr>
    </w:p>
    <w:p>
      <w:pPr>
        <w:pStyle w:val="30"/>
        <w:ind w:left="0" w:leftChars="0" w:firstLine="0" w:firstLineChars="0"/>
        <w:rPr>
          <w:rFonts w:hint="eastAsia" w:cs="宋体" w:asciiTheme="majorEastAsia" w:hAnsiTheme="majorEastAsia" w:eastAsiaTheme="majorEastAsia"/>
          <w:b/>
          <w:color w:val="auto"/>
          <w:kern w:val="0"/>
          <w:sz w:val="32"/>
          <w:szCs w:val="32"/>
          <w:highlight w:val="none"/>
        </w:rPr>
      </w:pPr>
    </w:p>
    <w:p>
      <w:pPr>
        <w:pStyle w:val="31"/>
        <w:rPr>
          <w:rFonts w:hint="eastAsia"/>
          <w:color w:val="auto"/>
          <w:highlight w:val="none"/>
        </w:rPr>
      </w:pPr>
    </w:p>
    <w:p>
      <w:pPr>
        <w:autoSpaceDE w:val="0"/>
        <w:autoSpaceDN w:val="0"/>
        <w:spacing w:line="360" w:lineRule="auto"/>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 政府采购政策功能</w:t>
      </w:r>
    </w:p>
    <w:p>
      <w:pPr>
        <w:pStyle w:val="18"/>
        <w:spacing w:line="348"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eastAsiaTheme="minorEastAsia"/>
          <w:color w:val="auto"/>
          <w:sz w:val="21"/>
          <w:szCs w:val="21"/>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8"/>
        <w:spacing w:line="348"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一、节能能源、保护环境</w:t>
      </w:r>
    </w:p>
    <w:p>
      <w:pPr>
        <w:pStyle w:val="18"/>
        <w:spacing w:line="348"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highlight w:val="none"/>
        </w:rPr>
        <w:t>财政部、生态环境部</w:t>
      </w:r>
      <w:r>
        <w:rPr>
          <w:rFonts w:hint="eastAsia" w:cs="仿宋_GB2312" w:asciiTheme="minorEastAsia" w:hAnsiTheme="minorEastAsia" w:eastAsiaTheme="minorEastAsia"/>
          <w:color w:val="auto"/>
          <w:sz w:val="21"/>
          <w:szCs w:val="21"/>
          <w:highlight w:val="none"/>
          <w:lang w:val="zh-CN"/>
        </w:rPr>
        <w:t>《关于印发环境标志产品政府采购品目清单的通知》</w:t>
      </w:r>
      <w:r>
        <w:rPr>
          <w:rFonts w:hint="eastAsia" w:cs="仿宋_GB2312" w:asciiTheme="minorEastAsia" w:hAnsiTheme="minorEastAsia" w:eastAsiaTheme="minorEastAsia"/>
          <w:color w:val="auto"/>
          <w:sz w:val="21"/>
          <w:szCs w:val="21"/>
          <w:highlight w:val="none"/>
        </w:rPr>
        <w:t>（财库[2019]18号）以及</w:t>
      </w:r>
      <w:r>
        <w:rPr>
          <w:rFonts w:hint="eastAsia" w:cs="仿宋_GB2312" w:asciiTheme="minorEastAsia" w:hAnsiTheme="minorEastAsia" w:eastAsiaTheme="minorEastAsia"/>
          <w:color w:val="auto"/>
          <w:sz w:val="21"/>
          <w:szCs w:val="21"/>
          <w:highlight w:val="none"/>
          <w:lang w:val="zh-CN"/>
        </w:rPr>
        <w:t>财政部、发展改革委</w:t>
      </w:r>
      <w:r>
        <w:rPr>
          <w:rFonts w:hint="eastAsia" w:cs="仿宋_GB2312" w:asciiTheme="minorEastAsia" w:hAnsiTheme="minorEastAsia" w:eastAsiaTheme="minorEastAsia"/>
          <w:color w:val="auto"/>
          <w:sz w:val="21"/>
          <w:szCs w:val="21"/>
          <w:highlight w:val="none"/>
        </w:rPr>
        <w:t>《关于印发节能产品政府采购品目清单的通知》（财库[2019]19号）</w:t>
      </w:r>
      <w:r>
        <w:rPr>
          <w:rFonts w:hint="eastAsia" w:cs="仿宋_GB2312" w:asciiTheme="minorEastAsia" w:hAnsiTheme="minorEastAsia" w:eastAsiaTheme="minorEastAsia"/>
          <w:color w:val="auto"/>
          <w:sz w:val="21"/>
          <w:szCs w:val="21"/>
          <w:highlight w:val="none"/>
          <w:lang w:val="zh-CN"/>
        </w:rPr>
        <w:t>，</w:t>
      </w:r>
      <w:r>
        <w:rPr>
          <w:rFonts w:hint="eastAsia" w:cs="仿宋_GB2312" w:asciiTheme="minorEastAsia" w:hAnsiTheme="minorEastAsia" w:eastAsiaTheme="minorEastAsia"/>
          <w:color w:val="auto"/>
          <w:sz w:val="21"/>
          <w:szCs w:val="21"/>
          <w:highlight w:val="none"/>
        </w:rPr>
        <w:t>采购属于政府强</w:t>
      </w:r>
      <w:r>
        <w:rPr>
          <w:rFonts w:hint="eastAsia" w:cs="仿宋_GB2312" w:asciiTheme="minorEastAsia" w:hAnsiTheme="minorEastAsia" w:eastAsiaTheme="minorEastAsia"/>
          <w:color w:val="auto"/>
          <w:sz w:val="21"/>
          <w:szCs w:val="21"/>
          <w:highlight w:val="none"/>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8"/>
        <w:spacing w:line="360" w:lineRule="auto"/>
        <w:ind w:firstLine="422" w:firstLineChars="200"/>
        <w:contextualSpacing/>
        <w:rPr>
          <w:rFonts w:cs="仿宋_GB2312" w:asciiTheme="minorEastAsia" w:hAnsi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二、</w:t>
      </w:r>
      <w:r>
        <w:rPr>
          <w:rFonts w:hint="eastAsia" w:cs="仿宋_GB2312" w:asciiTheme="minorEastAsia" w:hAnsiTheme="minorEastAsia"/>
          <w:b/>
          <w:sz w:val="21"/>
          <w:szCs w:val="21"/>
          <w:highlight w:val="none"/>
          <w:lang w:val="zh-CN"/>
        </w:rPr>
        <w:t>促进中小企业发展（不含民办非企业）</w:t>
      </w:r>
    </w:p>
    <w:p>
      <w:pPr>
        <w:topLinePunct/>
        <w:spacing w:line="360" w:lineRule="auto"/>
        <w:ind w:firstLine="420" w:firstLineChars="200"/>
        <w:contextualSpacing/>
        <w:rPr>
          <w:rFonts w:ascii="ˎ̥" w:hAnsi="ˎ̥"/>
          <w:highlight w:val="none"/>
        </w:rPr>
      </w:pPr>
      <w:r>
        <w:rPr>
          <w:rFonts w:hint="eastAsia" w:ascii="ˎ̥" w:hAnsi="ˎ̥"/>
          <w:highlight w:val="none"/>
        </w:rPr>
        <w:t>（一）</w:t>
      </w:r>
      <w:r>
        <w:rPr>
          <w:rFonts w:hint="eastAsia" w:cs="仿宋_GB2312" w:asciiTheme="minorEastAsia" w:hAnsiTheme="minorEastAsia"/>
          <w:szCs w:val="21"/>
          <w:highlight w:val="none"/>
          <w:lang w:val="zh-CN"/>
        </w:rPr>
        <w:t>专门面向中小企业预留采购份额</w:t>
      </w:r>
    </w:p>
    <w:p>
      <w:pPr>
        <w:topLinePunct/>
        <w:spacing w:line="360" w:lineRule="auto"/>
        <w:ind w:firstLine="420" w:firstLineChars="200"/>
        <w:contextualSpacing/>
        <w:rPr>
          <w:rFonts w:ascii="ˎ̥" w:hAnsi="ˎ̥"/>
          <w:highlight w:val="none"/>
        </w:rPr>
      </w:pPr>
      <w:r>
        <w:rPr>
          <w:rFonts w:hint="eastAsia" w:ascii="ˎ̥" w:hAnsi="ˎ̥"/>
          <w:highlight w:val="none"/>
        </w:rPr>
        <w:t>（二）非</w:t>
      </w:r>
      <w:r>
        <w:rPr>
          <w:rFonts w:hint="eastAsia" w:cs="仿宋_GB2312" w:asciiTheme="minorEastAsia" w:hAnsiTheme="minorEastAsia"/>
          <w:szCs w:val="21"/>
          <w:highlight w:val="none"/>
          <w:lang w:val="zh-CN"/>
        </w:rPr>
        <w:t>专门面向中小企业预留采购份额</w:t>
      </w:r>
    </w:p>
    <w:p>
      <w:pPr>
        <w:topLinePunct/>
        <w:spacing w:line="360" w:lineRule="auto"/>
        <w:ind w:firstLine="420" w:firstLineChars="200"/>
        <w:contextualSpacing/>
        <w:rPr>
          <w:rFonts w:hint="eastAsia" w:ascii="ˎ̥" w:hAnsi="ˎ̥"/>
          <w:highlight w:val="none"/>
          <w:lang w:val="en-US" w:eastAsia="zh-CN"/>
        </w:rPr>
      </w:pPr>
      <w:r>
        <w:rPr>
          <w:rFonts w:hint="eastAsia" w:ascii="ˎ̥" w:hAnsi="ˎ̥"/>
          <w:highlight w:val="none"/>
          <w:lang w:val="en-US" w:eastAsia="zh-CN"/>
        </w:rPr>
        <w:t>第三标段属于专门面向中小企业采购的项目（不再执行价格评审优惠的扶持政策）</w:t>
      </w:r>
    </w:p>
    <w:p>
      <w:pPr>
        <w:topLinePunct/>
        <w:spacing w:line="360" w:lineRule="auto"/>
        <w:ind w:firstLine="420" w:firstLineChars="200"/>
        <w:contextualSpacing/>
        <w:rPr>
          <w:rFonts w:hint="eastAsia" w:cs="仿宋_GB2312" w:asciiTheme="minorEastAsia" w:hAnsiTheme="minorEastAsia"/>
          <w:szCs w:val="21"/>
          <w:highlight w:val="none"/>
          <w:lang w:val="zh-CN"/>
        </w:rPr>
      </w:pPr>
      <w:r>
        <w:rPr>
          <w:rFonts w:hint="eastAsia" w:ascii="ˎ̥" w:hAnsi="ˎ̥"/>
          <w:highlight w:val="none"/>
          <w:lang w:val="en-US" w:eastAsia="zh-CN"/>
        </w:rPr>
        <w:t>第四标段属于</w:t>
      </w:r>
      <w:r>
        <w:rPr>
          <w:rFonts w:hint="eastAsia" w:ascii="ˎ̥" w:hAnsi="ˎ̥"/>
          <w:highlight w:val="none"/>
        </w:rPr>
        <w:t>非</w:t>
      </w:r>
      <w:r>
        <w:rPr>
          <w:rFonts w:hint="eastAsia" w:cs="仿宋_GB2312" w:asciiTheme="minorEastAsia" w:hAnsiTheme="minorEastAsia"/>
          <w:szCs w:val="21"/>
          <w:highlight w:val="none"/>
          <w:lang w:val="zh-CN"/>
        </w:rPr>
        <w:t>专门面向中小企业</w:t>
      </w:r>
    </w:p>
    <w:p>
      <w:pPr>
        <w:topLinePunct/>
        <w:spacing w:line="360" w:lineRule="auto"/>
        <w:ind w:firstLine="420" w:firstLineChars="200"/>
        <w:contextualSpacing/>
        <w:rPr>
          <w:rFonts w:cs="仿宋_GB2312" w:asciiTheme="minorEastAsia" w:hAnsiTheme="minorEastAsia"/>
          <w:szCs w:val="21"/>
          <w:highlight w:val="none"/>
          <w:lang w:val="zh-CN"/>
        </w:rPr>
      </w:pPr>
      <w:r>
        <w:rPr>
          <w:rFonts w:hint="eastAsia" w:ascii="ˎ̥" w:hAnsi="ˎ̥"/>
          <w:highlight w:val="none"/>
        </w:rPr>
        <w:t>1、</w:t>
      </w:r>
      <w:r>
        <w:rPr>
          <w:rFonts w:hint="eastAsia" w:cs="仿宋_GB2312" w:asciiTheme="minorEastAsia" w:hAnsiTheme="minorEastAsia"/>
          <w:szCs w:val="21"/>
          <w:highlight w:val="none"/>
          <w:lang w:val="zh-CN"/>
        </w:rPr>
        <w:t>根据财政部、工业和信息化部《政府采购促进中小企业发展管理办法》（财库[2020]46号）</w:t>
      </w:r>
      <w:r>
        <w:rPr>
          <w:rFonts w:hint="eastAsia" w:ascii="ˎ̥" w:hAnsi="ˎ̥"/>
          <w:highlight w:val="none"/>
        </w:rPr>
        <w:t>、</w:t>
      </w:r>
      <w:r>
        <w:rPr>
          <w:rFonts w:hint="eastAsia" w:ascii="ˎ̥" w:hAnsi="ˎ̥"/>
          <w:color w:val="FF0000"/>
          <w:highlight w:val="none"/>
        </w:rPr>
        <w:t>《关于进一步加大政府采购支持中小企业力度的通知》（财库〔2022〕19号）</w:t>
      </w:r>
      <w:r>
        <w:rPr>
          <w:rFonts w:hint="eastAsia" w:cs="仿宋_GB2312" w:asciiTheme="minorEastAsia" w:hAnsiTheme="minorEastAsia"/>
          <w:szCs w:val="21"/>
          <w:highlight w:val="none"/>
          <w:lang w:val="zh-CN"/>
        </w:rPr>
        <w:t>规定，对符合该办法规定的小型和微型企业报价给予</w:t>
      </w:r>
      <w:r>
        <w:rPr>
          <w:rFonts w:hint="eastAsia" w:cs="仿宋_GB2312" w:asciiTheme="minorEastAsia" w:hAnsiTheme="minorEastAsia"/>
          <w:color w:val="FF0000"/>
          <w:szCs w:val="21"/>
          <w:highlight w:val="none"/>
          <w:lang w:val="zh-CN"/>
        </w:rPr>
        <w:t>20%</w:t>
      </w:r>
      <w:r>
        <w:rPr>
          <w:rFonts w:hint="eastAsia" w:cs="仿宋_GB2312" w:asciiTheme="minorEastAsia" w:hAnsiTheme="minorEastAsia"/>
          <w:szCs w:val="21"/>
          <w:highlight w:val="none"/>
          <w:lang w:val="zh-CN"/>
        </w:rPr>
        <w:t>的扣除，用扣除后的价格参与评审。</w:t>
      </w:r>
    </w:p>
    <w:p>
      <w:pPr>
        <w:spacing w:line="360" w:lineRule="auto"/>
        <w:ind w:firstLine="420" w:firstLineChars="200"/>
        <w:contextualSpacing/>
        <w:rPr>
          <w:rFonts w:ascii="ˎ̥" w:hAnsi="ˎ̥"/>
          <w:highlight w:val="none"/>
        </w:rPr>
      </w:pPr>
      <w:r>
        <w:rPr>
          <w:rFonts w:hint="eastAsia" w:ascii="ˎ̥" w:hAnsi="ˎ̥"/>
          <w:highlight w:val="none"/>
        </w:rPr>
        <w:t>2、</w:t>
      </w:r>
      <w:r>
        <w:rPr>
          <w:rFonts w:ascii="ˎ̥" w:hAnsi="ˎ̥"/>
          <w:highlight w:val="none"/>
        </w:rPr>
        <w:t>在货物采购项目中，供应商提供的货物既有中小企业制造货物，也有大型企业制造货物的，不享受</w:t>
      </w:r>
      <w:r>
        <w:rPr>
          <w:rFonts w:hint="eastAsia" w:cs="仿宋_GB2312" w:asciiTheme="minorEastAsia" w:hAnsiTheme="minorEastAsia"/>
          <w:szCs w:val="21"/>
          <w:highlight w:val="none"/>
          <w:lang w:val="zh-CN"/>
        </w:rPr>
        <w:t>《政府采购促进中小企业发展管理办法》（财库[2020]46号）</w:t>
      </w:r>
      <w:r>
        <w:rPr>
          <w:rFonts w:ascii="ˎ̥" w:hAnsi="ˎ̥"/>
          <w:highlight w:val="none"/>
        </w:rPr>
        <w:t>规定的中小企业扶持政策。</w:t>
      </w:r>
    </w:p>
    <w:p>
      <w:pPr>
        <w:spacing w:line="360" w:lineRule="auto"/>
        <w:ind w:firstLine="420" w:firstLineChars="200"/>
        <w:contextualSpacing/>
        <w:rPr>
          <w:rFonts w:ascii="ˎ̥" w:hAnsi="ˎ̥"/>
          <w:highlight w:val="none"/>
        </w:rPr>
      </w:pPr>
      <w:r>
        <w:rPr>
          <w:rFonts w:hint="eastAsia" w:ascii="ˎ̥" w:hAnsi="ˎ̥"/>
          <w:highlight w:val="none"/>
        </w:rPr>
        <w:t>3、</w:t>
      </w:r>
      <w:r>
        <w:rPr>
          <w:rFonts w:ascii="ˎ̥" w:hAnsi="ˎ̥"/>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highlight w:val="none"/>
        </w:rPr>
      </w:pPr>
      <w:r>
        <w:rPr>
          <w:rFonts w:hint="eastAsia" w:ascii="ˎ̥" w:hAnsi="ˎ̥"/>
          <w:highlight w:val="none"/>
        </w:rPr>
        <w:t>4、</w:t>
      </w:r>
      <w:r>
        <w:rPr>
          <w:rFonts w:ascii="ˎ̥" w:hAnsi="ˎ̥"/>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highlight w:val="none"/>
        </w:rPr>
        <w:t>4-6</w:t>
      </w:r>
      <w:r>
        <w:rPr>
          <w:rFonts w:ascii="ˎ̥" w:hAnsi="ˎ̥"/>
          <w:highlight w:val="none"/>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highlight w:val="none"/>
        </w:rPr>
      </w:pPr>
      <w:r>
        <w:rPr>
          <w:rFonts w:hint="eastAsia" w:ascii="ˎ̥" w:hAnsi="ˎ̥"/>
          <w:highlight w:val="none"/>
        </w:rPr>
        <w:t>5、按照本次采购标的所属行业的划型标准，符合条件的中小企业应按照招标文件格式要求提供《中小企业声明函》，</w:t>
      </w:r>
      <w:r>
        <w:rPr>
          <w:rFonts w:ascii="ˎ̥" w:hAnsi="ˎ̥"/>
          <w:highlight w:val="none"/>
        </w:rPr>
        <w:t>否则不得享受相关中小企业扶持政策。</w:t>
      </w:r>
    </w:p>
    <w:p>
      <w:pPr>
        <w:topLinePunct/>
        <w:spacing w:line="348"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三、支持监狱企业发展</w:t>
      </w:r>
    </w:p>
    <w:p>
      <w:pPr>
        <w:spacing w:line="348"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按照财政部、司法部发布的《关于政府采购支持监狱企业发展有关问题的通知》（</w:t>
      </w:r>
      <w:bookmarkStart w:id="9" w:name="OLE_LINK6"/>
      <w:r>
        <w:rPr>
          <w:rFonts w:hint="eastAsia" w:cs="仿宋_GB2312" w:asciiTheme="minorEastAsia" w:hAnsiTheme="minorEastAsia"/>
          <w:color w:val="auto"/>
          <w:szCs w:val="21"/>
          <w:highlight w:val="none"/>
          <w:lang w:val="zh-CN"/>
        </w:rPr>
        <w:t>财库[2014]68号</w:t>
      </w:r>
      <w:bookmarkEnd w:id="9"/>
      <w:r>
        <w:rPr>
          <w:rFonts w:hint="eastAsia" w:cs="仿宋_GB2312" w:asciiTheme="minorEastAsia" w:hAnsiTheme="minorEastAsia"/>
          <w:color w:val="auto"/>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48"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四、促进残疾人就业</w:t>
      </w:r>
    </w:p>
    <w:p>
      <w:pPr>
        <w:pStyle w:val="18"/>
        <w:spacing w:line="348"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highlight w:val="none"/>
        </w:rPr>
        <w:t>残疾人福利性单位属于小型、微型企业的，不重复享受政策。</w:t>
      </w:r>
    </w:p>
    <w:p>
      <w:pPr>
        <w:pStyle w:val="18"/>
        <w:spacing w:line="348"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48"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3、中标人为残疾人福利性单位的，采购人应当随中标结果同时公告其《残疾人福利性单位声明函》，接受社会监督。</w:t>
      </w:r>
    </w:p>
    <w:p>
      <w:pPr>
        <w:spacing w:line="348"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五、支持脱贫攻坚（物业服务采购）</w:t>
      </w:r>
    </w:p>
    <w:p>
      <w:pPr>
        <w:topLinePunct/>
        <w:spacing w:line="348"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48" w:lineRule="auto"/>
        <w:ind w:firstLine="420" w:firstLineChars="200"/>
        <w:contextualSpacing/>
        <w:rPr>
          <w:rFonts w:hint="eastAsia"/>
          <w:highlight w:val="none"/>
        </w:rPr>
      </w:pPr>
      <w:r>
        <w:rPr>
          <w:rFonts w:hint="eastAsia" w:cs="仿宋_GB2312" w:asciiTheme="minorEastAsia" w:hAnsiTheme="minorEastAsia"/>
          <w:color w:val="auto"/>
          <w:szCs w:val="21"/>
          <w:highlight w:val="none"/>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第六章   资格审查与评标</w:t>
      </w:r>
    </w:p>
    <w:p>
      <w:pPr>
        <w:pStyle w:val="18"/>
        <w:spacing w:line="360" w:lineRule="auto"/>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pPr>
        <w:pStyle w:val="18"/>
        <w:spacing w:line="360" w:lineRule="auto"/>
        <w:ind w:firstLine="420" w:firstLineChars="200"/>
        <w:contextualSpacing/>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（一）开标结束后，采购人（采购代理机构）依法对投标人资格进行审查。确定符合资格的投标人不少于3家的，将组织评标委员会进行评标。</w:t>
      </w:r>
    </w:p>
    <w:p>
      <w:pPr>
        <w:spacing w:line="360" w:lineRule="auto"/>
        <w:ind w:right="420" w:rightChars="200" w:firstLine="420" w:firstLineChars="200"/>
        <w:contextualSpacing/>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（三）资格审查中所涉及到的证书及材料，均须在电子投标文件中提供原件扫描件（或图片）。</w:t>
      </w:r>
    </w:p>
    <w:p>
      <w:pPr>
        <w:spacing w:line="360" w:lineRule="auto"/>
        <w:ind w:right="420" w:rightChars="200" w:firstLine="630" w:firstLineChars="300"/>
        <w:contextualSpacing/>
        <w:rPr>
          <w:rFonts w:asciiTheme="majorEastAsia" w:hAnsiTheme="majorEastAsia" w:eastAsiaTheme="majorEastAsia" w:cstheme="majorEastAsia"/>
          <w:color w:val="auto"/>
          <w:szCs w:val="21"/>
          <w:highlight w:val="none"/>
          <w:lang w:val="zh-CN"/>
        </w:rPr>
      </w:pPr>
      <w:r>
        <w:rPr>
          <w:rFonts w:hint="eastAsia" w:asciiTheme="majorEastAsia" w:hAnsiTheme="majorEastAsia" w:eastAsiaTheme="majorEastAsia" w:cstheme="majorEastAsia"/>
          <w:color w:val="auto"/>
          <w:szCs w:val="21"/>
          <w:highlight w:val="none"/>
          <w:lang w:val="zh-CN"/>
        </w:rPr>
        <w:t>资格审查中所涉及到的证书及材料，均须在响应投标文件中提供原件扫描件（或图片）。</w:t>
      </w:r>
    </w:p>
    <w:tbl>
      <w:tblPr>
        <w:tblStyle w:val="3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410" w:type="dxa"/>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资格审查因素</w:t>
            </w:r>
          </w:p>
        </w:tc>
        <w:tc>
          <w:tcPr>
            <w:tcW w:w="5954" w:type="dxa"/>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2410" w:type="dxa"/>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投标函</w:t>
            </w:r>
          </w:p>
        </w:tc>
        <w:tc>
          <w:tcPr>
            <w:tcW w:w="5954" w:type="dxa"/>
            <w:vAlign w:val="center"/>
          </w:tcPr>
          <w:p>
            <w:pPr>
              <w:spacing w:line="360" w:lineRule="auto"/>
              <w:rPr>
                <w:rFonts w:ascii="宋体" w:hAnsi="宋体" w:eastAsia="宋体" w:cs="宋体"/>
                <w:b/>
                <w:color w:val="auto"/>
                <w:szCs w:val="21"/>
                <w:highlight w:val="none"/>
              </w:rPr>
            </w:pPr>
            <w:r>
              <w:rPr>
                <w:rFonts w:hint="eastAsia" w:ascii="宋体" w:hAnsi="宋体" w:eastAsia="宋体" w:cs="宋体"/>
                <w:bCs/>
                <w:color w:val="auto"/>
                <w:szCs w:val="21"/>
                <w:highlight w:val="none"/>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2</w:t>
            </w:r>
          </w:p>
        </w:tc>
        <w:tc>
          <w:tcPr>
            <w:tcW w:w="2410" w:type="dxa"/>
            <w:vAlign w:val="center"/>
          </w:tcPr>
          <w:p>
            <w:pPr>
              <w:spacing w:line="360" w:lineRule="auto"/>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禹州</w:t>
            </w:r>
            <w:r>
              <w:rPr>
                <w:rFonts w:cs="宋体" w:asciiTheme="minorEastAsia" w:hAnsiTheme="minorEastAsia"/>
                <w:b/>
                <w:color w:val="auto"/>
                <w:szCs w:val="21"/>
                <w:highlight w:val="none"/>
                <w:lang w:val="zh-CN"/>
              </w:rPr>
              <w:t>市政府采购</w:t>
            </w:r>
          </w:p>
          <w:p>
            <w:pPr>
              <w:spacing w:line="360" w:lineRule="auto"/>
              <w:jc w:val="center"/>
              <w:rPr>
                <w:rFonts w:cs="宋体" w:asciiTheme="minorEastAsia" w:hAnsiTheme="minorEastAsia"/>
                <w:b/>
                <w:color w:val="auto"/>
                <w:szCs w:val="21"/>
                <w:highlight w:val="none"/>
                <w:lang w:val="zh-CN"/>
              </w:rPr>
            </w:pPr>
            <w:r>
              <w:rPr>
                <w:rFonts w:cs="宋体" w:asciiTheme="minorEastAsia" w:hAnsiTheme="minorEastAsia"/>
                <w:b/>
                <w:color w:val="auto"/>
                <w:szCs w:val="21"/>
                <w:highlight w:val="none"/>
                <w:lang w:val="zh-CN"/>
              </w:rPr>
              <w:t>供应商信用承诺函</w:t>
            </w:r>
          </w:p>
        </w:tc>
        <w:tc>
          <w:tcPr>
            <w:tcW w:w="5954" w:type="dxa"/>
            <w:vAlign w:val="center"/>
          </w:tcPr>
          <w:p>
            <w:pPr>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按照招标文件第八章3.</w:t>
            </w:r>
            <w:r>
              <w:rPr>
                <w:rFonts w:hint="eastAsia" w:cs="宋体" w:asciiTheme="minorEastAsia" w:hAnsiTheme="minorEastAsia"/>
                <w:bCs/>
                <w:color w:val="auto"/>
                <w:szCs w:val="21"/>
                <w:highlight w:val="none"/>
              </w:rPr>
              <w:t>4</w:t>
            </w:r>
            <w:r>
              <w:rPr>
                <w:rFonts w:hint="eastAsia" w:cs="宋体" w:asciiTheme="minorEastAsia" w:hAnsiTheme="minorEastAsia"/>
                <w:bCs/>
                <w:color w:val="auto"/>
                <w:szCs w:val="21"/>
                <w:highlight w:val="none"/>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2410" w:type="dxa"/>
            <w:vAlign w:val="center"/>
          </w:tcPr>
          <w:p>
            <w:pPr>
              <w:spacing w:line="360" w:lineRule="auto"/>
              <w:jc w:val="center"/>
              <w:rPr>
                <w:rFonts w:asciiTheme="minorEastAsia" w:hAnsiTheme="minorEastAsia"/>
                <w:b/>
                <w:color w:val="auto"/>
                <w:szCs w:val="21"/>
                <w:highlight w:val="none"/>
              </w:rPr>
            </w:pPr>
            <w:r>
              <w:rPr>
                <w:rFonts w:hint="eastAsia" w:asciiTheme="minorEastAsia" w:hAnsiTheme="minorEastAsia"/>
                <w:b/>
                <w:bCs/>
                <w:color w:val="auto"/>
                <w:szCs w:val="21"/>
                <w:highlight w:val="none"/>
              </w:rPr>
              <w:t>中小企业</w:t>
            </w:r>
          </w:p>
        </w:tc>
        <w:tc>
          <w:tcPr>
            <w:tcW w:w="5954" w:type="dxa"/>
            <w:vAlign w:val="center"/>
          </w:tcPr>
          <w:p>
            <w:pP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（1）中小企业出具《中小企业声明函》</w:t>
            </w:r>
          </w:p>
          <w:p>
            <w:pPr>
              <w:spacing w:line="360" w:lineRule="auto"/>
              <w:jc w:val="left"/>
              <w:rPr>
                <w:rFonts w:hint="eastAsia" w:asciiTheme="minorEastAsia" w:hAnsiTheme="minorEastAsia"/>
                <w:bCs/>
                <w:color w:val="auto"/>
                <w:szCs w:val="21"/>
                <w:highlight w:val="none"/>
              </w:rPr>
            </w:pPr>
            <w:r>
              <w:rPr>
                <w:rFonts w:hint="eastAsia" w:asciiTheme="minorEastAsia" w:hAnsiTheme="minorEastAsia"/>
                <w:bCs/>
                <w:color w:val="auto"/>
                <w:szCs w:val="21"/>
                <w:highlight w:val="none"/>
              </w:rPr>
              <w:t>（2）残疾人福利性单位出具《残疾人福利企业声明函》</w:t>
            </w:r>
          </w:p>
          <w:p>
            <w:pPr>
              <w:spacing w:line="360" w:lineRule="auto"/>
              <w:jc w:val="left"/>
              <w:rPr>
                <w:rFonts w:asciiTheme="minorEastAsia" w:hAnsiTheme="minorEastAsia"/>
                <w:bCs/>
                <w:color w:val="auto"/>
                <w:szCs w:val="21"/>
                <w:highlight w:val="none"/>
              </w:rPr>
            </w:pPr>
            <w:r>
              <w:rPr>
                <w:rFonts w:hint="eastAsia" w:ascii="宋体" w:hAnsi="宋体" w:eastAsia="宋体" w:cs="宋体"/>
                <w:kern w:val="2"/>
                <w:sz w:val="21"/>
                <w:szCs w:val="21"/>
                <w:highlight w:val="none"/>
                <w:lang w:val="en-US" w:eastAsia="zh-CN" w:bidi="ar-SA"/>
              </w:rPr>
              <w:t>三标段提供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2410" w:type="dxa"/>
            <w:vAlign w:val="center"/>
          </w:tcPr>
          <w:p>
            <w:pPr>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投标人须具备的特殊</w:t>
            </w:r>
          </w:p>
          <w:p>
            <w:pPr>
              <w:spacing w:line="360" w:lineRule="auto"/>
              <w:jc w:val="center"/>
              <w:rPr>
                <w:rFonts w:hint="eastAsia" w:asciiTheme="minorEastAsia" w:hAnsiTheme="minorEastAsia"/>
                <w:b/>
                <w:bCs/>
                <w:color w:val="auto"/>
                <w:szCs w:val="21"/>
                <w:highlight w:val="none"/>
              </w:rPr>
            </w:pPr>
            <w:r>
              <w:rPr>
                <w:rFonts w:hint="eastAsia" w:ascii="宋体" w:hAnsi="宋体" w:eastAsia="宋体" w:cs="Times New Roman"/>
                <w:b/>
                <w:color w:val="auto"/>
                <w:szCs w:val="21"/>
                <w:highlight w:val="none"/>
              </w:rPr>
              <w:t>资质证书</w:t>
            </w:r>
          </w:p>
        </w:tc>
        <w:tc>
          <w:tcPr>
            <w:tcW w:w="5954" w:type="dxa"/>
            <w:vAlign w:val="center"/>
          </w:tcPr>
          <w:p>
            <w:pPr>
              <w:spacing w:line="360" w:lineRule="auto"/>
              <w:jc w:val="left"/>
              <w:rPr>
                <w:rFonts w:hint="eastAsia" w:asciiTheme="minorEastAsia" w:hAnsiTheme="minorEastAsia"/>
                <w:bCs/>
                <w:color w:val="auto"/>
                <w:szCs w:val="21"/>
                <w:highlight w:val="none"/>
              </w:rPr>
            </w:pPr>
            <w:r>
              <w:rPr>
                <w:rFonts w:hint="eastAsia" w:asciiTheme="minorEastAsia" w:hAnsiTheme="minorEastAsia"/>
                <w:bCs/>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2410" w:type="dxa"/>
            <w:vAlign w:val="center"/>
          </w:tcPr>
          <w:p>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w:t>
            </w:r>
            <w:r>
              <w:rPr>
                <w:rFonts w:hint="eastAsia" w:ascii="宋体" w:hAnsi="宋体" w:eastAsia="宋体" w:cs="宋体"/>
                <w:b/>
                <w:color w:val="auto"/>
                <w:szCs w:val="21"/>
                <w:highlight w:val="none"/>
                <w:lang w:val="zh-CN"/>
              </w:rPr>
              <w:t>报价</w:t>
            </w:r>
          </w:p>
        </w:tc>
        <w:tc>
          <w:tcPr>
            <w:tcW w:w="5954" w:type="dxa"/>
          </w:tcPr>
          <w:p>
            <w:pPr>
              <w:spacing w:line="360" w:lineRule="auto"/>
              <w:rPr>
                <w:rFonts w:ascii="宋体" w:hAnsi="宋体" w:eastAsia="宋体" w:cs="宋体"/>
                <w:b/>
                <w:bCs/>
                <w:color w:val="auto"/>
                <w:szCs w:val="21"/>
                <w:highlight w:val="none"/>
              </w:rPr>
            </w:pPr>
            <w:r>
              <w:rPr>
                <w:rFonts w:hint="eastAsia" w:ascii="宋体" w:hAnsi="宋体" w:eastAsia="宋体" w:cs="宋体"/>
                <w:color w:val="auto"/>
                <w:szCs w:val="21"/>
                <w:highlight w:val="none"/>
                <w:lang w:val="zh-CN"/>
              </w:rPr>
              <w:t>投标报价是否超出招标文件中规定的预算金额，超出预算金额的投标无效。如投标人须知前附表规定最高限价，则</w:t>
            </w:r>
            <w:r>
              <w:rPr>
                <w:rFonts w:hint="eastAsia" w:ascii="宋体" w:hAnsi="宋体" w:eastAsia="宋体" w:cs="宋体"/>
                <w:bCs/>
                <w:color w:val="auto"/>
                <w:szCs w:val="21"/>
                <w:highlight w:val="none"/>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6</w:t>
            </w:r>
          </w:p>
        </w:tc>
        <w:tc>
          <w:tcPr>
            <w:tcW w:w="2410"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投标承诺函</w:t>
            </w:r>
          </w:p>
        </w:tc>
        <w:tc>
          <w:tcPr>
            <w:tcW w:w="5954" w:type="dxa"/>
            <w:vAlign w:val="center"/>
          </w:tcPr>
          <w:p>
            <w:pPr>
              <w:spacing w:line="360" w:lineRule="auto"/>
              <w:rPr>
                <w:rFonts w:ascii="宋体" w:hAnsi="宋体" w:eastAsia="宋体" w:cs="宋体"/>
                <w:b/>
                <w:color w:val="auto"/>
                <w:szCs w:val="21"/>
                <w:highlight w:val="none"/>
              </w:rPr>
            </w:pPr>
            <w:r>
              <w:rPr>
                <w:rFonts w:hint="eastAsia" w:ascii="宋体" w:hAnsi="宋体" w:eastAsia="宋体" w:cs="宋体"/>
                <w:color w:val="auto"/>
                <w:szCs w:val="21"/>
                <w:highlight w:val="none"/>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7</w:t>
            </w:r>
          </w:p>
        </w:tc>
        <w:tc>
          <w:tcPr>
            <w:tcW w:w="2410" w:type="dxa"/>
            <w:vAlign w:val="center"/>
          </w:tcPr>
          <w:p>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联合体协议</w:t>
            </w:r>
          </w:p>
        </w:tc>
        <w:tc>
          <w:tcPr>
            <w:tcW w:w="5954" w:type="dxa"/>
          </w:tcPr>
          <w:p>
            <w:pPr>
              <w:spacing w:line="360" w:lineRule="auto"/>
              <w:rPr>
                <w:rFonts w:ascii="宋体" w:hAnsi="宋体" w:eastAsia="宋体" w:cs="宋体"/>
                <w:b/>
                <w:bCs/>
                <w:color w:val="auto"/>
                <w:szCs w:val="21"/>
                <w:highlight w:val="none"/>
              </w:rPr>
            </w:pPr>
            <w:r>
              <w:rPr>
                <w:rFonts w:hint="eastAsia" w:ascii="宋体" w:hAnsi="宋体" w:eastAsia="宋体" w:cs="宋体"/>
                <w:bCs/>
                <w:color w:val="auto"/>
                <w:szCs w:val="21"/>
                <w:highlight w:val="none"/>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8</w:t>
            </w:r>
          </w:p>
        </w:tc>
        <w:tc>
          <w:tcPr>
            <w:tcW w:w="2410" w:type="dxa"/>
            <w:vAlign w:val="center"/>
          </w:tcPr>
          <w:p>
            <w:pPr>
              <w:spacing w:line="360" w:lineRule="auto"/>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投标人身份证明及授权</w:t>
            </w:r>
          </w:p>
        </w:tc>
        <w:tc>
          <w:tcPr>
            <w:tcW w:w="5954" w:type="dxa"/>
          </w:tcPr>
          <w:p>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（1）法定代表人身份证明或提供法定代表人授权委托书及被授权人身份证明。（法人投标提供）</w:t>
            </w:r>
          </w:p>
          <w:p>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（2）单位负责人身份证明或提供单位负责人授权委托书及被授权人身份证明。（非法人投标提供）</w:t>
            </w:r>
          </w:p>
          <w:p>
            <w:pPr>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注：</w:t>
            </w:r>
          </w:p>
          <w:p>
            <w:pPr>
              <w:spacing w:line="360" w:lineRule="auto"/>
              <w:rPr>
                <w:rFonts w:ascii="宋体" w:hAnsi="宋体" w:eastAsia="宋体" w:cs="宋体"/>
                <w:b/>
                <w:color w:val="auto"/>
                <w:szCs w:val="21"/>
                <w:highlight w:val="none"/>
              </w:rPr>
            </w:pPr>
            <w:r>
              <w:rPr>
                <w:rFonts w:hint="eastAsia" w:ascii="宋体" w:hAnsi="宋体" w:eastAsia="宋体" w:cs="宋体"/>
                <w:color w:val="auto"/>
                <w:szCs w:val="21"/>
                <w:highlight w:val="none"/>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eastAsia="宋体" w:cs="宋体"/>
                <w:b/>
                <w:color w:val="auto"/>
                <w:szCs w:val="21"/>
                <w:highlight w:val="none"/>
              </w:rPr>
            </w:pPr>
            <w:r>
              <w:rPr>
                <w:rFonts w:hint="eastAsia" w:ascii="宋体" w:hAnsi="宋体" w:eastAsia="宋体" w:cs="宋体"/>
                <w:color w:val="auto"/>
                <w:szCs w:val="21"/>
                <w:highlight w:val="none"/>
              </w:rPr>
              <w:t>③</w:t>
            </w:r>
            <w:r>
              <w:rPr>
                <w:rFonts w:hint="eastAsia" w:ascii="宋体" w:hAnsi="宋体" w:eastAsia="宋体" w:cs="宋体"/>
                <w:color w:val="auto"/>
                <w:kern w:val="0"/>
                <w:szCs w:val="21"/>
                <w:highlight w:val="none"/>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9</w:t>
            </w:r>
          </w:p>
        </w:tc>
        <w:tc>
          <w:tcPr>
            <w:tcW w:w="2410" w:type="dxa"/>
            <w:vAlign w:val="center"/>
          </w:tcPr>
          <w:p>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投标人提供与参加本项目投标的其他供应商之间，单位负责人不为同一人并且不存在直接控股、管理关系承诺函（承诺函格式自拟）。</w:t>
            </w:r>
          </w:p>
          <w:p>
            <w:pPr>
              <w:spacing w:line="360" w:lineRule="auto"/>
              <w:rPr>
                <w:rFonts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10</w:t>
            </w:r>
          </w:p>
        </w:tc>
        <w:tc>
          <w:tcPr>
            <w:tcW w:w="2410" w:type="dxa"/>
            <w:vAlign w:val="center"/>
          </w:tcPr>
          <w:p>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为本项目提供整体设计、规范编制或者项目管理、监理、检测等服务的供应商不得参加本项目投标</w:t>
            </w:r>
          </w:p>
        </w:tc>
        <w:tc>
          <w:tcPr>
            <w:tcW w:w="5954" w:type="dxa"/>
          </w:tcPr>
          <w:p>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bookmarkStart w:id="10" w:name="baidusnap2"/>
            <w:bookmarkEnd w:id="10"/>
            <w:r>
              <w:rPr>
                <w:rFonts w:hint="eastAsia" w:ascii="宋体" w:hAnsi="宋体" w:eastAsia="宋体" w:cs="宋体"/>
                <w:color w:val="auto"/>
                <w:szCs w:val="21"/>
                <w:highlight w:val="none"/>
                <w:lang w:val="zh-CN"/>
              </w:rPr>
              <w:t>提供未为本项目提供整体设计、</w:t>
            </w:r>
            <w:bookmarkStart w:id="11" w:name="baidusnap9"/>
            <w:bookmarkEnd w:id="11"/>
            <w:r>
              <w:rPr>
                <w:rFonts w:hint="eastAsia" w:ascii="宋体" w:hAnsi="宋体" w:eastAsia="宋体" w:cs="宋体"/>
                <w:color w:val="auto"/>
                <w:szCs w:val="21"/>
                <w:highlight w:val="none"/>
                <w:lang w:val="zh-CN"/>
              </w:rPr>
              <w:t>规范编制或者项目管理、监理、检测等服务承诺函（承诺函格式自拟）。</w:t>
            </w:r>
          </w:p>
          <w:p>
            <w:pPr>
              <w:spacing w:line="360" w:lineRule="auto"/>
              <w:rPr>
                <w:rFonts w:ascii="宋体" w:hAnsi="宋体" w:eastAsia="宋体" w:cs="宋体"/>
                <w:bCs/>
                <w:color w:val="auto"/>
                <w:szCs w:val="21"/>
                <w:highlight w:val="none"/>
              </w:rPr>
            </w:pPr>
          </w:p>
        </w:tc>
      </w:tr>
    </w:tbl>
    <w:p>
      <w:pPr>
        <w:pStyle w:val="18"/>
        <w:spacing w:line="360" w:lineRule="auto"/>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二、评标</w:t>
      </w:r>
    </w:p>
    <w:p>
      <w:pPr>
        <w:pStyle w:val="18"/>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（一）评标方法</w:t>
      </w:r>
    </w:p>
    <w:p>
      <w:pPr>
        <w:pStyle w:val="18"/>
        <w:spacing w:line="360" w:lineRule="auto"/>
        <w:ind w:firstLine="420"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本项目采用综合评分法。总分为100分。</w:t>
      </w:r>
    </w:p>
    <w:p>
      <w:pPr>
        <w:pStyle w:val="18"/>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w:t>
      </w:r>
      <w:r>
        <w:rPr>
          <w:rFonts w:cs="仿宋_GB2312" w:asciiTheme="minorEastAsia" w:hAnsiTheme="minorEastAsia" w:eastAsiaTheme="minorEastAsia"/>
          <w:b/>
          <w:color w:val="auto"/>
          <w:sz w:val="21"/>
          <w:szCs w:val="21"/>
          <w:highlight w:val="none"/>
          <w:lang w:val="zh-CN"/>
        </w:rPr>
        <w:t>评标委员会负责具体评标事务，并独立履行下列职责</w:t>
      </w:r>
    </w:p>
    <w:p>
      <w:pPr>
        <w:pStyle w:val="18"/>
        <w:spacing w:line="360" w:lineRule="auto"/>
        <w:ind w:firstLine="422" w:firstLineChars="200"/>
        <w:contextualSpacing/>
        <w:jc w:val="lef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1、审查、评价投标文件是否符合招标文件的商务、技术等实质性要求；</w:t>
      </w:r>
    </w:p>
    <w:p>
      <w:pPr>
        <w:pStyle w:val="18"/>
        <w:spacing w:line="360" w:lineRule="auto"/>
        <w:ind w:firstLine="420" w:firstLineChars="200"/>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评标委员会对符合资格的投标人的投标文件进行符合性审查，以确定其是否满足招标文件的商务、技术等实质性要求。</w:t>
      </w:r>
    </w:p>
    <w:p>
      <w:pPr>
        <w:pStyle w:val="18"/>
        <w:spacing w:line="360" w:lineRule="auto"/>
        <w:ind w:firstLine="420" w:firstLineChars="200"/>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注：符合性审查中所涉及到的证书及材料，均应在电子投标文件中提供原件扫描件（或图片）。</w:t>
      </w:r>
    </w:p>
    <w:p>
      <w:pPr>
        <w:pStyle w:val="18"/>
        <w:spacing w:line="360" w:lineRule="auto"/>
        <w:ind w:firstLine="422" w:firstLineChars="200"/>
        <w:contextualSpacing/>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2、要求投标人对投标文件有关事项作出澄清或者说明；</w:t>
      </w:r>
    </w:p>
    <w:p>
      <w:pPr>
        <w:pStyle w:val="18"/>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对于投标文件中含义不明确、同类问题表述不一致或者有明显文字和计算错误的内容，评标委员会应当以书面形式要求投标人作出必要的澄清、说明或者补正。</w:t>
      </w:r>
    </w:p>
    <w:p>
      <w:pPr>
        <w:pStyle w:val="18"/>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8"/>
        <w:spacing w:line="360" w:lineRule="auto"/>
        <w:ind w:firstLine="465"/>
        <w:contextualSpacing/>
        <w:jc w:val="lef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3、对投标文件进行比较和评价；</w:t>
      </w:r>
    </w:p>
    <w:p>
      <w:pPr>
        <w:pStyle w:val="18"/>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8"/>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注：评标标准中所涉及到的证书及材料，均应在电子投标文件中提供原件扫描件（或图片）。</w:t>
      </w:r>
    </w:p>
    <w:p>
      <w:pPr>
        <w:pStyle w:val="18"/>
        <w:spacing w:line="360" w:lineRule="auto"/>
        <w:ind w:firstLine="422" w:firstLineChars="200"/>
        <w:contextualSpacing/>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（1）价格分计算</w:t>
      </w:r>
    </w:p>
    <w:p>
      <w:pPr>
        <w:pStyle w:val="18"/>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8"/>
        <w:spacing w:line="360" w:lineRule="auto"/>
        <w:ind w:firstLine="420" w:firstLineChars="200"/>
        <w:contextualSpacing/>
        <w:rPr>
          <w:rFonts w:ascii="ˎ̥" w:hAnsi="ˎ̥"/>
          <w:color w:val="auto"/>
          <w:highlight w:val="none"/>
        </w:rPr>
      </w:pPr>
      <w:r>
        <w:rPr>
          <w:rFonts w:hint="eastAsia" w:cs="仿宋_GB2312" w:asciiTheme="minorEastAsia" w:hAnsiTheme="minorEastAsia" w:eastAsiaTheme="minorEastAsia"/>
          <w:color w:val="auto"/>
          <w:sz w:val="21"/>
          <w:szCs w:val="21"/>
          <w:highlight w:val="none"/>
          <w:lang w:val="zh-CN"/>
        </w:rPr>
        <w:t>1）如果本项目</w:t>
      </w:r>
      <w:r>
        <w:rPr>
          <w:rFonts w:hint="eastAsia" w:ascii="ˎ̥" w:hAnsi="ˎ̥"/>
          <w:color w:val="auto"/>
          <w:sz w:val="21"/>
          <w:szCs w:val="21"/>
          <w:highlight w:val="none"/>
        </w:rPr>
        <w:t>非专门面向中小企业采购，对</w:t>
      </w:r>
      <w:r>
        <w:rPr>
          <w:rFonts w:ascii="ˎ̥" w:hAnsi="ˎ̥"/>
          <w:color w:val="auto"/>
          <w:sz w:val="21"/>
          <w:szCs w:val="21"/>
          <w:highlight w:val="none"/>
        </w:rPr>
        <w:t>符合</w:t>
      </w:r>
      <w:r>
        <w:rPr>
          <w:rFonts w:hint="eastAsia" w:ascii="ˎ̥" w:hAnsi="ˎ̥"/>
          <w:color w:val="auto"/>
          <w:sz w:val="21"/>
          <w:szCs w:val="21"/>
          <w:highlight w:val="none"/>
        </w:rPr>
        <w:t>《政府采购促进中小企业发展管理办法》(财库〔2020〕46号、《关于进一步加大政府采购支持中小企业力度的通知》（财库〔2022〕19号）</w:t>
      </w:r>
      <w:r>
        <w:rPr>
          <w:rFonts w:ascii="ˎ̥" w:hAnsi="ˎ̥"/>
          <w:color w:val="auto"/>
          <w:sz w:val="21"/>
          <w:szCs w:val="21"/>
          <w:highlight w:val="none"/>
        </w:rPr>
        <w:t>规定的小微企业报价</w:t>
      </w:r>
      <w:r>
        <w:rPr>
          <w:rFonts w:hint="eastAsia" w:ascii="ˎ̥" w:hAnsi="ˎ̥"/>
          <w:color w:val="auto"/>
          <w:sz w:val="21"/>
          <w:szCs w:val="21"/>
          <w:highlight w:val="none"/>
        </w:rPr>
        <w:t>给予20%的扣除，用扣除后的价格参与评审。</w:t>
      </w:r>
      <w:r>
        <w:rPr>
          <w:rFonts w:ascii="ˎ̥" w:hAnsi="ˎ̥"/>
          <w:color w:val="auto"/>
          <w:sz w:val="21"/>
          <w:szCs w:val="21"/>
          <w:highlight w:val="none"/>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color w:val="auto"/>
          <w:sz w:val="21"/>
          <w:szCs w:val="21"/>
          <w:highlight w:val="none"/>
        </w:rPr>
        <w:t>6</w:t>
      </w:r>
      <w:r>
        <w:rPr>
          <w:rFonts w:ascii="ˎ̥" w:hAnsi="ˎ̥"/>
          <w:color w:val="auto"/>
          <w:sz w:val="21"/>
          <w:szCs w:val="21"/>
          <w:highlight w:val="none"/>
        </w:rPr>
        <w:t>%的扣除，用扣除后的价格参加评审。组成联合体或者接受分包的小微企业与联合体内其他企业、分包企业之间存在直接控股、管理关系的，不享受价格扣除优惠政策。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highlight w:val="none"/>
        </w:rPr>
        <w:t>按照本次采购标的所属行业的划型标准，符合条件的中小企业应按照招标文件格式要求提供《中小企业声明函》，</w:t>
      </w:r>
      <w:r>
        <w:rPr>
          <w:rFonts w:ascii="ˎ̥" w:hAnsi="ˎ̥"/>
          <w:color w:val="auto"/>
          <w:sz w:val="21"/>
          <w:szCs w:val="21"/>
          <w:highlight w:val="none"/>
        </w:rPr>
        <w:t>否则不得享受相关中小企业扶持政策。</w:t>
      </w:r>
    </w:p>
    <w:p>
      <w:pPr>
        <w:pStyle w:val="18"/>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小型和微型企业不包含民办非企业单位。</w:t>
      </w:r>
    </w:p>
    <w:p>
      <w:pPr>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2）监狱企业视同小型、微型企业，对监狱企业价格给予2</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zh-CN"/>
        </w:rPr>
        <w:t>的扣除，用扣除后的价格参与评审。监狱企业应当提供由省级以上监狱管理局、戒毒管理局(含新疆生产建设兵团)出具的属于监狱企业的证明文件。</w:t>
      </w:r>
    </w:p>
    <w:p>
      <w:pPr>
        <w:pStyle w:val="18"/>
        <w:spacing w:line="360" w:lineRule="auto"/>
        <w:ind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2</w:t>
      </w:r>
      <w:r>
        <w:rPr>
          <w:rFonts w:hint="eastAsia" w:ascii="宋体" w:hAnsi="宋体" w:cs="宋体"/>
          <w:color w:val="auto"/>
          <w:sz w:val="21"/>
          <w:szCs w:val="21"/>
          <w:highlight w:val="none"/>
        </w:rPr>
        <w:t>0%</w:t>
      </w:r>
      <w:r>
        <w:rPr>
          <w:rFonts w:hint="eastAsia" w:ascii="宋体" w:hAnsi="宋体" w:cs="宋体"/>
          <w:color w:val="auto"/>
          <w:sz w:val="21"/>
          <w:szCs w:val="21"/>
          <w:highlight w:val="none"/>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color w:val="auto"/>
          <w:sz w:val="21"/>
          <w:szCs w:val="21"/>
          <w:highlight w:val="none"/>
        </w:rPr>
        <w:t>残疾人福利性单位属于小型、微型企业的，不重复享受政策。</w:t>
      </w:r>
    </w:p>
    <w:p>
      <w:pPr>
        <w:pStyle w:val="18"/>
        <w:spacing w:line="360" w:lineRule="auto"/>
        <w:ind w:firstLine="422" w:firstLineChars="200"/>
        <w:contextualSpacing/>
        <w:rPr>
          <w:rFonts w:ascii="宋体" w:hAnsi="宋体" w:cs="宋体"/>
          <w:b/>
          <w:color w:val="auto"/>
          <w:sz w:val="21"/>
          <w:szCs w:val="21"/>
          <w:highlight w:val="none"/>
          <w:lang w:val="zh-CN"/>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zh-CN"/>
        </w:rPr>
        <w:t>关于相同品牌产品</w:t>
      </w:r>
      <w:r>
        <w:rPr>
          <w:rFonts w:hint="eastAsia" w:ascii="宋体" w:hAnsi="宋体" w:cs="宋体"/>
          <w:b/>
          <w:bCs/>
          <w:color w:val="auto"/>
          <w:sz w:val="21"/>
          <w:szCs w:val="21"/>
          <w:highlight w:val="none"/>
          <w:lang w:val="zh-CN"/>
        </w:rPr>
        <w:t>（服务类项目不适用本条款规定）</w:t>
      </w:r>
    </w:p>
    <w:p>
      <w:pPr>
        <w:pStyle w:val="18"/>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8"/>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8"/>
        <w:spacing w:line="360" w:lineRule="auto"/>
        <w:ind w:firstLine="422" w:firstLineChars="200"/>
        <w:contextualSpacing/>
        <w:rPr>
          <w:rFonts w:ascii="宋体" w:hAnsi="宋体" w:cs="宋体"/>
          <w:b/>
          <w:color w:val="auto"/>
          <w:sz w:val="21"/>
          <w:szCs w:val="21"/>
          <w:highlight w:val="none"/>
          <w:lang w:val="zh-CN"/>
        </w:rPr>
      </w:pPr>
      <w:r>
        <w:rPr>
          <w:rFonts w:hint="eastAsia" w:ascii="宋体" w:hAnsi="宋体" w:cs="宋体"/>
          <w:b/>
          <w:color w:val="auto"/>
          <w:sz w:val="21"/>
          <w:szCs w:val="21"/>
          <w:highlight w:val="none"/>
        </w:rPr>
        <w:t>（3）强制采购节能产品和优先采购节能产品、优先采购环保产品</w:t>
      </w:r>
    </w:p>
    <w:p>
      <w:pPr>
        <w:pStyle w:val="18"/>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1）对《节能产品政府采购品目清单》所列的政府强制采购节能产品</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投标人投标文件中应提供具有国家确定的认证机构出具的、处于有效期之内的节能产品或环境标志产品认证证书，否则将承担其投标被视为非实质性响应投标的风险。</w:t>
      </w:r>
    </w:p>
    <w:p>
      <w:pPr>
        <w:pStyle w:val="18"/>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8"/>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8"/>
        <w:spacing w:line="360" w:lineRule="auto"/>
        <w:ind w:firstLine="465"/>
        <w:contextualSpacing/>
        <w:jc w:val="lef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（4）关于强制性产品认证</w:t>
      </w:r>
    </w:p>
    <w:p>
      <w:pPr>
        <w:spacing w:line="360" w:lineRule="auto"/>
        <w:ind w:firstLine="420" w:firstLineChars="200"/>
        <w:contextualSpacing/>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2)投标人所投产品如被列入《信息安全产品强制性认证目录》，</w:t>
      </w:r>
      <w:r>
        <w:rPr>
          <w:rFonts w:hint="eastAsia" w:ascii="宋体" w:hAnsi="宋体" w:eastAsia="宋体" w:cs="宋体"/>
          <w:color w:val="auto"/>
          <w:szCs w:val="21"/>
          <w:highlight w:val="none"/>
          <w:lang w:val="zh-CN"/>
        </w:rPr>
        <w:t>则投标文件中应根据本项目招标文件“第二章 项目需求”提供：</w:t>
      </w:r>
    </w:p>
    <w:p>
      <w:pPr>
        <w:wordWrap w:val="0"/>
        <w:autoSpaceDE w:val="0"/>
        <w:autoSpaceDN w:val="0"/>
        <w:spacing w:line="360" w:lineRule="auto"/>
        <w:ind w:firstLine="420" w:firstLineChars="200"/>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①中国信息安全认证中心官网（http://www.isccc.gov.cn/index.shtml）产品查询结果截图并加盖投标人公章；</w:t>
      </w:r>
    </w:p>
    <w:p>
      <w:pPr>
        <w:wordWrap w:val="0"/>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②中国信息安全认证中心</w:t>
      </w:r>
      <w:r>
        <w:rPr>
          <w:rFonts w:hint="eastAsia" w:ascii="宋体" w:hAnsi="宋体" w:eastAsia="宋体" w:cs="宋体"/>
          <w:color w:val="auto"/>
          <w:szCs w:val="21"/>
          <w:highlight w:val="none"/>
          <w:lang w:val="zh-CN"/>
        </w:rPr>
        <w:t>颁发的《中国国家信息安全产品认证证书》加盖投标人公章的原件扫描件（或图片）。</w:t>
      </w:r>
    </w:p>
    <w:p>
      <w:pPr>
        <w:wordWrap w:val="0"/>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val="zh-CN"/>
        </w:rPr>
        <w:t>注：仅需提供序号</w:t>
      </w:r>
      <w:r>
        <w:rPr>
          <w:rFonts w:hint="eastAsia" w:ascii="宋体" w:hAnsi="宋体" w:eastAsia="宋体" w:cs="宋体"/>
          <w:color w:val="auto"/>
          <w:szCs w:val="21"/>
          <w:highlight w:val="none"/>
        </w:rPr>
        <w:t>①～②其中之一即可。</w:t>
      </w:r>
    </w:p>
    <w:p>
      <w:pPr>
        <w:tabs>
          <w:tab w:val="left" w:pos="1260"/>
        </w:tabs>
        <w:autoSpaceDE w:val="0"/>
        <w:autoSpaceDN w:val="0"/>
        <w:spacing w:line="360" w:lineRule="auto"/>
        <w:ind w:firstLine="422" w:firstLineChars="200"/>
        <w:contextualSpacing/>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）投标无效情形</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2）符合性审查资料未按招标文件要求签署、盖章的；</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e.不同投标人的投标文件相互混装；</w:t>
      </w:r>
    </w:p>
    <w:p>
      <w:pPr>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5）法律、法规和招标文件规定的其他无效情形。</w:t>
      </w:r>
    </w:p>
    <w:p>
      <w:pPr>
        <w:pStyle w:val="18"/>
        <w:spacing w:line="360" w:lineRule="auto"/>
        <w:ind w:firstLine="422" w:firstLineChars="200"/>
        <w:contextualSpacing/>
        <w:rPr>
          <w:rFonts w:hint="eastAsia"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w:t>
      </w:r>
      <w:r>
        <w:rPr>
          <w:rFonts w:hint="eastAsia" w:cs="仿宋_GB2312" w:asciiTheme="minorEastAsia" w:hAnsiTheme="minorEastAsia" w:eastAsiaTheme="minorEastAsia"/>
          <w:b/>
          <w:color w:val="auto"/>
          <w:sz w:val="21"/>
          <w:szCs w:val="21"/>
          <w:highlight w:val="none"/>
          <w:lang w:val="en-US" w:eastAsia="zh-CN"/>
        </w:rPr>
        <w:t>6</w:t>
      </w:r>
      <w:r>
        <w:rPr>
          <w:rFonts w:hint="eastAsia" w:cs="仿宋_GB2312" w:asciiTheme="minorEastAsia" w:hAnsiTheme="minorEastAsia" w:eastAsiaTheme="minorEastAsia"/>
          <w:b/>
          <w:color w:val="auto"/>
          <w:sz w:val="21"/>
          <w:szCs w:val="21"/>
          <w:highlight w:val="none"/>
          <w:lang w:val="zh-CN"/>
        </w:rPr>
        <w:t>）评标标准</w:t>
      </w:r>
    </w:p>
    <w:p>
      <w:pPr>
        <w:pStyle w:val="18"/>
        <w:spacing w:line="360" w:lineRule="auto"/>
        <w:ind w:firstLine="482" w:firstLineChars="200"/>
        <w:contextualSpacing/>
        <w:rPr>
          <w:rFonts w:hint="eastAsia" w:ascii="宋体" w:hAnsi="宋体" w:eastAsia="宋体" w:cs="黑体"/>
          <w:b/>
          <w:bCs/>
          <w:sz w:val="24"/>
          <w:szCs w:val="24"/>
          <w:highlight w:val="none"/>
          <w:shd w:val="clear" w:color="auto" w:fill="FFFFFF"/>
          <w:lang w:eastAsia="zh-CN"/>
        </w:rPr>
      </w:pPr>
      <w:r>
        <w:rPr>
          <w:rFonts w:hint="eastAsia" w:ascii="宋体" w:hAnsi="宋体" w:eastAsia="宋体" w:cs="黑体"/>
          <w:b/>
          <w:bCs/>
          <w:sz w:val="24"/>
          <w:szCs w:val="24"/>
          <w:highlight w:val="none"/>
          <w:shd w:val="clear" w:color="auto" w:fill="FFFFFF"/>
          <w:lang w:val="en-US" w:eastAsia="zh-CN"/>
        </w:rPr>
        <w:t>第三标段</w:t>
      </w:r>
      <w:r>
        <w:rPr>
          <w:rFonts w:hint="eastAsia" w:ascii="宋体" w:hAnsi="宋体" w:eastAsia="宋体" w:cs="黑体"/>
          <w:b/>
          <w:bCs/>
          <w:sz w:val="24"/>
          <w:szCs w:val="24"/>
          <w:highlight w:val="none"/>
          <w:shd w:val="clear" w:color="auto" w:fill="FFFFFF"/>
          <w:lang w:eastAsia="zh-CN"/>
        </w:rPr>
        <w:t>评分标准</w:t>
      </w:r>
    </w:p>
    <w:tbl>
      <w:tblPr>
        <w:tblStyle w:val="33"/>
        <w:tblW w:w="10205" w:type="dxa"/>
        <w:jc w:val="center"/>
        <w:tblLayout w:type="autofit"/>
        <w:tblCellMar>
          <w:top w:w="0" w:type="dxa"/>
          <w:left w:w="108" w:type="dxa"/>
          <w:bottom w:w="0" w:type="dxa"/>
          <w:right w:w="108" w:type="dxa"/>
        </w:tblCellMar>
      </w:tblPr>
      <w:tblGrid>
        <w:gridCol w:w="528"/>
        <w:gridCol w:w="821"/>
        <w:gridCol w:w="1342"/>
        <w:gridCol w:w="839"/>
        <w:gridCol w:w="6675"/>
      </w:tblGrid>
      <w:tr>
        <w:tblPrEx>
          <w:tblCellMar>
            <w:top w:w="0" w:type="dxa"/>
            <w:left w:w="108" w:type="dxa"/>
            <w:bottom w:w="0" w:type="dxa"/>
            <w:right w:w="108" w:type="dxa"/>
          </w:tblCellMar>
        </w:tblPrEx>
        <w:trPr>
          <w:trHeight w:val="540" w:hRule="atLeast"/>
          <w:jc w:val="center"/>
        </w:trPr>
        <w:tc>
          <w:tcPr>
            <w:tcW w:w="5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bidi="ar"/>
              </w:rPr>
              <w:t>序号</w:t>
            </w:r>
          </w:p>
        </w:tc>
        <w:tc>
          <w:tcPr>
            <w:tcW w:w="21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bidi="ar"/>
              </w:rPr>
              <w:t>评分因素</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bidi="ar"/>
              </w:rPr>
              <w:t>分值</w:t>
            </w:r>
          </w:p>
        </w:tc>
        <w:tc>
          <w:tcPr>
            <w:tcW w:w="6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bidi="ar"/>
              </w:rPr>
              <w:t>评分标准</w:t>
            </w:r>
          </w:p>
        </w:tc>
      </w:tr>
      <w:tr>
        <w:tblPrEx>
          <w:tblCellMar>
            <w:top w:w="0" w:type="dxa"/>
            <w:left w:w="108" w:type="dxa"/>
            <w:bottom w:w="0" w:type="dxa"/>
            <w:right w:w="108" w:type="dxa"/>
          </w:tblCellMar>
        </w:tblPrEx>
        <w:trPr>
          <w:trHeight w:val="1642" w:hRule="atLeast"/>
          <w:jc w:val="center"/>
        </w:trPr>
        <w:tc>
          <w:tcPr>
            <w:tcW w:w="0" w:type="auto"/>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1</w:t>
            </w:r>
          </w:p>
        </w:tc>
        <w:tc>
          <w:tcPr>
            <w:tcW w:w="2163" w:type="dxa"/>
            <w:gridSpan w:val="2"/>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lang w:bidi="ar"/>
              </w:rPr>
              <w:t>价格部分</w:t>
            </w:r>
          </w:p>
        </w:tc>
        <w:tc>
          <w:tcPr>
            <w:tcW w:w="839"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3</w:t>
            </w:r>
            <w:r>
              <w:rPr>
                <w:rFonts w:hint="eastAsia" w:ascii="宋体" w:hAnsi="宋体" w:eastAsia="宋体" w:cs="宋体"/>
                <w:kern w:val="0"/>
                <w:sz w:val="21"/>
                <w:szCs w:val="21"/>
                <w:highlight w:val="none"/>
                <w:lang w:val="en-US" w:eastAsia="zh-CN" w:bidi="ar"/>
              </w:rPr>
              <w:t>0</w:t>
            </w:r>
            <w:r>
              <w:rPr>
                <w:rFonts w:hint="eastAsia" w:ascii="宋体" w:hAnsi="宋体" w:eastAsia="宋体" w:cs="宋体"/>
                <w:kern w:val="0"/>
                <w:sz w:val="21"/>
                <w:szCs w:val="21"/>
                <w:highlight w:val="none"/>
                <w:lang w:bidi="ar"/>
              </w:rPr>
              <w:t>分</w:t>
            </w:r>
          </w:p>
        </w:tc>
        <w:tc>
          <w:tcPr>
            <w:tcW w:w="6675"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ind w:right="24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评标基准价：满足招标文件要求的有效投标报价中，最低的投标报价为评标基准价。</w:t>
            </w:r>
          </w:p>
          <w:p>
            <w:pPr>
              <w:spacing w:line="360" w:lineRule="auto"/>
              <w:ind w:right="240"/>
              <w:jc w:val="left"/>
              <w:rPr>
                <w:rFonts w:hint="default" w:ascii="宋体" w:hAnsi="宋体" w:eastAsiaTheme="minorEastAsia"/>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投标报价得分=（评标基准价/投标报价）×</w:t>
            </w:r>
            <w:r>
              <w:rPr>
                <w:rFonts w:hint="eastAsia" w:ascii="宋体" w:hAnsi="宋体"/>
                <w:color w:val="000000" w:themeColor="text1"/>
                <w:highlight w:val="none"/>
                <w:lang w:val="en-US" w:eastAsia="zh-CN"/>
                <w14:textFill>
                  <w14:solidFill>
                    <w14:schemeClr w14:val="tx1"/>
                  </w14:solidFill>
                </w14:textFill>
              </w:rPr>
              <w:t>30</w:t>
            </w:r>
          </w:p>
          <w:p>
            <w:pPr>
              <w:spacing w:line="360" w:lineRule="auto"/>
              <w:ind w:right="24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计算按四舍五入法则。保留小数点后两位。</w:t>
            </w:r>
          </w:p>
          <w:p>
            <w:pPr>
              <w:keepNext w:val="0"/>
              <w:keepLines w:val="0"/>
              <w:pageBreakBefore w:val="0"/>
              <w:kinsoku/>
              <w:wordWrap/>
              <w:overflowPunct/>
              <w:topLinePunct w:val="0"/>
              <w:autoSpaceDE/>
              <w:autoSpaceDN/>
              <w:bidi w:val="0"/>
              <w:adjustRightInd/>
              <w:snapToGrid/>
              <w:spacing w:line="240" w:lineRule="auto"/>
              <w:ind w:right="0" w:firstLine="0"/>
              <w:jc w:val="left"/>
              <w:rPr>
                <w:rFonts w:hint="eastAsia" w:ascii="宋体" w:hAnsi="宋体" w:eastAsia="宋体" w:cs="宋体"/>
                <w:sz w:val="21"/>
                <w:szCs w:val="21"/>
                <w:highlight w:val="none"/>
              </w:rPr>
            </w:pPr>
            <w:r>
              <w:rPr>
                <w:rFonts w:hint="eastAsia" w:ascii="宋体" w:hAnsi="宋体"/>
                <w:color w:val="000000" w:themeColor="text1"/>
                <w:highlight w:val="none"/>
                <w14:textFill>
                  <w14:solidFill>
                    <w14:schemeClr w14:val="tx1"/>
                  </w14:solidFill>
                </w14:textFill>
              </w:rPr>
              <w:t>注：当投标人的报价明显低于常规报价，评标委员会人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r>
      <w:tr>
        <w:tblPrEx>
          <w:tblCellMar>
            <w:top w:w="0" w:type="dxa"/>
            <w:left w:w="108" w:type="dxa"/>
            <w:bottom w:w="0" w:type="dxa"/>
            <w:right w:w="108" w:type="dxa"/>
          </w:tblCellMar>
        </w:tblPrEx>
        <w:trPr>
          <w:trHeight w:val="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2</w:t>
            </w:r>
          </w:p>
        </w:tc>
        <w:tc>
          <w:tcPr>
            <w:tcW w:w="216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kern w:val="0"/>
                <w:sz w:val="21"/>
                <w:szCs w:val="21"/>
                <w:highlight w:val="none"/>
                <w:lang w:bidi="ar"/>
              </w:rPr>
              <w:t>技术部分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FF"/>
                <w:sz w:val="21"/>
                <w:szCs w:val="21"/>
                <w:highlight w:val="none"/>
              </w:rPr>
            </w:pPr>
            <w:r>
              <w:rPr>
                <w:rFonts w:hint="eastAsia" w:ascii="宋体" w:hAnsi="宋体" w:eastAsia="宋体" w:cs="宋体"/>
                <w:color w:val="0000FF"/>
                <w:kern w:val="0"/>
                <w:sz w:val="21"/>
                <w:szCs w:val="21"/>
                <w:highlight w:val="none"/>
                <w:lang w:bidi="ar"/>
              </w:rPr>
              <w:t>40分</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rPr>
            </w:pPr>
            <w:r>
              <w:rPr>
                <w:rFonts w:hint="eastAsia"/>
              </w:rPr>
              <w:t>1.1招标文件采购清单中，带“▲”符号全部满足得</w:t>
            </w:r>
            <w:r>
              <w:rPr>
                <w:rFonts w:hint="eastAsia"/>
                <w:lang w:val="en-US" w:eastAsia="zh-CN"/>
              </w:rPr>
              <w:t>26</w:t>
            </w:r>
            <w:r>
              <w:rPr>
                <w:rFonts w:hint="eastAsia"/>
              </w:rPr>
              <w:t>分，包含：白乳胶、面料(网布)、304不锈钢、冷轧钢板、E1级中密度纤维板、缓冲门铰、胡桃木皮、水性油漆、锁具、缓冲滑轨、</w:t>
            </w:r>
            <w:r>
              <w:rPr>
                <w:rFonts w:hint="eastAsia"/>
                <w:lang w:eastAsia="zh-CN"/>
              </w:rPr>
              <w:t>头层</w:t>
            </w:r>
            <w:r>
              <w:rPr>
                <w:rFonts w:hint="eastAsia"/>
              </w:rPr>
              <w:t>牛皮、海绵、</w:t>
            </w:r>
            <w:r>
              <w:rPr>
                <w:rFonts w:hint="eastAsia"/>
                <w:lang w:eastAsia="zh-CN"/>
              </w:rPr>
              <w:t>三合一扣件</w:t>
            </w:r>
            <w:r>
              <w:rPr>
                <w:rFonts w:hint="eastAsia"/>
              </w:rPr>
              <w:t>共1</w:t>
            </w:r>
            <w:r>
              <w:rPr>
                <w:rFonts w:hint="eastAsia"/>
                <w:lang w:val="en-US" w:eastAsia="zh-CN"/>
              </w:rPr>
              <w:t>3</w:t>
            </w:r>
            <w:r>
              <w:rPr>
                <w:rFonts w:hint="eastAsia"/>
              </w:rPr>
              <w:t>项，提供20</w:t>
            </w:r>
            <w:r>
              <w:rPr>
                <w:rFonts w:hint="eastAsia"/>
                <w:lang w:val="en-US" w:eastAsia="zh-CN"/>
              </w:rPr>
              <w:t>20</w:t>
            </w:r>
            <w:r>
              <w:rPr>
                <w:rFonts w:hint="eastAsia"/>
              </w:rPr>
              <w:t>年1月以来由省级或省级以上家具质量检验机构出具的原材料检验报告复印件（加盖投标人</w:t>
            </w:r>
            <w:r>
              <w:rPr>
                <w:rFonts w:hint="eastAsia"/>
                <w:lang w:eastAsia="zh-CN"/>
              </w:rPr>
              <w:t>印</w:t>
            </w:r>
            <w:r>
              <w:rPr>
                <w:rFonts w:hint="eastAsia"/>
              </w:rPr>
              <w:t>章）予以佐证，满足一项得</w:t>
            </w:r>
            <w:r>
              <w:rPr>
                <w:rFonts w:hint="eastAsia"/>
                <w:lang w:val="en-US" w:eastAsia="zh-CN"/>
              </w:rPr>
              <w:t>2</w:t>
            </w:r>
            <w:r>
              <w:rPr>
                <w:rFonts w:hint="eastAsia"/>
              </w:rPr>
              <w:t>分，此项最多得</w:t>
            </w:r>
            <w:r>
              <w:rPr>
                <w:rFonts w:hint="eastAsia"/>
                <w:lang w:val="en-US" w:eastAsia="zh-CN"/>
              </w:rPr>
              <w:t>22</w:t>
            </w:r>
            <w:r>
              <w:rPr>
                <w:rFonts w:hint="eastAsia"/>
              </w:rPr>
              <w:t>分；</w:t>
            </w:r>
          </w:p>
          <w:p>
            <w:pPr>
              <w:widowControl/>
              <w:textAlignment w:val="center"/>
              <w:rPr>
                <w:rFonts w:hint="eastAsia"/>
              </w:rPr>
            </w:pPr>
            <w:r>
              <w:rPr>
                <w:rFonts w:hint="eastAsia"/>
              </w:rPr>
              <w:t>1.2招标文件采购清单中，未带“▲”</w:t>
            </w:r>
            <w:r>
              <w:rPr>
                <w:rFonts w:hint="eastAsia"/>
                <w:lang w:val="en-US" w:eastAsia="zh-CN"/>
              </w:rPr>
              <w:t>的提供</w:t>
            </w:r>
            <w:r>
              <w:rPr>
                <w:rFonts w:hint="eastAsia"/>
              </w:rPr>
              <w:t>一项</w:t>
            </w:r>
            <w:r>
              <w:rPr>
                <w:rFonts w:hint="eastAsia"/>
                <w:color w:val="FF0000"/>
                <w:highlight w:val="none"/>
              </w:rPr>
              <w:t>省级或省级以上家具质量检验机构出具的检验报告复印件（加盖投标人印章）予以佐证</w:t>
            </w:r>
            <w:r>
              <w:rPr>
                <w:rFonts w:hint="eastAsia"/>
                <w:color w:val="FF0000"/>
                <w:highlight w:val="none"/>
                <w:lang w:eastAsia="zh-CN"/>
              </w:rPr>
              <w:t>的</w:t>
            </w:r>
            <w:r>
              <w:rPr>
                <w:rFonts w:hint="eastAsia"/>
                <w:lang w:val="en-US" w:eastAsia="zh-CN"/>
              </w:rPr>
              <w:t>加0.25分，</w:t>
            </w:r>
            <w:r>
              <w:rPr>
                <w:rFonts w:hint="eastAsia"/>
              </w:rPr>
              <w:t>以此类推，</w:t>
            </w:r>
            <w:r>
              <w:rPr>
                <w:rFonts w:hint="eastAsia"/>
                <w:lang w:val="en-US" w:eastAsia="zh-CN"/>
              </w:rPr>
              <w:t>不提供不得分，此项最多得9分</w:t>
            </w:r>
            <w:r>
              <w:rPr>
                <w:rFonts w:hint="eastAsia"/>
              </w:rPr>
              <w:t>；</w:t>
            </w:r>
          </w:p>
          <w:p>
            <w:pPr>
              <w:widowControl/>
              <w:jc w:val="left"/>
              <w:textAlignment w:val="center"/>
              <w:rPr>
                <w:rFonts w:hint="default" w:eastAsia="宋体"/>
                <w:lang w:val="en-US" w:eastAsia="zh-CN"/>
              </w:rPr>
            </w:pPr>
            <w:r>
              <w:rPr>
                <w:rFonts w:hint="eastAsia"/>
              </w:rPr>
              <w:t>2提供20</w:t>
            </w:r>
            <w:r>
              <w:rPr>
                <w:rFonts w:hint="eastAsia"/>
                <w:lang w:val="en-US" w:eastAsia="zh-CN"/>
              </w:rPr>
              <w:t>20</w:t>
            </w:r>
            <w:r>
              <w:rPr>
                <w:rFonts w:hint="eastAsia"/>
              </w:rPr>
              <w:t>年1月以来由省级或省级以上家具质量检验机构出具的成品检验报告复印件，包含：</w:t>
            </w:r>
            <w:r>
              <w:rPr>
                <w:rFonts w:hint="eastAsia"/>
                <w:lang w:eastAsia="zh-CN"/>
              </w:rPr>
              <w:t>会议桌</w:t>
            </w:r>
            <w:r>
              <w:rPr>
                <w:rFonts w:hint="eastAsia"/>
              </w:rPr>
              <w:t>(水性漆)、办公桌(水性漆)、沙发(水性漆)，共</w:t>
            </w:r>
            <w:r>
              <w:rPr>
                <w:rFonts w:hint="eastAsia"/>
                <w:lang w:val="en-US" w:eastAsia="zh-CN"/>
              </w:rPr>
              <w:t>3</w:t>
            </w:r>
            <w:r>
              <w:rPr>
                <w:rFonts w:hint="eastAsia"/>
              </w:rPr>
              <w:t>项，提供有一项</w:t>
            </w:r>
            <w:r>
              <w:rPr>
                <w:rFonts w:hint="eastAsia"/>
                <w:lang w:val="en-US" w:eastAsia="zh-CN"/>
              </w:rPr>
              <w:t>3</w:t>
            </w:r>
            <w:r>
              <w:rPr>
                <w:rFonts w:hint="eastAsia"/>
              </w:rPr>
              <w:t>分，此项最多得</w:t>
            </w:r>
            <w:r>
              <w:rPr>
                <w:rFonts w:hint="eastAsia"/>
                <w:lang w:val="en-US" w:eastAsia="zh-CN"/>
              </w:rPr>
              <w:t>9</w:t>
            </w:r>
            <w:r>
              <w:rPr>
                <w:rFonts w:hint="eastAsia"/>
              </w:rPr>
              <w:t>分；</w:t>
            </w:r>
          </w:p>
        </w:tc>
      </w:tr>
      <w:tr>
        <w:tblPrEx>
          <w:tblCellMar>
            <w:top w:w="0" w:type="dxa"/>
            <w:left w:w="108" w:type="dxa"/>
            <w:bottom w:w="0" w:type="dxa"/>
            <w:right w:w="108" w:type="dxa"/>
          </w:tblCellMar>
        </w:tblPrEx>
        <w:trPr>
          <w:trHeight w:val="257" w:hRule="atLeast"/>
          <w:jc w:val="center"/>
        </w:trPr>
        <w:tc>
          <w:tcPr>
            <w:tcW w:w="0" w:type="auto"/>
            <w:vMerge w:val="restart"/>
            <w:tcBorders>
              <w:top w:val="single" w:color="auto" w:sz="4" w:space="0"/>
              <w:left w:val="single" w:color="000000" w:sz="4" w:space="0"/>
              <w:right w:val="single" w:color="000000" w:sz="4" w:space="0"/>
            </w:tcBorders>
            <w:noWrap/>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3</w:t>
            </w:r>
          </w:p>
          <w:p>
            <w:pPr>
              <w:textAlignment w:val="center"/>
              <w:rPr>
                <w:rFonts w:hint="eastAsia" w:ascii="宋体" w:hAnsi="宋体" w:eastAsia="宋体" w:cs="宋体"/>
                <w:sz w:val="21"/>
                <w:szCs w:val="21"/>
                <w:highlight w:val="none"/>
              </w:rPr>
            </w:pPr>
          </w:p>
        </w:tc>
        <w:tc>
          <w:tcPr>
            <w:tcW w:w="821" w:type="dxa"/>
            <w:vMerge w:val="restart"/>
            <w:tcBorders>
              <w:top w:val="single" w:color="auto" w:sz="4" w:space="0"/>
              <w:left w:val="single" w:color="000000" w:sz="4" w:space="0"/>
              <w:right w:val="single" w:color="000000" w:sz="4" w:space="0"/>
            </w:tcBorders>
            <w:noWrap/>
            <w:vAlign w:val="center"/>
          </w:tcPr>
          <w:p>
            <w:pPr>
              <w:widowControl/>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商务部分</w:t>
            </w:r>
            <w:r>
              <w:rPr>
                <w:rFonts w:hint="eastAsia" w:ascii="宋体" w:hAnsi="宋体" w:eastAsia="宋体" w:cs="宋体"/>
                <w:sz w:val="21"/>
                <w:szCs w:val="21"/>
                <w:highlight w:val="none"/>
                <w:lang w:val="en-US" w:eastAsia="zh-CN"/>
              </w:rPr>
              <w:t>30分</w:t>
            </w:r>
          </w:p>
        </w:tc>
        <w:tc>
          <w:tcPr>
            <w:tcW w:w="1342"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项目实施方案</w:t>
            </w:r>
          </w:p>
        </w:tc>
        <w:tc>
          <w:tcPr>
            <w:tcW w:w="839"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7分</w:t>
            </w:r>
          </w:p>
        </w:tc>
        <w:tc>
          <w:tcPr>
            <w:tcW w:w="6675"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lang w:eastAsia="zh-CN"/>
              </w:rPr>
            </w:pPr>
            <w:r>
              <w:rPr>
                <w:rFonts w:hint="eastAsia"/>
              </w:rPr>
              <w:t>根据投标人针对本项目制定的实施方案，包括但不限于供货计划、人员配置、配送保障、安全措施、质量控制、维修保养、应急措施等内容，方案阐述条理清晰，逻辑严谨</w:t>
            </w:r>
            <w:r>
              <w:rPr>
                <w:rFonts w:hint="eastAsia"/>
                <w:lang w:eastAsia="zh-CN"/>
              </w:rPr>
              <w:t>。</w:t>
            </w:r>
          </w:p>
          <w:p>
            <w:pPr>
              <w:widowControl/>
              <w:jc w:val="left"/>
              <w:textAlignment w:val="center"/>
              <w:rPr>
                <w:rFonts w:hint="eastAsia"/>
              </w:rPr>
            </w:pPr>
            <w:r>
              <w:rPr>
                <w:rFonts w:hint="eastAsia"/>
              </w:rPr>
              <w:t>方案制定合理、科学、可行性优秀者得</w:t>
            </w:r>
            <w:r>
              <w:rPr>
                <w:rFonts w:hint="eastAsia"/>
                <w:lang w:val="en-US" w:eastAsia="zh-CN"/>
              </w:rPr>
              <w:t>7</w:t>
            </w:r>
            <w:r>
              <w:rPr>
                <w:rFonts w:hint="eastAsia"/>
              </w:rPr>
              <w:t>分；</w:t>
            </w:r>
          </w:p>
          <w:p>
            <w:pPr>
              <w:widowControl/>
              <w:jc w:val="left"/>
              <w:textAlignment w:val="center"/>
              <w:rPr>
                <w:rFonts w:hint="eastAsia"/>
              </w:rPr>
            </w:pPr>
            <w:r>
              <w:rPr>
                <w:rFonts w:hint="eastAsia"/>
              </w:rPr>
              <w:t>方案制定合理、可行性良好者得</w:t>
            </w:r>
            <w:r>
              <w:rPr>
                <w:rFonts w:hint="eastAsia"/>
                <w:lang w:val="en-US" w:eastAsia="zh-CN"/>
              </w:rPr>
              <w:t>4</w:t>
            </w:r>
            <w:r>
              <w:rPr>
                <w:rFonts w:hint="eastAsia"/>
              </w:rPr>
              <w:t>分；</w:t>
            </w:r>
          </w:p>
          <w:p>
            <w:pPr>
              <w:widowControl/>
              <w:jc w:val="left"/>
              <w:textAlignment w:val="center"/>
              <w:rPr>
                <w:rFonts w:hint="eastAsia"/>
              </w:rPr>
            </w:pPr>
            <w:r>
              <w:rPr>
                <w:rFonts w:hint="eastAsia"/>
              </w:rPr>
              <w:t>方案制定基本合理得</w:t>
            </w:r>
            <w:r>
              <w:rPr>
                <w:rFonts w:hint="eastAsia"/>
                <w:lang w:val="en-US" w:eastAsia="zh-CN"/>
              </w:rPr>
              <w:t>2</w:t>
            </w:r>
            <w:r>
              <w:rPr>
                <w:rFonts w:hint="eastAsia"/>
              </w:rPr>
              <w:t>分；</w:t>
            </w:r>
          </w:p>
          <w:p>
            <w:pPr>
              <w:pStyle w:val="2"/>
              <w:rPr>
                <w:rFonts w:hint="eastAsia"/>
              </w:rPr>
            </w:pPr>
            <w:r>
              <w:rPr>
                <w:rFonts w:hint="eastAsia"/>
                <w:color w:val="000000"/>
              </w:rPr>
              <w:t>未提供者得0分。</w:t>
            </w:r>
          </w:p>
        </w:tc>
      </w:tr>
      <w:tr>
        <w:tblPrEx>
          <w:tblCellMar>
            <w:top w:w="0" w:type="dxa"/>
            <w:left w:w="108" w:type="dxa"/>
            <w:bottom w:w="0" w:type="dxa"/>
            <w:right w:w="108" w:type="dxa"/>
          </w:tblCellMar>
        </w:tblPrEx>
        <w:trPr>
          <w:trHeight w:val="233" w:hRule="atLeast"/>
          <w:jc w:val="center"/>
        </w:trPr>
        <w:tc>
          <w:tcPr>
            <w:tcW w:w="0" w:type="auto"/>
            <w:vMerge w:val="continue"/>
            <w:tcBorders>
              <w:left w:val="single" w:color="000000" w:sz="4" w:space="0"/>
              <w:right w:val="single" w:color="000000" w:sz="4" w:space="0"/>
            </w:tcBorders>
            <w:noWrap/>
            <w:vAlign w:val="center"/>
          </w:tcPr>
          <w:p>
            <w:pPr>
              <w:jc w:val="center"/>
              <w:textAlignment w:val="center"/>
              <w:rPr>
                <w:rFonts w:hint="eastAsia" w:ascii="宋体" w:hAnsi="宋体" w:eastAsia="宋体" w:cs="宋体"/>
                <w:sz w:val="21"/>
                <w:szCs w:val="21"/>
                <w:highlight w:val="none"/>
              </w:rPr>
            </w:pPr>
          </w:p>
        </w:tc>
        <w:tc>
          <w:tcPr>
            <w:tcW w:w="821" w:type="dxa"/>
            <w:vMerge w:val="continue"/>
            <w:tcBorders>
              <w:left w:val="single" w:color="000000" w:sz="4" w:space="0"/>
              <w:right w:val="single" w:color="000000" w:sz="4" w:space="0"/>
            </w:tcBorders>
            <w:noWrap/>
            <w:vAlign w:val="center"/>
          </w:tcPr>
          <w:p>
            <w:pPr>
              <w:widowControl/>
              <w:jc w:val="center"/>
              <w:textAlignment w:val="center"/>
              <w:rPr>
                <w:rFonts w:hint="eastAsia" w:ascii="宋体" w:hAnsi="宋体" w:eastAsia="宋体" w:cs="宋体"/>
                <w:sz w:val="21"/>
                <w:szCs w:val="21"/>
                <w:highlight w:val="none"/>
              </w:rPr>
            </w:pP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投标人综合实力</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11分</w:t>
            </w:r>
          </w:p>
        </w:tc>
        <w:tc>
          <w:tcPr>
            <w:tcW w:w="6675" w:type="dxa"/>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宋体" w:hAnsi="宋体" w:eastAsia="宋体" w:cs="宋体"/>
                <w:kern w:val="0"/>
                <w:sz w:val="21"/>
                <w:szCs w:val="21"/>
                <w:highlight w:val="none"/>
                <w:lang w:eastAsia="zh-CN" w:bidi="ar"/>
              </w:rPr>
            </w:pPr>
          </w:p>
          <w:p>
            <w:pPr>
              <w:widowControl/>
              <w:jc w:val="left"/>
              <w:textAlignment w:val="top"/>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bidi="ar"/>
              </w:rPr>
              <w:t>1.投标人取得质量管理体系认证证书，认证覆盖范围包含：实木家具、钢木家具、涂饰人造板类家具、软体家具，共</w:t>
            </w:r>
            <w:r>
              <w:rPr>
                <w:rFonts w:hint="eastAsia" w:ascii="宋体" w:hAnsi="宋体" w:eastAsia="宋体" w:cs="宋体"/>
                <w:kern w:val="0"/>
                <w:sz w:val="21"/>
                <w:szCs w:val="21"/>
                <w:highlight w:val="none"/>
                <w:lang w:val="en-US" w:eastAsia="zh-CN" w:bidi="ar"/>
              </w:rPr>
              <w:t>4</w:t>
            </w:r>
            <w:r>
              <w:rPr>
                <w:rFonts w:hint="eastAsia" w:ascii="宋体" w:hAnsi="宋体" w:eastAsia="宋体" w:cs="宋体"/>
                <w:kern w:val="0"/>
                <w:sz w:val="21"/>
                <w:szCs w:val="21"/>
                <w:highlight w:val="none"/>
                <w:lang w:bidi="ar"/>
              </w:rPr>
              <w:t>项；每有一项得0.2</w:t>
            </w:r>
            <w:r>
              <w:rPr>
                <w:rFonts w:hint="eastAsia" w:ascii="宋体" w:hAnsi="宋体" w:eastAsia="宋体" w:cs="宋体"/>
                <w:kern w:val="0"/>
                <w:sz w:val="21"/>
                <w:szCs w:val="21"/>
                <w:highlight w:val="none"/>
                <w:lang w:val="en-US" w:eastAsia="zh-CN" w:bidi="ar"/>
              </w:rPr>
              <w:t>5</w:t>
            </w:r>
            <w:r>
              <w:rPr>
                <w:rFonts w:hint="eastAsia" w:ascii="宋体" w:hAnsi="宋体" w:eastAsia="宋体" w:cs="宋体"/>
                <w:kern w:val="0"/>
                <w:sz w:val="21"/>
                <w:szCs w:val="21"/>
                <w:highlight w:val="none"/>
                <w:lang w:bidi="ar"/>
              </w:rPr>
              <w:t>分，完全提供得1分</w:t>
            </w:r>
            <w:r>
              <w:rPr>
                <w:rFonts w:hint="eastAsia" w:ascii="宋体" w:hAnsi="宋体" w:eastAsia="宋体" w:cs="宋体"/>
                <w:kern w:val="0"/>
                <w:sz w:val="21"/>
                <w:szCs w:val="21"/>
                <w:highlight w:val="none"/>
                <w:lang w:eastAsia="zh-CN" w:bidi="ar"/>
              </w:rPr>
              <w:t>，</w:t>
            </w:r>
            <w:r>
              <w:rPr>
                <w:rFonts w:hint="eastAsia"/>
                <w:color w:val="000000"/>
              </w:rPr>
              <w:t>未提供者得0分。</w:t>
            </w:r>
          </w:p>
          <w:p>
            <w:pPr>
              <w:widowControl/>
              <w:jc w:val="left"/>
              <w:textAlignment w:val="top"/>
              <w:rPr>
                <w:rFonts w:hint="eastAsia" w:ascii="宋体" w:hAnsi="宋体" w:eastAsia="宋体" w:cs="宋体"/>
                <w:kern w:val="0"/>
                <w:sz w:val="21"/>
                <w:szCs w:val="21"/>
                <w:highlight w:val="none"/>
                <w:lang w:eastAsia="zh-CN" w:bidi="ar"/>
              </w:rPr>
            </w:pPr>
            <w:r>
              <w:rPr>
                <w:rFonts w:hint="eastAsia" w:ascii="宋体" w:hAnsi="宋体" w:eastAsia="宋体" w:cs="宋体"/>
                <w:kern w:val="0"/>
                <w:sz w:val="21"/>
                <w:szCs w:val="21"/>
                <w:highlight w:val="none"/>
                <w:lang w:bidi="ar"/>
              </w:rPr>
              <w:t>2.投标人取得环境管理体系认证证书，认证覆盖范围包含：实木家具、钢木家具、涂饰人造板类家具、软体家具，共</w:t>
            </w:r>
            <w:r>
              <w:rPr>
                <w:rFonts w:hint="eastAsia" w:ascii="宋体" w:hAnsi="宋体" w:eastAsia="宋体" w:cs="宋体"/>
                <w:kern w:val="0"/>
                <w:sz w:val="21"/>
                <w:szCs w:val="21"/>
                <w:highlight w:val="none"/>
                <w:lang w:val="en-US" w:eastAsia="zh-CN" w:bidi="ar"/>
              </w:rPr>
              <w:t>4</w:t>
            </w:r>
            <w:r>
              <w:rPr>
                <w:rFonts w:hint="eastAsia" w:ascii="宋体" w:hAnsi="宋体" w:eastAsia="宋体" w:cs="宋体"/>
                <w:kern w:val="0"/>
                <w:sz w:val="21"/>
                <w:szCs w:val="21"/>
                <w:highlight w:val="none"/>
                <w:lang w:bidi="ar"/>
              </w:rPr>
              <w:t>项；每有一项得0.2</w:t>
            </w:r>
            <w:r>
              <w:rPr>
                <w:rFonts w:hint="eastAsia" w:ascii="宋体" w:hAnsi="宋体" w:eastAsia="宋体" w:cs="宋体"/>
                <w:kern w:val="0"/>
                <w:sz w:val="21"/>
                <w:szCs w:val="21"/>
                <w:highlight w:val="none"/>
                <w:lang w:val="en-US" w:eastAsia="zh-CN" w:bidi="ar"/>
              </w:rPr>
              <w:t>5</w:t>
            </w:r>
            <w:r>
              <w:rPr>
                <w:rFonts w:hint="eastAsia" w:ascii="宋体" w:hAnsi="宋体" w:eastAsia="宋体" w:cs="宋体"/>
                <w:kern w:val="0"/>
                <w:sz w:val="21"/>
                <w:szCs w:val="21"/>
                <w:highlight w:val="none"/>
                <w:lang w:bidi="ar"/>
              </w:rPr>
              <w:t>分，完全提供得1分，</w:t>
            </w:r>
            <w:r>
              <w:rPr>
                <w:rFonts w:hint="eastAsia"/>
                <w:color w:val="000000"/>
              </w:rPr>
              <w:t>未提供者得0分</w:t>
            </w:r>
            <w:r>
              <w:rPr>
                <w:rFonts w:hint="eastAsia" w:ascii="宋体" w:hAnsi="宋体" w:eastAsia="宋体" w:cs="宋体"/>
                <w:kern w:val="0"/>
                <w:sz w:val="21"/>
                <w:szCs w:val="21"/>
                <w:highlight w:val="none"/>
                <w:lang w:bidi="ar"/>
              </w:rPr>
              <w:t>；</w:t>
            </w:r>
          </w:p>
          <w:p>
            <w:pPr>
              <w:widowControl/>
              <w:jc w:val="left"/>
              <w:textAlignment w:val="top"/>
              <w:rPr>
                <w:rFonts w:hint="eastAsia" w:ascii="宋体" w:hAnsi="宋体" w:eastAsia="宋体" w:cs="宋体"/>
                <w:kern w:val="0"/>
                <w:sz w:val="21"/>
                <w:szCs w:val="21"/>
                <w:highlight w:val="none"/>
                <w:lang w:eastAsia="zh-CN" w:bidi="ar"/>
              </w:rPr>
            </w:pPr>
            <w:r>
              <w:rPr>
                <w:rFonts w:hint="eastAsia" w:ascii="宋体" w:hAnsi="宋体" w:eastAsia="宋体" w:cs="宋体"/>
                <w:kern w:val="0"/>
                <w:sz w:val="21"/>
                <w:szCs w:val="21"/>
                <w:highlight w:val="none"/>
                <w:lang w:bidi="ar"/>
              </w:rPr>
              <w:t>3.投标人取得职业健康安全管理体系认证证书，其认证覆盖范围包含：实木家具、钢木家具、涂饰人造板类家具、软体家具，共</w:t>
            </w:r>
            <w:r>
              <w:rPr>
                <w:rFonts w:hint="eastAsia" w:ascii="宋体" w:hAnsi="宋体" w:eastAsia="宋体" w:cs="宋体"/>
                <w:kern w:val="0"/>
                <w:sz w:val="21"/>
                <w:szCs w:val="21"/>
                <w:highlight w:val="none"/>
                <w:lang w:val="en-US" w:eastAsia="zh-CN" w:bidi="ar"/>
              </w:rPr>
              <w:t>4</w:t>
            </w:r>
            <w:r>
              <w:rPr>
                <w:rFonts w:hint="eastAsia" w:ascii="宋体" w:hAnsi="宋体" w:eastAsia="宋体" w:cs="宋体"/>
                <w:kern w:val="0"/>
                <w:sz w:val="21"/>
                <w:szCs w:val="21"/>
                <w:highlight w:val="none"/>
                <w:lang w:bidi="ar"/>
              </w:rPr>
              <w:t>项；每有1项得0.2</w:t>
            </w:r>
            <w:r>
              <w:rPr>
                <w:rFonts w:hint="eastAsia" w:ascii="宋体" w:hAnsi="宋体" w:eastAsia="宋体" w:cs="宋体"/>
                <w:kern w:val="0"/>
                <w:sz w:val="21"/>
                <w:szCs w:val="21"/>
                <w:highlight w:val="none"/>
                <w:lang w:val="en-US" w:eastAsia="zh-CN" w:bidi="ar"/>
              </w:rPr>
              <w:t>5</w:t>
            </w:r>
            <w:r>
              <w:rPr>
                <w:rFonts w:hint="eastAsia" w:ascii="宋体" w:hAnsi="宋体" w:eastAsia="宋体" w:cs="宋体"/>
                <w:kern w:val="0"/>
                <w:sz w:val="21"/>
                <w:szCs w:val="21"/>
                <w:highlight w:val="none"/>
                <w:lang w:bidi="ar"/>
              </w:rPr>
              <w:t>分，完全提供得1分，</w:t>
            </w:r>
            <w:r>
              <w:rPr>
                <w:rFonts w:hint="eastAsia"/>
                <w:color w:val="000000"/>
              </w:rPr>
              <w:t>未提供者得0分</w:t>
            </w:r>
            <w:r>
              <w:rPr>
                <w:rFonts w:hint="eastAsia" w:ascii="宋体" w:hAnsi="宋体" w:eastAsia="宋体" w:cs="宋体"/>
                <w:kern w:val="0"/>
                <w:sz w:val="21"/>
                <w:szCs w:val="21"/>
                <w:highlight w:val="none"/>
                <w:lang w:bidi="ar"/>
              </w:rPr>
              <w:t>；</w:t>
            </w:r>
          </w:p>
          <w:p>
            <w:pPr>
              <w:widowControl/>
              <w:jc w:val="left"/>
              <w:textAlignment w:val="top"/>
              <w:rPr>
                <w:rFonts w:hint="eastAsia" w:ascii="宋体" w:hAnsi="宋体" w:eastAsia="宋体" w:cs="宋体"/>
                <w:kern w:val="0"/>
                <w:sz w:val="21"/>
                <w:szCs w:val="21"/>
                <w:highlight w:val="none"/>
                <w:lang w:eastAsia="zh-CN" w:bidi="ar"/>
              </w:rPr>
            </w:pPr>
            <w:r>
              <w:rPr>
                <w:rFonts w:hint="eastAsia" w:ascii="宋体" w:hAnsi="宋体" w:eastAsia="宋体" w:cs="宋体"/>
                <w:kern w:val="0"/>
                <w:sz w:val="21"/>
                <w:szCs w:val="21"/>
                <w:highlight w:val="none"/>
                <w:lang w:bidi="ar"/>
              </w:rPr>
              <w:t>4.投标人符合GB/T 35770-2017/ISO 19600:2014国家标准，取得合规管理体系认证证书得1分，未提供者得0分；</w:t>
            </w:r>
          </w:p>
          <w:p>
            <w:pPr>
              <w:widowControl/>
              <w:jc w:val="left"/>
              <w:textAlignment w:val="top"/>
              <w:rPr>
                <w:rFonts w:hint="eastAsia" w:ascii="宋体" w:hAnsi="宋体" w:eastAsia="宋体" w:cs="宋体"/>
                <w:kern w:val="0"/>
                <w:sz w:val="21"/>
                <w:szCs w:val="21"/>
                <w:highlight w:val="none"/>
                <w:lang w:eastAsia="zh-CN" w:bidi="ar"/>
              </w:rPr>
            </w:pPr>
            <w:r>
              <w:rPr>
                <w:rFonts w:hint="eastAsia" w:ascii="宋体" w:hAnsi="宋体" w:eastAsia="宋体" w:cs="宋体"/>
                <w:kern w:val="0"/>
                <w:sz w:val="21"/>
                <w:szCs w:val="21"/>
                <w:highlight w:val="none"/>
                <w:lang w:bidi="ar"/>
              </w:rPr>
              <w:t>5.投标人通过CTS CICC-S02-2019家具定制服务认证标准，取得家具定制服务认证证书，认证覆盖范围包含(家具设计，实木家具、办公家具的定制服务)，其中：五星级及以上得1分，四星级及三星级得0.5分，三星级以下不得分；</w:t>
            </w:r>
          </w:p>
          <w:p>
            <w:pPr>
              <w:widowControl/>
              <w:jc w:val="left"/>
              <w:textAlignment w:val="top"/>
              <w:rPr>
                <w:rFonts w:hint="eastAsia" w:ascii="宋体" w:hAnsi="宋体" w:eastAsia="宋体" w:cs="宋体"/>
                <w:kern w:val="0"/>
                <w:sz w:val="21"/>
                <w:szCs w:val="21"/>
                <w:highlight w:val="none"/>
                <w:lang w:eastAsia="zh-CN" w:bidi="ar"/>
              </w:rPr>
            </w:pPr>
            <w:r>
              <w:rPr>
                <w:rFonts w:hint="eastAsia" w:ascii="宋体" w:hAnsi="宋体" w:eastAsia="宋体" w:cs="宋体"/>
                <w:kern w:val="0"/>
                <w:sz w:val="21"/>
                <w:szCs w:val="21"/>
                <w:highlight w:val="none"/>
                <w:lang w:bidi="ar"/>
              </w:rPr>
              <w:t>6.投标人取得国家安全生产标准化认证证书，其中一级企业得1分、二级或二级以下得0.5分；</w:t>
            </w:r>
          </w:p>
          <w:p>
            <w:pPr>
              <w:widowControl/>
              <w:jc w:val="left"/>
              <w:textAlignment w:val="top"/>
              <w:rPr>
                <w:rFonts w:hint="eastAsia" w:ascii="宋体" w:hAnsi="宋体" w:eastAsia="宋体" w:cs="宋体"/>
                <w:kern w:val="0"/>
                <w:sz w:val="21"/>
                <w:szCs w:val="21"/>
                <w:highlight w:val="none"/>
                <w:lang w:eastAsia="zh-CN" w:bidi="ar"/>
              </w:rPr>
            </w:pPr>
            <w:r>
              <w:rPr>
                <w:rFonts w:hint="eastAsia" w:ascii="宋体" w:hAnsi="宋体" w:eastAsia="宋体" w:cs="宋体"/>
                <w:kern w:val="0"/>
                <w:sz w:val="21"/>
                <w:szCs w:val="21"/>
                <w:highlight w:val="none"/>
                <w:lang w:bidi="ar"/>
              </w:rPr>
              <w:t>7.投标人取得中国环保产品认证证书，认证覆盖范围包含：金属办公家具、木制办公家具、沙发（皮沙发）的得1分，未提供或提供不全的不得</w:t>
            </w:r>
            <w:r>
              <w:rPr>
                <w:rFonts w:hint="eastAsia" w:ascii="宋体" w:hAnsi="宋体" w:eastAsia="宋体" w:cs="宋体"/>
                <w:kern w:val="0"/>
                <w:sz w:val="21"/>
                <w:szCs w:val="21"/>
                <w:highlight w:val="none"/>
                <w:lang w:val="en-US" w:eastAsia="zh-CN" w:bidi="ar"/>
              </w:rPr>
              <w:t>0</w:t>
            </w:r>
            <w:r>
              <w:rPr>
                <w:rFonts w:hint="eastAsia" w:ascii="宋体" w:hAnsi="宋体" w:eastAsia="宋体" w:cs="宋体"/>
                <w:kern w:val="0"/>
                <w:sz w:val="21"/>
                <w:szCs w:val="21"/>
                <w:highlight w:val="none"/>
                <w:lang w:bidi="ar"/>
              </w:rPr>
              <w:t>分；</w:t>
            </w:r>
          </w:p>
          <w:p>
            <w:pPr>
              <w:widowControl/>
              <w:jc w:val="left"/>
              <w:textAlignment w:val="top"/>
              <w:rPr>
                <w:rFonts w:hint="eastAsia" w:ascii="宋体" w:hAnsi="宋体" w:eastAsia="宋体" w:cs="宋体"/>
                <w:kern w:val="0"/>
                <w:sz w:val="21"/>
                <w:szCs w:val="21"/>
                <w:highlight w:val="none"/>
                <w:lang w:eastAsia="zh-CN" w:bidi="ar"/>
              </w:rPr>
            </w:pPr>
            <w:r>
              <w:rPr>
                <w:rFonts w:hint="eastAsia" w:ascii="宋体" w:hAnsi="宋体" w:eastAsia="宋体" w:cs="宋体"/>
                <w:kern w:val="0"/>
                <w:sz w:val="21"/>
                <w:szCs w:val="21"/>
                <w:highlight w:val="none"/>
                <w:lang w:bidi="ar"/>
              </w:rPr>
              <w:t>8.投标人取得中国环境标志产品认证证书，认证覆盖范围包含：人造板类家具含办公桌（涂饰）、会议桌（涂饰）、</w:t>
            </w:r>
            <w:r>
              <w:rPr>
                <w:rFonts w:hint="eastAsia" w:ascii="宋体" w:hAnsi="宋体" w:eastAsia="宋体" w:cs="宋体"/>
                <w:kern w:val="0"/>
                <w:sz w:val="21"/>
                <w:szCs w:val="21"/>
                <w:highlight w:val="none"/>
                <w:lang w:eastAsia="zh-CN" w:bidi="ar"/>
              </w:rPr>
              <w:t>审判台</w:t>
            </w:r>
            <w:r>
              <w:rPr>
                <w:rFonts w:hint="eastAsia" w:ascii="宋体" w:hAnsi="宋体" w:eastAsia="宋体" w:cs="宋体"/>
                <w:kern w:val="0"/>
                <w:sz w:val="21"/>
                <w:szCs w:val="21"/>
                <w:highlight w:val="none"/>
                <w:lang w:bidi="ar"/>
              </w:rPr>
              <w:t>（涂饰）、</w:t>
            </w:r>
            <w:r>
              <w:rPr>
                <w:rFonts w:hint="eastAsia" w:ascii="宋体" w:hAnsi="宋体" w:eastAsia="宋体" w:cs="宋体"/>
                <w:kern w:val="0"/>
                <w:sz w:val="21"/>
                <w:szCs w:val="21"/>
                <w:highlight w:val="none"/>
                <w:lang w:eastAsia="zh-CN" w:bidi="ar"/>
              </w:rPr>
              <w:t>陪审</w:t>
            </w:r>
            <w:r>
              <w:rPr>
                <w:rFonts w:hint="eastAsia" w:ascii="宋体" w:hAnsi="宋体" w:eastAsia="宋体" w:cs="宋体"/>
                <w:kern w:val="0"/>
                <w:sz w:val="21"/>
                <w:szCs w:val="21"/>
                <w:highlight w:val="none"/>
                <w:lang w:bidi="ar"/>
              </w:rPr>
              <w:t>台（涂饰）</w:t>
            </w:r>
            <w:r>
              <w:rPr>
                <w:rFonts w:hint="eastAsia" w:ascii="宋体" w:hAnsi="宋体" w:eastAsia="宋体" w:cs="宋体"/>
                <w:kern w:val="0"/>
                <w:sz w:val="21"/>
                <w:szCs w:val="21"/>
                <w:highlight w:val="none"/>
                <w:lang w:eastAsia="zh-CN" w:bidi="ar"/>
              </w:rPr>
              <w:t>、书记台</w:t>
            </w:r>
            <w:r>
              <w:rPr>
                <w:rFonts w:hint="eastAsia" w:ascii="宋体" w:hAnsi="宋体" w:eastAsia="宋体" w:cs="宋体"/>
                <w:kern w:val="0"/>
                <w:sz w:val="21"/>
                <w:szCs w:val="21"/>
                <w:highlight w:val="none"/>
                <w:lang w:bidi="ar"/>
              </w:rPr>
              <w:t>（涂饰）；钢木家具含转椅；综合类木家具含</w:t>
            </w:r>
            <w:r>
              <w:rPr>
                <w:rFonts w:hint="eastAsia" w:ascii="宋体" w:hAnsi="宋体" w:eastAsia="宋体" w:cs="宋体"/>
                <w:kern w:val="0"/>
                <w:sz w:val="21"/>
                <w:szCs w:val="21"/>
                <w:highlight w:val="none"/>
                <w:lang w:eastAsia="zh-CN" w:bidi="ar"/>
              </w:rPr>
              <w:t>法官椅、</w:t>
            </w:r>
            <w:r>
              <w:rPr>
                <w:rFonts w:hint="eastAsia" w:ascii="宋体" w:hAnsi="宋体" w:eastAsia="宋体" w:cs="宋体"/>
                <w:kern w:val="0"/>
                <w:sz w:val="21"/>
                <w:szCs w:val="21"/>
                <w:highlight w:val="none"/>
                <w:lang w:bidi="ar"/>
              </w:rPr>
              <w:t>办公椅；软体家具含沙发，共</w:t>
            </w:r>
            <w:r>
              <w:rPr>
                <w:rFonts w:hint="eastAsia" w:ascii="宋体" w:hAnsi="宋体" w:eastAsia="宋体" w:cs="宋体"/>
                <w:kern w:val="0"/>
                <w:sz w:val="21"/>
                <w:szCs w:val="21"/>
                <w:highlight w:val="none"/>
                <w:lang w:val="en-US" w:eastAsia="zh-CN" w:bidi="ar"/>
              </w:rPr>
              <w:t>4</w:t>
            </w:r>
            <w:r>
              <w:rPr>
                <w:rFonts w:hint="eastAsia" w:ascii="宋体" w:hAnsi="宋体" w:eastAsia="宋体" w:cs="宋体"/>
                <w:kern w:val="0"/>
                <w:sz w:val="21"/>
                <w:szCs w:val="21"/>
                <w:highlight w:val="none"/>
                <w:lang w:bidi="ar"/>
              </w:rPr>
              <w:t>项，每有1项得0.2</w:t>
            </w:r>
            <w:r>
              <w:rPr>
                <w:rFonts w:hint="eastAsia" w:ascii="宋体" w:hAnsi="宋体" w:eastAsia="宋体" w:cs="宋体"/>
                <w:kern w:val="0"/>
                <w:sz w:val="21"/>
                <w:szCs w:val="21"/>
                <w:highlight w:val="none"/>
                <w:lang w:val="en-US" w:eastAsia="zh-CN" w:bidi="ar"/>
              </w:rPr>
              <w:t>5</w:t>
            </w:r>
            <w:r>
              <w:rPr>
                <w:rFonts w:hint="eastAsia" w:ascii="宋体" w:hAnsi="宋体" w:eastAsia="宋体" w:cs="宋体"/>
                <w:kern w:val="0"/>
                <w:sz w:val="21"/>
                <w:szCs w:val="21"/>
                <w:highlight w:val="none"/>
                <w:lang w:bidi="ar"/>
              </w:rPr>
              <w:t>分，完全提供得1分，未提供者得0分；</w:t>
            </w:r>
          </w:p>
          <w:p>
            <w:pPr>
              <w:widowControl/>
              <w:jc w:val="left"/>
              <w:textAlignment w:val="top"/>
              <w:rPr>
                <w:rFonts w:hint="eastAsia" w:ascii="宋体" w:hAnsi="宋体" w:eastAsia="宋体" w:cs="宋体"/>
                <w:kern w:val="0"/>
                <w:sz w:val="21"/>
                <w:szCs w:val="21"/>
                <w:highlight w:val="none"/>
                <w:lang w:eastAsia="zh-CN" w:bidi="ar"/>
              </w:rPr>
            </w:pPr>
            <w:r>
              <w:rPr>
                <w:rFonts w:hint="eastAsia" w:ascii="宋体" w:hAnsi="宋体" w:eastAsia="宋体" w:cs="宋体"/>
                <w:kern w:val="0"/>
                <w:sz w:val="21"/>
                <w:szCs w:val="21"/>
                <w:highlight w:val="none"/>
                <w:lang w:bidi="ar"/>
              </w:rPr>
              <w:t>9.投标人取得绿色家具产品认证证书，认证覆盖范围：人造板家具、实木家具、金属家具、沙发、椅类，完全满足得1分，未提供或提供不全者得</w:t>
            </w:r>
            <w:r>
              <w:rPr>
                <w:rFonts w:hint="eastAsia" w:ascii="宋体" w:hAnsi="宋体" w:eastAsia="宋体" w:cs="宋体"/>
                <w:kern w:val="0"/>
                <w:sz w:val="21"/>
                <w:szCs w:val="21"/>
                <w:highlight w:val="none"/>
                <w:lang w:val="en-US" w:eastAsia="zh-CN" w:bidi="ar"/>
              </w:rPr>
              <w:t>0</w:t>
            </w:r>
            <w:r>
              <w:rPr>
                <w:rFonts w:hint="eastAsia" w:ascii="宋体" w:hAnsi="宋体" w:eastAsia="宋体" w:cs="宋体"/>
                <w:kern w:val="0"/>
                <w:sz w:val="21"/>
                <w:szCs w:val="21"/>
                <w:highlight w:val="none"/>
                <w:lang w:bidi="ar"/>
              </w:rPr>
              <w:t>分；</w:t>
            </w:r>
          </w:p>
          <w:p>
            <w:pPr>
              <w:widowControl/>
              <w:jc w:val="left"/>
              <w:textAlignment w:val="top"/>
              <w:rPr>
                <w:rFonts w:hint="eastAsia" w:ascii="宋体" w:hAnsi="宋体" w:eastAsia="宋体" w:cs="宋体"/>
                <w:kern w:val="0"/>
                <w:sz w:val="21"/>
                <w:szCs w:val="21"/>
                <w:highlight w:val="none"/>
                <w:lang w:eastAsia="zh-CN" w:bidi="ar"/>
              </w:rPr>
            </w:pPr>
            <w:r>
              <w:rPr>
                <w:rFonts w:hint="eastAsia" w:ascii="宋体" w:hAnsi="宋体" w:eastAsia="宋体" w:cs="宋体"/>
                <w:kern w:val="0"/>
                <w:sz w:val="21"/>
                <w:szCs w:val="21"/>
                <w:highlight w:val="none"/>
                <w:lang w:bidi="ar"/>
              </w:rPr>
              <w:t>10.投标人取得家具中有害物质限量认证，认证覆盖范围包含：木制办公家具、</w:t>
            </w:r>
            <w:r>
              <w:rPr>
                <w:rFonts w:hint="eastAsia" w:ascii="宋体" w:hAnsi="宋体" w:eastAsia="宋体" w:cs="宋体"/>
                <w:kern w:val="0"/>
                <w:sz w:val="21"/>
                <w:szCs w:val="21"/>
                <w:highlight w:val="none"/>
                <w:lang w:eastAsia="zh-CN" w:bidi="ar"/>
              </w:rPr>
              <w:t>金属办公家具、</w:t>
            </w:r>
            <w:r>
              <w:rPr>
                <w:rFonts w:hint="eastAsia" w:ascii="宋体" w:hAnsi="宋体" w:eastAsia="宋体" w:cs="宋体"/>
                <w:kern w:val="0"/>
                <w:sz w:val="21"/>
                <w:szCs w:val="21"/>
                <w:highlight w:val="none"/>
                <w:lang w:bidi="ar"/>
              </w:rPr>
              <w:t>钢制书柜、货柜（包括架）、金属公共座椅、沙发，完全满足得1分，未提供或提供不全者不得分；</w:t>
            </w:r>
          </w:p>
          <w:p>
            <w:pPr>
              <w:widowControl/>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11.投标人通过人类功效学产品认证，认证覆盖范围包含：办公桌椅、沙发、</w:t>
            </w:r>
            <w:r>
              <w:rPr>
                <w:rFonts w:hint="eastAsia" w:ascii="宋体" w:hAnsi="宋体" w:eastAsia="宋体" w:cs="宋体"/>
                <w:kern w:val="0"/>
                <w:sz w:val="21"/>
                <w:szCs w:val="21"/>
                <w:highlight w:val="none"/>
                <w:lang w:eastAsia="zh-CN" w:bidi="ar"/>
              </w:rPr>
              <w:t>书柜和</w:t>
            </w:r>
            <w:r>
              <w:rPr>
                <w:rFonts w:hint="eastAsia" w:ascii="宋体" w:hAnsi="宋体" w:eastAsia="宋体" w:cs="宋体"/>
                <w:kern w:val="0"/>
                <w:sz w:val="21"/>
                <w:szCs w:val="21"/>
                <w:highlight w:val="none"/>
                <w:lang w:bidi="ar"/>
              </w:rPr>
              <w:t>文件柜、及类似用途家具，完全满足得1分，未提供或提供不全者不得分；</w:t>
            </w:r>
          </w:p>
        </w:tc>
      </w:tr>
      <w:tr>
        <w:tblPrEx>
          <w:tblCellMar>
            <w:top w:w="0" w:type="dxa"/>
            <w:left w:w="108" w:type="dxa"/>
            <w:bottom w:w="0" w:type="dxa"/>
            <w:right w:w="108" w:type="dxa"/>
          </w:tblCellMar>
        </w:tblPrEx>
        <w:trPr>
          <w:trHeight w:val="1080" w:hRule="atLeast"/>
          <w:jc w:val="center"/>
        </w:trPr>
        <w:tc>
          <w:tcPr>
            <w:tcW w:w="0" w:type="auto"/>
            <w:vMerge w:val="continue"/>
            <w:tcBorders>
              <w:left w:val="single" w:color="000000" w:sz="4" w:space="0"/>
              <w:right w:val="single" w:color="000000" w:sz="4" w:space="0"/>
            </w:tcBorders>
            <w:noWrap/>
            <w:vAlign w:val="center"/>
          </w:tcPr>
          <w:p>
            <w:pPr>
              <w:jc w:val="center"/>
              <w:textAlignment w:val="center"/>
              <w:rPr>
                <w:rFonts w:hint="eastAsia" w:ascii="宋体" w:hAnsi="宋体" w:eastAsia="宋体" w:cs="宋体"/>
                <w:sz w:val="21"/>
                <w:szCs w:val="21"/>
                <w:highlight w:val="none"/>
              </w:rPr>
            </w:pPr>
          </w:p>
        </w:tc>
        <w:tc>
          <w:tcPr>
            <w:tcW w:w="821" w:type="dxa"/>
            <w:vMerge w:val="continue"/>
            <w:tcBorders>
              <w:left w:val="single" w:color="000000" w:sz="4" w:space="0"/>
              <w:right w:val="single" w:color="000000" w:sz="4" w:space="0"/>
            </w:tcBorders>
            <w:noWrap/>
            <w:vAlign w:val="center"/>
          </w:tcPr>
          <w:p>
            <w:pPr>
              <w:widowControl/>
              <w:jc w:val="center"/>
              <w:textAlignment w:val="center"/>
              <w:rPr>
                <w:rFonts w:hint="eastAsia" w:ascii="宋体" w:hAnsi="宋体" w:eastAsia="宋体" w:cs="宋体"/>
                <w:sz w:val="21"/>
                <w:szCs w:val="21"/>
                <w:highlight w:val="none"/>
              </w:rPr>
            </w:pP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投标人业绩</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2分</w:t>
            </w:r>
          </w:p>
        </w:tc>
        <w:tc>
          <w:tcPr>
            <w:tcW w:w="66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投标人具有20</w:t>
            </w:r>
            <w:r>
              <w:rPr>
                <w:rFonts w:hint="eastAsia" w:ascii="宋体" w:hAnsi="宋体" w:eastAsia="宋体" w:cs="宋体"/>
                <w:kern w:val="0"/>
                <w:sz w:val="21"/>
                <w:szCs w:val="21"/>
                <w:highlight w:val="none"/>
                <w:lang w:val="en-US" w:eastAsia="zh-CN" w:bidi="ar"/>
              </w:rPr>
              <w:t>20</w:t>
            </w:r>
            <w:r>
              <w:rPr>
                <w:rFonts w:hint="eastAsia" w:ascii="宋体" w:hAnsi="宋体" w:eastAsia="宋体" w:cs="宋体"/>
                <w:kern w:val="0"/>
                <w:sz w:val="21"/>
                <w:szCs w:val="21"/>
                <w:highlight w:val="none"/>
                <w:lang w:bidi="ar"/>
              </w:rPr>
              <w:t>年1月以来至本项目投标截至之日取得的家具类案例，以提供完整的采购合同及中标通知书视为满足条件，每提供1个得0.5分，最多得2分，未提供或提供不完整的不得分；</w:t>
            </w:r>
          </w:p>
        </w:tc>
      </w:tr>
      <w:tr>
        <w:tblPrEx>
          <w:tblCellMar>
            <w:top w:w="0" w:type="dxa"/>
            <w:left w:w="108" w:type="dxa"/>
            <w:bottom w:w="0" w:type="dxa"/>
            <w:right w:w="108" w:type="dxa"/>
          </w:tblCellMar>
        </w:tblPrEx>
        <w:trPr>
          <w:trHeight w:val="2880" w:hRule="atLeast"/>
          <w:jc w:val="center"/>
        </w:trPr>
        <w:tc>
          <w:tcPr>
            <w:tcW w:w="0" w:type="auto"/>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1"/>
                <w:szCs w:val="21"/>
                <w:highlight w:val="none"/>
              </w:rPr>
            </w:pPr>
          </w:p>
        </w:tc>
        <w:tc>
          <w:tcPr>
            <w:tcW w:w="821"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1"/>
                <w:szCs w:val="21"/>
                <w:highlight w:val="none"/>
              </w:rPr>
            </w:pP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售后服务方案</w:t>
            </w:r>
          </w:p>
        </w:tc>
        <w:tc>
          <w:tcPr>
            <w:tcW w:w="8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10</w:t>
            </w:r>
            <w:r>
              <w:rPr>
                <w:rFonts w:hint="eastAsia" w:ascii="宋体" w:hAnsi="宋体" w:eastAsia="宋体" w:cs="宋体"/>
                <w:kern w:val="0"/>
                <w:sz w:val="21"/>
                <w:szCs w:val="21"/>
                <w:highlight w:val="none"/>
                <w:lang w:bidi="ar"/>
              </w:rPr>
              <w:t>分</w:t>
            </w:r>
          </w:p>
        </w:tc>
        <w:tc>
          <w:tcPr>
            <w:tcW w:w="66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color w:val="0000FF"/>
                <w:kern w:val="0"/>
                <w:sz w:val="21"/>
                <w:szCs w:val="21"/>
                <w:highlight w:val="none"/>
                <w:lang w:val="en-US" w:eastAsia="zh-CN" w:bidi="ar"/>
              </w:rPr>
              <w:t>1</w:t>
            </w:r>
            <w:r>
              <w:rPr>
                <w:rFonts w:hint="eastAsia" w:ascii="宋体" w:hAnsi="宋体" w:eastAsia="宋体" w:cs="宋体"/>
                <w:kern w:val="0"/>
                <w:sz w:val="21"/>
                <w:szCs w:val="21"/>
                <w:highlight w:val="none"/>
                <w:lang w:val="en-US" w:eastAsia="zh-CN" w:bidi="ar"/>
              </w:rPr>
              <w:t>.</w:t>
            </w:r>
            <w:r>
              <w:rPr>
                <w:rFonts w:hint="eastAsia" w:ascii="宋体" w:hAnsi="宋体" w:eastAsia="宋体" w:cs="宋体"/>
                <w:kern w:val="0"/>
                <w:sz w:val="21"/>
                <w:szCs w:val="21"/>
                <w:highlight w:val="none"/>
                <w:lang w:bidi="ar"/>
              </w:rPr>
              <w:t>根据投标人针对本项目提供的售后服务方案讲行综合评分:方案包括（产品质保年限、服务响应时间、售后服务内容、售后服务技术支持、本地售后服务机构及联系人电话);</w:t>
            </w:r>
          </w:p>
          <w:p>
            <w:pPr>
              <w:widowControl/>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售后服务方案制定合理、科学、可行性优秀者得</w:t>
            </w:r>
            <w:r>
              <w:rPr>
                <w:rFonts w:hint="eastAsia" w:ascii="宋体" w:hAnsi="宋体" w:eastAsia="宋体" w:cs="宋体"/>
                <w:kern w:val="0"/>
                <w:sz w:val="21"/>
                <w:szCs w:val="21"/>
                <w:highlight w:val="none"/>
                <w:lang w:val="en-US" w:eastAsia="zh-CN" w:bidi="ar"/>
              </w:rPr>
              <w:t>5</w:t>
            </w:r>
            <w:r>
              <w:rPr>
                <w:rFonts w:hint="eastAsia" w:ascii="宋体" w:hAnsi="宋体" w:eastAsia="宋体" w:cs="宋体"/>
                <w:kern w:val="0"/>
                <w:sz w:val="21"/>
                <w:szCs w:val="21"/>
                <w:highlight w:val="none"/>
                <w:lang w:bidi="ar"/>
              </w:rPr>
              <w:t>分；</w:t>
            </w:r>
          </w:p>
          <w:p>
            <w:pPr>
              <w:widowControl/>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售后服务方案制定合理、可行性良好者得</w:t>
            </w:r>
            <w:r>
              <w:rPr>
                <w:rFonts w:hint="eastAsia" w:ascii="宋体" w:hAnsi="宋体" w:eastAsia="宋体" w:cs="宋体"/>
                <w:kern w:val="0"/>
                <w:sz w:val="21"/>
                <w:szCs w:val="21"/>
                <w:highlight w:val="none"/>
                <w:lang w:val="en-US" w:eastAsia="zh-CN" w:bidi="ar"/>
              </w:rPr>
              <w:t>3</w:t>
            </w:r>
            <w:r>
              <w:rPr>
                <w:rFonts w:hint="eastAsia" w:ascii="宋体" w:hAnsi="宋体" w:eastAsia="宋体" w:cs="宋体"/>
                <w:kern w:val="0"/>
                <w:sz w:val="21"/>
                <w:szCs w:val="21"/>
                <w:highlight w:val="none"/>
                <w:lang w:bidi="ar"/>
              </w:rPr>
              <w:t>分；</w:t>
            </w:r>
          </w:p>
          <w:p>
            <w:pPr>
              <w:widowControl/>
              <w:jc w:val="left"/>
              <w:textAlignment w:val="center"/>
              <w:rPr>
                <w:rFonts w:hint="eastAsia"/>
              </w:rPr>
            </w:pPr>
            <w:r>
              <w:rPr>
                <w:rFonts w:hint="eastAsia" w:ascii="宋体" w:hAnsi="宋体" w:eastAsia="宋体" w:cs="宋体"/>
                <w:kern w:val="0"/>
                <w:sz w:val="21"/>
                <w:szCs w:val="21"/>
                <w:highlight w:val="none"/>
                <w:lang w:bidi="ar"/>
              </w:rPr>
              <w:t>售后服务方案制</w:t>
            </w:r>
            <w:r>
              <w:rPr>
                <w:rFonts w:hint="eastAsia"/>
              </w:rPr>
              <w:t>定基本合理得</w:t>
            </w:r>
            <w:r>
              <w:rPr>
                <w:rFonts w:hint="eastAsia"/>
                <w:lang w:val="en-US" w:eastAsia="zh-CN"/>
              </w:rPr>
              <w:t>1</w:t>
            </w:r>
            <w:r>
              <w:rPr>
                <w:rFonts w:hint="eastAsia"/>
              </w:rPr>
              <w:t>分；</w:t>
            </w:r>
          </w:p>
          <w:p>
            <w:pPr>
              <w:widowControl/>
              <w:numPr>
                <w:ilvl w:val="0"/>
                <w:numId w:val="0"/>
              </w:numPr>
              <w:jc w:val="left"/>
              <w:textAlignment w:val="center"/>
              <w:rPr>
                <w:rFonts w:hint="eastAsia" w:ascii="宋体" w:hAnsi="宋体" w:eastAsia="宋体" w:cs="宋体"/>
                <w:color w:val="0000FF"/>
                <w:kern w:val="0"/>
                <w:sz w:val="21"/>
                <w:szCs w:val="21"/>
                <w:highlight w:val="none"/>
                <w:lang w:eastAsia="zh-CN" w:bidi="ar"/>
              </w:rPr>
            </w:pPr>
            <w:r>
              <w:rPr>
                <w:rFonts w:hint="eastAsia"/>
                <w:color w:val="000000"/>
              </w:rPr>
              <w:t>未提供者得0分。</w:t>
            </w:r>
          </w:p>
          <w:p>
            <w:pPr>
              <w:widowControl/>
              <w:jc w:val="left"/>
              <w:textAlignment w:val="center"/>
              <w:rPr>
                <w:rFonts w:hint="eastAsia" w:ascii="宋体" w:hAnsi="宋体" w:eastAsia="宋体" w:cs="宋体"/>
                <w:kern w:val="0"/>
                <w:sz w:val="21"/>
                <w:szCs w:val="21"/>
                <w:highlight w:val="none"/>
                <w:lang w:eastAsia="zh-CN" w:bidi="ar"/>
              </w:rPr>
            </w:pPr>
            <w:r>
              <w:rPr>
                <w:rFonts w:hint="eastAsia" w:ascii="宋体" w:hAnsi="宋体" w:eastAsia="宋体" w:cs="宋体"/>
                <w:kern w:val="0"/>
                <w:sz w:val="21"/>
                <w:szCs w:val="21"/>
                <w:highlight w:val="none"/>
                <w:lang w:bidi="ar"/>
              </w:rPr>
              <w:t>2.投标人取得商品售后服务评价体系认证证书,认证覆盖范围包含：办公家具、软体家具、实木家具、金属家具、钢木家具的售后服务，其中五星级及以上的得</w:t>
            </w:r>
            <w:r>
              <w:rPr>
                <w:rFonts w:hint="eastAsia" w:ascii="宋体" w:hAnsi="宋体" w:eastAsia="宋体" w:cs="宋体"/>
                <w:kern w:val="0"/>
                <w:sz w:val="21"/>
                <w:szCs w:val="21"/>
                <w:highlight w:val="none"/>
                <w:lang w:val="en-US" w:eastAsia="zh-CN" w:bidi="ar"/>
              </w:rPr>
              <w:t>2</w:t>
            </w:r>
            <w:r>
              <w:rPr>
                <w:rFonts w:hint="eastAsia" w:ascii="宋体" w:hAnsi="宋体" w:eastAsia="宋体" w:cs="宋体"/>
                <w:kern w:val="0"/>
                <w:sz w:val="21"/>
                <w:szCs w:val="21"/>
                <w:highlight w:val="none"/>
                <w:lang w:bidi="ar"/>
              </w:rPr>
              <w:t>分，四星级或四星级以下的得</w:t>
            </w:r>
            <w:r>
              <w:rPr>
                <w:rFonts w:hint="eastAsia" w:ascii="宋体" w:hAnsi="宋体" w:eastAsia="宋体" w:cs="宋体"/>
                <w:kern w:val="0"/>
                <w:sz w:val="21"/>
                <w:szCs w:val="21"/>
                <w:highlight w:val="none"/>
                <w:lang w:val="en-US" w:eastAsia="zh-CN" w:bidi="ar"/>
              </w:rPr>
              <w:t>1</w:t>
            </w:r>
            <w:r>
              <w:rPr>
                <w:rFonts w:hint="eastAsia" w:ascii="宋体" w:hAnsi="宋体" w:eastAsia="宋体" w:cs="宋体"/>
                <w:kern w:val="0"/>
                <w:sz w:val="21"/>
                <w:szCs w:val="21"/>
                <w:highlight w:val="none"/>
                <w:lang w:bidi="ar"/>
              </w:rPr>
              <w:t>分，不提供或提供不全者不得分;</w:t>
            </w:r>
          </w:p>
          <w:p>
            <w:pPr>
              <w:widowControl/>
              <w:jc w:val="left"/>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3.投标人取得售后服务体系完善程度认证证书,认证覆盖范围包含：办公家具、软体家具、实木家具、金属家具、钢木家具的售后服务，其中十星级及以上的得</w:t>
            </w:r>
            <w:r>
              <w:rPr>
                <w:rFonts w:hint="eastAsia" w:ascii="宋体" w:hAnsi="宋体" w:eastAsia="宋体" w:cs="宋体"/>
                <w:kern w:val="0"/>
                <w:sz w:val="21"/>
                <w:szCs w:val="21"/>
                <w:highlight w:val="none"/>
                <w:lang w:val="en-US" w:eastAsia="zh-CN" w:bidi="ar"/>
              </w:rPr>
              <w:t>3</w:t>
            </w:r>
            <w:r>
              <w:rPr>
                <w:rFonts w:hint="eastAsia" w:ascii="宋体" w:hAnsi="宋体" w:eastAsia="宋体" w:cs="宋体"/>
                <w:kern w:val="0"/>
                <w:sz w:val="21"/>
                <w:szCs w:val="21"/>
                <w:highlight w:val="none"/>
                <w:lang w:bidi="ar"/>
              </w:rPr>
              <w:t>分，七星级或七星级以下的得</w:t>
            </w:r>
            <w:r>
              <w:rPr>
                <w:rFonts w:hint="eastAsia" w:ascii="宋体" w:hAnsi="宋体" w:eastAsia="宋体" w:cs="宋体"/>
                <w:kern w:val="0"/>
                <w:sz w:val="21"/>
                <w:szCs w:val="21"/>
                <w:highlight w:val="none"/>
                <w:lang w:val="en-US" w:eastAsia="zh-CN" w:bidi="ar"/>
              </w:rPr>
              <w:t>2</w:t>
            </w:r>
            <w:r>
              <w:rPr>
                <w:rFonts w:hint="eastAsia" w:ascii="宋体" w:hAnsi="宋体" w:eastAsia="宋体" w:cs="宋体"/>
                <w:kern w:val="0"/>
                <w:sz w:val="21"/>
                <w:szCs w:val="21"/>
                <w:highlight w:val="none"/>
                <w:lang w:bidi="ar"/>
              </w:rPr>
              <w:t>分，不提供或提供不全者不得分。</w:t>
            </w:r>
          </w:p>
        </w:tc>
      </w:tr>
    </w:tbl>
    <w:p>
      <w:pPr>
        <w:pStyle w:val="18"/>
        <w:spacing w:line="360" w:lineRule="auto"/>
        <w:ind w:firstLine="420" w:firstLineChars="200"/>
        <w:contextualSpacing/>
        <w:rPr>
          <w:rFonts w:hint="eastAsia" w:ascii="宋体" w:hAnsi="宋体" w:eastAsia="宋体" w:cs="黑体"/>
          <w:b/>
          <w:bCs/>
          <w:sz w:val="24"/>
          <w:szCs w:val="24"/>
          <w:highlight w:val="none"/>
          <w:shd w:val="clear" w:color="auto" w:fill="FFFFFF"/>
          <w:lang w:eastAsia="zh-CN"/>
        </w:rPr>
      </w:pPr>
      <w:r>
        <w:rPr>
          <w:rFonts w:hint="eastAsia" w:asciiTheme="minorHAnsi" w:hAnsiTheme="minorHAnsi" w:eastAsiaTheme="minorEastAsia" w:cstheme="minorBidi"/>
          <w:kern w:val="2"/>
          <w:sz w:val="21"/>
          <w:szCs w:val="22"/>
          <w:lang w:val="en-US" w:eastAsia="zh-CN" w:bidi="ar-SA"/>
        </w:rPr>
        <w:t>注：需提供相关证明材料</w:t>
      </w:r>
      <w:r>
        <w:rPr>
          <w:rFonts w:hint="eastAsia" w:cstheme="minorBidi"/>
          <w:kern w:val="2"/>
          <w:sz w:val="21"/>
          <w:szCs w:val="22"/>
          <w:lang w:val="en-US" w:eastAsia="zh-CN" w:bidi="ar-SA"/>
        </w:rPr>
        <w:t>的原件扫描件或图片</w:t>
      </w:r>
      <w:r>
        <w:rPr>
          <w:rFonts w:hint="eastAsia" w:asciiTheme="minorHAnsi" w:hAnsiTheme="minorHAnsi" w:eastAsiaTheme="minorEastAsia" w:cstheme="minorBidi"/>
          <w:kern w:val="2"/>
          <w:sz w:val="21"/>
          <w:szCs w:val="22"/>
          <w:lang w:val="en-US" w:eastAsia="zh-CN" w:bidi="ar-SA"/>
        </w:rPr>
        <w:t>。</w:t>
      </w:r>
    </w:p>
    <w:p>
      <w:pPr>
        <w:pStyle w:val="18"/>
        <w:spacing w:line="360" w:lineRule="auto"/>
        <w:ind w:firstLine="482" w:firstLineChars="200"/>
        <w:contextualSpacing/>
        <w:rPr>
          <w:rFonts w:hint="eastAsia" w:ascii="宋体" w:hAnsi="宋体" w:eastAsia="宋体" w:cs="黑体"/>
          <w:b/>
          <w:bCs/>
          <w:sz w:val="24"/>
          <w:szCs w:val="24"/>
          <w:highlight w:val="none"/>
          <w:shd w:val="clear" w:color="auto" w:fill="FFFFFF"/>
          <w:lang w:eastAsia="zh-CN"/>
        </w:rPr>
      </w:pPr>
      <w:r>
        <w:rPr>
          <w:rFonts w:hint="eastAsia" w:ascii="宋体" w:hAnsi="宋体" w:eastAsia="宋体" w:cs="黑体"/>
          <w:b/>
          <w:bCs/>
          <w:sz w:val="24"/>
          <w:szCs w:val="24"/>
          <w:highlight w:val="none"/>
          <w:shd w:val="clear" w:color="auto" w:fill="FFFFFF"/>
          <w:lang w:eastAsia="zh-CN"/>
        </w:rPr>
        <w:t>第四标段评分标准</w:t>
      </w:r>
    </w:p>
    <w:p>
      <w:pPr>
        <w:pStyle w:val="18"/>
        <w:spacing w:line="360" w:lineRule="auto"/>
        <w:ind w:firstLine="482" w:firstLineChars="200"/>
        <w:contextualSpacing/>
        <w:rPr>
          <w:rFonts w:hint="eastAsia" w:ascii="宋体" w:hAnsi="宋体" w:eastAsia="宋体" w:cs="黑体"/>
          <w:b/>
          <w:bCs/>
          <w:sz w:val="24"/>
          <w:szCs w:val="24"/>
          <w:highlight w:val="none"/>
          <w:shd w:val="clear" w:color="auto" w:fill="FFFFFF"/>
          <w:lang w:val="en-US" w:eastAsia="zh-CN"/>
        </w:rPr>
      </w:pPr>
    </w:p>
    <w:tbl>
      <w:tblPr>
        <w:tblStyle w:val="33"/>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681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right="0" w:firstLine="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分值构成</w:t>
            </w:r>
          </w:p>
          <w:p>
            <w:pPr>
              <w:keepNext w:val="0"/>
              <w:keepLines w:val="0"/>
              <w:pageBreakBefore w:val="0"/>
              <w:kinsoku/>
              <w:wordWrap/>
              <w:overflowPunct/>
              <w:topLinePunct w:val="0"/>
              <w:autoSpaceDE/>
              <w:autoSpaceDN/>
              <w:bidi w:val="0"/>
              <w:adjustRightInd/>
              <w:snapToGrid/>
              <w:spacing w:line="240" w:lineRule="auto"/>
              <w:ind w:right="0" w:firstLine="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(总分100分)</w:t>
            </w:r>
          </w:p>
        </w:tc>
        <w:tc>
          <w:tcPr>
            <w:tcW w:w="781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right="0"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价格分值：30分</w:t>
            </w:r>
          </w:p>
          <w:p>
            <w:pPr>
              <w:keepNext w:val="0"/>
              <w:keepLines w:val="0"/>
              <w:pageBreakBefore w:val="0"/>
              <w:kinsoku/>
              <w:wordWrap/>
              <w:overflowPunct/>
              <w:topLinePunct w:val="0"/>
              <w:autoSpaceDE/>
              <w:autoSpaceDN/>
              <w:bidi w:val="0"/>
              <w:adjustRightInd/>
              <w:snapToGrid/>
              <w:spacing w:line="240" w:lineRule="auto"/>
              <w:ind w:right="0"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商务部分：3</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p>
            <w:pPr>
              <w:keepNext w:val="0"/>
              <w:keepLines w:val="0"/>
              <w:pageBreakBefore w:val="0"/>
              <w:kinsoku/>
              <w:wordWrap/>
              <w:overflowPunct/>
              <w:topLinePunct w:val="0"/>
              <w:autoSpaceDE/>
              <w:autoSpaceDN/>
              <w:bidi w:val="0"/>
              <w:adjustRightInd/>
              <w:snapToGrid/>
              <w:spacing w:line="240" w:lineRule="auto"/>
              <w:ind w:right="0"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技术部分：</w:t>
            </w:r>
            <w:r>
              <w:rPr>
                <w:rFonts w:hint="eastAsia" w:ascii="宋体" w:hAnsi="宋体" w:eastAsia="宋体" w:cs="宋体"/>
                <w:sz w:val="21"/>
                <w:szCs w:val="21"/>
                <w:highlight w:val="none"/>
                <w:lang w:val="en-US" w:eastAsia="zh-CN"/>
              </w:rPr>
              <w:t>35</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right="0" w:firstLine="0"/>
              <w:jc w:val="center"/>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2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right="0" w:firstLine="0"/>
              <w:jc w:val="center"/>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评分因素</w:t>
            </w:r>
          </w:p>
        </w:tc>
        <w:tc>
          <w:tcPr>
            <w:tcW w:w="6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right="0" w:firstLine="0"/>
              <w:jc w:val="center"/>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right="0" w:firstLine="0"/>
              <w:jc w:val="center"/>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0" w:hRule="atLeast"/>
        </w:trPr>
        <w:tc>
          <w:tcPr>
            <w:tcW w:w="12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right="0" w:firstLine="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投标报价</w:t>
            </w:r>
          </w:p>
          <w:p>
            <w:pPr>
              <w:keepNext w:val="0"/>
              <w:keepLines w:val="0"/>
              <w:pageBreakBefore w:val="0"/>
              <w:kinsoku/>
              <w:wordWrap/>
              <w:overflowPunct/>
              <w:topLinePunct w:val="0"/>
              <w:autoSpaceDE/>
              <w:autoSpaceDN/>
              <w:bidi w:val="0"/>
              <w:adjustRightInd/>
              <w:snapToGrid/>
              <w:spacing w:line="240" w:lineRule="auto"/>
              <w:ind w:right="0" w:firstLine="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评分标准</w:t>
            </w:r>
          </w:p>
        </w:tc>
        <w:tc>
          <w:tcPr>
            <w:tcW w:w="6819" w:type="dxa"/>
            <w:tcBorders>
              <w:top w:val="single" w:color="auto" w:sz="4" w:space="0"/>
              <w:left w:val="single" w:color="auto" w:sz="4" w:space="0"/>
              <w:bottom w:val="single" w:color="auto" w:sz="4" w:space="0"/>
              <w:right w:val="single" w:color="auto" w:sz="4" w:space="0"/>
            </w:tcBorders>
            <w:noWrap/>
            <w:vAlign w:val="center"/>
          </w:tcPr>
          <w:p>
            <w:pPr>
              <w:spacing w:line="360" w:lineRule="auto"/>
              <w:ind w:right="24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评标基准价：满足招标文件要求的有效投标报价中，最低的投标报价为评标基准价。</w:t>
            </w:r>
          </w:p>
          <w:p>
            <w:pPr>
              <w:spacing w:line="360" w:lineRule="auto"/>
              <w:ind w:right="240"/>
              <w:jc w:val="left"/>
              <w:rPr>
                <w:rFonts w:hint="default" w:ascii="宋体" w:hAnsi="宋体" w:eastAsiaTheme="minorEastAsia"/>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投标报价得分=（评标基准价/投标报价）×</w:t>
            </w:r>
            <w:r>
              <w:rPr>
                <w:rFonts w:hint="eastAsia" w:ascii="宋体" w:hAnsi="宋体"/>
                <w:color w:val="000000" w:themeColor="text1"/>
                <w:highlight w:val="none"/>
                <w:lang w:val="en-US" w:eastAsia="zh-CN"/>
                <w14:textFill>
                  <w14:solidFill>
                    <w14:schemeClr w14:val="tx1"/>
                  </w14:solidFill>
                </w14:textFill>
              </w:rPr>
              <w:t>30</w:t>
            </w:r>
          </w:p>
          <w:p>
            <w:pPr>
              <w:spacing w:line="360" w:lineRule="auto"/>
              <w:ind w:right="24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计算按四舍五入法则。保留小数点后两位。</w:t>
            </w:r>
          </w:p>
          <w:p>
            <w:pPr>
              <w:pStyle w:val="2"/>
              <w:keepNext w:val="0"/>
              <w:keepLines w:val="0"/>
              <w:pageBreakBefore w:val="0"/>
              <w:kinsoku/>
              <w:wordWrap/>
              <w:overflowPunct/>
              <w:topLinePunct w:val="0"/>
              <w:autoSpaceDE/>
              <w:autoSpaceDN/>
              <w:bidi w:val="0"/>
              <w:adjustRightInd/>
              <w:snapToGrid/>
              <w:spacing w:after="0" w:line="240" w:lineRule="auto"/>
              <w:ind w:right="0" w:firstLine="0"/>
              <w:jc w:val="left"/>
              <w:rPr>
                <w:rFonts w:hint="eastAsia" w:ascii="宋体" w:hAnsi="宋体" w:eastAsia="宋体" w:cs="宋体"/>
                <w:sz w:val="21"/>
                <w:szCs w:val="21"/>
                <w:highlight w:val="none"/>
              </w:rPr>
            </w:pPr>
            <w:r>
              <w:rPr>
                <w:rFonts w:hint="eastAsia" w:ascii="宋体" w:hAnsi="宋体"/>
                <w:color w:val="000000" w:themeColor="text1"/>
                <w:highlight w:val="none"/>
                <w14:textFill>
                  <w14:solidFill>
                    <w14:schemeClr w14:val="tx1"/>
                  </w14:solidFill>
                </w14:textFill>
              </w:rPr>
              <w:t>注：当投标人的报价明显低于常规报价，评标委员会人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right="0"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right="0" w:firstLine="0"/>
              <w:jc w:val="center"/>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二、商务部分（满分3</w:t>
            </w:r>
            <w:r>
              <w:rPr>
                <w:rFonts w:hint="eastAsia" w:ascii="宋体" w:hAnsi="宋体" w:eastAsia="宋体" w:cs="宋体"/>
                <w:bCs/>
                <w:kern w:val="0"/>
                <w:sz w:val="21"/>
                <w:szCs w:val="21"/>
                <w:highlight w:val="none"/>
                <w:lang w:val="en-US" w:eastAsia="zh-CN"/>
              </w:rPr>
              <w:t>5</w:t>
            </w:r>
            <w:r>
              <w:rPr>
                <w:rFonts w:hint="eastAsia" w:ascii="宋体" w:hAnsi="宋体" w:eastAsia="宋体" w:cs="宋体"/>
                <w:bCs/>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2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right="0" w:firstLine="0"/>
              <w:jc w:val="center"/>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评分因素</w:t>
            </w:r>
          </w:p>
        </w:tc>
        <w:tc>
          <w:tcPr>
            <w:tcW w:w="6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540"/>
                <w:tab w:val="center" w:pos="3155"/>
              </w:tabs>
              <w:kinsoku/>
              <w:wordWrap/>
              <w:overflowPunct/>
              <w:topLinePunct w:val="0"/>
              <w:autoSpaceDE/>
              <w:autoSpaceDN/>
              <w:bidi w:val="0"/>
              <w:adjustRightInd/>
              <w:snapToGrid/>
              <w:spacing w:line="240" w:lineRule="auto"/>
              <w:ind w:right="0" w:firstLine="0"/>
              <w:jc w:val="center"/>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right="0" w:firstLine="0"/>
              <w:jc w:val="center"/>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2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right="0" w:firstLine="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业绩</w:t>
            </w:r>
          </w:p>
        </w:tc>
        <w:tc>
          <w:tcPr>
            <w:tcW w:w="6819"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right="0" w:firstLine="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投标人提供20</w:t>
            </w:r>
            <w:r>
              <w:rPr>
                <w:rFonts w:hint="eastAsia" w:ascii="宋体" w:hAnsi="宋体" w:eastAsia="宋体" w:cs="宋体"/>
                <w:kern w:val="0"/>
                <w:sz w:val="21"/>
                <w:szCs w:val="21"/>
                <w:highlight w:val="none"/>
                <w:lang w:val="en-US" w:eastAsia="zh-CN"/>
              </w:rPr>
              <w:t>20</w:t>
            </w:r>
            <w:r>
              <w:rPr>
                <w:rFonts w:hint="eastAsia" w:ascii="宋体" w:hAnsi="宋体" w:eastAsia="宋体" w:cs="宋体"/>
                <w:kern w:val="0"/>
                <w:sz w:val="21"/>
                <w:szCs w:val="21"/>
                <w:highlight w:val="none"/>
              </w:rPr>
              <w:t>年1月1日以来完成的项目业绩，每提供1份得1</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分，最高分</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分。（提供合同和中标通知书原件扫描件或图片）</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right="0" w:firstLine="0"/>
              <w:jc w:val="center"/>
              <w:rPr>
                <w:rFonts w:hint="eastAsia" w:ascii="宋体" w:hAnsi="宋体" w:eastAsia="宋体" w:cs="宋体"/>
                <w:bCs/>
                <w:kern w:val="0"/>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6" w:type="dxa"/>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产品性能评价</w:t>
            </w:r>
          </w:p>
        </w:tc>
        <w:tc>
          <w:tcPr>
            <w:tcW w:w="681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投标人所提供“计算机主机”产品支持基于BIOS级的一键备份和恢复的功能（非操作系统自带功能），提供相关功能的对应证明以及相应的软件著作权证书得</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分，未提供者不得分</w:t>
            </w:r>
            <w:r>
              <w:rPr>
                <w:rFonts w:hint="eastAsia" w:ascii="宋体" w:hAnsi="宋体" w:eastAsia="宋体" w:cs="宋体"/>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right="0" w:firstLine="0"/>
              <w:jc w:val="left"/>
              <w:textAlignment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投标人所提供“计算机主机”产品静音舒适性：考虑工作环境的静音舒适，要求设备的噪声声功率级≤3.33Bel，噪声声压级≤25.08dB，提供证书证明文件得</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分，未提供者不得分</w:t>
            </w:r>
            <w:r>
              <w:rPr>
                <w:rFonts w:hint="eastAsia" w:ascii="宋体" w:hAnsi="宋体" w:eastAsia="宋体" w:cs="宋体"/>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right="0" w:firstLine="0"/>
              <w:jc w:val="left"/>
              <w:textAlignment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投标人所提供“计算机主机”产品制电磁兼容性：考虑设备工作稳定：需提供辐射抗扰、静电放电抗扰度、浪涌（冲击）抗扰度的适应性，提供证书证明文件</w:t>
            </w:r>
            <w:r>
              <w:rPr>
                <w:rFonts w:hint="eastAsia" w:ascii="宋体" w:hAnsi="宋体" w:eastAsia="宋体" w:cs="宋体"/>
                <w:kern w:val="0"/>
                <w:sz w:val="21"/>
                <w:szCs w:val="21"/>
                <w:highlight w:val="none"/>
                <w:lang w:eastAsia="zh-CN"/>
              </w:rPr>
              <w:t>得</w:t>
            </w:r>
            <w:r>
              <w:rPr>
                <w:rFonts w:hint="eastAsia" w:ascii="宋体" w:hAnsi="宋体" w:eastAsia="宋体" w:cs="宋体"/>
                <w:kern w:val="0"/>
                <w:sz w:val="21"/>
                <w:szCs w:val="21"/>
                <w:highlight w:val="none"/>
                <w:lang w:val="en-US" w:eastAsia="zh-CN"/>
              </w:rPr>
              <w:t>4分</w:t>
            </w:r>
            <w:r>
              <w:rPr>
                <w:rFonts w:hint="eastAsia" w:ascii="宋体" w:hAnsi="宋体" w:eastAsia="宋体" w:cs="宋体"/>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240" w:lineRule="auto"/>
              <w:ind w:right="0" w:firstLine="0"/>
              <w:jc w:val="left"/>
              <w:textAlignment w:val="center"/>
              <w:rPr>
                <w:rFonts w:hint="eastAsia" w:ascii="宋体" w:hAnsi="宋体" w:eastAsia="宋体" w:cs="宋体"/>
                <w:color w:val="FF0000"/>
                <w:sz w:val="21"/>
                <w:szCs w:val="21"/>
                <w:highlight w:val="none"/>
              </w:rPr>
            </w:pPr>
            <w:r>
              <w:rPr>
                <w:rFonts w:hint="eastAsia" w:ascii="宋体" w:hAnsi="宋体" w:eastAsia="宋体" w:cs="宋体"/>
                <w:kern w:val="0"/>
                <w:sz w:val="21"/>
                <w:szCs w:val="21"/>
                <w:highlight w:val="none"/>
              </w:rPr>
              <w:t>注：提供相关证明材料的原件扫描件或</w:t>
            </w:r>
            <w:r>
              <w:rPr>
                <w:rFonts w:hint="eastAsia" w:ascii="宋体" w:hAnsi="宋体" w:eastAsia="宋体" w:cs="宋体"/>
                <w:kern w:val="0"/>
                <w:sz w:val="21"/>
                <w:szCs w:val="21"/>
                <w:highlight w:val="none"/>
                <w:lang w:eastAsia="zh-CN"/>
              </w:rPr>
              <w:t>加盖制造商公章的复印件</w:t>
            </w:r>
            <w:r>
              <w:rPr>
                <w:rFonts w:hint="eastAsia" w:ascii="宋体" w:hAnsi="宋体" w:eastAsia="宋体" w:cs="宋体"/>
                <w:kern w:val="0"/>
                <w:sz w:val="21"/>
                <w:szCs w:val="21"/>
                <w:highlight w:val="none"/>
              </w:rPr>
              <w:t>；</w:t>
            </w:r>
          </w:p>
        </w:tc>
        <w:tc>
          <w:tcPr>
            <w:tcW w:w="992" w:type="dxa"/>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right="0" w:firstLine="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0" w:hRule="atLeast"/>
        </w:trPr>
        <w:tc>
          <w:tcPr>
            <w:tcW w:w="1256" w:type="dxa"/>
            <w:tcBorders>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right="0" w:firstLine="0"/>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厂商实力</w:t>
            </w:r>
          </w:p>
        </w:tc>
        <w:tc>
          <w:tcPr>
            <w:tcW w:w="6819" w:type="dxa"/>
            <w:tcBorders>
              <w:top w:val="single" w:color="auto" w:sz="4" w:space="0"/>
              <w:left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投标人所提供“计算机主机”</w:t>
            </w:r>
            <w:r>
              <w:rPr>
                <w:rFonts w:hint="eastAsia" w:ascii="宋体" w:hAnsi="宋体" w:eastAsia="宋体" w:cs="宋体"/>
                <w:kern w:val="0"/>
                <w:sz w:val="21"/>
                <w:szCs w:val="21"/>
                <w:highlight w:val="none"/>
                <w:lang w:eastAsia="zh-CN"/>
              </w:rPr>
              <w:t>制造商</w:t>
            </w:r>
            <w:r>
              <w:rPr>
                <w:rFonts w:hint="eastAsia" w:ascii="宋体" w:hAnsi="宋体" w:eastAsia="宋体" w:cs="宋体"/>
                <w:kern w:val="0"/>
                <w:sz w:val="21"/>
                <w:szCs w:val="21"/>
                <w:highlight w:val="none"/>
              </w:rPr>
              <w:t>具备CCC现场检查可靠性实验室认证，中国合格评定国家认可委员会（CNAS）可靠性实验室认证，信息安全服务资质（安全工程类）一级及以上认证，提供相关证书得</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分，提供不全或者不提供者不得分。</w:t>
            </w:r>
          </w:p>
          <w:p>
            <w:pPr>
              <w:keepNext w:val="0"/>
              <w:keepLines w:val="0"/>
              <w:pageBreakBefore w:val="0"/>
              <w:widowControl/>
              <w:kinsoku/>
              <w:wordWrap/>
              <w:overflowPunct/>
              <w:topLinePunct w:val="0"/>
              <w:autoSpaceDE/>
              <w:autoSpaceDN/>
              <w:bidi w:val="0"/>
              <w:adjustRightInd/>
              <w:snapToGrid/>
              <w:spacing w:line="240" w:lineRule="auto"/>
              <w:ind w:right="0" w:firstLine="0"/>
              <w:jc w:val="left"/>
              <w:textAlignment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投标人所提供“计算机主机”</w:t>
            </w:r>
            <w:r>
              <w:rPr>
                <w:rFonts w:hint="eastAsia" w:ascii="宋体" w:hAnsi="宋体" w:eastAsia="宋体" w:cs="宋体"/>
                <w:kern w:val="0"/>
                <w:sz w:val="21"/>
                <w:szCs w:val="21"/>
                <w:highlight w:val="none"/>
                <w:lang w:eastAsia="zh-CN"/>
              </w:rPr>
              <w:t>制造商</w:t>
            </w:r>
            <w:r>
              <w:rPr>
                <w:rFonts w:hint="eastAsia" w:ascii="宋体" w:hAnsi="宋体" w:eastAsia="宋体" w:cs="宋体"/>
                <w:kern w:val="0"/>
                <w:sz w:val="21"/>
                <w:szCs w:val="21"/>
                <w:highlight w:val="none"/>
              </w:rPr>
              <w:t>通过ISO50001能源管理体系认证</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提供相关证书得</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分</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不提供者不得分</w:t>
            </w:r>
            <w:r>
              <w:rPr>
                <w:rFonts w:hint="eastAsia" w:ascii="宋体" w:hAnsi="宋体" w:eastAsia="宋体" w:cs="宋体"/>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right="0" w:firstLine="0"/>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投标人所提供“计算机主机”</w:t>
            </w:r>
            <w:r>
              <w:rPr>
                <w:rFonts w:hint="eastAsia" w:ascii="宋体" w:hAnsi="宋体" w:eastAsia="宋体" w:cs="宋体"/>
                <w:kern w:val="0"/>
                <w:sz w:val="21"/>
                <w:szCs w:val="21"/>
                <w:highlight w:val="none"/>
                <w:lang w:eastAsia="zh-CN"/>
              </w:rPr>
              <w:t>制造商</w:t>
            </w:r>
            <w:r>
              <w:rPr>
                <w:rFonts w:hint="eastAsia" w:ascii="宋体" w:hAnsi="宋体" w:eastAsia="宋体" w:cs="宋体"/>
                <w:kern w:val="0"/>
                <w:sz w:val="21"/>
                <w:szCs w:val="21"/>
                <w:highlight w:val="none"/>
              </w:rPr>
              <w:t>设有产品设计中心且通过工业和信息化部国家级工业设计中心认定资质的得</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分，不提供不得分（需提供中华人民共和国工业和信息化部官网链接或相关证明材料）</w:t>
            </w:r>
          </w:p>
          <w:p>
            <w:pPr>
              <w:keepNext w:val="0"/>
              <w:keepLines w:val="0"/>
              <w:pageBreakBefore w:val="0"/>
              <w:widowControl/>
              <w:kinsoku/>
              <w:wordWrap/>
              <w:overflowPunct/>
              <w:topLinePunct w:val="0"/>
              <w:autoSpaceDE/>
              <w:autoSpaceDN/>
              <w:bidi w:val="0"/>
              <w:adjustRightInd/>
              <w:snapToGrid/>
              <w:spacing w:line="240" w:lineRule="auto"/>
              <w:ind w:right="0" w:firstLine="0"/>
              <w:jc w:val="left"/>
              <w:textAlignment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eastAsia="zh-CN"/>
              </w:rPr>
              <w:t>为保障项目安全性，保证相关单位具有丰富的应急处理服务项目经验和稳定的技术队伍，针对重大或突发安全事件拥有较强的应对能力，投标人或投标人所投“高清视频会议终端”制造商可提供CNCERT网络安全应急服务支撑单位证书的，得</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eastAsia="zh-CN"/>
              </w:rPr>
              <w:t>分，</w:t>
            </w:r>
            <w:r>
              <w:rPr>
                <w:rFonts w:hint="eastAsia" w:ascii="宋体" w:hAnsi="宋体" w:eastAsia="宋体" w:cs="宋体"/>
                <w:kern w:val="0"/>
                <w:sz w:val="21"/>
                <w:szCs w:val="21"/>
                <w:highlight w:val="none"/>
              </w:rPr>
              <w:t>不提供者不得分</w:t>
            </w:r>
            <w:r>
              <w:rPr>
                <w:rFonts w:hint="eastAsia" w:ascii="宋体" w:hAnsi="宋体" w:eastAsia="宋体" w:cs="宋体"/>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right="0" w:firstLine="0"/>
              <w:jc w:val="left"/>
              <w:textAlignment w:val="center"/>
              <w:rPr>
                <w:rFonts w:hint="eastAsia" w:ascii="宋体" w:hAnsi="宋体" w:eastAsia="宋体" w:cs="宋体"/>
                <w:sz w:val="21"/>
                <w:szCs w:val="21"/>
                <w:highlight w:val="none"/>
                <w:lang w:eastAsia="zh-CN"/>
              </w:rPr>
            </w:pP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投标人所提供“</w:t>
            </w:r>
            <w:r>
              <w:rPr>
                <w:rFonts w:hint="eastAsia" w:ascii="宋体" w:hAnsi="宋体" w:eastAsia="宋体" w:cs="宋体"/>
                <w:sz w:val="21"/>
                <w:szCs w:val="21"/>
                <w:highlight w:val="none"/>
              </w:rPr>
              <w:t>小间距显示屏</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eastAsia="zh-CN"/>
              </w:rPr>
              <w:t>制造商</w:t>
            </w:r>
            <w:r>
              <w:rPr>
                <w:rFonts w:hint="eastAsia" w:ascii="宋体" w:hAnsi="宋体" w:eastAsia="宋体" w:cs="宋体"/>
                <w:sz w:val="21"/>
                <w:szCs w:val="21"/>
                <w:highlight w:val="none"/>
              </w:rPr>
              <w:t>获得由工信部颁发的制造业单项冠军企业荣誉，提供相关证明文件的得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kern w:val="0"/>
                <w:sz w:val="21"/>
                <w:szCs w:val="21"/>
                <w:highlight w:val="none"/>
              </w:rPr>
              <w:t>不提供者不得分</w:t>
            </w:r>
            <w:r>
              <w:rPr>
                <w:rFonts w:hint="eastAsia" w:ascii="宋体" w:hAnsi="宋体" w:eastAsia="宋体" w:cs="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right="0" w:firstLine="0"/>
              <w:jc w:val="left"/>
              <w:textAlignment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投标人所提供“</w:t>
            </w:r>
            <w:r>
              <w:rPr>
                <w:rFonts w:hint="eastAsia" w:ascii="宋体" w:hAnsi="宋体" w:eastAsia="宋体" w:cs="宋体"/>
                <w:sz w:val="21"/>
                <w:szCs w:val="21"/>
                <w:highlight w:val="none"/>
              </w:rPr>
              <w:t>小间距显示屏</w:t>
            </w:r>
            <w:r>
              <w:rPr>
                <w:rFonts w:hint="eastAsia" w:ascii="宋体" w:hAnsi="宋体" w:eastAsia="宋体" w:cs="宋体"/>
                <w:kern w:val="0"/>
                <w:sz w:val="21"/>
                <w:szCs w:val="21"/>
                <w:highlight w:val="none"/>
              </w:rPr>
              <w:t>”具有有效期内的五星级售后服务认证证书，证书覆盖范围包含但不限于LED显示屏及控制系统、开关电源、配电柜、智控会议屏、智控盒等</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提供相关证书得</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分</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不提供者不得分</w:t>
            </w:r>
            <w:r>
              <w:rPr>
                <w:rFonts w:hint="eastAsia" w:ascii="宋体" w:hAnsi="宋体" w:eastAsia="宋体" w:cs="宋体"/>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right="0" w:firstLine="0"/>
              <w:jc w:val="left"/>
              <w:textAlignment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注：提供相关证明材料</w:t>
            </w:r>
            <w:r>
              <w:rPr>
                <w:rStyle w:val="94"/>
                <w:rFonts w:hint="eastAsia" w:ascii="宋体" w:hAnsi="宋体" w:eastAsia="宋体" w:cs="宋体"/>
                <w:color w:val="auto"/>
                <w:sz w:val="21"/>
                <w:szCs w:val="21"/>
                <w:highlight w:val="none"/>
              </w:rPr>
              <w:t>的原件扫描件或</w:t>
            </w:r>
            <w:r>
              <w:rPr>
                <w:rStyle w:val="94"/>
                <w:rFonts w:hint="eastAsia" w:ascii="宋体" w:hAnsi="宋体" w:eastAsia="宋体" w:cs="宋体"/>
                <w:color w:val="auto"/>
                <w:sz w:val="21"/>
                <w:szCs w:val="21"/>
                <w:highlight w:val="none"/>
                <w:lang w:eastAsia="zh-CN"/>
              </w:rPr>
              <w:t>加盖制造商公章的复印件</w:t>
            </w:r>
            <w:r>
              <w:rPr>
                <w:rStyle w:val="94"/>
                <w:rFonts w:hint="eastAsia" w:ascii="宋体" w:hAnsi="宋体" w:eastAsia="宋体" w:cs="宋体"/>
                <w:color w:val="auto"/>
                <w:sz w:val="21"/>
                <w:szCs w:val="21"/>
                <w:highlight w:val="none"/>
              </w:rPr>
              <w:t>；</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right="0" w:firstLine="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right="0"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三、技术部分（满分</w:t>
            </w:r>
            <w:r>
              <w:rPr>
                <w:rFonts w:hint="eastAsia" w:ascii="宋体" w:hAnsi="宋体" w:eastAsia="宋体" w:cs="宋体"/>
                <w:sz w:val="21"/>
                <w:szCs w:val="21"/>
                <w:highlight w:val="none"/>
                <w:lang w:val="en-US" w:eastAsia="zh-CN"/>
              </w:rPr>
              <w:t>35</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2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right="0"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6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right="0"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right="0"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256" w:type="dxa"/>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货物技术规格、参数与要求响应</w:t>
            </w:r>
          </w:p>
        </w:tc>
        <w:tc>
          <w:tcPr>
            <w:tcW w:w="681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采购清单中设备参数要求，加★项需提供</w:t>
            </w:r>
            <w:r>
              <w:rPr>
                <w:rFonts w:hint="eastAsia" w:ascii="宋体" w:hAnsi="宋体" w:eastAsia="宋体" w:cs="宋体"/>
                <w:color w:val="auto"/>
                <w:kern w:val="0"/>
                <w:sz w:val="21"/>
                <w:szCs w:val="21"/>
                <w:highlight w:val="none"/>
                <w:lang w:eastAsia="zh-CN"/>
              </w:rPr>
              <w:t>经制造商确认的</w:t>
            </w:r>
            <w:r>
              <w:rPr>
                <w:rFonts w:hint="eastAsia" w:ascii="宋体" w:hAnsi="宋体" w:eastAsia="宋体" w:cs="宋体"/>
                <w:color w:val="auto"/>
                <w:kern w:val="0"/>
                <w:sz w:val="21"/>
                <w:szCs w:val="21"/>
                <w:highlight w:val="none"/>
              </w:rPr>
              <w:t>CNAS检测报告或</w:t>
            </w:r>
            <w:r>
              <w:rPr>
                <w:rFonts w:hint="eastAsia" w:ascii="宋体" w:hAnsi="宋体" w:eastAsia="宋体" w:cs="宋体"/>
                <w:color w:val="auto"/>
                <w:kern w:val="0"/>
                <w:sz w:val="21"/>
                <w:szCs w:val="21"/>
                <w:highlight w:val="none"/>
                <w:lang w:eastAsia="zh-CN"/>
              </w:rPr>
              <w:t>相关</w:t>
            </w:r>
            <w:r>
              <w:rPr>
                <w:rFonts w:hint="eastAsia" w:ascii="宋体" w:hAnsi="宋体" w:eastAsia="宋体" w:cs="宋体"/>
                <w:color w:val="auto"/>
                <w:kern w:val="0"/>
                <w:sz w:val="21"/>
                <w:szCs w:val="21"/>
                <w:highlight w:val="none"/>
              </w:rPr>
              <w:t>证书证明。每证明一项加1分，最多加</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分。未提供者不得分</w:t>
            </w:r>
            <w:r>
              <w:rPr>
                <w:rFonts w:hint="eastAsia" w:ascii="宋体" w:hAnsi="宋体" w:eastAsia="宋体" w:cs="宋体"/>
                <w:color w:val="auto"/>
                <w:kern w:val="0"/>
                <w:sz w:val="21"/>
                <w:szCs w:val="21"/>
                <w:highlight w:val="none"/>
                <w:lang w:eastAsia="zh-CN"/>
              </w:rPr>
              <w:t>。</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ind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2" w:hRule="atLeast"/>
        </w:trPr>
        <w:tc>
          <w:tcPr>
            <w:tcW w:w="1256"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售后服务</w:t>
            </w:r>
          </w:p>
        </w:tc>
        <w:tc>
          <w:tcPr>
            <w:tcW w:w="6819" w:type="dxa"/>
            <w:tcBorders>
              <w:top w:val="single" w:color="auto" w:sz="4" w:space="0"/>
              <w:left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1、投标人故障响应时间小于2小时，上门时间小于8小时，维修和更换时间小于24小时，满足的得2分，承诺优于的得3分。</w:t>
            </w:r>
          </w:p>
          <w:p>
            <w:pPr>
              <w:keepNext w:val="0"/>
              <w:keepLines w:val="0"/>
              <w:pageBreakBefore w:val="0"/>
              <w:widowControl/>
              <w:kinsoku/>
              <w:wordWrap/>
              <w:overflowPunct/>
              <w:topLinePunct w:val="0"/>
              <w:autoSpaceDE/>
              <w:autoSpaceDN/>
              <w:bidi w:val="0"/>
              <w:adjustRightInd/>
              <w:snapToGrid/>
              <w:spacing w:line="240" w:lineRule="auto"/>
              <w:ind w:right="0" w:firstLine="0"/>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2、投标文件中提供售后服务方案、质量保证措施方案、安装调试方案、培训实施计划方案，每提供一项方案描述详细、切实可行的得1.5分，仅有简单描述的得0.5分，未提供的不得分，满分6分。</w:t>
            </w:r>
          </w:p>
          <w:p>
            <w:pPr>
              <w:keepNext w:val="0"/>
              <w:keepLines w:val="0"/>
              <w:pageBreakBefore w:val="0"/>
              <w:widowControl/>
              <w:kinsoku/>
              <w:wordWrap/>
              <w:overflowPunct/>
              <w:topLinePunct w:val="0"/>
              <w:autoSpaceDE/>
              <w:autoSpaceDN/>
              <w:bidi w:val="0"/>
              <w:adjustRightInd/>
              <w:snapToGrid/>
              <w:spacing w:line="240" w:lineRule="auto"/>
              <w:ind w:right="0" w:firstLine="0"/>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3、投标人所投“计算机主机、多功能打印机”产品制造商售后服务经过CCCS钻石五星认证(客户联络中心标准体系认证)，提供加盖制造商公章的证书复印件，每提供一项得2分，最高得4分，未提供不得分。</w:t>
            </w:r>
          </w:p>
          <w:p>
            <w:pPr>
              <w:keepNext w:val="0"/>
              <w:keepLines w:val="0"/>
              <w:pageBreakBefore w:val="0"/>
              <w:widowControl/>
              <w:kinsoku/>
              <w:wordWrap/>
              <w:overflowPunct/>
              <w:topLinePunct w:val="0"/>
              <w:autoSpaceDE/>
              <w:autoSpaceDN/>
              <w:bidi w:val="0"/>
              <w:adjustRightInd/>
              <w:snapToGrid/>
              <w:spacing w:line="240" w:lineRule="auto"/>
              <w:ind w:right="0" w:firstLine="0"/>
              <w:jc w:val="left"/>
              <w:textAlignment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4、投标人所投“计算机主机、多功能打印机、数字法庭音频系统主机、小间距显示屏”产品并提供加盖制造商公章的售后服务承诺函得2分，</w:t>
            </w:r>
            <w:r>
              <w:rPr>
                <w:rFonts w:hint="eastAsia" w:ascii="宋体" w:hAnsi="宋体" w:eastAsia="宋体" w:cs="宋体"/>
                <w:kern w:val="0"/>
                <w:sz w:val="21"/>
                <w:szCs w:val="21"/>
                <w:highlight w:val="none"/>
                <w:lang w:val="zh-CN" w:eastAsia="zh-CN"/>
              </w:rPr>
              <w:t>提供不全或者不提供者不得分。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15分</w:t>
            </w:r>
          </w:p>
        </w:tc>
      </w:tr>
    </w:tbl>
    <w:p>
      <w:pPr>
        <w:spacing w:line="360" w:lineRule="auto"/>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其中：价格分计算（落实政府采购政策价格调整部分）</w:t>
      </w:r>
    </w:p>
    <w:tbl>
      <w:tblPr>
        <w:tblStyle w:val="3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721" w:type="dxa"/>
            <w:vAlign w:val="center"/>
          </w:tcPr>
          <w:p>
            <w:pPr>
              <w:jc w:val="center"/>
              <w:rPr>
                <w:rFonts w:ascii="宋体" w:hAnsi="宋体"/>
                <w:b/>
                <w:szCs w:val="21"/>
                <w:highlight w:val="none"/>
                <w:lang w:val="en-GB"/>
              </w:rPr>
            </w:pPr>
            <w:r>
              <w:rPr>
                <w:rFonts w:hint="eastAsia" w:ascii="宋体" w:hAnsi="宋体"/>
                <w:b/>
                <w:szCs w:val="21"/>
                <w:highlight w:val="none"/>
                <w:lang w:val="en-GB"/>
              </w:rPr>
              <w:t>序号</w:t>
            </w:r>
          </w:p>
        </w:tc>
        <w:tc>
          <w:tcPr>
            <w:tcW w:w="2823" w:type="dxa"/>
            <w:vAlign w:val="center"/>
          </w:tcPr>
          <w:p>
            <w:pPr>
              <w:jc w:val="center"/>
              <w:rPr>
                <w:rFonts w:ascii="宋体" w:hAnsi="宋体"/>
                <w:b/>
                <w:szCs w:val="21"/>
                <w:highlight w:val="none"/>
                <w:lang w:val="en-GB"/>
              </w:rPr>
            </w:pPr>
            <w:r>
              <w:rPr>
                <w:rFonts w:hint="eastAsia" w:ascii="宋体" w:hAnsi="宋体"/>
                <w:b/>
                <w:szCs w:val="21"/>
                <w:highlight w:val="none"/>
                <w:lang w:val="en-GB"/>
              </w:rPr>
              <w:t>情形</w:t>
            </w:r>
          </w:p>
        </w:tc>
        <w:tc>
          <w:tcPr>
            <w:tcW w:w="2552" w:type="dxa"/>
            <w:vAlign w:val="center"/>
          </w:tcPr>
          <w:p>
            <w:pPr>
              <w:jc w:val="center"/>
              <w:rPr>
                <w:rFonts w:ascii="宋体" w:hAnsi="宋体"/>
                <w:b/>
                <w:szCs w:val="21"/>
                <w:highlight w:val="none"/>
                <w:lang w:val="en-GB"/>
              </w:rPr>
            </w:pPr>
            <w:r>
              <w:rPr>
                <w:rFonts w:hint="eastAsia" w:ascii="宋体" w:hAnsi="宋体"/>
                <w:b/>
                <w:szCs w:val="21"/>
                <w:highlight w:val="none"/>
              </w:rPr>
              <w:t>价格扣除</w:t>
            </w:r>
            <w:r>
              <w:rPr>
                <w:rFonts w:hint="eastAsia" w:ascii="宋体" w:hAnsi="宋体"/>
                <w:b/>
                <w:szCs w:val="21"/>
                <w:highlight w:val="none"/>
                <w:lang w:val="en-GB"/>
              </w:rPr>
              <w:t>比例</w:t>
            </w:r>
          </w:p>
        </w:tc>
        <w:tc>
          <w:tcPr>
            <w:tcW w:w="2835" w:type="dxa"/>
            <w:vAlign w:val="center"/>
          </w:tcPr>
          <w:p>
            <w:pPr>
              <w:jc w:val="center"/>
              <w:rPr>
                <w:rFonts w:ascii="宋体" w:hAnsi="宋体"/>
                <w:b/>
                <w:szCs w:val="21"/>
                <w:highlight w:val="none"/>
                <w:lang w:val="en-GB"/>
              </w:rPr>
            </w:pPr>
            <w:r>
              <w:rPr>
                <w:rFonts w:hint="eastAsia" w:ascii="宋体" w:hAnsi="宋体"/>
                <w:b/>
                <w:szCs w:val="21"/>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highlight w:val="none"/>
                <w:lang w:val="en-GB"/>
              </w:rPr>
            </w:pPr>
            <w:r>
              <w:rPr>
                <w:rFonts w:hint="eastAsia" w:ascii="宋体" w:hAnsi="宋体"/>
                <w:b/>
                <w:szCs w:val="21"/>
                <w:highlight w:val="none"/>
                <w:lang w:val="en-GB"/>
              </w:rPr>
              <w:t>1</w:t>
            </w:r>
          </w:p>
        </w:tc>
        <w:tc>
          <w:tcPr>
            <w:tcW w:w="2823" w:type="dxa"/>
            <w:vAlign w:val="center"/>
          </w:tcPr>
          <w:p>
            <w:pPr>
              <w:jc w:val="center"/>
              <w:rPr>
                <w:rFonts w:ascii="宋体" w:hAnsi="宋体"/>
                <w:b/>
                <w:szCs w:val="21"/>
                <w:highlight w:val="none"/>
                <w:lang w:val="en-GB"/>
              </w:rPr>
            </w:pPr>
            <w:r>
              <w:rPr>
                <w:rFonts w:hint="eastAsia" w:ascii="宋体" w:hAnsi="宋体"/>
                <w:szCs w:val="21"/>
                <w:highlight w:val="none"/>
                <w:lang w:val="en-GB"/>
              </w:rPr>
              <w:t>非联合体投标人</w:t>
            </w:r>
          </w:p>
        </w:tc>
        <w:tc>
          <w:tcPr>
            <w:tcW w:w="2552" w:type="dxa"/>
            <w:vAlign w:val="center"/>
          </w:tcPr>
          <w:p>
            <w:pPr>
              <w:jc w:val="center"/>
              <w:rPr>
                <w:rFonts w:ascii="ˎ̥" w:hAnsi="ˎ̥" w:eastAsia="宋体"/>
                <w:szCs w:val="21"/>
                <w:highlight w:val="none"/>
              </w:rPr>
            </w:pPr>
            <w:r>
              <w:rPr>
                <w:rFonts w:hint="eastAsia" w:ascii="ˎ̥" w:hAnsi="ˎ̥" w:eastAsia="宋体"/>
                <w:szCs w:val="21"/>
                <w:highlight w:val="none"/>
              </w:rPr>
              <w:t>对小型和微型企业报价</w:t>
            </w:r>
          </w:p>
          <w:p>
            <w:pPr>
              <w:jc w:val="center"/>
              <w:rPr>
                <w:rFonts w:ascii="宋体" w:hAnsi="宋体"/>
                <w:b/>
                <w:szCs w:val="21"/>
                <w:highlight w:val="none"/>
                <w:lang w:val="en-GB"/>
              </w:rPr>
            </w:pPr>
            <w:r>
              <w:rPr>
                <w:rFonts w:hint="eastAsia" w:ascii="ˎ̥" w:hAnsi="ˎ̥" w:eastAsia="宋体"/>
                <w:szCs w:val="21"/>
                <w:highlight w:val="none"/>
              </w:rPr>
              <w:t>扣除</w:t>
            </w:r>
            <w:r>
              <w:rPr>
                <w:rFonts w:hint="eastAsia" w:ascii="ˎ̥" w:hAnsi="ˎ̥" w:eastAsia="宋体"/>
                <w:color w:val="FF0000"/>
                <w:szCs w:val="21"/>
                <w:highlight w:val="none"/>
              </w:rPr>
              <w:t>20</w:t>
            </w:r>
            <w:r>
              <w:rPr>
                <w:rFonts w:hint="eastAsia" w:ascii="ˎ̥" w:hAnsi="ˎ̥" w:eastAsia="宋体"/>
                <w:szCs w:val="21"/>
                <w:highlight w:val="none"/>
              </w:rPr>
              <w:t>%</w:t>
            </w:r>
          </w:p>
        </w:tc>
        <w:tc>
          <w:tcPr>
            <w:tcW w:w="2835" w:type="dxa"/>
            <w:vMerge w:val="restart"/>
            <w:shd w:val="clear" w:color="auto" w:fill="auto"/>
            <w:vAlign w:val="center"/>
          </w:tcPr>
          <w:p>
            <w:pPr>
              <w:jc w:val="center"/>
              <w:rPr>
                <w:szCs w:val="21"/>
                <w:highlight w:val="none"/>
                <w:lang w:val="en-GB"/>
              </w:rPr>
            </w:pPr>
            <w:r>
              <w:rPr>
                <w:rFonts w:hint="eastAsia"/>
                <w:szCs w:val="21"/>
                <w:highlight w:val="none"/>
                <w:lang w:val="en-GB"/>
              </w:rPr>
              <w:t>评标价格＝</w:t>
            </w:r>
            <w:r>
              <w:rPr>
                <w:rFonts w:hint="eastAsia" w:ascii="ˎ̥" w:hAnsi="ˎ̥" w:eastAsia="宋体"/>
                <w:szCs w:val="21"/>
                <w:highlight w:val="none"/>
              </w:rPr>
              <w:t>小型和微型企业报价</w:t>
            </w:r>
            <w:r>
              <w:rPr>
                <w:rFonts w:hint="eastAsia" w:ascii="宋体" w:hAnsi="宋体"/>
                <w:szCs w:val="21"/>
                <w:highlight w:val="none"/>
                <w:lang w:val="en-GB"/>
              </w:rPr>
              <w:t>×（1-</w:t>
            </w:r>
            <w:r>
              <w:rPr>
                <w:rFonts w:hint="eastAsia" w:ascii="ˎ̥" w:hAnsi="ˎ̥" w:eastAsia="宋体"/>
                <w:color w:val="FF0000"/>
                <w:szCs w:val="21"/>
                <w:highlight w:val="none"/>
              </w:rPr>
              <w:t>20</w:t>
            </w:r>
            <w:r>
              <w:rPr>
                <w:rFonts w:hint="eastAsia"/>
                <w:szCs w:val="21"/>
                <w:highlight w:val="none"/>
                <w:lang w:val="en-GB"/>
              </w:rPr>
              <w:t>%</w:t>
            </w:r>
            <w:r>
              <w:rPr>
                <w:rFonts w:hint="eastAsia" w:ascii="宋体" w:hAnsi="宋体"/>
                <w:szCs w:val="21"/>
                <w:highlight w:val="none"/>
                <w:lang w:val="en-GB"/>
              </w:rPr>
              <w:t>）</w:t>
            </w:r>
          </w:p>
          <w:p>
            <w:pPr>
              <w:jc w:val="center"/>
              <w:rPr>
                <w:rFonts w:ascii="宋体" w:hAnsi="宋体"/>
                <w:b/>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highlight w:val="none"/>
                <w:lang w:val="en-GB"/>
              </w:rPr>
            </w:pPr>
            <w:r>
              <w:rPr>
                <w:rFonts w:hint="eastAsia" w:ascii="宋体" w:hAnsi="宋体"/>
                <w:b/>
                <w:szCs w:val="21"/>
                <w:highlight w:val="none"/>
                <w:lang w:val="en-GB"/>
              </w:rPr>
              <w:t>2</w:t>
            </w:r>
          </w:p>
        </w:tc>
        <w:tc>
          <w:tcPr>
            <w:tcW w:w="2823" w:type="dxa"/>
            <w:vAlign w:val="center"/>
          </w:tcPr>
          <w:p>
            <w:pPr>
              <w:jc w:val="center"/>
              <w:rPr>
                <w:rFonts w:ascii="宋体" w:hAnsi="宋体"/>
                <w:szCs w:val="21"/>
                <w:highlight w:val="none"/>
                <w:lang w:val="en-GB"/>
              </w:rPr>
            </w:pPr>
            <w:r>
              <w:rPr>
                <w:rFonts w:hint="eastAsia" w:ascii="宋体" w:hAnsi="宋体"/>
                <w:szCs w:val="21"/>
                <w:highlight w:val="none"/>
                <w:lang w:val="en-GB"/>
              </w:rPr>
              <w:t>联合体各方均为</w:t>
            </w:r>
          </w:p>
          <w:p>
            <w:pPr>
              <w:jc w:val="center"/>
              <w:rPr>
                <w:rFonts w:ascii="宋体" w:hAnsi="宋体"/>
                <w:b/>
                <w:szCs w:val="21"/>
                <w:highlight w:val="none"/>
              </w:rPr>
            </w:pPr>
            <w:r>
              <w:rPr>
                <w:rFonts w:hint="eastAsia" w:ascii="宋体" w:hAnsi="宋体"/>
                <w:szCs w:val="21"/>
                <w:highlight w:val="none"/>
                <w:lang w:val="en-GB"/>
              </w:rPr>
              <w:t>小型、微型企业</w:t>
            </w:r>
          </w:p>
        </w:tc>
        <w:tc>
          <w:tcPr>
            <w:tcW w:w="2552" w:type="dxa"/>
            <w:vAlign w:val="center"/>
          </w:tcPr>
          <w:p>
            <w:pPr>
              <w:jc w:val="center"/>
              <w:rPr>
                <w:rFonts w:ascii="宋体" w:hAnsi="宋体"/>
                <w:szCs w:val="21"/>
                <w:highlight w:val="none"/>
              </w:rPr>
            </w:pPr>
            <w:r>
              <w:rPr>
                <w:rFonts w:hint="eastAsia" w:ascii="ˎ̥" w:hAnsi="ˎ̥" w:eastAsia="宋体"/>
                <w:szCs w:val="21"/>
                <w:highlight w:val="none"/>
              </w:rPr>
              <w:t>对小型和微型企业报价</w:t>
            </w:r>
          </w:p>
          <w:p>
            <w:pPr>
              <w:jc w:val="center"/>
              <w:rPr>
                <w:rFonts w:ascii="宋体" w:hAnsi="宋体"/>
                <w:szCs w:val="21"/>
                <w:highlight w:val="none"/>
              </w:rPr>
            </w:pPr>
            <w:r>
              <w:rPr>
                <w:rFonts w:hint="eastAsia" w:ascii="宋体" w:hAnsi="宋体"/>
                <w:szCs w:val="21"/>
                <w:highlight w:val="none"/>
              </w:rPr>
              <w:t>扣除</w:t>
            </w:r>
            <w:r>
              <w:rPr>
                <w:rFonts w:hint="eastAsia" w:ascii="ˎ̥" w:hAnsi="ˎ̥" w:eastAsia="宋体"/>
                <w:color w:val="FF0000"/>
                <w:szCs w:val="21"/>
                <w:highlight w:val="none"/>
              </w:rPr>
              <w:t>20</w:t>
            </w:r>
            <w:r>
              <w:rPr>
                <w:rFonts w:hint="eastAsia" w:ascii="宋体" w:hAnsi="宋体"/>
                <w:szCs w:val="21"/>
                <w:highlight w:val="none"/>
              </w:rPr>
              <w:t>%</w:t>
            </w:r>
          </w:p>
          <w:p>
            <w:pPr>
              <w:jc w:val="center"/>
              <w:rPr>
                <w:rFonts w:ascii="宋体" w:hAnsi="宋体"/>
                <w:b/>
                <w:szCs w:val="21"/>
                <w:highlight w:val="none"/>
                <w:lang w:val="en-GB"/>
              </w:rPr>
            </w:pPr>
            <w:r>
              <w:rPr>
                <w:rFonts w:hint="eastAsia" w:ascii="宋体" w:hAnsi="宋体"/>
                <w:szCs w:val="21"/>
                <w:highlight w:val="none"/>
              </w:rPr>
              <w:t>（不再享受序号3的价格折扣）</w:t>
            </w:r>
          </w:p>
        </w:tc>
        <w:tc>
          <w:tcPr>
            <w:tcW w:w="2835" w:type="dxa"/>
            <w:vMerge w:val="continue"/>
            <w:shd w:val="clear" w:color="auto" w:fill="auto"/>
          </w:tcPr>
          <w:p>
            <w:pPr>
              <w:rPr>
                <w:rFonts w:ascii="宋体" w:hAnsi="宋体"/>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highlight w:val="none"/>
                <w:lang w:val="en-GB"/>
              </w:rPr>
            </w:pPr>
            <w:r>
              <w:rPr>
                <w:rFonts w:hint="eastAsia" w:ascii="宋体" w:hAnsi="宋体"/>
                <w:b/>
                <w:szCs w:val="21"/>
                <w:highlight w:val="none"/>
                <w:lang w:val="en-GB"/>
              </w:rPr>
              <w:t>3</w:t>
            </w:r>
          </w:p>
        </w:tc>
        <w:tc>
          <w:tcPr>
            <w:tcW w:w="2823" w:type="dxa"/>
            <w:vAlign w:val="center"/>
          </w:tcPr>
          <w:p>
            <w:pPr>
              <w:jc w:val="center"/>
              <w:rPr>
                <w:rFonts w:ascii="宋体" w:hAnsi="宋体"/>
                <w:b/>
                <w:szCs w:val="21"/>
                <w:highlight w:val="none"/>
                <w:lang w:val="en-GB"/>
              </w:rPr>
            </w:pPr>
            <w:r>
              <w:rPr>
                <w:rFonts w:ascii="ˎ̥" w:hAnsi="ˎ̥" w:eastAsia="宋体"/>
                <w:szCs w:val="21"/>
                <w:highlight w:val="none"/>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Cs w:val="21"/>
                <w:highlight w:val="none"/>
                <w:lang w:val="en-GB"/>
              </w:rPr>
            </w:pPr>
            <w:r>
              <w:rPr>
                <w:rFonts w:ascii="ˎ̥" w:hAnsi="ˎ̥" w:eastAsia="宋体"/>
                <w:szCs w:val="21"/>
                <w:highlight w:val="none"/>
              </w:rPr>
              <w:t>对联合体或者大中型企业的报价</w:t>
            </w:r>
            <w:r>
              <w:rPr>
                <w:rFonts w:hint="eastAsia" w:ascii="宋体" w:hAnsi="宋体"/>
                <w:szCs w:val="21"/>
                <w:highlight w:val="none"/>
                <w:lang w:val="en-GB"/>
              </w:rPr>
              <w:t>扣除6</w:t>
            </w:r>
            <w:r>
              <w:rPr>
                <w:rFonts w:hint="eastAsia" w:ascii="宋体" w:hAnsi="宋体"/>
                <w:szCs w:val="21"/>
                <w:highlight w:val="none"/>
              </w:rPr>
              <w:t>%</w:t>
            </w:r>
          </w:p>
        </w:tc>
        <w:tc>
          <w:tcPr>
            <w:tcW w:w="2835" w:type="dxa"/>
            <w:shd w:val="clear" w:color="auto" w:fill="auto"/>
            <w:vAlign w:val="center"/>
          </w:tcPr>
          <w:p>
            <w:pPr>
              <w:jc w:val="center"/>
              <w:rPr>
                <w:rFonts w:ascii="宋体" w:hAnsi="宋体"/>
                <w:b/>
                <w:szCs w:val="21"/>
                <w:highlight w:val="none"/>
                <w:lang w:val="en-GB"/>
              </w:rPr>
            </w:pPr>
            <w:r>
              <w:rPr>
                <w:rFonts w:hint="eastAsia" w:ascii="宋体" w:hAnsi="宋体"/>
                <w:szCs w:val="21"/>
                <w:highlight w:val="none"/>
                <w:lang w:val="en-GB"/>
              </w:rPr>
              <w:t>评标价格＝投标报价×</w:t>
            </w:r>
            <w:r>
              <w:rPr>
                <w:rFonts w:hint="eastAsia" w:ascii="宋体" w:hAnsi="宋体"/>
                <w:szCs w:val="21"/>
                <w:highlight w:val="none"/>
              </w:rPr>
              <w:t>(1-6</w:t>
            </w:r>
            <w:r>
              <w:rPr>
                <w:rFonts w:hint="eastAsia"/>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highlight w:val="none"/>
                <w:lang w:val="en-GB"/>
              </w:rPr>
            </w:pPr>
            <w:r>
              <w:rPr>
                <w:rFonts w:hint="eastAsia" w:ascii="宋体" w:hAnsi="宋体"/>
                <w:b/>
                <w:szCs w:val="21"/>
                <w:highlight w:val="none"/>
                <w:lang w:val="en-GB"/>
              </w:rPr>
              <w:t>4</w:t>
            </w:r>
          </w:p>
        </w:tc>
        <w:tc>
          <w:tcPr>
            <w:tcW w:w="2823" w:type="dxa"/>
            <w:vAlign w:val="center"/>
          </w:tcPr>
          <w:p>
            <w:pPr>
              <w:jc w:val="center"/>
              <w:rPr>
                <w:rFonts w:ascii="宋体" w:hAnsi="宋体"/>
                <w:szCs w:val="21"/>
                <w:highlight w:val="none"/>
                <w:lang w:val="en-GB"/>
              </w:rPr>
            </w:pPr>
            <w:r>
              <w:rPr>
                <w:rFonts w:hint="eastAsia" w:ascii="宋体" w:hAnsi="宋体"/>
                <w:szCs w:val="21"/>
                <w:highlight w:val="none"/>
                <w:lang w:val="en-GB"/>
              </w:rPr>
              <w:t>监狱企业</w:t>
            </w:r>
          </w:p>
        </w:tc>
        <w:tc>
          <w:tcPr>
            <w:tcW w:w="2552" w:type="dxa"/>
            <w:vAlign w:val="center"/>
          </w:tcPr>
          <w:p>
            <w:pPr>
              <w:jc w:val="center"/>
              <w:rPr>
                <w:rFonts w:ascii="宋体" w:hAnsi="宋体"/>
                <w:szCs w:val="21"/>
                <w:highlight w:val="none"/>
                <w:lang w:val="en-GB"/>
              </w:rPr>
            </w:pPr>
            <w:r>
              <w:rPr>
                <w:rFonts w:hint="eastAsia" w:ascii="宋体" w:hAnsi="宋体"/>
                <w:szCs w:val="21"/>
                <w:highlight w:val="none"/>
                <w:lang w:val="en-GB"/>
              </w:rPr>
              <w:t>对监狱企业产品价格扣除</w:t>
            </w:r>
            <w:r>
              <w:rPr>
                <w:rFonts w:hint="eastAsia" w:ascii="ˎ̥" w:hAnsi="ˎ̥" w:eastAsia="宋体"/>
                <w:color w:val="FF0000"/>
                <w:szCs w:val="21"/>
                <w:highlight w:val="none"/>
              </w:rPr>
              <w:t>20</w:t>
            </w:r>
            <w:r>
              <w:rPr>
                <w:rFonts w:hint="eastAsia" w:ascii="宋体" w:hAnsi="宋体"/>
                <w:szCs w:val="21"/>
                <w:highlight w:val="none"/>
              </w:rPr>
              <w:t>%</w:t>
            </w:r>
          </w:p>
        </w:tc>
        <w:tc>
          <w:tcPr>
            <w:tcW w:w="2835" w:type="dxa"/>
            <w:shd w:val="clear" w:color="auto" w:fill="auto"/>
            <w:vAlign w:val="center"/>
          </w:tcPr>
          <w:p>
            <w:pPr>
              <w:jc w:val="center"/>
              <w:rPr>
                <w:rFonts w:ascii="宋体" w:hAnsi="宋体"/>
                <w:szCs w:val="21"/>
                <w:highlight w:val="none"/>
                <w:lang w:val="en-GB"/>
              </w:rPr>
            </w:pPr>
            <w:r>
              <w:rPr>
                <w:rFonts w:hint="eastAsia"/>
                <w:szCs w:val="21"/>
                <w:highlight w:val="none"/>
                <w:lang w:val="en-GB"/>
              </w:rPr>
              <w:t>评标价格＝投标报价—</w:t>
            </w:r>
            <w:r>
              <w:rPr>
                <w:rFonts w:hint="eastAsia"/>
                <w:szCs w:val="21"/>
                <w:highlight w:val="none"/>
              </w:rPr>
              <w:t>监狱企业产品的价格</w:t>
            </w:r>
            <w:r>
              <w:rPr>
                <w:rFonts w:hint="eastAsia" w:ascii="宋体" w:hAnsi="宋体"/>
                <w:szCs w:val="21"/>
                <w:highlight w:val="none"/>
                <w:lang w:val="en-GB"/>
              </w:rPr>
              <w:t>×</w:t>
            </w:r>
            <w:r>
              <w:rPr>
                <w:rFonts w:hint="eastAsia" w:ascii="ˎ̥" w:hAnsi="ˎ̥" w:eastAsia="宋体"/>
                <w:color w:val="FF0000"/>
                <w:szCs w:val="21"/>
                <w:highlight w:val="none"/>
              </w:rPr>
              <w:t>20</w:t>
            </w:r>
            <w:r>
              <w:rPr>
                <w:rFonts w:hint="eastAsia"/>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highlight w:val="none"/>
                <w:lang w:val="en-GB"/>
              </w:rPr>
            </w:pPr>
            <w:r>
              <w:rPr>
                <w:rFonts w:hint="eastAsia" w:ascii="宋体" w:hAnsi="宋体"/>
                <w:b/>
                <w:szCs w:val="21"/>
                <w:highlight w:val="none"/>
                <w:lang w:val="en-GB"/>
              </w:rPr>
              <w:t>5</w:t>
            </w:r>
          </w:p>
        </w:tc>
        <w:tc>
          <w:tcPr>
            <w:tcW w:w="2823" w:type="dxa"/>
            <w:vAlign w:val="center"/>
          </w:tcPr>
          <w:p>
            <w:pPr>
              <w:jc w:val="center"/>
              <w:rPr>
                <w:rFonts w:ascii="宋体" w:hAnsi="宋体"/>
                <w:szCs w:val="21"/>
                <w:highlight w:val="none"/>
                <w:lang w:val="en-GB"/>
              </w:rPr>
            </w:pPr>
            <w:r>
              <w:rPr>
                <w:rFonts w:hint="eastAsia" w:ascii="宋体" w:hAnsi="宋体"/>
                <w:szCs w:val="21"/>
                <w:highlight w:val="none"/>
                <w:lang w:val="en-GB"/>
              </w:rPr>
              <w:t>残疾人福利性单位</w:t>
            </w:r>
          </w:p>
        </w:tc>
        <w:tc>
          <w:tcPr>
            <w:tcW w:w="2552" w:type="dxa"/>
            <w:vAlign w:val="center"/>
          </w:tcPr>
          <w:p>
            <w:pPr>
              <w:jc w:val="center"/>
              <w:rPr>
                <w:rFonts w:ascii="宋体" w:hAnsi="宋体"/>
                <w:szCs w:val="21"/>
                <w:highlight w:val="none"/>
                <w:lang w:val="en-GB"/>
              </w:rPr>
            </w:pPr>
            <w:r>
              <w:rPr>
                <w:rFonts w:hint="eastAsia" w:ascii="宋体" w:hAnsi="宋体"/>
                <w:szCs w:val="21"/>
                <w:highlight w:val="none"/>
                <w:lang w:val="en-GB"/>
              </w:rPr>
              <w:t>对残疾人福利性单位产品价格扣除</w:t>
            </w:r>
            <w:r>
              <w:rPr>
                <w:rFonts w:hint="eastAsia" w:ascii="ˎ̥" w:hAnsi="ˎ̥" w:eastAsia="宋体"/>
                <w:color w:val="FF0000"/>
                <w:szCs w:val="21"/>
                <w:highlight w:val="none"/>
              </w:rPr>
              <w:t>20</w:t>
            </w:r>
            <w:r>
              <w:rPr>
                <w:rFonts w:hint="eastAsia" w:ascii="宋体" w:hAnsi="宋体"/>
                <w:szCs w:val="21"/>
                <w:highlight w:val="none"/>
              </w:rPr>
              <w:t>%</w:t>
            </w:r>
          </w:p>
        </w:tc>
        <w:tc>
          <w:tcPr>
            <w:tcW w:w="2835" w:type="dxa"/>
            <w:shd w:val="clear" w:color="auto" w:fill="auto"/>
            <w:vAlign w:val="center"/>
          </w:tcPr>
          <w:p>
            <w:pPr>
              <w:jc w:val="center"/>
              <w:rPr>
                <w:szCs w:val="21"/>
                <w:highlight w:val="none"/>
                <w:lang w:val="en-GB"/>
              </w:rPr>
            </w:pPr>
            <w:r>
              <w:rPr>
                <w:rFonts w:hint="eastAsia"/>
                <w:szCs w:val="21"/>
                <w:highlight w:val="none"/>
                <w:lang w:val="en-GB"/>
              </w:rPr>
              <w:t>评标价格＝投标报价—</w:t>
            </w:r>
            <w:r>
              <w:rPr>
                <w:rFonts w:hint="eastAsia"/>
                <w:szCs w:val="21"/>
                <w:highlight w:val="none"/>
              </w:rPr>
              <w:t>残疾人福利性单位产品的价格</w:t>
            </w:r>
            <w:r>
              <w:rPr>
                <w:rFonts w:hint="eastAsia" w:ascii="宋体" w:hAnsi="宋体"/>
                <w:szCs w:val="21"/>
                <w:highlight w:val="none"/>
                <w:lang w:val="en-GB"/>
              </w:rPr>
              <w:t>×</w:t>
            </w:r>
            <w:r>
              <w:rPr>
                <w:rFonts w:hint="eastAsia" w:ascii="ˎ̥" w:hAnsi="ˎ̥" w:eastAsia="宋体"/>
                <w:color w:val="FF0000"/>
                <w:szCs w:val="21"/>
                <w:highlight w:val="none"/>
              </w:rPr>
              <w:t>20</w:t>
            </w:r>
            <w:r>
              <w:rPr>
                <w:rFonts w:hint="eastAsia"/>
                <w:szCs w:val="21"/>
                <w:highlight w:val="non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w:t>
            </w:r>
            <w:r>
              <w:rPr>
                <w:rFonts w:cs="仿宋_GB2312" w:asciiTheme="minorEastAsia" w:hAnsiTheme="minorEastAsia"/>
                <w:szCs w:val="21"/>
                <w:highlight w:val="none"/>
                <w:lang w:val="zh-CN"/>
              </w:rPr>
              <w:t>经评标委员会</w:t>
            </w:r>
            <w:r>
              <w:rPr>
                <w:rFonts w:hint="eastAsia" w:cs="仿宋_GB2312" w:asciiTheme="minorEastAsia" w:hAnsiTheme="minorEastAsia"/>
                <w:szCs w:val="21"/>
                <w:highlight w:val="none"/>
                <w:lang w:val="zh-CN"/>
              </w:rPr>
              <w:t>审查、评价</w:t>
            </w:r>
            <w:r>
              <w:rPr>
                <w:rFonts w:cs="仿宋_GB2312" w:asciiTheme="minorEastAsia" w:hAnsiTheme="minorEastAsia"/>
                <w:szCs w:val="21"/>
                <w:highlight w:val="none"/>
                <w:lang w:val="zh-CN"/>
              </w:rPr>
              <w:t>，</w:t>
            </w:r>
            <w:r>
              <w:rPr>
                <w:rFonts w:hint="eastAsia" w:cs="仿宋_GB2312" w:asciiTheme="minorEastAsia" w:hAnsiTheme="minorEastAsia"/>
                <w:szCs w:val="21"/>
                <w:highlight w:val="none"/>
                <w:lang w:val="zh-CN"/>
              </w:rPr>
              <w:t>投标文件符合</w:t>
            </w:r>
            <w:r>
              <w:rPr>
                <w:rFonts w:cs="仿宋_GB2312" w:asciiTheme="minorEastAsia" w:hAnsiTheme="minorEastAsia"/>
                <w:szCs w:val="21"/>
                <w:highlight w:val="none"/>
                <w:lang w:val="zh-CN"/>
              </w:rPr>
              <w:t>招标文件</w:t>
            </w:r>
            <w:r>
              <w:rPr>
                <w:rFonts w:hint="eastAsia" w:cs="仿宋_GB2312" w:asciiTheme="minorEastAsia" w:hAnsiTheme="minorEastAsia"/>
                <w:szCs w:val="21"/>
                <w:highlight w:val="none"/>
                <w:lang w:val="zh-CN"/>
              </w:rPr>
              <w:t>实质性</w:t>
            </w:r>
            <w:r>
              <w:rPr>
                <w:rFonts w:cs="仿宋_GB2312" w:asciiTheme="minorEastAsia" w:hAnsiTheme="minorEastAsia"/>
                <w:szCs w:val="21"/>
                <w:highlight w:val="none"/>
                <w:lang w:val="zh-CN"/>
              </w:rPr>
              <w:t>要求且</w:t>
            </w:r>
            <w:r>
              <w:rPr>
                <w:rFonts w:hint="eastAsia" w:cs="仿宋_GB2312" w:asciiTheme="minorEastAsia" w:hAnsiTheme="minorEastAsia"/>
                <w:szCs w:val="21"/>
                <w:highlight w:val="none"/>
                <w:lang w:val="zh-CN"/>
              </w:rPr>
              <w:t>进行了政策性价格扣除后，</w:t>
            </w:r>
            <w:r>
              <w:rPr>
                <w:rFonts w:cs="仿宋_GB2312" w:asciiTheme="minorEastAsia" w:hAnsiTheme="minorEastAsia"/>
                <w:szCs w:val="21"/>
                <w:highlight w:val="none"/>
                <w:lang w:val="zh-CN"/>
              </w:rPr>
              <w:t>以</w:t>
            </w:r>
            <w:r>
              <w:rPr>
                <w:rFonts w:hint="eastAsia" w:cs="仿宋_GB2312" w:asciiTheme="minorEastAsia" w:hAnsiTheme="minorEastAsia"/>
                <w:szCs w:val="21"/>
                <w:highlight w:val="none"/>
                <w:lang w:val="zh-CN"/>
              </w:rPr>
              <w:t>评标价格的</w:t>
            </w:r>
            <w:r>
              <w:rPr>
                <w:rFonts w:cs="仿宋_GB2312" w:asciiTheme="minorEastAsia" w:hAnsiTheme="minorEastAsia"/>
                <w:szCs w:val="21"/>
                <w:highlight w:val="none"/>
                <w:lang w:val="zh-CN"/>
              </w:rPr>
              <w:t>最低价者定为评标基准价，其价格分为满分。其他投标人的价格分统一按下列公式</w:t>
            </w:r>
            <w:r>
              <w:rPr>
                <w:rFonts w:hint="eastAsia" w:cs="仿宋_GB2312" w:asciiTheme="minorEastAsia" w:hAnsiTheme="minorEastAsia"/>
                <w:szCs w:val="21"/>
                <w:highlight w:val="none"/>
                <w:lang w:val="zh-CN"/>
              </w:rPr>
              <w:t>计算</w:t>
            </w:r>
            <w:r>
              <w:rPr>
                <w:rFonts w:cs="仿宋_GB2312" w:asciiTheme="minorEastAsia" w:hAnsiTheme="minorEastAsia"/>
                <w:szCs w:val="21"/>
                <w:highlight w:val="none"/>
                <w:lang w:val="zh-CN"/>
              </w:rPr>
              <w:t>。即：</w:t>
            </w:r>
          </w:p>
          <w:p>
            <w:pPr>
              <w:widowControl/>
              <w:adjustRightInd w:val="0"/>
              <w:spacing w:line="360" w:lineRule="auto"/>
              <w:ind w:left="-88" w:leftChars="-42" w:firstLine="449" w:firstLineChars="214"/>
              <w:jc w:val="left"/>
              <w:rPr>
                <w:rFonts w:cs="仿宋_GB2312" w:asciiTheme="minorEastAsia" w:hAnsiTheme="minorEastAsia"/>
                <w:szCs w:val="21"/>
                <w:highlight w:val="none"/>
                <w:lang w:val="zh-CN"/>
              </w:rPr>
            </w:pPr>
            <w:r>
              <w:rPr>
                <w:rFonts w:cs="仿宋_GB2312" w:asciiTheme="minorEastAsia" w:hAnsiTheme="minorEastAsia"/>
                <w:szCs w:val="21"/>
                <w:highlight w:val="none"/>
                <w:lang w:val="zh-CN"/>
              </w:rPr>
              <w:t>评标基准价</w:t>
            </w:r>
            <w:r>
              <w:rPr>
                <w:rFonts w:hint="eastAsia" w:cs="仿宋_GB2312" w:asciiTheme="minorEastAsia" w:hAnsiTheme="minorEastAsia"/>
                <w:szCs w:val="21"/>
                <w:highlight w:val="none"/>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highlight w:val="none"/>
                <w:lang w:val="zh-CN"/>
              </w:rPr>
            </w:pPr>
            <w:r>
              <w:rPr>
                <w:rFonts w:cs="仿宋_GB2312" w:asciiTheme="minorEastAsia" w:hAnsiTheme="minorEastAsia"/>
                <w:szCs w:val="21"/>
                <w:highlight w:val="none"/>
                <w:lang w:val="zh-CN"/>
              </w:rPr>
              <w:t>其他投标报价得分</w:t>
            </w:r>
            <w:r>
              <w:rPr>
                <w:rFonts w:hint="eastAsia" w:cs="仿宋_GB2312" w:asciiTheme="minorEastAsia" w:hAnsiTheme="minorEastAsia"/>
                <w:szCs w:val="21"/>
                <w:highlight w:val="none"/>
                <w:lang w:val="zh-CN"/>
              </w:rPr>
              <w:t>=（</w:t>
            </w:r>
            <w:r>
              <w:rPr>
                <w:rFonts w:cs="仿宋_GB2312" w:asciiTheme="minorEastAsia" w:hAnsiTheme="minorEastAsia"/>
                <w:szCs w:val="21"/>
                <w:highlight w:val="none"/>
                <w:lang w:val="zh-CN"/>
              </w:rPr>
              <w:t>评标基准价</w:t>
            </w:r>
            <w:r>
              <w:rPr>
                <w:rFonts w:hint="eastAsia" w:cs="仿宋_GB2312" w:asciiTheme="minorEastAsia" w:hAnsiTheme="minorEastAsia"/>
                <w:szCs w:val="21"/>
                <w:highlight w:val="none"/>
                <w:lang w:val="zh-CN"/>
              </w:rPr>
              <w:t>/评标价格）</w:t>
            </w:r>
            <w:r>
              <w:rPr>
                <w:rFonts w:cs="仿宋_GB2312" w:asciiTheme="minorEastAsia" w:hAnsiTheme="minorEastAsia"/>
                <w:szCs w:val="21"/>
                <w:highlight w:val="none"/>
                <w:lang w:val="zh-CN"/>
              </w:rPr>
              <w:t>×</w:t>
            </w:r>
            <w:r>
              <w:rPr>
                <w:rFonts w:hint="eastAsia" w:cs="仿宋_GB2312" w:asciiTheme="minorEastAsia" w:hAnsiTheme="minorEastAsia"/>
                <w:szCs w:val="21"/>
                <w:highlight w:val="none"/>
                <w:lang w:val="zh-CN"/>
              </w:rPr>
              <w:t>评标标准中价格分值</w:t>
            </w:r>
          </w:p>
        </w:tc>
      </w:tr>
    </w:tbl>
    <w:p>
      <w:pPr>
        <w:spacing w:line="360" w:lineRule="auto"/>
        <w:rPr>
          <w:rFonts w:ascii="宋体" w:hAnsi="宋体"/>
          <w:bCs/>
          <w:szCs w:val="21"/>
          <w:highlight w:val="none"/>
          <w:lang w:val="en-GB"/>
        </w:rPr>
      </w:pPr>
      <w:r>
        <w:rPr>
          <w:rFonts w:hint="eastAsia" w:ascii="宋体" w:hAnsi="宋体"/>
          <w:bCs/>
          <w:szCs w:val="21"/>
          <w:highlight w:val="none"/>
          <w:lang w:val="en-GB"/>
        </w:rPr>
        <w:t>备注：</w:t>
      </w:r>
    </w:p>
    <w:p>
      <w:pPr>
        <w:spacing w:line="360" w:lineRule="auto"/>
        <w:ind w:firstLine="420" w:firstLineChars="200"/>
        <w:rPr>
          <w:highlight w:val="none"/>
        </w:rPr>
      </w:pPr>
      <w:r>
        <w:rPr>
          <w:rFonts w:hint="eastAsia" w:ascii="宋体" w:hAnsi="宋体"/>
          <w:bCs/>
          <w:szCs w:val="21"/>
          <w:highlight w:val="none"/>
          <w:lang w:val="en-GB"/>
        </w:rPr>
        <w:t>a、不接受联合体投标的项目，</w:t>
      </w:r>
      <w:r>
        <w:rPr>
          <w:rFonts w:hint="eastAsia"/>
          <w:highlight w:val="none"/>
        </w:rPr>
        <w:t>本表中第2项、第3项情形不适用。</w:t>
      </w:r>
    </w:p>
    <w:p>
      <w:pPr>
        <w:spacing w:line="360" w:lineRule="auto"/>
        <w:ind w:firstLine="420" w:firstLineChars="200"/>
        <w:rPr>
          <w:rFonts w:ascii="宋体" w:hAnsi="宋体"/>
          <w:bCs/>
          <w:szCs w:val="21"/>
          <w:highlight w:val="none"/>
          <w:lang w:val="en-GB"/>
        </w:rPr>
      </w:pPr>
      <w:r>
        <w:rPr>
          <w:rFonts w:hint="eastAsia" w:ascii="宋体" w:hAnsi="宋体"/>
          <w:bCs/>
          <w:szCs w:val="21"/>
          <w:highlight w:val="none"/>
          <w:lang w:val="en-GB"/>
        </w:rPr>
        <w:t>b、</w:t>
      </w:r>
      <w:r>
        <w:rPr>
          <w:highlight w:val="none"/>
        </w:rPr>
        <w:t>在货物采购项目中，货物由中小企业制造，即货物由中小企业生产且使用该中小企业商号或者注册商标</w:t>
      </w:r>
      <w:r>
        <w:rPr>
          <w:rFonts w:hint="eastAsia" w:ascii="宋体" w:hAnsi="宋体"/>
          <w:bCs/>
          <w:szCs w:val="21"/>
          <w:highlight w:val="none"/>
          <w:lang w:val="en-GB"/>
        </w:rPr>
        <w:t>。</w:t>
      </w:r>
      <w:r>
        <w:rPr>
          <w:highlight w:val="none"/>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bCs/>
          <w:szCs w:val="21"/>
          <w:highlight w:val="none"/>
          <w:lang w:val="en-GB"/>
        </w:rPr>
      </w:pPr>
      <w:r>
        <w:rPr>
          <w:rFonts w:hint="eastAsia" w:ascii="宋体" w:hAnsi="宋体"/>
          <w:bCs/>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highlight w:val="none"/>
          <w:lang w:val="en-GB"/>
        </w:rPr>
      </w:pPr>
      <w:r>
        <w:rPr>
          <w:rFonts w:hint="eastAsia" w:ascii="宋体" w:hAnsi="宋体"/>
          <w:bCs/>
          <w:szCs w:val="21"/>
          <w:highlight w:val="none"/>
          <w:lang w:val="en-GB"/>
        </w:rPr>
        <w:t>d、残疾人福利性单位属于小型、微型企业的，不重复享受政策。</w:t>
      </w:r>
    </w:p>
    <w:p>
      <w:pPr>
        <w:spacing w:line="360" w:lineRule="auto"/>
        <w:ind w:firstLine="420" w:firstLineChars="200"/>
        <w:rPr>
          <w:rFonts w:ascii="宋体" w:hAnsi="宋体"/>
          <w:bCs/>
          <w:szCs w:val="21"/>
          <w:highlight w:val="none"/>
          <w:lang w:val="en-GB"/>
        </w:rPr>
      </w:pPr>
      <w:r>
        <w:rPr>
          <w:rFonts w:ascii="宋体" w:hAnsi="宋体"/>
          <w:bCs/>
          <w:szCs w:val="21"/>
          <w:highlight w:val="none"/>
          <w:lang w:val="en-GB"/>
        </w:rPr>
        <w:t>E</w:t>
      </w:r>
      <w:r>
        <w:rPr>
          <w:rFonts w:hint="eastAsia" w:ascii="宋体" w:hAnsi="宋体"/>
          <w:bCs/>
          <w:szCs w:val="21"/>
          <w:highlight w:val="none"/>
          <w:lang w:val="en-GB"/>
        </w:rPr>
        <w:t>、小型和微型企业不包括民办非企业单位。</w:t>
      </w:r>
    </w:p>
    <w:p>
      <w:pPr>
        <w:pStyle w:val="18"/>
        <w:spacing w:line="360" w:lineRule="auto"/>
        <w:ind w:firstLine="422" w:firstLineChars="200"/>
        <w:contextualSpacing/>
        <w:jc w:val="both"/>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w:t>
      </w:r>
      <w:r>
        <w:rPr>
          <w:rFonts w:hint="eastAsia" w:cs="仿宋_GB2312" w:asciiTheme="minorEastAsia" w:hAnsiTheme="minorEastAsia" w:eastAsiaTheme="minorEastAsia"/>
          <w:b/>
          <w:color w:val="auto"/>
          <w:sz w:val="21"/>
          <w:szCs w:val="21"/>
          <w:highlight w:val="none"/>
          <w:lang w:val="en-US" w:eastAsia="zh-CN"/>
        </w:rPr>
        <w:t>7</w:t>
      </w:r>
      <w:r>
        <w:rPr>
          <w:rFonts w:hint="eastAsia" w:cs="仿宋_GB2312" w:asciiTheme="minorEastAsia" w:hAnsiTheme="minorEastAsia" w:eastAsiaTheme="minorEastAsia"/>
          <w:b/>
          <w:color w:val="auto"/>
          <w:sz w:val="21"/>
          <w:szCs w:val="21"/>
          <w:highlight w:val="none"/>
          <w:lang w:val="zh-CN"/>
        </w:rPr>
        <w:t>）</w:t>
      </w:r>
      <w:r>
        <w:rPr>
          <w:rFonts w:cs="仿宋_GB2312" w:asciiTheme="minorEastAsia" w:hAnsiTheme="minorEastAsia" w:eastAsiaTheme="minorEastAsia"/>
          <w:b/>
          <w:color w:val="auto"/>
          <w:sz w:val="21"/>
          <w:szCs w:val="21"/>
          <w:highlight w:val="none"/>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1） </w:t>
      </w:r>
      <w:r>
        <w:rPr>
          <w:rFonts w:cs="仿宋_GB2312" w:asciiTheme="minorEastAsia" w:hAnsiTheme="minorEastAsia"/>
          <w:color w:val="auto"/>
          <w:szCs w:val="21"/>
          <w:highlight w:val="none"/>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2） </w:t>
      </w:r>
      <w:r>
        <w:rPr>
          <w:rFonts w:cs="仿宋_GB2312" w:asciiTheme="minorEastAsia" w:hAnsiTheme="minorEastAsia"/>
          <w:color w:val="auto"/>
          <w:szCs w:val="21"/>
          <w:highlight w:val="none"/>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3） </w:t>
      </w:r>
      <w:r>
        <w:rPr>
          <w:rFonts w:cs="仿宋_GB2312" w:asciiTheme="minorEastAsia" w:hAnsiTheme="minorEastAsia"/>
          <w:color w:val="auto"/>
          <w:szCs w:val="21"/>
          <w:highlight w:val="none"/>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4） </w:t>
      </w:r>
      <w:r>
        <w:rPr>
          <w:rFonts w:cs="仿宋_GB2312" w:asciiTheme="minorEastAsia" w:hAnsiTheme="minorEastAsia"/>
          <w:color w:val="auto"/>
          <w:szCs w:val="21"/>
          <w:highlight w:val="none"/>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2"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b/>
          <w:bCs/>
          <w:color w:val="auto"/>
          <w:szCs w:val="21"/>
          <w:highlight w:val="none"/>
          <w:lang w:val="zh-CN"/>
        </w:rPr>
        <w:t>（</w:t>
      </w:r>
      <w:r>
        <w:rPr>
          <w:rFonts w:hint="eastAsia" w:cs="仿宋_GB2312" w:asciiTheme="minorEastAsia" w:hAnsiTheme="minorEastAsia"/>
          <w:b/>
          <w:bCs/>
          <w:color w:val="auto"/>
          <w:szCs w:val="21"/>
          <w:highlight w:val="none"/>
          <w:lang w:val="en-US" w:eastAsia="zh-CN"/>
        </w:rPr>
        <w:t>8</w:t>
      </w:r>
      <w:r>
        <w:rPr>
          <w:rFonts w:hint="eastAsia" w:cs="仿宋_GB2312" w:asciiTheme="minorEastAsia" w:hAnsiTheme="minorEastAsia"/>
          <w:b/>
          <w:bCs/>
          <w:color w:val="auto"/>
          <w:szCs w:val="21"/>
          <w:highlight w:val="none"/>
          <w:lang w:val="zh-CN"/>
        </w:rPr>
        <w:t>）</w:t>
      </w:r>
      <w:r>
        <w:rPr>
          <w:rFonts w:hint="eastAsia" w:cs="仿宋_GB2312" w:asciiTheme="minorEastAsia" w:hAnsiTheme="minorEastAsia"/>
          <w:b w:val="0"/>
          <w:bCs w:val="0"/>
          <w:color w:val="auto"/>
          <w:szCs w:val="21"/>
          <w:highlight w:val="none"/>
          <w:lang w:val="zh-CN"/>
        </w:rPr>
        <w:t>按照《</w:t>
      </w:r>
      <w:r>
        <w:rPr>
          <w:rFonts w:hint="eastAsia" w:cs="仿宋_GB2312" w:asciiTheme="minorEastAsia" w:hAnsiTheme="minorEastAsia"/>
          <w:color w:val="auto"/>
          <w:szCs w:val="21"/>
          <w:highlight w:val="none"/>
          <w:lang w:val="zh-CN"/>
        </w:rPr>
        <w:t>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w:t>
      </w:r>
      <w:r>
        <w:rPr>
          <w:rFonts w:hint="eastAsia" w:cs="仿宋_GB2312" w:asciiTheme="minorEastAsia" w:hAnsiTheme="minorEastAsia"/>
          <w:b/>
          <w:color w:val="auto"/>
          <w:szCs w:val="21"/>
          <w:highlight w:val="none"/>
          <w:lang w:val="en-US" w:eastAsia="zh-CN"/>
        </w:rPr>
        <w:t>9</w:t>
      </w:r>
      <w:r>
        <w:rPr>
          <w:rFonts w:hint="eastAsia" w:cs="仿宋_GB2312" w:asciiTheme="minorEastAsia" w:hAnsiTheme="minorEastAsia"/>
          <w:b/>
          <w:color w:val="auto"/>
          <w:szCs w:val="21"/>
          <w:highlight w:val="none"/>
          <w:lang w:val="zh-CN"/>
        </w:rPr>
        <w:t>）</w:t>
      </w:r>
      <w:r>
        <w:rPr>
          <w:rFonts w:cs="仿宋_GB2312" w:asciiTheme="minorEastAsia" w:hAnsiTheme="minorEastAsia"/>
          <w:b/>
          <w:color w:val="auto"/>
          <w:szCs w:val="21"/>
          <w:highlight w:val="none"/>
          <w:lang w:val="zh-CN"/>
        </w:rPr>
        <w:t>评标委员会</w:t>
      </w:r>
      <w:r>
        <w:rPr>
          <w:rFonts w:hint="eastAsia" w:cs="仿宋_GB2312" w:asciiTheme="minorEastAsia" w:hAnsiTheme="minorEastAsia"/>
          <w:b/>
          <w:color w:val="auto"/>
          <w:szCs w:val="21"/>
          <w:highlight w:val="none"/>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0" w:firstLineChars="200"/>
        <w:contextualSpacing/>
        <w:rPr>
          <w:rFonts w:cs="仿宋_GB2312" w:asciiTheme="minorEastAsia" w:hAnsiTheme="minorEastAsia"/>
          <w:bCs/>
          <w:color w:val="auto"/>
          <w:szCs w:val="21"/>
          <w:highlight w:val="none"/>
          <w:lang w:val="zh-CN"/>
        </w:rPr>
      </w:pPr>
      <w:r>
        <w:rPr>
          <w:rFonts w:cs="仿宋_GB2312" w:asciiTheme="minorEastAsia" w:hAnsiTheme="minorEastAsia"/>
          <w:bCs/>
          <w:color w:val="auto"/>
          <w:szCs w:val="21"/>
          <w:highlight w:val="none"/>
          <w:lang w:val="zh-CN"/>
        </w:rPr>
        <w:t>确定中标候选人名单，以及根据采购人委托直接确定中标人</w:t>
      </w:r>
      <w:r>
        <w:rPr>
          <w:rFonts w:hint="eastAsia" w:cs="仿宋_GB2312" w:asciiTheme="minorEastAsia" w:hAnsiTheme="minorEastAsia"/>
          <w:bCs/>
          <w:color w:val="auto"/>
          <w:szCs w:val="21"/>
          <w:highlight w:val="none"/>
          <w:lang w:val="zh-CN"/>
        </w:rPr>
        <w:t>。</w:t>
      </w:r>
    </w:p>
    <w:p>
      <w:pPr>
        <w:rPr>
          <w:rFonts w:hint="eastAsia"/>
          <w:color w:val="auto"/>
          <w:highlight w:val="none"/>
        </w:rPr>
      </w:pPr>
    </w:p>
    <w:p>
      <w:pPr>
        <w:pStyle w:val="2"/>
        <w:rPr>
          <w:rFonts w:hint="eastAsia"/>
          <w:color w:val="auto"/>
          <w:highlight w:val="none"/>
        </w:rPr>
      </w:pPr>
    </w:p>
    <w:p>
      <w:pPr>
        <w:pStyle w:val="24"/>
        <w:rPr>
          <w:rFonts w:hint="eastAsia"/>
          <w:color w:val="auto"/>
          <w:highlight w:val="none"/>
        </w:rPr>
      </w:pPr>
    </w:p>
    <w:p>
      <w:pPr>
        <w:pStyle w:val="25"/>
        <w:rPr>
          <w:rFonts w:hint="eastAsia"/>
          <w:color w:val="auto"/>
          <w:highlight w:val="none"/>
        </w:rPr>
      </w:pPr>
    </w:p>
    <w:p>
      <w:pPr>
        <w:pStyle w:val="26"/>
        <w:rPr>
          <w:rFonts w:hint="eastAsia"/>
          <w:color w:val="auto"/>
          <w:highlight w:val="none"/>
        </w:rPr>
      </w:pPr>
    </w:p>
    <w:p>
      <w:pPr>
        <w:pStyle w:val="27"/>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4"/>
        <w:rPr>
          <w:rFonts w:hint="eastAsia"/>
          <w:color w:val="auto"/>
          <w:highlight w:val="none"/>
        </w:rPr>
      </w:pPr>
    </w:p>
    <w:p>
      <w:pPr>
        <w:pStyle w:val="25"/>
        <w:rPr>
          <w:rFonts w:hint="eastAsia"/>
          <w:color w:val="auto"/>
          <w:highlight w:val="none"/>
        </w:rPr>
      </w:pPr>
    </w:p>
    <w:p>
      <w:pPr>
        <w:pStyle w:val="26"/>
        <w:rPr>
          <w:rFonts w:hint="eastAsia"/>
          <w:color w:val="auto"/>
          <w:highlight w:val="none"/>
        </w:rPr>
      </w:pPr>
    </w:p>
    <w:p>
      <w:pPr>
        <w:pStyle w:val="27"/>
        <w:rPr>
          <w:rFonts w:hint="eastAsia"/>
          <w:color w:val="auto"/>
          <w:highlight w:val="none"/>
        </w:rPr>
      </w:pPr>
    </w:p>
    <w:p>
      <w:pPr>
        <w:rPr>
          <w:rFonts w:hint="eastAsia"/>
          <w:color w:val="auto"/>
          <w:highlight w:val="none"/>
        </w:rPr>
      </w:pPr>
    </w:p>
    <w:p>
      <w:pPr>
        <w:pStyle w:val="2"/>
        <w:rPr>
          <w:rFonts w:hint="eastAsia"/>
          <w:highlight w:val="none"/>
        </w:rPr>
      </w:pPr>
    </w:p>
    <w:p>
      <w:pPr>
        <w:pStyle w:val="24"/>
        <w:rPr>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第七章 合同条款及格式</w:t>
      </w:r>
    </w:p>
    <w:p>
      <w:pPr>
        <w:spacing w:line="360" w:lineRule="auto"/>
        <w:jc w:val="center"/>
        <w:rPr>
          <w:rFonts w:ascii="宋体" w:hAnsi="宋体" w:cs="微软雅黑"/>
          <w:b/>
          <w:bCs/>
          <w:color w:val="auto"/>
          <w:szCs w:val="21"/>
          <w:highlight w:val="none"/>
        </w:rPr>
      </w:pPr>
      <w:r>
        <w:rPr>
          <w:rFonts w:hint="eastAsia" w:ascii="宋体" w:hAnsi="宋体" w:cs="微软雅黑"/>
          <w:b/>
          <w:bCs/>
          <w:color w:val="auto"/>
          <w:szCs w:val="21"/>
          <w:highlight w:val="none"/>
        </w:rPr>
        <w:t>（此合同仅供参考。以最终采购人与中标人签定的合同条款为准进行公示，</w:t>
      </w:r>
    </w:p>
    <w:p>
      <w:pPr>
        <w:spacing w:line="360" w:lineRule="auto"/>
        <w:jc w:val="center"/>
        <w:rPr>
          <w:rFonts w:ascii="宋体" w:hAnsi="宋体" w:eastAsia="微软雅黑"/>
          <w:color w:val="auto"/>
          <w:highlight w:val="none"/>
          <w:u w:val="single"/>
        </w:rPr>
      </w:pPr>
      <w:r>
        <w:rPr>
          <w:rFonts w:hint="eastAsia" w:ascii="宋体" w:hAnsi="宋体" w:cs="微软雅黑"/>
          <w:b/>
          <w:bCs/>
          <w:color w:val="auto"/>
          <w:szCs w:val="21"/>
          <w:highlight w:val="none"/>
        </w:rPr>
        <w:t>最终签定合同的主要条款不能与采购文件有冲突）</w:t>
      </w:r>
    </w:p>
    <w:p>
      <w:pPr>
        <w:pStyle w:val="29"/>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甲方：</w:t>
      </w:r>
      <w:r>
        <w:rPr>
          <w:rFonts w:asciiTheme="minorEastAsia" w:hAnsiTheme="minorEastAsia" w:eastAsiaTheme="minorEastAsia"/>
          <w:color w:val="auto"/>
          <w:sz w:val="21"/>
          <w:szCs w:val="21"/>
          <w:highlight w:val="none"/>
          <w:u w:val="single"/>
        </w:rPr>
        <w:t>（采购人全称）</w:t>
      </w:r>
    </w:p>
    <w:p>
      <w:pPr>
        <w:pStyle w:val="29"/>
        <w:spacing w:before="75" w:after="75"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乙方：</w:t>
      </w:r>
      <w:r>
        <w:rPr>
          <w:rFonts w:asciiTheme="minorEastAsia" w:hAnsiTheme="minorEastAsia" w:eastAsiaTheme="minorEastAsia"/>
          <w:color w:val="auto"/>
          <w:sz w:val="21"/>
          <w:szCs w:val="21"/>
          <w:highlight w:val="none"/>
          <w:u w:val="single"/>
        </w:rPr>
        <w:t>（中标人全称）</w:t>
      </w:r>
      <w:r>
        <w:rPr>
          <w:rFonts w:asciiTheme="minorEastAsia" w:hAnsiTheme="minorEastAsia" w:eastAsiaTheme="minorEastAsia"/>
          <w:color w:val="auto"/>
          <w:sz w:val="21"/>
          <w:szCs w:val="21"/>
          <w:highlight w:val="none"/>
        </w:rPr>
        <w:t> </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根据招标编号为</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的</w:t>
      </w:r>
      <w:r>
        <w:rPr>
          <w:rFonts w:asciiTheme="minorEastAsia" w:hAnsiTheme="minorEastAsia" w:eastAsiaTheme="minorEastAsia"/>
          <w:color w:val="auto"/>
          <w:sz w:val="21"/>
          <w:szCs w:val="21"/>
          <w:highlight w:val="none"/>
          <w:u w:val="single"/>
        </w:rPr>
        <w:t>（填写“项目名称”）</w:t>
      </w:r>
      <w:r>
        <w:rPr>
          <w:rFonts w:asciiTheme="minorEastAsia" w:hAnsiTheme="minorEastAsia" w:eastAsiaTheme="minorEastAsia"/>
          <w:color w:val="auto"/>
          <w:sz w:val="21"/>
          <w:szCs w:val="21"/>
          <w:highlight w:val="none"/>
        </w:rPr>
        <w:t>项目（以下简称：“本项目”）的招标结果，乙方为中标人。现经甲乙双方友好协商，就以下事项达成一致并签订本合同：</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1、下列合同文件是构成本合同不可分割的部分：</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1.1合同条款；</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w:t>
      </w:r>
      <w:r>
        <w:rPr>
          <w:rFonts w:hint="eastAsia" w:asciiTheme="minorEastAsia" w:hAnsiTheme="minorEastAsia" w:eastAsiaTheme="minorEastAsia"/>
          <w:color w:val="auto"/>
          <w:sz w:val="21"/>
          <w:szCs w:val="21"/>
          <w:highlight w:val="none"/>
        </w:rPr>
        <w:t>招标文件</w:t>
      </w:r>
      <w:r>
        <w:rPr>
          <w:rFonts w:asciiTheme="minorEastAsia" w:hAnsiTheme="minorEastAsia" w:eastAsiaTheme="minorEastAsia"/>
          <w:color w:val="auto"/>
          <w:sz w:val="21"/>
          <w:szCs w:val="21"/>
          <w:highlight w:val="none"/>
        </w:rPr>
        <w:t>、乙方的投标文件；</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1.3其他文件或材料：□无。□</w:t>
      </w:r>
      <w:r>
        <w:rPr>
          <w:rFonts w:asciiTheme="minorEastAsia" w:hAnsiTheme="minorEastAsia" w:eastAsiaTheme="minorEastAsia"/>
          <w:color w:val="auto"/>
          <w:sz w:val="21"/>
          <w:szCs w:val="21"/>
          <w:highlight w:val="none"/>
          <w:u w:val="single"/>
        </w:rPr>
        <w:t>（按照实际情况编制填写需要增加的内容）</w:t>
      </w:r>
      <w:r>
        <w:rPr>
          <w:rFonts w:asciiTheme="minorEastAsia" w:hAnsiTheme="minorEastAsia" w:eastAsiaTheme="minorEastAsia"/>
          <w:color w:val="auto"/>
          <w:sz w:val="21"/>
          <w:szCs w:val="21"/>
          <w:highlight w:val="none"/>
        </w:rPr>
        <w:t>。</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2、合同标的</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3、合同总金额</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3.1合同总金额为人民币大写：</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元（￥</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4、合同标的交付时间、地点和条件</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4.1交付时间：</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4.2交付地点：</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4.3交付条件：</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5、合同标的应符合</w:t>
      </w:r>
      <w:r>
        <w:rPr>
          <w:rFonts w:hint="eastAsia" w:asciiTheme="minorEastAsia" w:hAnsiTheme="minorEastAsia" w:eastAsiaTheme="minorEastAsia"/>
          <w:color w:val="auto"/>
          <w:sz w:val="21"/>
          <w:szCs w:val="21"/>
          <w:highlight w:val="none"/>
        </w:rPr>
        <w:t>招标文件</w:t>
      </w:r>
      <w:r>
        <w:rPr>
          <w:rFonts w:asciiTheme="minorEastAsia" w:hAnsiTheme="minorEastAsia" w:eastAsiaTheme="minorEastAsia"/>
          <w:color w:val="auto"/>
          <w:sz w:val="21"/>
          <w:szCs w:val="21"/>
          <w:highlight w:val="none"/>
        </w:rPr>
        <w:t>、乙方投标文件的规定或约定，具体如下：</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6、验收</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6.1验收应按照</w:t>
      </w:r>
      <w:r>
        <w:rPr>
          <w:rFonts w:hint="eastAsia" w:asciiTheme="minorEastAsia" w:hAnsiTheme="minorEastAsia" w:eastAsiaTheme="minorEastAsia"/>
          <w:color w:val="auto"/>
          <w:sz w:val="21"/>
          <w:szCs w:val="21"/>
          <w:highlight w:val="none"/>
        </w:rPr>
        <w:t>招标文件</w:t>
      </w:r>
      <w:r>
        <w:rPr>
          <w:rFonts w:asciiTheme="minorEastAsia" w:hAnsiTheme="minorEastAsia" w:eastAsiaTheme="minorEastAsia"/>
          <w:color w:val="auto"/>
          <w:sz w:val="21"/>
          <w:szCs w:val="21"/>
          <w:highlight w:val="none"/>
        </w:rPr>
        <w:t>、乙方投标文件的规定或约定进行，具体如下：</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6.2本项目是否邀请其他</w:t>
      </w:r>
      <w:r>
        <w:rPr>
          <w:rFonts w:hint="eastAsia" w:asciiTheme="minorEastAsia" w:hAnsiTheme="minorEastAsia" w:eastAsiaTheme="minorEastAsia"/>
          <w:color w:val="auto"/>
          <w:sz w:val="21"/>
          <w:szCs w:val="21"/>
          <w:highlight w:val="none"/>
        </w:rPr>
        <w:t>供应商</w:t>
      </w:r>
      <w:r>
        <w:rPr>
          <w:rFonts w:asciiTheme="minorEastAsia" w:hAnsiTheme="minorEastAsia" w:eastAsiaTheme="minorEastAsia"/>
          <w:color w:val="auto"/>
          <w:sz w:val="21"/>
          <w:szCs w:val="21"/>
          <w:highlight w:val="none"/>
        </w:rPr>
        <w:t>参与验收：</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□不邀请。□邀请，具体如下：</w:t>
      </w:r>
      <w:r>
        <w:rPr>
          <w:rFonts w:asciiTheme="minorEastAsia" w:hAnsiTheme="minorEastAsia" w:eastAsiaTheme="minorEastAsia"/>
          <w:color w:val="auto"/>
          <w:sz w:val="21"/>
          <w:szCs w:val="21"/>
          <w:highlight w:val="none"/>
          <w:u w:val="single"/>
        </w:rPr>
        <w:t>（按照</w:t>
      </w:r>
      <w:r>
        <w:rPr>
          <w:rFonts w:hint="eastAsia" w:asciiTheme="minorEastAsia" w:hAnsiTheme="minorEastAsia" w:eastAsiaTheme="minorEastAsia"/>
          <w:color w:val="auto"/>
          <w:sz w:val="21"/>
          <w:szCs w:val="21"/>
          <w:highlight w:val="none"/>
          <w:u w:val="single"/>
        </w:rPr>
        <w:t>招标文件</w:t>
      </w:r>
      <w:r>
        <w:rPr>
          <w:rFonts w:asciiTheme="minorEastAsia" w:hAnsiTheme="minorEastAsia" w:eastAsiaTheme="minorEastAsia"/>
          <w:color w:val="auto"/>
          <w:sz w:val="21"/>
          <w:szCs w:val="21"/>
          <w:highlight w:val="none"/>
          <w:u w:val="single"/>
        </w:rPr>
        <w:t>规定填写）</w:t>
      </w:r>
      <w:r>
        <w:rPr>
          <w:rFonts w:asciiTheme="minorEastAsia" w:hAnsiTheme="minorEastAsia" w:eastAsiaTheme="minorEastAsia"/>
          <w:color w:val="auto"/>
          <w:sz w:val="21"/>
          <w:szCs w:val="21"/>
          <w:highlight w:val="none"/>
        </w:rPr>
        <w:t>。</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7、合同款项的支付应按照</w:t>
      </w:r>
      <w:r>
        <w:rPr>
          <w:rFonts w:hint="eastAsia" w:asciiTheme="minorEastAsia" w:hAnsiTheme="minorEastAsia" w:eastAsiaTheme="minorEastAsia"/>
          <w:color w:val="auto"/>
          <w:sz w:val="21"/>
          <w:szCs w:val="21"/>
          <w:highlight w:val="none"/>
        </w:rPr>
        <w:t>招标文件</w:t>
      </w:r>
      <w:r>
        <w:rPr>
          <w:rFonts w:asciiTheme="minorEastAsia" w:hAnsiTheme="minorEastAsia" w:eastAsiaTheme="minorEastAsia"/>
          <w:color w:val="auto"/>
          <w:sz w:val="21"/>
          <w:szCs w:val="21"/>
          <w:highlight w:val="none"/>
        </w:rPr>
        <w:t>的规定进行，具体如下：</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（按照实际情况编制填写，可以是表格或文字描述，包括一次性支付或分期支付等）</w:t>
      </w:r>
      <w:r>
        <w:rPr>
          <w:rFonts w:asciiTheme="minorEastAsia" w:hAnsiTheme="minorEastAsia" w:eastAsiaTheme="minorEastAsia"/>
          <w:color w:val="auto"/>
          <w:sz w:val="21"/>
          <w:szCs w:val="21"/>
          <w:highlight w:val="none"/>
        </w:rPr>
        <w:t>。</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8、履约保证金</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□无。□有，具体如下：</w:t>
      </w:r>
      <w:r>
        <w:rPr>
          <w:rFonts w:asciiTheme="minorEastAsia" w:hAnsiTheme="minorEastAsia" w:eastAsiaTheme="minorEastAsia"/>
          <w:color w:val="auto"/>
          <w:sz w:val="21"/>
          <w:szCs w:val="21"/>
          <w:highlight w:val="none"/>
          <w:u w:val="single"/>
        </w:rPr>
        <w:t>（按照</w:t>
      </w:r>
      <w:r>
        <w:rPr>
          <w:rFonts w:hint="eastAsia" w:asciiTheme="minorEastAsia" w:hAnsiTheme="minorEastAsia" w:eastAsiaTheme="minorEastAsia"/>
          <w:color w:val="auto"/>
          <w:sz w:val="21"/>
          <w:szCs w:val="21"/>
          <w:highlight w:val="none"/>
          <w:u w:val="single"/>
        </w:rPr>
        <w:t>招标文件</w:t>
      </w:r>
      <w:r>
        <w:rPr>
          <w:rFonts w:asciiTheme="minorEastAsia" w:hAnsiTheme="minorEastAsia" w:eastAsiaTheme="minorEastAsia"/>
          <w:color w:val="auto"/>
          <w:sz w:val="21"/>
          <w:szCs w:val="21"/>
          <w:highlight w:val="none"/>
          <w:u w:val="single"/>
        </w:rPr>
        <w:t>规定填写）</w:t>
      </w:r>
      <w:r>
        <w:rPr>
          <w:rFonts w:asciiTheme="minorEastAsia" w:hAnsiTheme="minorEastAsia" w:eastAsiaTheme="minorEastAsia"/>
          <w:color w:val="auto"/>
          <w:sz w:val="21"/>
          <w:szCs w:val="21"/>
          <w:highlight w:val="none"/>
        </w:rPr>
        <w:t>。</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9、合同有效期</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10、违约责任</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（按照实际情况编制填写，可以是表格或文字描述）</w:t>
      </w:r>
      <w:r>
        <w:rPr>
          <w:rFonts w:asciiTheme="minorEastAsia" w:hAnsiTheme="minorEastAsia" w:eastAsiaTheme="minorEastAsia"/>
          <w:color w:val="auto"/>
          <w:sz w:val="21"/>
          <w:szCs w:val="21"/>
          <w:highlight w:val="none"/>
        </w:rPr>
        <w:t>。</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11、知识产权</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auto"/>
          <w:sz w:val="21"/>
          <w:szCs w:val="21"/>
          <w:highlight w:val="none"/>
          <w:u w:val="single"/>
        </w:rPr>
        <w:t>（按照实际情况编制填写）</w:t>
      </w:r>
      <w:r>
        <w:rPr>
          <w:rFonts w:asciiTheme="minorEastAsia" w:hAnsiTheme="minorEastAsia" w:eastAsiaTheme="minorEastAsia"/>
          <w:color w:val="auto"/>
          <w:sz w:val="21"/>
          <w:szCs w:val="21"/>
          <w:highlight w:val="none"/>
        </w:rPr>
        <w:t>。</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12、解决争议的方法</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12.1甲、乙双方协商解决。</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12.2若协商解决不成，则通过下列途径之一解决：</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□提交仲裁委员会仲裁，具体如下：</w:t>
      </w:r>
      <w:r>
        <w:rPr>
          <w:rFonts w:asciiTheme="minorEastAsia" w:hAnsiTheme="minorEastAsia" w:eastAsiaTheme="minorEastAsia"/>
          <w:color w:val="auto"/>
          <w:sz w:val="21"/>
          <w:szCs w:val="21"/>
          <w:highlight w:val="none"/>
          <w:u w:val="single"/>
        </w:rPr>
        <w:t>（按照实际情况编制填写）</w:t>
      </w:r>
      <w:r>
        <w:rPr>
          <w:rFonts w:asciiTheme="minorEastAsia" w:hAnsiTheme="minorEastAsia" w:eastAsiaTheme="minorEastAsia"/>
          <w:color w:val="auto"/>
          <w:sz w:val="21"/>
          <w:szCs w:val="21"/>
          <w:highlight w:val="none"/>
        </w:rPr>
        <w:t>。</w:t>
      </w:r>
    </w:p>
    <w:p>
      <w:pPr>
        <w:pStyle w:val="29"/>
        <w:spacing w:before="75" w:after="75" w:line="360" w:lineRule="auto"/>
        <w:ind w:firstLine="482"/>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□向人民法院提起诉讼，具体如下：</w:t>
      </w:r>
      <w:r>
        <w:rPr>
          <w:rFonts w:asciiTheme="minorEastAsia" w:hAnsiTheme="minorEastAsia" w:eastAsiaTheme="minorEastAsia"/>
          <w:color w:val="auto"/>
          <w:sz w:val="21"/>
          <w:szCs w:val="21"/>
          <w:highlight w:val="none"/>
          <w:u w:val="single"/>
        </w:rPr>
        <w:t>（按照实际情况编制填写）</w:t>
      </w:r>
      <w:r>
        <w:rPr>
          <w:rFonts w:asciiTheme="minorEastAsia" w:hAnsiTheme="minorEastAsia" w:eastAsiaTheme="minorEastAsia"/>
          <w:color w:val="auto"/>
          <w:sz w:val="21"/>
          <w:szCs w:val="21"/>
          <w:highlight w:val="none"/>
        </w:rPr>
        <w:t>。</w:t>
      </w:r>
    </w:p>
    <w:p>
      <w:pPr>
        <w:pStyle w:val="29"/>
        <w:keepNext w:val="0"/>
        <w:keepLines w:val="0"/>
        <w:pageBreakBefore w:val="0"/>
        <w:widowControl w:val="0"/>
        <w:kinsoku/>
        <w:wordWrap/>
        <w:overflowPunct/>
        <w:topLinePunct w:val="0"/>
        <w:autoSpaceDE/>
        <w:autoSpaceDN/>
        <w:bidi w:val="0"/>
        <w:adjustRightInd/>
        <w:snapToGrid/>
        <w:spacing w:before="75" w:after="75" w:line="380" w:lineRule="exact"/>
        <w:ind w:firstLine="482"/>
        <w:textAlignment w:val="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13、不可抗力</w:t>
      </w:r>
    </w:p>
    <w:p>
      <w:pPr>
        <w:pStyle w:val="29"/>
        <w:keepNext w:val="0"/>
        <w:keepLines w:val="0"/>
        <w:pageBreakBefore w:val="0"/>
        <w:widowControl w:val="0"/>
        <w:kinsoku/>
        <w:wordWrap/>
        <w:overflowPunct/>
        <w:topLinePunct w:val="0"/>
        <w:autoSpaceDE/>
        <w:autoSpaceDN/>
        <w:bidi w:val="0"/>
        <w:adjustRightInd/>
        <w:snapToGrid/>
        <w:spacing w:before="75" w:after="75" w:line="380" w:lineRule="exact"/>
        <w:ind w:firstLine="482"/>
        <w:textAlignment w:val="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9"/>
        <w:keepNext w:val="0"/>
        <w:keepLines w:val="0"/>
        <w:pageBreakBefore w:val="0"/>
        <w:widowControl w:val="0"/>
        <w:kinsoku/>
        <w:wordWrap/>
        <w:overflowPunct/>
        <w:topLinePunct w:val="0"/>
        <w:autoSpaceDE/>
        <w:autoSpaceDN/>
        <w:bidi w:val="0"/>
        <w:adjustRightInd/>
        <w:snapToGrid/>
        <w:spacing w:before="75" w:after="75" w:line="380" w:lineRule="exact"/>
        <w:ind w:firstLine="482"/>
        <w:textAlignment w:val="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9"/>
        <w:keepNext w:val="0"/>
        <w:keepLines w:val="0"/>
        <w:pageBreakBefore w:val="0"/>
        <w:widowControl w:val="0"/>
        <w:kinsoku/>
        <w:wordWrap/>
        <w:overflowPunct/>
        <w:topLinePunct w:val="0"/>
        <w:autoSpaceDE/>
        <w:autoSpaceDN/>
        <w:bidi w:val="0"/>
        <w:adjustRightInd/>
        <w:snapToGrid/>
        <w:spacing w:before="75" w:after="75" w:line="380" w:lineRule="exact"/>
        <w:ind w:firstLine="482"/>
        <w:textAlignment w:val="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14、合同条款</w:t>
      </w:r>
    </w:p>
    <w:p>
      <w:pPr>
        <w:pStyle w:val="29"/>
        <w:keepNext w:val="0"/>
        <w:keepLines w:val="0"/>
        <w:pageBreakBefore w:val="0"/>
        <w:widowControl w:val="0"/>
        <w:kinsoku/>
        <w:wordWrap/>
        <w:overflowPunct/>
        <w:topLinePunct w:val="0"/>
        <w:autoSpaceDE/>
        <w:autoSpaceDN/>
        <w:bidi w:val="0"/>
        <w:adjustRightInd/>
        <w:snapToGrid/>
        <w:spacing w:before="75" w:after="75" w:line="380" w:lineRule="exact"/>
        <w:ind w:firstLine="482"/>
        <w:textAlignment w:val="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u w:val="single"/>
        </w:rPr>
        <w:t>（按照实际情况编制填写。</w:t>
      </w:r>
      <w:r>
        <w:rPr>
          <w:rFonts w:hint="eastAsia" w:asciiTheme="minorEastAsia" w:hAnsiTheme="minorEastAsia" w:eastAsiaTheme="minorEastAsia"/>
          <w:color w:val="auto"/>
          <w:sz w:val="21"/>
          <w:szCs w:val="21"/>
          <w:highlight w:val="none"/>
          <w:u w:val="single"/>
        </w:rPr>
        <w:t>招标文件</w:t>
      </w:r>
      <w:r>
        <w:rPr>
          <w:rFonts w:asciiTheme="minorEastAsia" w:hAnsiTheme="minorEastAsia" w:eastAsiaTheme="minorEastAsia"/>
          <w:color w:val="auto"/>
          <w:sz w:val="21"/>
          <w:szCs w:val="21"/>
          <w:highlight w:val="none"/>
          <w:u w:val="single"/>
        </w:rPr>
        <w:t>已有规定的，双方均不得变更或调整；</w:t>
      </w:r>
      <w:r>
        <w:rPr>
          <w:rFonts w:hint="eastAsia" w:asciiTheme="minorEastAsia" w:hAnsiTheme="minorEastAsia" w:eastAsiaTheme="minorEastAsia"/>
          <w:color w:val="auto"/>
          <w:sz w:val="21"/>
          <w:szCs w:val="21"/>
          <w:highlight w:val="none"/>
          <w:u w:val="single"/>
        </w:rPr>
        <w:t>招标文件</w:t>
      </w:r>
      <w:r>
        <w:rPr>
          <w:rFonts w:asciiTheme="minorEastAsia" w:hAnsiTheme="minorEastAsia" w:eastAsiaTheme="minorEastAsia"/>
          <w:color w:val="auto"/>
          <w:sz w:val="21"/>
          <w:szCs w:val="21"/>
          <w:highlight w:val="none"/>
          <w:u w:val="single"/>
        </w:rPr>
        <w:t>未作规定的，双方可通过友好协商进行约定）</w:t>
      </w:r>
      <w:r>
        <w:rPr>
          <w:rFonts w:asciiTheme="minorEastAsia" w:hAnsiTheme="minorEastAsia" w:eastAsiaTheme="minorEastAsia"/>
          <w:color w:val="auto"/>
          <w:sz w:val="21"/>
          <w:szCs w:val="21"/>
          <w:highlight w:val="none"/>
        </w:rPr>
        <w:t>。</w:t>
      </w:r>
    </w:p>
    <w:p>
      <w:pPr>
        <w:pStyle w:val="29"/>
        <w:keepNext w:val="0"/>
        <w:keepLines w:val="0"/>
        <w:pageBreakBefore w:val="0"/>
        <w:widowControl w:val="0"/>
        <w:kinsoku/>
        <w:wordWrap/>
        <w:overflowPunct/>
        <w:topLinePunct w:val="0"/>
        <w:autoSpaceDE/>
        <w:autoSpaceDN/>
        <w:bidi w:val="0"/>
        <w:adjustRightInd/>
        <w:snapToGrid/>
        <w:spacing w:before="75" w:after="75" w:line="380" w:lineRule="exact"/>
        <w:ind w:firstLine="482"/>
        <w:textAlignment w:val="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15、其他约定</w:t>
      </w:r>
    </w:p>
    <w:p>
      <w:pPr>
        <w:pStyle w:val="29"/>
        <w:keepNext w:val="0"/>
        <w:keepLines w:val="0"/>
        <w:pageBreakBefore w:val="0"/>
        <w:widowControl w:val="0"/>
        <w:kinsoku/>
        <w:wordWrap/>
        <w:overflowPunct/>
        <w:topLinePunct w:val="0"/>
        <w:autoSpaceDE/>
        <w:autoSpaceDN/>
        <w:bidi w:val="0"/>
        <w:adjustRightInd/>
        <w:snapToGrid/>
        <w:spacing w:before="75" w:after="75" w:line="380" w:lineRule="exact"/>
        <w:ind w:firstLine="482"/>
        <w:textAlignment w:val="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15.1合同文件与本合同具有同等法律效力。</w:t>
      </w:r>
    </w:p>
    <w:p>
      <w:pPr>
        <w:pStyle w:val="29"/>
        <w:keepNext w:val="0"/>
        <w:keepLines w:val="0"/>
        <w:pageBreakBefore w:val="0"/>
        <w:widowControl w:val="0"/>
        <w:kinsoku/>
        <w:wordWrap/>
        <w:overflowPunct/>
        <w:topLinePunct w:val="0"/>
        <w:autoSpaceDE/>
        <w:autoSpaceDN/>
        <w:bidi w:val="0"/>
        <w:adjustRightInd/>
        <w:snapToGrid/>
        <w:spacing w:before="75" w:after="75" w:line="380" w:lineRule="exact"/>
        <w:ind w:firstLine="482"/>
        <w:textAlignment w:val="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15.2本合同未尽事宜，双方可另行补充。</w:t>
      </w:r>
    </w:p>
    <w:p>
      <w:pPr>
        <w:pStyle w:val="29"/>
        <w:keepNext w:val="0"/>
        <w:keepLines w:val="0"/>
        <w:pageBreakBefore w:val="0"/>
        <w:widowControl w:val="0"/>
        <w:kinsoku/>
        <w:wordWrap/>
        <w:overflowPunct/>
        <w:topLinePunct w:val="0"/>
        <w:autoSpaceDE/>
        <w:autoSpaceDN/>
        <w:bidi w:val="0"/>
        <w:adjustRightInd/>
        <w:snapToGrid/>
        <w:spacing w:before="75" w:after="75" w:line="380" w:lineRule="exact"/>
        <w:ind w:firstLine="482"/>
        <w:textAlignment w:val="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15.3合同生效：自签订之日起生效。</w:t>
      </w:r>
    </w:p>
    <w:p>
      <w:pPr>
        <w:pStyle w:val="29"/>
        <w:keepNext w:val="0"/>
        <w:keepLines w:val="0"/>
        <w:pageBreakBefore w:val="0"/>
        <w:widowControl w:val="0"/>
        <w:kinsoku/>
        <w:wordWrap/>
        <w:overflowPunct/>
        <w:topLinePunct w:val="0"/>
        <w:autoSpaceDE/>
        <w:autoSpaceDN/>
        <w:bidi w:val="0"/>
        <w:adjustRightInd/>
        <w:snapToGrid/>
        <w:spacing w:before="75" w:after="75" w:line="380" w:lineRule="exact"/>
        <w:ind w:firstLine="482"/>
        <w:textAlignment w:val="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15.4本合同一式</w:t>
      </w:r>
      <w:r>
        <w:rPr>
          <w:rFonts w:asciiTheme="minorEastAsia" w:hAnsiTheme="minorEastAsia" w:eastAsiaTheme="minorEastAsia"/>
          <w:color w:val="auto"/>
          <w:sz w:val="21"/>
          <w:szCs w:val="21"/>
          <w:highlight w:val="none"/>
          <w:u w:val="single"/>
        </w:rPr>
        <w:t>（填写具体份数）</w:t>
      </w:r>
      <w:r>
        <w:rPr>
          <w:rFonts w:asciiTheme="minorEastAsia" w:hAnsiTheme="minorEastAsia" w:eastAsiaTheme="minorEastAsia"/>
          <w:color w:val="auto"/>
          <w:sz w:val="21"/>
          <w:szCs w:val="21"/>
          <w:highlight w:val="none"/>
        </w:rPr>
        <w:t>份，经双方授权代表签字并盖章后生效。甲方、乙方各执</w:t>
      </w:r>
      <w:r>
        <w:rPr>
          <w:rFonts w:asciiTheme="minorEastAsia" w:hAnsiTheme="minorEastAsia" w:eastAsiaTheme="minorEastAsia"/>
          <w:color w:val="auto"/>
          <w:sz w:val="21"/>
          <w:szCs w:val="21"/>
          <w:highlight w:val="none"/>
          <w:u w:val="single"/>
        </w:rPr>
        <w:t>（填写具体份数）</w:t>
      </w:r>
      <w:r>
        <w:rPr>
          <w:rFonts w:asciiTheme="minorEastAsia" w:hAnsiTheme="minorEastAsia" w:eastAsiaTheme="minorEastAsia"/>
          <w:color w:val="auto"/>
          <w:sz w:val="21"/>
          <w:szCs w:val="21"/>
          <w:highlight w:val="none"/>
        </w:rPr>
        <w:t>份，送</w:t>
      </w:r>
      <w:r>
        <w:rPr>
          <w:rFonts w:asciiTheme="minorEastAsia" w:hAnsiTheme="minorEastAsia" w:eastAsiaTheme="minorEastAsia"/>
          <w:color w:val="auto"/>
          <w:sz w:val="21"/>
          <w:szCs w:val="21"/>
          <w:highlight w:val="none"/>
          <w:u w:val="single"/>
        </w:rPr>
        <w:t>（填写需要备案的监管部门的全称）</w:t>
      </w:r>
      <w:r>
        <w:rPr>
          <w:rFonts w:asciiTheme="minorEastAsia" w:hAnsiTheme="minorEastAsia" w:eastAsiaTheme="minorEastAsia"/>
          <w:color w:val="auto"/>
          <w:sz w:val="21"/>
          <w:szCs w:val="21"/>
          <w:highlight w:val="none"/>
        </w:rPr>
        <w:t>备案</w:t>
      </w:r>
      <w:r>
        <w:rPr>
          <w:rFonts w:asciiTheme="minorEastAsia" w:hAnsiTheme="minorEastAsia" w:eastAsiaTheme="minorEastAsia"/>
          <w:color w:val="auto"/>
          <w:sz w:val="21"/>
          <w:szCs w:val="21"/>
          <w:highlight w:val="none"/>
          <w:u w:val="single"/>
        </w:rPr>
        <w:t>（填写具体份数）</w:t>
      </w:r>
      <w:r>
        <w:rPr>
          <w:rFonts w:asciiTheme="minorEastAsia" w:hAnsiTheme="minorEastAsia" w:eastAsiaTheme="minorEastAsia"/>
          <w:color w:val="auto"/>
          <w:sz w:val="21"/>
          <w:szCs w:val="21"/>
          <w:highlight w:val="none"/>
        </w:rPr>
        <w:t>份，具有同等效力。</w:t>
      </w:r>
    </w:p>
    <w:p>
      <w:pPr>
        <w:pStyle w:val="29"/>
        <w:keepNext w:val="0"/>
        <w:keepLines w:val="0"/>
        <w:pageBreakBefore w:val="0"/>
        <w:widowControl w:val="0"/>
        <w:kinsoku/>
        <w:wordWrap/>
        <w:overflowPunct/>
        <w:topLinePunct w:val="0"/>
        <w:autoSpaceDE/>
        <w:autoSpaceDN/>
        <w:bidi w:val="0"/>
        <w:adjustRightInd/>
        <w:snapToGrid/>
        <w:spacing w:before="75" w:after="75" w:line="380" w:lineRule="exact"/>
        <w:ind w:firstLine="482"/>
        <w:textAlignment w:val="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15.5其他：□无。□</w:t>
      </w:r>
      <w:r>
        <w:rPr>
          <w:rFonts w:asciiTheme="minorEastAsia" w:hAnsiTheme="minorEastAsia" w:eastAsiaTheme="minorEastAsia"/>
          <w:color w:val="auto"/>
          <w:sz w:val="21"/>
          <w:szCs w:val="21"/>
          <w:highlight w:val="none"/>
          <w:u w:val="single"/>
        </w:rPr>
        <w:t>（按照实际情况编制填写需要增加的内容）</w:t>
      </w:r>
      <w:r>
        <w:rPr>
          <w:rFonts w:asciiTheme="minorEastAsia" w:hAnsiTheme="minorEastAsia" w:eastAsiaTheme="minorEastAsia"/>
          <w:color w:val="auto"/>
          <w:sz w:val="21"/>
          <w:szCs w:val="21"/>
          <w:highlight w:val="none"/>
        </w:rPr>
        <w:t>。 </w:t>
      </w:r>
    </w:p>
    <w:p>
      <w:pPr>
        <w:pStyle w:val="29"/>
        <w:keepNext w:val="0"/>
        <w:keepLines w:val="0"/>
        <w:pageBreakBefore w:val="0"/>
        <w:widowControl w:val="0"/>
        <w:kinsoku/>
        <w:wordWrap/>
        <w:overflowPunct/>
        <w:topLinePunct w:val="0"/>
        <w:autoSpaceDE/>
        <w:autoSpaceDN/>
        <w:bidi w:val="0"/>
        <w:adjustRightInd/>
        <w:snapToGrid/>
        <w:spacing w:before="75" w:after="75" w:line="380" w:lineRule="exact"/>
        <w:textAlignment w:val="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甲方：                      乙方：</w:t>
      </w:r>
    </w:p>
    <w:p>
      <w:pPr>
        <w:pStyle w:val="29"/>
        <w:keepNext w:val="0"/>
        <w:keepLines w:val="0"/>
        <w:pageBreakBefore w:val="0"/>
        <w:widowControl w:val="0"/>
        <w:kinsoku/>
        <w:wordWrap/>
        <w:overflowPunct/>
        <w:topLinePunct w:val="0"/>
        <w:autoSpaceDE/>
        <w:autoSpaceDN/>
        <w:bidi w:val="0"/>
        <w:adjustRightInd/>
        <w:snapToGrid/>
        <w:spacing w:before="75" w:after="75" w:line="380" w:lineRule="exact"/>
        <w:textAlignment w:val="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住所：                      住所：</w:t>
      </w:r>
    </w:p>
    <w:p>
      <w:pPr>
        <w:pStyle w:val="29"/>
        <w:keepNext w:val="0"/>
        <w:keepLines w:val="0"/>
        <w:pageBreakBefore w:val="0"/>
        <w:widowControl w:val="0"/>
        <w:kinsoku/>
        <w:wordWrap/>
        <w:overflowPunct/>
        <w:topLinePunct w:val="0"/>
        <w:autoSpaceDE/>
        <w:autoSpaceDN/>
        <w:bidi w:val="0"/>
        <w:adjustRightInd/>
        <w:snapToGrid/>
        <w:spacing w:before="75" w:after="75" w:line="380" w:lineRule="exact"/>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法定代表人（</w:t>
      </w:r>
      <w:r>
        <w:rPr>
          <w:rFonts w:asciiTheme="minorEastAsia" w:hAnsiTheme="minorEastAsia" w:eastAsiaTheme="minorEastAsia"/>
          <w:color w:val="auto"/>
          <w:sz w:val="21"/>
          <w:szCs w:val="21"/>
          <w:highlight w:val="none"/>
        </w:rPr>
        <w:t>单位负责人</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             </w:t>
      </w:r>
      <w:r>
        <w:rPr>
          <w:rFonts w:hint="eastAsia" w:asciiTheme="minorEastAsia" w:hAnsiTheme="minorEastAsia" w:eastAsiaTheme="minorEastAsia"/>
          <w:color w:val="auto"/>
          <w:sz w:val="21"/>
          <w:szCs w:val="21"/>
          <w:highlight w:val="none"/>
        </w:rPr>
        <w:t>法定代表人（</w:t>
      </w:r>
      <w:r>
        <w:rPr>
          <w:rFonts w:asciiTheme="minorEastAsia" w:hAnsiTheme="minorEastAsia" w:eastAsiaTheme="minorEastAsia"/>
          <w:color w:val="auto"/>
          <w:sz w:val="21"/>
          <w:szCs w:val="21"/>
          <w:highlight w:val="none"/>
        </w:rPr>
        <w:t>单位负责人</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w:t>
      </w:r>
    </w:p>
    <w:p>
      <w:pPr>
        <w:pStyle w:val="29"/>
        <w:keepNext w:val="0"/>
        <w:keepLines w:val="0"/>
        <w:pageBreakBefore w:val="0"/>
        <w:widowControl w:val="0"/>
        <w:kinsoku/>
        <w:wordWrap/>
        <w:overflowPunct/>
        <w:topLinePunct w:val="0"/>
        <w:autoSpaceDE/>
        <w:autoSpaceDN/>
        <w:bidi w:val="0"/>
        <w:adjustRightInd/>
        <w:snapToGrid/>
        <w:spacing w:before="75" w:after="75" w:line="380" w:lineRule="exact"/>
        <w:textAlignment w:val="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联系方法：                    联系方法：</w:t>
      </w:r>
    </w:p>
    <w:p>
      <w:pPr>
        <w:pStyle w:val="29"/>
        <w:keepNext w:val="0"/>
        <w:keepLines w:val="0"/>
        <w:pageBreakBefore w:val="0"/>
        <w:widowControl w:val="0"/>
        <w:kinsoku/>
        <w:wordWrap/>
        <w:overflowPunct/>
        <w:topLinePunct w:val="0"/>
        <w:autoSpaceDE/>
        <w:autoSpaceDN/>
        <w:bidi w:val="0"/>
        <w:adjustRightInd/>
        <w:snapToGrid/>
        <w:spacing w:before="75" w:after="75" w:line="380" w:lineRule="exact"/>
        <w:textAlignment w:val="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开户银行：                    开户银行：</w:t>
      </w:r>
    </w:p>
    <w:p>
      <w:pPr>
        <w:pStyle w:val="29"/>
        <w:keepNext w:val="0"/>
        <w:keepLines w:val="0"/>
        <w:pageBreakBefore w:val="0"/>
        <w:widowControl w:val="0"/>
        <w:kinsoku/>
        <w:wordWrap/>
        <w:overflowPunct/>
        <w:topLinePunct w:val="0"/>
        <w:autoSpaceDE/>
        <w:autoSpaceDN/>
        <w:bidi w:val="0"/>
        <w:adjustRightInd/>
        <w:snapToGrid/>
        <w:spacing w:before="75" w:after="75" w:line="380" w:lineRule="exact"/>
        <w:textAlignment w:val="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账号：                      账号：</w:t>
      </w:r>
    </w:p>
    <w:p>
      <w:pPr>
        <w:pStyle w:val="29"/>
        <w:keepNext w:val="0"/>
        <w:keepLines w:val="0"/>
        <w:pageBreakBefore w:val="0"/>
        <w:widowControl w:val="0"/>
        <w:kinsoku/>
        <w:wordWrap/>
        <w:overflowPunct/>
        <w:topLinePunct w:val="0"/>
        <w:autoSpaceDE/>
        <w:autoSpaceDN/>
        <w:bidi w:val="0"/>
        <w:adjustRightInd/>
        <w:snapToGrid/>
        <w:spacing w:before="75" w:after="75" w:line="380" w:lineRule="exact"/>
        <w:textAlignment w:val="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9"/>
        <w:keepNext w:val="0"/>
        <w:keepLines w:val="0"/>
        <w:pageBreakBefore w:val="0"/>
        <w:widowControl w:val="0"/>
        <w:kinsoku/>
        <w:wordWrap/>
        <w:overflowPunct/>
        <w:topLinePunct w:val="0"/>
        <w:autoSpaceDE/>
        <w:autoSpaceDN/>
        <w:bidi w:val="0"/>
        <w:adjustRightInd/>
        <w:snapToGrid/>
        <w:spacing w:before="75" w:after="75" w:line="380" w:lineRule="exact"/>
        <w:textAlignment w:val="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w:t>
      </w:r>
    </w:p>
    <w:p>
      <w:pPr>
        <w:pStyle w:val="29"/>
        <w:keepNext w:val="0"/>
        <w:keepLines w:val="0"/>
        <w:pageBreakBefore w:val="0"/>
        <w:widowControl w:val="0"/>
        <w:kinsoku/>
        <w:wordWrap/>
        <w:overflowPunct/>
        <w:topLinePunct w:val="0"/>
        <w:autoSpaceDE/>
        <w:autoSpaceDN/>
        <w:bidi w:val="0"/>
        <w:adjustRightInd/>
        <w:snapToGrid/>
        <w:spacing w:before="75" w:after="75" w:line="380" w:lineRule="exact"/>
        <w:textAlignment w:val="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签订地点：</w:t>
      </w:r>
      <w:r>
        <w:rPr>
          <w:rFonts w:asciiTheme="minorEastAsia" w:hAnsiTheme="minorEastAsia" w:eastAsiaTheme="minorEastAsia"/>
          <w:color w:val="auto"/>
          <w:sz w:val="21"/>
          <w:szCs w:val="21"/>
          <w:highlight w:val="none"/>
          <w:u w:val="single"/>
        </w:rPr>
        <w:t>                </w:t>
      </w:r>
    </w:p>
    <w:p>
      <w:pPr>
        <w:pStyle w:val="29"/>
        <w:keepNext w:val="0"/>
        <w:keepLines w:val="0"/>
        <w:pageBreakBefore w:val="0"/>
        <w:widowControl w:val="0"/>
        <w:kinsoku/>
        <w:wordWrap/>
        <w:overflowPunct/>
        <w:topLinePunct w:val="0"/>
        <w:autoSpaceDE/>
        <w:autoSpaceDN/>
        <w:bidi w:val="0"/>
        <w:adjustRightInd/>
        <w:snapToGrid/>
        <w:spacing w:before="75" w:after="75" w:line="380" w:lineRule="exact"/>
        <w:textAlignment w:val="auto"/>
        <w:rPr>
          <w:rFonts w:cs="宋体" w:asciiTheme="majorEastAsia" w:hAnsiTheme="majorEastAsia" w:eastAsiaTheme="majorEastAsia"/>
          <w:b/>
          <w:color w:val="auto"/>
          <w:kern w:val="0"/>
          <w:sz w:val="36"/>
          <w:szCs w:val="36"/>
          <w:highlight w:val="none"/>
        </w:rPr>
      </w:pPr>
      <w:r>
        <w:rPr>
          <w:rFonts w:asciiTheme="minorEastAsia" w:hAnsiTheme="minorEastAsia" w:eastAsiaTheme="minorEastAsia"/>
          <w:color w:val="auto"/>
          <w:sz w:val="21"/>
          <w:szCs w:val="21"/>
          <w:highlight w:val="none"/>
        </w:rPr>
        <w:t>签订日期：</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年</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月</w:t>
      </w:r>
      <w:r>
        <w:rPr>
          <w:rFonts w:asciiTheme="minorEastAsia" w:hAnsiTheme="minorEastAsia" w:eastAsiaTheme="minorEastAsia"/>
          <w:color w:val="auto"/>
          <w:sz w:val="21"/>
          <w:szCs w:val="21"/>
          <w:highlight w:val="none"/>
          <w:u w:val="single"/>
        </w:rPr>
        <w:t>   </w:t>
      </w:r>
      <w:r>
        <w:rPr>
          <w:rFonts w:asciiTheme="minorEastAsia" w:hAnsiTheme="minorEastAsia" w:eastAsiaTheme="minorEastAsia"/>
          <w:color w:val="auto"/>
          <w:sz w:val="21"/>
          <w:szCs w:val="21"/>
          <w:highlight w:val="none"/>
        </w:rPr>
        <w:t>日</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第八章投标文件有关格式</w:t>
      </w:r>
    </w:p>
    <w:p>
      <w:pP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pPr>
        <w:pStyle w:val="30"/>
        <w:rPr>
          <w:color w:val="auto"/>
          <w:highlight w:val="none"/>
          <w:lang w:val="zh-CN"/>
        </w:rPr>
      </w:pPr>
    </w:p>
    <w:p>
      <w:pPr>
        <w:widowControl/>
        <w:ind w:firstLine="1960" w:firstLineChars="7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u w:val="single"/>
        </w:rPr>
        <w:t xml:space="preserve">                   （项目名称）  </w:t>
      </w:r>
      <w:r>
        <w:rPr>
          <w:rFonts w:hint="eastAsia" w:ascii="宋体" w:hAnsi="宋体" w:eastAsia="宋体" w:cs="宋体"/>
          <w:sz w:val="28"/>
          <w:szCs w:val="28"/>
          <w:highlight w:val="none"/>
          <w:u w:val="single"/>
          <w:lang w:eastAsia="zh-CN"/>
        </w:rPr>
        <w:t>标段</w:t>
      </w:r>
      <w:r>
        <w:rPr>
          <w:rFonts w:hint="eastAsia" w:ascii="宋体" w:hAnsi="宋体" w:eastAsia="宋体" w:cs="宋体"/>
          <w:sz w:val="28"/>
          <w:szCs w:val="28"/>
          <w:highlight w:val="none"/>
          <w:u w:val="single"/>
        </w:rPr>
        <w:t xml:space="preserve">   </w:t>
      </w:r>
    </w:p>
    <w:p>
      <w:pPr>
        <w:spacing w:line="380" w:lineRule="exact"/>
        <w:rPr>
          <w:rFonts w:hint="eastAsia" w:ascii="宋体" w:hAnsi="宋体" w:eastAsia="宋体" w:cs="宋体"/>
          <w:sz w:val="21"/>
          <w:szCs w:val="21"/>
          <w:highlight w:val="none"/>
        </w:rPr>
      </w:pPr>
    </w:p>
    <w:p>
      <w:pPr>
        <w:spacing w:line="380" w:lineRule="exact"/>
        <w:rPr>
          <w:rFonts w:hint="eastAsia" w:ascii="宋体" w:hAnsi="宋体" w:eastAsia="宋体" w:cs="宋体"/>
          <w:sz w:val="21"/>
          <w:szCs w:val="21"/>
          <w:highlight w:val="none"/>
        </w:rPr>
      </w:pPr>
    </w:p>
    <w:p>
      <w:pPr>
        <w:spacing w:line="380" w:lineRule="exact"/>
        <w:rPr>
          <w:rFonts w:hint="eastAsia" w:ascii="宋体" w:hAnsi="宋体" w:eastAsia="宋体" w:cs="宋体"/>
          <w:sz w:val="21"/>
          <w:szCs w:val="21"/>
          <w:highlight w:val="none"/>
        </w:rPr>
      </w:pPr>
    </w:p>
    <w:p>
      <w:pPr>
        <w:spacing w:line="380" w:lineRule="exact"/>
        <w:rPr>
          <w:rFonts w:hint="eastAsia" w:ascii="宋体" w:hAnsi="宋体" w:eastAsia="宋体" w:cs="宋体"/>
          <w:sz w:val="21"/>
          <w:szCs w:val="21"/>
          <w:highlight w:val="none"/>
        </w:rPr>
      </w:pPr>
    </w:p>
    <w:p>
      <w:pPr>
        <w:spacing w:line="380" w:lineRule="exact"/>
        <w:jc w:val="center"/>
        <w:rPr>
          <w:rFonts w:hint="eastAsia" w:ascii="宋体" w:hAnsi="宋体" w:eastAsia="宋体" w:cs="宋体"/>
          <w:b/>
          <w:bCs/>
          <w:sz w:val="21"/>
          <w:szCs w:val="21"/>
          <w:highlight w:val="none"/>
        </w:rPr>
      </w:pPr>
    </w:p>
    <w:p>
      <w:pPr>
        <w:spacing w:line="380" w:lineRule="exact"/>
        <w:jc w:val="center"/>
        <w:rPr>
          <w:rFonts w:hint="eastAsia" w:ascii="宋体" w:hAnsi="宋体" w:eastAsia="宋体" w:cs="宋体"/>
          <w:b/>
          <w:bCs/>
          <w:sz w:val="21"/>
          <w:szCs w:val="21"/>
          <w:highlight w:val="none"/>
        </w:rPr>
      </w:pPr>
    </w:p>
    <w:p>
      <w:pPr>
        <w:spacing w:line="380" w:lineRule="exact"/>
        <w:jc w:val="center"/>
        <w:rPr>
          <w:rFonts w:hint="eastAsia" w:ascii="宋体" w:hAnsi="宋体" w:eastAsia="宋体" w:cs="宋体"/>
          <w:b/>
          <w:bCs/>
          <w:sz w:val="24"/>
          <w:szCs w:val="24"/>
          <w:highlight w:val="none"/>
        </w:rPr>
      </w:pPr>
    </w:p>
    <w:p>
      <w:pPr>
        <w:spacing w:line="48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  标 文 件</w:t>
      </w:r>
    </w:p>
    <w:p>
      <w:pPr>
        <w:spacing w:line="380" w:lineRule="exact"/>
        <w:rPr>
          <w:rFonts w:hint="eastAsia" w:ascii="宋体" w:hAnsi="宋体" w:eastAsia="宋体" w:cs="宋体"/>
          <w:sz w:val="21"/>
          <w:szCs w:val="21"/>
          <w:highlight w:val="none"/>
        </w:rPr>
      </w:pPr>
    </w:p>
    <w:p>
      <w:pPr>
        <w:spacing w:line="380" w:lineRule="exact"/>
        <w:rPr>
          <w:rFonts w:hint="eastAsia" w:ascii="宋体" w:hAnsi="宋体" w:eastAsia="宋体" w:cs="宋体"/>
          <w:sz w:val="21"/>
          <w:szCs w:val="21"/>
          <w:highlight w:val="none"/>
        </w:rPr>
      </w:pPr>
    </w:p>
    <w:p>
      <w:pPr>
        <w:spacing w:line="380" w:lineRule="exact"/>
        <w:rPr>
          <w:rFonts w:hint="eastAsia" w:ascii="宋体" w:hAnsi="宋体" w:eastAsia="宋体" w:cs="宋体"/>
          <w:sz w:val="21"/>
          <w:szCs w:val="21"/>
          <w:highlight w:val="none"/>
        </w:rPr>
      </w:pPr>
    </w:p>
    <w:p>
      <w:pPr>
        <w:spacing w:after="120"/>
        <w:ind w:left="63" w:right="63" w:firstLine="210" w:firstLineChars="100"/>
        <w:rPr>
          <w:rFonts w:hint="eastAsia" w:ascii="宋体" w:hAnsi="宋体" w:eastAsia="宋体" w:cs="宋体"/>
          <w:kern w:val="0"/>
          <w:sz w:val="21"/>
          <w:szCs w:val="21"/>
          <w:highlight w:val="none"/>
        </w:rPr>
      </w:pPr>
    </w:p>
    <w:p>
      <w:pPr>
        <w:spacing w:line="380" w:lineRule="exact"/>
        <w:rPr>
          <w:rFonts w:hint="eastAsia" w:ascii="宋体" w:hAnsi="宋体" w:eastAsia="宋体" w:cs="宋体"/>
          <w:sz w:val="21"/>
          <w:szCs w:val="21"/>
          <w:highlight w:val="none"/>
        </w:rPr>
      </w:pPr>
    </w:p>
    <w:p>
      <w:pPr>
        <w:spacing w:line="3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项目编号：</w:t>
      </w:r>
    </w:p>
    <w:p>
      <w:pPr>
        <w:spacing w:line="48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bookmarkStart w:id="12" w:name="_Toc7428_WPSOffice_Level1"/>
      <w:bookmarkStart w:id="13" w:name="_Toc27760_WPSOffice_Level1"/>
      <w:r>
        <w:rPr>
          <w:rFonts w:hint="eastAsia" w:ascii="宋体" w:hAnsi="宋体" w:eastAsia="宋体" w:cs="宋体"/>
          <w:sz w:val="21"/>
          <w:szCs w:val="21"/>
          <w:highlight w:val="none"/>
        </w:rPr>
        <w:t>投 标 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（全称并加盖公章）</w:t>
      </w:r>
      <w:bookmarkEnd w:id="12"/>
      <w:bookmarkEnd w:id="13"/>
    </w:p>
    <w:p>
      <w:pPr>
        <w:spacing w:line="480" w:lineRule="auto"/>
        <w:rPr>
          <w:rFonts w:hint="eastAsia" w:ascii="宋体" w:hAnsi="宋体" w:eastAsia="宋体" w:cs="宋体"/>
          <w:b/>
          <w:bCs/>
          <w:sz w:val="21"/>
          <w:szCs w:val="21"/>
          <w:highlight w:val="none"/>
        </w:rPr>
      </w:pPr>
      <w:r>
        <w:rPr>
          <w:rFonts w:hint="eastAsia" w:ascii="宋体" w:hAnsi="宋体" w:eastAsia="宋体" w:cs="宋体"/>
          <w:sz w:val="21"/>
          <w:szCs w:val="21"/>
          <w:highlight w:val="none"/>
        </w:rPr>
        <w:t xml:space="preserve">                </w:t>
      </w:r>
      <w:bookmarkStart w:id="14" w:name="_Toc28157_WPSOffice_Level1"/>
      <w:bookmarkStart w:id="15" w:name="_Toc4840_WPSOffice_Level1"/>
      <w:r>
        <w:rPr>
          <w:rFonts w:hint="eastAsia" w:ascii="宋体" w:hAnsi="宋体" w:eastAsia="宋体" w:cs="宋体"/>
          <w:sz w:val="21"/>
          <w:szCs w:val="21"/>
          <w:highlight w:val="none"/>
        </w:rPr>
        <w:t>法定代表人或委托代理人（签字）：</w:t>
      </w:r>
      <w:bookmarkEnd w:id="14"/>
      <w:bookmarkEnd w:id="15"/>
      <w:r>
        <w:rPr>
          <w:rFonts w:hint="eastAsia" w:ascii="宋体" w:hAnsi="宋体" w:eastAsia="宋体" w:cs="宋体"/>
          <w:sz w:val="21"/>
          <w:szCs w:val="21"/>
          <w:highlight w:val="none"/>
          <w:u w:val="single"/>
        </w:rPr>
        <w:t xml:space="preserve">         </w:t>
      </w:r>
    </w:p>
    <w:p>
      <w:pPr>
        <w:spacing w:line="480" w:lineRule="auto"/>
        <w:rPr>
          <w:color w:val="auto"/>
          <w:highlight w:val="none"/>
          <w:lang w:val="zh-CN"/>
        </w:rPr>
      </w:pPr>
      <w:r>
        <w:rPr>
          <w:rFonts w:hint="eastAsia" w:ascii="宋体" w:hAnsi="宋体" w:eastAsia="宋体" w:cs="宋体"/>
          <w:sz w:val="21"/>
          <w:szCs w:val="21"/>
          <w:highlight w:val="none"/>
        </w:rPr>
        <w:t xml:space="preserve">                </w:t>
      </w:r>
      <w:bookmarkStart w:id="16" w:name="_Toc2311_WPSOffice_Level1"/>
      <w:bookmarkStart w:id="17" w:name="_Toc15640_WPSOffice_Level1"/>
      <w:r>
        <w:rPr>
          <w:rFonts w:hint="eastAsia" w:ascii="宋体" w:hAnsi="宋体" w:eastAsia="宋体" w:cs="宋体"/>
          <w:sz w:val="21"/>
          <w:szCs w:val="21"/>
          <w:highlight w:val="none"/>
        </w:rPr>
        <w:t>日    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年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月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bookmarkEnd w:id="16"/>
      <w:bookmarkEnd w:id="17"/>
      <w:r>
        <w:rPr>
          <w:rFonts w:hint="eastAsia" w:ascii="宋体" w:hAnsi="宋体" w:eastAsia="宋体" w:cs="宋体"/>
          <w:sz w:val="21"/>
          <w:szCs w:val="21"/>
          <w:highlight w:val="none"/>
        </w:rPr>
        <w:t xml:space="preserve">   </w:t>
      </w:r>
    </w:p>
    <w:p>
      <w:pPr>
        <w:rPr>
          <w:color w:val="auto"/>
          <w:highlight w:val="none"/>
          <w:lang w:val="zh-CN"/>
        </w:rPr>
      </w:pPr>
    </w:p>
    <w:p>
      <w:pPr>
        <w:pStyle w:val="2"/>
        <w:rPr>
          <w:color w:val="auto"/>
          <w:highlight w:val="none"/>
          <w:lang w:val="zh-CN"/>
        </w:rPr>
      </w:pPr>
    </w:p>
    <w:p>
      <w:pPr>
        <w:pStyle w:val="2"/>
        <w:rPr>
          <w:rFonts w:hint="eastAsia" w:ascii="宋体" w:hAnsi="宋体" w:eastAsia="宋体" w:cs="宋体"/>
          <w:sz w:val="21"/>
          <w:szCs w:val="21"/>
          <w:highlight w:val="none"/>
          <w:lang w:val="zh-CN"/>
        </w:rPr>
      </w:pPr>
    </w:p>
    <w:p>
      <w:pPr>
        <w:keepNext/>
        <w:keepLines/>
        <w:tabs>
          <w:tab w:val="left" w:pos="660"/>
        </w:tabs>
        <w:adjustRightInd w:val="0"/>
        <w:snapToGrid w:val="0"/>
        <w:spacing w:line="360" w:lineRule="auto"/>
        <w:ind w:firstLine="632" w:firstLineChars="300"/>
        <w:jc w:val="center"/>
        <w:textAlignment w:val="baseline"/>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目</w:t>
      </w:r>
      <w:r>
        <w:rPr>
          <w:rFonts w:hint="eastAsia" w:ascii="宋体" w:hAnsi="宋体" w:eastAsia="宋体" w:cs="宋体"/>
          <w:b/>
          <w:bCs/>
          <w:sz w:val="21"/>
          <w:szCs w:val="21"/>
          <w:highlight w:val="none"/>
        </w:rPr>
        <w:t xml:space="preserve"> </w:t>
      </w:r>
      <w:r>
        <w:rPr>
          <w:rFonts w:hint="eastAsia" w:ascii="宋体" w:hAnsi="宋体" w:eastAsia="宋体" w:cs="宋体"/>
          <w:b/>
          <w:bCs/>
          <w:sz w:val="21"/>
          <w:szCs w:val="21"/>
          <w:highlight w:val="none"/>
          <w:lang w:val="zh-CN"/>
        </w:rPr>
        <w:t>录</w:t>
      </w:r>
    </w:p>
    <w:p>
      <w:pPr>
        <w:keepNext/>
        <w:keepLines/>
        <w:tabs>
          <w:tab w:val="left" w:pos="660"/>
        </w:tabs>
        <w:adjustRightInd w:val="0"/>
        <w:snapToGrid w:val="0"/>
        <w:spacing w:line="360" w:lineRule="auto"/>
        <w:ind w:firstLine="422" w:firstLineChars="200"/>
        <w:jc w:val="center"/>
        <w:textAlignment w:val="baseline"/>
        <w:rPr>
          <w:rFonts w:hint="eastAsia" w:ascii="宋体" w:hAnsi="宋体" w:eastAsia="宋体" w:cs="宋体"/>
          <w:b/>
          <w:bCs/>
          <w:sz w:val="21"/>
          <w:szCs w:val="21"/>
          <w:highlight w:val="none"/>
          <w:lang w:val="zh-CN"/>
        </w:rPr>
      </w:pPr>
    </w:p>
    <w:p>
      <w:pPr>
        <w:keepNext/>
        <w:keepLines/>
        <w:tabs>
          <w:tab w:val="left" w:pos="660"/>
        </w:tabs>
        <w:adjustRightInd w:val="0"/>
        <w:snapToGrid w:val="0"/>
        <w:spacing w:line="360" w:lineRule="auto"/>
        <w:ind w:firstLine="422" w:firstLineChars="200"/>
        <w:jc w:val="left"/>
        <w:textAlignment w:val="baseline"/>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一、投标人应答索引表</w:t>
      </w:r>
    </w:p>
    <w:p>
      <w:pPr>
        <w:keepNext/>
        <w:keepLines/>
        <w:tabs>
          <w:tab w:val="left" w:pos="660"/>
        </w:tabs>
        <w:adjustRightInd w:val="0"/>
        <w:snapToGrid w:val="0"/>
        <w:spacing w:line="360" w:lineRule="auto"/>
        <w:ind w:firstLine="422" w:firstLineChars="200"/>
        <w:jc w:val="left"/>
        <w:textAlignment w:val="baseline"/>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二、开标一览表</w:t>
      </w:r>
    </w:p>
    <w:p>
      <w:pPr>
        <w:autoSpaceDE w:val="0"/>
        <w:autoSpaceDN w:val="0"/>
        <w:adjustRightInd w:val="0"/>
        <w:spacing w:line="360" w:lineRule="auto"/>
        <w:ind w:firstLine="422" w:firstLineChars="200"/>
        <w:jc w:val="left"/>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三、资格审查证明材料</w:t>
      </w:r>
    </w:p>
    <w:p>
      <w:pPr>
        <w:autoSpaceDE w:val="0"/>
        <w:autoSpaceDN w:val="0"/>
        <w:adjustRightInd w:val="0"/>
        <w:spacing w:line="360" w:lineRule="auto"/>
        <w:ind w:firstLine="422" w:firstLineChars="200"/>
        <w:jc w:val="left"/>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四、符合性审查证明材料</w:t>
      </w:r>
    </w:p>
    <w:p>
      <w:pPr>
        <w:autoSpaceDE w:val="0"/>
        <w:autoSpaceDN w:val="0"/>
        <w:adjustRightInd w:val="0"/>
        <w:spacing w:line="360" w:lineRule="auto"/>
        <w:ind w:firstLine="422" w:firstLineChars="200"/>
        <w:jc w:val="left"/>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五、</w:t>
      </w:r>
      <w:r>
        <w:rPr>
          <w:rFonts w:hint="eastAsia" w:ascii="宋体" w:hAnsi="宋体" w:eastAsia="宋体" w:cs="宋体"/>
          <w:b/>
          <w:sz w:val="21"/>
          <w:szCs w:val="21"/>
          <w:highlight w:val="none"/>
          <w:lang w:val="zh-CN"/>
        </w:rPr>
        <w:t>其他资料（若有）</w:t>
      </w:r>
    </w:p>
    <w:p>
      <w:pPr>
        <w:pStyle w:val="24"/>
        <w:rPr>
          <w:color w:val="auto"/>
          <w:highlight w:val="none"/>
          <w:lang w:val="zh-CN"/>
        </w:rPr>
      </w:pPr>
    </w:p>
    <w:p>
      <w:pPr>
        <w:pStyle w:val="24"/>
        <w:rPr>
          <w:color w:val="auto"/>
          <w:highlight w:val="none"/>
          <w:lang w:val="zh-CN"/>
        </w:rPr>
      </w:pPr>
    </w:p>
    <w:p>
      <w:pPr>
        <w:pStyle w:val="24"/>
        <w:rPr>
          <w:color w:val="auto"/>
          <w:highlight w:val="none"/>
          <w:lang w:val="zh-CN"/>
        </w:rPr>
      </w:pPr>
    </w:p>
    <w:p>
      <w:pPr>
        <w:pStyle w:val="24"/>
        <w:rPr>
          <w:color w:val="auto"/>
          <w:highlight w:val="none"/>
          <w:lang w:val="zh-CN"/>
        </w:rPr>
      </w:pPr>
    </w:p>
    <w:p>
      <w:pPr>
        <w:pStyle w:val="24"/>
        <w:rPr>
          <w:color w:val="auto"/>
          <w:highlight w:val="none"/>
          <w:lang w:val="zh-CN"/>
        </w:rPr>
      </w:pPr>
    </w:p>
    <w:p>
      <w:pPr>
        <w:pStyle w:val="24"/>
        <w:rPr>
          <w:color w:val="auto"/>
          <w:highlight w:val="none"/>
          <w:lang w:val="zh-CN"/>
        </w:rPr>
      </w:pPr>
    </w:p>
    <w:p>
      <w:pPr>
        <w:pStyle w:val="24"/>
        <w:rPr>
          <w:color w:val="auto"/>
          <w:highlight w:val="none"/>
          <w:lang w:val="zh-CN"/>
        </w:rPr>
      </w:pPr>
    </w:p>
    <w:p>
      <w:pPr>
        <w:pStyle w:val="24"/>
        <w:rPr>
          <w:color w:val="auto"/>
          <w:highlight w:val="none"/>
          <w:lang w:val="zh-CN"/>
        </w:rPr>
      </w:pPr>
    </w:p>
    <w:p>
      <w:pPr>
        <w:pStyle w:val="24"/>
        <w:rPr>
          <w:color w:val="auto"/>
          <w:highlight w:val="none"/>
          <w:lang w:val="zh-CN"/>
        </w:rPr>
      </w:pPr>
    </w:p>
    <w:p>
      <w:pPr>
        <w:pStyle w:val="24"/>
        <w:rPr>
          <w:color w:val="auto"/>
          <w:highlight w:val="none"/>
          <w:lang w:val="zh-CN"/>
        </w:rPr>
      </w:pPr>
    </w:p>
    <w:p>
      <w:pPr>
        <w:pStyle w:val="24"/>
        <w:rPr>
          <w:color w:val="auto"/>
          <w:highlight w:val="none"/>
          <w:lang w:val="zh-CN"/>
        </w:rPr>
      </w:pPr>
    </w:p>
    <w:p>
      <w:pPr>
        <w:pStyle w:val="25"/>
        <w:rPr>
          <w:highlight w:val="none"/>
          <w:lang w:val="zh-CN"/>
        </w:rPr>
      </w:pPr>
    </w:p>
    <w:p>
      <w:pPr>
        <w:pStyle w:val="24"/>
        <w:rPr>
          <w:color w:val="auto"/>
          <w:highlight w:val="none"/>
          <w:lang w:val="zh-CN"/>
        </w:rPr>
      </w:pPr>
    </w:p>
    <w:p>
      <w:pPr>
        <w:pStyle w:val="7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highlight w:val="none"/>
          <w:lang w:val="zh-CN"/>
        </w:rPr>
      </w:pPr>
      <w:r>
        <w:rPr>
          <w:rFonts w:hint="eastAsia" w:cs="黑体" w:asciiTheme="minorEastAsia" w:hAnsiTheme="minorEastAsia" w:eastAsiaTheme="minorEastAsia"/>
          <w:color w:val="auto"/>
          <w:kern w:val="2"/>
          <w:sz w:val="28"/>
          <w:szCs w:val="28"/>
          <w:highlight w:val="none"/>
          <w:lang w:val="zh-CN"/>
        </w:rPr>
        <w:t>一、供应商应答索引表</w:t>
      </w:r>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96"/>
        <w:gridCol w:w="2955"/>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序号</w:t>
            </w:r>
          </w:p>
        </w:tc>
        <w:tc>
          <w:tcPr>
            <w:tcW w:w="3751" w:type="dxa"/>
            <w:gridSpan w:val="2"/>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项  目</w:t>
            </w:r>
          </w:p>
        </w:tc>
        <w:tc>
          <w:tcPr>
            <w:tcW w:w="1559"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投标人应答</w:t>
            </w:r>
          </w:p>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（有/没有）</w:t>
            </w:r>
          </w:p>
        </w:tc>
        <w:tc>
          <w:tcPr>
            <w:tcW w:w="1560"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投标文件中所在页码</w:t>
            </w:r>
          </w:p>
        </w:tc>
        <w:tc>
          <w:tcPr>
            <w:tcW w:w="2018"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投标人应答索引表</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w:t>
            </w:r>
          </w:p>
        </w:tc>
        <w:tc>
          <w:tcPr>
            <w:tcW w:w="3751" w:type="dxa"/>
            <w:gridSpan w:val="2"/>
            <w:vAlign w:val="center"/>
          </w:tcPr>
          <w:p>
            <w:pPr>
              <w:pStyle w:val="18"/>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开标一览表</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3</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投标函</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4</w:t>
            </w:r>
          </w:p>
        </w:tc>
        <w:tc>
          <w:tcPr>
            <w:tcW w:w="3751" w:type="dxa"/>
            <w:gridSpan w:val="2"/>
            <w:vAlign w:val="center"/>
          </w:tcPr>
          <w:p>
            <w:pPr>
              <w:pStyle w:val="18"/>
              <w:kinsoku w:val="0"/>
              <w:overflowPunct w:val="0"/>
              <w:autoSpaceDE w:val="0"/>
              <w:autoSpaceDN w:val="0"/>
              <w:spacing w:line="320" w:lineRule="exact"/>
              <w:rPr>
                <w:rFonts w:hAnsi="宋体"/>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法定代表人（单位负责人）</w:t>
            </w:r>
            <w:r>
              <w:rPr>
                <w:rFonts w:asciiTheme="majorEastAsia" w:hAnsiTheme="majorEastAsia" w:eastAsiaTheme="majorEastAsia" w:cstheme="majorEastAsia"/>
                <w:bCs/>
                <w:color w:val="auto"/>
                <w:sz w:val="21"/>
                <w:szCs w:val="21"/>
                <w:highlight w:val="none"/>
                <w:lang w:val="zh-CN"/>
              </w:rPr>
              <w:t>资</w:t>
            </w:r>
            <w:r>
              <w:rPr>
                <w:rFonts w:hint="eastAsia" w:asciiTheme="majorEastAsia" w:hAnsiTheme="majorEastAsia" w:eastAsiaTheme="majorEastAsia" w:cstheme="majorEastAsia"/>
                <w:bCs/>
                <w:color w:val="auto"/>
                <w:sz w:val="21"/>
                <w:szCs w:val="21"/>
                <w:highlight w:val="none"/>
                <w:lang w:val="zh-CN"/>
              </w:rPr>
              <w:t>格</w:t>
            </w:r>
            <w:r>
              <w:rPr>
                <w:rFonts w:asciiTheme="majorEastAsia" w:hAnsiTheme="majorEastAsia" w:eastAsiaTheme="majorEastAsia" w:cstheme="majorEastAsia"/>
                <w:bCs/>
                <w:color w:val="auto"/>
                <w:sz w:val="21"/>
                <w:szCs w:val="21"/>
                <w:highlight w:val="none"/>
                <w:lang w:val="zh-CN"/>
              </w:rPr>
              <w:t>证</w:t>
            </w:r>
            <w:r>
              <w:rPr>
                <w:rFonts w:hint="eastAsia" w:asciiTheme="majorEastAsia" w:hAnsiTheme="majorEastAsia" w:eastAsiaTheme="majorEastAsia" w:cstheme="majorEastAsia"/>
                <w:bCs/>
                <w:color w:val="auto"/>
                <w:sz w:val="21"/>
                <w:szCs w:val="21"/>
                <w:highlight w:val="none"/>
                <w:lang w:val="zh-CN"/>
              </w:rPr>
              <w:t>明</w:t>
            </w:r>
            <w:r>
              <w:rPr>
                <w:rFonts w:asciiTheme="majorEastAsia" w:hAnsiTheme="majorEastAsia" w:eastAsiaTheme="majorEastAsia" w:cstheme="majorEastAsia"/>
                <w:bCs/>
                <w:color w:val="auto"/>
                <w:sz w:val="21"/>
                <w:szCs w:val="21"/>
                <w:highlight w:val="none"/>
                <w:lang w:val="zh-CN"/>
              </w:rPr>
              <w:t>书</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5</w:t>
            </w:r>
          </w:p>
        </w:tc>
        <w:tc>
          <w:tcPr>
            <w:tcW w:w="3751" w:type="dxa"/>
            <w:gridSpan w:val="2"/>
            <w:vAlign w:val="center"/>
          </w:tcPr>
          <w:p>
            <w:pPr>
              <w:pStyle w:val="18"/>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6</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投标承诺函</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7</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禹州市政府采购供应商信用承诺函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8</w:t>
            </w:r>
          </w:p>
        </w:tc>
        <w:tc>
          <w:tcPr>
            <w:tcW w:w="3751" w:type="dxa"/>
            <w:gridSpan w:val="2"/>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联合体协议</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9</w:t>
            </w:r>
          </w:p>
        </w:tc>
        <w:tc>
          <w:tcPr>
            <w:tcW w:w="3751" w:type="dxa"/>
            <w:gridSpan w:val="2"/>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投标人与参加本项目投标的其他供应商之间，单位负责人不为同一人并且不存在直接控股、管理关系承诺函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10</w:t>
            </w:r>
          </w:p>
        </w:tc>
        <w:tc>
          <w:tcPr>
            <w:tcW w:w="3751" w:type="dxa"/>
            <w:gridSpan w:val="2"/>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cs="仿宋_GB2312" w:asciiTheme="minorEastAsia" w:hAnsiTheme="minorEastAsia"/>
                <w:color w:val="auto"/>
                <w:sz w:val="21"/>
                <w:szCs w:val="21"/>
                <w:highlight w:val="none"/>
                <w:lang w:val="zh-CN"/>
              </w:rPr>
              <w:t>投标人未为本项目提供整体设计、规范编制或者项目管理、监理、检测等服务承诺函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kern w:val="2"/>
                <w:sz w:val="21"/>
                <w:szCs w:val="21"/>
                <w:highlight w:val="none"/>
                <w:lang w:val="zh-CN" w:eastAsia="zh-CN" w:bidi="ar-SA"/>
              </w:rPr>
            </w:pPr>
            <w:r>
              <w:rPr>
                <w:rFonts w:hint="eastAsia" w:ascii="宋体" w:hAnsi="宋体" w:cs="微软雅黑"/>
                <w:color w:val="auto"/>
                <w:szCs w:val="21"/>
                <w:highlight w:val="none"/>
              </w:rPr>
              <w:t>11</w:t>
            </w:r>
          </w:p>
        </w:tc>
        <w:tc>
          <w:tcPr>
            <w:tcW w:w="3751" w:type="dxa"/>
            <w:gridSpan w:val="2"/>
            <w:vAlign w:val="center"/>
          </w:tcPr>
          <w:p>
            <w:pPr>
              <w:pStyle w:val="18"/>
              <w:kinsoku w:val="0"/>
              <w:overflowPunct w:val="0"/>
              <w:autoSpaceDE w:val="0"/>
              <w:autoSpaceDN w:val="0"/>
              <w:spacing w:line="320" w:lineRule="exact"/>
              <w:rPr>
                <w:rFonts w:hint="eastAsia" w:cs="仿宋_GB2312" w:asciiTheme="minorEastAsia" w:hAnsiTheme="minorEastAsia"/>
                <w:color w:val="auto"/>
                <w:sz w:val="21"/>
                <w:szCs w:val="21"/>
                <w:highlight w:val="none"/>
                <w:lang w:val="zh-CN"/>
              </w:rPr>
            </w:pPr>
            <w:r>
              <w:rPr>
                <w:rFonts w:hint="eastAsia" w:cs="仿宋_GB2312" w:asciiTheme="minorEastAsia" w:hAnsiTheme="minorEastAsia"/>
                <w:color w:val="auto"/>
                <w:sz w:val="21"/>
                <w:szCs w:val="21"/>
                <w:highlight w:val="none"/>
                <w:lang w:val="zh-CN"/>
              </w:rPr>
              <w:t>分项报价表</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12</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技术规格偏离表</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13</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技术方案（实施方案）</w:t>
            </w:r>
          </w:p>
        </w:tc>
        <w:tc>
          <w:tcPr>
            <w:tcW w:w="1559" w:type="dxa"/>
            <w:vAlign w:val="center"/>
          </w:tcPr>
          <w:p>
            <w:pPr>
              <w:jc w:val="center"/>
              <w:rPr>
                <w:color w:val="auto"/>
                <w:szCs w:val="21"/>
                <w:highlight w:val="none"/>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highlight w:val="none"/>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14</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售后服务方案</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15</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业绩情况表</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16</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政府强制采购节能产品品目清单情况</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17</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优先采购节能产品政府采购品目清单情况</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18</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highlight w:val="none"/>
              </w:rPr>
            </w:pPr>
            <w:r>
              <w:rPr>
                <w:rFonts w:hint="eastAsia" w:ascii="宋体" w:hAnsi="宋体"/>
                <w:color w:val="auto"/>
                <w:sz w:val="21"/>
                <w:szCs w:val="21"/>
                <w:highlight w:val="none"/>
                <w:lang w:val="en-GB"/>
              </w:rPr>
              <w:t>优先采购环境标志产品政府采购品目清单情况</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19</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中小企业声明函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szCs w:val="21"/>
                <w:highlight w:val="none"/>
                <w:lang w:val="en-US" w:eastAsia="zh-CN"/>
              </w:rPr>
            </w:pPr>
            <w:r>
              <w:rPr>
                <w:rFonts w:hint="eastAsia" w:ascii="宋体" w:hAnsi="宋体" w:cs="微软雅黑"/>
                <w:color w:val="auto"/>
                <w:szCs w:val="21"/>
                <w:highlight w:val="none"/>
                <w:lang w:val="en-US" w:eastAsia="zh-CN"/>
              </w:rPr>
              <w:t>20</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highlight w:val="none"/>
              </w:rPr>
            </w:pPr>
            <w:r>
              <w:rPr>
                <w:rFonts w:hint="eastAsia" w:cs="仿宋_GB2312" w:asciiTheme="minorEastAsia" w:hAnsiTheme="minorEastAsia" w:eastAsiaTheme="minorEastAsia"/>
                <w:color w:val="auto"/>
                <w:sz w:val="21"/>
                <w:szCs w:val="21"/>
                <w:highlight w:val="none"/>
                <w:lang w:val="zh-CN"/>
              </w:rPr>
              <w:t>残疾人福利性单位声明函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21</w:t>
            </w:r>
          </w:p>
        </w:tc>
        <w:tc>
          <w:tcPr>
            <w:tcW w:w="3751" w:type="dxa"/>
            <w:gridSpan w:val="2"/>
            <w:vAlign w:val="center"/>
          </w:tcPr>
          <w:p>
            <w:pPr>
              <w:pStyle w:val="18"/>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监狱企业证明文件</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22</w:t>
            </w:r>
          </w:p>
        </w:tc>
        <w:tc>
          <w:tcPr>
            <w:tcW w:w="796" w:type="dxa"/>
            <w:tcBorders>
              <w:right w:val="single" w:color="auto" w:sz="4" w:space="0"/>
            </w:tcBorders>
            <w:vAlign w:val="center"/>
          </w:tcPr>
          <w:p>
            <w:pPr>
              <w:pStyle w:val="18"/>
              <w:kinsoku w:val="0"/>
              <w:overflowPunct w:val="0"/>
              <w:autoSpaceDE w:val="0"/>
              <w:autoSpaceDN w:val="0"/>
              <w:spacing w:line="320" w:lineRule="exact"/>
              <w:rPr>
                <w:rFonts w:ascii="宋体" w:hAnsi="宋体" w:cs="微软雅黑"/>
                <w:bCs/>
                <w:color w:val="auto"/>
                <w:kern w:val="0"/>
                <w:sz w:val="21"/>
                <w:szCs w:val="21"/>
                <w:highlight w:val="none"/>
              </w:rPr>
            </w:pPr>
            <w:r>
              <w:rPr>
                <w:rFonts w:hint="eastAsia" w:ascii="宋体" w:hAnsi="宋体" w:cs="微软雅黑"/>
                <w:bCs/>
                <w:color w:val="auto"/>
                <w:kern w:val="0"/>
                <w:sz w:val="21"/>
                <w:szCs w:val="21"/>
                <w:highlight w:val="none"/>
              </w:rPr>
              <w:t>CCC强制性产品认证</w:t>
            </w:r>
          </w:p>
        </w:tc>
        <w:tc>
          <w:tcPr>
            <w:tcW w:w="2955" w:type="dxa"/>
            <w:tcBorders>
              <w:left w:val="single" w:color="auto" w:sz="4" w:space="0"/>
            </w:tcBorders>
            <w:vAlign w:val="center"/>
          </w:tcPr>
          <w:p>
            <w:pPr>
              <w:pStyle w:val="18"/>
              <w:kinsoku w:val="0"/>
              <w:overflowPunct w:val="0"/>
              <w:autoSpaceDE w:val="0"/>
              <w:autoSpaceDN w:val="0"/>
              <w:spacing w:line="320" w:lineRule="exact"/>
              <w:rPr>
                <w:rFonts w:ascii="宋体" w:hAnsi="宋体" w:cs="微软雅黑"/>
                <w:bCs/>
                <w:color w:val="auto"/>
                <w:kern w:val="0"/>
                <w:sz w:val="21"/>
                <w:szCs w:val="21"/>
                <w:highlight w:val="none"/>
              </w:rPr>
            </w:pPr>
            <w:r>
              <w:rPr>
                <w:rFonts w:hint="eastAsia" w:ascii="宋体" w:hAnsi="宋体" w:cstheme="majorEastAsia"/>
                <w:bCs/>
                <w:color w:val="auto"/>
                <w:sz w:val="21"/>
                <w:szCs w:val="21"/>
                <w:highlight w:val="none"/>
                <w:lang w:val="zh-CN"/>
              </w:rPr>
              <w:t>所投产品符合国家强制性要求承诺函</w:t>
            </w:r>
          </w:p>
        </w:tc>
        <w:tc>
          <w:tcPr>
            <w:tcW w:w="1559" w:type="dxa"/>
            <w:vAlign w:val="center"/>
          </w:tcPr>
          <w:p>
            <w:pPr>
              <w:pStyle w:val="18"/>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eastAsia" w:ascii="宋体" w:hAnsi="宋体" w:cs="微软雅黑"/>
                <w:color w:val="auto"/>
                <w:szCs w:val="21"/>
                <w:highlight w:val="none"/>
              </w:rPr>
            </w:pPr>
            <w:r>
              <w:rPr>
                <w:rFonts w:hint="eastAsia" w:ascii="宋体" w:hAnsi="宋体" w:cs="微软雅黑"/>
                <w:color w:val="auto"/>
                <w:szCs w:val="21"/>
                <w:highlight w:val="none"/>
              </w:rPr>
              <w:t>23</w:t>
            </w:r>
          </w:p>
        </w:tc>
        <w:tc>
          <w:tcPr>
            <w:tcW w:w="796" w:type="dxa"/>
            <w:vMerge w:val="restart"/>
            <w:tcBorders>
              <w:right w:val="single" w:color="auto" w:sz="4" w:space="0"/>
            </w:tcBorders>
            <w:vAlign w:val="center"/>
          </w:tcPr>
          <w:p>
            <w:pPr>
              <w:pStyle w:val="18"/>
              <w:kinsoku w:val="0"/>
              <w:overflowPunct w:val="0"/>
              <w:autoSpaceDE w:val="0"/>
              <w:autoSpaceDN w:val="0"/>
              <w:spacing w:line="320" w:lineRule="exact"/>
              <w:rPr>
                <w:rFonts w:ascii="宋体" w:hAnsi="宋体" w:cs="宋体"/>
                <w:color w:val="auto"/>
                <w:kern w:val="0"/>
                <w:sz w:val="21"/>
                <w:szCs w:val="21"/>
                <w:highlight w:val="none"/>
              </w:rPr>
            </w:pPr>
            <w:r>
              <w:rPr>
                <w:rFonts w:ascii="宋体" w:hAnsi="宋体" w:cs="宋体"/>
                <w:color w:val="auto"/>
                <w:kern w:val="0"/>
                <w:sz w:val="21"/>
                <w:szCs w:val="21"/>
                <w:highlight w:val="none"/>
              </w:rPr>
              <w:t>信息安全产品强制性认证</w:t>
            </w:r>
          </w:p>
        </w:tc>
        <w:tc>
          <w:tcPr>
            <w:tcW w:w="2955" w:type="dxa"/>
            <w:tcBorders>
              <w:left w:val="single" w:color="auto" w:sz="4" w:space="0"/>
            </w:tcBorders>
            <w:vAlign w:val="center"/>
          </w:tcPr>
          <w:p>
            <w:pPr>
              <w:pStyle w:val="18"/>
              <w:kinsoku w:val="0"/>
              <w:overflowPunct w:val="0"/>
              <w:autoSpaceDE w:val="0"/>
              <w:autoSpaceDN w:val="0"/>
              <w:spacing w:line="320" w:lineRule="exact"/>
              <w:rPr>
                <w:rFonts w:ascii="宋体" w:hAnsi="宋体" w:cstheme="majorEastAsia"/>
                <w:bCs/>
                <w:color w:val="auto"/>
                <w:sz w:val="21"/>
                <w:szCs w:val="21"/>
                <w:highlight w:val="none"/>
                <w:lang w:val="zh-CN"/>
              </w:rPr>
            </w:pPr>
            <w:r>
              <w:rPr>
                <w:rFonts w:hint="eastAsia" w:ascii="宋体" w:hAnsi="宋体" w:cs="宋体"/>
                <w:color w:val="auto"/>
                <w:kern w:val="0"/>
                <w:sz w:val="21"/>
                <w:szCs w:val="21"/>
                <w:highlight w:val="none"/>
              </w:rPr>
              <w:t>认证机构颁发的认证证书</w:t>
            </w:r>
          </w:p>
        </w:tc>
        <w:tc>
          <w:tcPr>
            <w:tcW w:w="1559" w:type="dxa"/>
            <w:vAlign w:val="center"/>
          </w:tcPr>
          <w:p>
            <w:pPr>
              <w:pStyle w:val="18"/>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Merge w:val="continue"/>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p>
        </w:tc>
        <w:tc>
          <w:tcPr>
            <w:tcW w:w="796" w:type="dxa"/>
            <w:vMerge w:val="continue"/>
            <w:tcBorders>
              <w:right w:val="single" w:color="auto" w:sz="4" w:space="0"/>
            </w:tcBorders>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p>
        </w:tc>
        <w:tc>
          <w:tcPr>
            <w:tcW w:w="2955" w:type="dxa"/>
            <w:tcBorders>
              <w:left w:val="single" w:color="auto" w:sz="4" w:space="0"/>
            </w:tcBorders>
            <w:vAlign w:val="center"/>
          </w:tcPr>
          <w:p>
            <w:pPr>
              <w:pStyle w:val="18"/>
              <w:kinsoku w:val="0"/>
              <w:overflowPunct w:val="0"/>
              <w:autoSpaceDE w:val="0"/>
              <w:autoSpaceDN w:val="0"/>
              <w:spacing w:line="320" w:lineRule="exact"/>
              <w:rPr>
                <w:rFonts w:ascii="宋体" w:hAnsi="宋体" w:cstheme="majorEastAsia"/>
                <w:bCs/>
                <w:color w:val="auto"/>
                <w:sz w:val="21"/>
                <w:szCs w:val="21"/>
                <w:highlight w:val="none"/>
                <w:lang w:val="zh-CN"/>
              </w:rPr>
            </w:pPr>
            <w:r>
              <w:rPr>
                <w:rFonts w:hint="eastAsia" w:ascii="宋体" w:hAnsi="宋体" w:cs="宋体"/>
                <w:color w:val="auto"/>
                <w:kern w:val="0"/>
                <w:sz w:val="21"/>
                <w:szCs w:val="21"/>
                <w:highlight w:val="none"/>
              </w:rPr>
              <w:t>中国信息安全认证中心官网产品查询结果截图</w:t>
            </w:r>
          </w:p>
        </w:tc>
        <w:tc>
          <w:tcPr>
            <w:tcW w:w="1559" w:type="dxa"/>
            <w:vAlign w:val="center"/>
          </w:tcPr>
          <w:p>
            <w:pPr>
              <w:pStyle w:val="18"/>
              <w:rPr>
                <w:color w:val="auto"/>
                <w:sz w:val="21"/>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color w:val="auto"/>
                <w:szCs w:val="21"/>
                <w:highlight w:val="none"/>
                <w:lang w:val="en-US" w:eastAsia="zh-CN"/>
              </w:rPr>
            </w:pPr>
            <w:r>
              <w:rPr>
                <w:rFonts w:hint="eastAsia" w:ascii="宋体" w:hAnsi="宋体" w:cs="微软雅黑"/>
                <w:color w:val="auto"/>
                <w:szCs w:val="21"/>
                <w:highlight w:val="none"/>
                <w:lang w:val="en-US" w:eastAsia="zh-CN"/>
              </w:rPr>
              <w:t>24</w:t>
            </w:r>
          </w:p>
        </w:tc>
        <w:tc>
          <w:tcPr>
            <w:tcW w:w="3751" w:type="dxa"/>
            <w:gridSpan w:val="2"/>
            <w:tcBorders>
              <w:bottom w:val="single" w:color="auto" w:sz="4" w:space="0"/>
            </w:tcBorders>
            <w:vAlign w:val="center"/>
          </w:tcPr>
          <w:p>
            <w:pPr>
              <w:pStyle w:val="18"/>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其它资料</w:t>
            </w:r>
          </w:p>
        </w:tc>
        <w:tc>
          <w:tcPr>
            <w:tcW w:w="1559" w:type="dxa"/>
            <w:vAlign w:val="center"/>
          </w:tcPr>
          <w:p>
            <w:pPr>
              <w:pStyle w:val="18"/>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bl>
    <w:p>
      <w:pPr>
        <w:pStyle w:val="18"/>
        <w:spacing w:line="360" w:lineRule="auto"/>
        <w:jc w:val="center"/>
        <w:rPr>
          <w:rFonts w:asciiTheme="majorEastAsia" w:hAnsiTheme="majorEastAsia" w:eastAsiaTheme="majorEastAsia"/>
          <w:b/>
          <w:snapToGrid w:val="0"/>
          <w:color w:val="auto"/>
          <w:kern w:val="0"/>
          <w:sz w:val="28"/>
          <w:szCs w:val="28"/>
          <w:highlight w:val="none"/>
        </w:rPr>
      </w:pPr>
    </w:p>
    <w:p>
      <w:pPr>
        <w:pStyle w:val="18"/>
        <w:spacing w:line="360" w:lineRule="auto"/>
        <w:jc w:val="center"/>
        <w:rPr>
          <w:rFonts w:asciiTheme="majorEastAsia" w:hAnsiTheme="majorEastAsia" w:eastAsiaTheme="majorEastAsia"/>
          <w:b/>
          <w:snapToGrid w:val="0"/>
          <w:color w:val="auto"/>
          <w:kern w:val="0"/>
          <w:sz w:val="28"/>
          <w:szCs w:val="28"/>
          <w:highlight w:val="none"/>
        </w:rPr>
      </w:pPr>
    </w:p>
    <w:p>
      <w:pPr>
        <w:pStyle w:val="18"/>
        <w:spacing w:line="360" w:lineRule="auto"/>
        <w:jc w:val="center"/>
        <w:rPr>
          <w:rFonts w:asciiTheme="majorEastAsia" w:hAnsiTheme="majorEastAsia" w:eastAsiaTheme="majorEastAsia"/>
          <w:b/>
          <w:snapToGrid w:val="0"/>
          <w:color w:val="auto"/>
          <w:kern w:val="0"/>
          <w:sz w:val="28"/>
          <w:szCs w:val="28"/>
          <w:highlight w:val="none"/>
        </w:rPr>
      </w:pPr>
    </w:p>
    <w:p>
      <w:pPr>
        <w:pStyle w:val="18"/>
        <w:spacing w:line="360" w:lineRule="auto"/>
        <w:jc w:val="center"/>
        <w:rPr>
          <w:rFonts w:asciiTheme="majorEastAsia" w:hAnsiTheme="majorEastAsia" w:eastAsiaTheme="majorEastAsia"/>
          <w:b/>
          <w:snapToGrid w:val="0"/>
          <w:color w:val="auto"/>
          <w:kern w:val="0"/>
          <w:sz w:val="28"/>
          <w:szCs w:val="28"/>
          <w:highlight w:val="none"/>
        </w:rPr>
      </w:pPr>
    </w:p>
    <w:p>
      <w:pPr>
        <w:pStyle w:val="18"/>
        <w:spacing w:line="360" w:lineRule="auto"/>
        <w:jc w:val="center"/>
        <w:rPr>
          <w:rFonts w:asciiTheme="majorEastAsia" w:hAnsiTheme="majorEastAsia" w:eastAsiaTheme="majorEastAsia"/>
          <w:b/>
          <w:snapToGrid w:val="0"/>
          <w:color w:val="auto"/>
          <w:kern w:val="0"/>
          <w:sz w:val="28"/>
          <w:szCs w:val="28"/>
          <w:highlight w:val="none"/>
        </w:rPr>
      </w:pPr>
    </w:p>
    <w:p>
      <w:pPr>
        <w:pStyle w:val="18"/>
        <w:spacing w:line="360" w:lineRule="auto"/>
        <w:jc w:val="center"/>
        <w:rPr>
          <w:rFonts w:asciiTheme="majorEastAsia" w:hAnsiTheme="majorEastAsia" w:eastAsiaTheme="majorEastAsia"/>
          <w:b/>
          <w:snapToGrid w:val="0"/>
          <w:color w:val="auto"/>
          <w:kern w:val="0"/>
          <w:sz w:val="28"/>
          <w:szCs w:val="28"/>
          <w:highlight w:val="none"/>
        </w:rPr>
      </w:pPr>
    </w:p>
    <w:p>
      <w:pPr>
        <w:pStyle w:val="18"/>
        <w:spacing w:line="360" w:lineRule="auto"/>
        <w:jc w:val="center"/>
        <w:rPr>
          <w:rFonts w:asciiTheme="majorEastAsia" w:hAnsiTheme="majorEastAsia" w:eastAsiaTheme="majorEastAsia"/>
          <w:b/>
          <w:snapToGrid w:val="0"/>
          <w:color w:val="auto"/>
          <w:kern w:val="0"/>
          <w:sz w:val="28"/>
          <w:szCs w:val="28"/>
          <w:highlight w:val="none"/>
        </w:rPr>
      </w:pPr>
    </w:p>
    <w:p>
      <w:pPr>
        <w:pStyle w:val="18"/>
        <w:spacing w:line="360" w:lineRule="auto"/>
        <w:jc w:val="center"/>
        <w:rPr>
          <w:rFonts w:asciiTheme="majorEastAsia" w:hAnsiTheme="majorEastAsia" w:eastAsiaTheme="majorEastAsia"/>
          <w:b/>
          <w:snapToGrid w:val="0"/>
          <w:color w:val="auto"/>
          <w:kern w:val="0"/>
          <w:sz w:val="28"/>
          <w:szCs w:val="28"/>
          <w:highlight w:val="none"/>
        </w:rPr>
      </w:pPr>
    </w:p>
    <w:p>
      <w:pPr>
        <w:pStyle w:val="18"/>
        <w:spacing w:line="360" w:lineRule="auto"/>
        <w:jc w:val="center"/>
        <w:rPr>
          <w:rFonts w:asciiTheme="majorEastAsia" w:hAnsiTheme="majorEastAsia" w:eastAsiaTheme="majorEastAsia"/>
          <w:b/>
          <w:snapToGrid w:val="0"/>
          <w:color w:val="auto"/>
          <w:kern w:val="0"/>
          <w:sz w:val="28"/>
          <w:szCs w:val="28"/>
          <w:highlight w:val="none"/>
        </w:rPr>
      </w:pPr>
    </w:p>
    <w:p>
      <w:pPr>
        <w:pStyle w:val="18"/>
        <w:spacing w:line="360" w:lineRule="auto"/>
        <w:jc w:val="center"/>
        <w:rPr>
          <w:rFonts w:asciiTheme="majorEastAsia" w:hAnsiTheme="majorEastAsia" w:eastAsiaTheme="majorEastAsia"/>
          <w:b/>
          <w:snapToGrid w:val="0"/>
          <w:color w:val="auto"/>
          <w:kern w:val="0"/>
          <w:sz w:val="28"/>
          <w:szCs w:val="28"/>
          <w:highlight w:val="none"/>
        </w:rPr>
      </w:pPr>
    </w:p>
    <w:p>
      <w:pPr>
        <w:pStyle w:val="18"/>
        <w:spacing w:line="360" w:lineRule="auto"/>
        <w:jc w:val="center"/>
        <w:rPr>
          <w:rFonts w:asciiTheme="majorEastAsia" w:hAnsiTheme="majorEastAsia" w:eastAsiaTheme="majorEastAsia"/>
          <w:b/>
          <w:snapToGrid w:val="0"/>
          <w:color w:val="auto"/>
          <w:kern w:val="0"/>
          <w:sz w:val="28"/>
          <w:szCs w:val="28"/>
          <w:highlight w:val="none"/>
        </w:rPr>
      </w:pPr>
    </w:p>
    <w:p>
      <w:pPr>
        <w:pStyle w:val="18"/>
        <w:spacing w:line="360" w:lineRule="auto"/>
        <w:jc w:val="center"/>
        <w:rPr>
          <w:rFonts w:asciiTheme="majorEastAsia" w:hAnsiTheme="majorEastAsia" w:eastAsiaTheme="majorEastAsia"/>
          <w:b/>
          <w:snapToGrid w:val="0"/>
          <w:color w:val="auto"/>
          <w:kern w:val="0"/>
          <w:sz w:val="28"/>
          <w:szCs w:val="28"/>
          <w:highlight w:val="none"/>
        </w:rPr>
      </w:pPr>
    </w:p>
    <w:p>
      <w:pPr>
        <w:pStyle w:val="18"/>
        <w:spacing w:line="360" w:lineRule="auto"/>
        <w:rPr>
          <w:rFonts w:hint="eastAsia" w:asciiTheme="majorEastAsia" w:hAnsiTheme="majorEastAsia" w:eastAsiaTheme="majorEastAsia"/>
          <w:b/>
          <w:snapToGrid w:val="0"/>
          <w:color w:val="auto"/>
          <w:kern w:val="0"/>
          <w:sz w:val="28"/>
          <w:szCs w:val="28"/>
          <w:highlight w:val="none"/>
          <w:lang w:eastAsia="zh-CN"/>
        </w:rPr>
      </w:pPr>
    </w:p>
    <w:p>
      <w:pPr>
        <w:pStyle w:val="18"/>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 w:val="28"/>
          <w:szCs w:val="28"/>
          <w:highlight w:val="none"/>
        </w:rPr>
        <w:t>二、开标一览表</w:t>
      </w:r>
    </w:p>
    <w:p>
      <w:pPr>
        <w:autoSpaceDE w:val="0"/>
        <w:autoSpaceDN w:val="0"/>
        <w:adjustRightIn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pPr>
        <w:autoSpaceDE w:val="0"/>
        <w:autoSpaceDN w:val="0"/>
        <w:adjustRightInd w:val="0"/>
        <w:spacing w:line="360" w:lineRule="auto"/>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rPr>
        <w:t xml:space="preserve">项目名称：                                             </w:t>
      </w:r>
      <w:r>
        <w:rPr>
          <w:rFonts w:hint="eastAsia" w:asciiTheme="minorEastAsia" w:hAnsiTheme="minorEastAsia"/>
          <w:color w:val="auto"/>
          <w:szCs w:val="21"/>
          <w:highlight w:val="none"/>
          <w:lang w:eastAsia="zh-CN"/>
        </w:rPr>
        <w:t>单位：元</w:t>
      </w:r>
    </w:p>
    <w:tbl>
      <w:tblPr>
        <w:tblStyle w:val="33"/>
        <w:tblW w:w="9758" w:type="dxa"/>
        <w:tblInd w:w="-292" w:type="dxa"/>
        <w:tblLayout w:type="fixed"/>
        <w:tblCellMar>
          <w:top w:w="0" w:type="dxa"/>
          <w:left w:w="108" w:type="dxa"/>
          <w:bottom w:w="0" w:type="dxa"/>
          <w:right w:w="108" w:type="dxa"/>
        </w:tblCellMar>
      </w:tblPr>
      <w:tblGrid>
        <w:gridCol w:w="760"/>
        <w:gridCol w:w="2028"/>
        <w:gridCol w:w="2408"/>
        <w:gridCol w:w="1774"/>
        <w:gridCol w:w="1394"/>
        <w:gridCol w:w="1394"/>
      </w:tblGrid>
      <w:tr>
        <w:tblPrEx>
          <w:tblCellMar>
            <w:top w:w="0" w:type="dxa"/>
            <w:left w:w="108" w:type="dxa"/>
            <w:bottom w:w="0" w:type="dxa"/>
            <w:right w:w="108" w:type="dxa"/>
          </w:tblCellMar>
        </w:tblPrEx>
        <w:trPr>
          <w:trHeight w:val="916" w:hRule="atLeast"/>
        </w:trPr>
        <w:tc>
          <w:tcPr>
            <w:tcW w:w="76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标段</w:t>
            </w:r>
          </w:p>
        </w:tc>
        <w:tc>
          <w:tcPr>
            <w:tcW w:w="202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项目名称</w:t>
            </w:r>
          </w:p>
        </w:tc>
        <w:tc>
          <w:tcPr>
            <w:tcW w:w="240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hint="eastAsia" w:asciiTheme="minorEastAsia" w:hAnsiTheme="minorEastAsia" w:eastAsiaTheme="minorEastAsia"/>
                <w:b/>
                <w:color w:val="auto"/>
                <w:szCs w:val="21"/>
                <w:highlight w:val="none"/>
                <w:lang w:eastAsia="zh-CN"/>
              </w:rPr>
            </w:pPr>
            <w:r>
              <w:rPr>
                <w:rFonts w:hint="eastAsia" w:ascii="宋体" w:hAnsi="宋体" w:eastAsia="宋体" w:cs="宋体"/>
                <w:b/>
                <w:sz w:val="21"/>
                <w:szCs w:val="21"/>
                <w:highlight w:val="none"/>
                <w:lang w:val="zh-CN"/>
              </w:rPr>
              <w:t>投标报价</w:t>
            </w:r>
          </w:p>
        </w:tc>
        <w:tc>
          <w:tcPr>
            <w:tcW w:w="1774" w:type="dxa"/>
            <w:tcBorders>
              <w:top w:val="single" w:color="auto" w:sz="6" w:space="0"/>
              <w:left w:val="single" w:color="auto" w:sz="4" w:space="0"/>
              <w:bottom w:val="single" w:color="auto" w:sz="6" w:space="0"/>
              <w:right w:val="single" w:color="auto" w:sz="4"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highlight w:val="none"/>
              </w:rPr>
            </w:pPr>
            <w:r>
              <w:rPr>
                <w:rFonts w:hint="eastAsia" w:ascii="宋体" w:hAnsi="宋体" w:eastAsia="宋体" w:cs="宋体"/>
                <w:b/>
                <w:szCs w:val="21"/>
                <w:highlight w:val="none"/>
                <w:lang w:val="zh-CN"/>
              </w:rPr>
              <w:t>交付（服务、完工）时间</w:t>
            </w:r>
          </w:p>
        </w:tc>
        <w:tc>
          <w:tcPr>
            <w:tcW w:w="139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hint="eastAsia" w:asciiTheme="minorEastAsia" w:hAnsiTheme="minorEastAsia" w:eastAsiaTheme="minorEastAsia"/>
                <w:b/>
                <w:color w:val="auto"/>
                <w:szCs w:val="21"/>
                <w:highlight w:val="none"/>
                <w:lang w:eastAsia="zh-CN"/>
              </w:rPr>
            </w:pPr>
            <w:r>
              <w:rPr>
                <w:rFonts w:hint="eastAsia" w:asciiTheme="minorEastAsia" w:hAnsiTheme="minorEastAsia"/>
                <w:b/>
                <w:color w:val="auto"/>
                <w:szCs w:val="21"/>
                <w:highlight w:val="none"/>
                <w:lang w:val="en-US" w:eastAsia="zh-CN"/>
              </w:rPr>
              <w:t>质保期</w:t>
            </w:r>
          </w:p>
        </w:tc>
        <w:tc>
          <w:tcPr>
            <w:tcW w:w="139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hint="eastAsia" w:asciiTheme="minorEastAsia" w:hAnsiTheme="minorEastAsia"/>
                <w:b/>
                <w:color w:val="auto"/>
                <w:szCs w:val="21"/>
                <w:highlight w:val="none"/>
              </w:rPr>
            </w:pPr>
            <w:r>
              <w:rPr>
                <w:rFonts w:hint="eastAsia" w:asciiTheme="minorEastAsia" w:hAnsiTheme="minorEastAsia"/>
                <w:b/>
                <w:color w:val="auto"/>
                <w:szCs w:val="21"/>
                <w:highlight w:val="none"/>
              </w:rPr>
              <w:t>备注</w:t>
            </w:r>
          </w:p>
        </w:tc>
      </w:tr>
      <w:tr>
        <w:tblPrEx>
          <w:tblCellMar>
            <w:top w:w="0" w:type="dxa"/>
            <w:left w:w="108" w:type="dxa"/>
            <w:bottom w:w="0" w:type="dxa"/>
            <w:right w:w="108" w:type="dxa"/>
          </w:tblCellMar>
        </w:tblPrEx>
        <w:trPr>
          <w:trHeight w:val="848" w:hRule="atLeast"/>
        </w:trPr>
        <w:tc>
          <w:tcPr>
            <w:tcW w:w="7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auto"/>
                <w:szCs w:val="21"/>
                <w:highlight w:val="none"/>
              </w:rPr>
            </w:pPr>
          </w:p>
        </w:tc>
        <w:tc>
          <w:tcPr>
            <w:tcW w:w="20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auto"/>
                <w:szCs w:val="21"/>
                <w:highlight w:val="none"/>
              </w:rPr>
            </w:pPr>
          </w:p>
        </w:tc>
        <w:tc>
          <w:tcPr>
            <w:tcW w:w="24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lang w:eastAsia="zh-CN"/>
              </w:rPr>
              <w:t>大写：</w:t>
            </w:r>
            <w:r>
              <w:rPr>
                <w:rFonts w:hint="eastAsia" w:asciiTheme="minorEastAsia" w:hAnsiTheme="minorEastAsia"/>
                <w:color w:val="auto"/>
                <w:szCs w:val="21"/>
                <w:highlight w:val="none"/>
                <w:lang w:val="en-US" w:eastAsia="zh-CN"/>
              </w:rPr>
              <w:t xml:space="preserve">          </w:t>
            </w:r>
            <w:r>
              <w:rPr>
                <w:rFonts w:hint="eastAsia" w:asciiTheme="minorEastAsia" w:hAnsiTheme="minorEastAsia"/>
                <w:color w:val="auto"/>
                <w:szCs w:val="21"/>
                <w:highlight w:val="none"/>
                <w:lang w:eastAsia="zh-CN"/>
              </w:rPr>
              <w:t>小写：</w:t>
            </w:r>
          </w:p>
        </w:tc>
        <w:tc>
          <w:tcPr>
            <w:tcW w:w="1774"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rPr>
                <w:rFonts w:asciiTheme="minorEastAsia" w:hAnsiTheme="minorEastAsia"/>
                <w:color w:val="auto"/>
                <w:szCs w:val="21"/>
                <w:highlight w:val="none"/>
              </w:rPr>
            </w:pPr>
          </w:p>
        </w:tc>
        <w:tc>
          <w:tcPr>
            <w:tcW w:w="13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auto"/>
                <w:szCs w:val="21"/>
                <w:highlight w:val="none"/>
              </w:rPr>
            </w:pPr>
          </w:p>
        </w:tc>
        <w:tc>
          <w:tcPr>
            <w:tcW w:w="13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auto"/>
                <w:szCs w:val="21"/>
                <w:highlight w:val="none"/>
              </w:rPr>
            </w:pPr>
          </w:p>
        </w:tc>
      </w:tr>
    </w:tbl>
    <w:p>
      <w:pPr>
        <w:autoSpaceDE w:val="0"/>
        <w:autoSpaceDN w:val="0"/>
        <w:adjustRightIn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投标人名称：</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（公章）：</w:t>
      </w:r>
    </w:p>
    <w:p>
      <w:pPr>
        <w:autoSpaceDE w:val="0"/>
        <w:autoSpaceDN w:val="0"/>
        <w:adjustRightIn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投标人法定代表人（或授权代表）签字：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日期：年月日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pStyle w:val="30"/>
        <w:ind w:firstLine="340"/>
        <w:rPr>
          <w:color w:val="auto"/>
          <w:highlight w:val="none"/>
          <w:lang w:val="zh-CN"/>
        </w:rPr>
      </w:pPr>
    </w:p>
    <w:p>
      <w:pPr>
        <w:pStyle w:val="31"/>
        <w:rPr>
          <w:color w:val="auto"/>
          <w:highlight w:val="none"/>
          <w:lang w:val="zh-CN"/>
        </w:rPr>
      </w:pPr>
    </w:p>
    <w:p>
      <w:pPr>
        <w:rPr>
          <w:highlight w:val="none"/>
          <w:lang w:val="zh-CN"/>
        </w:rPr>
      </w:pPr>
    </w:p>
    <w:p>
      <w:pPr>
        <w:pStyle w:val="32"/>
        <w:ind w:firstLine="480"/>
        <w:rPr>
          <w:color w:val="auto"/>
          <w:highlight w:val="none"/>
          <w:lang w:val="zh-CN"/>
        </w:rPr>
      </w:pPr>
    </w:p>
    <w:p>
      <w:pPr>
        <w:pStyle w:val="42"/>
        <w:rPr>
          <w:color w:val="auto"/>
          <w:highlight w:val="none"/>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highlight w:val="none"/>
        </w:rPr>
      </w:pPr>
      <w:r>
        <w:rPr>
          <w:rFonts w:hint="eastAsia" w:cs="黑体" w:asciiTheme="minorEastAsia" w:hAnsiTheme="minorEastAsia"/>
          <w:b/>
          <w:bCs/>
          <w:color w:val="auto"/>
          <w:sz w:val="28"/>
          <w:szCs w:val="28"/>
          <w:highlight w:val="none"/>
          <w:lang w:val="zh-CN"/>
        </w:rPr>
        <w:t>三、资格审查相关材料</w:t>
      </w:r>
    </w:p>
    <w:p>
      <w:pPr>
        <w:pStyle w:val="18"/>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Cs w:val="24"/>
          <w:highlight w:val="none"/>
        </w:rPr>
        <w:t>3.1 投 标 函</w:t>
      </w:r>
    </w:p>
    <w:p>
      <w:pPr>
        <w:pStyle w:val="18"/>
        <w:adjustRightInd w:val="0"/>
        <w:snapToGrid w:val="0"/>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致：</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（采购人）</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根据贵方</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（项目名称、招标编号</w:t>
      </w:r>
      <w:r>
        <w:rPr>
          <w:rFonts w:hint="eastAsia" w:asciiTheme="minorEastAsia" w:hAnsiTheme="minorEastAsia" w:eastAsiaTheme="minorEastAsia"/>
          <w:color w:val="auto"/>
          <w:sz w:val="21"/>
          <w:szCs w:val="21"/>
          <w:highlight w:val="none"/>
          <w:lang w:eastAsia="zh-CN"/>
        </w:rPr>
        <w:t>、标段</w:t>
      </w:r>
      <w:r>
        <w:rPr>
          <w:rFonts w:hint="eastAsia" w:asciiTheme="minorEastAsia" w:hAnsiTheme="minorEastAsia" w:eastAsiaTheme="minorEastAsia"/>
          <w:color w:val="auto"/>
          <w:sz w:val="21"/>
          <w:szCs w:val="21"/>
          <w:highlight w:val="none"/>
        </w:rPr>
        <w:t>）采购的招标公告及投标邀请，</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（姓名和职务）被正式授权并代表投标人</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（投标人名称、地址）提交。</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color w:val="auto"/>
          <w:sz w:val="21"/>
          <w:szCs w:val="21"/>
          <w:highlight w:val="none"/>
        </w:rPr>
        <w:t>拟投入</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 xml:space="preserve"> (项目名称)  的项目负责人姓名：</w:t>
      </w:r>
      <w:r>
        <w:rPr>
          <w:rFonts w:hint="eastAsia" w:asciiTheme="minorEastAsia" w:hAnsiTheme="minorEastAsia" w:eastAsiaTheme="minorEastAsia"/>
          <w:color w:val="auto"/>
          <w:sz w:val="21"/>
          <w:szCs w:val="21"/>
          <w:highlight w:val="none"/>
          <w:u w:val="single"/>
        </w:rPr>
        <w:t xml:space="preserve">                </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我方确认收到贵方提供的</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（项目名称、招标编号</w:t>
      </w:r>
      <w:r>
        <w:rPr>
          <w:rFonts w:hint="eastAsia" w:asciiTheme="minorEastAsia" w:hAnsiTheme="minorEastAsia" w:eastAsiaTheme="minorEastAsia"/>
          <w:color w:val="auto"/>
          <w:sz w:val="21"/>
          <w:szCs w:val="21"/>
          <w:highlight w:val="none"/>
          <w:lang w:eastAsia="zh-CN"/>
        </w:rPr>
        <w:t>、标段</w:t>
      </w:r>
      <w:r>
        <w:rPr>
          <w:rFonts w:hint="eastAsia" w:asciiTheme="minorEastAsia" w:hAnsiTheme="minorEastAsia" w:eastAsiaTheme="minorEastAsia"/>
          <w:color w:val="auto"/>
          <w:sz w:val="21"/>
          <w:szCs w:val="21"/>
          <w:highlight w:val="none"/>
        </w:rPr>
        <w:t>）招标文件的全部内容。</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我方已完全明白招标文件的所有条款要求，并申明如下：</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一、按招标文件提供的全部货物与相关服务详见《开标一览表》。</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三、我方明白并同意，在规定的开标日之后，投标有效期之内撤销投标的，则我方承担违背投标承诺的责任追究。</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四、我方同意按照贵方可能提出的要求而提供与投标有关的任何其它数据、信息或资料。</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五、我方理解贵方不一定接受最低投标价或任何贵方可能收到的投标。</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六、我方如果中标，将保证履行招标文件及其澄清、修改文件（如果有）中的全部责任和义务，按质、按量、按期完成《项目需求》及《合同书》中的全部任务。</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七、我方在此保证所提交的所有文件和全部说明是真实的和正确的。</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八、我方投标报价已包含应向知识产权所有权人支付的所有相关税费，并保证采购人在中国使用我方提供的货物时，如有第三方提出侵犯其知识产权主张的，责任由我方承担。 </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九、我方具备《政府采购法》第二十二条规定的条件；承诺如下：</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 我方已依法缴纳了各项税费及社会保险费用，如有需要，可随时向采购人提供近三个月内的相关缴费证明，以便核查。</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 我方已依法建立健全的财务会计制度，如有需要，可随时向采购人提供相关证明材料，以便核查。</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 参加政府采购活动前三年内，在经营活动中没有重大违法记录。</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 符合法律、行政法规规定的其他条件。</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以上内容如有虚假或与事实不符的，评审委员会可将我方做无效投标处理，我方愿意承担相应的法律责任。</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十、我方具备履行合同所必需的设备和专业技术能力。</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十一、我方对在本函及投标文件中所作的所有承诺承担法律责任。</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十二、若我方中标，愿意向代理机构支付招标代理服务费。</w:t>
      </w:r>
    </w:p>
    <w:p>
      <w:pPr>
        <w:pStyle w:val="18"/>
        <w:adjustRightInd w:val="0"/>
        <w:snapToGrid w:val="0"/>
        <w:spacing w:line="360" w:lineRule="auto"/>
        <w:rPr>
          <w:rFonts w:asciiTheme="minorEastAsia" w:hAnsiTheme="minorEastAsia" w:eastAsiaTheme="minorEastAsia"/>
          <w:color w:val="auto"/>
          <w:sz w:val="21"/>
          <w:szCs w:val="21"/>
          <w:highlight w:val="none"/>
        </w:rPr>
      </w:pPr>
    </w:p>
    <w:p>
      <w:pPr>
        <w:pStyle w:val="18"/>
        <w:adjustRightInd w:val="0"/>
        <w:snapToGrid w:val="0"/>
        <w:spacing w:line="360" w:lineRule="auto"/>
        <w:rPr>
          <w:rFonts w:asciiTheme="minorEastAsia" w:hAnsiTheme="minorEastAsia" w:eastAsiaTheme="minorEastAsia"/>
          <w:color w:val="auto"/>
          <w:sz w:val="21"/>
          <w:szCs w:val="21"/>
          <w:highlight w:val="none"/>
        </w:rPr>
      </w:pPr>
    </w:p>
    <w:p>
      <w:pPr>
        <w:adjustRightInd w:val="0"/>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所有与本招标有关的一切正式往来请寄：</w:t>
      </w:r>
    </w:p>
    <w:p>
      <w:pPr>
        <w:adjustRightInd w:val="0"/>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地    址：.  邮政编码：.</w:t>
      </w:r>
    </w:p>
    <w:p>
      <w:pPr>
        <w:adjustRightInd w:val="0"/>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电    话：.  传    真：.</w:t>
      </w:r>
    </w:p>
    <w:p>
      <w:pPr>
        <w:adjustRightInd w:val="0"/>
        <w:snapToGrid w:val="0"/>
        <w:spacing w:line="360" w:lineRule="auto"/>
        <w:rPr>
          <w:rFonts w:asciiTheme="minorEastAsia" w:hAnsiTheme="minorEastAsia"/>
          <w:color w:val="auto"/>
          <w:szCs w:val="21"/>
          <w:highlight w:val="none"/>
          <w:u w:val="single"/>
        </w:rPr>
      </w:pPr>
      <w:r>
        <w:rPr>
          <w:rFonts w:hint="eastAsia" w:asciiTheme="minorEastAsia" w:hAnsiTheme="minorEastAsia"/>
          <w:color w:val="auto"/>
          <w:szCs w:val="21"/>
          <w:highlight w:val="none"/>
        </w:rPr>
        <w:t>投标人代表姓名：.  职    务：.</w:t>
      </w:r>
    </w:p>
    <w:p>
      <w:pPr>
        <w:adjustRightInd w:val="0"/>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投标人法定代表人（或法定代表人授权代表）签字或盖章：</w:t>
      </w:r>
    </w:p>
    <w:p>
      <w:pPr>
        <w:adjustRightInd w:val="0"/>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投标人名称（盖章）：</w:t>
      </w:r>
    </w:p>
    <w:p>
      <w:pPr>
        <w:adjustRightInd w:val="0"/>
        <w:snapToGrid w:val="0"/>
        <w:spacing w:line="360" w:lineRule="auto"/>
        <w:rPr>
          <w:rFonts w:cs="宋体" w:asciiTheme="minorEastAsia" w:hAnsiTheme="minorEastAsia"/>
          <w:color w:val="auto"/>
          <w:szCs w:val="21"/>
          <w:highlight w:val="none"/>
          <w:u w:val="single"/>
        </w:rPr>
      </w:pPr>
    </w:p>
    <w:p>
      <w:pPr>
        <w:adjustRightInd w:val="0"/>
        <w:snapToGrid w:val="0"/>
        <w:spacing w:line="360" w:lineRule="auto"/>
        <w:rPr>
          <w:rFonts w:cs="宋体" w:asciiTheme="minorEastAsia" w:hAnsiTheme="minorEastAsia"/>
          <w:color w:val="auto"/>
          <w:szCs w:val="21"/>
          <w:highlight w:val="none"/>
          <w:u w:val="single"/>
        </w:rPr>
      </w:pPr>
    </w:p>
    <w:p>
      <w:pPr>
        <w:adjustRightInd w:val="0"/>
        <w:snapToGrid w:val="0"/>
        <w:spacing w:line="360" w:lineRule="auto"/>
        <w:rPr>
          <w:rFonts w:cs="宋体" w:asciiTheme="minorEastAsia" w:hAnsiTheme="minorEastAsia"/>
          <w:color w:val="auto"/>
          <w:szCs w:val="21"/>
          <w:highlight w:val="none"/>
          <w:u w:val="single"/>
        </w:rPr>
      </w:pPr>
    </w:p>
    <w:p>
      <w:pPr>
        <w:spacing w:line="480" w:lineRule="exact"/>
        <w:jc w:val="center"/>
        <w:rPr>
          <w:rFonts w:asciiTheme="majorEastAsia" w:hAnsiTheme="majorEastAsia" w:eastAsiaTheme="majorEastAsia"/>
          <w:b/>
          <w:bCs/>
          <w:color w:val="auto"/>
          <w:sz w:val="24"/>
          <w:szCs w:val="24"/>
          <w:highlight w:val="none"/>
        </w:rPr>
      </w:pPr>
    </w:p>
    <w:p>
      <w:pPr>
        <w:pStyle w:val="32"/>
        <w:ind w:firstLine="480"/>
        <w:rPr>
          <w:rFonts w:hint="eastAsia"/>
          <w:color w:val="auto"/>
          <w:highlight w:val="none"/>
        </w:rPr>
      </w:pPr>
    </w:p>
    <w:p>
      <w:pPr>
        <w:rPr>
          <w:rFonts w:hint="eastAsia"/>
          <w:color w:val="auto"/>
          <w:highlight w:val="none"/>
        </w:rPr>
      </w:pPr>
    </w:p>
    <w:p>
      <w:pPr>
        <w:pStyle w:val="30"/>
        <w:ind w:firstLine="340"/>
        <w:rPr>
          <w:rFonts w:hint="eastAsia"/>
          <w:color w:val="auto"/>
          <w:highlight w:val="none"/>
        </w:rPr>
      </w:pPr>
    </w:p>
    <w:p>
      <w:pPr>
        <w:pStyle w:val="32"/>
        <w:rPr>
          <w:rFonts w:hint="eastAsia"/>
          <w:color w:val="auto"/>
          <w:highlight w:val="none"/>
        </w:rPr>
      </w:pPr>
    </w:p>
    <w:p>
      <w:pPr>
        <w:rPr>
          <w:rFonts w:hint="eastAsia"/>
          <w:color w:val="auto"/>
          <w:highlight w:val="none"/>
        </w:rPr>
      </w:pPr>
    </w:p>
    <w:p>
      <w:pPr>
        <w:pStyle w:val="30"/>
        <w:ind w:left="0" w:leftChars="0" w:firstLine="0" w:firstLineChars="0"/>
        <w:rPr>
          <w:color w:val="auto"/>
          <w:highlight w:val="none"/>
        </w:rPr>
      </w:pPr>
    </w:p>
    <w:p>
      <w:pPr>
        <w:spacing w:line="480" w:lineRule="exact"/>
        <w:jc w:val="center"/>
        <w:rPr>
          <w:rFonts w:ascii="宋体" w:hAnsi="宋体"/>
          <w:color w:val="auto"/>
          <w:sz w:val="24"/>
          <w:szCs w:val="24"/>
          <w:highlight w:val="none"/>
        </w:rPr>
      </w:pPr>
      <w:r>
        <w:rPr>
          <w:rFonts w:hint="eastAsia" w:asciiTheme="majorEastAsia" w:hAnsiTheme="majorEastAsia" w:eastAsiaTheme="majorEastAsia"/>
          <w:b/>
          <w:bCs/>
          <w:color w:val="auto"/>
          <w:sz w:val="24"/>
          <w:szCs w:val="24"/>
          <w:highlight w:val="none"/>
        </w:rPr>
        <w:t>3.2 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pPr>
        <w:pStyle w:val="64"/>
        <w:spacing w:line="480" w:lineRule="auto"/>
        <w:ind w:firstLine="472" w:firstLineChars="225"/>
        <w:jc w:val="left"/>
        <w:rPr>
          <w:rFonts w:asciiTheme="minorEastAsia" w:hAnsiTheme="minorEastAsia"/>
          <w:color w:val="auto"/>
          <w:sz w:val="21"/>
          <w:szCs w:val="21"/>
          <w:highlight w:val="none"/>
          <w:u w:val="singl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pPr>
        <w:pStyle w:val="64"/>
        <w:spacing w:line="480" w:lineRule="auto"/>
        <w:ind w:firstLine="472" w:firstLineChars="225"/>
        <w:jc w:val="left"/>
        <w:rPr>
          <w:rFonts w:asciiTheme="minorEastAsia" w:hAnsiTheme="minorEastAsia"/>
          <w:color w:val="auto"/>
          <w:sz w:val="21"/>
          <w:szCs w:val="21"/>
          <w:highlight w:val="none"/>
          <w:u w:val="single"/>
        </w:rPr>
      </w:pPr>
      <w:r>
        <w:rPr>
          <w:rFonts w:hint="eastAsia" w:asciiTheme="minorEastAsia" w:hAnsiTheme="minorEastAsia"/>
          <w:color w:val="auto"/>
          <w:sz w:val="21"/>
          <w:szCs w:val="21"/>
          <w:highlight w:val="none"/>
        </w:rPr>
        <w:t>地址：</w:t>
      </w:r>
    </w:p>
    <w:p>
      <w:pPr>
        <w:pStyle w:val="64"/>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w:t>
      </w:r>
    </w:p>
    <w:p>
      <w:pPr>
        <w:pStyle w:val="64"/>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本人系</w:t>
      </w:r>
      <w:r>
        <w:rPr>
          <w:rFonts w:hint="eastAsia" w:asciiTheme="minorEastAsia" w:hAnsiTheme="minorEastAsia"/>
          <w:i/>
          <w:snapToGrid w:val="0"/>
          <w:color w:val="auto"/>
          <w:sz w:val="21"/>
          <w:szCs w:val="21"/>
          <w:highlight w:val="none"/>
          <w:u w:val="single"/>
        </w:rPr>
        <w:t>投</w:t>
      </w:r>
      <w:r>
        <w:rPr>
          <w:rFonts w:asciiTheme="minorEastAsia" w:hAnsiTheme="minorEastAsia"/>
          <w:i/>
          <w:snapToGrid w:val="0"/>
          <w:color w:val="auto"/>
          <w:sz w:val="21"/>
          <w:szCs w:val="21"/>
          <w:highlight w:val="none"/>
          <w:u w:val="single"/>
        </w:rPr>
        <w:t>标</w:t>
      </w:r>
      <w:r>
        <w:rPr>
          <w:rFonts w:hint="eastAsia" w:asciiTheme="minorEastAsia" w:hAnsiTheme="minorEastAsia"/>
          <w:i/>
          <w:snapToGrid w:val="0"/>
          <w:color w:val="auto"/>
          <w:sz w:val="21"/>
          <w:szCs w:val="21"/>
          <w:highlight w:val="none"/>
          <w:u w:val="single"/>
        </w:rPr>
        <w:t>人名</w:t>
      </w:r>
      <w:r>
        <w:rPr>
          <w:rFonts w:asciiTheme="minorEastAsia" w:hAnsiTheme="minorEastAsia"/>
          <w:i/>
          <w:snapToGrid w:val="0"/>
          <w:color w:val="auto"/>
          <w:sz w:val="21"/>
          <w:szCs w:val="21"/>
          <w:highlight w:val="none"/>
          <w:u w:val="single"/>
        </w:rPr>
        <w:t>称</w:t>
      </w:r>
      <w:r>
        <w:rPr>
          <w:rFonts w:hint="eastAsia" w:asciiTheme="minorEastAsia" w:hAnsiTheme="minorEastAsia"/>
          <w:color w:val="auto"/>
          <w:sz w:val="21"/>
          <w:szCs w:val="21"/>
          <w:highlight w:val="none"/>
        </w:rPr>
        <w:t>的法定代表人（单位负责人）。就</w:t>
      </w:r>
      <w:r>
        <w:rPr>
          <w:rFonts w:asciiTheme="minorEastAsia" w:hAnsiTheme="minorEastAsia"/>
          <w:color w:val="auto"/>
          <w:sz w:val="21"/>
          <w:szCs w:val="21"/>
          <w:highlight w:val="none"/>
        </w:rPr>
        <w:t>参</w:t>
      </w:r>
      <w:r>
        <w:rPr>
          <w:rFonts w:hint="eastAsia" w:asciiTheme="minorEastAsia" w:hAnsiTheme="minorEastAsia"/>
          <w:color w:val="auto"/>
          <w:sz w:val="21"/>
          <w:szCs w:val="21"/>
          <w:highlight w:val="none"/>
        </w:rPr>
        <w:t>加贵方招</w:t>
      </w:r>
      <w:r>
        <w:rPr>
          <w:rFonts w:asciiTheme="minorEastAsia" w:hAnsiTheme="minorEastAsia"/>
          <w:color w:val="auto"/>
          <w:sz w:val="21"/>
          <w:szCs w:val="21"/>
          <w:highlight w:val="none"/>
        </w:rPr>
        <w:t>标编号为</w:t>
      </w:r>
      <w:r>
        <w:rPr>
          <w:rFonts w:asciiTheme="minorEastAsia" w:hAnsiTheme="minorEastAsia"/>
          <w:i/>
          <w:color w:val="auto"/>
          <w:sz w:val="21"/>
          <w:szCs w:val="21"/>
          <w:highlight w:val="none"/>
          <w:u w:val="single"/>
        </w:rPr>
        <w:t>项目编号</w:t>
      </w:r>
      <w:r>
        <w:rPr>
          <w:rFonts w:hint="eastAsia" w:asciiTheme="minorEastAsia" w:hAnsiTheme="minorEastAsia"/>
          <w:color w:val="auto"/>
          <w:sz w:val="21"/>
          <w:szCs w:val="21"/>
          <w:highlight w:val="none"/>
        </w:rPr>
        <w:t>的</w:t>
      </w:r>
      <w:r>
        <w:rPr>
          <w:rFonts w:asciiTheme="minorEastAsia" w:hAnsiTheme="minorEastAsia"/>
          <w:i/>
          <w:color w:val="auto"/>
          <w:sz w:val="21"/>
          <w:szCs w:val="21"/>
          <w:highlight w:val="none"/>
          <w:u w:val="single"/>
        </w:rPr>
        <w:t>项目</w:t>
      </w:r>
      <w:r>
        <w:rPr>
          <w:rFonts w:hint="eastAsia" w:asciiTheme="minorEastAsia" w:hAnsiTheme="minorEastAsia"/>
          <w:i/>
          <w:color w:val="auto"/>
          <w:sz w:val="21"/>
          <w:szCs w:val="21"/>
          <w:highlight w:val="none"/>
          <w:u w:val="single"/>
        </w:rPr>
        <w:t>名</w:t>
      </w:r>
      <w:r>
        <w:rPr>
          <w:rFonts w:asciiTheme="minorEastAsia" w:hAnsiTheme="minorEastAsia"/>
          <w:i/>
          <w:color w:val="auto"/>
          <w:sz w:val="21"/>
          <w:szCs w:val="21"/>
          <w:highlight w:val="none"/>
          <w:u w:val="single"/>
        </w:rPr>
        <w:t>称</w:t>
      </w:r>
      <w:r>
        <w:rPr>
          <w:rFonts w:hint="eastAsia" w:asciiTheme="minorEastAsia" w:hAnsiTheme="minorEastAsia"/>
          <w:i/>
          <w:color w:val="auto"/>
          <w:sz w:val="21"/>
          <w:szCs w:val="21"/>
          <w:highlight w:val="none"/>
          <w:u w:val="single"/>
          <w:lang w:eastAsia="zh-CN"/>
        </w:rPr>
        <w:t>、标段</w:t>
      </w:r>
      <w:r>
        <w:rPr>
          <w:rFonts w:hint="eastAsia" w:asciiTheme="minorEastAsia" w:hAnsiTheme="minorEastAsia"/>
          <w:color w:val="auto"/>
          <w:sz w:val="21"/>
          <w:szCs w:val="21"/>
          <w:highlight w:val="none"/>
        </w:rPr>
        <w:t>公</w:t>
      </w:r>
      <w:r>
        <w:rPr>
          <w:rFonts w:asciiTheme="minorEastAsia" w:hAnsiTheme="minorEastAsia"/>
          <w:color w:val="auto"/>
          <w:sz w:val="21"/>
          <w:szCs w:val="21"/>
          <w:highlight w:val="none"/>
        </w:rPr>
        <w:t>开</w:t>
      </w:r>
      <w:r>
        <w:rPr>
          <w:rFonts w:hint="eastAsia" w:asciiTheme="minorEastAsia" w:hAnsiTheme="minorEastAsia"/>
          <w:color w:val="auto"/>
          <w:sz w:val="21"/>
          <w:szCs w:val="21"/>
          <w:highlight w:val="none"/>
        </w:rPr>
        <w:t>招</w:t>
      </w:r>
      <w:r>
        <w:rPr>
          <w:rFonts w:asciiTheme="minorEastAsia" w:hAnsiTheme="minorEastAsia"/>
          <w:color w:val="auto"/>
          <w:sz w:val="21"/>
          <w:szCs w:val="21"/>
          <w:highlight w:val="none"/>
        </w:rPr>
        <w:t>标项目</w:t>
      </w:r>
      <w:r>
        <w:rPr>
          <w:rFonts w:hint="eastAsia" w:asciiTheme="minorEastAsia" w:hAnsiTheme="minorEastAsia"/>
          <w:color w:val="auto"/>
          <w:sz w:val="21"/>
          <w:szCs w:val="21"/>
          <w:highlight w:val="none"/>
        </w:rPr>
        <w:t>的投</w:t>
      </w:r>
      <w:r>
        <w:rPr>
          <w:rFonts w:asciiTheme="minorEastAsia" w:hAnsiTheme="minorEastAsia"/>
          <w:color w:val="auto"/>
          <w:sz w:val="21"/>
          <w:szCs w:val="21"/>
          <w:highlight w:val="none"/>
        </w:rPr>
        <w:t>标报价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的投</w:t>
      </w:r>
      <w:r>
        <w:rPr>
          <w:rFonts w:asciiTheme="minorEastAsia" w:hAnsiTheme="minorEastAsia"/>
          <w:color w:val="auto"/>
          <w:sz w:val="21"/>
          <w:szCs w:val="21"/>
          <w:highlight w:val="none"/>
        </w:rPr>
        <w:t>标</w:t>
      </w:r>
      <w:r>
        <w:rPr>
          <w:rFonts w:hint="eastAsia" w:asciiTheme="minorEastAsia" w:hAnsiTheme="minorEastAsia"/>
          <w:color w:val="auto"/>
          <w:sz w:val="21"/>
          <w:szCs w:val="21"/>
          <w:highlight w:val="none"/>
        </w:rPr>
        <w:t>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pPr>
        <w:pStyle w:val="64"/>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pPr>
        <w:pStyle w:val="64"/>
        <w:spacing w:line="480" w:lineRule="auto"/>
        <w:ind w:firstLine="472" w:firstLineChars="225"/>
        <w:jc w:val="left"/>
        <w:rPr>
          <w:rFonts w:asciiTheme="minorEastAsia" w:hAnsiTheme="minorEastAsia"/>
          <w:color w:val="auto"/>
          <w:sz w:val="21"/>
          <w:szCs w:val="21"/>
          <w:highlight w:val="none"/>
          <w:u w:val="single"/>
        </w:rPr>
      </w:pPr>
      <w:r>
        <w:rPr>
          <w:rFonts w:hint="eastAsia" w:asciiTheme="minorEastAsia" w:hAnsiTheme="minorEastAsia"/>
          <w:color w:val="auto"/>
          <w:sz w:val="21"/>
          <w:szCs w:val="21"/>
          <w:highlight w:val="none"/>
        </w:rPr>
        <w:t>法定代表人（单位负责人）联系电话（手机）：</w:t>
      </w:r>
    </w:p>
    <w:p>
      <w:pPr>
        <w:pStyle w:val="64"/>
        <w:spacing w:line="480" w:lineRule="auto"/>
        <w:ind w:firstLine="472" w:firstLineChars="225"/>
        <w:jc w:val="left"/>
        <w:rPr>
          <w:rFonts w:asciiTheme="minorEastAsia" w:hAnsiTheme="minorEastAsia"/>
          <w:color w:val="auto"/>
          <w:sz w:val="21"/>
          <w:szCs w:val="21"/>
          <w:highlight w:val="none"/>
        </w:rPr>
      </w:pPr>
    </w:p>
    <w:p>
      <w:pPr>
        <w:pStyle w:val="64"/>
        <w:spacing w:line="480" w:lineRule="auto"/>
        <w:ind w:firstLine="472" w:firstLineChars="225"/>
        <w:jc w:val="left"/>
        <w:rPr>
          <w:rFonts w:asciiTheme="minorEastAsia" w:hAnsiTheme="minorEastAsia"/>
          <w:color w:val="auto"/>
          <w:sz w:val="21"/>
          <w:szCs w:val="21"/>
          <w:highlight w:val="none"/>
        </w:rPr>
      </w:pPr>
    </w:p>
    <w:p>
      <w:pPr>
        <w:pStyle w:val="64"/>
        <w:spacing w:line="480" w:lineRule="auto"/>
        <w:ind w:left="-538" w:leftChars="-256"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证复</w:t>
      </w:r>
      <w:r>
        <w:rPr>
          <w:rFonts w:hint="eastAsia" w:asciiTheme="minorEastAsia" w:hAnsiTheme="minorEastAsia"/>
          <w:bCs/>
          <w:color w:val="auto"/>
          <w:sz w:val="21"/>
          <w:szCs w:val="21"/>
          <w:highlight w:val="none"/>
        </w:rPr>
        <w:t>印件，需清晰反映身份证有效期限】</w:t>
      </w:r>
    </w:p>
    <w:p>
      <w:pPr>
        <w:pStyle w:val="64"/>
        <w:spacing w:line="480" w:lineRule="auto"/>
        <w:ind w:left="-538" w:leftChars="-256" w:firstLine="539" w:firstLineChars="257"/>
        <w:jc w:val="center"/>
        <w:rPr>
          <w:rFonts w:asciiTheme="minorEastAsia" w:hAnsiTheme="minorEastAsia"/>
          <w:bCs/>
          <w:color w:val="auto"/>
          <w:sz w:val="21"/>
          <w:szCs w:val="21"/>
          <w:highlight w:val="none"/>
        </w:rPr>
      </w:pPr>
    </w:p>
    <w:p>
      <w:pPr>
        <w:autoSpaceDE w:val="0"/>
        <w:autoSpaceDN w:val="0"/>
        <w:adjustRightInd w:val="0"/>
        <w:spacing w:line="360" w:lineRule="auto"/>
        <w:ind w:right="-11"/>
        <w:rPr>
          <w:rFonts w:cs="宋体" w:asciiTheme="minorEastAsia" w:hAnsiTheme="minorEastAsia"/>
          <w:color w:val="auto"/>
          <w:szCs w:val="21"/>
          <w:highlight w:val="none"/>
          <w:lang w:val="zh-CN"/>
        </w:rPr>
      </w:pPr>
    </w:p>
    <w:p>
      <w:pPr>
        <w:autoSpaceDE w:val="0"/>
        <w:autoSpaceDN w:val="0"/>
        <w:adjustRightInd w:val="0"/>
        <w:spacing w:line="360" w:lineRule="auto"/>
        <w:ind w:right="-11"/>
        <w:rPr>
          <w:rFonts w:cs="宋体" w:asciiTheme="minorEastAsia" w:hAnsiTheme="minorEastAsia"/>
          <w:color w:val="auto"/>
          <w:szCs w:val="21"/>
          <w:highlight w:val="none"/>
          <w:lang w:val="zh-CN"/>
        </w:rPr>
      </w:pPr>
    </w:p>
    <w:p>
      <w:pPr>
        <w:autoSpaceDE w:val="0"/>
        <w:autoSpaceDN w:val="0"/>
        <w:adjustRightInd w:val="0"/>
        <w:spacing w:line="360" w:lineRule="auto"/>
        <w:ind w:right="-11"/>
        <w:rPr>
          <w:rFonts w:cs="宋体" w:asciiTheme="minorEastAsia" w:hAnsiTheme="minorEastAsia"/>
          <w:color w:val="auto"/>
          <w:szCs w:val="21"/>
          <w:highlight w:val="none"/>
          <w:lang w:val="zh-CN"/>
        </w:rPr>
      </w:pPr>
    </w:p>
    <w:p>
      <w:pP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投标人名称（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pPr>
        <w:pStyle w:val="67"/>
        <w:spacing w:before="60" w:line="480" w:lineRule="auto"/>
        <w:ind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pPr>
        <w:pStyle w:val="66"/>
        <w:spacing w:line="480" w:lineRule="auto"/>
        <w:rPr>
          <w:rFonts w:cs="Arial" w:asciiTheme="minorEastAsia" w:hAnsiTheme="minorEastAsia"/>
          <w:color w:val="auto"/>
          <w:sz w:val="21"/>
          <w:szCs w:val="21"/>
          <w:highlight w:val="none"/>
        </w:rPr>
      </w:pPr>
    </w:p>
    <w:p>
      <w:pPr>
        <w:rPr>
          <w:color w:val="auto"/>
          <w:szCs w:val="21"/>
          <w:highlight w:val="none"/>
        </w:rPr>
      </w:pPr>
    </w:p>
    <w:p>
      <w:pPr>
        <w:spacing w:line="320" w:lineRule="exact"/>
        <w:ind w:firstLine="420" w:firstLineChars="200"/>
        <w:rPr>
          <w:rFonts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加本招</w:t>
      </w:r>
      <w:r>
        <w:rPr>
          <w:rFonts w:asciiTheme="minorEastAsia" w:hAnsiTheme="minorEastAsia"/>
          <w:bCs/>
          <w:color w:val="auto"/>
          <w:kern w:val="12"/>
          <w:szCs w:val="21"/>
          <w:highlight w:val="none"/>
        </w:rPr>
        <w:t>标项目</w:t>
      </w:r>
      <w:r>
        <w:rPr>
          <w:rFonts w:hint="eastAsia" w:asciiTheme="minorEastAsia" w:hAnsiTheme="minorEastAsia"/>
          <w:bCs/>
          <w:color w:val="auto"/>
          <w:kern w:val="12"/>
          <w:szCs w:val="21"/>
          <w:highlight w:val="none"/>
        </w:rPr>
        <w:t>投</w:t>
      </w:r>
      <w:r>
        <w:rPr>
          <w:rFonts w:asciiTheme="minorEastAsia" w:hAnsiTheme="minorEastAsia"/>
          <w:bCs/>
          <w:color w:val="auto"/>
          <w:kern w:val="12"/>
          <w:szCs w:val="21"/>
          <w:highlight w:val="none"/>
        </w:rPr>
        <w:t>标</w:t>
      </w:r>
      <w:r>
        <w:rPr>
          <w:rFonts w:hint="eastAsia" w:asciiTheme="minorEastAsia" w:hAnsiTheme="minorEastAsia"/>
          <w:bCs/>
          <w:color w:val="auto"/>
          <w:kern w:val="12"/>
          <w:szCs w:val="21"/>
          <w:highlight w:val="none"/>
        </w:rPr>
        <w:t>的，</w:t>
      </w:r>
      <w:r>
        <w:rPr>
          <w:rFonts w:asciiTheme="minorEastAsia" w:hAnsiTheme="minorEastAsia"/>
          <w:bCs/>
          <w:color w:val="auto"/>
          <w:kern w:val="12"/>
          <w:szCs w:val="21"/>
          <w:highlight w:val="none"/>
        </w:rPr>
        <w:t>仅须</w:t>
      </w:r>
      <w:r>
        <w:rPr>
          <w:rFonts w:hint="eastAsia" w:asciiTheme="minorEastAsia" w:hAnsiTheme="minorEastAsia"/>
          <w:bCs/>
          <w:color w:val="auto"/>
          <w:kern w:val="12"/>
          <w:szCs w:val="21"/>
          <w:highlight w:val="none"/>
        </w:rPr>
        <w:t>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pPr>
        <w:spacing w:line="480" w:lineRule="exact"/>
        <w:rPr>
          <w:rFonts w:ascii="宋体" w:hAnsi="宋体"/>
          <w:b/>
          <w:bCs/>
          <w:color w:val="auto"/>
          <w:sz w:val="24"/>
          <w:szCs w:val="24"/>
          <w:highlight w:val="none"/>
        </w:rPr>
      </w:pPr>
    </w:p>
    <w:p>
      <w:pPr>
        <w:pStyle w:val="30"/>
        <w:ind w:firstLine="340"/>
        <w:rPr>
          <w:color w:val="auto"/>
          <w:highlight w:val="none"/>
        </w:rPr>
      </w:pPr>
    </w:p>
    <w:p>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pPr>
        <w:spacing w:line="480" w:lineRule="exact"/>
        <w:jc w:val="center"/>
        <w:rPr>
          <w:rFonts w:ascii="宋体" w:hAnsi="宋体"/>
          <w:b/>
          <w:bCs/>
          <w:color w:val="auto"/>
          <w:sz w:val="36"/>
          <w:szCs w:val="36"/>
          <w:highlight w:val="none"/>
        </w:rPr>
      </w:pP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本人</w:t>
      </w:r>
      <w:r>
        <w:rPr>
          <w:rFonts w:hint="eastAsia" w:cs="Arial" w:asciiTheme="minorEastAsia" w:hAnsiTheme="minorEastAsia"/>
          <w:color w:val="auto"/>
          <w:szCs w:val="21"/>
          <w:highlight w:val="none"/>
          <w:u w:val="single"/>
        </w:rPr>
        <w:t xml:space="preserve">　 </w:t>
      </w:r>
      <w:r>
        <w:rPr>
          <w:rFonts w:hint="eastAsia" w:asciiTheme="minorEastAsia" w:hAnsiTheme="minorEastAsia"/>
          <w:i/>
          <w:snapToGrid w:val="0"/>
          <w:color w:val="auto"/>
          <w:szCs w:val="21"/>
          <w:highlight w:val="none"/>
          <w:u w:val="single"/>
        </w:rPr>
        <w:t>法人姓名</w:t>
      </w:r>
      <w:r>
        <w:rPr>
          <w:rFonts w:hint="eastAsia" w:cs="Arial" w:asciiTheme="minorEastAsia" w:hAnsiTheme="minorEastAsia"/>
          <w:color w:val="auto"/>
          <w:szCs w:val="21"/>
          <w:highlight w:val="none"/>
        </w:rPr>
        <w:t>系</w:t>
      </w:r>
      <w:r>
        <w:rPr>
          <w:rFonts w:hint="eastAsia" w:cs="Arial" w:asciiTheme="minorEastAsia" w:hAnsiTheme="minorEastAsia"/>
          <w:color w:val="auto"/>
          <w:szCs w:val="21"/>
          <w:highlight w:val="none"/>
          <w:u w:val="single"/>
        </w:rPr>
        <w:t>　</w:t>
      </w:r>
      <w:r>
        <w:rPr>
          <w:rFonts w:hint="eastAsia" w:asciiTheme="minorEastAsia" w:hAnsiTheme="minorEastAsia"/>
          <w:i/>
          <w:snapToGrid w:val="0"/>
          <w:color w:val="auto"/>
          <w:szCs w:val="21"/>
          <w:highlight w:val="none"/>
          <w:u w:val="single"/>
        </w:rPr>
        <w:t xml:space="preserve">投标人名称  </w:t>
      </w:r>
      <w:r>
        <w:rPr>
          <w:rFonts w:hint="eastAsia" w:cs="Arial" w:asciiTheme="minorEastAsia" w:hAnsiTheme="minorEastAsia"/>
          <w:color w:val="auto"/>
          <w:szCs w:val="21"/>
          <w:highlight w:val="none"/>
        </w:rPr>
        <w:t>的法定代表人（单位负责人），现委托</w:t>
      </w:r>
      <w:r>
        <w:rPr>
          <w:rFonts w:hint="eastAsia" w:cs="Arial" w:asciiTheme="minorEastAsia" w:hAnsiTheme="minorEastAsia"/>
          <w:color w:val="auto"/>
          <w:szCs w:val="21"/>
          <w:highlight w:val="none"/>
          <w:u w:val="single"/>
        </w:rPr>
        <w:t xml:space="preserve">　 </w:t>
      </w:r>
      <w:r>
        <w:rPr>
          <w:rFonts w:hint="eastAsia" w:asciiTheme="minorEastAsia" w:hAnsiTheme="minorEastAsia"/>
          <w:i/>
          <w:snapToGrid w:val="0"/>
          <w:color w:val="auto"/>
          <w:szCs w:val="21"/>
          <w:highlight w:val="none"/>
          <w:u w:val="single"/>
        </w:rPr>
        <w:t>姓名，职务</w:t>
      </w:r>
      <w:r>
        <w:rPr>
          <w:rFonts w:hint="eastAsia" w:cs="Arial" w:asciiTheme="minorEastAsia" w:hAnsiTheme="minorEastAsia"/>
          <w:color w:val="auto"/>
          <w:szCs w:val="21"/>
          <w:highlight w:val="none"/>
        </w:rPr>
        <w:t>以我方的名义参加贵方</w:t>
      </w:r>
      <w:r>
        <w:rPr>
          <w:rFonts w:asciiTheme="minorEastAsia" w:hAnsiTheme="minorEastAsia"/>
          <w:i/>
          <w:color w:val="auto"/>
          <w:szCs w:val="21"/>
          <w:highlight w:val="none"/>
          <w:u w:val="single"/>
        </w:rPr>
        <w:t>项目编号</w:t>
      </w:r>
      <w:r>
        <w:rPr>
          <w:rFonts w:hint="eastAsia" w:asciiTheme="minorEastAsia" w:hAnsiTheme="minorEastAsia"/>
          <w:color w:val="auto"/>
          <w:szCs w:val="21"/>
          <w:highlight w:val="none"/>
        </w:rPr>
        <w:t>的</w:t>
      </w:r>
      <w:r>
        <w:rPr>
          <w:rFonts w:asciiTheme="minorEastAsia" w:hAnsiTheme="minorEastAsia"/>
          <w:i/>
          <w:color w:val="auto"/>
          <w:szCs w:val="21"/>
          <w:highlight w:val="none"/>
          <w:u w:val="single"/>
        </w:rPr>
        <w:t>项目</w:t>
      </w:r>
      <w:r>
        <w:rPr>
          <w:rFonts w:hint="eastAsia" w:asciiTheme="minorEastAsia" w:hAnsiTheme="minorEastAsia"/>
          <w:i/>
          <w:color w:val="auto"/>
          <w:szCs w:val="21"/>
          <w:highlight w:val="none"/>
          <w:u w:val="single"/>
        </w:rPr>
        <w:t>名</w:t>
      </w:r>
      <w:r>
        <w:rPr>
          <w:rFonts w:asciiTheme="minorEastAsia" w:hAnsiTheme="minorEastAsia"/>
          <w:i/>
          <w:color w:val="auto"/>
          <w:szCs w:val="21"/>
          <w:highlight w:val="none"/>
          <w:u w:val="single"/>
        </w:rPr>
        <w:t>称</w:t>
      </w:r>
      <w:r>
        <w:rPr>
          <w:rFonts w:hint="eastAsia" w:asciiTheme="minorEastAsia" w:hAnsiTheme="minorEastAsia"/>
          <w:i/>
          <w:color w:val="auto"/>
          <w:szCs w:val="21"/>
          <w:highlight w:val="none"/>
          <w:u w:val="single"/>
        </w:rPr>
        <w:t>、标</w:t>
      </w:r>
      <w:r>
        <w:rPr>
          <w:rFonts w:hint="eastAsia" w:ascii="宋体" w:hAnsi="宋体" w:eastAsia="宋体" w:cs="宋体"/>
          <w:color w:val="auto"/>
          <w:szCs w:val="21"/>
          <w:highlight w:val="none"/>
          <w:shd w:val="clear" w:color="auto" w:fill="FFFFFF"/>
        </w:rPr>
        <w:t>段</w:t>
      </w:r>
      <w:r>
        <w:rPr>
          <w:rFonts w:hint="eastAsia" w:cs="Arial" w:asciiTheme="minorEastAsia" w:hAnsiTheme="minorEastAsia"/>
          <w:color w:val="auto"/>
          <w:szCs w:val="21"/>
          <w:highlight w:val="none"/>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pPr>
        <w:spacing w:line="480" w:lineRule="auto"/>
        <w:ind w:firstLine="420" w:firstLineChars="200"/>
        <w:rPr>
          <w:rFonts w:asciiTheme="minorEastAsia" w:hAnsiTheme="minorEastAsia"/>
          <w:color w:val="auto"/>
          <w:szCs w:val="21"/>
          <w:highlight w:val="none"/>
        </w:rPr>
      </w:pPr>
      <w:r>
        <w:rPr>
          <w:rFonts w:hint="eastAsia" w:cs="宋体" w:asciiTheme="minorEastAsia" w:hAnsiTheme="minorEastAsia"/>
          <w:color w:val="auto"/>
          <w:szCs w:val="21"/>
          <w:highlight w:val="none"/>
        </w:rPr>
        <w:t>投标人</w:t>
      </w:r>
      <w:r>
        <w:rPr>
          <w:rFonts w:hint="eastAsia" w:asciiTheme="minorEastAsia" w:hAnsiTheme="minorEastAsia"/>
          <w:color w:val="auto"/>
          <w:szCs w:val="21"/>
          <w:highlight w:val="none"/>
        </w:rPr>
        <w:t xml:space="preserve">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（加盖单位公章）</w:t>
      </w:r>
    </w:p>
    <w:p>
      <w:pPr>
        <w:spacing w:line="480" w:lineRule="auto"/>
        <w:ind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 （签名或加盖名章）</w:t>
      </w:r>
    </w:p>
    <w:p>
      <w:pP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  （</w:t>
      </w:r>
      <w:r>
        <w:rPr>
          <w:rFonts w:hint="eastAsia" w:cs="Arial" w:asciiTheme="minorEastAsia" w:hAnsiTheme="minorEastAsia"/>
          <w:color w:val="auto"/>
          <w:szCs w:val="21"/>
          <w:highlight w:val="none"/>
        </w:rPr>
        <w:t>签名或加盖名章</w:t>
      </w:r>
      <w:r>
        <w:rPr>
          <w:rFonts w:hint="eastAsia" w:asciiTheme="minorEastAsia" w:hAnsiTheme="minorEastAsia"/>
          <w:color w:val="auto"/>
          <w:szCs w:val="21"/>
          <w:highlight w:val="none"/>
        </w:rPr>
        <w:t>）</w:t>
      </w:r>
    </w:p>
    <w:p>
      <w:pPr>
        <w:spacing w:line="480" w:lineRule="auto"/>
        <w:ind w:firstLine="420" w:firstLineChars="200"/>
        <w:rPr>
          <w:rFonts w:asciiTheme="minorEastAsia" w:hAnsiTheme="minorEastAsia"/>
          <w:color w:val="auto"/>
          <w:szCs w:val="21"/>
          <w:highlight w:val="none"/>
          <w:u w:val="singl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p>
    <w:tbl>
      <w:tblPr>
        <w:tblStyle w:val="33"/>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c>
          <w:tcPr>
            <w:tcW w:w="4473" w:type="dxa"/>
            <w:gridSpan w:val="2"/>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c>
          <w:tcPr>
            <w:tcW w:w="4480" w:type="dxa"/>
            <w:gridSpan w:val="2"/>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r>
    </w:tbl>
    <w:p>
      <w:pPr>
        <w:widowControl/>
        <w:spacing w:before="100" w:beforeAutospacing="1" w:after="100" w:afterAutospacing="1" w:line="360" w:lineRule="auto"/>
        <w:jc w:val="center"/>
        <w:rPr>
          <w:rFonts w:ascii="宋体" w:hAnsi="宋体"/>
          <w:b/>
          <w:bCs/>
          <w:color w:val="auto"/>
          <w:sz w:val="24"/>
          <w:szCs w:val="24"/>
          <w:highlight w:val="none"/>
        </w:rPr>
      </w:pPr>
    </w:p>
    <w:p>
      <w:pPr>
        <w:spacing w:line="480" w:lineRule="exact"/>
        <w:jc w:val="center"/>
        <w:rPr>
          <w:rFonts w:cs="Arial" w:asciiTheme="minorEastAsia" w:hAnsiTheme="minorEastAsia"/>
          <w:color w:val="auto"/>
          <w:szCs w:val="21"/>
          <w:highlight w:val="none"/>
        </w:rPr>
      </w:pPr>
      <w:r>
        <w:rPr>
          <w:rFonts w:hint="eastAsia" w:ascii="宋体" w:hAnsi="宋体"/>
          <w:b/>
          <w:bCs/>
          <w:color w:val="auto"/>
          <w:sz w:val="24"/>
          <w:szCs w:val="24"/>
          <w:highlight w:val="none"/>
        </w:rPr>
        <w:t>3.4 禹州市政府采购供应商信用承诺函</w:t>
      </w:r>
    </w:p>
    <w:p>
      <w:pPr>
        <w:adjustRightInd w:val="0"/>
        <w:spacing w:line="360" w:lineRule="auto"/>
        <w:ind w:firstLine="441" w:firstLineChars="210"/>
        <w:contextualSpacing/>
        <w:rPr>
          <w:rFonts w:cs="Arial" w:asciiTheme="minorEastAsia" w:hAnsiTheme="minorEastAsia"/>
          <w:color w:val="auto"/>
          <w:szCs w:val="21"/>
          <w:highlight w:val="none"/>
        </w:rPr>
      </w:pP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致  (采购人或采购代理机构):</w:t>
      </w:r>
    </w:p>
    <w:p>
      <w:pPr>
        <w:adjustRightInd w:val="0"/>
        <w:spacing w:line="360" w:lineRule="auto"/>
        <w:ind w:left="420" w:leftChars="200" w:firstLine="18" w:firstLineChars="9"/>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单位名称(自然人姓名):                       </w:t>
      </w:r>
    </w:p>
    <w:p>
      <w:pPr>
        <w:adjustRightInd w:val="0"/>
        <w:spacing w:line="360" w:lineRule="auto"/>
        <w:ind w:left="420" w:leftChars="200" w:firstLine="18" w:firstLineChars="9"/>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统一社会信用代码(身份证号码)                  </w:t>
      </w:r>
    </w:p>
    <w:p>
      <w:pPr>
        <w:adjustRightInd w:val="0"/>
        <w:spacing w:line="360" w:lineRule="auto"/>
        <w:ind w:left="420" w:leftChars="200" w:firstLine="18" w:firstLineChars="9"/>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法定代表人(负责人) :                        </w:t>
      </w:r>
    </w:p>
    <w:p>
      <w:pPr>
        <w:adjustRightInd w:val="0"/>
        <w:spacing w:line="360" w:lineRule="auto"/>
        <w:ind w:left="420" w:leftChars="200" w:firstLine="18" w:firstLineChars="9"/>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 联系地址和电话:                               </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为维护公平、公正、公开的政府采购市场秩序,树立诚实守信的政府采购供应商形象,我单位(本人)自愿作出以下承诺:</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一、我单位(本人)自愿参加本次政府采购活动,严格遵 守《中华人民共和国政府采购法》及相关法律法规,依法诚信 经营,无条件遵守本次政府采购活动的各项规定,我单位(本 人)郑重承诺,我单位(本人)符合《中华人民共和国政府采 购法》第二十二条规定和采购文件、本承诺书的条件:</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(一)具有独立承担民事责任的能力;</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(二)具有良好的商业信誉和健全的财务会计制度;</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(三)具有履行合同所必需的设备和专业技术能力;</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(四)有依法缴纳税收和社会保障资金的良好记录;</w:t>
      </w:r>
    </w:p>
    <w:p>
      <w:pPr>
        <w:adjustRightInd w:val="0"/>
        <w:spacing w:line="360" w:lineRule="auto"/>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(五)参加政府采购活动前三年内,在经营活动中没有重 大违法记录;</w:t>
      </w:r>
    </w:p>
    <w:p>
      <w:pPr>
        <w:adjustRightInd w:val="0"/>
        <w:spacing w:line="360" w:lineRule="auto"/>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(六)未被列入经营异常名录或者严重违法失信名单、信被执行人,重大税收违法案件当事人名单、政府采购严重违 法失信行为记录名单;</w:t>
      </w:r>
    </w:p>
    <w:p>
      <w:pPr>
        <w:adjustRightInd w:val="0"/>
        <w:spacing w:line="360" w:lineRule="auto"/>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(七)未被相关监管部门作出行政处罚且尚在处罚有效期 的;</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(八)未曾作出虚假采购承诺;</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(九)符合法律、行政法规规定的其他条件。</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 规定,处以采购金额千分之五以上千分之十以下的罚款,列入 不良行为记录名单,在一至三年内禁止参加政府采购活动, 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rPr>
        <w:t>投标人</w:t>
      </w:r>
      <w:r>
        <w:rPr>
          <w:rFonts w:cs="宋体" w:asciiTheme="minorEastAsia" w:hAnsiTheme="minorEastAsia"/>
          <w:color w:val="auto"/>
          <w:szCs w:val="21"/>
          <w:highlight w:val="none"/>
          <w:lang w:val="zh-CN"/>
        </w:rPr>
        <w:t>（电子章）:</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法定代表人、负责人、本人、或授权代表（签字或电子印章）:</w:t>
      </w:r>
    </w:p>
    <w:p>
      <w:pPr>
        <w:widowControl/>
        <w:spacing w:before="100" w:beforeAutospacing="1" w:after="100" w:afterAutospacing="1" w:line="360" w:lineRule="auto"/>
        <w:ind w:firstLine="525" w:firstLineChars="250"/>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日期:     年  月  日</w:t>
      </w:r>
    </w:p>
    <w:p>
      <w:pPr>
        <w:pStyle w:val="30"/>
        <w:ind w:firstLine="340"/>
        <w:rPr>
          <w:rFonts w:cs="Arial" w:asciiTheme="minorEastAsia" w:hAnsiTheme="minorEastAsia"/>
          <w:color w:val="auto"/>
          <w:szCs w:val="21"/>
          <w:highlight w:val="none"/>
        </w:rPr>
      </w:pPr>
    </w:p>
    <w:p>
      <w:pPr>
        <w:ind w:firstLine="420" w:firstLineChars="200"/>
        <w:rPr>
          <w:rFonts w:ascii="仿宋" w:hAnsi="仿宋" w:eastAsia="仿宋"/>
          <w:color w:val="auto"/>
          <w:highlight w:val="none"/>
        </w:rPr>
      </w:pPr>
      <w:r>
        <w:rPr>
          <w:rFonts w:ascii="仿宋" w:hAnsi="仿宋" w:eastAsia="仿宋" w:cs="华文仿宋"/>
          <w:color w:val="auto"/>
          <w:szCs w:val="21"/>
          <w:highlight w:val="none"/>
        </w:rPr>
        <w:t>注：1.供应商须在</w:t>
      </w:r>
      <w:r>
        <w:rPr>
          <w:rFonts w:hint="eastAsia" w:ascii="仿宋" w:hAnsi="仿宋" w:eastAsia="仿宋" w:cs="华文仿宋"/>
          <w:color w:val="auto"/>
          <w:szCs w:val="21"/>
          <w:highlight w:val="none"/>
        </w:rPr>
        <w:t>投标</w:t>
      </w:r>
      <w:r>
        <w:rPr>
          <w:rFonts w:ascii="仿宋" w:hAnsi="仿宋" w:eastAsia="仿宋" w:cs="华文仿宋"/>
          <w:color w:val="auto"/>
          <w:szCs w:val="21"/>
          <w:highlight w:val="none"/>
        </w:rPr>
        <w:t>文件中按此模板提供承诺函，未提供视为未实质性响应</w:t>
      </w:r>
      <w:r>
        <w:rPr>
          <w:rFonts w:hint="eastAsia" w:ascii="仿宋" w:hAnsi="仿宋" w:eastAsia="仿宋" w:cs="华文仿宋"/>
          <w:color w:val="auto"/>
          <w:szCs w:val="21"/>
          <w:highlight w:val="none"/>
        </w:rPr>
        <w:t>招标</w:t>
      </w:r>
      <w:r>
        <w:rPr>
          <w:rFonts w:ascii="仿宋" w:hAnsi="仿宋" w:eastAsia="仿宋" w:cs="华文仿宋"/>
          <w:color w:val="auto"/>
          <w:szCs w:val="21"/>
          <w:highlight w:val="none"/>
        </w:rPr>
        <w:t>文件要求，按无效投标处理。</w:t>
      </w:r>
    </w:p>
    <w:p>
      <w:pPr>
        <w:ind w:firstLine="420" w:firstLineChars="200"/>
        <w:rPr>
          <w:rFonts w:cs="宋体" w:asciiTheme="minorEastAsia" w:hAnsiTheme="minorEastAsia"/>
          <w:color w:val="auto"/>
          <w:sz w:val="24"/>
          <w:szCs w:val="24"/>
          <w:highlight w:val="none"/>
          <w:lang w:val="zh-CN"/>
        </w:rPr>
      </w:pPr>
      <w:r>
        <w:rPr>
          <w:rFonts w:ascii="仿宋" w:hAnsi="仿宋" w:eastAsia="仿宋" w:cs="华文仿宋"/>
          <w:color w:val="auto"/>
          <w:szCs w:val="21"/>
          <w:highlight w:val="none"/>
        </w:rPr>
        <w:t>2.供应商的法定代表人或者授权代表的签字或盖章应真实、有效，如由授权代表签字或盖章的，应提供“法定代表人授权书”</w:t>
      </w:r>
    </w:p>
    <w:p>
      <w:pPr>
        <w:pStyle w:val="32"/>
        <w:ind w:firstLine="480"/>
        <w:rPr>
          <w:color w:val="auto"/>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pStyle w:val="30"/>
        <w:ind w:firstLine="340"/>
        <w:rPr>
          <w:color w:val="auto"/>
          <w:highlight w:val="none"/>
          <w:lang w:val="zh-CN"/>
        </w:rPr>
      </w:pPr>
    </w:p>
    <w:p>
      <w:pPr>
        <w:pStyle w:val="30"/>
        <w:ind w:firstLine="0" w:firstLineChars="0"/>
        <w:rPr>
          <w:color w:val="auto"/>
          <w:highlight w:val="none"/>
          <w:lang w:val="zh-CN"/>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3.5 投标承诺函</w:t>
      </w:r>
    </w:p>
    <w:p>
      <w:pPr>
        <w:autoSpaceDE w:val="0"/>
        <w:autoSpaceDN w:val="0"/>
        <w:snapToGrid w:val="0"/>
        <w:spacing w:line="360" w:lineRule="auto"/>
        <w:jc w:val="center"/>
        <w:rPr>
          <w:rFonts w:ascii="宋体" w:hAnsi="宋体"/>
          <w:b/>
          <w:bCs/>
          <w:color w:val="auto"/>
          <w:sz w:val="24"/>
          <w:szCs w:val="24"/>
          <w:highlight w:val="none"/>
        </w:rPr>
      </w:pPr>
    </w:p>
    <w:p>
      <w:pPr>
        <w:spacing w:beforeLines="50" w:afterLines="50"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本企业郑重承诺：</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ascii="宋体" w:hAnsi="宋体" w:eastAsia="宋体" w:cs="宋体"/>
          <w:color w:val="auto"/>
          <w:szCs w:val="21"/>
          <w:highlight w:val="none"/>
          <w:lang w:val="zh-CN"/>
        </w:rPr>
        <w:t>经研究，我</w:t>
      </w:r>
      <w:r>
        <w:rPr>
          <w:rFonts w:hint="eastAsia" w:cs="宋体" w:asciiTheme="minorEastAsia" w:hAnsiTheme="minorEastAsia"/>
          <w:color w:val="auto"/>
          <w:szCs w:val="21"/>
          <w:highlight w:val="none"/>
          <w:lang w:val="zh-CN"/>
        </w:rPr>
        <w:t>方自愿参与贵方</w:t>
      </w:r>
      <w:r>
        <w:rPr>
          <w:rFonts w:hint="eastAsia" w:cs="宋体" w:asciiTheme="minorEastAsia" w:hAnsiTheme="minorEastAsia"/>
          <w:color w:val="auto"/>
          <w:szCs w:val="21"/>
          <w:highlight w:val="none"/>
          <w:u w:val="single"/>
          <w:lang w:val="zh-CN"/>
        </w:rPr>
        <w:t xml:space="preserve">    </w:t>
      </w:r>
      <w:r>
        <w:rPr>
          <w:rFonts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lang w:val="zh-CN"/>
        </w:rPr>
        <w:t>日</w:t>
      </w:r>
      <w:r>
        <w:rPr>
          <w:rFonts w:hint="eastAsia" w:ascii="宋体" w:hAnsi="宋体" w:eastAsia="宋体" w:cs="宋体"/>
          <w:color w:val="auto"/>
          <w:szCs w:val="21"/>
          <w:highlight w:val="none"/>
          <w:u w:val="single"/>
          <w:lang w:val="zh-CN"/>
        </w:rPr>
        <w:t xml:space="preserve">      </w:t>
      </w:r>
      <w:r>
        <w:rPr>
          <w:rFonts w:hint="eastAsia" w:cs="宋体" w:asciiTheme="minorEastAsia" w:hAnsiTheme="minorEastAsia"/>
          <w:color w:val="auto"/>
          <w:szCs w:val="21"/>
          <w:highlight w:val="none"/>
          <w:lang w:val="zh-CN"/>
        </w:rPr>
        <w:t>（招标编号、项目名称）的</w:t>
      </w:r>
      <w:r>
        <w:rPr>
          <w:rFonts w:ascii="宋体" w:hAnsi="宋体" w:eastAsia="宋体" w:cs="宋体"/>
          <w:color w:val="auto"/>
          <w:szCs w:val="21"/>
          <w:highlight w:val="none"/>
          <w:lang w:val="zh-CN"/>
        </w:rPr>
        <w:t>投标，</w:t>
      </w:r>
      <w:r>
        <w:rPr>
          <w:rFonts w:hint="eastAsia" w:cs="宋体" w:asciiTheme="minorEastAsia" w:hAnsiTheme="minorEastAsia"/>
          <w:color w:val="auto"/>
          <w:szCs w:val="21"/>
          <w:highlight w:val="none"/>
          <w:lang w:val="zh-CN"/>
        </w:rPr>
        <w:t>将</w:t>
      </w:r>
      <w:r>
        <w:rPr>
          <w:rFonts w:ascii="宋体" w:hAnsi="宋体" w:eastAsia="宋体" w:cs="宋体"/>
          <w:color w:val="auto"/>
          <w:szCs w:val="21"/>
          <w:highlight w:val="none"/>
          <w:lang w:val="zh-CN"/>
        </w:rPr>
        <w:t>严格</w:t>
      </w:r>
      <w:r>
        <w:rPr>
          <w:rFonts w:hint="eastAsia" w:cs="宋体" w:asciiTheme="minorEastAsia" w:hAnsiTheme="minorEastAsia"/>
          <w:color w:val="auto"/>
          <w:szCs w:val="21"/>
          <w:highlight w:val="none"/>
          <w:lang w:val="zh-CN"/>
        </w:rPr>
        <w:t>遵守</w:t>
      </w:r>
      <w:r>
        <w:rPr>
          <w:rFonts w:ascii="宋体" w:hAnsi="宋体" w:eastAsia="宋体" w:cs="宋体"/>
          <w:color w:val="auto"/>
          <w:szCs w:val="21"/>
          <w:highlight w:val="none"/>
          <w:lang w:val="zh-CN"/>
        </w:rPr>
        <w:t>《</w:t>
      </w:r>
      <w:r>
        <w:rPr>
          <w:rFonts w:hint="eastAsia" w:cs="宋体" w:asciiTheme="minorEastAsia" w:hAnsiTheme="minorEastAsia"/>
          <w:color w:val="auto"/>
          <w:szCs w:val="21"/>
          <w:highlight w:val="none"/>
          <w:lang w:val="zh-CN"/>
        </w:rPr>
        <w:t>中华人民共和国政府采购</w:t>
      </w:r>
      <w:r>
        <w:rPr>
          <w:rFonts w:ascii="宋体" w:hAnsi="宋体" w:eastAsia="宋体" w:cs="宋体"/>
          <w:color w:val="auto"/>
          <w:szCs w:val="21"/>
          <w:highlight w:val="none"/>
          <w:lang w:val="zh-CN"/>
        </w:rPr>
        <w:t>法》等</w:t>
      </w:r>
      <w:r>
        <w:rPr>
          <w:rFonts w:hint="eastAsia" w:cs="宋体" w:asciiTheme="minorEastAsia" w:hAnsiTheme="minorEastAsia"/>
          <w:color w:val="auto"/>
          <w:szCs w:val="21"/>
          <w:highlight w:val="none"/>
          <w:lang w:val="zh-CN"/>
        </w:rPr>
        <w:t>相关</w:t>
      </w:r>
      <w:r>
        <w:rPr>
          <w:rFonts w:ascii="宋体" w:hAnsi="宋体" w:eastAsia="宋体" w:cs="宋体"/>
          <w:color w:val="auto"/>
          <w:szCs w:val="21"/>
          <w:highlight w:val="none"/>
          <w:lang w:val="zh-CN"/>
        </w:rPr>
        <w:t>法律法规</w:t>
      </w:r>
      <w:r>
        <w:rPr>
          <w:rFonts w:hint="eastAsia" w:cs="宋体" w:asciiTheme="minorEastAsia" w:hAnsiTheme="minorEastAsia"/>
          <w:color w:val="auto"/>
          <w:szCs w:val="21"/>
          <w:highlight w:val="none"/>
          <w:lang w:val="zh-CN"/>
        </w:rPr>
        <w:t>规定</w:t>
      </w:r>
      <w:r>
        <w:rPr>
          <w:rFonts w:cs="宋体" w:asciiTheme="minorEastAsia" w:hAnsiTheme="minorEastAsia"/>
          <w:color w:val="auto"/>
          <w:szCs w:val="21"/>
          <w:highlight w:val="none"/>
          <w:lang w:val="zh-CN"/>
        </w:rPr>
        <w:t>，并无条件地遵守本次采购活动各项规定。我们郑重承诺：</w:t>
      </w:r>
      <w:r>
        <w:rPr>
          <w:rFonts w:hint="eastAsia" w:cs="宋体" w:asciiTheme="minorEastAsia" w:hAnsiTheme="minorEastAsia"/>
          <w:color w:val="auto"/>
          <w:szCs w:val="21"/>
          <w:highlight w:val="none"/>
          <w:lang w:val="zh-CN"/>
        </w:rPr>
        <w:t>我方</w:t>
      </w:r>
      <w:r>
        <w:rPr>
          <w:rFonts w:cs="宋体" w:asciiTheme="minorEastAsia" w:hAnsiTheme="minorEastAsia"/>
          <w:color w:val="auto"/>
          <w:szCs w:val="21"/>
          <w:highlight w:val="none"/>
          <w:lang w:val="zh-CN"/>
        </w:rPr>
        <w:t>如果在本次</w:t>
      </w:r>
      <w:r>
        <w:rPr>
          <w:rFonts w:hint="eastAsia" w:cs="宋体" w:asciiTheme="minorEastAsia" w:hAnsiTheme="minorEastAsia"/>
          <w:color w:val="auto"/>
          <w:szCs w:val="21"/>
          <w:highlight w:val="none"/>
          <w:lang w:val="zh-CN"/>
        </w:rPr>
        <w:t>投标</w:t>
      </w:r>
      <w:r>
        <w:rPr>
          <w:rFonts w:cs="宋体" w:asciiTheme="minorEastAsia" w:hAnsiTheme="minorEastAsia"/>
          <w:color w:val="auto"/>
          <w:szCs w:val="21"/>
          <w:highlight w:val="none"/>
          <w:lang w:val="zh-CN"/>
        </w:rPr>
        <w:t>活动中有</w:t>
      </w:r>
      <w:r>
        <w:rPr>
          <w:rFonts w:hint="eastAsia" w:cs="宋体" w:asciiTheme="minorEastAsia" w:hAnsiTheme="minorEastAsia"/>
          <w:color w:val="auto"/>
          <w:szCs w:val="21"/>
          <w:highlight w:val="none"/>
          <w:lang w:val="zh-CN"/>
        </w:rPr>
        <w:t>下列</w:t>
      </w:r>
      <w:r>
        <w:rPr>
          <w:rFonts w:cs="宋体" w:asciiTheme="minorEastAsia" w:hAnsiTheme="minorEastAsia"/>
          <w:color w:val="auto"/>
          <w:szCs w:val="21"/>
          <w:highlight w:val="none"/>
          <w:lang w:val="zh-CN"/>
        </w:rPr>
        <w:t>情形</w:t>
      </w:r>
      <w:r>
        <w:rPr>
          <w:rFonts w:hint="eastAsia" w:cs="宋体" w:asciiTheme="minorEastAsia" w:hAnsiTheme="minorEastAsia"/>
          <w:color w:val="auto"/>
          <w:szCs w:val="21"/>
          <w:highlight w:val="none"/>
          <w:lang w:val="zh-CN"/>
        </w:rPr>
        <w:t>之一</w:t>
      </w:r>
      <w:r>
        <w:rPr>
          <w:rFonts w:cs="宋体" w:asciiTheme="minorEastAsia" w:hAnsiTheme="minorEastAsia"/>
          <w:color w:val="auto"/>
          <w:szCs w:val="21"/>
          <w:highlight w:val="none"/>
          <w:lang w:val="zh-CN"/>
        </w:rPr>
        <w:t>的，愿接受政府采购</w:t>
      </w:r>
      <w:r>
        <w:rPr>
          <w:rFonts w:hint="eastAsia" w:cs="宋体" w:asciiTheme="minorEastAsia" w:hAnsiTheme="minorEastAsia"/>
          <w:color w:val="auto"/>
          <w:szCs w:val="21"/>
          <w:highlight w:val="none"/>
          <w:lang w:val="zh-CN"/>
        </w:rPr>
        <w:t>监督管理</w:t>
      </w:r>
      <w:r>
        <w:rPr>
          <w:rFonts w:cs="宋体" w:asciiTheme="minorEastAsia" w:hAnsiTheme="minorEastAsia"/>
          <w:color w:val="auto"/>
          <w:szCs w:val="21"/>
          <w:highlight w:val="none"/>
          <w:lang w:val="zh-CN"/>
        </w:rPr>
        <w:t>部门给予相关处罚并</w:t>
      </w:r>
      <w:r>
        <w:rPr>
          <w:rFonts w:hint="eastAsia" w:cs="宋体" w:asciiTheme="minorEastAsia" w:hAnsiTheme="minorEastAsia"/>
          <w:color w:val="auto"/>
          <w:szCs w:val="21"/>
          <w:highlight w:val="none"/>
          <w:lang w:val="zh-CN"/>
        </w:rPr>
        <w:t>承诺依法</w:t>
      </w:r>
      <w:r>
        <w:rPr>
          <w:rFonts w:cs="宋体" w:asciiTheme="minorEastAsia" w:hAnsiTheme="minorEastAsia"/>
          <w:color w:val="auto"/>
          <w:szCs w:val="21"/>
          <w:highlight w:val="none"/>
          <w:lang w:val="zh-CN"/>
        </w:rPr>
        <w:t>承担</w:t>
      </w:r>
      <w:r>
        <w:rPr>
          <w:rFonts w:hint="eastAsia" w:cs="宋体" w:asciiTheme="minorEastAsia" w:hAnsiTheme="minorEastAsia"/>
          <w:color w:val="auto"/>
          <w:szCs w:val="21"/>
          <w:highlight w:val="none"/>
          <w:lang w:val="zh-CN"/>
        </w:rPr>
        <w:t>相关的经济赔偿责任和</w:t>
      </w:r>
      <w:r>
        <w:rPr>
          <w:rFonts w:cs="宋体" w:asciiTheme="minorEastAsia" w:hAnsiTheme="minorEastAsia"/>
          <w:color w:val="auto"/>
          <w:szCs w:val="21"/>
          <w:highlight w:val="none"/>
          <w:lang w:val="zh-CN"/>
        </w:rPr>
        <w:t>法律责任。</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一、在投标有效期内撤销投标文件；</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二、在投标文件中提供虚假材料；</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五、法律法规及本招标文件规定的其他严重违法行为。</w:t>
      </w:r>
    </w:p>
    <w:p>
      <w:pPr>
        <w:rPr>
          <w:color w:val="auto"/>
          <w:sz w:val="28"/>
          <w:szCs w:val="28"/>
          <w:highlight w:val="none"/>
          <w:u w:val="single"/>
        </w:rPr>
      </w:pPr>
    </w:p>
    <w:p>
      <w:pPr>
        <w:rPr>
          <w:color w:val="auto"/>
          <w:sz w:val="28"/>
          <w:szCs w:val="28"/>
          <w:highlight w:val="none"/>
          <w:u w:val="single"/>
        </w:rPr>
      </w:pPr>
    </w:p>
    <w:p>
      <w:pPr>
        <w:spacing w:line="480" w:lineRule="auto"/>
        <w:ind w:firstLine="4357" w:firstLineChars="2075"/>
        <w:rPr>
          <w:rFonts w:cs="Arial" w:asciiTheme="minorEastAsia" w:hAnsiTheme="minorEastAsia"/>
          <w:color w:val="auto"/>
          <w:szCs w:val="21"/>
          <w:highlight w:val="none"/>
        </w:rPr>
      </w:pPr>
      <w:r>
        <w:rPr>
          <w:rFonts w:hint="eastAsia" w:cs="宋体" w:asciiTheme="minorEastAsia" w:hAnsiTheme="minorEastAsia"/>
          <w:color w:val="auto"/>
          <w:szCs w:val="21"/>
          <w:highlight w:val="none"/>
          <w:lang w:val="zh-CN"/>
        </w:rPr>
        <w:t>投标人名称（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r>
        <w:rPr>
          <w:rFonts w:hint="eastAsia" w:cs="Arial" w:asciiTheme="minorEastAsia" w:hAnsiTheme="minorEastAsia"/>
          <w:color w:val="auto"/>
          <w:szCs w:val="21"/>
          <w:highlight w:val="none"/>
        </w:rPr>
        <w:t>　　　　　　　　　</w:t>
      </w:r>
    </w:p>
    <w:p>
      <w:pPr>
        <w:spacing w:line="480" w:lineRule="auto"/>
        <w:ind w:firstLine="4357" w:firstLine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日期：      年    月    日</w:t>
      </w:r>
    </w:p>
    <w:p>
      <w:pPr>
        <w:autoSpaceDE w:val="0"/>
        <w:autoSpaceDN w:val="0"/>
        <w:adjustRightInd w:val="0"/>
        <w:spacing w:line="360" w:lineRule="auto"/>
        <w:jc w:val="center"/>
        <w:rPr>
          <w:rFonts w:ascii="宋体" w:cs="宋体"/>
          <w:color w:val="auto"/>
          <w:szCs w:val="21"/>
          <w:highlight w:val="none"/>
          <w:lang w:val="zh-CN"/>
        </w:rPr>
      </w:pPr>
    </w:p>
    <w:p>
      <w:pPr>
        <w:pStyle w:val="2"/>
        <w:rPr>
          <w:color w:val="auto"/>
          <w:highlight w:val="none"/>
          <w:lang w:val="zh-CN"/>
        </w:rPr>
      </w:pPr>
    </w:p>
    <w:p>
      <w:pPr>
        <w:autoSpaceDE w:val="0"/>
        <w:autoSpaceDN w:val="0"/>
        <w:adjustRightInd w:val="0"/>
        <w:spacing w:line="360" w:lineRule="auto"/>
        <w:jc w:val="center"/>
        <w:rPr>
          <w:rFonts w:hint="eastAsia" w:cs="宋体" w:asciiTheme="minorEastAsia" w:hAnsiTheme="minorEastAsia"/>
          <w:color w:val="auto"/>
          <w:sz w:val="24"/>
          <w:szCs w:val="24"/>
          <w:highlight w:val="none"/>
          <w:lang w:val="zh-CN"/>
        </w:rPr>
      </w:pPr>
    </w:p>
    <w:p>
      <w:pPr>
        <w:pStyle w:val="30"/>
        <w:ind w:left="0" w:leftChars="0" w:firstLine="0" w:firstLineChars="0"/>
        <w:rPr>
          <w:rFonts w:hint="eastAsia"/>
          <w:color w:val="auto"/>
          <w:highlight w:val="none"/>
          <w:lang w:val="zh-CN"/>
        </w:rPr>
      </w:pPr>
    </w:p>
    <w:p>
      <w:pPr>
        <w:pStyle w:val="31"/>
        <w:rPr>
          <w:rFonts w:hint="eastAsia"/>
          <w:color w:val="auto"/>
          <w:highlight w:val="none"/>
          <w:lang w:val="zh-CN"/>
        </w:rPr>
      </w:pPr>
    </w:p>
    <w:p>
      <w:pPr>
        <w:rPr>
          <w:rFonts w:hint="eastAsia"/>
          <w:color w:val="auto"/>
          <w:highlight w:val="none"/>
          <w:lang w:val="zh-CN"/>
        </w:rPr>
      </w:pPr>
    </w:p>
    <w:p>
      <w:pPr>
        <w:pStyle w:val="2"/>
        <w:rPr>
          <w:rFonts w:hint="eastAsia"/>
          <w:color w:val="auto"/>
          <w:highlight w:val="none"/>
          <w:lang w:val="zh-CN"/>
        </w:rPr>
      </w:pPr>
    </w:p>
    <w:p>
      <w:pPr>
        <w:pStyle w:val="24"/>
        <w:rPr>
          <w:rFonts w:hint="eastAsia"/>
          <w:highlight w:val="none"/>
          <w:lang w:val="zh-CN"/>
        </w:rPr>
      </w:pPr>
    </w:p>
    <w:p>
      <w:pPr>
        <w:pStyle w:val="32"/>
        <w:ind w:firstLine="480"/>
        <w:rPr>
          <w:rFonts w:hint="eastAsia"/>
          <w:color w:val="auto"/>
          <w:highlight w:val="none"/>
          <w:lang w:val="zh-CN"/>
        </w:rPr>
      </w:pPr>
    </w:p>
    <w:p>
      <w:pPr>
        <w:rPr>
          <w:color w:val="auto"/>
          <w:highlight w:val="none"/>
          <w:lang w:val="zh-CN"/>
        </w:rPr>
      </w:pPr>
    </w:p>
    <w:p>
      <w:pPr>
        <w:autoSpaceDE w:val="0"/>
        <w:autoSpaceDN w:val="0"/>
        <w:adjustRightInd w:val="0"/>
        <w:spacing w:line="360" w:lineRule="auto"/>
        <w:jc w:val="center"/>
        <w:outlineLvl w:val="0"/>
        <w:rPr>
          <w:rFonts w:hint="eastAsia" w:ascii="宋体" w:hAnsi="宋体" w:eastAsia="宋体" w:cs="Times New Roman"/>
          <w:b/>
          <w:bCs/>
          <w:color w:val="auto"/>
          <w:sz w:val="24"/>
          <w:szCs w:val="24"/>
          <w:highlight w:val="none"/>
          <w:lang w:eastAsia="zh-CN"/>
        </w:rPr>
      </w:pPr>
      <w:r>
        <w:rPr>
          <w:rFonts w:hint="eastAsia" w:ascii="宋体" w:hAnsi="宋体" w:eastAsia="宋体"/>
          <w:b/>
          <w:bCs/>
          <w:color w:val="auto"/>
          <w:sz w:val="24"/>
          <w:szCs w:val="24"/>
          <w:highlight w:val="none"/>
        </w:rPr>
        <w:t>3.6</w:t>
      </w:r>
      <w:r>
        <w:rPr>
          <w:rFonts w:ascii="宋体" w:hAnsi="宋体" w:eastAsia="宋体" w:cs="Times New Roman"/>
          <w:b/>
          <w:bCs/>
          <w:color w:val="auto"/>
          <w:sz w:val="24"/>
          <w:szCs w:val="24"/>
          <w:highlight w:val="none"/>
        </w:rPr>
        <w:t>中小企业声明函</w:t>
      </w:r>
      <w:r>
        <w:rPr>
          <w:rFonts w:hint="eastAsia" w:ascii="宋体" w:hAnsi="宋体" w:eastAsia="宋体" w:cs="Times New Roman"/>
          <w:b/>
          <w:bCs/>
          <w:color w:val="auto"/>
          <w:sz w:val="24"/>
          <w:szCs w:val="24"/>
          <w:highlight w:val="none"/>
          <w:lang w:eastAsia="zh-CN"/>
        </w:rPr>
        <w:t>（</w:t>
      </w:r>
      <w:r>
        <w:rPr>
          <w:rFonts w:hint="eastAsia" w:ascii="宋体" w:hAnsi="宋体" w:eastAsia="宋体" w:cs="Times New Roman"/>
          <w:b/>
          <w:bCs/>
          <w:color w:val="auto"/>
          <w:sz w:val="24"/>
          <w:szCs w:val="24"/>
          <w:highlight w:val="none"/>
          <w:lang w:val="en-US" w:eastAsia="zh-CN"/>
        </w:rPr>
        <w:t>货物</w:t>
      </w:r>
      <w:r>
        <w:rPr>
          <w:rFonts w:hint="eastAsia" w:ascii="宋体" w:hAnsi="宋体" w:eastAsia="宋体" w:cs="Times New Roman"/>
          <w:b/>
          <w:bCs/>
          <w:color w:val="auto"/>
          <w:sz w:val="24"/>
          <w:szCs w:val="24"/>
          <w:highlight w:val="none"/>
          <w:lang w:eastAsia="zh-CN"/>
        </w:rPr>
        <w:t>）</w:t>
      </w:r>
    </w:p>
    <w:p>
      <w:pPr>
        <w:spacing w:line="360" w:lineRule="auto"/>
        <w:jc w:val="center"/>
        <w:rPr>
          <w:rFonts w:ascii="宋体" w:hAnsi="宋体" w:eastAsia="宋体" w:cs="Times New Roman"/>
          <w:b/>
          <w:bCs/>
          <w:color w:val="auto"/>
          <w:szCs w:val="21"/>
          <w:highlight w:val="none"/>
        </w:rPr>
      </w:pPr>
    </w:p>
    <w:p>
      <w:pPr>
        <w:spacing w:line="360" w:lineRule="auto"/>
        <w:ind w:firstLine="420" w:firstLineChars="200"/>
        <w:jc w:val="left"/>
        <w:rPr>
          <w:color w:val="auto"/>
          <w:highlight w:val="none"/>
        </w:rPr>
      </w:pPr>
      <w:r>
        <w:rPr>
          <w:color w:val="auto"/>
          <w:highlight w:val="none"/>
        </w:rPr>
        <w:t>本公司（联合体）郑重声明，根据《政府采购促进中小企业发展管理办法》（财库﹝2020﹞46 号）的规定，本公司（联合体）参加</w:t>
      </w:r>
      <w:r>
        <w:rPr>
          <w:i/>
          <w:color w:val="auto"/>
          <w:highlight w:val="none"/>
          <w:u w:val="single"/>
        </w:rPr>
        <w:t>（单位名称）</w:t>
      </w:r>
      <w:r>
        <w:rPr>
          <w:color w:val="auto"/>
          <w:highlight w:val="none"/>
        </w:rPr>
        <w:t>的</w:t>
      </w:r>
      <w:r>
        <w:rPr>
          <w:i/>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pPr>
        <w:spacing w:line="360" w:lineRule="auto"/>
        <w:ind w:firstLine="420" w:firstLineChars="200"/>
        <w:jc w:val="left"/>
        <w:rPr>
          <w:color w:val="auto"/>
          <w:highlight w:val="none"/>
        </w:rPr>
      </w:pPr>
      <w:r>
        <w:rPr>
          <w:color w:val="auto"/>
          <w:highlight w:val="none"/>
        </w:rPr>
        <w:t xml:space="preserve">1. </w:t>
      </w:r>
      <w:r>
        <w:rPr>
          <w:i/>
          <w:color w:val="auto"/>
          <w:highlight w:val="none"/>
          <w:u w:val="single"/>
        </w:rPr>
        <w:t>（标的名称）</w:t>
      </w:r>
      <w:r>
        <w:rPr>
          <w:color w:val="auto"/>
          <w:highlight w:val="none"/>
        </w:rPr>
        <w:t>，属于</w:t>
      </w:r>
      <w:r>
        <w:rPr>
          <w:i/>
          <w:color w:val="auto"/>
          <w:highlight w:val="none"/>
          <w:u w:val="single"/>
        </w:rPr>
        <w:t>（采购文件中明确的所属行业）</w:t>
      </w:r>
      <w:r>
        <w:rPr>
          <w:color w:val="auto"/>
          <w:highlight w:val="none"/>
        </w:rPr>
        <w:t>行业；制造商为</w:t>
      </w:r>
      <w:r>
        <w:rPr>
          <w:i/>
          <w:color w:val="auto"/>
          <w:highlight w:val="none"/>
          <w:u w:val="single"/>
        </w:rPr>
        <w:t>（企业名称）</w:t>
      </w:r>
      <w:r>
        <w:rPr>
          <w:color w:val="auto"/>
          <w:highlight w:val="none"/>
        </w:rPr>
        <w:t>，从业人员</w:t>
      </w:r>
      <w:r>
        <w:rPr>
          <w:rFonts w:hint="eastAsia"/>
          <w:color w:val="auto"/>
          <w:highlight w:val="none"/>
        </w:rPr>
        <w:t xml:space="preserve">  </w:t>
      </w:r>
      <w:r>
        <w:rPr>
          <w:color w:val="auto"/>
          <w:highlight w:val="none"/>
        </w:rPr>
        <w:t>人，营业收入为</w:t>
      </w:r>
      <w:r>
        <w:rPr>
          <w:rFonts w:hint="eastAsia"/>
          <w:color w:val="auto"/>
          <w:highlight w:val="none"/>
        </w:rPr>
        <w:t xml:space="preserve">   </w:t>
      </w:r>
      <w:r>
        <w:rPr>
          <w:color w:val="auto"/>
          <w:highlight w:val="none"/>
        </w:rPr>
        <w:t>万元，资产总额为</w:t>
      </w:r>
      <w:r>
        <w:rPr>
          <w:rFonts w:hint="eastAsia"/>
          <w:color w:val="auto"/>
          <w:highlight w:val="none"/>
        </w:rPr>
        <w:t xml:space="preserve">   </w:t>
      </w:r>
      <w:r>
        <w:rPr>
          <w:color w:val="auto"/>
          <w:highlight w:val="none"/>
        </w:rPr>
        <w:t>万元，属于</w:t>
      </w:r>
      <w:r>
        <w:rPr>
          <w:i/>
          <w:color w:val="auto"/>
          <w:highlight w:val="none"/>
          <w:u w:val="single"/>
        </w:rPr>
        <w:t>（中型企业、小型企业、微型企业）</w:t>
      </w:r>
      <w:r>
        <w:rPr>
          <w:color w:val="auto"/>
          <w:highlight w:val="none"/>
        </w:rPr>
        <w:t>；</w:t>
      </w:r>
    </w:p>
    <w:p>
      <w:pPr>
        <w:spacing w:line="360" w:lineRule="auto"/>
        <w:ind w:firstLine="420" w:firstLineChars="200"/>
        <w:jc w:val="left"/>
        <w:rPr>
          <w:color w:val="auto"/>
          <w:highlight w:val="none"/>
        </w:rPr>
      </w:pPr>
      <w:r>
        <w:rPr>
          <w:color w:val="auto"/>
          <w:highlight w:val="none"/>
        </w:rPr>
        <w:t xml:space="preserve">2. </w:t>
      </w:r>
      <w:r>
        <w:rPr>
          <w:i/>
          <w:color w:val="auto"/>
          <w:highlight w:val="none"/>
          <w:u w:val="single"/>
        </w:rPr>
        <w:t>（标的名称）</w:t>
      </w:r>
      <w:r>
        <w:rPr>
          <w:color w:val="auto"/>
          <w:highlight w:val="none"/>
        </w:rPr>
        <w:t>，属于</w:t>
      </w:r>
      <w:r>
        <w:rPr>
          <w:i/>
          <w:color w:val="auto"/>
          <w:highlight w:val="none"/>
          <w:u w:val="single"/>
        </w:rPr>
        <w:t>（采购文件中明确的所属行业）</w:t>
      </w:r>
      <w:r>
        <w:rPr>
          <w:color w:val="auto"/>
          <w:highlight w:val="none"/>
        </w:rPr>
        <w:t>行业；制造商为</w:t>
      </w:r>
      <w:r>
        <w:rPr>
          <w:i/>
          <w:color w:val="auto"/>
          <w:highlight w:val="none"/>
          <w:u w:val="single"/>
        </w:rPr>
        <w:t>（企业名称）</w:t>
      </w:r>
      <w:r>
        <w:rPr>
          <w:color w:val="auto"/>
          <w:highlight w:val="none"/>
        </w:rPr>
        <w:t>，从业人员人，营业收入为万元，资产总额为万元，属于</w:t>
      </w:r>
      <w:r>
        <w:rPr>
          <w:i/>
          <w:color w:val="auto"/>
          <w:highlight w:val="none"/>
          <w:u w:val="single"/>
        </w:rPr>
        <w:t>（中型企业、小型企业、微型企业）</w:t>
      </w:r>
      <w:r>
        <w:rPr>
          <w:color w:val="auto"/>
          <w:highlight w:val="none"/>
        </w:rPr>
        <w:t>；</w:t>
      </w:r>
    </w:p>
    <w:p>
      <w:pPr>
        <w:spacing w:line="360" w:lineRule="auto"/>
        <w:ind w:firstLine="707" w:firstLineChars="337"/>
        <w:jc w:val="left"/>
        <w:rPr>
          <w:color w:val="auto"/>
          <w:highlight w:val="none"/>
        </w:rPr>
      </w:pPr>
      <w:r>
        <w:rPr>
          <w:color w:val="auto"/>
          <w:highlight w:val="none"/>
        </w:rPr>
        <w:t xml:space="preserve">…… </w:t>
      </w:r>
    </w:p>
    <w:p>
      <w:pPr>
        <w:spacing w:line="360" w:lineRule="auto"/>
        <w:ind w:firstLine="420" w:firstLineChars="200"/>
        <w:jc w:val="left"/>
        <w:rPr>
          <w:color w:val="auto"/>
          <w:highlight w:val="none"/>
        </w:rPr>
      </w:pPr>
      <w:r>
        <w:rPr>
          <w:color w:val="auto"/>
          <w:highlight w:val="none"/>
        </w:rPr>
        <w:t>以上企业，不属于大企业的分支机构，不存在控股股东为大企业的情形，也不存在与大企业的负责人为同一人的情形。</w:t>
      </w:r>
    </w:p>
    <w:p>
      <w:pPr>
        <w:spacing w:line="360" w:lineRule="auto"/>
        <w:ind w:firstLine="420" w:firstLineChars="200"/>
        <w:jc w:val="left"/>
        <w:rPr>
          <w:color w:val="auto"/>
          <w:highlight w:val="none"/>
        </w:rPr>
      </w:pPr>
      <w:r>
        <w:rPr>
          <w:color w:val="auto"/>
          <w:highlight w:val="none"/>
        </w:rPr>
        <w:t>本企业对上述声明内容的真实性负责。如有虚假，将依法承担相应责任。</w:t>
      </w:r>
    </w:p>
    <w:p>
      <w:pPr>
        <w:spacing w:line="360" w:lineRule="auto"/>
        <w:jc w:val="left"/>
        <w:rPr>
          <w:color w:val="auto"/>
          <w:highlight w:val="none"/>
        </w:rPr>
      </w:pPr>
    </w:p>
    <w:p>
      <w:pPr>
        <w:spacing w:line="480" w:lineRule="auto"/>
        <w:ind w:firstLine="5957" w:firstLineChars="2837"/>
        <w:jc w:val="left"/>
        <w:rPr>
          <w:color w:val="auto"/>
          <w:highlight w:val="none"/>
        </w:rPr>
      </w:pPr>
      <w:r>
        <w:rPr>
          <w:color w:val="auto"/>
          <w:highlight w:val="none"/>
        </w:rPr>
        <w:t>企业名称（盖章）：</w:t>
      </w:r>
    </w:p>
    <w:p>
      <w:pPr>
        <w:spacing w:line="480" w:lineRule="auto"/>
        <w:ind w:firstLine="5957" w:firstLineChars="2837"/>
        <w:jc w:val="left"/>
        <w:rPr>
          <w:rFonts w:cs="Arial" w:asciiTheme="minorEastAsia" w:hAnsiTheme="minorEastAsia"/>
          <w:color w:val="auto"/>
          <w:szCs w:val="21"/>
          <w:highlight w:val="none"/>
        </w:rPr>
      </w:pPr>
      <w:r>
        <w:rPr>
          <w:color w:val="auto"/>
          <w:highlight w:val="none"/>
        </w:rPr>
        <w:t>日期：</w:t>
      </w:r>
    </w:p>
    <w:p>
      <w:pPr>
        <w:widowControl/>
        <w:spacing w:before="100" w:beforeAutospacing="1" w:after="100" w:afterAutospacing="1" w:line="360" w:lineRule="auto"/>
        <w:contextualSpacing/>
        <w:jc w:val="left"/>
        <w:rPr>
          <w:rFonts w:ascii="宋体" w:hAnsi="宋体"/>
          <w:color w:val="auto"/>
          <w:szCs w:val="21"/>
          <w:highlight w:val="none"/>
        </w:rPr>
      </w:pPr>
      <w:r>
        <w:rPr>
          <w:rFonts w:hint="eastAsia" w:ascii="宋体" w:hAnsi="宋体"/>
          <w:color w:val="auto"/>
          <w:szCs w:val="21"/>
          <w:highlight w:val="none"/>
        </w:rPr>
        <w:t>说明：</w:t>
      </w:r>
    </w:p>
    <w:p>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1、</w:t>
      </w:r>
      <w:r>
        <w:rPr>
          <w:color w:val="auto"/>
          <w:highlight w:val="none"/>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2、</w:t>
      </w:r>
      <w:r>
        <w:rPr>
          <w:rFonts w:ascii="宋体" w:hAnsi="宋体" w:cs="Arial"/>
          <w:color w:val="auto"/>
          <w:kern w:val="0"/>
          <w:szCs w:val="21"/>
          <w:highlight w:val="none"/>
        </w:rPr>
        <w:t>中小企业参加政府采购活动，应当出具</w:t>
      </w:r>
      <w:r>
        <w:rPr>
          <w:color w:val="auto"/>
          <w:highlight w:val="none"/>
        </w:rPr>
        <w:t>《中小企业声明函》，否则不得享受相关中小企业扶持政</w:t>
      </w:r>
      <w:r>
        <w:rPr>
          <w:rFonts w:ascii="宋体" w:hAnsi="宋体" w:cs="Arial"/>
          <w:color w:val="auto"/>
          <w:kern w:val="0"/>
          <w:szCs w:val="21"/>
          <w:highlight w:val="none"/>
        </w:rPr>
        <w:t>策。</w:t>
      </w:r>
    </w:p>
    <w:p>
      <w:pPr>
        <w:autoSpaceDE w:val="0"/>
        <w:autoSpaceDN w:val="0"/>
        <w:adjustRightInd w:val="0"/>
        <w:spacing w:line="360" w:lineRule="auto"/>
        <w:jc w:val="center"/>
        <w:outlineLvl w:val="0"/>
        <w:rPr>
          <w:rFonts w:hint="eastAsia" w:ascii="宋体" w:hAnsi="宋体"/>
          <w:b/>
          <w:bCs/>
          <w:color w:val="auto"/>
          <w:sz w:val="24"/>
          <w:szCs w:val="24"/>
          <w:highlight w:val="none"/>
        </w:rPr>
      </w:pPr>
    </w:p>
    <w:p>
      <w:pPr>
        <w:pStyle w:val="30"/>
        <w:ind w:firstLine="340"/>
        <w:rPr>
          <w:rFonts w:hint="eastAsia"/>
          <w:color w:val="auto"/>
          <w:highlight w:val="none"/>
        </w:rPr>
      </w:pPr>
    </w:p>
    <w:p>
      <w:pPr>
        <w:pStyle w:val="32"/>
        <w:ind w:firstLine="480"/>
        <w:rPr>
          <w:rFonts w:hint="eastAsia"/>
          <w:color w:val="auto"/>
          <w:highlight w:val="none"/>
        </w:rPr>
      </w:pPr>
    </w:p>
    <w:p>
      <w:pPr>
        <w:rPr>
          <w:rFonts w:hint="eastAsia"/>
          <w:color w:val="auto"/>
          <w:highlight w:val="none"/>
        </w:rPr>
      </w:pPr>
    </w:p>
    <w:p>
      <w:pPr>
        <w:pStyle w:val="30"/>
        <w:ind w:firstLine="340"/>
        <w:rPr>
          <w:rFonts w:hint="eastAsia"/>
          <w:color w:val="auto"/>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3.7 残疾人福利性单位声明函</w:t>
      </w:r>
    </w:p>
    <w:p>
      <w:pPr>
        <w:spacing w:line="360" w:lineRule="auto"/>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ind w:firstLine="4410" w:firstLineChars="2100"/>
        <w:contextualSpacing/>
        <w:rPr>
          <w:rFonts w:ascii="宋体" w:hAnsi="宋体"/>
          <w:color w:val="auto"/>
          <w:szCs w:val="21"/>
          <w:highlight w:val="none"/>
        </w:rPr>
      </w:pPr>
      <w:r>
        <w:rPr>
          <w:rFonts w:hint="eastAsia" w:cs="宋体" w:asciiTheme="minorEastAsia" w:hAnsiTheme="minorEastAsia"/>
          <w:color w:val="auto"/>
          <w:szCs w:val="21"/>
          <w:highlight w:val="none"/>
          <w:lang w:val="zh-CN"/>
        </w:rPr>
        <w:t>投标人名称（盖章）：</w:t>
      </w:r>
    </w:p>
    <w:p>
      <w:pP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日期：   </w:t>
      </w:r>
      <w:r>
        <w:rPr>
          <w:rFonts w:hint="eastAsia" w:cs="宋体" w:asciiTheme="minorEastAsia" w:hAnsiTheme="minorEastAsia"/>
          <w:color w:val="auto"/>
          <w:szCs w:val="21"/>
          <w:highlight w:val="none"/>
        </w:rPr>
        <w:t>年    月    日</w:t>
      </w:r>
    </w:p>
    <w:p>
      <w:pPr>
        <w:autoSpaceDE w:val="0"/>
        <w:autoSpaceDN w:val="0"/>
        <w:adjustRightInd w:val="0"/>
        <w:spacing w:line="360" w:lineRule="auto"/>
        <w:jc w:val="center"/>
        <w:rPr>
          <w:rFonts w:cs="宋体" w:asciiTheme="minorEastAsia" w:hAnsiTheme="minorEastAsia"/>
          <w:color w:val="auto"/>
          <w:sz w:val="24"/>
          <w:szCs w:val="24"/>
          <w:highlight w:val="none"/>
        </w:rPr>
      </w:pPr>
    </w:p>
    <w:p>
      <w:pPr>
        <w:pStyle w:val="2"/>
        <w:rPr>
          <w:rFonts w:ascii="宋体" w:cs="宋体"/>
          <w:color w:val="auto"/>
          <w:sz w:val="24"/>
          <w:highlight w:val="none"/>
          <w:lang w:val="zh-CN"/>
        </w:rPr>
      </w:pPr>
    </w:p>
    <w:p>
      <w:pPr>
        <w:pStyle w:val="2"/>
        <w:rPr>
          <w:rFonts w:ascii="宋体" w:cs="宋体"/>
          <w:color w:val="auto"/>
          <w:sz w:val="24"/>
          <w:highlight w:val="none"/>
          <w:lang w:val="zh-CN"/>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 xml:space="preserve">3.8其他资格证书或材料 </w:t>
      </w:r>
    </w:p>
    <w:p>
      <w:pPr>
        <w:autoSpaceDE w:val="0"/>
        <w:autoSpaceDN w:val="0"/>
        <w:adjustRightInd w:val="0"/>
        <w:spacing w:line="360" w:lineRule="auto"/>
        <w:rPr>
          <w:rFonts w:cs="黑体" w:asciiTheme="minorEastAsia" w:hAnsiTheme="minorEastAsia"/>
          <w:b/>
          <w:bCs/>
          <w:color w:val="auto"/>
          <w:sz w:val="28"/>
          <w:szCs w:val="28"/>
          <w:highlight w:val="none"/>
          <w:lang w:val="zh-CN"/>
        </w:rPr>
      </w:pPr>
    </w:p>
    <w:p>
      <w:pPr>
        <w:pStyle w:val="2"/>
        <w:rPr>
          <w:rFonts w:hint="eastAsia"/>
          <w:color w:val="auto"/>
          <w:highlight w:val="none"/>
          <w:lang w:val="zh-CN"/>
        </w:rPr>
      </w:pPr>
    </w:p>
    <w:p>
      <w:pPr>
        <w:pStyle w:val="24"/>
        <w:rPr>
          <w:rFonts w:hint="eastAsia"/>
          <w:color w:val="auto"/>
          <w:highlight w:val="none"/>
          <w:lang w:val="zh-CN"/>
        </w:rPr>
      </w:pPr>
    </w:p>
    <w:p>
      <w:pPr>
        <w:pStyle w:val="24"/>
        <w:rPr>
          <w:rFonts w:hint="eastAsia"/>
          <w:color w:val="auto"/>
          <w:highlight w:val="none"/>
          <w:lang w:val="zh-CN"/>
        </w:rPr>
      </w:pPr>
    </w:p>
    <w:p>
      <w:pPr>
        <w:pStyle w:val="24"/>
        <w:rPr>
          <w:color w:val="auto"/>
          <w:highlight w:val="none"/>
          <w:lang w:val="zh-CN"/>
        </w:rPr>
      </w:pPr>
    </w:p>
    <w:p>
      <w:pPr>
        <w:pStyle w:val="25"/>
        <w:rPr>
          <w:color w:val="auto"/>
          <w:highlight w:val="none"/>
          <w:lang w:val="zh-CN"/>
        </w:rPr>
      </w:pPr>
    </w:p>
    <w:p>
      <w:pPr>
        <w:pStyle w:val="26"/>
        <w:rPr>
          <w:highlight w:val="none"/>
          <w:lang w:val="zh-CN"/>
        </w:rPr>
      </w:pPr>
    </w:p>
    <w:p>
      <w:pPr>
        <w:autoSpaceDE w:val="0"/>
        <w:autoSpaceDN w:val="0"/>
        <w:adjustRightInd w:val="0"/>
        <w:spacing w:line="360" w:lineRule="auto"/>
        <w:jc w:val="center"/>
        <w:rPr>
          <w:rFonts w:hAnsi="宋体" w:eastAsia="宋体"/>
          <w:b/>
          <w:snapToGrid w:val="0"/>
          <w:color w:val="auto"/>
          <w:kern w:val="0"/>
          <w:sz w:val="36"/>
          <w:szCs w:val="36"/>
          <w:highlight w:val="none"/>
        </w:rPr>
      </w:pPr>
      <w:r>
        <w:rPr>
          <w:rFonts w:hint="eastAsia" w:cs="黑体" w:asciiTheme="minorEastAsia" w:hAnsiTheme="minorEastAsia"/>
          <w:b/>
          <w:bCs/>
          <w:color w:val="auto"/>
          <w:sz w:val="28"/>
          <w:szCs w:val="28"/>
          <w:highlight w:val="none"/>
          <w:lang w:val="zh-CN"/>
        </w:rPr>
        <w:t>四、符合性审查相关材料</w:t>
      </w:r>
    </w:p>
    <w:p>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4.1分项报价表</w:t>
      </w:r>
    </w:p>
    <w:p>
      <w:pPr>
        <w:pStyle w:val="24"/>
        <w:rPr>
          <w:color w:val="auto"/>
          <w:highlight w:val="none"/>
        </w:rPr>
      </w:pPr>
      <w:r>
        <w:rPr>
          <w:rFonts w:hint="eastAsia"/>
          <w:color w:val="auto"/>
          <w:highlight w:val="none"/>
          <w:lang w:val="en-US" w:eastAsia="zh-CN"/>
        </w:rPr>
        <w:t>项目</w:t>
      </w:r>
      <w:r>
        <w:rPr>
          <w:rFonts w:hint="eastAsia"/>
          <w:color w:val="auto"/>
          <w:highlight w:val="none"/>
        </w:rPr>
        <w:t>编号：</w:t>
      </w:r>
    </w:p>
    <w:p>
      <w:pPr>
        <w:pStyle w:val="24"/>
        <w:rPr>
          <w:color w:val="auto"/>
          <w:highlight w:val="none"/>
        </w:rPr>
      </w:pPr>
      <w:r>
        <w:rPr>
          <w:rFonts w:hint="eastAsia"/>
          <w:color w:val="auto"/>
          <w:highlight w:val="none"/>
        </w:rPr>
        <w:t xml:space="preserve">项目名称：   </w:t>
      </w:r>
    </w:p>
    <w:tbl>
      <w:tblPr>
        <w:tblStyle w:val="33"/>
        <w:tblW w:w="9400" w:type="dxa"/>
        <w:tblInd w:w="0" w:type="dxa"/>
        <w:tblLayout w:type="fixed"/>
        <w:tblCellMar>
          <w:top w:w="0" w:type="dxa"/>
          <w:left w:w="108" w:type="dxa"/>
          <w:bottom w:w="0" w:type="dxa"/>
          <w:right w:w="108" w:type="dxa"/>
        </w:tblCellMar>
      </w:tblPr>
      <w:tblGrid>
        <w:gridCol w:w="534"/>
        <w:gridCol w:w="1134"/>
        <w:gridCol w:w="1500"/>
        <w:gridCol w:w="1260"/>
        <w:gridCol w:w="778"/>
        <w:gridCol w:w="856"/>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24"/>
              <w:rPr>
                <w:color w:val="auto"/>
                <w:highlight w:val="none"/>
                <w:lang w:val="zh-CN"/>
              </w:rPr>
            </w:pPr>
            <w:r>
              <w:rPr>
                <w:rFonts w:hint="eastAsia"/>
                <w:color w:val="auto"/>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24"/>
              <w:rPr>
                <w:color w:val="auto"/>
                <w:highlight w:val="none"/>
                <w:lang w:val="zh-CN"/>
              </w:rPr>
            </w:pPr>
            <w:r>
              <w:rPr>
                <w:rFonts w:hint="eastAsia"/>
                <w:color w:val="auto"/>
                <w:highlight w:val="none"/>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24"/>
              <w:rPr>
                <w:color w:val="auto"/>
                <w:highlight w:val="none"/>
                <w:lang w:val="zh-CN"/>
              </w:rPr>
            </w:pPr>
            <w:r>
              <w:rPr>
                <w:rFonts w:hint="eastAsia"/>
                <w:color w:val="auto"/>
                <w:highlight w:val="none"/>
                <w:lang w:val="zh-CN"/>
              </w:rPr>
              <w:t>品牌</w:t>
            </w:r>
          </w:p>
          <w:p>
            <w:pPr>
              <w:pStyle w:val="24"/>
              <w:rPr>
                <w:color w:val="auto"/>
                <w:highlight w:val="none"/>
                <w:lang w:val="zh-CN"/>
              </w:rPr>
            </w:pPr>
            <w:r>
              <w:rPr>
                <w:rFonts w:hint="eastAsia"/>
                <w:color w:val="auto"/>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24"/>
              <w:rPr>
                <w:color w:val="auto"/>
                <w:highlight w:val="none"/>
                <w:lang w:val="zh-CN"/>
              </w:rPr>
            </w:pPr>
            <w:r>
              <w:rPr>
                <w:rFonts w:hint="eastAsia"/>
                <w:color w:val="auto"/>
                <w:highlight w:val="none"/>
                <w:lang w:val="zh-CN"/>
              </w:rPr>
              <w:t>技术</w:t>
            </w:r>
          </w:p>
          <w:p>
            <w:pPr>
              <w:pStyle w:val="24"/>
              <w:rPr>
                <w:color w:val="auto"/>
                <w:highlight w:val="none"/>
                <w:lang w:val="zh-CN"/>
              </w:rPr>
            </w:pPr>
            <w:r>
              <w:rPr>
                <w:rFonts w:hint="eastAsia"/>
                <w:color w:val="auto"/>
                <w:highlight w:val="none"/>
                <w:lang w:val="zh-CN"/>
              </w:rPr>
              <w:t>参数</w:t>
            </w:r>
          </w:p>
        </w:tc>
        <w:tc>
          <w:tcPr>
            <w:tcW w:w="77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24"/>
              <w:rPr>
                <w:color w:val="auto"/>
                <w:highlight w:val="none"/>
                <w:lang w:val="zh-CN"/>
              </w:rPr>
            </w:pPr>
            <w:r>
              <w:rPr>
                <w:rFonts w:hint="eastAsia"/>
                <w:color w:val="auto"/>
                <w:highlight w:val="none"/>
                <w:lang w:val="zh-CN"/>
              </w:rPr>
              <w:t>单位</w:t>
            </w:r>
          </w:p>
        </w:tc>
        <w:tc>
          <w:tcPr>
            <w:tcW w:w="85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24"/>
              <w:rPr>
                <w:color w:val="auto"/>
                <w:highlight w:val="none"/>
                <w:lang w:val="zh-CN"/>
              </w:rPr>
            </w:pPr>
            <w:r>
              <w:rPr>
                <w:rFonts w:hint="eastAsia"/>
                <w:color w:val="auto"/>
                <w:highlight w:val="none"/>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24"/>
              <w:rPr>
                <w:color w:val="auto"/>
                <w:highlight w:val="none"/>
                <w:lang w:val="zh-CN"/>
              </w:rPr>
            </w:pPr>
            <w:r>
              <w:rPr>
                <w:rFonts w:hint="eastAsia"/>
                <w:color w:val="auto"/>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24"/>
              <w:rPr>
                <w:color w:val="auto"/>
                <w:highlight w:val="none"/>
                <w:lang w:val="zh-CN"/>
              </w:rPr>
            </w:pPr>
            <w:r>
              <w:rPr>
                <w:rFonts w:hint="eastAsia"/>
                <w:color w:val="auto"/>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24"/>
              <w:rPr>
                <w:rFonts w:hint="eastAsia"/>
                <w:color w:val="auto"/>
                <w:highlight w:val="none"/>
                <w:lang w:val="zh-CN"/>
              </w:rPr>
            </w:pPr>
            <w:r>
              <w:rPr>
                <w:rFonts w:hint="eastAsia"/>
                <w:color w:val="auto"/>
                <w:highlight w:val="none"/>
                <w:lang w:val="zh-CN"/>
              </w:rPr>
              <w:t>厂家</w:t>
            </w:r>
          </w:p>
          <w:p>
            <w:pPr>
              <w:pStyle w:val="24"/>
              <w:rPr>
                <w:rFonts w:hint="default" w:eastAsiaTheme="minorEastAsia"/>
                <w:color w:val="auto"/>
                <w:highlight w:val="none"/>
                <w:lang w:val="en-US" w:eastAsia="zh-CN"/>
              </w:rPr>
            </w:pPr>
            <w:r>
              <w:rPr>
                <w:rFonts w:hint="eastAsia"/>
                <w:color w:val="auto"/>
                <w:highlight w:val="none"/>
                <w:lang w:val="en-US" w:eastAsia="zh-CN"/>
              </w:rPr>
              <w:t>产地</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24"/>
              <w:rPr>
                <w:color w:val="auto"/>
                <w:highlight w:val="none"/>
              </w:rPr>
            </w:pPr>
            <w:r>
              <w:rPr>
                <w:rFonts w:hint="eastAsia"/>
                <w:color w:val="auto"/>
                <w:highlight w:val="none"/>
              </w:rPr>
              <w:t>1</w:t>
            </w:r>
          </w:p>
        </w:tc>
        <w:tc>
          <w:tcPr>
            <w:tcW w:w="1134" w:type="dxa"/>
            <w:tcBorders>
              <w:top w:val="single" w:color="auto" w:sz="6" w:space="0"/>
              <w:left w:val="single" w:color="auto" w:sz="6" w:space="0"/>
              <w:bottom w:val="single" w:color="auto" w:sz="6" w:space="0"/>
              <w:right w:val="single" w:color="auto" w:sz="6" w:space="0"/>
            </w:tcBorders>
          </w:tcPr>
          <w:p>
            <w:pPr>
              <w:pStyle w:val="24"/>
              <w:rPr>
                <w:color w:val="auto"/>
                <w:highlight w:val="none"/>
              </w:rPr>
            </w:pPr>
          </w:p>
        </w:tc>
        <w:tc>
          <w:tcPr>
            <w:tcW w:w="1500" w:type="dxa"/>
            <w:tcBorders>
              <w:top w:val="single" w:color="auto" w:sz="6" w:space="0"/>
              <w:left w:val="single" w:color="auto" w:sz="6" w:space="0"/>
              <w:bottom w:val="single" w:color="auto" w:sz="6" w:space="0"/>
              <w:right w:val="single" w:color="auto" w:sz="6" w:space="0"/>
            </w:tcBorders>
          </w:tcPr>
          <w:p>
            <w:pPr>
              <w:pStyle w:val="24"/>
              <w:rPr>
                <w:color w:val="auto"/>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24"/>
              <w:rPr>
                <w:color w:val="auto"/>
                <w:highlight w:val="none"/>
              </w:rPr>
            </w:pPr>
          </w:p>
        </w:tc>
        <w:tc>
          <w:tcPr>
            <w:tcW w:w="778" w:type="dxa"/>
            <w:tcBorders>
              <w:top w:val="single" w:color="auto" w:sz="6" w:space="0"/>
              <w:left w:val="single" w:color="auto" w:sz="6" w:space="0"/>
              <w:bottom w:val="single" w:color="auto" w:sz="6" w:space="0"/>
              <w:right w:val="single" w:color="auto" w:sz="6" w:space="0"/>
            </w:tcBorders>
          </w:tcPr>
          <w:p>
            <w:pPr>
              <w:pStyle w:val="24"/>
              <w:rPr>
                <w:color w:val="auto"/>
                <w:highlight w:val="none"/>
              </w:rPr>
            </w:pPr>
          </w:p>
        </w:tc>
        <w:tc>
          <w:tcPr>
            <w:tcW w:w="856" w:type="dxa"/>
            <w:tcBorders>
              <w:top w:val="single" w:color="auto" w:sz="6" w:space="0"/>
              <w:left w:val="single" w:color="auto" w:sz="6" w:space="0"/>
              <w:bottom w:val="single" w:color="auto" w:sz="6" w:space="0"/>
              <w:right w:val="single" w:color="auto" w:sz="6" w:space="0"/>
            </w:tcBorders>
          </w:tcPr>
          <w:p>
            <w:pPr>
              <w:pStyle w:val="24"/>
              <w:rPr>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pStyle w:val="24"/>
              <w:rPr>
                <w:color w:val="auto"/>
                <w:highlight w:val="none"/>
              </w:rPr>
            </w:pPr>
          </w:p>
        </w:tc>
        <w:tc>
          <w:tcPr>
            <w:tcW w:w="1080" w:type="dxa"/>
            <w:tcBorders>
              <w:top w:val="single" w:color="auto" w:sz="6" w:space="0"/>
              <w:left w:val="single" w:color="auto" w:sz="6" w:space="0"/>
              <w:bottom w:val="single" w:color="auto" w:sz="6" w:space="0"/>
              <w:right w:val="single" w:color="auto" w:sz="6" w:space="0"/>
            </w:tcBorders>
          </w:tcPr>
          <w:p>
            <w:pPr>
              <w:pStyle w:val="24"/>
              <w:rPr>
                <w:color w:val="auto"/>
                <w:highlight w:val="none"/>
              </w:rPr>
            </w:pPr>
          </w:p>
        </w:tc>
        <w:tc>
          <w:tcPr>
            <w:tcW w:w="1192" w:type="dxa"/>
            <w:tcBorders>
              <w:top w:val="single" w:color="auto" w:sz="6" w:space="0"/>
              <w:left w:val="single" w:color="auto" w:sz="6" w:space="0"/>
              <w:bottom w:val="single" w:color="auto" w:sz="6" w:space="0"/>
              <w:right w:val="single" w:color="auto" w:sz="6" w:space="0"/>
            </w:tcBorders>
          </w:tcPr>
          <w:p>
            <w:pPr>
              <w:pStyle w:val="24"/>
              <w:rPr>
                <w:color w:val="auto"/>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24"/>
              <w:rPr>
                <w:color w:val="auto"/>
                <w:highlight w:val="none"/>
              </w:rPr>
            </w:pPr>
            <w:r>
              <w:rPr>
                <w:rFonts w:hint="eastAsia"/>
                <w:color w:val="auto"/>
                <w:highlight w:val="none"/>
              </w:rPr>
              <w:t>2</w:t>
            </w:r>
          </w:p>
        </w:tc>
        <w:tc>
          <w:tcPr>
            <w:tcW w:w="1134" w:type="dxa"/>
            <w:tcBorders>
              <w:top w:val="single" w:color="auto" w:sz="6" w:space="0"/>
              <w:left w:val="single" w:color="auto" w:sz="6" w:space="0"/>
              <w:bottom w:val="single" w:color="auto" w:sz="6" w:space="0"/>
              <w:right w:val="single" w:color="auto" w:sz="6" w:space="0"/>
            </w:tcBorders>
          </w:tcPr>
          <w:p>
            <w:pPr>
              <w:pStyle w:val="24"/>
              <w:rPr>
                <w:color w:val="auto"/>
                <w:highlight w:val="none"/>
              </w:rPr>
            </w:pPr>
          </w:p>
        </w:tc>
        <w:tc>
          <w:tcPr>
            <w:tcW w:w="1500" w:type="dxa"/>
            <w:tcBorders>
              <w:top w:val="single" w:color="auto" w:sz="6" w:space="0"/>
              <w:left w:val="single" w:color="auto" w:sz="6" w:space="0"/>
              <w:bottom w:val="single" w:color="auto" w:sz="6" w:space="0"/>
              <w:right w:val="single" w:color="auto" w:sz="6" w:space="0"/>
            </w:tcBorders>
          </w:tcPr>
          <w:p>
            <w:pPr>
              <w:pStyle w:val="24"/>
              <w:rPr>
                <w:color w:val="auto"/>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24"/>
              <w:rPr>
                <w:color w:val="auto"/>
                <w:highlight w:val="none"/>
              </w:rPr>
            </w:pPr>
          </w:p>
        </w:tc>
        <w:tc>
          <w:tcPr>
            <w:tcW w:w="778" w:type="dxa"/>
            <w:tcBorders>
              <w:top w:val="single" w:color="auto" w:sz="6" w:space="0"/>
              <w:left w:val="single" w:color="auto" w:sz="6" w:space="0"/>
              <w:bottom w:val="single" w:color="auto" w:sz="6" w:space="0"/>
              <w:right w:val="single" w:color="auto" w:sz="6" w:space="0"/>
            </w:tcBorders>
          </w:tcPr>
          <w:p>
            <w:pPr>
              <w:pStyle w:val="24"/>
              <w:rPr>
                <w:color w:val="auto"/>
                <w:highlight w:val="none"/>
              </w:rPr>
            </w:pPr>
          </w:p>
        </w:tc>
        <w:tc>
          <w:tcPr>
            <w:tcW w:w="856" w:type="dxa"/>
            <w:tcBorders>
              <w:top w:val="single" w:color="auto" w:sz="6" w:space="0"/>
              <w:left w:val="single" w:color="auto" w:sz="6" w:space="0"/>
              <w:bottom w:val="single" w:color="auto" w:sz="6" w:space="0"/>
              <w:right w:val="single" w:color="auto" w:sz="6" w:space="0"/>
            </w:tcBorders>
          </w:tcPr>
          <w:p>
            <w:pPr>
              <w:pStyle w:val="24"/>
              <w:rPr>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pStyle w:val="24"/>
              <w:rPr>
                <w:color w:val="auto"/>
                <w:highlight w:val="none"/>
              </w:rPr>
            </w:pPr>
          </w:p>
        </w:tc>
        <w:tc>
          <w:tcPr>
            <w:tcW w:w="1080" w:type="dxa"/>
            <w:tcBorders>
              <w:top w:val="single" w:color="auto" w:sz="6" w:space="0"/>
              <w:left w:val="single" w:color="auto" w:sz="6" w:space="0"/>
              <w:bottom w:val="single" w:color="auto" w:sz="6" w:space="0"/>
              <w:right w:val="single" w:color="auto" w:sz="6" w:space="0"/>
            </w:tcBorders>
          </w:tcPr>
          <w:p>
            <w:pPr>
              <w:pStyle w:val="24"/>
              <w:rPr>
                <w:color w:val="auto"/>
                <w:highlight w:val="none"/>
              </w:rPr>
            </w:pPr>
          </w:p>
        </w:tc>
        <w:tc>
          <w:tcPr>
            <w:tcW w:w="1192" w:type="dxa"/>
            <w:tcBorders>
              <w:top w:val="single" w:color="auto" w:sz="6" w:space="0"/>
              <w:left w:val="single" w:color="auto" w:sz="6" w:space="0"/>
              <w:bottom w:val="single" w:color="auto" w:sz="6" w:space="0"/>
              <w:right w:val="single" w:color="auto" w:sz="6" w:space="0"/>
            </w:tcBorders>
          </w:tcPr>
          <w:p>
            <w:pPr>
              <w:pStyle w:val="24"/>
              <w:rPr>
                <w:color w:val="auto"/>
                <w:highlight w:val="none"/>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24"/>
              <w:rPr>
                <w:color w:val="auto"/>
                <w:highlight w:val="none"/>
              </w:rPr>
            </w:pPr>
            <w:r>
              <w:rPr>
                <w:rFonts w:hint="eastAsia"/>
                <w:color w:val="auto"/>
                <w:highlight w:val="none"/>
              </w:rPr>
              <w:t>…</w:t>
            </w:r>
          </w:p>
        </w:tc>
        <w:tc>
          <w:tcPr>
            <w:tcW w:w="1134" w:type="dxa"/>
            <w:tcBorders>
              <w:top w:val="single" w:color="auto" w:sz="6" w:space="0"/>
              <w:left w:val="single" w:color="auto" w:sz="6" w:space="0"/>
              <w:bottom w:val="single" w:color="auto" w:sz="6" w:space="0"/>
              <w:right w:val="single" w:color="auto" w:sz="6" w:space="0"/>
            </w:tcBorders>
          </w:tcPr>
          <w:p>
            <w:pPr>
              <w:pStyle w:val="24"/>
              <w:rPr>
                <w:color w:val="auto"/>
                <w:highlight w:val="none"/>
              </w:rPr>
            </w:pPr>
          </w:p>
        </w:tc>
        <w:tc>
          <w:tcPr>
            <w:tcW w:w="1500" w:type="dxa"/>
            <w:tcBorders>
              <w:top w:val="single" w:color="auto" w:sz="6" w:space="0"/>
              <w:left w:val="single" w:color="auto" w:sz="6" w:space="0"/>
              <w:bottom w:val="single" w:color="auto" w:sz="6" w:space="0"/>
              <w:right w:val="single" w:color="auto" w:sz="6" w:space="0"/>
            </w:tcBorders>
          </w:tcPr>
          <w:p>
            <w:pPr>
              <w:pStyle w:val="24"/>
              <w:rPr>
                <w:color w:val="auto"/>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24"/>
              <w:rPr>
                <w:color w:val="auto"/>
                <w:highlight w:val="none"/>
              </w:rPr>
            </w:pPr>
          </w:p>
        </w:tc>
        <w:tc>
          <w:tcPr>
            <w:tcW w:w="778" w:type="dxa"/>
            <w:tcBorders>
              <w:top w:val="single" w:color="auto" w:sz="6" w:space="0"/>
              <w:left w:val="single" w:color="auto" w:sz="6" w:space="0"/>
              <w:bottom w:val="single" w:color="auto" w:sz="6" w:space="0"/>
              <w:right w:val="single" w:color="auto" w:sz="6" w:space="0"/>
            </w:tcBorders>
          </w:tcPr>
          <w:p>
            <w:pPr>
              <w:pStyle w:val="24"/>
              <w:rPr>
                <w:color w:val="auto"/>
                <w:highlight w:val="none"/>
              </w:rPr>
            </w:pPr>
          </w:p>
        </w:tc>
        <w:tc>
          <w:tcPr>
            <w:tcW w:w="856" w:type="dxa"/>
            <w:tcBorders>
              <w:top w:val="single" w:color="auto" w:sz="6" w:space="0"/>
              <w:left w:val="single" w:color="auto" w:sz="6" w:space="0"/>
              <w:bottom w:val="single" w:color="auto" w:sz="6" w:space="0"/>
              <w:right w:val="single" w:color="auto" w:sz="6" w:space="0"/>
            </w:tcBorders>
          </w:tcPr>
          <w:p>
            <w:pPr>
              <w:pStyle w:val="24"/>
              <w:rPr>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pStyle w:val="24"/>
              <w:rPr>
                <w:color w:val="auto"/>
                <w:highlight w:val="none"/>
              </w:rPr>
            </w:pPr>
          </w:p>
        </w:tc>
        <w:tc>
          <w:tcPr>
            <w:tcW w:w="1080" w:type="dxa"/>
            <w:tcBorders>
              <w:top w:val="single" w:color="auto" w:sz="6" w:space="0"/>
              <w:left w:val="single" w:color="auto" w:sz="6" w:space="0"/>
              <w:bottom w:val="single" w:color="auto" w:sz="6" w:space="0"/>
              <w:right w:val="single" w:color="auto" w:sz="6" w:space="0"/>
            </w:tcBorders>
          </w:tcPr>
          <w:p>
            <w:pPr>
              <w:pStyle w:val="24"/>
              <w:rPr>
                <w:color w:val="auto"/>
                <w:highlight w:val="none"/>
              </w:rPr>
            </w:pPr>
          </w:p>
        </w:tc>
        <w:tc>
          <w:tcPr>
            <w:tcW w:w="1192" w:type="dxa"/>
            <w:tcBorders>
              <w:top w:val="single" w:color="auto" w:sz="6" w:space="0"/>
              <w:left w:val="single" w:color="auto" w:sz="6" w:space="0"/>
              <w:bottom w:val="single" w:color="auto" w:sz="6" w:space="0"/>
              <w:right w:val="single" w:color="auto" w:sz="6" w:space="0"/>
            </w:tcBorders>
          </w:tcPr>
          <w:p>
            <w:pPr>
              <w:pStyle w:val="24"/>
              <w:rPr>
                <w:color w:val="auto"/>
                <w:highlight w:val="none"/>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pStyle w:val="24"/>
              <w:rPr>
                <w:color w:val="auto"/>
                <w:highlight w:val="none"/>
              </w:rPr>
            </w:pPr>
            <w:r>
              <w:rPr>
                <w:rFonts w:hint="eastAsia"/>
                <w:color w:val="auto"/>
                <w:highlight w:val="none"/>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pStyle w:val="24"/>
              <w:rPr>
                <w:color w:val="auto"/>
                <w:highlight w:val="none"/>
                <w:lang w:val="zh-CN"/>
              </w:rPr>
            </w:pPr>
            <w:r>
              <w:rPr>
                <w:rFonts w:hint="eastAsia"/>
                <w:color w:val="auto"/>
                <w:highlight w:val="none"/>
                <w:lang w:val="zh-CN"/>
              </w:rPr>
              <w:t>大写：　　　　　　小写：</w:t>
            </w:r>
          </w:p>
        </w:tc>
      </w:tr>
    </w:tbl>
    <w:p>
      <w:pPr>
        <w:widowControl/>
        <w:ind w:firstLine="480" w:firstLineChars="200"/>
        <w:jc w:val="left"/>
        <w:rPr>
          <w:rFonts w:ascii="宋体" w:hAnsi="宋体"/>
          <w:color w:val="auto"/>
          <w:kern w:val="0"/>
          <w:sz w:val="24"/>
          <w:highlight w:val="none"/>
        </w:rPr>
      </w:pPr>
    </w:p>
    <w:p>
      <w:pPr>
        <w:widowControl/>
        <w:ind w:firstLine="480" w:firstLineChars="200"/>
        <w:jc w:val="left"/>
        <w:rPr>
          <w:rFonts w:hint="eastAsia" w:ascii="宋体" w:hAnsi="宋体" w:eastAsiaTheme="minorEastAsia" w:cstheme="minorBidi"/>
          <w:color w:val="auto"/>
          <w:kern w:val="0"/>
          <w:sz w:val="24"/>
          <w:szCs w:val="22"/>
          <w:highlight w:val="none"/>
          <w:lang w:val="zh-CN" w:eastAsia="zh-CN" w:bidi="ar-SA"/>
        </w:rPr>
      </w:pPr>
      <w:r>
        <w:rPr>
          <w:rFonts w:hint="eastAsia" w:ascii="宋体" w:hAnsi="宋体" w:eastAsiaTheme="minorEastAsia" w:cstheme="minorBidi"/>
          <w:color w:val="auto"/>
          <w:kern w:val="0"/>
          <w:sz w:val="24"/>
          <w:szCs w:val="22"/>
          <w:highlight w:val="none"/>
          <w:lang w:val="en-US" w:eastAsia="zh-CN" w:bidi="ar-SA"/>
        </w:rPr>
        <w:t xml:space="preserve">备注： </w:t>
      </w:r>
    </w:p>
    <w:p>
      <w:pPr>
        <w:widowControl/>
        <w:ind w:firstLine="480" w:firstLineChars="200"/>
        <w:jc w:val="left"/>
        <w:rPr>
          <w:rFonts w:hint="eastAsia" w:ascii="宋体" w:hAnsi="宋体" w:eastAsiaTheme="minorEastAsia" w:cstheme="minorBidi"/>
          <w:color w:val="auto"/>
          <w:kern w:val="0"/>
          <w:sz w:val="24"/>
          <w:szCs w:val="22"/>
          <w:highlight w:val="none"/>
          <w:lang w:val="zh-CN" w:eastAsia="zh-CN" w:bidi="ar-SA"/>
        </w:rPr>
      </w:pPr>
      <w:r>
        <w:rPr>
          <w:rFonts w:hint="eastAsia" w:ascii="宋体" w:hAnsi="宋体" w:eastAsiaTheme="minorEastAsia" w:cstheme="minorBidi"/>
          <w:color w:val="auto"/>
          <w:kern w:val="0"/>
          <w:sz w:val="24"/>
          <w:szCs w:val="22"/>
          <w:highlight w:val="none"/>
          <w:lang w:val="en-US" w:eastAsia="zh-CN" w:bidi="ar-SA"/>
        </w:rPr>
        <w:t xml:space="preserve">1、价格包含设备制造费、包装费、运杂费、卸车费、检验费、税费、设备采购管理费、以及提供基础设计条件和技术服务、性能考核等响应招标文件内容的所有费用。 </w:t>
      </w:r>
    </w:p>
    <w:p>
      <w:pPr>
        <w:widowControl/>
        <w:ind w:firstLine="480" w:firstLineChars="200"/>
        <w:jc w:val="left"/>
        <w:rPr>
          <w:rFonts w:hint="eastAsia" w:ascii="宋体" w:hAnsi="宋体" w:eastAsiaTheme="minorEastAsia" w:cstheme="minorBidi"/>
          <w:color w:val="auto"/>
          <w:kern w:val="0"/>
          <w:sz w:val="24"/>
          <w:szCs w:val="22"/>
          <w:highlight w:val="none"/>
          <w:lang w:val="zh-CN" w:eastAsia="zh-CN" w:bidi="ar-SA"/>
        </w:rPr>
      </w:pPr>
      <w:r>
        <w:rPr>
          <w:rFonts w:hint="eastAsia" w:ascii="宋体" w:hAnsi="宋体" w:eastAsiaTheme="minorEastAsia" w:cstheme="minorBidi"/>
          <w:color w:val="auto"/>
          <w:kern w:val="0"/>
          <w:sz w:val="24"/>
          <w:szCs w:val="22"/>
          <w:highlight w:val="none"/>
          <w:lang w:val="en-US" w:eastAsia="zh-CN" w:bidi="ar-SA"/>
        </w:rPr>
        <w:t xml:space="preserve">2、投标人须明确投标产品的品牌、规格型号、厂家、产地。 </w:t>
      </w:r>
    </w:p>
    <w:p>
      <w:pPr>
        <w:widowControl/>
        <w:ind w:firstLine="480" w:firstLineChars="200"/>
        <w:jc w:val="left"/>
        <w:rPr>
          <w:rFonts w:hint="eastAsia" w:ascii="宋体" w:hAnsi="宋体" w:eastAsiaTheme="minorEastAsia" w:cstheme="minorBidi"/>
          <w:color w:val="auto"/>
          <w:kern w:val="0"/>
          <w:sz w:val="24"/>
          <w:szCs w:val="22"/>
          <w:highlight w:val="none"/>
          <w:lang w:val="zh-CN" w:eastAsia="zh-CN" w:bidi="ar-SA"/>
        </w:rPr>
      </w:pPr>
      <w:r>
        <w:rPr>
          <w:rFonts w:hint="eastAsia" w:ascii="宋体" w:hAnsi="宋体" w:eastAsiaTheme="minorEastAsia" w:cstheme="minorBidi"/>
          <w:color w:val="auto"/>
          <w:kern w:val="0"/>
          <w:sz w:val="24"/>
          <w:szCs w:val="22"/>
          <w:highlight w:val="none"/>
          <w:lang w:val="en-US" w:eastAsia="zh-CN" w:bidi="ar-SA"/>
        </w:rPr>
        <w:t xml:space="preserve">3、投标人必须按“一票制结算”进行投标报价。 </w:t>
      </w:r>
    </w:p>
    <w:p>
      <w:pPr>
        <w:pStyle w:val="24"/>
        <w:rPr>
          <w:color w:val="auto"/>
          <w:highlight w:val="none"/>
          <w:lang w:val="zh-CN"/>
        </w:rPr>
      </w:pPr>
    </w:p>
    <w:p>
      <w:pPr>
        <w:pStyle w:val="24"/>
        <w:rPr>
          <w:color w:val="auto"/>
          <w:highlight w:val="none"/>
          <w:lang w:val="zh-CN"/>
        </w:rPr>
      </w:pPr>
      <w:r>
        <w:rPr>
          <w:rFonts w:hint="eastAsia"/>
          <w:color w:val="auto"/>
          <w:highlight w:val="none"/>
          <w:lang w:val="zh-CN"/>
        </w:rPr>
        <w:t>投标人（并加盖公章）：</w:t>
      </w:r>
    </w:p>
    <w:p>
      <w:pPr>
        <w:pStyle w:val="24"/>
        <w:rPr>
          <w:color w:val="auto"/>
          <w:highlight w:val="none"/>
          <w:lang w:val="zh-CN"/>
        </w:rPr>
      </w:pPr>
      <w:r>
        <w:rPr>
          <w:rFonts w:hint="eastAsia"/>
          <w:color w:val="auto"/>
          <w:highlight w:val="none"/>
          <w:lang w:val="zh-CN"/>
        </w:rPr>
        <w:t xml:space="preserve">投标人法定代表人（单位负责人）或授权代表签字： </w:t>
      </w:r>
    </w:p>
    <w:p>
      <w:pP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日期：   </w:t>
      </w:r>
      <w:r>
        <w:rPr>
          <w:rFonts w:hint="eastAsia" w:cs="宋体" w:asciiTheme="minorEastAsia" w:hAnsiTheme="minorEastAsia"/>
          <w:color w:val="auto"/>
          <w:szCs w:val="21"/>
          <w:highlight w:val="none"/>
        </w:rPr>
        <w:t>年    月    日</w:t>
      </w: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4.2 技术规格偏离表</w:t>
      </w:r>
    </w:p>
    <w:p>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pPr>
        <w:autoSpaceDE w:val="0"/>
        <w:autoSpaceDN w:val="0"/>
        <w:adjustRightInd w:val="0"/>
        <w:spacing w:line="360" w:lineRule="auto"/>
        <w:outlineLvl w:val="0"/>
        <w:rPr>
          <w:rFonts w:asciiTheme="minorEastAsia" w:hAnsiTheme="minorEastAsia"/>
          <w:color w:val="auto"/>
          <w:szCs w:val="21"/>
          <w:highlight w:val="none"/>
        </w:rPr>
      </w:pPr>
      <w:r>
        <w:rPr>
          <w:rFonts w:hint="eastAsia" w:asciiTheme="minorEastAsia" w:hAnsiTheme="minorEastAsia"/>
          <w:color w:val="auto"/>
          <w:szCs w:val="21"/>
          <w:highlight w:val="none"/>
        </w:rPr>
        <w:t xml:space="preserve">项目名称：   </w:t>
      </w:r>
    </w:p>
    <w:tbl>
      <w:tblPr>
        <w:tblStyle w:val="33"/>
        <w:tblW w:w="8046" w:type="dxa"/>
        <w:tblInd w:w="0" w:type="dxa"/>
        <w:tblLayout w:type="fixed"/>
        <w:tblCellMar>
          <w:top w:w="0" w:type="dxa"/>
          <w:left w:w="108" w:type="dxa"/>
          <w:bottom w:w="0" w:type="dxa"/>
          <w:right w:w="108" w:type="dxa"/>
        </w:tblCellMar>
      </w:tblPr>
      <w:tblGrid>
        <w:gridCol w:w="675"/>
        <w:gridCol w:w="1418"/>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货物</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服务</w:t>
            </w:r>
          </w:p>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w:t>
            </w:r>
          </w:p>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投标技术</w:t>
            </w:r>
          </w:p>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偏离</w:t>
            </w:r>
          </w:p>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偏离内容</w:t>
            </w:r>
          </w:p>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color w:val="auto"/>
                <w:szCs w:val="21"/>
                <w:highlight w:val="none"/>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color w:val="auto"/>
                <w:szCs w:val="21"/>
                <w:highlight w:val="none"/>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color w:val="auto"/>
                <w:szCs w:val="21"/>
                <w:highlight w:val="none"/>
              </w:rPr>
            </w:pPr>
            <w:r>
              <w:rPr>
                <w:rFonts w:hint="eastAsia" w:ascii="宋体" w:hAnsi="宋体" w:eastAsia="宋体" w:cs="Times New Roman"/>
                <w:color w:val="auto"/>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Times New Roman"/>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
                <w:bCs/>
                <w:color w:val="auto"/>
                <w:szCs w:val="21"/>
                <w:highlight w:val="none"/>
              </w:rPr>
            </w:pPr>
          </w:p>
        </w:tc>
      </w:tr>
    </w:tbl>
    <w:p>
      <w:pPr>
        <w:autoSpaceDE w:val="0"/>
        <w:autoSpaceDN w:val="0"/>
        <w:adjustRightInd w:val="0"/>
        <w:spacing w:line="480" w:lineRule="auto"/>
        <w:rPr>
          <w:rFonts w:cs="宋体" w:asciiTheme="minorEastAsia" w:hAnsiTheme="minorEastAsia"/>
          <w:color w:val="auto"/>
          <w:szCs w:val="21"/>
          <w:highlight w:val="none"/>
          <w:lang w:val="zh-CN"/>
        </w:rPr>
      </w:pPr>
    </w:p>
    <w:p>
      <w:pPr>
        <w:spacing w:line="360" w:lineRule="auto"/>
        <w:ind w:firstLine="4410" w:firstLineChars="2100"/>
        <w:contextualSpacing/>
        <w:rPr>
          <w:rFonts w:ascii="宋体" w:hAnsi="宋体"/>
          <w:color w:val="auto"/>
          <w:szCs w:val="21"/>
          <w:highlight w:val="none"/>
        </w:rPr>
      </w:pPr>
      <w:r>
        <w:rPr>
          <w:rFonts w:hint="eastAsia" w:cs="宋体" w:asciiTheme="minorEastAsia" w:hAnsiTheme="minorEastAsia"/>
          <w:color w:val="auto"/>
          <w:szCs w:val="21"/>
          <w:highlight w:val="none"/>
          <w:lang w:val="zh-CN"/>
        </w:rPr>
        <w:t>投标人名称（盖章）：</w:t>
      </w:r>
    </w:p>
    <w:p>
      <w:pP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日期：   </w:t>
      </w:r>
      <w:r>
        <w:rPr>
          <w:rFonts w:hint="eastAsia" w:cs="宋体" w:asciiTheme="minorEastAsia" w:hAnsiTheme="minorEastAsia"/>
          <w:color w:val="auto"/>
          <w:szCs w:val="21"/>
          <w:highlight w:val="none"/>
        </w:rPr>
        <w:t>年    月    日</w:t>
      </w:r>
    </w:p>
    <w:p>
      <w:pPr>
        <w:pStyle w:val="30"/>
        <w:ind w:firstLine="0" w:firstLineChars="0"/>
        <w:rPr>
          <w:color w:val="auto"/>
          <w:highlight w:val="none"/>
          <w:lang w:val="zh-CN"/>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4.3 技术方案（实施方案）</w:t>
      </w:r>
    </w:p>
    <w:p>
      <w:pPr>
        <w:snapToGrid w:val="0"/>
        <w:spacing w:line="360" w:lineRule="auto"/>
        <w:jc w:val="center"/>
        <w:rPr>
          <w:rFonts w:hAnsi="宋体" w:eastAsia="宋体"/>
          <w:b/>
          <w:snapToGrid w:val="0"/>
          <w:color w:val="auto"/>
          <w:kern w:val="0"/>
          <w:sz w:val="36"/>
          <w:szCs w:val="36"/>
          <w:highlight w:val="none"/>
        </w:rPr>
      </w:pPr>
    </w:p>
    <w:p>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（投标人根据招标文件要求自行编制）</w:t>
      </w:r>
    </w:p>
    <w:p>
      <w:pPr>
        <w:snapToGrid w:val="0"/>
        <w:spacing w:line="360" w:lineRule="auto"/>
        <w:jc w:val="center"/>
        <w:rPr>
          <w:rFonts w:hint="eastAsia" w:hAnsi="宋体" w:eastAsia="宋体"/>
          <w:b/>
          <w:snapToGrid w:val="0"/>
          <w:color w:val="auto"/>
          <w:kern w:val="0"/>
          <w:sz w:val="36"/>
          <w:szCs w:val="36"/>
          <w:highlight w:val="none"/>
        </w:rPr>
      </w:pPr>
    </w:p>
    <w:p>
      <w:pPr>
        <w:rPr>
          <w:rFonts w:hint="eastAsia"/>
          <w:color w:val="auto"/>
          <w:highlight w:val="none"/>
        </w:rPr>
      </w:pPr>
    </w:p>
    <w:p>
      <w:pPr>
        <w:pStyle w:val="30"/>
        <w:ind w:firstLine="340"/>
        <w:rPr>
          <w:color w:val="auto"/>
          <w:highlight w:val="none"/>
        </w:rPr>
      </w:pPr>
    </w:p>
    <w:p>
      <w:pPr>
        <w:autoSpaceDE w:val="0"/>
        <w:autoSpaceDN w:val="0"/>
        <w:adjustRightInd w:val="0"/>
        <w:spacing w:line="360" w:lineRule="auto"/>
        <w:jc w:val="center"/>
        <w:outlineLvl w:val="0"/>
        <w:rPr>
          <w:rFonts w:hint="eastAsia" w:ascii="宋体" w:hAnsi="宋体"/>
          <w:b/>
          <w:bCs/>
          <w:color w:val="auto"/>
          <w:sz w:val="24"/>
          <w:szCs w:val="24"/>
          <w:highlight w:val="none"/>
        </w:rPr>
      </w:pPr>
      <w:r>
        <w:rPr>
          <w:rFonts w:hint="eastAsia" w:ascii="宋体" w:hAnsi="宋体"/>
          <w:b/>
          <w:bCs/>
          <w:color w:val="auto"/>
          <w:sz w:val="24"/>
          <w:szCs w:val="24"/>
          <w:highlight w:val="none"/>
        </w:rPr>
        <w:t>4.4</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服务承诺</w:t>
      </w:r>
    </w:p>
    <w:p>
      <w:pPr>
        <w:autoSpaceDE w:val="0"/>
        <w:autoSpaceDN w:val="0"/>
        <w:adjustRightInd w:val="0"/>
        <w:spacing w:line="360" w:lineRule="auto"/>
        <w:jc w:val="center"/>
        <w:rPr>
          <w:rFonts w:hint="eastAsia"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（投标人根据招标文件要求自行编制）</w:t>
      </w:r>
    </w:p>
    <w:p>
      <w:pPr>
        <w:pStyle w:val="30"/>
        <w:ind w:firstLine="340"/>
        <w:rPr>
          <w:rFonts w:hint="eastAsia"/>
          <w:color w:val="auto"/>
          <w:highlight w:val="none"/>
          <w:lang w:val="zh-CN"/>
        </w:rPr>
      </w:pPr>
    </w:p>
    <w:p>
      <w:pPr>
        <w:pStyle w:val="32"/>
        <w:ind w:firstLine="480"/>
        <w:rPr>
          <w:rFonts w:hint="eastAsia"/>
          <w:color w:val="auto"/>
          <w:highlight w:val="none"/>
          <w:lang w:val="zh-CN"/>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rPr>
        <w:t xml:space="preserve"> 业绩情况表</w:t>
      </w:r>
    </w:p>
    <w:p>
      <w:pPr>
        <w:autoSpaceDE w:val="0"/>
        <w:autoSpaceDN w:val="0"/>
        <w:adjustRightInd w:val="0"/>
        <w:spacing w:line="360" w:lineRule="auto"/>
        <w:jc w:val="center"/>
        <w:outlineLvl w:val="0"/>
        <w:rPr>
          <w:rFonts w:ascii="宋体" w:hAnsi="宋体"/>
          <w:b/>
          <w:bCs/>
          <w:color w:val="auto"/>
          <w:sz w:val="28"/>
          <w:szCs w:val="28"/>
          <w:highlight w:val="none"/>
        </w:rPr>
      </w:pPr>
    </w:p>
    <w:p>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pPr>
        <w:snapToGrid w:val="0"/>
        <w:spacing w:line="360" w:lineRule="auto"/>
        <w:rPr>
          <w:rFonts w:hAnsi="宋体" w:eastAsia="宋体"/>
          <w:b/>
          <w:snapToGrid w:val="0"/>
          <w:color w:val="auto"/>
          <w:kern w:val="0"/>
          <w:szCs w:val="21"/>
          <w:highlight w:val="none"/>
        </w:rPr>
      </w:pPr>
      <w:r>
        <w:rPr>
          <w:rFonts w:hint="eastAsia" w:asciiTheme="minorEastAsia" w:hAnsiTheme="minorEastAsia"/>
          <w:color w:val="auto"/>
          <w:szCs w:val="21"/>
          <w:highlight w:val="none"/>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10"/>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auto"/>
            <w:vAlign w:val="center"/>
          </w:tcPr>
          <w:p>
            <w:pPr>
              <w:pStyle w:val="10"/>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auto"/>
            <w:vAlign w:val="center"/>
          </w:tcPr>
          <w:p>
            <w:pPr>
              <w:pStyle w:val="10"/>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项目名称及主要内容</w:t>
            </w:r>
          </w:p>
        </w:tc>
        <w:tc>
          <w:tcPr>
            <w:tcW w:w="1440" w:type="dxa"/>
            <w:shd w:val="clear" w:color="auto" w:fill="auto"/>
            <w:vAlign w:val="center"/>
          </w:tcPr>
          <w:p>
            <w:pPr>
              <w:pStyle w:val="1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pPr>
              <w:pStyle w:val="10"/>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auto"/>
            <w:vAlign w:val="center"/>
          </w:tcPr>
          <w:p>
            <w:pPr>
              <w:pStyle w:val="10"/>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vAlign w:val="center"/>
          </w:tcPr>
          <w:p>
            <w:pPr>
              <w:pStyle w:val="10"/>
              <w:spacing w:line="360" w:lineRule="auto"/>
              <w:rPr>
                <w:rFonts w:ascii="宋体" w:hAnsi="宋体" w:eastAsia="宋体" w:cs="Times New Roman"/>
                <w:color w:val="auto"/>
                <w:sz w:val="21"/>
                <w:szCs w:val="21"/>
                <w:highlight w:val="none"/>
              </w:rPr>
            </w:pPr>
          </w:p>
        </w:tc>
        <w:tc>
          <w:tcPr>
            <w:tcW w:w="3579" w:type="dxa"/>
            <w:vAlign w:val="center"/>
          </w:tcPr>
          <w:p>
            <w:pPr>
              <w:pStyle w:val="10"/>
              <w:spacing w:line="360" w:lineRule="auto"/>
              <w:rPr>
                <w:rFonts w:ascii="宋体" w:hAnsi="宋体" w:eastAsia="宋体" w:cs="Times New Roman"/>
                <w:color w:val="auto"/>
                <w:sz w:val="21"/>
                <w:szCs w:val="21"/>
                <w:highlight w:val="none"/>
              </w:rPr>
            </w:pPr>
          </w:p>
        </w:tc>
        <w:tc>
          <w:tcPr>
            <w:tcW w:w="1440" w:type="dxa"/>
            <w:vAlign w:val="center"/>
          </w:tcPr>
          <w:p>
            <w:pPr>
              <w:pStyle w:val="10"/>
              <w:spacing w:line="360" w:lineRule="auto"/>
              <w:rPr>
                <w:rFonts w:ascii="宋体" w:hAnsi="宋体" w:eastAsia="宋体" w:cs="Times New Roman"/>
                <w:color w:val="auto"/>
                <w:sz w:val="21"/>
                <w:szCs w:val="21"/>
                <w:highlight w:val="none"/>
              </w:rPr>
            </w:pPr>
          </w:p>
        </w:tc>
        <w:tc>
          <w:tcPr>
            <w:tcW w:w="1706" w:type="dxa"/>
            <w:vAlign w:val="center"/>
          </w:tcPr>
          <w:p>
            <w:pPr>
              <w:pStyle w:val="10"/>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vAlign w:val="center"/>
          </w:tcPr>
          <w:p>
            <w:pPr>
              <w:pStyle w:val="10"/>
              <w:spacing w:line="360" w:lineRule="auto"/>
              <w:rPr>
                <w:rFonts w:ascii="宋体" w:hAnsi="宋体" w:eastAsia="宋体" w:cs="Times New Roman"/>
                <w:color w:val="auto"/>
                <w:sz w:val="21"/>
                <w:szCs w:val="21"/>
                <w:highlight w:val="none"/>
              </w:rPr>
            </w:pPr>
          </w:p>
        </w:tc>
        <w:tc>
          <w:tcPr>
            <w:tcW w:w="3579" w:type="dxa"/>
            <w:vAlign w:val="center"/>
          </w:tcPr>
          <w:p>
            <w:pPr>
              <w:pStyle w:val="10"/>
              <w:spacing w:line="360" w:lineRule="auto"/>
              <w:rPr>
                <w:rFonts w:ascii="宋体" w:hAnsi="宋体" w:eastAsia="宋体" w:cs="Times New Roman"/>
                <w:color w:val="auto"/>
                <w:sz w:val="21"/>
                <w:szCs w:val="21"/>
                <w:highlight w:val="none"/>
              </w:rPr>
            </w:pPr>
          </w:p>
        </w:tc>
        <w:tc>
          <w:tcPr>
            <w:tcW w:w="1440" w:type="dxa"/>
            <w:vAlign w:val="center"/>
          </w:tcPr>
          <w:p>
            <w:pPr>
              <w:pStyle w:val="10"/>
              <w:spacing w:line="360" w:lineRule="auto"/>
              <w:rPr>
                <w:rFonts w:ascii="宋体" w:hAnsi="宋体" w:eastAsia="宋体" w:cs="Times New Roman"/>
                <w:color w:val="auto"/>
                <w:sz w:val="21"/>
                <w:szCs w:val="21"/>
                <w:highlight w:val="none"/>
              </w:rPr>
            </w:pPr>
          </w:p>
        </w:tc>
        <w:tc>
          <w:tcPr>
            <w:tcW w:w="1706" w:type="dxa"/>
            <w:vAlign w:val="center"/>
          </w:tcPr>
          <w:p>
            <w:pPr>
              <w:pStyle w:val="10"/>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vAlign w:val="center"/>
          </w:tcPr>
          <w:p>
            <w:pPr>
              <w:pStyle w:val="10"/>
              <w:spacing w:line="360" w:lineRule="auto"/>
              <w:rPr>
                <w:rFonts w:ascii="宋体" w:hAnsi="宋体" w:eastAsia="宋体" w:cs="Times New Roman"/>
                <w:color w:val="auto"/>
                <w:sz w:val="21"/>
                <w:szCs w:val="21"/>
                <w:highlight w:val="none"/>
              </w:rPr>
            </w:pPr>
          </w:p>
        </w:tc>
        <w:tc>
          <w:tcPr>
            <w:tcW w:w="3579" w:type="dxa"/>
            <w:vAlign w:val="center"/>
          </w:tcPr>
          <w:p>
            <w:pPr>
              <w:pStyle w:val="10"/>
              <w:spacing w:line="360" w:lineRule="auto"/>
              <w:rPr>
                <w:rFonts w:ascii="宋体" w:hAnsi="宋体" w:eastAsia="宋体" w:cs="Times New Roman"/>
                <w:color w:val="auto"/>
                <w:sz w:val="21"/>
                <w:szCs w:val="21"/>
                <w:highlight w:val="none"/>
              </w:rPr>
            </w:pPr>
          </w:p>
        </w:tc>
        <w:tc>
          <w:tcPr>
            <w:tcW w:w="1440" w:type="dxa"/>
            <w:vAlign w:val="center"/>
          </w:tcPr>
          <w:p>
            <w:pPr>
              <w:pStyle w:val="10"/>
              <w:spacing w:line="360" w:lineRule="auto"/>
              <w:rPr>
                <w:rFonts w:ascii="宋体" w:hAnsi="宋体" w:eastAsia="宋体" w:cs="Times New Roman"/>
                <w:color w:val="auto"/>
                <w:sz w:val="21"/>
                <w:szCs w:val="21"/>
                <w:highlight w:val="none"/>
              </w:rPr>
            </w:pPr>
          </w:p>
        </w:tc>
        <w:tc>
          <w:tcPr>
            <w:tcW w:w="1706" w:type="dxa"/>
            <w:vAlign w:val="center"/>
          </w:tcPr>
          <w:p>
            <w:pPr>
              <w:pStyle w:val="10"/>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vAlign w:val="center"/>
          </w:tcPr>
          <w:p>
            <w:pPr>
              <w:rPr>
                <w:rFonts w:ascii="宋体"/>
                <w:color w:val="auto"/>
                <w:szCs w:val="21"/>
                <w:highlight w:val="none"/>
              </w:rPr>
            </w:pPr>
          </w:p>
        </w:tc>
        <w:tc>
          <w:tcPr>
            <w:tcW w:w="3579" w:type="dxa"/>
            <w:vAlign w:val="center"/>
          </w:tcPr>
          <w:p>
            <w:pPr>
              <w:rPr>
                <w:rFonts w:ascii="宋体"/>
                <w:color w:val="auto"/>
                <w:szCs w:val="21"/>
                <w:highlight w:val="none"/>
              </w:rPr>
            </w:pPr>
          </w:p>
        </w:tc>
        <w:tc>
          <w:tcPr>
            <w:tcW w:w="1440" w:type="dxa"/>
            <w:vAlign w:val="center"/>
          </w:tcPr>
          <w:p>
            <w:pPr>
              <w:rPr>
                <w:rFonts w:ascii="宋体"/>
                <w:color w:val="auto"/>
                <w:szCs w:val="21"/>
                <w:highlight w:val="none"/>
              </w:rPr>
            </w:pPr>
          </w:p>
        </w:tc>
        <w:tc>
          <w:tcPr>
            <w:tcW w:w="1706" w:type="dxa"/>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vAlign w:val="center"/>
          </w:tcPr>
          <w:p>
            <w:pPr>
              <w:rPr>
                <w:rFonts w:ascii="宋体"/>
                <w:color w:val="auto"/>
                <w:szCs w:val="21"/>
                <w:highlight w:val="none"/>
              </w:rPr>
            </w:pPr>
          </w:p>
        </w:tc>
        <w:tc>
          <w:tcPr>
            <w:tcW w:w="3579" w:type="dxa"/>
            <w:vAlign w:val="center"/>
          </w:tcPr>
          <w:p>
            <w:pPr>
              <w:rPr>
                <w:rFonts w:ascii="宋体"/>
                <w:color w:val="auto"/>
                <w:szCs w:val="21"/>
                <w:highlight w:val="none"/>
              </w:rPr>
            </w:pPr>
          </w:p>
        </w:tc>
        <w:tc>
          <w:tcPr>
            <w:tcW w:w="1440" w:type="dxa"/>
            <w:vAlign w:val="center"/>
          </w:tcPr>
          <w:p>
            <w:pPr>
              <w:rPr>
                <w:rFonts w:ascii="宋体"/>
                <w:color w:val="auto"/>
                <w:szCs w:val="21"/>
                <w:highlight w:val="none"/>
              </w:rPr>
            </w:pPr>
          </w:p>
        </w:tc>
        <w:tc>
          <w:tcPr>
            <w:tcW w:w="1706" w:type="dxa"/>
            <w:vAlign w:val="center"/>
          </w:tcPr>
          <w:p>
            <w:pPr>
              <w:rPr>
                <w:rFonts w:ascii="宋体"/>
                <w:color w:val="auto"/>
                <w:szCs w:val="21"/>
                <w:highlight w:val="none"/>
              </w:rPr>
            </w:pPr>
          </w:p>
        </w:tc>
      </w:tr>
    </w:tbl>
    <w:p>
      <w:pPr>
        <w:autoSpaceDE w:val="0"/>
        <w:autoSpaceDN w:val="0"/>
        <w:adjustRightInd w:val="0"/>
        <w:spacing w:line="480" w:lineRule="auto"/>
        <w:rPr>
          <w:rFonts w:cs="宋体" w:asciiTheme="minorEastAsia" w:hAnsiTheme="minorEastAsia"/>
          <w:color w:val="auto"/>
          <w:szCs w:val="21"/>
          <w:highlight w:val="none"/>
          <w:lang w:val="zh-CN"/>
        </w:rPr>
      </w:pPr>
    </w:p>
    <w:p>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p>
    <w:p>
      <w:pPr>
        <w:autoSpaceDE w:val="0"/>
        <w:autoSpaceDN w:val="0"/>
        <w:adjustRightInd w:val="0"/>
        <w:spacing w:line="480" w:lineRule="auto"/>
        <w:rPr>
          <w:rFonts w:cs="宋体" w:asciiTheme="minorEastAsia" w:hAnsiTheme="minorEastAsia"/>
          <w:color w:val="auto"/>
          <w:szCs w:val="21"/>
          <w:highlight w:val="none"/>
          <w:lang w:val="zh-CN"/>
        </w:rPr>
      </w:pPr>
    </w:p>
    <w:p>
      <w:pPr>
        <w:autoSpaceDE w:val="0"/>
        <w:autoSpaceDN w:val="0"/>
        <w:adjustRightInd w:val="0"/>
        <w:spacing w:line="480" w:lineRule="auto"/>
        <w:rPr>
          <w:rFonts w:cs="宋体" w:asciiTheme="minorEastAsia" w:hAnsiTheme="minorEastAsia"/>
          <w:color w:val="auto"/>
          <w:sz w:val="24"/>
          <w:szCs w:val="24"/>
          <w:highlight w:val="none"/>
          <w:lang w:val="zh-CN"/>
        </w:rPr>
      </w:pPr>
    </w:p>
    <w:p>
      <w:pPr>
        <w:autoSpaceDE w:val="0"/>
        <w:autoSpaceDN w:val="0"/>
        <w:adjustRightInd w:val="0"/>
        <w:spacing w:line="480" w:lineRule="auto"/>
        <w:rPr>
          <w:rFonts w:cs="宋体" w:asciiTheme="minorEastAsia" w:hAnsiTheme="minorEastAsia"/>
          <w:color w:val="auto"/>
          <w:sz w:val="24"/>
          <w:szCs w:val="24"/>
          <w:highlight w:val="none"/>
          <w:lang w:val="zh-CN"/>
        </w:rPr>
      </w:pPr>
    </w:p>
    <w:p>
      <w:pPr>
        <w:pStyle w:val="2"/>
        <w:rPr>
          <w:color w:val="auto"/>
          <w:highlight w:val="none"/>
          <w:lang w:val="zh-CN"/>
        </w:rPr>
      </w:pPr>
    </w:p>
    <w:p>
      <w:pPr>
        <w:autoSpaceDE w:val="0"/>
        <w:autoSpaceDN w:val="0"/>
        <w:adjustRightInd w:val="0"/>
        <w:spacing w:line="360" w:lineRule="auto"/>
        <w:jc w:val="center"/>
        <w:outlineLvl w:val="0"/>
        <w:rPr>
          <w:rFonts w:ascii="宋体" w:hAnsi="宋体"/>
          <w:b/>
          <w:bCs/>
          <w:color w:val="auto"/>
          <w:sz w:val="36"/>
          <w:szCs w:val="36"/>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6</w:t>
      </w:r>
      <w:r>
        <w:rPr>
          <w:rFonts w:hint="eastAsia" w:ascii="宋体" w:hAnsi="宋体"/>
          <w:b/>
          <w:bCs/>
          <w:color w:val="auto"/>
          <w:sz w:val="24"/>
          <w:szCs w:val="24"/>
          <w:highlight w:val="none"/>
        </w:rPr>
        <w:t>售后服务方案</w:t>
      </w:r>
    </w:p>
    <w:p>
      <w:pPr>
        <w:autoSpaceDE w:val="0"/>
        <w:autoSpaceDN w:val="0"/>
        <w:adjustRightInd w:val="0"/>
        <w:spacing w:line="360" w:lineRule="auto"/>
        <w:jc w:val="center"/>
        <w:rPr>
          <w:rFonts w:ascii="宋体" w:hAnsi="宋体"/>
          <w:b/>
          <w:bCs/>
          <w:color w:val="auto"/>
          <w:sz w:val="24"/>
          <w:szCs w:val="24"/>
          <w:highlight w:val="none"/>
        </w:rPr>
      </w:pPr>
      <w:r>
        <w:rPr>
          <w:rFonts w:hint="eastAsia" w:cs="宋体" w:asciiTheme="minorEastAsia" w:hAnsiTheme="minorEastAsia"/>
          <w:color w:val="auto"/>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24"/>
          <w:szCs w:val="24"/>
          <w:highlight w:val="none"/>
        </w:rPr>
      </w:pPr>
    </w:p>
    <w:p>
      <w:pPr>
        <w:pStyle w:val="30"/>
        <w:ind w:firstLine="241"/>
        <w:rPr>
          <w:rFonts w:hAnsi="宋体"/>
          <w:b/>
          <w:bCs/>
          <w:color w:val="auto"/>
          <w:sz w:val="24"/>
          <w:szCs w:val="24"/>
          <w:highlight w:val="none"/>
        </w:rPr>
      </w:pPr>
    </w:p>
    <w:p>
      <w:pPr>
        <w:pStyle w:val="32"/>
        <w:ind w:firstLine="480"/>
        <w:rPr>
          <w:color w:val="auto"/>
          <w:highlight w:val="none"/>
        </w:rPr>
      </w:pPr>
    </w:p>
    <w:p>
      <w:pPr>
        <w:rPr>
          <w:color w:val="auto"/>
          <w:highlight w:val="none"/>
        </w:rPr>
      </w:pPr>
    </w:p>
    <w:p>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pPr>
        <w:rPr>
          <w:color w:val="auto"/>
          <w:highlight w:val="none"/>
        </w:rPr>
      </w:pPr>
    </w:p>
    <w:p>
      <w:pPr>
        <w:rPr>
          <w:color w:val="auto"/>
          <w:highlight w:val="none"/>
        </w:rPr>
      </w:pPr>
    </w:p>
    <w:p>
      <w:pPr>
        <w:rPr>
          <w:color w:val="auto"/>
          <w:highlight w:val="none"/>
        </w:rPr>
      </w:pPr>
    </w:p>
    <w:p>
      <w:pPr>
        <w:spacing w:line="360" w:lineRule="auto"/>
        <w:jc w:val="center"/>
        <w:rPr>
          <w:rFonts w:ascii="宋体" w:hAnsi="宋体"/>
          <w:b/>
          <w:bCs/>
          <w:color w:val="auto"/>
          <w:szCs w:val="21"/>
          <w:highlight w:val="none"/>
        </w:rPr>
      </w:pPr>
      <w:r>
        <w:rPr>
          <w:rFonts w:ascii="宋体" w:hAnsi="宋体"/>
          <w:b/>
          <w:bCs/>
          <w:color w:val="auto"/>
          <w:szCs w:val="21"/>
          <w:highlight w:val="none"/>
        </w:rPr>
        <w:t>除</w:t>
      </w:r>
      <w:r>
        <w:rPr>
          <w:rFonts w:hint="eastAsia" w:ascii="宋体" w:hAnsi="宋体"/>
          <w:b/>
          <w:bCs/>
          <w:color w:val="auto"/>
          <w:szCs w:val="21"/>
          <w:highlight w:val="none"/>
        </w:rPr>
        <w:t>采购</w:t>
      </w:r>
      <w:r>
        <w:rPr>
          <w:rFonts w:ascii="宋体" w:hAnsi="宋体"/>
          <w:b/>
          <w:bCs/>
          <w:color w:val="auto"/>
          <w:szCs w:val="21"/>
          <w:highlight w:val="none"/>
        </w:rPr>
        <w:t>文件另有规定外，</w:t>
      </w:r>
      <w:r>
        <w:rPr>
          <w:rFonts w:hint="eastAsia" w:ascii="宋体" w:hAnsi="宋体"/>
          <w:b/>
          <w:bCs/>
          <w:color w:val="auto"/>
          <w:szCs w:val="21"/>
          <w:highlight w:val="none"/>
        </w:rPr>
        <w:t>投标人</w:t>
      </w:r>
      <w:r>
        <w:rPr>
          <w:rFonts w:ascii="宋体" w:hAnsi="宋体"/>
          <w:b/>
          <w:bCs/>
          <w:color w:val="auto"/>
          <w:szCs w:val="21"/>
          <w:highlight w:val="none"/>
        </w:rPr>
        <w:t>认为需要提交的其他证明材料或资料加盖</w:t>
      </w:r>
      <w:r>
        <w:rPr>
          <w:rFonts w:hint="eastAsia" w:ascii="宋体" w:hAnsi="宋体"/>
          <w:b/>
          <w:bCs/>
          <w:color w:val="auto"/>
          <w:szCs w:val="21"/>
          <w:highlight w:val="none"/>
        </w:rPr>
        <w:t>投标人</w:t>
      </w:r>
      <w:r>
        <w:rPr>
          <w:rFonts w:ascii="宋体" w:hAnsi="宋体"/>
          <w:b/>
          <w:bCs/>
          <w:color w:val="auto"/>
          <w:szCs w:val="21"/>
          <w:highlight w:val="none"/>
        </w:rPr>
        <w:t>公章后应在此项下提交。</w:t>
      </w:r>
    </w:p>
    <w:p>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sectPr>
      <w:footerReference r:id="rId5"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6415488"/>
    </w:sdtPr>
    <w:sdtContent>
      <w:p>
        <w:pPr>
          <w:pStyle w:val="21"/>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92"/>
      </w:rPr>
    </w:pPr>
    <w:r>
      <w:fldChar w:fldCharType="begin"/>
    </w:r>
    <w:r>
      <w:rPr>
        <w:rStyle w:val="92"/>
      </w:rPr>
      <w:instrText xml:space="preserve">PAGE  </w:instrText>
    </w:r>
    <w:r>
      <w:fldChar w:fldCharType="separate"/>
    </w:r>
    <w:r>
      <w:rPr>
        <w:rStyle w:val="92"/>
      </w:rPr>
      <w:t>15</w:t>
    </w:r>
    <w: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1"/>
                          </w:pPr>
                          <w:r>
                            <w:fldChar w:fldCharType="begin"/>
                          </w:r>
                          <w:r>
                            <w:instrText xml:space="preserve"> PAGE  \* MERGEFORMAT </w:instrText>
                          </w:r>
                          <w:r>
                            <w:fldChar w:fldCharType="separate"/>
                          </w:r>
                          <w:r>
                            <w:t>68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YZOdYBAACw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uXClTehQkmURpHT1Yc9sPEZ++bM9Hs&#10;aR9q7mj9OTMfHMmdVmc2YDb2s3EMoA8dTbzM3TG8PUaaLY+cOoywRDU59JCZ9LR0aVP+9nPV4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rYZOdYBAACwAwAADgAAAAAAAAABACAAAAAe&#10;AQAAZHJzL2Uyb0RvYy54bWxQSwUGAAAAAAYABgBZAQAAZg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4A70"/>
    <w:multiLevelType w:val="singleLevel"/>
    <w:tmpl w:val="84C44A70"/>
    <w:lvl w:ilvl="0" w:tentative="0">
      <w:start w:val="19"/>
      <w:numFmt w:val="decimal"/>
      <w:suff w:val="nothing"/>
      <w:lvlText w:val="%1．"/>
      <w:lvlJc w:val="left"/>
    </w:lvl>
  </w:abstractNum>
  <w:abstractNum w:abstractNumId="1">
    <w:nsid w:val="88E39436"/>
    <w:multiLevelType w:val="singleLevel"/>
    <w:tmpl w:val="88E39436"/>
    <w:lvl w:ilvl="0" w:tentative="0">
      <w:start w:val="1"/>
      <w:numFmt w:val="decimal"/>
      <w:suff w:val="nothing"/>
      <w:lvlText w:val="（%1）"/>
      <w:lvlJc w:val="left"/>
      <w:rPr>
        <w:rFonts w:cs="Times New Roman"/>
      </w:rPr>
    </w:lvl>
  </w:abstractNum>
  <w:abstractNum w:abstractNumId="2">
    <w:nsid w:val="C80AD064"/>
    <w:multiLevelType w:val="singleLevel"/>
    <w:tmpl w:val="C80AD064"/>
    <w:lvl w:ilvl="0" w:tentative="0">
      <w:start w:val="2"/>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6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59F817E8"/>
    <w:multiLevelType w:val="singleLevel"/>
    <w:tmpl w:val="59F817E8"/>
    <w:lvl w:ilvl="0" w:tentative="0">
      <w:start w:val="1"/>
      <w:numFmt w:val="chineseCounting"/>
      <w:pStyle w:val="72"/>
      <w:suff w:val="nothing"/>
      <w:lvlText w:val="%1、"/>
      <w:lvlJc w:val="left"/>
    </w:lvl>
  </w:abstractNum>
  <w:abstractNum w:abstractNumId="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6"/>
  </w:num>
  <w:num w:numId="4">
    <w:abstractNumId w:val="2"/>
  </w:num>
  <w:num w:numId="5">
    <w:abstractNumId w:val="5"/>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ODM2OTk4NWZiMWNlYjZjZmI5OWMwOGMzZGEyMWYifQ=="/>
  </w:docVars>
  <w:rsids>
    <w:rsidRoot w:val="00D51569"/>
    <w:rsid w:val="00005C90"/>
    <w:rsid w:val="00005E30"/>
    <w:rsid w:val="000069EC"/>
    <w:rsid w:val="00007470"/>
    <w:rsid w:val="000112AC"/>
    <w:rsid w:val="0001195E"/>
    <w:rsid w:val="00013211"/>
    <w:rsid w:val="0001598A"/>
    <w:rsid w:val="000173D4"/>
    <w:rsid w:val="000227BF"/>
    <w:rsid w:val="00025F3F"/>
    <w:rsid w:val="00030B34"/>
    <w:rsid w:val="00031CF4"/>
    <w:rsid w:val="000418F9"/>
    <w:rsid w:val="00046E42"/>
    <w:rsid w:val="000516FF"/>
    <w:rsid w:val="000537EC"/>
    <w:rsid w:val="0005401D"/>
    <w:rsid w:val="00055572"/>
    <w:rsid w:val="0007027E"/>
    <w:rsid w:val="00072339"/>
    <w:rsid w:val="000800D2"/>
    <w:rsid w:val="00080389"/>
    <w:rsid w:val="00083387"/>
    <w:rsid w:val="0008414A"/>
    <w:rsid w:val="00091C9C"/>
    <w:rsid w:val="00095387"/>
    <w:rsid w:val="00096224"/>
    <w:rsid w:val="0009640F"/>
    <w:rsid w:val="000A02BB"/>
    <w:rsid w:val="000A73BC"/>
    <w:rsid w:val="000A77FF"/>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3912"/>
    <w:rsid w:val="00113BAE"/>
    <w:rsid w:val="001145D4"/>
    <w:rsid w:val="001223EF"/>
    <w:rsid w:val="001236A3"/>
    <w:rsid w:val="00126895"/>
    <w:rsid w:val="001415B4"/>
    <w:rsid w:val="00152541"/>
    <w:rsid w:val="00154EA8"/>
    <w:rsid w:val="0016405F"/>
    <w:rsid w:val="00165E49"/>
    <w:rsid w:val="00165F8E"/>
    <w:rsid w:val="0016779A"/>
    <w:rsid w:val="00167F93"/>
    <w:rsid w:val="00170DCF"/>
    <w:rsid w:val="0017129C"/>
    <w:rsid w:val="0017154C"/>
    <w:rsid w:val="00172E64"/>
    <w:rsid w:val="001749D2"/>
    <w:rsid w:val="00174C63"/>
    <w:rsid w:val="00175281"/>
    <w:rsid w:val="0017584B"/>
    <w:rsid w:val="00177319"/>
    <w:rsid w:val="00177379"/>
    <w:rsid w:val="00181C6A"/>
    <w:rsid w:val="00183B7D"/>
    <w:rsid w:val="00191A00"/>
    <w:rsid w:val="00193679"/>
    <w:rsid w:val="001957E3"/>
    <w:rsid w:val="0019757C"/>
    <w:rsid w:val="001A2714"/>
    <w:rsid w:val="001A2E65"/>
    <w:rsid w:val="001B0DF5"/>
    <w:rsid w:val="001C0A13"/>
    <w:rsid w:val="001C26CD"/>
    <w:rsid w:val="001C2B6A"/>
    <w:rsid w:val="001C761E"/>
    <w:rsid w:val="001D06FF"/>
    <w:rsid w:val="001D1CBB"/>
    <w:rsid w:val="001D33AD"/>
    <w:rsid w:val="001D33DA"/>
    <w:rsid w:val="001D4C00"/>
    <w:rsid w:val="001D5BB5"/>
    <w:rsid w:val="001D64E5"/>
    <w:rsid w:val="001E1078"/>
    <w:rsid w:val="001E25D9"/>
    <w:rsid w:val="001E592F"/>
    <w:rsid w:val="001F0899"/>
    <w:rsid w:val="001F641A"/>
    <w:rsid w:val="001F7199"/>
    <w:rsid w:val="00203824"/>
    <w:rsid w:val="00205009"/>
    <w:rsid w:val="002078AE"/>
    <w:rsid w:val="00207FEB"/>
    <w:rsid w:val="00210B90"/>
    <w:rsid w:val="00213F11"/>
    <w:rsid w:val="00214892"/>
    <w:rsid w:val="0022454A"/>
    <w:rsid w:val="00224D01"/>
    <w:rsid w:val="00227A97"/>
    <w:rsid w:val="00227BF9"/>
    <w:rsid w:val="00231307"/>
    <w:rsid w:val="00231C22"/>
    <w:rsid w:val="00234627"/>
    <w:rsid w:val="0024040D"/>
    <w:rsid w:val="002426C4"/>
    <w:rsid w:val="002436B4"/>
    <w:rsid w:val="00246A17"/>
    <w:rsid w:val="00252623"/>
    <w:rsid w:val="002532B5"/>
    <w:rsid w:val="00255732"/>
    <w:rsid w:val="002615C0"/>
    <w:rsid w:val="002659C7"/>
    <w:rsid w:val="00266F45"/>
    <w:rsid w:val="00267EE6"/>
    <w:rsid w:val="002709BD"/>
    <w:rsid w:val="002732E0"/>
    <w:rsid w:val="002847E1"/>
    <w:rsid w:val="00286CD2"/>
    <w:rsid w:val="002871DE"/>
    <w:rsid w:val="002872FE"/>
    <w:rsid w:val="0029125D"/>
    <w:rsid w:val="0029513F"/>
    <w:rsid w:val="002A2748"/>
    <w:rsid w:val="002A625E"/>
    <w:rsid w:val="002A62EC"/>
    <w:rsid w:val="002A66C8"/>
    <w:rsid w:val="002A6AA6"/>
    <w:rsid w:val="002B1CC1"/>
    <w:rsid w:val="002B2DE9"/>
    <w:rsid w:val="002B63D8"/>
    <w:rsid w:val="002C0F73"/>
    <w:rsid w:val="002C3B0D"/>
    <w:rsid w:val="002C6520"/>
    <w:rsid w:val="002D082A"/>
    <w:rsid w:val="002D1053"/>
    <w:rsid w:val="002D38B2"/>
    <w:rsid w:val="002D6A6C"/>
    <w:rsid w:val="002E0D3B"/>
    <w:rsid w:val="002E18BD"/>
    <w:rsid w:val="002E3D0E"/>
    <w:rsid w:val="002E5209"/>
    <w:rsid w:val="002E6378"/>
    <w:rsid w:val="002E7DF3"/>
    <w:rsid w:val="002F11CE"/>
    <w:rsid w:val="002F1E2E"/>
    <w:rsid w:val="002F23BC"/>
    <w:rsid w:val="002F2D13"/>
    <w:rsid w:val="002F3BDA"/>
    <w:rsid w:val="002F4580"/>
    <w:rsid w:val="003011BE"/>
    <w:rsid w:val="00303F10"/>
    <w:rsid w:val="0030443F"/>
    <w:rsid w:val="00307D84"/>
    <w:rsid w:val="0031002E"/>
    <w:rsid w:val="003158D3"/>
    <w:rsid w:val="00315CA6"/>
    <w:rsid w:val="003169BF"/>
    <w:rsid w:val="00321D34"/>
    <w:rsid w:val="0032516C"/>
    <w:rsid w:val="003269A1"/>
    <w:rsid w:val="00326A7C"/>
    <w:rsid w:val="0032784A"/>
    <w:rsid w:val="00330D3D"/>
    <w:rsid w:val="0033421C"/>
    <w:rsid w:val="003347F9"/>
    <w:rsid w:val="00335BCD"/>
    <w:rsid w:val="00336F5A"/>
    <w:rsid w:val="003378D1"/>
    <w:rsid w:val="00342AB1"/>
    <w:rsid w:val="00346BEF"/>
    <w:rsid w:val="003518EF"/>
    <w:rsid w:val="0037221E"/>
    <w:rsid w:val="003737C5"/>
    <w:rsid w:val="00375F23"/>
    <w:rsid w:val="003812AE"/>
    <w:rsid w:val="00381A4A"/>
    <w:rsid w:val="00382E5B"/>
    <w:rsid w:val="00386F17"/>
    <w:rsid w:val="003929E8"/>
    <w:rsid w:val="003A05BE"/>
    <w:rsid w:val="003A1280"/>
    <w:rsid w:val="003B103B"/>
    <w:rsid w:val="003B1D5B"/>
    <w:rsid w:val="003B34F7"/>
    <w:rsid w:val="003C0C24"/>
    <w:rsid w:val="003C481F"/>
    <w:rsid w:val="003C6D19"/>
    <w:rsid w:val="003D193F"/>
    <w:rsid w:val="003D2645"/>
    <w:rsid w:val="003D2DF6"/>
    <w:rsid w:val="003D4E8A"/>
    <w:rsid w:val="003E5ADF"/>
    <w:rsid w:val="003E7C66"/>
    <w:rsid w:val="003F2406"/>
    <w:rsid w:val="00410B19"/>
    <w:rsid w:val="004157FF"/>
    <w:rsid w:val="00416591"/>
    <w:rsid w:val="00433C5A"/>
    <w:rsid w:val="00435E0B"/>
    <w:rsid w:val="00440D16"/>
    <w:rsid w:val="0044232F"/>
    <w:rsid w:val="00444482"/>
    <w:rsid w:val="004464C2"/>
    <w:rsid w:val="0044739E"/>
    <w:rsid w:val="00460A24"/>
    <w:rsid w:val="00463754"/>
    <w:rsid w:val="00464D64"/>
    <w:rsid w:val="00467153"/>
    <w:rsid w:val="0047231A"/>
    <w:rsid w:val="0047378F"/>
    <w:rsid w:val="00480C9E"/>
    <w:rsid w:val="00482B1A"/>
    <w:rsid w:val="00484F80"/>
    <w:rsid w:val="00485967"/>
    <w:rsid w:val="0048691A"/>
    <w:rsid w:val="004941B6"/>
    <w:rsid w:val="00496BD4"/>
    <w:rsid w:val="0049794D"/>
    <w:rsid w:val="004A0DA0"/>
    <w:rsid w:val="004A698D"/>
    <w:rsid w:val="004A713D"/>
    <w:rsid w:val="004B2601"/>
    <w:rsid w:val="004B61CF"/>
    <w:rsid w:val="004B620B"/>
    <w:rsid w:val="004B6F24"/>
    <w:rsid w:val="004C1117"/>
    <w:rsid w:val="004C2A4D"/>
    <w:rsid w:val="004C62F8"/>
    <w:rsid w:val="004C6547"/>
    <w:rsid w:val="004C6837"/>
    <w:rsid w:val="004D0712"/>
    <w:rsid w:val="004D3082"/>
    <w:rsid w:val="004D7BED"/>
    <w:rsid w:val="004E0DFB"/>
    <w:rsid w:val="004E3EAA"/>
    <w:rsid w:val="004E450C"/>
    <w:rsid w:val="004E547A"/>
    <w:rsid w:val="004E5E79"/>
    <w:rsid w:val="004F0E0A"/>
    <w:rsid w:val="004F1683"/>
    <w:rsid w:val="004F5E7A"/>
    <w:rsid w:val="00501F13"/>
    <w:rsid w:val="00506193"/>
    <w:rsid w:val="00520164"/>
    <w:rsid w:val="005222C3"/>
    <w:rsid w:val="005254AD"/>
    <w:rsid w:val="00527604"/>
    <w:rsid w:val="00532D1B"/>
    <w:rsid w:val="00535B8D"/>
    <w:rsid w:val="00536CF1"/>
    <w:rsid w:val="00536DD2"/>
    <w:rsid w:val="005411DE"/>
    <w:rsid w:val="00546251"/>
    <w:rsid w:val="0055332A"/>
    <w:rsid w:val="00555EDE"/>
    <w:rsid w:val="00560B27"/>
    <w:rsid w:val="00570E6D"/>
    <w:rsid w:val="005711DE"/>
    <w:rsid w:val="00573241"/>
    <w:rsid w:val="00575C9D"/>
    <w:rsid w:val="005779B2"/>
    <w:rsid w:val="00581F58"/>
    <w:rsid w:val="00586CD2"/>
    <w:rsid w:val="005940FF"/>
    <w:rsid w:val="00596914"/>
    <w:rsid w:val="005A33DA"/>
    <w:rsid w:val="005A4357"/>
    <w:rsid w:val="005A49BE"/>
    <w:rsid w:val="005A5CA7"/>
    <w:rsid w:val="005A7E7E"/>
    <w:rsid w:val="005B1144"/>
    <w:rsid w:val="005B1214"/>
    <w:rsid w:val="005B14F6"/>
    <w:rsid w:val="005B180E"/>
    <w:rsid w:val="005B4048"/>
    <w:rsid w:val="005C09F8"/>
    <w:rsid w:val="005D00D7"/>
    <w:rsid w:val="005D1319"/>
    <w:rsid w:val="005D1597"/>
    <w:rsid w:val="005D4EBE"/>
    <w:rsid w:val="005D51C3"/>
    <w:rsid w:val="005D6674"/>
    <w:rsid w:val="005E25C0"/>
    <w:rsid w:val="005F375D"/>
    <w:rsid w:val="00600324"/>
    <w:rsid w:val="00605FD5"/>
    <w:rsid w:val="00614999"/>
    <w:rsid w:val="00622142"/>
    <w:rsid w:val="00630932"/>
    <w:rsid w:val="00631795"/>
    <w:rsid w:val="00636AAD"/>
    <w:rsid w:val="00637A19"/>
    <w:rsid w:val="0064175E"/>
    <w:rsid w:val="00641E35"/>
    <w:rsid w:val="00644025"/>
    <w:rsid w:val="00651710"/>
    <w:rsid w:val="00652F79"/>
    <w:rsid w:val="006533B0"/>
    <w:rsid w:val="00654154"/>
    <w:rsid w:val="006560E7"/>
    <w:rsid w:val="0065614C"/>
    <w:rsid w:val="006616D3"/>
    <w:rsid w:val="0066238D"/>
    <w:rsid w:val="00662ECB"/>
    <w:rsid w:val="0066706E"/>
    <w:rsid w:val="00667D06"/>
    <w:rsid w:val="0067327E"/>
    <w:rsid w:val="00675A3C"/>
    <w:rsid w:val="006778F4"/>
    <w:rsid w:val="00685277"/>
    <w:rsid w:val="00686222"/>
    <w:rsid w:val="0069574E"/>
    <w:rsid w:val="00695B12"/>
    <w:rsid w:val="006A1483"/>
    <w:rsid w:val="006A4520"/>
    <w:rsid w:val="006A4956"/>
    <w:rsid w:val="006A6187"/>
    <w:rsid w:val="006A6E3E"/>
    <w:rsid w:val="006A70CE"/>
    <w:rsid w:val="006B1419"/>
    <w:rsid w:val="006B25F5"/>
    <w:rsid w:val="006B34C4"/>
    <w:rsid w:val="006B5F07"/>
    <w:rsid w:val="006C3AAD"/>
    <w:rsid w:val="006D0369"/>
    <w:rsid w:val="006D2D95"/>
    <w:rsid w:val="006D6E86"/>
    <w:rsid w:val="006D71B0"/>
    <w:rsid w:val="006D71DF"/>
    <w:rsid w:val="006D7408"/>
    <w:rsid w:val="006E21C6"/>
    <w:rsid w:val="006F0344"/>
    <w:rsid w:val="006F1019"/>
    <w:rsid w:val="006F15D2"/>
    <w:rsid w:val="006F7C4F"/>
    <w:rsid w:val="00714D78"/>
    <w:rsid w:val="00724498"/>
    <w:rsid w:val="007257C6"/>
    <w:rsid w:val="007303E5"/>
    <w:rsid w:val="00732D5E"/>
    <w:rsid w:val="00751E93"/>
    <w:rsid w:val="00752DA3"/>
    <w:rsid w:val="00763734"/>
    <w:rsid w:val="00763CD2"/>
    <w:rsid w:val="0076522A"/>
    <w:rsid w:val="00770503"/>
    <w:rsid w:val="007707E3"/>
    <w:rsid w:val="00772353"/>
    <w:rsid w:val="00772CF9"/>
    <w:rsid w:val="0077399E"/>
    <w:rsid w:val="0078009F"/>
    <w:rsid w:val="0078097A"/>
    <w:rsid w:val="0078321F"/>
    <w:rsid w:val="00783715"/>
    <w:rsid w:val="007873DE"/>
    <w:rsid w:val="0078798E"/>
    <w:rsid w:val="00791B7A"/>
    <w:rsid w:val="00796020"/>
    <w:rsid w:val="007A1051"/>
    <w:rsid w:val="007C0625"/>
    <w:rsid w:val="007C74CE"/>
    <w:rsid w:val="007E5B97"/>
    <w:rsid w:val="007E6BFA"/>
    <w:rsid w:val="007E6FAA"/>
    <w:rsid w:val="007F042C"/>
    <w:rsid w:val="007F216A"/>
    <w:rsid w:val="007F4688"/>
    <w:rsid w:val="00801CB9"/>
    <w:rsid w:val="008024FF"/>
    <w:rsid w:val="00806A4E"/>
    <w:rsid w:val="00810ED7"/>
    <w:rsid w:val="00813D6C"/>
    <w:rsid w:val="00814BC6"/>
    <w:rsid w:val="00815958"/>
    <w:rsid w:val="0081674C"/>
    <w:rsid w:val="008167A4"/>
    <w:rsid w:val="008169E7"/>
    <w:rsid w:val="0081722A"/>
    <w:rsid w:val="008235E7"/>
    <w:rsid w:val="00824331"/>
    <w:rsid w:val="00826634"/>
    <w:rsid w:val="008268B3"/>
    <w:rsid w:val="0082696D"/>
    <w:rsid w:val="008305FE"/>
    <w:rsid w:val="00833A9C"/>
    <w:rsid w:val="008358AC"/>
    <w:rsid w:val="00841FEE"/>
    <w:rsid w:val="00845294"/>
    <w:rsid w:val="00845E76"/>
    <w:rsid w:val="00846366"/>
    <w:rsid w:val="00847EB4"/>
    <w:rsid w:val="00853FF4"/>
    <w:rsid w:val="0085561E"/>
    <w:rsid w:val="0085589E"/>
    <w:rsid w:val="00867743"/>
    <w:rsid w:val="0087084F"/>
    <w:rsid w:val="00870A90"/>
    <w:rsid w:val="00870F5F"/>
    <w:rsid w:val="0087132C"/>
    <w:rsid w:val="008814AB"/>
    <w:rsid w:val="00883016"/>
    <w:rsid w:val="00887377"/>
    <w:rsid w:val="00890942"/>
    <w:rsid w:val="00894F27"/>
    <w:rsid w:val="008953C5"/>
    <w:rsid w:val="008A6416"/>
    <w:rsid w:val="008B110D"/>
    <w:rsid w:val="008B4F98"/>
    <w:rsid w:val="008B618F"/>
    <w:rsid w:val="008B6DDF"/>
    <w:rsid w:val="008C5F18"/>
    <w:rsid w:val="008C64CC"/>
    <w:rsid w:val="008D05C1"/>
    <w:rsid w:val="008D2E1A"/>
    <w:rsid w:val="008E16F1"/>
    <w:rsid w:val="008E70B6"/>
    <w:rsid w:val="008E7FBF"/>
    <w:rsid w:val="008F2C11"/>
    <w:rsid w:val="008F4729"/>
    <w:rsid w:val="008F52FA"/>
    <w:rsid w:val="008F67AC"/>
    <w:rsid w:val="008F7EDB"/>
    <w:rsid w:val="00900F1C"/>
    <w:rsid w:val="00902999"/>
    <w:rsid w:val="00906200"/>
    <w:rsid w:val="00910752"/>
    <w:rsid w:val="00914A10"/>
    <w:rsid w:val="00915766"/>
    <w:rsid w:val="0091778B"/>
    <w:rsid w:val="00922C0B"/>
    <w:rsid w:val="00923781"/>
    <w:rsid w:val="00927C89"/>
    <w:rsid w:val="0093043A"/>
    <w:rsid w:val="009316AE"/>
    <w:rsid w:val="00934868"/>
    <w:rsid w:val="0093555D"/>
    <w:rsid w:val="009378B5"/>
    <w:rsid w:val="009420C2"/>
    <w:rsid w:val="00946F0D"/>
    <w:rsid w:val="00951D5E"/>
    <w:rsid w:val="00955972"/>
    <w:rsid w:val="009564F5"/>
    <w:rsid w:val="0096341B"/>
    <w:rsid w:val="00965EE4"/>
    <w:rsid w:val="009703B2"/>
    <w:rsid w:val="00971959"/>
    <w:rsid w:val="00971CF1"/>
    <w:rsid w:val="00971DF8"/>
    <w:rsid w:val="009748D7"/>
    <w:rsid w:val="009757E6"/>
    <w:rsid w:val="00982496"/>
    <w:rsid w:val="00983B30"/>
    <w:rsid w:val="00983ECB"/>
    <w:rsid w:val="009853BF"/>
    <w:rsid w:val="0098663F"/>
    <w:rsid w:val="00987ACF"/>
    <w:rsid w:val="00992A2E"/>
    <w:rsid w:val="00992AB2"/>
    <w:rsid w:val="0099755A"/>
    <w:rsid w:val="009A0424"/>
    <w:rsid w:val="009A0C4B"/>
    <w:rsid w:val="009A0D67"/>
    <w:rsid w:val="009A10C2"/>
    <w:rsid w:val="009A31BA"/>
    <w:rsid w:val="009A3E46"/>
    <w:rsid w:val="009A42A9"/>
    <w:rsid w:val="009A42AD"/>
    <w:rsid w:val="009B2566"/>
    <w:rsid w:val="009B77DF"/>
    <w:rsid w:val="009C12AB"/>
    <w:rsid w:val="009C20C0"/>
    <w:rsid w:val="009C29B9"/>
    <w:rsid w:val="009D0218"/>
    <w:rsid w:val="009D173B"/>
    <w:rsid w:val="009D63BC"/>
    <w:rsid w:val="009E2A41"/>
    <w:rsid w:val="009F14D6"/>
    <w:rsid w:val="009F3688"/>
    <w:rsid w:val="009F6417"/>
    <w:rsid w:val="00A00764"/>
    <w:rsid w:val="00A02881"/>
    <w:rsid w:val="00A02A30"/>
    <w:rsid w:val="00A04DD5"/>
    <w:rsid w:val="00A10F0B"/>
    <w:rsid w:val="00A1438F"/>
    <w:rsid w:val="00A145C2"/>
    <w:rsid w:val="00A153DA"/>
    <w:rsid w:val="00A21CF5"/>
    <w:rsid w:val="00A2333F"/>
    <w:rsid w:val="00A256F1"/>
    <w:rsid w:val="00A306ED"/>
    <w:rsid w:val="00A31F71"/>
    <w:rsid w:val="00A366FE"/>
    <w:rsid w:val="00A37751"/>
    <w:rsid w:val="00A44BD3"/>
    <w:rsid w:val="00A46EDA"/>
    <w:rsid w:val="00A52E66"/>
    <w:rsid w:val="00A541CC"/>
    <w:rsid w:val="00A54462"/>
    <w:rsid w:val="00A60670"/>
    <w:rsid w:val="00A62928"/>
    <w:rsid w:val="00A641CD"/>
    <w:rsid w:val="00A706A0"/>
    <w:rsid w:val="00A74B92"/>
    <w:rsid w:val="00A74F81"/>
    <w:rsid w:val="00A94D7E"/>
    <w:rsid w:val="00A95697"/>
    <w:rsid w:val="00A95C8D"/>
    <w:rsid w:val="00A95EA0"/>
    <w:rsid w:val="00A96F5A"/>
    <w:rsid w:val="00AA0B3A"/>
    <w:rsid w:val="00AA23BA"/>
    <w:rsid w:val="00AA6F4A"/>
    <w:rsid w:val="00AB2C35"/>
    <w:rsid w:val="00AB37ED"/>
    <w:rsid w:val="00AC081D"/>
    <w:rsid w:val="00AC199B"/>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073B1"/>
    <w:rsid w:val="00B12972"/>
    <w:rsid w:val="00B14A86"/>
    <w:rsid w:val="00B17A0C"/>
    <w:rsid w:val="00B22360"/>
    <w:rsid w:val="00B22DAC"/>
    <w:rsid w:val="00B26927"/>
    <w:rsid w:val="00B351F8"/>
    <w:rsid w:val="00B3576D"/>
    <w:rsid w:val="00B3585D"/>
    <w:rsid w:val="00B35F15"/>
    <w:rsid w:val="00B3774D"/>
    <w:rsid w:val="00B44C64"/>
    <w:rsid w:val="00B51CBD"/>
    <w:rsid w:val="00B52793"/>
    <w:rsid w:val="00B5412E"/>
    <w:rsid w:val="00B6230B"/>
    <w:rsid w:val="00B62649"/>
    <w:rsid w:val="00B62715"/>
    <w:rsid w:val="00B62AAB"/>
    <w:rsid w:val="00B72ABF"/>
    <w:rsid w:val="00B7472A"/>
    <w:rsid w:val="00B75D93"/>
    <w:rsid w:val="00B77621"/>
    <w:rsid w:val="00B80BDE"/>
    <w:rsid w:val="00B81DDB"/>
    <w:rsid w:val="00B83570"/>
    <w:rsid w:val="00B87403"/>
    <w:rsid w:val="00B94DFB"/>
    <w:rsid w:val="00BA6F2D"/>
    <w:rsid w:val="00BA703E"/>
    <w:rsid w:val="00BB0837"/>
    <w:rsid w:val="00BB0BAC"/>
    <w:rsid w:val="00BB1626"/>
    <w:rsid w:val="00BB60EF"/>
    <w:rsid w:val="00BB6478"/>
    <w:rsid w:val="00BB6D0A"/>
    <w:rsid w:val="00BC0807"/>
    <w:rsid w:val="00BC2D95"/>
    <w:rsid w:val="00BC348F"/>
    <w:rsid w:val="00BC6C68"/>
    <w:rsid w:val="00BD35E0"/>
    <w:rsid w:val="00BD6CE9"/>
    <w:rsid w:val="00BE0803"/>
    <w:rsid w:val="00BF6206"/>
    <w:rsid w:val="00BF6B3B"/>
    <w:rsid w:val="00C02173"/>
    <w:rsid w:val="00C130C0"/>
    <w:rsid w:val="00C13A29"/>
    <w:rsid w:val="00C14BFB"/>
    <w:rsid w:val="00C21F92"/>
    <w:rsid w:val="00C22A94"/>
    <w:rsid w:val="00C24F01"/>
    <w:rsid w:val="00C25F2B"/>
    <w:rsid w:val="00C27457"/>
    <w:rsid w:val="00C32265"/>
    <w:rsid w:val="00C32DA0"/>
    <w:rsid w:val="00C336E6"/>
    <w:rsid w:val="00C354AE"/>
    <w:rsid w:val="00C3589C"/>
    <w:rsid w:val="00C36EE4"/>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5B9"/>
    <w:rsid w:val="00C80C5C"/>
    <w:rsid w:val="00C83353"/>
    <w:rsid w:val="00C8359A"/>
    <w:rsid w:val="00C84321"/>
    <w:rsid w:val="00C86C87"/>
    <w:rsid w:val="00C87D15"/>
    <w:rsid w:val="00C936C4"/>
    <w:rsid w:val="00C968BF"/>
    <w:rsid w:val="00CA32D6"/>
    <w:rsid w:val="00CA3DC9"/>
    <w:rsid w:val="00CB501F"/>
    <w:rsid w:val="00CC1F2F"/>
    <w:rsid w:val="00CD0441"/>
    <w:rsid w:val="00CD4AA2"/>
    <w:rsid w:val="00CD4B44"/>
    <w:rsid w:val="00CE67CF"/>
    <w:rsid w:val="00CF1B6F"/>
    <w:rsid w:val="00CF35E8"/>
    <w:rsid w:val="00D02114"/>
    <w:rsid w:val="00D03A94"/>
    <w:rsid w:val="00D04863"/>
    <w:rsid w:val="00D16DEC"/>
    <w:rsid w:val="00D17F85"/>
    <w:rsid w:val="00D23C5E"/>
    <w:rsid w:val="00D26CF5"/>
    <w:rsid w:val="00D26DE5"/>
    <w:rsid w:val="00D30AC2"/>
    <w:rsid w:val="00D30CA6"/>
    <w:rsid w:val="00D31AF4"/>
    <w:rsid w:val="00D33197"/>
    <w:rsid w:val="00D36DAD"/>
    <w:rsid w:val="00D47B48"/>
    <w:rsid w:val="00D51569"/>
    <w:rsid w:val="00D51C46"/>
    <w:rsid w:val="00D62770"/>
    <w:rsid w:val="00D70A72"/>
    <w:rsid w:val="00D72640"/>
    <w:rsid w:val="00D75B1F"/>
    <w:rsid w:val="00D75FD1"/>
    <w:rsid w:val="00D82300"/>
    <w:rsid w:val="00D82E65"/>
    <w:rsid w:val="00D858ED"/>
    <w:rsid w:val="00D955CB"/>
    <w:rsid w:val="00D9624A"/>
    <w:rsid w:val="00D97209"/>
    <w:rsid w:val="00DA2DBB"/>
    <w:rsid w:val="00DB0E94"/>
    <w:rsid w:val="00DB1009"/>
    <w:rsid w:val="00DB123B"/>
    <w:rsid w:val="00DB2864"/>
    <w:rsid w:val="00DB3D3C"/>
    <w:rsid w:val="00DB6873"/>
    <w:rsid w:val="00DC1A17"/>
    <w:rsid w:val="00DC2D6F"/>
    <w:rsid w:val="00DC5E6F"/>
    <w:rsid w:val="00DD3761"/>
    <w:rsid w:val="00DD3EB1"/>
    <w:rsid w:val="00DD5E68"/>
    <w:rsid w:val="00DE086E"/>
    <w:rsid w:val="00DE1199"/>
    <w:rsid w:val="00DE518C"/>
    <w:rsid w:val="00DE5717"/>
    <w:rsid w:val="00DE62B8"/>
    <w:rsid w:val="00DE7EB2"/>
    <w:rsid w:val="00E05B7E"/>
    <w:rsid w:val="00E07755"/>
    <w:rsid w:val="00E13097"/>
    <w:rsid w:val="00E218F5"/>
    <w:rsid w:val="00E225D8"/>
    <w:rsid w:val="00E243DC"/>
    <w:rsid w:val="00E33652"/>
    <w:rsid w:val="00E410FF"/>
    <w:rsid w:val="00E45DDF"/>
    <w:rsid w:val="00E508B7"/>
    <w:rsid w:val="00E52555"/>
    <w:rsid w:val="00E52CC2"/>
    <w:rsid w:val="00E5529D"/>
    <w:rsid w:val="00E60588"/>
    <w:rsid w:val="00E635CF"/>
    <w:rsid w:val="00E7064E"/>
    <w:rsid w:val="00E73C1D"/>
    <w:rsid w:val="00E76282"/>
    <w:rsid w:val="00E770B1"/>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F0243"/>
    <w:rsid w:val="00EF6001"/>
    <w:rsid w:val="00F02D15"/>
    <w:rsid w:val="00F03E1C"/>
    <w:rsid w:val="00F16292"/>
    <w:rsid w:val="00F22485"/>
    <w:rsid w:val="00F25F89"/>
    <w:rsid w:val="00F2770F"/>
    <w:rsid w:val="00F305DE"/>
    <w:rsid w:val="00F31E10"/>
    <w:rsid w:val="00F363B0"/>
    <w:rsid w:val="00F3723A"/>
    <w:rsid w:val="00F37ED1"/>
    <w:rsid w:val="00F42763"/>
    <w:rsid w:val="00F44C16"/>
    <w:rsid w:val="00F45E08"/>
    <w:rsid w:val="00F475D5"/>
    <w:rsid w:val="00F509A1"/>
    <w:rsid w:val="00F52781"/>
    <w:rsid w:val="00F55770"/>
    <w:rsid w:val="00F64361"/>
    <w:rsid w:val="00F64A3F"/>
    <w:rsid w:val="00F67C47"/>
    <w:rsid w:val="00F718E3"/>
    <w:rsid w:val="00F77BE2"/>
    <w:rsid w:val="00F80181"/>
    <w:rsid w:val="00F80C67"/>
    <w:rsid w:val="00F82BA2"/>
    <w:rsid w:val="00F90580"/>
    <w:rsid w:val="00FA44E8"/>
    <w:rsid w:val="00FA6EDD"/>
    <w:rsid w:val="00FB0A39"/>
    <w:rsid w:val="00FB2E22"/>
    <w:rsid w:val="00FB5348"/>
    <w:rsid w:val="00FB5796"/>
    <w:rsid w:val="00FB6F1A"/>
    <w:rsid w:val="00FC04EC"/>
    <w:rsid w:val="00FC302B"/>
    <w:rsid w:val="00FC5DCD"/>
    <w:rsid w:val="00FE0C3D"/>
    <w:rsid w:val="00FE5AD6"/>
    <w:rsid w:val="00FF04A6"/>
    <w:rsid w:val="01032CB0"/>
    <w:rsid w:val="01352CEB"/>
    <w:rsid w:val="014C6B51"/>
    <w:rsid w:val="01C16070"/>
    <w:rsid w:val="01CD2E9D"/>
    <w:rsid w:val="01FA65AD"/>
    <w:rsid w:val="02627A03"/>
    <w:rsid w:val="028547FC"/>
    <w:rsid w:val="028D7421"/>
    <w:rsid w:val="02925969"/>
    <w:rsid w:val="02987B74"/>
    <w:rsid w:val="02B70804"/>
    <w:rsid w:val="02BA46C4"/>
    <w:rsid w:val="02DB7CB9"/>
    <w:rsid w:val="031A4A2D"/>
    <w:rsid w:val="034A5312"/>
    <w:rsid w:val="035D5A48"/>
    <w:rsid w:val="03660C58"/>
    <w:rsid w:val="037A2DDB"/>
    <w:rsid w:val="03810BC8"/>
    <w:rsid w:val="03B01C9E"/>
    <w:rsid w:val="03E45005"/>
    <w:rsid w:val="03E96876"/>
    <w:rsid w:val="03FF6280"/>
    <w:rsid w:val="04610B65"/>
    <w:rsid w:val="046B4941"/>
    <w:rsid w:val="04B95DD2"/>
    <w:rsid w:val="04D74B21"/>
    <w:rsid w:val="053828F1"/>
    <w:rsid w:val="0545527A"/>
    <w:rsid w:val="05617CFD"/>
    <w:rsid w:val="062B4947"/>
    <w:rsid w:val="0669568A"/>
    <w:rsid w:val="067A500C"/>
    <w:rsid w:val="069F204B"/>
    <w:rsid w:val="06C6248C"/>
    <w:rsid w:val="06CC61D3"/>
    <w:rsid w:val="070E46A7"/>
    <w:rsid w:val="07733ED3"/>
    <w:rsid w:val="079A26F9"/>
    <w:rsid w:val="07BC752A"/>
    <w:rsid w:val="07CC279A"/>
    <w:rsid w:val="07D761FC"/>
    <w:rsid w:val="07DB6498"/>
    <w:rsid w:val="08083865"/>
    <w:rsid w:val="08516931"/>
    <w:rsid w:val="08A92ADB"/>
    <w:rsid w:val="08DC157E"/>
    <w:rsid w:val="09AB11AC"/>
    <w:rsid w:val="09AE46BE"/>
    <w:rsid w:val="0A081459"/>
    <w:rsid w:val="0A326B00"/>
    <w:rsid w:val="0A4F0AA2"/>
    <w:rsid w:val="0A635F4B"/>
    <w:rsid w:val="0A973EE9"/>
    <w:rsid w:val="0AD16BED"/>
    <w:rsid w:val="0B4170F1"/>
    <w:rsid w:val="0B505A69"/>
    <w:rsid w:val="0B534700"/>
    <w:rsid w:val="0B5F4D89"/>
    <w:rsid w:val="0B662F05"/>
    <w:rsid w:val="0BD04822"/>
    <w:rsid w:val="0C1977CA"/>
    <w:rsid w:val="0C3633F3"/>
    <w:rsid w:val="0C5D5081"/>
    <w:rsid w:val="0C6D5860"/>
    <w:rsid w:val="0C7E6A8E"/>
    <w:rsid w:val="0CA856BF"/>
    <w:rsid w:val="0CB17349"/>
    <w:rsid w:val="0CD914B5"/>
    <w:rsid w:val="0D2F7FD6"/>
    <w:rsid w:val="0D773E61"/>
    <w:rsid w:val="0D887163"/>
    <w:rsid w:val="0DB97859"/>
    <w:rsid w:val="0DD64262"/>
    <w:rsid w:val="0DEC6932"/>
    <w:rsid w:val="0E1B7FD7"/>
    <w:rsid w:val="0E305CD7"/>
    <w:rsid w:val="0E317062"/>
    <w:rsid w:val="0E320E7D"/>
    <w:rsid w:val="0E5B405D"/>
    <w:rsid w:val="0EA25910"/>
    <w:rsid w:val="0ECF2B6F"/>
    <w:rsid w:val="0EE97B8E"/>
    <w:rsid w:val="0F0F0F63"/>
    <w:rsid w:val="0F32366B"/>
    <w:rsid w:val="0F77263A"/>
    <w:rsid w:val="0FBF0F10"/>
    <w:rsid w:val="0FEB546A"/>
    <w:rsid w:val="0FEC3293"/>
    <w:rsid w:val="10187F49"/>
    <w:rsid w:val="103A2D2B"/>
    <w:rsid w:val="105D1DBB"/>
    <w:rsid w:val="107931DF"/>
    <w:rsid w:val="109160DD"/>
    <w:rsid w:val="109979E6"/>
    <w:rsid w:val="10D96FA4"/>
    <w:rsid w:val="11937599"/>
    <w:rsid w:val="11BA38CE"/>
    <w:rsid w:val="11E7049D"/>
    <w:rsid w:val="120841D8"/>
    <w:rsid w:val="122E6D2D"/>
    <w:rsid w:val="123B4FDC"/>
    <w:rsid w:val="124156C4"/>
    <w:rsid w:val="124235BD"/>
    <w:rsid w:val="12AB5973"/>
    <w:rsid w:val="12B75DF4"/>
    <w:rsid w:val="12CA0B0F"/>
    <w:rsid w:val="13046389"/>
    <w:rsid w:val="13201BEB"/>
    <w:rsid w:val="13255454"/>
    <w:rsid w:val="135A6088"/>
    <w:rsid w:val="13706DBD"/>
    <w:rsid w:val="13D660DB"/>
    <w:rsid w:val="143A0FC9"/>
    <w:rsid w:val="14627FE2"/>
    <w:rsid w:val="148166BA"/>
    <w:rsid w:val="14A45268"/>
    <w:rsid w:val="14BD0BCC"/>
    <w:rsid w:val="14CE2FE8"/>
    <w:rsid w:val="14D561AF"/>
    <w:rsid w:val="14FC1368"/>
    <w:rsid w:val="15046A4F"/>
    <w:rsid w:val="1527196A"/>
    <w:rsid w:val="15285CB1"/>
    <w:rsid w:val="153B40D2"/>
    <w:rsid w:val="159A2A9E"/>
    <w:rsid w:val="160434BC"/>
    <w:rsid w:val="163F2CAE"/>
    <w:rsid w:val="16B56AEF"/>
    <w:rsid w:val="16E15B36"/>
    <w:rsid w:val="172D7CCE"/>
    <w:rsid w:val="1732567D"/>
    <w:rsid w:val="175B58E8"/>
    <w:rsid w:val="178A3129"/>
    <w:rsid w:val="17985E27"/>
    <w:rsid w:val="17B30CC5"/>
    <w:rsid w:val="17B8106A"/>
    <w:rsid w:val="17CF257F"/>
    <w:rsid w:val="17F77804"/>
    <w:rsid w:val="18DE6304"/>
    <w:rsid w:val="18E41ED8"/>
    <w:rsid w:val="18E65685"/>
    <w:rsid w:val="1942470B"/>
    <w:rsid w:val="19680377"/>
    <w:rsid w:val="1A021C2E"/>
    <w:rsid w:val="1A183821"/>
    <w:rsid w:val="1A1F735F"/>
    <w:rsid w:val="1A737B8C"/>
    <w:rsid w:val="1AF70FC5"/>
    <w:rsid w:val="1B0B48DE"/>
    <w:rsid w:val="1B302BE8"/>
    <w:rsid w:val="1BC1139B"/>
    <w:rsid w:val="1BF400B9"/>
    <w:rsid w:val="1BFD3750"/>
    <w:rsid w:val="1C005B64"/>
    <w:rsid w:val="1C6E53C1"/>
    <w:rsid w:val="1C7A243A"/>
    <w:rsid w:val="1C9D5143"/>
    <w:rsid w:val="1CB57848"/>
    <w:rsid w:val="1CBE2761"/>
    <w:rsid w:val="1D005039"/>
    <w:rsid w:val="1D230C56"/>
    <w:rsid w:val="1D2908C1"/>
    <w:rsid w:val="1D3D2567"/>
    <w:rsid w:val="1D7C04E2"/>
    <w:rsid w:val="1DD957B9"/>
    <w:rsid w:val="1DE81558"/>
    <w:rsid w:val="1DE978C4"/>
    <w:rsid w:val="1E345944"/>
    <w:rsid w:val="1E4A2212"/>
    <w:rsid w:val="1E7874CB"/>
    <w:rsid w:val="1E87445F"/>
    <w:rsid w:val="1ED33FB6"/>
    <w:rsid w:val="1ED878F4"/>
    <w:rsid w:val="1F0A02A8"/>
    <w:rsid w:val="1F334282"/>
    <w:rsid w:val="1FAC462E"/>
    <w:rsid w:val="1FD61FB0"/>
    <w:rsid w:val="1FE65558"/>
    <w:rsid w:val="205D0141"/>
    <w:rsid w:val="207709E4"/>
    <w:rsid w:val="208E5ABE"/>
    <w:rsid w:val="20CE110F"/>
    <w:rsid w:val="20EA55E7"/>
    <w:rsid w:val="21064B47"/>
    <w:rsid w:val="216E26D1"/>
    <w:rsid w:val="2198698A"/>
    <w:rsid w:val="21B82027"/>
    <w:rsid w:val="21BF15BD"/>
    <w:rsid w:val="21C44D90"/>
    <w:rsid w:val="21CF534E"/>
    <w:rsid w:val="21DB7273"/>
    <w:rsid w:val="21E03204"/>
    <w:rsid w:val="225F4AB8"/>
    <w:rsid w:val="22A42708"/>
    <w:rsid w:val="22D36EAB"/>
    <w:rsid w:val="238147AE"/>
    <w:rsid w:val="238242BD"/>
    <w:rsid w:val="24506BB2"/>
    <w:rsid w:val="2470714F"/>
    <w:rsid w:val="247B764C"/>
    <w:rsid w:val="24947709"/>
    <w:rsid w:val="24E915BF"/>
    <w:rsid w:val="255F4A9B"/>
    <w:rsid w:val="25AB3597"/>
    <w:rsid w:val="25F211C5"/>
    <w:rsid w:val="263B734F"/>
    <w:rsid w:val="26442526"/>
    <w:rsid w:val="26543C2E"/>
    <w:rsid w:val="265D3E18"/>
    <w:rsid w:val="268D7140"/>
    <w:rsid w:val="269353D2"/>
    <w:rsid w:val="26A40624"/>
    <w:rsid w:val="26AE7F5A"/>
    <w:rsid w:val="26FF20C4"/>
    <w:rsid w:val="27457A1B"/>
    <w:rsid w:val="274C3FCA"/>
    <w:rsid w:val="2750205B"/>
    <w:rsid w:val="277334B8"/>
    <w:rsid w:val="27821D05"/>
    <w:rsid w:val="27984DD3"/>
    <w:rsid w:val="279B2315"/>
    <w:rsid w:val="27A37FBA"/>
    <w:rsid w:val="27FE20B7"/>
    <w:rsid w:val="2807497A"/>
    <w:rsid w:val="281A4A03"/>
    <w:rsid w:val="28212744"/>
    <w:rsid w:val="282B09BF"/>
    <w:rsid w:val="284941DC"/>
    <w:rsid w:val="285B1C97"/>
    <w:rsid w:val="286345FC"/>
    <w:rsid w:val="289538E0"/>
    <w:rsid w:val="292F703A"/>
    <w:rsid w:val="293F6AC5"/>
    <w:rsid w:val="294066EC"/>
    <w:rsid w:val="295B52D4"/>
    <w:rsid w:val="2972675A"/>
    <w:rsid w:val="299D1B7F"/>
    <w:rsid w:val="299F1664"/>
    <w:rsid w:val="29A03F34"/>
    <w:rsid w:val="29D01E7C"/>
    <w:rsid w:val="29DF0256"/>
    <w:rsid w:val="29DF4DAF"/>
    <w:rsid w:val="29F54480"/>
    <w:rsid w:val="2A126E9B"/>
    <w:rsid w:val="2A3D2C2B"/>
    <w:rsid w:val="2A876D21"/>
    <w:rsid w:val="2A9B65A1"/>
    <w:rsid w:val="2AA71F8F"/>
    <w:rsid w:val="2AD90BA6"/>
    <w:rsid w:val="2B071285"/>
    <w:rsid w:val="2B3B25A7"/>
    <w:rsid w:val="2B431031"/>
    <w:rsid w:val="2B71330F"/>
    <w:rsid w:val="2B844FB6"/>
    <w:rsid w:val="2B9C71DF"/>
    <w:rsid w:val="2B9D755D"/>
    <w:rsid w:val="2BAD17F5"/>
    <w:rsid w:val="2BC74EA2"/>
    <w:rsid w:val="2BCA6741"/>
    <w:rsid w:val="2BE71E7D"/>
    <w:rsid w:val="2CB079EC"/>
    <w:rsid w:val="2CD82132"/>
    <w:rsid w:val="2D123A9F"/>
    <w:rsid w:val="2D124F89"/>
    <w:rsid w:val="2D2877B9"/>
    <w:rsid w:val="2D2C3753"/>
    <w:rsid w:val="2D9F12C1"/>
    <w:rsid w:val="2DA91BDB"/>
    <w:rsid w:val="2DB07696"/>
    <w:rsid w:val="2DDF4725"/>
    <w:rsid w:val="2E330B3F"/>
    <w:rsid w:val="2E331215"/>
    <w:rsid w:val="2E4D0C9D"/>
    <w:rsid w:val="2E597DDE"/>
    <w:rsid w:val="2E6D79D2"/>
    <w:rsid w:val="2EBA26F8"/>
    <w:rsid w:val="2EC36428"/>
    <w:rsid w:val="2EDE558F"/>
    <w:rsid w:val="2EFF2BA5"/>
    <w:rsid w:val="2F106B71"/>
    <w:rsid w:val="2F1F0B51"/>
    <w:rsid w:val="2F5E78CC"/>
    <w:rsid w:val="2F6A673D"/>
    <w:rsid w:val="2FA533D6"/>
    <w:rsid w:val="2FCE0D44"/>
    <w:rsid w:val="2FDF7099"/>
    <w:rsid w:val="300F20AC"/>
    <w:rsid w:val="301A7EDF"/>
    <w:rsid w:val="30292DEB"/>
    <w:rsid w:val="307668EC"/>
    <w:rsid w:val="30980BBB"/>
    <w:rsid w:val="30A11B2E"/>
    <w:rsid w:val="30B90E12"/>
    <w:rsid w:val="30BB502D"/>
    <w:rsid w:val="30D47455"/>
    <w:rsid w:val="30E3452C"/>
    <w:rsid w:val="311E4402"/>
    <w:rsid w:val="31306024"/>
    <w:rsid w:val="31454C16"/>
    <w:rsid w:val="31682C84"/>
    <w:rsid w:val="31B347D4"/>
    <w:rsid w:val="31C418C9"/>
    <w:rsid w:val="31DE5183"/>
    <w:rsid w:val="31E35B1F"/>
    <w:rsid w:val="31F46CAC"/>
    <w:rsid w:val="31FB3AF8"/>
    <w:rsid w:val="32274356"/>
    <w:rsid w:val="323048E9"/>
    <w:rsid w:val="32493792"/>
    <w:rsid w:val="32DC5400"/>
    <w:rsid w:val="32F00761"/>
    <w:rsid w:val="334C3C6E"/>
    <w:rsid w:val="337B6B4A"/>
    <w:rsid w:val="337C1C26"/>
    <w:rsid w:val="33E55BB9"/>
    <w:rsid w:val="33F00D0E"/>
    <w:rsid w:val="34011EE2"/>
    <w:rsid w:val="34031BE8"/>
    <w:rsid w:val="34050C5E"/>
    <w:rsid w:val="340A4F28"/>
    <w:rsid w:val="346E1993"/>
    <w:rsid w:val="348A4B70"/>
    <w:rsid w:val="349120A4"/>
    <w:rsid w:val="34AE374B"/>
    <w:rsid w:val="34B90BA2"/>
    <w:rsid w:val="34E940DB"/>
    <w:rsid w:val="35081201"/>
    <w:rsid w:val="35204D7F"/>
    <w:rsid w:val="354258EB"/>
    <w:rsid w:val="3553798F"/>
    <w:rsid w:val="357F2070"/>
    <w:rsid w:val="35AD3EF5"/>
    <w:rsid w:val="35B01F13"/>
    <w:rsid w:val="35B07A97"/>
    <w:rsid w:val="35B53B02"/>
    <w:rsid w:val="360A1AA8"/>
    <w:rsid w:val="36390C67"/>
    <w:rsid w:val="365E6403"/>
    <w:rsid w:val="368C2F70"/>
    <w:rsid w:val="36975214"/>
    <w:rsid w:val="36F80606"/>
    <w:rsid w:val="37064C28"/>
    <w:rsid w:val="371619FA"/>
    <w:rsid w:val="373C5526"/>
    <w:rsid w:val="377F4883"/>
    <w:rsid w:val="37842204"/>
    <w:rsid w:val="378F6A53"/>
    <w:rsid w:val="37D268C3"/>
    <w:rsid w:val="37D95464"/>
    <w:rsid w:val="384004B6"/>
    <w:rsid w:val="384A0EEA"/>
    <w:rsid w:val="385B0CE8"/>
    <w:rsid w:val="386D59C9"/>
    <w:rsid w:val="38A81BB8"/>
    <w:rsid w:val="38C4052C"/>
    <w:rsid w:val="38EC05E0"/>
    <w:rsid w:val="38FB43DD"/>
    <w:rsid w:val="39514A69"/>
    <w:rsid w:val="397C551E"/>
    <w:rsid w:val="39A5464D"/>
    <w:rsid w:val="39F318FC"/>
    <w:rsid w:val="3A6D130B"/>
    <w:rsid w:val="3A814CE7"/>
    <w:rsid w:val="3A8E2FD1"/>
    <w:rsid w:val="3AB0548E"/>
    <w:rsid w:val="3B7B756F"/>
    <w:rsid w:val="3B8C371F"/>
    <w:rsid w:val="3B932274"/>
    <w:rsid w:val="3BC87466"/>
    <w:rsid w:val="3C047A4D"/>
    <w:rsid w:val="3C5F6349"/>
    <w:rsid w:val="3C9D4BE1"/>
    <w:rsid w:val="3CC316B6"/>
    <w:rsid w:val="3D116246"/>
    <w:rsid w:val="3D80004E"/>
    <w:rsid w:val="3DAF7400"/>
    <w:rsid w:val="3DB17760"/>
    <w:rsid w:val="3DE40001"/>
    <w:rsid w:val="3E421737"/>
    <w:rsid w:val="3E433514"/>
    <w:rsid w:val="3ED4389D"/>
    <w:rsid w:val="3EFB0E15"/>
    <w:rsid w:val="3F1C33C6"/>
    <w:rsid w:val="3F444DCC"/>
    <w:rsid w:val="3F5900B0"/>
    <w:rsid w:val="3F6A0E3E"/>
    <w:rsid w:val="3F7C37F0"/>
    <w:rsid w:val="3FED4F6D"/>
    <w:rsid w:val="3FF52B85"/>
    <w:rsid w:val="401235A2"/>
    <w:rsid w:val="40305DE9"/>
    <w:rsid w:val="405B2F81"/>
    <w:rsid w:val="40677565"/>
    <w:rsid w:val="409018AF"/>
    <w:rsid w:val="40CD3ADB"/>
    <w:rsid w:val="40D907A9"/>
    <w:rsid w:val="40FC6F44"/>
    <w:rsid w:val="4125649B"/>
    <w:rsid w:val="41365678"/>
    <w:rsid w:val="417325FA"/>
    <w:rsid w:val="41831B26"/>
    <w:rsid w:val="41952BC8"/>
    <w:rsid w:val="41973319"/>
    <w:rsid w:val="41BE41FA"/>
    <w:rsid w:val="41C55586"/>
    <w:rsid w:val="41E424CB"/>
    <w:rsid w:val="41F0088E"/>
    <w:rsid w:val="420C765B"/>
    <w:rsid w:val="42224789"/>
    <w:rsid w:val="42745016"/>
    <w:rsid w:val="42815953"/>
    <w:rsid w:val="432A2540"/>
    <w:rsid w:val="433441F5"/>
    <w:rsid w:val="434A2E43"/>
    <w:rsid w:val="43A40672"/>
    <w:rsid w:val="43B84D02"/>
    <w:rsid w:val="444E5D09"/>
    <w:rsid w:val="44767046"/>
    <w:rsid w:val="4485565B"/>
    <w:rsid w:val="44D65450"/>
    <w:rsid w:val="44D81A76"/>
    <w:rsid w:val="44DD3404"/>
    <w:rsid w:val="44E97C79"/>
    <w:rsid w:val="4513605A"/>
    <w:rsid w:val="454D157F"/>
    <w:rsid w:val="45975B03"/>
    <w:rsid w:val="45B03EB7"/>
    <w:rsid w:val="45BC3925"/>
    <w:rsid w:val="45CA7611"/>
    <w:rsid w:val="45EC1356"/>
    <w:rsid w:val="462C3956"/>
    <w:rsid w:val="462D194E"/>
    <w:rsid w:val="463D7F75"/>
    <w:rsid w:val="469925E6"/>
    <w:rsid w:val="46DD36B0"/>
    <w:rsid w:val="470440CB"/>
    <w:rsid w:val="472D73FF"/>
    <w:rsid w:val="473A6796"/>
    <w:rsid w:val="47443E67"/>
    <w:rsid w:val="47C22C96"/>
    <w:rsid w:val="481102EC"/>
    <w:rsid w:val="4844455D"/>
    <w:rsid w:val="48561B05"/>
    <w:rsid w:val="485D2A1D"/>
    <w:rsid w:val="48735DEA"/>
    <w:rsid w:val="48C65BBD"/>
    <w:rsid w:val="48D401DB"/>
    <w:rsid w:val="49044BE8"/>
    <w:rsid w:val="49AC1650"/>
    <w:rsid w:val="4A3B288C"/>
    <w:rsid w:val="4A801B89"/>
    <w:rsid w:val="4A8B215B"/>
    <w:rsid w:val="4A965D14"/>
    <w:rsid w:val="4AB31D2A"/>
    <w:rsid w:val="4AC66295"/>
    <w:rsid w:val="4AE616BF"/>
    <w:rsid w:val="4B544B40"/>
    <w:rsid w:val="4B6416C5"/>
    <w:rsid w:val="4BA80997"/>
    <w:rsid w:val="4BEC6B31"/>
    <w:rsid w:val="4C480FC0"/>
    <w:rsid w:val="4CAA30EC"/>
    <w:rsid w:val="4CB93D4D"/>
    <w:rsid w:val="4CBC202A"/>
    <w:rsid w:val="4CC62D22"/>
    <w:rsid w:val="4CDC4199"/>
    <w:rsid w:val="4D0F1E57"/>
    <w:rsid w:val="4D461BA0"/>
    <w:rsid w:val="4D6F2CBC"/>
    <w:rsid w:val="4D7F0662"/>
    <w:rsid w:val="4D942922"/>
    <w:rsid w:val="4D962288"/>
    <w:rsid w:val="4DBC43F3"/>
    <w:rsid w:val="4DE247A0"/>
    <w:rsid w:val="4EA0023D"/>
    <w:rsid w:val="4EC04089"/>
    <w:rsid w:val="4F4E12B3"/>
    <w:rsid w:val="4F56149D"/>
    <w:rsid w:val="4F613985"/>
    <w:rsid w:val="4F764366"/>
    <w:rsid w:val="4F822D0B"/>
    <w:rsid w:val="4FFD135F"/>
    <w:rsid w:val="500D6A78"/>
    <w:rsid w:val="50562F56"/>
    <w:rsid w:val="505A77E4"/>
    <w:rsid w:val="505F79DB"/>
    <w:rsid w:val="507B4249"/>
    <w:rsid w:val="50895C9C"/>
    <w:rsid w:val="50A55003"/>
    <w:rsid w:val="50AA2368"/>
    <w:rsid w:val="50B4234B"/>
    <w:rsid w:val="50C8299F"/>
    <w:rsid w:val="50E83B5C"/>
    <w:rsid w:val="50EF0631"/>
    <w:rsid w:val="510B1CEC"/>
    <w:rsid w:val="512E46A0"/>
    <w:rsid w:val="514F3B23"/>
    <w:rsid w:val="51752B27"/>
    <w:rsid w:val="52181704"/>
    <w:rsid w:val="524E4E27"/>
    <w:rsid w:val="5271432D"/>
    <w:rsid w:val="52895E25"/>
    <w:rsid w:val="52E16E11"/>
    <w:rsid w:val="53672256"/>
    <w:rsid w:val="537961D3"/>
    <w:rsid w:val="539114A7"/>
    <w:rsid w:val="53AE131D"/>
    <w:rsid w:val="53B607BB"/>
    <w:rsid w:val="5402441A"/>
    <w:rsid w:val="540D4963"/>
    <w:rsid w:val="541B38DD"/>
    <w:rsid w:val="547D39E4"/>
    <w:rsid w:val="548D1853"/>
    <w:rsid w:val="548F677C"/>
    <w:rsid w:val="549C516E"/>
    <w:rsid w:val="54BE2A37"/>
    <w:rsid w:val="54CB09CC"/>
    <w:rsid w:val="54D46A7D"/>
    <w:rsid w:val="551663CF"/>
    <w:rsid w:val="55266A8D"/>
    <w:rsid w:val="55333061"/>
    <w:rsid w:val="55383A98"/>
    <w:rsid w:val="554271C4"/>
    <w:rsid w:val="55664CBF"/>
    <w:rsid w:val="55680542"/>
    <w:rsid w:val="55765394"/>
    <w:rsid w:val="55857916"/>
    <w:rsid w:val="559346D9"/>
    <w:rsid w:val="55CD5ACF"/>
    <w:rsid w:val="55E7676A"/>
    <w:rsid w:val="55F2324D"/>
    <w:rsid w:val="55F45CD0"/>
    <w:rsid w:val="56304F01"/>
    <w:rsid w:val="563D4E84"/>
    <w:rsid w:val="56520417"/>
    <w:rsid w:val="56667E72"/>
    <w:rsid w:val="56717635"/>
    <w:rsid w:val="568421D1"/>
    <w:rsid w:val="56BB3A79"/>
    <w:rsid w:val="56F928BE"/>
    <w:rsid w:val="575813E7"/>
    <w:rsid w:val="57923D07"/>
    <w:rsid w:val="580B0EAB"/>
    <w:rsid w:val="5829793B"/>
    <w:rsid w:val="583A29FB"/>
    <w:rsid w:val="584119B5"/>
    <w:rsid w:val="58CC166E"/>
    <w:rsid w:val="591E5852"/>
    <w:rsid w:val="5927426C"/>
    <w:rsid w:val="59352B9C"/>
    <w:rsid w:val="59481412"/>
    <w:rsid w:val="59562C77"/>
    <w:rsid w:val="595C45CC"/>
    <w:rsid w:val="595D7221"/>
    <w:rsid w:val="597617D2"/>
    <w:rsid w:val="597948E4"/>
    <w:rsid w:val="597F1F2A"/>
    <w:rsid w:val="5A291356"/>
    <w:rsid w:val="5A4D7DAF"/>
    <w:rsid w:val="5A70032F"/>
    <w:rsid w:val="5AB43A17"/>
    <w:rsid w:val="5ACE5056"/>
    <w:rsid w:val="5AED1980"/>
    <w:rsid w:val="5B4D2EC1"/>
    <w:rsid w:val="5B501B3A"/>
    <w:rsid w:val="5B571F8E"/>
    <w:rsid w:val="5B99781D"/>
    <w:rsid w:val="5BC00E43"/>
    <w:rsid w:val="5BC50747"/>
    <w:rsid w:val="5BDF5215"/>
    <w:rsid w:val="5C871960"/>
    <w:rsid w:val="5CB73713"/>
    <w:rsid w:val="5CBE2543"/>
    <w:rsid w:val="5CC13ECF"/>
    <w:rsid w:val="5D0463D2"/>
    <w:rsid w:val="5D0E5901"/>
    <w:rsid w:val="5D720CED"/>
    <w:rsid w:val="5DA27EEB"/>
    <w:rsid w:val="5DB43C38"/>
    <w:rsid w:val="5DB53F06"/>
    <w:rsid w:val="5DB8605A"/>
    <w:rsid w:val="5DFB2CE6"/>
    <w:rsid w:val="5E2224EE"/>
    <w:rsid w:val="5E4D1784"/>
    <w:rsid w:val="5EAA0B3D"/>
    <w:rsid w:val="5ED05841"/>
    <w:rsid w:val="5ED32FCA"/>
    <w:rsid w:val="5EDB47BE"/>
    <w:rsid w:val="5EEE62D3"/>
    <w:rsid w:val="5F0B6E44"/>
    <w:rsid w:val="5F426E42"/>
    <w:rsid w:val="5F4F1DBC"/>
    <w:rsid w:val="5FA447DA"/>
    <w:rsid w:val="5FAD4C7C"/>
    <w:rsid w:val="5FCA2E7D"/>
    <w:rsid w:val="60422732"/>
    <w:rsid w:val="60755A9B"/>
    <w:rsid w:val="60772D76"/>
    <w:rsid w:val="60E7023C"/>
    <w:rsid w:val="61065C21"/>
    <w:rsid w:val="615D3495"/>
    <w:rsid w:val="61606F07"/>
    <w:rsid w:val="617C665C"/>
    <w:rsid w:val="61832F32"/>
    <w:rsid w:val="618D3E31"/>
    <w:rsid w:val="61BC1D0D"/>
    <w:rsid w:val="61D13480"/>
    <w:rsid w:val="61E03DC5"/>
    <w:rsid w:val="61E96DB8"/>
    <w:rsid w:val="62121232"/>
    <w:rsid w:val="623405FC"/>
    <w:rsid w:val="624C125B"/>
    <w:rsid w:val="6331783B"/>
    <w:rsid w:val="63367FF0"/>
    <w:rsid w:val="635A5D45"/>
    <w:rsid w:val="63EF4F8A"/>
    <w:rsid w:val="63FA25AE"/>
    <w:rsid w:val="643248A8"/>
    <w:rsid w:val="64422EE1"/>
    <w:rsid w:val="644F0FB6"/>
    <w:rsid w:val="64654F7E"/>
    <w:rsid w:val="64660DE2"/>
    <w:rsid w:val="64670975"/>
    <w:rsid w:val="648B457F"/>
    <w:rsid w:val="64995609"/>
    <w:rsid w:val="64AE3D29"/>
    <w:rsid w:val="64BA7ECF"/>
    <w:rsid w:val="64D05306"/>
    <w:rsid w:val="65181BD5"/>
    <w:rsid w:val="65804A46"/>
    <w:rsid w:val="65C47781"/>
    <w:rsid w:val="660051BA"/>
    <w:rsid w:val="661577FC"/>
    <w:rsid w:val="666128E0"/>
    <w:rsid w:val="66A36C22"/>
    <w:rsid w:val="66D40875"/>
    <w:rsid w:val="66ED7B69"/>
    <w:rsid w:val="676C7569"/>
    <w:rsid w:val="67992784"/>
    <w:rsid w:val="67B24074"/>
    <w:rsid w:val="68282249"/>
    <w:rsid w:val="682A7219"/>
    <w:rsid w:val="689E6634"/>
    <w:rsid w:val="68A5554E"/>
    <w:rsid w:val="68AC32D7"/>
    <w:rsid w:val="68B50CC9"/>
    <w:rsid w:val="68E402E6"/>
    <w:rsid w:val="68F260D2"/>
    <w:rsid w:val="690E39BB"/>
    <w:rsid w:val="69203608"/>
    <w:rsid w:val="694F3806"/>
    <w:rsid w:val="695A4FEC"/>
    <w:rsid w:val="696723F9"/>
    <w:rsid w:val="6A6038AB"/>
    <w:rsid w:val="6AA36162"/>
    <w:rsid w:val="6AC65D4A"/>
    <w:rsid w:val="6ACD4FD1"/>
    <w:rsid w:val="6AF40B09"/>
    <w:rsid w:val="6B13267C"/>
    <w:rsid w:val="6B160FA9"/>
    <w:rsid w:val="6B5B6CFE"/>
    <w:rsid w:val="6B945283"/>
    <w:rsid w:val="6C4050F1"/>
    <w:rsid w:val="6C6E29DA"/>
    <w:rsid w:val="6C9E0DB3"/>
    <w:rsid w:val="6CB54907"/>
    <w:rsid w:val="6CEF77DA"/>
    <w:rsid w:val="6D056FFD"/>
    <w:rsid w:val="6DA7180D"/>
    <w:rsid w:val="6DD449ED"/>
    <w:rsid w:val="6E386F5E"/>
    <w:rsid w:val="6E781A51"/>
    <w:rsid w:val="6ED52D4F"/>
    <w:rsid w:val="6ED63281"/>
    <w:rsid w:val="6F2431DF"/>
    <w:rsid w:val="6F516A80"/>
    <w:rsid w:val="6F605F58"/>
    <w:rsid w:val="6F7A525E"/>
    <w:rsid w:val="6F8E6C1A"/>
    <w:rsid w:val="6FB71DDC"/>
    <w:rsid w:val="70412229"/>
    <w:rsid w:val="70A46938"/>
    <w:rsid w:val="70C536D7"/>
    <w:rsid w:val="70C96D03"/>
    <w:rsid w:val="70D45599"/>
    <w:rsid w:val="711909E1"/>
    <w:rsid w:val="712D6B22"/>
    <w:rsid w:val="71940794"/>
    <w:rsid w:val="71E010FD"/>
    <w:rsid w:val="721C6DB2"/>
    <w:rsid w:val="725310CC"/>
    <w:rsid w:val="72541E8D"/>
    <w:rsid w:val="72563E57"/>
    <w:rsid w:val="725F3E95"/>
    <w:rsid w:val="72827E86"/>
    <w:rsid w:val="72885C0F"/>
    <w:rsid w:val="728F706D"/>
    <w:rsid w:val="72996FB8"/>
    <w:rsid w:val="72A5093A"/>
    <w:rsid w:val="72BC2E84"/>
    <w:rsid w:val="72C40DC1"/>
    <w:rsid w:val="72D8170D"/>
    <w:rsid w:val="72E13807"/>
    <w:rsid w:val="730B275B"/>
    <w:rsid w:val="732763F5"/>
    <w:rsid w:val="733F6699"/>
    <w:rsid w:val="739B64E9"/>
    <w:rsid w:val="741E1EA8"/>
    <w:rsid w:val="7443665D"/>
    <w:rsid w:val="744414A3"/>
    <w:rsid w:val="744B676F"/>
    <w:rsid w:val="748A0524"/>
    <w:rsid w:val="74DC3800"/>
    <w:rsid w:val="74F82FA3"/>
    <w:rsid w:val="756923C9"/>
    <w:rsid w:val="75C80BC8"/>
    <w:rsid w:val="75E31EA6"/>
    <w:rsid w:val="75E579CC"/>
    <w:rsid w:val="75F01C92"/>
    <w:rsid w:val="76281A9E"/>
    <w:rsid w:val="76612994"/>
    <w:rsid w:val="76A855A8"/>
    <w:rsid w:val="76D421E8"/>
    <w:rsid w:val="76FD6F97"/>
    <w:rsid w:val="77026D29"/>
    <w:rsid w:val="77145783"/>
    <w:rsid w:val="774F13C6"/>
    <w:rsid w:val="776D6665"/>
    <w:rsid w:val="7798356B"/>
    <w:rsid w:val="77A77766"/>
    <w:rsid w:val="77BF424C"/>
    <w:rsid w:val="77C3470A"/>
    <w:rsid w:val="78620798"/>
    <w:rsid w:val="789467A1"/>
    <w:rsid w:val="789D15D0"/>
    <w:rsid w:val="78CC4E73"/>
    <w:rsid w:val="78CF789F"/>
    <w:rsid w:val="78E21FA1"/>
    <w:rsid w:val="790B487C"/>
    <w:rsid w:val="797A042B"/>
    <w:rsid w:val="797D5CF8"/>
    <w:rsid w:val="798C3234"/>
    <w:rsid w:val="79D13BE6"/>
    <w:rsid w:val="79EC76FA"/>
    <w:rsid w:val="7A097A01"/>
    <w:rsid w:val="7A432F13"/>
    <w:rsid w:val="7A5C53A7"/>
    <w:rsid w:val="7A897603"/>
    <w:rsid w:val="7AC05D23"/>
    <w:rsid w:val="7ACB0265"/>
    <w:rsid w:val="7ACF0C29"/>
    <w:rsid w:val="7B276391"/>
    <w:rsid w:val="7B3E0078"/>
    <w:rsid w:val="7B4D2C6C"/>
    <w:rsid w:val="7B937ECA"/>
    <w:rsid w:val="7BB92E7D"/>
    <w:rsid w:val="7BBB62EC"/>
    <w:rsid w:val="7C433F8A"/>
    <w:rsid w:val="7C6E1E61"/>
    <w:rsid w:val="7C7B758C"/>
    <w:rsid w:val="7D00693D"/>
    <w:rsid w:val="7D1D3EEF"/>
    <w:rsid w:val="7D1F0C5F"/>
    <w:rsid w:val="7D56683F"/>
    <w:rsid w:val="7D67516A"/>
    <w:rsid w:val="7DA36220"/>
    <w:rsid w:val="7DBF0DE0"/>
    <w:rsid w:val="7DDD542C"/>
    <w:rsid w:val="7DE66169"/>
    <w:rsid w:val="7DF5150A"/>
    <w:rsid w:val="7DF6029C"/>
    <w:rsid w:val="7E526CD3"/>
    <w:rsid w:val="7E645B88"/>
    <w:rsid w:val="7E76666C"/>
    <w:rsid w:val="7ECD7FF4"/>
    <w:rsid w:val="7F075501"/>
    <w:rsid w:val="7F2350C1"/>
    <w:rsid w:val="7F3B4C8F"/>
    <w:rsid w:val="7F527AE0"/>
    <w:rsid w:val="7F5923A2"/>
    <w:rsid w:val="7F9B4D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4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4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4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4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5">
    <w:name w:val="Default Paragraph Font"/>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9"/>
    <w:unhideWhenUsed/>
    <w:qFormat/>
    <w:uiPriority w:val="1"/>
    <w:pPr>
      <w:spacing w:after="120"/>
    </w:pPr>
  </w:style>
  <w:style w:type="paragraph" w:customStyle="1" w:styleId="3">
    <w:name w:val="style4"/>
    <w:basedOn w:val="1"/>
    <w:next w:val="4"/>
    <w:qFormat/>
    <w:uiPriority w:val="0"/>
    <w:pPr>
      <w:widowControl/>
      <w:spacing w:before="280" w:after="280"/>
    </w:pPr>
    <w:rPr>
      <w:rFonts w:ascii="宋体" w:hAnsi="Times New Roman" w:eastAsia="宋体" w:cs="Times New Roman"/>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annotation text"/>
    <w:basedOn w:val="1"/>
    <w:link w:val="78"/>
    <w:semiHidden/>
    <w:qFormat/>
    <w:uiPriority w:val="0"/>
    <w:pPr>
      <w:jc w:val="left"/>
    </w:pPr>
    <w:rPr>
      <w:rFonts w:ascii="Times New Roman" w:hAnsi="Times New Roman" w:eastAsia="宋体" w:cs="Times New Roman"/>
      <w:kern w:val="0"/>
      <w:sz w:val="20"/>
      <w:szCs w:val="24"/>
    </w:rPr>
  </w:style>
  <w:style w:type="paragraph" w:styleId="12">
    <w:name w:val="Body Text 3"/>
    <w:basedOn w:val="1"/>
    <w:link w:val="48"/>
    <w:qFormat/>
    <w:uiPriority w:val="0"/>
    <w:rPr>
      <w:rFonts w:ascii="Times New Roman" w:hAnsi="Times New Roman" w:eastAsia="宋体" w:cs="Times New Roman"/>
      <w:color w:val="FF0000"/>
      <w:sz w:val="24"/>
      <w:szCs w:val="24"/>
    </w:rPr>
  </w:style>
  <w:style w:type="paragraph" w:styleId="13">
    <w:name w:val="Body Text Indent"/>
    <w:basedOn w:val="1"/>
    <w:next w:val="14"/>
    <w:link w:val="51"/>
    <w:qFormat/>
    <w:uiPriority w:val="0"/>
    <w:pPr>
      <w:adjustRightInd w:val="0"/>
      <w:spacing w:after="120" w:line="360" w:lineRule="atLeast"/>
      <w:ind w:left="420" w:leftChars="200"/>
      <w:jc w:val="left"/>
      <w:textAlignment w:val="baseline"/>
    </w:pPr>
    <w:rPr>
      <w:kern w:val="0"/>
      <w:sz w:val="24"/>
      <w:szCs w:val="20"/>
    </w:rPr>
  </w:style>
  <w:style w:type="paragraph" w:styleId="14">
    <w:name w:val="envelope return"/>
    <w:basedOn w:val="1"/>
    <w:unhideWhenUsed/>
    <w:qFormat/>
    <w:uiPriority w:val="99"/>
    <w:pPr>
      <w:snapToGrid w:val="0"/>
    </w:pPr>
    <w:rPr>
      <w:rFonts w:ascii="Arial" w:hAnsi="Arial"/>
    </w:rPr>
  </w:style>
  <w:style w:type="paragraph" w:styleId="15">
    <w:name w:val="HTML Address"/>
    <w:basedOn w:val="1"/>
    <w:qFormat/>
    <w:uiPriority w:val="0"/>
    <w:pPr>
      <w:widowControl/>
      <w:spacing w:before="100" w:beforeAutospacing="1" w:after="100" w:afterAutospacing="1"/>
      <w:jc w:val="left"/>
    </w:pPr>
    <w:rPr>
      <w:rFonts w:ascii="宋体" w:hAnsi="宋体" w:cs="宋体"/>
      <w:color w:val="333333"/>
      <w:kern w:val="0"/>
      <w:sz w:val="18"/>
      <w:szCs w:val="18"/>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52"/>
    <w:qFormat/>
    <w:uiPriority w:val="99"/>
    <w:rPr>
      <w:rFonts w:eastAsia="宋体"/>
      <w:sz w:val="24"/>
    </w:rPr>
  </w:style>
  <w:style w:type="paragraph" w:styleId="19">
    <w:name w:val="Date"/>
    <w:basedOn w:val="1"/>
    <w:next w:val="1"/>
    <w:link w:val="53"/>
    <w:unhideWhenUsed/>
    <w:qFormat/>
    <w:uiPriority w:val="99"/>
    <w:pPr>
      <w:ind w:left="100" w:leftChars="2500"/>
    </w:pPr>
  </w:style>
  <w:style w:type="paragraph" w:styleId="20">
    <w:name w:val="Balloon Text"/>
    <w:basedOn w:val="1"/>
    <w:link w:val="55"/>
    <w:semiHidden/>
    <w:unhideWhenUsed/>
    <w:qFormat/>
    <w:uiPriority w:val="99"/>
    <w:rPr>
      <w:sz w:val="18"/>
      <w:szCs w:val="18"/>
    </w:rPr>
  </w:style>
  <w:style w:type="paragraph" w:styleId="21">
    <w:name w:val="footer"/>
    <w:basedOn w:val="1"/>
    <w:link w:val="56"/>
    <w:unhideWhenUsed/>
    <w:qFormat/>
    <w:uiPriority w:val="99"/>
    <w:pPr>
      <w:tabs>
        <w:tab w:val="center" w:pos="4153"/>
        <w:tab w:val="right" w:pos="8306"/>
      </w:tabs>
      <w:snapToGrid w:val="0"/>
      <w:jc w:val="left"/>
    </w:pPr>
    <w:rPr>
      <w:sz w:val="18"/>
      <w:szCs w:val="18"/>
    </w:rPr>
  </w:style>
  <w:style w:type="paragraph" w:styleId="22">
    <w:name w:val="header"/>
    <w:basedOn w:val="1"/>
    <w:link w:val="57"/>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Body Text 2"/>
    <w:basedOn w:val="1"/>
    <w:next w:val="25"/>
    <w:qFormat/>
    <w:uiPriority w:val="0"/>
    <w:pPr>
      <w:spacing w:after="120" w:line="480" w:lineRule="auto"/>
    </w:pPr>
  </w:style>
  <w:style w:type="paragraph" w:customStyle="1" w:styleId="25">
    <w:name w:val="标书正文居左"/>
    <w:next w:val="26"/>
    <w:qFormat/>
    <w:uiPriority w:val="0"/>
    <w:pPr>
      <w:widowControl w:val="0"/>
      <w:spacing w:before="50" w:line="480" w:lineRule="exact"/>
      <w:jc w:val="both"/>
    </w:pPr>
    <w:rPr>
      <w:rFonts w:ascii="Calibri" w:hAnsi="Calibri" w:eastAsia="黑体" w:cs="Times New Roman"/>
      <w:b/>
      <w:sz w:val="28"/>
      <w:lang w:val="en-US" w:eastAsia="zh-CN" w:bidi="ar-SA"/>
    </w:rPr>
  </w:style>
  <w:style w:type="paragraph" w:customStyle="1" w:styleId="26">
    <w:name w:val="xl63"/>
    <w:basedOn w:val="1"/>
    <w:next w:val="27"/>
    <w:qFormat/>
    <w:uiPriority w:val="0"/>
    <w:pPr>
      <w:widowControl/>
      <w:shd w:val="clear" w:color="000000" w:fill="FFFFFF"/>
      <w:spacing w:before="280" w:after="280"/>
      <w:jc w:val="center"/>
    </w:pPr>
    <w:rPr>
      <w:rFonts w:ascii="宋体" w:eastAsia="宋体"/>
      <w:color w:val="000000"/>
      <w:sz w:val="24"/>
    </w:rPr>
  </w:style>
  <w:style w:type="paragraph" w:customStyle="1" w:styleId="27">
    <w:name w:val="xl64"/>
    <w:basedOn w:val="1"/>
    <w:next w:val="1"/>
    <w:qFormat/>
    <w:uiPriority w:val="0"/>
    <w:pPr>
      <w:widowControl/>
      <w:shd w:val="clear" w:color="000000" w:fill="FFFFFF"/>
      <w:spacing w:before="280" w:after="280"/>
    </w:pPr>
    <w:rPr>
      <w:rFonts w:ascii="宋体" w:eastAsia="宋体"/>
      <w:color w:val="000000"/>
      <w:sz w:val="24"/>
    </w:rPr>
  </w:style>
  <w:style w:type="paragraph" w:styleId="28">
    <w:name w:val="HTML Preformatted"/>
    <w:basedOn w:val="1"/>
    <w:link w:val="5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9">
    <w:name w:val="Normal (Web)"/>
    <w:basedOn w:val="1"/>
    <w:qFormat/>
    <w:uiPriority w:val="99"/>
    <w:rPr>
      <w:rFonts w:ascii="Calibri" w:hAnsi="Calibri" w:eastAsia="宋体" w:cs="Times New Roman"/>
      <w:sz w:val="24"/>
      <w:szCs w:val="24"/>
    </w:rPr>
  </w:style>
  <w:style w:type="paragraph" w:styleId="30">
    <w:name w:val="Body Text First Indent"/>
    <w:basedOn w:val="2"/>
    <w:next w:val="31"/>
    <w:link w:val="60"/>
    <w:qFormat/>
    <w:uiPriority w:val="0"/>
    <w:pPr>
      <w:ind w:firstLine="420" w:firstLineChars="100"/>
    </w:pPr>
    <w:rPr>
      <w:rFonts w:ascii="宋体" w:hAnsi="Times New Roman" w:eastAsia="宋体" w:cs="Times New Roman"/>
      <w:kern w:val="0"/>
      <w:sz w:val="34"/>
      <w:szCs w:val="20"/>
    </w:rPr>
  </w:style>
  <w:style w:type="paragraph" w:customStyle="1" w:styleId="31">
    <w:name w:val="List Paragraph1"/>
    <w:basedOn w:val="1"/>
    <w:next w:val="1"/>
    <w:qFormat/>
    <w:uiPriority w:val="0"/>
    <w:pPr>
      <w:spacing w:line="240" w:lineRule="auto"/>
      <w:ind w:left="420" w:firstLine="3748"/>
    </w:pPr>
  </w:style>
  <w:style w:type="paragraph" w:styleId="32">
    <w:name w:val="Body Text First Indent 2"/>
    <w:basedOn w:val="13"/>
    <w:next w:val="19"/>
    <w:qFormat/>
    <w:uiPriority w:val="99"/>
    <w:pPr>
      <w:tabs>
        <w:tab w:val="left" w:pos="945"/>
        <w:tab w:val="left" w:pos="1155"/>
      </w:tabs>
      <w:ind w:firstLine="420" w:firstLineChars="200"/>
    </w:p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22"/>
    <w:rPr>
      <w:b/>
      <w:bCs/>
    </w:rPr>
  </w:style>
  <w:style w:type="character" w:styleId="37">
    <w:name w:val="FollowedHyperlink"/>
    <w:basedOn w:val="35"/>
    <w:semiHidden/>
    <w:unhideWhenUsed/>
    <w:qFormat/>
    <w:uiPriority w:val="99"/>
    <w:rPr>
      <w:color w:val="000000"/>
      <w:u w:val="none"/>
    </w:rPr>
  </w:style>
  <w:style w:type="character" w:styleId="38">
    <w:name w:val="Emphasis"/>
    <w:basedOn w:val="35"/>
    <w:qFormat/>
    <w:uiPriority w:val="20"/>
    <w:rPr>
      <w:i/>
      <w:iCs/>
    </w:rPr>
  </w:style>
  <w:style w:type="character" w:styleId="39">
    <w:name w:val="Hyperlink"/>
    <w:basedOn w:val="35"/>
    <w:unhideWhenUsed/>
    <w:qFormat/>
    <w:uiPriority w:val="0"/>
    <w:rPr>
      <w:color w:val="000000"/>
      <w:u w:val="none"/>
    </w:rPr>
  </w:style>
  <w:style w:type="character" w:styleId="40">
    <w:name w:val="annotation reference"/>
    <w:qFormat/>
    <w:uiPriority w:val="0"/>
    <w:rPr>
      <w:sz w:val="21"/>
      <w:szCs w:val="21"/>
    </w:rPr>
  </w:style>
  <w:style w:type="paragraph" w:customStyle="1" w:styleId="41">
    <w:name w:val="_Style 2"/>
    <w:basedOn w:val="1"/>
    <w:next w:val="1"/>
    <w:qFormat/>
    <w:uiPriority w:val="0"/>
    <w:pPr>
      <w:ind w:firstLine="420" w:firstLineChars="200"/>
    </w:p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character" w:customStyle="1" w:styleId="44">
    <w:name w:val="标题 1 Char"/>
    <w:basedOn w:val="35"/>
    <w:link w:val="5"/>
    <w:qFormat/>
    <w:uiPriority w:val="0"/>
    <w:rPr>
      <w:rFonts w:ascii="Calibri" w:hAnsi="Calibri" w:eastAsia="宋体" w:cs="Times New Roman"/>
      <w:b/>
      <w:bCs/>
      <w:kern w:val="44"/>
      <w:sz w:val="44"/>
      <w:szCs w:val="44"/>
    </w:rPr>
  </w:style>
  <w:style w:type="character" w:customStyle="1" w:styleId="45">
    <w:name w:val="标题 2 Char"/>
    <w:basedOn w:val="35"/>
    <w:link w:val="6"/>
    <w:qFormat/>
    <w:uiPriority w:val="0"/>
    <w:rPr>
      <w:rFonts w:ascii="Arial" w:hAnsi="Arial" w:eastAsia="黑体" w:cs="Times New Roman"/>
      <w:b/>
      <w:bCs/>
      <w:kern w:val="0"/>
      <w:sz w:val="32"/>
      <w:szCs w:val="32"/>
    </w:rPr>
  </w:style>
  <w:style w:type="character" w:customStyle="1" w:styleId="46">
    <w:name w:val="标题 3 Char"/>
    <w:basedOn w:val="35"/>
    <w:link w:val="7"/>
    <w:qFormat/>
    <w:uiPriority w:val="0"/>
    <w:rPr>
      <w:rFonts w:ascii="宋体" w:hAnsi="宋体" w:eastAsia="宋体" w:cs="Times New Roman"/>
      <w:b/>
      <w:color w:val="000000"/>
      <w:kern w:val="0"/>
      <w:sz w:val="24"/>
      <w:szCs w:val="20"/>
      <w:lang w:val="en-GB"/>
    </w:rPr>
  </w:style>
  <w:style w:type="character" w:customStyle="1" w:styleId="47">
    <w:name w:val="标题 4 Char"/>
    <w:basedOn w:val="35"/>
    <w:link w:val="8"/>
    <w:qFormat/>
    <w:uiPriority w:val="0"/>
    <w:rPr>
      <w:rFonts w:ascii="Arial" w:hAnsi="Arial" w:eastAsia="黑体" w:cs="Times New Roman"/>
      <w:b/>
      <w:bCs/>
      <w:kern w:val="0"/>
      <w:sz w:val="28"/>
      <w:szCs w:val="28"/>
    </w:rPr>
  </w:style>
  <w:style w:type="character" w:customStyle="1" w:styleId="48">
    <w:name w:val="正文文本 3 Char"/>
    <w:basedOn w:val="35"/>
    <w:link w:val="12"/>
    <w:qFormat/>
    <w:uiPriority w:val="0"/>
    <w:rPr>
      <w:rFonts w:ascii="Times New Roman" w:hAnsi="Times New Roman" w:eastAsia="宋体" w:cs="Times New Roman"/>
      <w:color w:val="FF0000"/>
      <w:sz w:val="24"/>
      <w:szCs w:val="24"/>
    </w:rPr>
  </w:style>
  <w:style w:type="character" w:customStyle="1" w:styleId="49">
    <w:name w:val="正文文本 Char"/>
    <w:basedOn w:val="35"/>
    <w:link w:val="2"/>
    <w:qFormat/>
    <w:uiPriority w:val="99"/>
  </w:style>
  <w:style w:type="character" w:customStyle="1" w:styleId="50">
    <w:name w:val="正文文本缩进 Char"/>
    <w:basedOn w:val="35"/>
    <w:qFormat/>
    <w:uiPriority w:val="0"/>
  </w:style>
  <w:style w:type="character" w:customStyle="1" w:styleId="51">
    <w:name w:val="正文文本缩进 Char1"/>
    <w:basedOn w:val="35"/>
    <w:link w:val="13"/>
    <w:qFormat/>
    <w:uiPriority w:val="0"/>
    <w:rPr>
      <w:kern w:val="0"/>
      <w:sz w:val="24"/>
      <w:szCs w:val="20"/>
    </w:rPr>
  </w:style>
  <w:style w:type="character" w:customStyle="1" w:styleId="52">
    <w:name w:val="纯文本 Char"/>
    <w:basedOn w:val="35"/>
    <w:link w:val="18"/>
    <w:qFormat/>
    <w:uiPriority w:val="99"/>
    <w:rPr>
      <w:rFonts w:eastAsia="宋体"/>
      <w:sz w:val="24"/>
    </w:rPr>
  </w:style>
  <w:style w:type="character" w:customStyle="1" w:styleId="53">
    <w:name w:val="日期 Char"/>
    <w:basedOn w:val="35"/>
    <w:link w:val="19"/>
    <w:qFormat/>
    <w:uiPriority w:val="99"/>
  </w:style>
  <w:style w:type="character" w:customStyle="1" w:styleId="54">
    <w:name w:val="批注框文本 Char"/>
    <w:basedOn w:val="35"/>
    <w:semiHidden/>
    <w:qFormat/>
    <w:uiPriority w:val="99"/>
    <w:rPr>
      <w:sz w:val="18"/>
      <w:szCs w:val="18"/>
    </w:rPr>
  </w:style>
  <w:style w:type="character" w:customStyle="1" w:styleId="55">
    <w:name w:val="批注框文本 Char1"/>
    <w:basedOn w:val="35"/>
    <w:link w:val="20"/>
    <w:semiHidden/>
    <w:qFormat/>
    <w:uiPriority w:val="99"/>
    <w:rPr>
      <w:sz w:val="18"/>
      <w:szCs w:val="18"/>
    </w:rPr>
  </w:style>
  <w:style w:type="character" w:customStyle="1" w:styleId="56">
    <w:name w:val="页脚 Char"/>
    <w:basedOn w:val="35"/>
    <w:link w:val="21"/>
    <w:qFormat/>
    <w:uiPriority w:val="99"/>
    <w:rPr>
      <w:sz w:val="18"/>
      <w:szCs w:val="18"/>
    </w:rPr>
  </w:style>
  <w:style w:type="character" w:customStyle="1" w:styleId="57">
    <w:name w:val="页眉 Char"/>
    <w:basedOn w:val="35"/>
    <w:link w:val="22"/>
    <w:qFormat/>
    <w:uiPriority w:val="99"/>
    <w:rPr>
      <w:sz w:val="18"/>
      <w:szCs w:val="18"/>
    </w:rPr>
  </w:style>
  <w:style w:type="character" w:customStyle="1" w:styleId="58">
    <w:name w:val="HTML 预设格式 Char"/>
    <w:basedOn w:val="35"/>
    <w:semiHidden/>
    <w:qFormat/>
    <w:uiPriority w:val="99"/>
    <w:rPr>
      <w:rFonts w:ascii="宋体" w:hAnsi="宋体" w:eastAsia="宋体" w:cs="宋体"/>
      <w:kern w:val="0"/>
      <w:sz w:val="24"/>
      <w:szCs w:val="24"/>
    </w:rPr>
  </w:style>
  <w:style w:type="character" w:customStyle="1" w:styleId="59">
    <w:name w:val="HTML 预设格式 Char1"/>
    <w:basedOn w:val="35"/>
    <w:link w:val="28"/>
    <w:semiHidden/>
    <w:qFormat/>
    <w:uiPriority w:val="99"/>
    <w:rPr>
      <w:rFonts w:ascii="Courier New" w:hAnsi="Courier New" w:cs="Courier New"/>
      <w:sz w:val="20"/>
      <w:szCs w:val="20"/>
    </w:rPr>
  </w:style>
  <w:style w:type="character" w:customStyle="1" w:styleId="60">
    <w:name w:val="正文首行缩进 Char"/>
    <w:basedOn w:val="49"/>
    <w:link w:val="30"/>
    <w:qFormat/>
    <w:uiPriority w:val="0"/>
    <w:rPr>
      <w:rFonts w:ascii="宋体" w:hAnsi="Times New Roman" w:eastAsia="宋体" w:cs="Times New Roman"/>
      <w:kern w:val="0"/>
      <w:sz w:val="34"/>
      <w:szCs w:val="20"/>
    </w:rPr>
  </w:style>
  <w:style w:type="character" w:customStyle="1" w:styleId="61">
    <w:name w:val="纯文本 Char1"/>
    <w:qFormat/>
    <w:uiPriority w:val="0"/>
    <w:rPr>
      <w:rFonts w:eastAsia="宋体"/>
      <w:sz w:val="24"/>
    </w:rPr>
  </w:style>
  <w:style w:type="paragraph" w:styleId="62">
    <w:name w:val="List Paragraph"/>
    <w:basedOn w:val="1"/>
    <w:unhideWhenUsed/>
    <w:qFormat/>
    <w:uiPriority w:val="99"/>
    <w:pPr>
      <w:ind w:firstLine="420" w:firstLineChars="200"/>
    </w:pPr>
  </w:style>
  <w:style w:type="character" w:customStyle="1" w:styleId="63">
    <w:name w:val="正文文本缩进 Char Char"/>
    <w:link w:val="64"/>
    <w:qFormat/>
    <w:uiPriority w:val="0"/>
    <w:rPr>
      <w:rFonts w:ascii="宋体"/>
      <w:sz w:val="24"/>
    </w:rPr>
  </w:style>
  <w:style w:type="paragraph" w:customStyle="1" w:styleId="64">
    <w:name w:val="正文文本缩进1"/>
    <w:basedOn w:val="1"/>
    <w:link w:val="63"/>
    <w:qFormat/>
    <w:uiPriority w:val="0"/>
    <w:pPr>
      <w:spacing w:line="360" w:lineRule="auto"/>
      <w:ind w:firstLine="480" w:firstLineChars="200"/>
    </w:pPr>
    <w:rPr>
      <w:rFonts w:ascii="宋体"/>
      <w:sz w:val="24"/>
    </w:rPr>
  </w:style>
  <w:style w:type="character" w:customStyle="1" w:styleId="65">
    <w:name w:val="日期 Char Char"/>
    <w:link w:val="66"/>
    <w:qFormat/>
    <w:uiPriority w:val="0"/>
    <w:rPr>
      <w:sz w:val="24"/>
    </w:rPr>
  </w:style>
  <w:style w:type="paragraph" w:customStyle="1" w:styleId="66">
    <w:name w:val="日期1"/>
    <w:basedOn w:val="1"/>
    <w:next w:val="1"/>
    <w:link w:val="65"/>
    <w:qFormat/>
    <w:uiPriority w:val="0"/>
    <w:rPr>
      <w:sz w:val="24"/>
    </w:rPr>
  </w:style>
  <w:style w:type="paragraph" w:customStyle="1" w:styleId="6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70">
    <w:name w:val="edittexttarea"/>
    <w:basedOn w:val="35"/>
    <w:qFormat/>
    <w:uiPriority w:val="0"/>
  </w:style>
  <w:style w:type="paragraph" w:customStyle="1" w:styleId="71">
    <w:name w:val="样式 标题 1 + 四号 居中 段前: 12 磅 段后: 12 磅 行距: 单倍行距"/>
    <w:basedOn w:val="5"/>
    <w:qFormat/>
    <w:uiPriority w:val="0"/>
    <w:pPr>
      <w:spacing w:before="240" w:after="240" w:line="240" w:lineRule="auto"/>
      <w:ind w:left="-288"/>
      <w:jc w:val="center"/>
    </w:pPr>
    <w:rPr>
      <w:rFonts w:cs="宋体"/>
      <w:sz w:val="28"/>
      <w:szCs w:val="20"/>
    </w:rPr>
  </w:style>
  <w:style w:type="paragraph" w:customStyle="1" w:styleId="7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73">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74">
    <w:name w:val="*正文"/>
    <w:basedOn w:val="1"/>
    <w:qFormat/>
    <w:uiPriority w:val="0"/>
    <w:pPr>
      <w:keepNext/>
      <w:keepLines/>
      <w:spacing w:line="360" w:lineRule="auto"/>
      <w:ind w:firstLine="200" w:firstLineChars="200"/>
    </w:pPr>
    <w:rPr>
      <w:rFonts w:ascii="宋体" w:hAnsi="宋体"/>
    </w:rPr>
  </w:style>
  <w:style w:type="paragraph" w:customStyle="1" w:styleId="75">
    <w:name w:val="表格样式"/>
    <w:qFormat/>
    <w:uiPriority w:val="0"/>
    <w:pPr>
      <w:framePr w:hSpace="180" w:wrap="around" w:vAnchor="text" w:hAnchor="page" w:x="1582" w:y="302"/>
      <w:contextualSpacing/>
    </w:pPr>
    <w:rPr>
      <w:rFonts w:ascii="宋体" w:hAnsi="微软雅黑" w:eastAsia="宋体" w:cs="Times New Roman"/>
      <w:kern w:val="2"/>
      <w:sz w:val="24"/>
      <w:szCs w:val="28"/>
      <w:lang w:val="en-US" w:eastAsia="zh-CN" w:bidi="ar-SA"/>
    </w:rPr>
  </w:style>
  <w:style w:type="paragraph" w:styleId="76">
    <w:name w:val="No Spacing"/>
    <w:qFormat/>
    <w:uiPriority w:val="1"/>
    <w:pPr>
      <w:widowControl w:val="0"/>
      <w:spacing w:line="360" w:lineRule="auto"/>
      <w:jc w:val="both"/>
    </w:pPr>
    <w:rPr>
      <w:rFonts w:ascii="宋体" w:eastAsia="宋体" w:hAnsiTheme="minorHAnsi" w:cstheme="minorBidi"/>
      <w:kern w:val="2"/>
      <w:sz w:val="24"/>
      <w:szCs w:val="22"/>
      <w:lang w:val="en-US" w:eastAsia="zh-CN" w:bidi="ar-SA"/>
    </w:rPr>
  </w:style>
  <w:style w:type="paragraph" w:customStyle="1" w:styleId="77">
    <w:name w:val="列表段落1"/>
    <w:basedOn w:val="1"/>
    <w:qFormat/>
    <w:uiPriority w:val="1"/>
    <w:pPr>
      <w:ind w:firstLine="420"/>
    </w:pPr>
  </w:style>
  <w:style w:type="character" w:customStyle="1" w:styleId="78">
    <w:name w:val="批注文字 Char"/>
    <w:link w:val="11"/>
    <w:semiHidden/>
    <w:qFormat/>
    <w:uiPriority w:val="0"/>
    <w:rPr>
      <w:szCs w:val="24"/>
    </w:rPr>
  </w:style>
  <w:style w:type="character" w:customStyle="1" w:styleId="79">
    <w:name w:val="批注文字 字符"/>
    <w:basedOn w:val="35"/>
    <w:semiHidden/>
    <w:qFormat/>
    <w:uiPriority w:val="99"/>
    <w:rPr>
      <w:rFonts w:asciiTheme="minorHAnsi" w:hAnsiTheme="minorHAnsi" w:eastAsiaTheme="minorEastAsia" w:cstheme="minorBidi"/>
      <w:kern w:val="2"/>
      <w:sz w:val="21"/>
      <w:szCs w:val="22"/>
    </w:rPr>
  </w:style>
  <w:style w:type="paragraph" w:customStyle="1" w:styleId="80">
    <w:name w:val="无间隔1"/>
    <w:basedOn w:val="1"/>
    <w:qFormat/>
    <w:uiPriority w:val="0"/>
    <w:pPr>
      <w:spacing w:line="400" w:lineRule="exact"/>
    </w:pPr>
    <w:rPr>
      <w:sz w:val="24"/>
    </w:rPr>
  </w:style>
  <w:style w:type="character" w:customStyle="1" w:styleId="81">
    <w:name w:val="right"/>
    <w:basedOn w:val="35"/>
    <w:qFormat/>
    <w:uiPriority w:val="0"/>
    <w:rPr>
      <w:color w:val="999999"/>
      <w:sz w:val="18"/>
      <w:szCs w:val="18"/>
    </w:rPr>
  </w:style>
  <w:style w:type="character" w:customStyle="1" w:styleId="82">
    <w:name w:val="green"/>
    <w:basedOn w:val="35"/>
    <w:qFormat/>
    <w:uiPriority w:val="0"/>
    <w:rPr>
      <w:color w:val="66AE00"/>
      <w:sz w:val="18"/>
      <w:szCs w:val="18"/>
    </w:rPr>
  </w:style>
  <w:style w:type="character" w:customStyle="1" w:styleId="83">
    <w:name w:val="red"/>
    <w:basedOn w:val="35"/>
    <w:qFormat/>
    <w:uiPriority w:val="0"/>
    <w:rPr>
      <w:color w:val="FF0000"/>
      <w:sz w:val="18"/>
      <w:szCs w:val="18"/>
    </w:rPr>
  </w:style>
  <w:style w:type="character" w:customStyle="1" w:styleId="84">
    <w:name w:val="red1"/>
    <w:basedOn w:val="35"/>
    <w:qFormat/>
    <w:uiPriority w:val="0"/>
    <w:rPr>
      <w:color w:val="66AE00"/>
      <w:sz w:val="18"/>
      <w:szCs w:val="18"/>
    </w:rPr>
  </w:style>
  <w:style w:type="character" w:customStyle="1" w:styleId="85">
    <w:name w:val="red2"/>
    <w:basedOn w:val="35"/>
    <w:qFormat/>
    <w:uiPriority w:val="0"/>
    <w:rPr>
      <w:color w:val="CC0000"/>
    </w:rPr>
  </w:style>
  <w:style w:type="character" w:customStyle="1" w:styleId="86">
    <w:name w:val="red3"/>
    <w:basedOn w:val="35"/>
    <w:qFormat/>
    <w:uiPriority w:val="0"/>
    <w:rPr>
      <w:color w:val="FF0000"/>
    </w:rPr>
  </w:style>
  <w:style w:type="character" w:customStyle="1" w:styleId="87">
    <w:name w:val="hover25"/>
    <w:basedOn w:val="35"/>
    <w:qFormat/>
    <w:uiPriority w:val="0"/>
  </w:style>
  <w:style w:type="character" w:customStyle="1" w:styleId="88">
    <w:name w:val="active4"/>
    <w:basedOn w:val="35"/>
    <w:qFormat/>
    <w:uiPriority w:val="0"/>
    <w:rPr>
      <w:color w:val="FFFFFF"/>
      <w:shd w:val="clear" w:color="auto" w:fill="2B7AFC"/>
    </w:rPr>
  </w:style>
  <w:style w:type="character" w:customStyle="1" w:styleId="89">
    <w:name w:val="blue"/>
    <w:basedOn w:val="35"/>
    <w:qFormat/>
    <w:uiPriority w:val="0"/>
    <w:rPr>
      <w:color w:val="0371C6"/>
      <w:sz w:val="21"/>
      <w:szCs w:val="21"/>
    </w:rPr>
  </w:style>
  <w:style w:type="character" w:customStyle="1" w:styleId="90">
    <w:name w:val="gb-jt"/>
    <w:basedOn w:val="35"/>
    <w:qFormat/>
    <w:uiPriority w:val="0"/>
  </w:style>
  <w:style w:type="character" w:customStyle="1" w:styleId="91">
    <w:name w:val="green1"/>
    <w:basedOn w:val="35"/>
    <w:qFormat/>
    <w:uiPriority w:val="0"/>
    <w:rPr>
      <w:color w:val="66AE00"/>
      <w:sz w:val="18"/>
      <w:szCs w:val="18"/>
    </w:rPr>
  </w:style>
  <w:style w:type="character" w:customStyle="1" w:styleId="92">
    <w:name w:val="页码1"/>
    <w:basedOn w:val="35"/>
    <w:qFormat/>
    <w:uiPriority w:val="0"/>
  </w:style>
  <w:style w:type="character" w:customStyle="1" w:styleId="93">
    <w:name w:val="font31"/>
    <w:basedOn w:val="35"/>
    <w:qFormat/>
    <w:uiPriority w:val="0"/>
    <w:rPr>
      <w:rFonts w:hint="eastAsia" w:ascii="宋体" w:hAnsi="宋体" w:eastAsia="宋体" w:cs="宋体"/>
      <w:color w:val="000000"/>
      <w:sz w:val="24"/>
      <w:szCs w:val="24"/>
      <w:u w:val="none"/>
    </w:rPr>
  </w:style>
  <w:style w:type="character" w:customStyle="1" w:styleId="94">
    <w:name w:val="font71"/>
    <w:basedOn w:val="35"/>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Pages>86</Pages>
  <Words>50320</Words>
  <Characters>55933</Characters>
  <Lines>297</Lines>
  <Paragraphs>83</Paragraphs>
  <TotalTime>13</TotalTime>
  <ScaleCrop>false</ScaleCrop>
  <LinksUpToDate>false</LinksUpToDate>
  <CharactersWithSpaces>58278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Admin</dc:creator>
  <cp:lastModifiedBy>.唯一 D.se彩</cp:lastModifiedBy>
  <cp:lastPrinted>2022-08-01T07:03:00Z</cp:lastPrinted>
  <dcterms:modified xsi:type="dcterms:W3CDTF">2023-06-16T06:39:34Z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A8E918D318DD4E2AACC1C45A92EA2F15_13</vt:lpwstr>
  </property>
</Properties>
</file>