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6"/>
          <w:szCs w:val="36"/>
          <w:highlight w:val="none"/>
        </w:rPr>
      </w:pPr>
    </w:p>
    <w:p>
      <w:pPr>
        <w:spacing w:line="360" w:lineRule="auto"/>
        <w:jc w:val="center"/>
        <w:rPr>
          <w:rFonts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禹州市市场监督管理局知识产权快速维权中心建设项目（不见面开标）</w:t>
      </w: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微软简隶书" w:eastAsia="微软简隶书"/>
          <w:color w:val="000000"/>
          <w:sz w:val="20"/>
          <w:szCs w:val="21"/>
          <w:highlight w:val="none"/>
        </w:rPr>
      </w:pPr>
    </w:p>
    <w:p>
      <w:pPr>
        <w:rPr>
          <w:rFonts w:ascii="微软简隶书" w:eastAsia="微软简隶书"/>
          <w:color w:val="000000"/>
          <w:sz w:val="20"/>
          <w:szCs w:val="21"/>
          <w:highlight w:val="none"/>
        </w:rPr>
      </w:pPr>
    </w:p>
    <w:p>
      <w:pPr>
        <w:jc w:val="center"/>
        <w:rPr>
          <w:rFonts w:ascii="黑体" w:hAnsi="黑体" w:eastAsia="黑体" w:cs="黑体"/>
          <w:b/>
          <w:color w:val="000000"/>
          <w:w w:val="90"/>
          <w:sz w:val="72"/>
          <w:szCs w:val="72"/>
          <w:highlight w:val="none"/>
        </w:rPr>
      </w:pPr>
      <w:r>
        <w:rPr>
          <w:rFonts w:hint="eastAsia" w:ascii="黑体" w:hAnsi="黑体" w:eastAsia="黑体" w:cs="黑体"/>
          <w:b/>
          <w:color w:val="000000"/>
          <w:w w:val="90"/>
          <w:sz w:val="72"/>
          <w:szCs w:val="72"/>
          <w:highlight w:val="none"/>
          <w:lang w:val="en-US" w:eastAsia="zh-CN"/>
        </w:rPr>
        <w:t>第二标段</w:t>
      </w:r>
      <w:r>
        <w:rPr>
          <w:rFonts w:hint="eastAsia" w:ascii="黑体" w:hAnsi="黑体" w:eastAsia="黑体" w:cs="黑体"/>
          <w:b/>
          <w:color w:val="000000"/>
          <w:w w:val="90"/>
          <w:sz w:val="72"/>
          <w:szCs w:val="72"/>
          <w:highlight w:val="none"/>
        </w:rPr>
        <w:t>招标文件</w:t>
      </w: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pStyle w:val="2"/>
        <w:rPr>
          <w:highlight w:val="none"/>
        </w:rPr>
      </w:pPr>
    </w:p>
    <w:p>
      <w:pPr>
        <w:rPr>
          <w:rFonts w:ascii="微软简隶书" w:eastAsia="微软简隶书"/>
          <w:color w:val="000000"/>
          <w:highlight w:val="none"/>
        </w:rPr>
      </w:pPr>
    </w:p>
    <w:p>
      <w:pPr>
        <w:adjustRightInd w:val="0"/>
        <w:snapToGrid w:val="0"/>
        <w:spacing w:line="600" w:lineRule="auto"/>
        <w:ind w:firstLine="643" w:firstLineChars="200"/>
        <w:jc w:val="left"/>
        <w:rPr>
          <w:rFonts w:ascii="宋体" w:hAnsi="宋体" w:cs="宋体"/>
          <w:color w:val="000000"/>
          <w:sz w:val="28"/>
          <w:highlight w:val="none"/>
        </w:rPr>
      </w:pPr>
      <w:r>
        <w:rPr>
          <w:rFonts w:hint="eastAsia" w:ascii="宋体" w:hAnsi="宋体" w:cs="宋体"/>
          <w:b/>
          <w:bCs/>
          <w:color w:val="000000"/>
          <w:sz w:val="32"/>
          <w:szCs w:val="32"/>
          <w:highlight w:val="none"/>
        </w:rPr>
        <w:t>项目编号</w:t>
      </w:r>
      <w:r>
        <w:rPr>
          <w:rFonts w:hint="eastAsia" w:ascii="宋体" w:hAnsi="宋体" w:cs="宋体"/>
          <w:color w:val="000000"/>
          <w:sz w:val="32"/>
          <w:szCs w:val="32"/>
          <w:highlight w:val="none"/>
        </w:rPr>
        <w:t xml:space="preserve">：  </w:t>
      </w:r>
      <w:r>
        <w:rPr>
          <w:rFonts w:hint="eastAsia" w:ascii="宋体" w:hAnsi="宋体" w:cs="宋体"/>
          <w:color w:val="000000"/>
          <w:sz w:val="32"/>
          <w:szCs w:val="32"/>
          <w:highlight w:val="none"/>
          <w:u w:val="single"/>
        </w:rPr>
        <w:tab/>
      </w:r>
      <w:r>
        <w:rPr>
          <w:rFonts w:ascii="宋体" w:hAnsi="宋体" w:cs="宋体"/>
          <w:color w:val="000000"/>
          <w:sz w:val="32"/>
          <w:szCs w:val="32"/>
          <w:highlight w:val="none"/>
          <w:u w:val="single"/>
        </w:rPr>
        <w:t xml:space="preserve"> YZCG-DLG202</w:t>
      </w:r>
      <w:r>
        <w:rPr>
          <w:rFonts w:hint="eastAsia" w:ascii="宋体" w:hAnsi="宋体" w:cs="宋体"/>
          <w:color w:val="000000"/>
          <w:sz w:val="32"/>
          <w:szCs w:val="32"/>
          <w:highlight w:val="none"/>
          <w:u w:val="single"/>
          <w:lang w:val="en-US" w:eastAsia="zh-CN"/>
        </w:rPr>
        <w:t>3046</w:t>
      </w:r>
      <w:r>
        <w:rPr>
          <w:rFonts w:ascii="宋体" w:hAnsi="宋体" w:cs="宋体"/>
          <w:color w:val="000000"/>
          <w:sz w:val="32"/>
          <w:szCs w:val="32"/>
          <w:highlight w:val="none"/>
          <w:u w:val="single"/>
        </w:rPr>
        <w:t xml:space="preserve">                    </w:t>
      </w:r>
    </w:p>
    <w:p>
      <w:pPr>
        <w:adjustRightInd w:val="0"/>
        <w:snapToGrid w:val="0"/>
        <w:spacing w:line="600" w:lineRule="auto"/>
        <w:ind w:firstLine="643" w:firstLineChars="200"/>
        <w:rPr>
          <w:rFonts w:ascii="宋体" w:hAnsi="宋体" w:cs="宋体"/>
          <w:color w:val="000000"/>
          <w:sz w:val="32"/>
          <w:szCs w:val="32"/>
          <w:highlight w:val="none"/>
          <w:u w:val="single"/>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rPr>
        <w:t xml:space="preserve">： </w:t>
      </w:r>
      <w:r>
        <w:rPr>
          <w:rFonts w:hint="eastAsia" w:ascii="宋体" w:hAnsi="宋体" w:cs="宋体"/>
          <w:color w:val="000000"/>
          <w:sz w:val="32"/>
          <w:szCs w:val="32"/>
          <w:highlight w:val="none"/>
          <w:u w:val="single"/>
        </w:rPr>
        <w:t xml:space="preserve"> </w:t>
      </w:r>
      <w:r>
        <w:rPr>
          <w:rFonts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rPr>
        <w:t xml:space="preserve">禹州市市场监督管理局          </w:t>
      </w:r>
      <w:r>
        <w:rPr>
          <w:rFonts w:ascii="宋体" w:hAnsi="宋体" w:cs="宋体"/>
          <w:color w:val="000000"/>
          <w:sz w:val="32"/>
          <w:szCs w:val="32"/>
          <w:highlight w:val="none"/>
          <w:u w:val="single"/>
        </w:rPr>
        <w:t xml:space="preserve">        </w:t>
      </w:r>
    </w:p>
    <w:p>
      <w:pPr>
        <w:adjustRightInd w:val="0"/>
        <w:snapToGrid w:val="0"/>
        <w:spacing w:line="600" w:lineRule="auto"/>
        <w:ind w:firstLine="643" w:firstLineChars="200"/>
        <w:rPr>
          <w:rFonts w:ascii="宋体" w:hAnsi="宋体" w:cs="宋体"/>
          <w:color w:val="000000"/>
          <w:sz w:val="32"/>
          <w:szCs w:val="32"/>
          <w:highlight w:val="none"/>
        </w:rPr>
      </w:pPr>
      <w:r>
        <w:rPr>
          <w:rFonts w:hint="eastAsia" w:ascii="宋体" w:hAnsi="宋体" w:cs="宋体"/>
          <w:b/>
          <w:bCs/>
          <w:color w:val="000000"/>
          <w:sz w:val="32"/>
          <w:szCs w:val="32"/>
          <w:highlight w:val="none"/>
        </w:rPr>
        <w:t>采购代理机构</w:t>
      </w:r>
      <w:r>
        <w:rPr>
          <w:rFonts w:hint="eastAsia" w:ascii="宋体" w:hAnsi="宋体" w:cs="宋体"/>
          <w:color w:val="000000"/>
          <w:sz w:val="32"/>
          <w:szCs w:val="32"/>
          <w:highlight w:val="none"/>
        </w:rPr>
        <w:t>：</w:t>
      </w:r>
      <w:r>
        <w:rPr>
          <w:rFonts w:hint="eastAsia" w:ascii="宋体" w:hAnsi="宋体" w:cs="宋体"/>
          <w:color w:val="000000"/>
          <w:sz w:val="32"/>
          <w:szCs w:val="32"/>
          <w:highlight w:val="none"/>
          <w:u w:val="single"/>
        </w:rPr>
        <w:t>建基工程咨询有限公司</w:t>
      </w:r>
      <w:r>
        <w:rPr>
          <w:rFonts w:hint="eastAsia" w:ascii="宋体" w:hAnsi="宋体" w:cs="宋体"/>
          <w:sz w:val="32"/>
          <w:szCs w:val="32"/>
          <w:highlight w:val="none"/>
          <w:u w:val="single"/>
        </w:rPr>
        <w:t xml:space="preserve">        </w:t>
      </w:r>
      <w:r>
        <w:rPr>
          <w:rFonts w:ascii="宋体" w:hAnsi="宋体" w:cs="宋体"/>
          <w:sz w:val="32"/>
          <w:szCs w:val="32"/>
          <w:highlight w:val="none"/>
          <w:u w:val="single"/>
        </w:rPr>
        <w:t xml:space="preserve">         </w:t>
      </w:r>
      <w:r>
        <w:rPr>
          <w:rFonts w:hint="eastAsia" w:ascii="宋体" w:hAnsi="宋体" w:cs="宋体"/>
          <w:color w:val="000000"/>
          <w:sz w:val="32"/>
          <w:szCs w:val="32"/>
          <w:highlight w:val="none"/>
        </w:rPr>
        <w:t xml:space="preserve"> </w:t>
      </w:r>
    </w:p>
    <w:p>
      <w:pPr>
        <w:adjustRightInd w:val="0"/>
        <w:snapToGrid w:val="0"/>
        <w:spacing w:line="600" w:lineRule="auto"/>
        <w:rPr>
          <w:rFonts w:ascii="华文中宋" w:hAnsi="华文中宋" w:eastAsia="华文中宋"/>
          <w:bCs/>
          <w:color w:val="000000"/>
          <w:kern w:val="36"/>
          <w:sz w:val="32"/>
          <w:szCs w:val="32"/>
          <w:highlight w:val="none"/>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华文中宋" w:eastAsia="华文中宋"/>
          <w:b/>
          <w:bCs/>
          <w:color w:val="000000"/>
          <w:sz w:val="32"/>
          <w:szCs w:val="32"/>
          <w:highlight w:val="none"/>
        </w:rPr>
        <w:t xml:space="preserve">                   </w:t>
      </w:r>
      <w:r>
        <w:rPr>
          <w:rFonts w:hint="eastAsia" w:ascii="华文中宋" w:eastAsia="华文中宋"/>
          <w:color w:val="000000"/>
          <w:sz w:val="32"/>
          <w:szCs w:val="32"/>
          <w:highlight w:val="none"/>
        </w:rPr>
        <w:t xml:space="preserve">  二零二</w:t>
      </w:r>
      <w:r>
        <w:rPr>
          <w:rFonts w:hint="eastAsia" w:ascii="华文中宋" w:eastAsia="华文中宋"/>
          <w:color w:val="000000"/>
          <w:sz w:val="32"/>
          <w:szCs w:val="32"/>
          <w:highlight w:val="none"/>
          <w:lang w:eastAsia="zh-CN"/>
        </w:rPr>
        <w:t>三</w:t>
      </w:r>
      <w:r>
        <w:rPr>
          <w:rFonts w:hint="eastAsia" w:ascii="华文中宋" w:eastAsia="华文中宋"/>
          <w:color w:val="000000"/>
          <w:sz w:val="32"/>
          <w:szCs w:val="32"/>
          <w:highlight w:val="none"/>
        </w:rPr>
        <w:t>年</w:t>
      </w:r>
      <w:r>
        <w:rPr>
          <w:rFonts w:hint="eastAsia" w:ascii="华文中宋" w:eastAsia="华文中宋"/>
          <w:color w:val="000000"/>
          <w:sz w:val="32"/>
          <w:szCs w:val="32"/>
          <w:highlight w:val="none"/>
          <w:lang w:val="en-US" w:eastAsia="zh-CN"/>
        </w:rPr>
        <w:t>六</w:t>
      </w:r>
      <w:r>
        <w:rPr>
          <w:rFonts w:hint="eastAsia" w:ascii="华文中宋" w:eastAsia="华文中宋"/>
          <w:color w:val="000000"/>
          <w:sz w:val="32"/>
          <w:szCs w:val="32"/>
          <w:highlight w:val="none"/>
        </w:rPr>
        <w:t>月</w:t>
      </w:r>
    </w:p>
    <w:p>
      <w:pPr>
        <w:jc w:val="center"/>
        <w:rPr>
          <w:rFonts w:ascii="微软简隶书" w:eastAsia="微软简隶书"/>
          <w:highlight w:val="none"/>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highlight w:val="none"/>
        </w:rPr>
      </w:pPr>
      <w:r>
        <w:rPr>
          <w:rFonts w:hint="eastAsia" w:asciiTheme="majorEastAsia" w:hAnsiTheme="majorEastAsia" w:eastAsiaTheme="majorEastAsia" w:cstheme="majorEastAsia"/>
          <w:b/>
          <w:bCs/>
          <w:sz w:val="30"/>
          <w:szCs w:val="30"/>
          <w:highlight w:val="none"/>
          <w:lang w:val="zh-CN"/>
        </w:rPr>
        <w:t xml:space="preserve">第三章 </w:t>
      </w:r>
      <w:r>
        <w:rPr>
          <w:rFonts w:hint="eastAsia" w:asciiTheme="majorEastAsia" w:hAnsiTheme="majorEastAsia" w:eastAsiaTheme="majorEastAsia" w:cstheme="majorEastAsia"/>
          <w:b/>
          <w:kern w:val="0"/>
          <w:sz w:val="30"/>
          <w:szCs w:val="30"/>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highlight w:val="none"/>
        </w:rPr>
      </w:pPr>
      <w:r>
        <w:rPr>
          <w:rFonts w:hint="eastAsia" w:asciiTheme="majorEastAsia" w:hAnsiTheme="majorEastAsia" w:eastAsiaTheme="majorEastAsia" w:cstheme="majorEastAsia"/>
          <w:b/>
          <w:bCs/>
          <w:sz w:val="30"/>
          <w:szCs w:val="30"/>
          <w:highlight w:val="none"/>
          <w:lang w:val="zh-CN"/>
        </w:rPr>
        <w:t xml:space="preserve">第四章 </w:t>
      </w:r>
      <w:r>
        <w:rPr>
          <w:rFonts w:hint="eastAsia" w:asciiTheme="majorEastAsia" w:hAnsiTheme="majorEastAsia" w:eastAsiaTheme="majorEastAsia" w:cstheme="majorEastAsia"/>
          <w:b/>
          <w:kern w:val="0"/>
          <w:sz w:val="30"/>
          <w:szCs w:val="30"/>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sz w:val="30"/>
          <w:szCs w:val="30"/>
          <w:highlight w:val="none"/>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 xml:space="preserve">第五章 </w:t>
      </w:r>
      <w:r>
        <w:rPr>
          <w:rFonts w:hint="eastAsia" w:asciiTheme="majorEastAsia" w:hAnsiTheme="majorEastAsia" w:eastAsiaTheme="majorEastAsia" w:cstheme="majorEastAsia"/>
          <w:b/>
          <w:kern w:val="0"/>
          <w:sz w:val="30"/>
          <w:szCs w:val="30"/>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 xml:space="preserve">第六章 </w:t>
      </w:r>
      <w:r>
        <w:rPr>
          <w:rFonts w:hint="eastAsia" w:asciiTheme="majorEastAsia" w:hAnsiTheme="majorEastAsia" w:eastAsiaTheme="majorEastAsia" w:cstheme="majorEastAsia"/>
          <w:b/>
          <w:kern w:val="0"/>
          <w:sz w:val="30"/>
          <w:szCs w:val="30"/>
          <w:highlight w:val="none"/>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 xml:space="preserve">第七章 </w:t>
      </w:r>
      <w:r>
        <w:rPr>
          <w:rFonts w:hint="eastAsia" w:asciiTheme="majorEastAsia" w:hAnsiTheme="majorEastAsia" w:eastAsiaTheme="majorEastAsia" w:cstheme="majorEastAsia"/>
          <w:b/>
          <w:kern w:val="0"/>
          <w:sz w:val="30"/>
          <w:szCs w:val="30"/>
          <w:highlight w:val="none"/>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highlight w:val="none"/>
        </w:rPr>
      </w:pPr>
      <w:r>
        <w:rPr>
          <w:rFonts w:hint="eastAsia" w:asciiTheme="majorEastAsia" w:hAnsiTheme="majorEastAsia" w:eastAsiaTheme="majorEastAsia" w:cstheme="majorEastAsia"/>
          <w:b/>
          <w:bCs/>
          <w:sz w:val="30"/>
          <w:szCs w:val="30"/>
          <w:highlight w:val="none"/>
          <w:lang w:val="zh-CN"/>
        </w:rPr>
        <w:t xml:space="preserve">第八章 </w:t>
      </w:r>
      <w:r>
        <w:rPr>
          <w:rFonts w:hint="eastAsia" w:asciiTheme="majorEastAsia" w:hAnsiTheme="majorEastAsia" w:eastAsiaTheme="majorEastAsia" w:cstheme="majorEastAsia"/>
          <w:b/>
          <w:kern w:val="0"/>
          <w:sz w:val="30"/>
          <w:szCs w:val="30"/>
          <w:highlight w:val="none"/>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highlight w:val="none"/>
        </w:rPr>
      </w:pPr>
    </w:p>
    <w:p>
      <w:pPr>
        <w:jc w:val="center"/>
        <w:rPr>
          <w:rFonts w:cs="宋体" w:asciiTheme="majorEastAsia" w:hAnsiTheme="majorEastAsia" w:eastAsiaTheme="majorEastAsia"/>
          <w:b/>
          <w:kern w:val="0"/>
          <w:sz w:val="32"/>
          <w:szCs w:val="32"/>
          <w:highlight w:val="none"/>
        </w:rPr>
      </w:pPr>
    </w:p>
    <w:p>
      <w:pPr>
        <w:jc w:val="both"/>
        <w:rPr>
          <w:rFonts w:cs="宋体" w:asciiTheme="majorEastAsia" w:hAnsiTheme="majorEastAsia" w:eastAsiaTheme="majorEastAsia"/>
          <w:b/>
          <w:kern w:val="0"/>
          <w:sz w:val="32"/>
          <w:szCs w:val="32"/>
          <w:highlight w:val="none"/>
        </w:rPr>
      </w:pPr>
    </w:p>
    <w:p>
      <w:pPr>
        <w:pStyle w:val="29"/>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投标邀请</w:t>
      </w:r>
    </w:p>
    <w:p>
      <w:pPr>
        <w:spacing w:line="600" w:lineRule="exact"/>
        <w:jc w:val="center"/>
        <w:rPr>
          <w:rFonts w:hint="eastAsia" w:ascii="宋体" w:hAnsi="宋体" w:eastAsia="宋体" w:cs="宋体"/>
          <w:b/>
          <w:bCs/>
          <w:sz w:val="28"/>
          <w:szCs w:val="28"/>
          <w:highlight w:val="none"/>
        </w:rPr>
      </w:pPr>
      <w:bookmarkStart w:id="0" w:name="_Hlk23412151"/>
      <w:bookmarkStart w:id="1" w:name="_Hlk20646304"/>
      <w:bookmarkStart w:id="2" w:name="_Hlk78217998"/>
      <w:bookmarkStart w:id="3" w:name="_Hlk40949035"/>
      <w:bookmarkStart w:id="4" w:name="_Hlk12871648"/>
      <w:bookmarkStart w:id="5" w:name="_Hlk112162800"/>
      <w:r>
        <w:rPr>
          <w:rFonts w:hint="eastAsia" w:ascii="宋体" w:hAnsi="宋体" w:eastAsia="宋体" w:cs="宋体"/>
          <w:b/>
          <w:bCs/>
          <w:sz w:val="28"/>
          <w:szCs w:val="28"/>
          <w:highlight w:val="none"/>
        </w:rPr>
        <w:t>禹州市市场监督管理局知识产权快速维权中心建设项目</w:t>
      </w: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(不见面开标)招标公告</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建基工程咨询有限公司受禹州市市场监督管理局的委托，就“禹州市市场监督管理局知识产权快速维权中心建设项目（不见面开标）”进行公开招标，欢迎合格投标人前来投标。</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p>
    <w:p>
      <w:pPr>
        <w:autoSpaceDE w:val="0"/>
        <w:autoSpaceDN w:val="0"/>
        <w:adjustRightInd w:val="0"/>
        <w:spacing w:line="360" w:lineRule="auto"/>
        <w:ind w:firstLine="56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1、采购人：禹州市市场监督管理局</w:t>
      </w:r>
      <w:r>
        <w:rPr>
          <w:rFonts w:hint="eastAsia" w:ascii="宋体" w:hAnsi="宋体" w:eastAsia="宋体" w:cs="宋体"/>
          <w:color w:val="000000"/>
          <w:sz w:val="21"/>
          <w:szCs w:val="21"/>
          <w:highlight w:val="none"/>
          <w:lang w:eastAsia="zh-CN"/>
        </w:rPr>
        <w:t>；</w:t>
      </w:r>
    </w:p>
    <w:p>
      <w:pPr>
        <w:autoSpaceDE w:val="0"/>
        <w:autoSpaceDN w:val="0"/>
        <w:adjustRightInd w:val="0"/>
        <w:spacing w:line="360" w:lineRule="auto"/>
        <w:ind w:firstLine="56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2、项目名称：禹州市市场监督管理局知识产权快速维权中心建设项目</w:t>
      </w:r>
      <w:r>
        <w:rPr>
          <w:rFonts w:hint="eastAsia" w:ascii="宋体" w:hAnsi="宋体" w:eastAsia="宋体" w:cs="宋体"/>
          <w:color w:val="000000"/>
          <w:sz w:val="21"/>
          <w:szCs w:val="21"/>
          <w:highlight w:val="none"/>
          <w:lang w:eastAsia="zh-CN"/>
        </w:rPr>
        <w:t>；</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3、采购编号：YZCG-DLG202</w:t>
      </w:r>
      <w:r>
        <w:rPr>
          <w:rFonts w:hint="eastAsia" w:ascii="宋体" w:hAnsi="宋体" w:eastAsia="宋体" w:cs="宋体"/>
          <w:color w:val="000000"/>
          <w:sz w:val="21"/>
          <w:szCs w:val="21"/>
          <w:highlight w:val="none"/>
          <w:lang w:val="en-US" w:eastAsia="zh-CN"/>
        </w:rPr>
        <w:t>3046</w:t>
      </w:r>
      <w:r>
        <w:rPr>
          <w:rFonts w:hint="eastAsia" w:ascii="宋体" w:hAnsi="宋体" w:eastAsia="宋体" w:cs="宋体"/>
          <w:color w:val="000000"/>
          <w:sz w:val="21"/>
          <w:szCs w:val="21"/>
          <w:highlight w:val="none"/>
        </w:rPr>
        <w:t>；</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4、项目需求：知识产权快维中心含装修工程、办公设备、软件工程等项目（详见文件）。</w:t>
      </w:r>
    </w:p>
    <w:p>
      <w:pPr>
        <w:autoSpaceDE w:val="0"/>
        <w:autoSpaceDN w:val="0"/>
        <w:adjustRightInd w:val="0"/>
        <w:spacing w:line="360" w:lineRule="auto"/>
        <w:ind w:firstLine="560"/>
        <w:rPr>
          <w:rFonts w:hint="eastAsia"/>
          <w:highlight w:val="none"/>
        </w:rPr>
      </w:pPr>
      <w:r>
        <w:rPr>
          <w:rFonts w:hint="eastAsia" w:ascii="宋体" w:hAnsi="宋体" w:eastAsia="宋体" w:cs="宋体"/>
          <w:b w:val="0"/>
          <w:color w:val="000000"/>
          <w:kern w:val="2"/>
          <w:sz w:val="21"/>
          <w:szCs w:val="21"/>
          <w:highlight w:val="none"/>
          <w:lang w:val="en-US" w:eastAsia="zh-CN" w:bidi="ar-SA"/>
        </w:rPr>
        <w:t>5、采购范围：招标文件、工程量清单、答疑纪要及补充文件等范围内的所有工程内容；</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、采购预算（采购限价）：</w:t>
      </w:r>
      <w:bookmarkStart w:id="6" w:name="_Hlk19171515"/>
      <w:r>
        <w:rPr>
          <w:rFonts w:hint="eastAsia" w:ascii="宋体" w:hAnsi="宋体" w:eastAsia="宋体" w:cs="宋体"/>
          <w:color w:val="000000"/>
          <w:sz w:val="21"/>
          <w:szCs w:val="21"/>
          <w:highlight w:val="none"/>
        </w:rPr>
        <w:t xml:space="preserve"> 第一标段：1290124.34元；第二标段：2597170元；第三标段：163830元；第四标段：639000元； </w:t>
      </w:r>
    </w:p>
    <w:bookmarkEnd w:id="6"/>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、交付（服务、完工）时间：第一标段合同签订后60日历天内完成；第二标段服务期限三年；</w:t>
      </w:r>
      <w:r>
        <w:rPr>
          <w:rFonts w:hint="eastAsia" w:ascii="宋体" w:hAnsi="宋体" w:eastAsia="宋体" w:cs="宋体"/>
          <w:color w:val="000000"/>
          <w:sz w:val="21"/>
          <w:szCs w:val="21"/>
          <w:highlight w:val="none"/>
          <w:lang w:val="en-US" w:eastAsia="zh-CN"/>
        </w:rPr>
        <w:t>第</w:t>
      </w:r>
      <w:r>
        <w:rPr>
          <w:rFonts w:hint="eastAsia" w:ascii="宋体" w:hAnsi="宋体" w:eastAsia="宋体" w:cs="宋体"/>
          <w:color w:val="000000"/>
          <w:sz w:val="21"/>
          <w:szCs w:val="21"/>
          <w:highlight w:val="none"/>
        </w:rPr>
        <w:t>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标段合同签订后60日历天内完成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质保期1年；</w:t>
      </w:r>
    </w:p>
    <w:p>
      <w:pPr>
        <w:pStyle w:val="2"/>
        <w:ind w:firstLine="630" w:firstLineChars="3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8、是否专门面向中小企业：第一、三标段专门面向中小企业采购，二、四标段不专门面向中小企业采购。</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8、交付（</w:t>
      </w:r>
      <w:r>
        <w:rPr>
          <w:rFonts w:hint="eastAsia" w:ascii="宋体" w:hAnsi="宋体" w:eastAsia="宋体" w:cs="宋体"/>
          <w:color w:val="000000"/>
          <w:sz w:val="21"/>
          <w:szCs w:val="21"/>
          <w:highlight w:val="none"/>
        </w:rPr>
        <w:t>服务、施工）地点：以业主需求为准；</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、标段划分：本项目共划分为四个标段；</w:t>
      </w:r>
    </w:p>
    <w:p>
      <w:pPr>
        <w:pStyle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二、需要落实的政府采购政策</w:t>
      </w:r>
    </w:p>
    <w:p>
      <w:pPr>
        <w:tabs>
          <w:tab w:val="left" w:pos="7095"/>
        </w:tabs>
        <w:spacing w:line="384"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本项目落实节约能源、保护环境、扶持不发达地区和少数民族地区、促进中小企业、监狱企业发展等政府采购政策。（本项目第一、三标段专门面向中小企业采购</w:t>
      </w:r>
      <w:r>
        <w:rPr>
          <w:rFonts w:hint="eastAsia" w:ascii="宋体" w:hAnsi="宋体" w:eastAsia="宋体" w:cs="宋体"/>
          <w:color w:val="000000"/>
          <w:sz w:val="21"/>
          <w:szCs w:val="21"/>
          <w:highlight w:val="none"/>
          <w:lang w:eastAsia="zh-CN"/>
        </w:rPr>
        <w:t>，二、四标段不</w:t>
      </w:r>
      <w:r>
        <w:rPr>
          <w:rFonts w:hint="eastAsia" w:ascii="宋体" w:hAnsi="宋体" w:eastAsia="宋体" w:cs="宋体"/>
          <w:color w:val="000000"/>
          <w:sz w:val="21"/>
          <w:szCs w:val="21"/>
          <w:highlight w:val="none"/>
        </w:rPr>
        <w:t>专门面向中小企业采购。）</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三、供应商资格要求：</w:t>
      </w:r>
    </w:p>
    <w:p>
      <w:pPr>
        <w:widowControl/>
        <w:shd w:val="clear" w:color="auto" w:fill="FFFFFF"/>
        <w:tabs>
          <w:tab w:val="left" w:pos="5113"/>
        </w:tabs>
        <w:spacing w:line="360" w:lineRule="auto"/>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rPr>
        <w:t>第一标段资格要求</w:t>
      </w:r>
      <w:r>
        <w:rPr>
          <w:rFonts w:hint="eastAsia" w:ascii="宋体" w:hAnsi="宋体" w:eastAsia="宋体" w:cs="宋体"/>
          <w:b/>
          <w:bCs/>
          <w:color w:val="000000"/>
          <w:sz w:val="21"/>
          <w:szCs w:val="21"/>
          <w:highlight w:val="none"/>
          <w:lang w:eastAsia="zh-CN"/>
        </w:rPr>
        <w:t>：</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1、满足《中华人民共和国政府采购法》第二十二条规定； </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投标商须具有建筑工程</w:t>
      </w:r>
      <w:r>
        <w:rPr>
          <w:rFonts w:hint="eastAsia" w:ascii="宋体" w:hAnsi="宋体" w:eastAsia="宋体" w:cs="宋体"/>
          <w:color w:val="000000"/>
          <w:sz w:val="21"/>
          <w:szCs w:val="21"/>
          <w:highlight w:val="none"/>
          <w:lang w:val="en-US" w:eastAsia="zh-CN"/>
        </w:rPr>
        <w:t>施工</w:t>
      </w:r>
      <w:r>
        <w:rPr>
          <w:rFonts w:hint="eastAsia" w:ascii="宋体" w:hAnsi="宋体" w:eastAsia="宋体" w:cs="宋体"/>
          <w:color w:val="000000"/>
          <w:sz w:val="21"/>
          <w:szCs w:val="21"/>
          <w:highlight w:val="none"/>
        </w:rPr>
        <w:t>总承包</w:t>
      </w:r>
      <w:r>
        <w:rPr>
          <w:rFonts w:hint="eastAsia" w:ascii="宋体" w:hAnsi="宋体" w:eastAsia="宋体" w:cs="宋体"/>
          <w:color w:val="000000"/>
          <w:sz w:val="21"/>
          <w:szCs w:val="21"/>
          <w:highlight w:val="none"/>
          <w:lang w:val="en-US" w:eastAsia="zh-CN"/>
        </w:rPr>
        <w:t>叁</w:t>
      </w:r>
      <w:r>
        <w:rPr>
          <w:rFonts w:hint="eastAsia" w:ascii="宋体" w:hAnsi="宋体" w:eastAsia="宋体" w:cs="宋体"/>
          <w:color w:val="000000"/>
          <w:sz w:val="21"/>
          <w:szCs w:val="21"/>
          <w:highlight w:val="none"/>
        </w:rPr>
        <w:t>级及以上资质；拟派项目经理须具有</w:t>
      </w:r>
      <w:r>
        <w:rPr>
          <w:rFonts w:hint="eastAsia" w:ascii="宋体" w:hAnsi="宋体" w:eastAsia="宋体" w:cs="宋体"/>
          <w:color w:val="000000"/>
          <w:sz w:val="21"/>
          <w:szCs w:val="21"/>
          <w:highlight w:val="none"/>
          <w:lang w:val="en-US" w:eastAsia="zh-CN"/>
        </w:rPr>
        <w:t>建筑工程</w:t>
      </w:r>
      <w:r>
        <w:rPr>
          <w:rFonts w:hint="eastAsia" w:ascii="宋体" w:hAnsi="宋体" w:eastAsia="宋体" w:cs="宋体"/>
          <w:color w:val="000000"/>
          <w:sz w:val="21"/>
          <w:szCs w:val="21"/>
          <w:highlight w:val="none"/>
        </w:rPr>
        <w:t>专业二级及以上建造师资格证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并具有有效的B类《安全生产考核合格证书》，且未担任其他在施建设工程项目的项目经理；</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、被委托人须是本单位职工，须提供公司为本人缴纳的社会保险证明。</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、本次招标不接受联合体投标。</w:t>
      </w:r>
    </w:p>
    <w:p>
      <w:pPr>
        <w:pStyle w:val="2"/>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第</w:t>
      </w:r>
      <w:r>
        <w:rPr>
          <w:rFonts w:hint="eastAsia" w:ascii="宋体" w:hAnsi="宋体" w:eastAsia="宋体" w:cs="宋体"/>
          <w:b/>
          <w:bCs/>
          <w:color w:val="000000"/>
          <w:sz w:val="21"/>
          <w:szCs w:val="21"/>
          <w:highlight w:val="none"/>
          <w:lang w:eastAsia="zh-CN"/>
        </w:rPr>
        <w:t>二</w:t>
      </w:r>
      <w:r>
        <w:rPr>
          <w:rFonts w:hint="eastAsia" w:ascii="宋体" w:hAnsi="宋体" w:eastAsia="宋体" w:cs="宋体"/>
          <w:b/>
          <w:bCs/>
          <w:color w:val="000000"/>
          <w:sz w:val="21"/>
          <w:szCs w:val="21"/>
          <w:highlight w:val="none"/>
        </w:rPr>
        <w:t>、三、四标段资格要求</w:t>
      </w:r>
      <w:r>
        <w:rPr>
          <w:rFonts w:hint="eastAsia" w:ascii="宋体" w:hAnsi="宋体" w:eastAsia="宋体" w:cs="宋体"/>
          <w:b/>
          <w:bCs/>
          <w:color w:val="000000"/>
          <w:sz w:val="21"/>
          <w:szCs w:val="21"/>
          <w:highlight w:val="none"/>
          <w:lang w:eastAsia="zh-CN"/>
        </w:rPr>
        <w:t>：</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1、满足《中华人民共和国政府采购法》第二十二条规定； </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、被委托人须是本单位职工，须提供公司为本人缴纳的社会保险证明。</w:t>
      </w:r>
    </w:p>
    <w:p>
      <w:pPr>
        <w:widowControl/>
        <w:shd w:val="clear" w:color="auto" w:fill="FFFFFF"/>
        <w:tabs>
          <w:tab w:val="left" w:pos="5113"/>
        </w:tabs>
        <w:spacing w:line="360" w:lineRule="auto"/>
        <w:ind w:firstLine="420" w:firstLineChars="200"/>
        <w:rPr>
          <w:rFonts w:hint="eastAsia"/>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、本次招标不接受联合体投标。</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四、获取招标文件的方式</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1、持CA数字认证证书，登录《全国公共资源交易平台（河南省·许昌市）》“系统用户注册”入口</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 xml:space="preserve"> http://ggzy.xuchang.gov.cn/）</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进行免费注册登记（详见“常见问题解答-诚信库网上注册相关资料下载”）；</w:t>
      </w:r>
    </w:p>
    <w:p>
      <w:pPr>
        <w:autoSpaceDE w:val="0"/>
        <w:autoSpaceDN w:val="0"/>
        <w:adjustRightIn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五、投标文件提交截止时间及开标时间</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1、投标文件提交截止时间及开标时间：</w:t>
      </w:r>
      <w:r>
        <w:rPr>
          <w:rFonts w:hint="eastAsia" w:ascii="宋体" w:hAnsi="宋体" w:eastAsia="宋体" w:cs="宋体"/>
          <w:color w:val="000000"/>
          <w:kern w:val="2"/>
          <w:sz w:val="21"/>
          <w:szCs w:val="21"/>
          <w:highlight w:val="none"/>
          <w:lang w:val="en-US" w:eastAsia="zh-CN" w:bidi="ar-SA"/>
        </w:rPr>
        <w:t>2023年7月10日上午08时30分（北</w:t>
      </w:r>
      <w:r>
        <w:rPr>
          <w:rFonts w:hint="eastAsia" w:ascii="宋体" w:hAnsi="宋体" w:eastAsia="宋体" w:cs="宋体"/>
          <w:color w:val="000000"/>
          <w:sz w:val="21"/>
          <w:szCs w:val="21"/>
          <w:highlight w:val="none"/>
        </w:rPr>
        <w:t>京时间），逾期送达或不符合规定的投标文件不予接受。</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color w:val="000000"/>
          <w:sz w:val="21"/>
          <w:szCs w:val="21"/>
          <w:highlight w:val="none"/>
        </w:rPr>
        <w:t xml:space="preserve">  2、投标文件开启时间：同投标文件提交截止时间。</w:t>
      </w:r>
    </w:p>
    <w:p>
      <w:pPr>
        <w:widowControl/>
        <w:shd w:val="clear" w:color="auto" w:fill="FFFFFF"/>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六、投标响应文件开启</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（一）投标文件开启地点</w:t>
      </w:r>
      <w:r>
        <w:rPr>
          <w:rFonts w:hint="eastAsia" w:ascii="宋体" w:hAnsi="宋体" w:eastAsia="宋体" w:cs="宋体"/>
          <w:color w:val="000000"/>
          <w:kern w:val="2"/>
          <w:sz w:val="21"/>
          <w:szCs w:val="21"/>
          <w:highlight w:val="none"/>
          <w:lang w:val="en-US" w:eastAsia="zh-CN" w:bidi="ar-SA"/>
        </w:rPr>
        <w:t>：禹州市公共资源交易中心九楼开标二室。</w:t>
      </w:r>
      <w:r>
        <w:rPr>
          <w:rFonts w:hint="eastAsia" w:ascii="宋体" w:hAnsi="宋体" w:eastAsia="宋体" w:cs="宋体"/>
          <w:color w:val="4F81BD" w:themeColor="accent1"/>
          <w:sz w:val="21"/>
          <w:szCs w:val="21"/>
          <w:highlight w:val="none"/>
          <w14:textFill>
            <w14:solidFill>
              <w14:schemeClr w14:val="accent1"/>
            </w14:solidFill>
          </w14:textFill>
        </w:rPr>
        <w:t>（</w:t>
      </w:r>
      <w:r>
        <w:rPr>
          <w:rFonts w:hint="eastAsia" w:ascii="宋体" w:hAnsi="宋体" w:eastAsia="宋体" w:cs="宋体"/>
          <w:color w:val="000000"/>
          <w:sz w:val="21"/>
          <w:szCs w:val="21"/>
          <w:highlight w:val="none"/>
        </w:rPr>
        <w:t>本项目采用远程不见面开标，供应商无须到达现场）。</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（二）本项目为全流程电子化交易项目，供应商须提交电子投标文件。</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1、加密电子投标文件（.file格式）须在投标文件提交截止时间（投标截止时间）前通过《全国公共资源交易平台(河南省▪许昌市)》公共资源交易系统成功上传。</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autoSpaceDE w:val="0"/>
        <w:autoSpaceDN w:val="0"/>
        <w:adjustRightInd w:val="0"/>
        <w:spacing w:line="360" w:lineRule="auto"/>
        <w:ind w:left="482" w:hanging="420" w:hanging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3、不见面开标大厅登录：供应商使用CA数字证书登录全国公共资源交易平台（河南省·许昌市）——进入公共资源交易系统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（http://ggzy.xuchang.gov.cn:8088/ggzy/）</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——点击“项目信息——项目名称”——在系统操作导航栏点击“开标——不见面开标大厅”。</w:t>
      </w:r>
    </w:p>
    <w:p>
      <w:pPr>
        <w:autoSpaceDE w:val="0"/>
        <w:autoSpaceDN w:val="0"/>
        <w:adjustRightInd w:val="0"/>
        <w:spacing w:line="360" w:lineRule="auto"/>
        <w:ind w:left="482" w:hanging="422" w:hanging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七、本次招标公告同时在《河南省政府采购网》《许昌市政府采购网》《全国公共资源交易平台（河南省•许昌市）》发布等。</w:t>
      </w:r>
    </w:p>
    <w:p>
      <w:pPr>
        <w:pStyle w:val="2"/>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八、公告期限</w:t>
      </w:r>
    </w:p>
    <w:p>
      <w:pPr>
        <w:pStyle w:val="2"/>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本招标公告自发布之日起公告期限为5个工作日。</w:t>
      </w:r>
    </w:p>
    <w:p>
      <w:pPr>
        <w:pStyle w:val="2"/>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九、代理机构及采购单位地址、联系人、联系电话</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招 标 人：禹州市市场监督管理局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    址：禹州市行政南路70号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 系 人：李先生   联系方式：13937460878</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招标代理机构：建基工程咨询有限公司</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 系 人：刘女士   联系电话：15303996356</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址：河南省郑州市管城回族区正商向阳广场a座1401</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监督单位：禹州市政府采购监督管理办公室</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监督电话：0374-8112523</w:t>
      </w: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bookmarkEnd w:id="0"/>
    <w:bookmarkEnd w:id="1"/>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温馨提示：</w:t>
      </w:r>
    </w:p>
    <w:p>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本项目为全流程电子化交易项目，请认真阅读招标文件，并注意以下事项。</w:t>
      </w:r>
    </w:p>
    <w:p>
      <w:pPr>
        <w:tabs>
          <w:tab w:val="left" w:pos="7095"/>
        </w:tabs>
        <w:spacing w:line="360" w:lineRule="auto"/>
        <w:ind w:firstLine="422" w:firstLineChars="200"/>
        <w:contextualSpacing/>
        <w:rPr>
          <w:rFonts w:hint="eastAsia" w:ascii="宋体" w:hAnsi="宋体" w:eastAsia="宋体" w:cs="宋体"/>
          <w:b/>
          <w:bCs/>
          <w:sz w:val="21"/>
          <w:szCs w:val="21"/>
          <w:highlight w:val="none"/>
        </w:rPr>
      </w:pPr>
      <w:r>
        <w:rPr>
          <w:rFonts w:hint="eastAsia" w:ascii="宋体" w:hAnsi="宋体" w:eastAsia="宋体" w:cs="宋体"/>
          <w:b/>
          <w:sz w:val="21"/>
          <w:szCs w:val="21"/>
          <w:highlight w:val="none"/>
        </w:rPr>
        <w:t>1.</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供应商参加本项目投标，需提前自行联系CA服务机构办理数字认证证书并进行电子签章。</w:t>
      </w:r>
    </w:p>
    <w:p>
      <w:pPr>
        <w:tabs>
          <w:tab w:val="left" w:pos="6228"/>
        </w:tabs>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r>
        <w:rPr>
          <w:rFonts w:hint="eastAsia" w:ascii="宋体" w:hAnsi="宋体" w:eastAsia="宋体" w:cs="宋体"/>
          <w:sz w:val="21"/>
          <w:szCs w:val="21"/>
          <w:highlight w:val="none"/>
        </w:rPr>
        <w:t xml:space="preserve"> </w:t>
      </w:r>
      <w:r>
        <w:rPr>
          <w:rFonts w:hint="eastAsia" w:ascii="宋体" w:hAnsi="宋体" w:eastAsia="宋体" w:cs="宋体"/>
          <w:b/>
          <w:sz w:val="21"/>
          <w:szCs w:val="21"/>
          <w:highlight w:val="none"/>
        </w:rPr>
        <w:t>招标文件下载、投标文件制作、提交、远程不见面开标（电子投标文件的解密）环节，投标人须使用同一个CA数字证书（证书须在有效期内并可正常使用）。</w:t>
      </w:r>
    </w:p>
    <w:p>
      <w:pPr>
        <w:tabs>
          <w:tab w:val="left" w:pos="7095"/>
        </w:tabs>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3.电子投标文件的制作</w:t>
      </w:r>
    </w:p>
    <w:p>
      <w:pPr>
        <w:tabs>
          <w:tab w:val="left" w:pos="7095"/>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4.加密电子投标文件的提交</w:t>
      </w:r>
    </w:p>
    <w:p>
      <w:pPr>
        <w:tabs>
          <w:tab w:val="left" w:pos="7095"/>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4.1投标人对同一项目多个标段进行投标的，加密电子投标文件应按标段分别提交。</w:t>
      </w:r>
    </w:p>
    <w:p>
      <w:pPr>
        <w:tabs>
          <w:tab w:val="left" w:pos="7095"/>
        </w:tabs>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4.2加密电子投标文件成功提交后，《全国公共资源交易平台(河南省▪许昌市)》公共资源交易系统（http://ggzy.xuchang.gov.cn:8088/ggzy/）生成“投标文件提交回执单”。</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5.远程不见面开标（电子投标文件的解密）</w:t>
      </w:r>
    </w:p>
    <w:p>
      <w:pPr>
        <w:tabs>
          <w:tab w:val="left" w:pos="644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5.2 投标人提前设置不见面开标浏览器，并于开标时间前登录本项目不见面开标大厅，按照规定的开标时间准时参加网上开标。</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5.4开标活动结束时，投标人应在《开标记录表》上进行电子签章。投标人未签章的，视同认可开标结果。</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5.5投标人对开标过程和开标记录如有疑义，可在本项目不见面开标大厅“文字互动”对话框或“新增质疑”处在线提出询问。</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6.评标依据</w:t>
      </w:r>
    </w:p>
    <w:bookmarkEnd w:id="2"/>
    <w:bookmarkEnd w:id="3"/>
    <w:bookmarkEnd w:id="4"/>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6.1全流程电子化交易（不见面开标）项目，评标委员会以成功上传、解密的电子投标文件为依据评审。</w:t>
      </w:r>
    </w:p>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6.2评标期间，投标人应保持通讯手机畅通。评标委员会如要求投标人作出澄清、说明或者补正等，投标人应在评标委员会要求的评标期间合理的时间内通过电子邮件形式提供。</w:t>
      </w:r>
    </w:p>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6.3投标人通过电子邮件提供的书面说明或相关证明材料应加盖公章，或者由法定代表人或其授权的代表签字。</w:t>
      </w:r>
    </w:p>
    <w:bookmarkEnd w:id="5"/>
    <w:p>
      <w:pPr>
        <w:widowControl/>
        <w:jc w:val="center"/>
        <w:rPr>
          <w:rFonts w:hint="eastAsia" w:cs="宋体" w:asciiTheme="majorEastAsia" w:hAnsiTheme="majorEastAsia" w:eastAsiaTheme="majorEastAsia"/>
          <w:b/>
          <w:kern w:val="0"/>
          <w:sz w:val="32"/>
          <w:szCs w:val="32"/>
          <w:highlight w:val="none"/>
          <w:lang w:val="en-US" w:eastAsia="zh-CN"/>
        </w:rPr>
      </w:pPr>
    </w:p>
    <w:p>
      <w:pPr>
        <w:widowControl/>
        <w:jc w:val="center"/>
        <w:rPr>
          <w:rFonts w:hint="eastAsia" w:cs="宋体" w:asciiTheme="majorEastAsia" w:hAnsiTheme="majorEastAsia" w:eastAsiaTheme="majorEastAsia"/>
          <w:b/>
          <w:kern w:val="0"/>
          <w:sz w:val="32"/>
          <w:szCs w:val="32"/>
          <w:highlight w:val="none"/>
          <w:lang w:val="en-US" w:eastAsia="zh-CN"/>
        </w:rPr>
      </w:pPr>
    </w:p>
    <w:p>
      <w:pPr>
        <w:widowControl/>
        <w:jc w:val="center"/>
        <w:rPr>
          <w:rFonts w:hint="eastAsia" w:cs="宋体" w:asciiTheme="majorEastAsia" w:hAnsiTheme="majorEastAsia" w:eastAsiaTheme="majorEastAsia"/>
          <w:b/>
          <w:kern w:val="0"/>
          <w:sz w:val="32"/>
          <w:szCs w:val="32"/>
          <w:highlight w:val="none"/>
          <w:lang w:val="en-US" w:eastAsia="zh-CN"/>
        </w:rPr>
      </w:pPr>
    </w:p>
    <w:p>
      <w:pPr>
        <w:widowControl/>
        <w:jc w:val="center"/>
        <w:rPr>
          <w:rFonts w:hint="eastAsia" w:cs="宋体" w:asciiTheme="majorEastAsia" w:hAnsiTheme="majorEastAsia" w:eastAsiaTheme="majorEastAsia"/>
          <w:b/>
          <w:kern w:val="0"/>
          <w:sz w:val="32"/>
          <w:szCs w:val="32"/>
          <w:highlight w:val="none"/>
          <w:lang w:val="en-US" w:eastAsia="zh-CN"/>
        </w:rPr>
      </w:pPr>
    </w:p>
    <w:p>
      <w:pPr>
        <w:pStyle w:val="2"/>
        <w:rPr>
          <w:rFonts w:hint="eastAsia" w:cs="宋体" w:asciiTheme="majorEastAsia" w:hAnsiTheme="majorEastAsia" w:eastAsiaTheme="majorEastAsia"/>
          <w:b/>
          <w:kern w:val="0"/>
          <w:sz w:val="32"/>
          <w:szCs w:val="32"/>
          <w:highlight w:val="none"/>
          <w:lang w:val="en-US" w:eastAsia="zh-CN"/>
        </w:rPr>
      </w:pPr>
    </w:p>
    <w:p>
      <w:pPr>
        <w:pStyle w:val="24"/>
        <w:rPr>
          <w:rFonts w:hint="eastAsia" w:cs="宋体" w:asciiTheme="majorEastAsia" w:hAnsiTheme="majorEastAsia" w:eastAsiaTheme="majorEastAsia"/>
          <w:b/>
          <w:kern w:val="0"/>
          <w:sz w:val="32"/>
          <w:szCs w:val="32"/>
          <w:highlight w:val="none"/>
          <w:lang w:val="en-US" w:eastAsia="zh-CN"/>
        </w:rPr>
      </w:pPr>
    </w:p>
    <w:p>
      <w:pPr>
        <w:pStyle w:val="25"/>
        <w:rPr>
          <w:rFonts w:hint="eastAsia" w:cs="宋体" w:asciiTheme="majorEastAsia" w:hAnsiTheme="majorEastAsia" w:eastAsiaTheme="majorEastAsia"/>
          <w:b/>
          <w:kern w:val="0"/>
          <w:sz w:val="32"/>
          <w:szCs w:val="32"/>
          <w:highlight w:val="none"/>
          <w:lang w:val="en-US" w:eastAsia="zh-CN"/>
        </w:rPr>
      </w:pPr>
    </w:p>
    <w:p>
      <w:pPr>
        <w:pStyle w:val="26"/>
        <w:rPr>
          <w:rFonts w:hint="eastAsia" w:cs="宋体" w:asciiTheme="majorEastAsia" w:hAnsiTheme="majorEastAsia" w:eastAsiaTheme="majorEastAsia"/>
          <w:b/>
          <w:kern w:val="0"/>
          <w:sz w:val="32"/>
          <w:szCs w:val="32"/>
          <w:highlight w:val="none"/>
          <w:lang w:val="en-US" w:eastAsia="zh-CN"/>
        </w:rPr>
      </w:pPr>
    </w:p>
    <w:p>
      <w:pPr>
        <w:pStyle w:val="27"/>
        <w:rPr>
          <w:rFonts w:hint="eastAsia" w:cs="宋体" w:asciiTheme="majorEastAsia" w:hAnsiTheme="majorEastAsia" w:eastAsiaTheme="majorEastAsia"/>
          <w:b/>
          <w:kern w:val="0"/>
          <w:sz w:val="32"/>
          <w:szCs w:val="32"/>
          <w:highlight w:val="none"/>
          <w:lang w:val="en-US" w:eastAsia="zh-CN"/>
        </w:rPr>
      </w:pPr>
    </w:p>
    <w:p>
      <w:pPr>
        <w:rPr>
          <w:rFonts w:hint="eastAsia" w:cs="宋体" w:asciiTheme="majorEastAsia" w:hAnsiTheme="majorEastAsia" w:eastAsiaTheme="majorEastAsia"/>
          <w:b/>
          <w:kern w:val="0"/>
          <w:sz w:val="32"/>
          <w:szCs w:val="32"/>
          <w:highlight w:val="none"/>
          <w:lang w:val="en-US" w:eastAsia="zh-CN"/>
        </w:rPr>
      </w:pPr>
    </w:p>
    <w:p>
      <w:pPr>
        <w:pStyle w:val="2"/>
        <w:rPr>
          <w:rFonts w:hint="eastAsia" w:cs="宋体" w:asciiTheme="majorEastAsia" w:hAnsiTheme="majorEastAsia" w:eastAsiaTheme="majorEastAsia"/>
          <w:b/>
          <w:kern w:val="0"/>
          <w:sz w:val="32"/>
          <w:szCs w:val="32"/>
          <w:highlight w:val="none"/>
          <w:lang w:val="en-US" w:eastAsia="zh-CN"/>
        </w:rPr>
      </w:pPr>
    </w:p>
    <w:p>
      <w:pPr>
        <w:widowControl/>
        <w:jc w:val="both"/>
        <w:rPr>
          <w:rFonts w:hint="eastAsia" w:cs="宋体" w:asciiTheme="majorEastAsia" w:hAnsiTheme="majorEastAsia" w:eastAsiaTheme="majorEastAsia"/>
          <w:b/>
          <w:kern w:val="0"/>
          <w:sz w:val="32"/>
          <w:szCs w:val="32"/>
          <w:highlight w:val="none"/>
          <w:lang w:val="en-US" w:eastAsia="zh-CN"/>
        </w:rPr>
      </w:pPr>
    </w:p>
    <w:p>
      <w:pPr>
        <w:widowControl/>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lang w:val="en-US" w:eastAsia="zh-CN"/>
        </w:rPr>
        <w:t xml:space="preserve">第二章 </w:t>
      </w:r>
      <w:r>
        <w:rPr>
          <w:rFonts w:hint="eastAsia" w:cs="宋体" w:asciiTheme="majorEastAsia" w:hAnsiTheme="majorEastAsia" w:eastAsiaTheme="majorEastAsia"/>
          <w:b/>
          <w:kern w:val="0"/>
          <w:sz w:val="32"/>
          <w:szCs w:val="32"/>
          <w:highlight w:val="none"/>
        </w:rPr>
        <w:t>项目需求</w:t>
      </w:r>
    </w:p>
    <w:p>
      <w:pPr>
        <w:widowControl/>
        <w:shd w:val="clear" w:color="auto" w:fill="FFFFFF"/>
        <w:spacing w:line="580" w:lineRule="exact"/>
        <w:jc w:val="lef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一、本项目需实现的功能或者目标：</w:t>
      </w:r>
    </w:p>
    <w:p>
      <w:pPr>
        <w:widowControl/>
        <w:shd w:val="clear" w:color="auto" w:fill="FFFFFF"/>
        <w:spacing w:line="580" w:lineRule="exact"/>
        <w:jc w:val="left"/>
        <w:rPr>
          <w:rFonts w:hint="eastAsia"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本项目将覆盖禹州市钧瓷知识产权快速维权中心业务，为管理人员及公众提供一站式服务。</w:t>
      </w:r>
    </w:p>
    <w:p>
      <w:pPr>
        <w:widowControl/>
        <w:shd w:val="clear" w:color="auto" w:fill="FFFFFF"/>
        <w:spacing w:line="440" w:lineRule="exact"/>
        <w:jc w:val="left"/>
        <w:rPr>
          <w:rFonts w:hint="eastAsia"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lang w:eastAsia="zh-CN"/>
        </w:rPr>
        <w:t>二、</w:t>
      </w:r>
      <w:r>
        <w:rPr>
          <w:rFonts w:hint="eastAsia" w:ascii="宋体" w:hAnsi="宋体" w:eastAsia="宋体" w:cs="黑体"/>
          <w:b/>
          <w:bCs/>
          <w:sz w:val="21"/>
          <w:szCs w:val="21"/>
          <w:highlight w:val="none"/>
          <w:shd w:val="clear" w:color="auto" w:fill="FFFFFF"/>
        </w:rPr>
        <w:t>项目需求</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一、本项目需实现的功能或者目标</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项目采购中国禹州（钧瓷）知识产权快速维权网上一站式服务平台项目。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近年来，国家知识产权局持续加强知识产权快速协同保护机制建设，通过不断优化知识产权保护中心和快速维权中心建设布局，为市场主体提供便捷、高效、低成本的维权渠道。知识产权保护中心通过集快速审查、快速确权、快速维权为一体的协调联动方式，提供“一站式”综合服务，切实解决维权举证难、周期长、成本高等问题。知识产权快速维权中心主要面向县域产业集聚区产品更新快、对外观设计维权需求强烈的领域，提供集外观设计快速预审、快速确权、快速维权为一体的知识产权公益服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作为河南省首批在县一级设立的国家知识产权快速维权中心，中国禹州（钧瓷）知识产权快速维权中心将以服务钧瓷产业为主轴，畅通知识产权快速授权、确权、维权通道，满足企业设计类专利审查和确权快速增长的需求，大幅度缩短时间，降低维权成本，提高维权效率，提升知识产权保护对钧瓷产业的创新激励作用，辐射形成专利、商标、地理标志等多类知识产权为核心的知识产权协同保护新体系。</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二、服务内容</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1、服务项目范围、内容及技术要求</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1.1项目范围</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本项目将覆盖禹州市钧瓷知识产权快速维权中心业务，为管理人员及公众提供一站式服务。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本项目按照“统一标准、突出应用、信息安全”的建设思想，推进禹州市知识产权管理体系的进一步完善，有利于推动禹州市知识产权管理方式的规范与创新。</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本项目建设完成后，将全面提高知识产权维权效率，优化维权流程，对相关企业的知识产权保护有明显作用。增加经济预算的合理性和可行性，进一步提高对企业的专利保护，帮助企业进行快速维权。</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快维中心”建成后将面向禹州市钧瓷产业的市场主体形成知识产权快速授权、确权、维权通道，满足企业对钧瓷设计类专利审查和确权快速增长的需求，大幅度缩短时间，降低维权成本，提高维权效率，提升知识产权保护对禹州市钧瓷产业的创新激励作用。</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一方面，加速专利授权。钧瓷产业是禹州市传统支柱产业，对外观设计专利授权需求量大。“快维中心”投入使用后，可将原本长达2个月的授权期限将缩短至15天以内。另一方面，助力企业维权。专利维权周期长、成本高、判定难等问题突出，社会各界对强化知识产权保护的需求强烈。“快维中心”建成后将提供“一站式”纠纷解决方案，打造知识产权保护平台，有利于推动知识产权高质量发展，助力禹州市加快建设一流营商环境。</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1.2项目内容</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（一）、中国禹州（钧瓷）知识产权快速维权网上一站式服务平台网站</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1、知识产权服务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1.1知识产权主体备案</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保护中心的快速审查预审服务只针对保护中心的备案主体，通过保护中心预审的专利申请其授权周期可大幅缩短。</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备案业务流程</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根据国家知识产权局相关要求，保护中心对拟进入快速审查通道的企业、高校、科研院所等进行备案管理。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用户提交申请后，中心对备案申请材料进行初步审核和备案单位录入，形成拟备案申请主体名录，并提交国家知识产权局；经国家知识产权局复核、确认后，形成备案名单，最终由保护中心将备案名单进行网上公示。</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备案情况公示</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对企事业单位编码、企业名称、企业状态、企业信用标识进行公示，可通过企事业单位名称进行模糊查询，企业状态包括被提醒企事业单位、暂缓预审服务、取消备案资格等，信用标识用颜色区分，正常用绿色、被提醒企事业单位用黄色、取消备案资格用红色。</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1.2快速预审业务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专利申请的快速审查预审服务，是指在保护中心备案的企事业单位在专利申请正式向国家知识产权局提交之前，由保护中心预先对申请文件进行的前置审查，使符合条件的专利申请进入快速审查通道。通过保护中心预审的专利申请其授权周期可大幅缩短。</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1.3知识产权维权业务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知识产权纠纷处理包括纠纷处理申请、纠纷处理、状态查询、也业务统计等功能模块。</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知识产权纠纷处理申请</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建立企业线上纠纷处理申请流程，企业填写《专利侵权纠纷处理请求书》，发起纠纷处理流程。</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知识产权纠纷处理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建立局端确权及维权办理业务流程管理模块。</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状态查询</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企业可登录系统实时查询知识产权纠纷处理进度。</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业务统计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统计已办知识产权纠纷业务的数量，并按照区划、类型、时间等多维度形成数据报表。</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1.4专利业务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优先审查</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快速审查及复审无效</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国内专利（申请/复审/无效/著录项目变更）</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国内专利事务（文档查阅复制/质押登记/许可备案/费用减缓备案）</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PCT专利（申请/中间文件提交）</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专利缴费</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中国及多国专利审查信息查询</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复审口审公告及决定查询</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中国专利公布公告</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1.5商标业务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国内商标（申请/续展/注销/异议/撤三/无效/转让申请/许可备案）</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马德里商标（申请/收发文管理/缴纳规费/补正材料）</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商标公告查询</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注册证明公示查询</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1.6著作权（版权）业务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版权登记（作品登记/变更/撤销/材料调档/补发或更换证书/许可备案/涉外合同备案）</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软件著作权登记（申请/转让或专有许可合同登记/变更或补充/撤销/撤回/补发或者换发）</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1.7集成电路布图设计业务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本业务申请/复审/撤销/缴费的办理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1.8地理标志业务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本业务申请/专用标志下载/使用企业检索的办理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1.9植物新品种业务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农业植物新品种申请业务的办理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林业植物新品种申请业务的办理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1.10商业秘密业务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申请保护业务的办理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1.11数据知识产权业务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登记服务公共存证服务业务办理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1.12其他业务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中华老字号名录</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非物质文化遗产</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知识产权示范企业</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公共服务网点备案申请</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贯标管理系统</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预警项目申报国家知识产权优势示范企业</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2、知识产权检索</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2.1检索服务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支持检索中国专利数据、软件著作权数据、集成电路布图数据、植物新品种数据、商标数据。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中国专利数据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申请号、申请日、公开号、公开日、标题、权利人、发明人、专利类型、IPC 主分类号、当前法律状态、当前法律事件。</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软件著作权数据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登记号、分类号、软件全称、版本号、软件简称、著作权人、首次发表日期、登记日期。</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集成电路布图数据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布图登记号、布图设计申请日、布图公布号、布图公布日、设计名称、权利人、当前状态。</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植物新品种数据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申请号、申请日、授权号、授权日期、品种名称、品种权人、当前状态。</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商标数据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国际分类、商标名称、商标类型、申请人、申请号、申请日期、注册日期、有效期、商标状态、申请人、地址。</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2.2</w:t>
      </w:r>
      <w:r>
        <w:rPr>
          <w:rFonts w:hint="eastAsia" w:ascii="宋体" w:hAnsi="宋体" w:eastAsia="宋体" w:cs="宋体"/>
          <w:b/>
          <w:color w:val="FF0000"/>
          <w:sz w:val="21"/>
          <w:szCs w:val="21"/>
          <w:highlight w:val="none"/>
        </w:rPr>
        <w:t>★</w:t>
      </w:r>
      <w:r>
        <w:rPr>
          <w:rFonts w:hint="eastAsia" w:ascii="宋体" w:hAnsi="宋体" w:eastAsia="宋体" w:cs="黑体"/>
          <w:b w:val="0"/>
          <w:bCs w:val="0"/>
          <w:sz w:val="21"/>
          <w:szCs w:val="21"/>
          <w:highlight w:val="none"/>
          <w:shd w:val="clear" w:color="auto" w:fill="FFFFFF"/>
        </w:rPr>
        <w:t>检索数据要求</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（1）数据要求来源于国家官方组织，且收录全球100个以上国家、地区及组织公开的数据；</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color w:val="FF0000"/>
          <w:sz w:val="21"/>
          <w:szCs w:val="21"/>
          <w:highlight w:val="none"/>
          <w:shd w:val="clear" w:color="auto" w:fill="FFFFFF"/>
        </w:rPr>
        <w:t>（</w:t>
      </w:r>
      <w:r>
        <w:rPr>
          <w:rFonts w:hint="eastAsia" w:ascii="宋体" w:hAnsi="宋体" w:eastAsia="宋体" w:cs="黑体"/>
          <w:b w:val="0"/>
          <w:bCs w:val="0"/>
          <w:color w:val="FF0000"/>
          <w:sz w:val="21"/>
          <w:szCs w:val="21"/>
          <w:highlight w:val="none"/>
          <w:shd w:val="clear" w:color="auto" w:fill="FFFFFF"/>
          <w:lang w:val="en-US" w:eastAsia="zh-CN"/>
        </w:rPr>
        <w:t>2</w:t>
      </w:r>
      <w:r>
        <w:rPr>
          <w:rFonts w:hint="eastAsia" w:ascii="宋体" w:hAnsi="宋体" w:eastAsia="宋体" w:cs="黑体"/>
          <w:b w:val="0"/>
          <w:bCs w:val="0"/>
          <w:color w:val="FF0000"/>
          <w:sz w:val="21"/>
          <w:szCs w:val="21"/>
          <w:highlight w:val="none"/>
          <w:shd w:val="clear" w:color="auto" w:fill="FFFFFF"/>
        </w:rPr>
        <w:t>）</w:t>
      </w:r>
      <w:r>
        <w:rPr>
          <w:rFonts w:hint="eastAsia" w:ascii="宋体" w:hAnsi="宋体" w:eastAsia="宋体" w:cs="黑体"/>
          <w:b w:val="0"/>
          <w:bCs w:val="0"/>
          <w:sz w:val="21"/>
          <w:szCs w:val="21"/>
          <w:highlight w:val="none"/>
          <w:shd w:val="clear" w:color="auto" w:fill="FFFFFF"/>
        </w:rPr>
        <w:t>知识产权数据资源要求全面覆盖全球公开的专利1亿条以上、集成电路布图5万条以上、软件著作权900万条以上、植物新品种4.5万条以上等数据资源。</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color w:val="FF0000"/>
          <w:sz w:val="21"/>
          <w:szCs w:val="21"/>
          <w:highlight w:val="none"/>
          <w:shd w:val="clear" w:color="auto" w:fill="FFFFFF"/>
        </w:rPr>
        <w:t>（</w:t>
      </w:r>
      <w:r>
        <w:rPr>
          <w:rFonts w:hint="eastAsia" w:ascii="宋体" w:hAnsi="宋体" w:eastAsia="宋体" w:cs="黑体"/>
          <w:b w:val="0"/>
          <w:bCs w:val="0"/>
          <w:color w:val="FF0000"/>
          <w:sz w:val="21"/>
          <w:szCs w:val="21"/>
          <w:highlight w:val="none"/>
          <w:shd w:val="clear" w:color="auto" w:fill="FFFFFF"/>
          <w:lang w:val="en-US" w:eastAsia="zh-CN"/>
        </w:rPr>
        <w:t>3</w:t>
      </w:r>
      <w:r>
        <w:rPr>
          <w:rFonts w:hint="eastAsia" w:ascii="宋体" w:hAnsi="宋体" w:eastAsia="宋体" w:cs="黑体"/>
          <w:b w:val="0"/>
          <w:bCs w:val="0"/>
          <w:color w:val="FF0000"/>
          <w:sz w:val="21"/>
          <w:szCs w:val="21"/>
          <w:highlight w:val="none"/>
          <w:shd w:val="clear" w:color="auto" w:fill="FFFFFF"/>
        </w:rPr>
        <w:t>）</w:t>
      </w:r>
      <w:r>
        <w:rPr>
          <w:rFonts w:hint="eastAsia" w:ascii="宋体" w:hAnsi="宋体" w:eastAsia="宋体" w:cs="黑体"/>
          <w:b w:val="0"/>
          <w:bCs w:val="0"/>
          <w:sz w:val="21"/>
          <w:szCs w:val="21"/>
          <w:highlight w:val="none"/>
          <w:shd w:val="clear" w:color="auto" w:fill="FFFFFF"/>
        </w:rPr>
        <w:t>专利数据信息必须包含专利的著录项信息、摘要、同族信息、引证和被引证信息、法律信息、说明书全文、附图以及各种附加信息；</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color w:val="FF0000"/>
          <w:sz w:val="21"/>
          <w:szCs w:val="21"/>
          <w:highlight w:val="none"/>
          <w:shd w:val="clear" w:color="auto" w:fill="FFFFFF"/>
        </w:rPr>
        <w:t>（</w:t>
      </w:r>
      <w:r>
        <w:rPr>
          <w:rFonts w:hint="eastAsia" w:ascii="宋体" w:hAnsi="宋体" w:eastAsia="宋体" w:cs="黑体"/>
          <w:b w:val="0"/>
          <w:bCs w:val="0"/>
          <w:color w:val="FF0000"/>
          <w:sz w:val="21"/>
          <w:szCs w:val="21"/>
          <w:highlight w:val="none"/>
          <w:shd w:val="clear" w:color="auto" w:fill="FFFFFF"/>
          <w:lang w:val="en-US" w:eastAsia="zh-CN"/>
        </w:rPr>
        <w:t>4</w:t>
      </w:r>
      <w:r>
        <w:rPr>
          <w:rFonts w:hint="eastAsia" w:ascii="宋体" w:hAnsi="宋体" w:eastAsia="宋体" w:cs="黑体"/>
          <w:b w:val="0"/>
          <w:bCs w:val="0"/>
          <w:color w:val="FF0000"/>
          <w:sz w:val="21"/>
          <w:szCs w:val="21"/>
          <w:highlight w:val="none"/>
          <w:shd w:val="clear" w:color="auto" w:fill="FFFFFF"/>
        </w:rPr>
        <w:t>）</w:t>
      </w:r>
      <w:r>
        <w:rPr>
          <w:rFonts w:hint="eastAsia" w:ascii="宋体" w:hAnsi="宋体" w:eastAsia="宋体" w:cs="黑体"/>
          <w:b w:val="0"/>
          <w:bCs w:val="0"/>
          <w:sz w:val="21"/>
          <w:szCs w:val="21"/>
          <w:highlight w:val="none"/>
          <w:shd w:val="clear" w:color="auto" w:fill="FFFFFF"/>
        </w:rPr>
        <w:t>商标数量不少于6000万件、商标数据必须包括了国内商标注册基本信息，国际商标注册信息，商标注册人信息，商标代理机构、商标图片等信息资源；</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3、服务机构</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代理机构包括专利代理机构和商标代理机构，主要包括机构代码、机构名称、机构状态、机构性质、成立年限、信用登记等信息。</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对代理机构编码、机构名称、机构地址、区域（本省外市、本省本市、外省）、机构官网、机构电话、机构状态、信用评级等级进行公示，可通过单位名称进行模糊查询，机构状态包括被提醒企事业单位、暂缓预审服务等。</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4、专题库</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建立禹州“钧瓷”产品知识产权专题库，通过系统进行展示，展示内容包括：禹州“钧瓷”产品相关专利、商标等信息。提供多条件查询，使公众方便快捷的查询专题库内容。建立完整的钧瓷产品中心库，为知识产权纠纷处理业务提供数据支持。为公众提供禹州“钧瓷”产品知识产权相关信息。</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5、涉外维权服务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建立企业海外知识产权维权服务子门户，通过本门户公示相关国家商标、国际专利、国际外观等法律法规，同时宣传涉外维权知识，包括司法救济、行政救济、调节/仲裁等；建立涉外维权咨询留言服务功能，企业可通过本模块咨询相关涉外维权业务，也可以查看历史公示出来的咨询问题和解答内容。</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5、知识产权交易</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建立知识产权交易供求平台，搭建官方知识产权供求双方的桥梁。代理机构可发布服务供应信息，展示具体的服务内容。针对禹州“钧瓷”知识产权代理机构，建立官方的服务内容展示平台，可为企业提供全面的知识产权代理服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7、知识产权数据看板</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按区域、行业等提供数据展板服务，实时监测知识产权运营、主体等情况。</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8、政策法规及资料下载</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公示知识产权相关政策文件及法律法规文书，企业也可通过本栏目下载知识产权业务相关资料。</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（二）、中国禹州（钧瓷）知识产权快速维权网上一站式服务平台小程序</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为公众提供专利信息及主体备案预审等业务申请服务等手机端功能。</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（三）、中国禹州（钧瓷）知识产权快速维权网上一站式服务平台管理系统</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为知识产权服务、知识产权检索、服务机构、专题库、涉外维权服务、知识产权交易、知识产权数据看板、政策法规及资料下载等各个版块，提供后台支撑及业务流程办理功能。</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提供主体备案、专利预审、维权等流程的审批能力，支持更详细的专利、商标等知识产权检索服务。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1.3技术要求</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《信息安全技术 信息系统安全保护等级定级指南》（GB/T 22240-2020）；</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《信息安全技术 网络安全等级保护基本要求》（GB/T 22239-2019）；</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《信息安全技术 网络安全等级保护设计技术要求》（GB/T 25070-2019）；</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《信息安全技术 网络安全等级保护实施指南》（GB/T 25058-2019）；</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《信息保障技术框架》（IATF）；</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《XML在电子政务中的应用指南》（GB/Z19665-2005）；</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《计算机软件需求规格说明规范》（GB9385-2008）；</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《信息技术软件工程术语》（GB/T11457-2006）；</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《计算机软件测试文件编制规范》（GB/T 9386-2008）；</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《计算机软件测试规范》（GB/T 15532-2008）；</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《软件工程产品质量第1部分：质量模型》（GB/T16260.1-2006）；</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《软件工程产品质量第2部分：外部度量》（GB/T16260.2-2006）；</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《软件工程产品质量第3部分：内部度量》（GB/T16260.3-2006）；</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《软件工程产品质量第4部分：使用质量的度量》（GB/T16260.4-2006）；</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《信息技术软件生存周期过程》（GB/T8566-2007）；</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需求单位业务需求。</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2、服务要求</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系统的设计将遵循可靠性、安全性、易操作性、可扩展性的原则。在使用新技术的同时充分考虑技术的国际标准化，严格按照国际国内相关标准设计实施。应用系统的实施应遵循工程化规范，设计开发与维护各个阶段划分明确。综合考虑后期维护及操作等因素，并为今后的发展、扩建、改造等留有扩充的余地。</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可靠性:系统中涉及的各类应用应采用先进成熟的技术，系统的技术性能和质量指标应达到国际领先水平。同时，系统的安装调试、操作使用又应简便易行，容易掌握。</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安全性:遵循有关信息安全标准，防止各种形式与途径的非法侵入和机密信息的泄露，保证系统中数据的安全，确保业务系统能安全运行。</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易操作性:界面美观简洁、风格一致，操作简易、易懂易上手。功能要更切合实际，重在应用，坚持以需求为主导，落脚于满足需求，从实际需求出发，深入开展业务调研，保证系统顺畅使用，易于维护。</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可扩展性:数据结构设计合理、稳定、灵活，满足实施规模的延伸。系统要有良好的扩展性和升级前景，充分考虑其扩展性能，包括系统框架的确定，系统功能的设计，数据格式的定义和系统间的数据接口，能为将来的发展提供扩展能力。</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三、验收标准：</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1、本项目采购人及其委托的采购代理机构将严格按照政府采购相关法律法规以 及《财政部关于进一步加强政府采购需求和履约验收管理的指导意见》（财库〔2016〕 205 号）的要求进行验收。由采购人负责组织实施。</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2、采购人将根据项目特点制定验收方案，成立验收小组，按照采购合同的约定 对投标人履约情况进行验收，对每一项技术、服务、安全标准的履约情况进行确认。技术复杂、社会影响较大的货物类项目，可以根据需要设置出厂检验、到货检验、安装调试检验、配套服务检验等多重验收环节。验收结束后，出具验收书，列明各项标准的验 收情况及项目总体评价，由验收双方共同签署。验收结果将与采购合同约定的资金支付 及履约保证金返还条件挂钩。</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3、验收结果合格的，中标人凭验收报告到采购人处办理履约保证金的退付手续；</w:t>
      </w:r>
    </w:p>
    <w:p>
      <w:pPr>
        <w:widowControl/>
        <w:shd w:val="clear" w:color="auto" w:fill="FFFFFF"/>
        <w:spacing w:line="440" w:lineRule="exact"/>
        <w:jc w:val="left"/>
        <w:rPr>
          <w:rFonts w:hint="eastAsia" w:ascii="宋体" w:hAnsi="宋体" w:eastAsia="宋体" w:cs="黑体"/>
          <w:b w:val="0"/>
          <w:bCs w:val="0"/>
          <w:sz w:val="21"/>
          <w:szCs w:val="21"/>
          <w:highlight w:val="none"/>
          <w:shd w:val="clear" w:color="auto" w:fill="FFFFFF"/>
        </w:rPr>
      </w:pPr>
      <w:r>
        <w:rPr>
          <w:rFonts w:hint="eastAsia" w:ascii="宋体" w:hAnsi="宋体" w:eastAsia="宋体" w:cs="黑体"/>
          <w:b w:val="0"/>
          <w:bCs w:val="0"/>
          <w:sz w:val="21"/>
          <w:szCs w:val="21"/>
          <w:highlight w:val="none"/>
          <w:shd w:val="clear" w:color="auto" w:fill="FFFFFF"/>
        </w:rPr>
        <w:t>4、验收结果不合格的，履约保证金将不予退还，也将不予支付采购资金，还可能会报告本 项目同级财政部门按照政府采购相关法律法规有关规定给予行政处罚或者以失信行为 记入诚信档案。</w:t>
      </w:r>
    </w:p>
    <w:p>
      <w:pPr>
        <w:widowControl/>
        <w:shd w:val="clear" w:color="auto" w:fill="FFFFFF"/>
        <w:spacing w:line="440" w:lineRule="exact"/>
        <w:jc w:val="lef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三、采购标的执行标准：执行国家相关标准。</w:t>
      </w:r>
    </w:p>
    <w:p>
      <w:pPr>
        <w:tabs>
          <w:tab w:val="left" w:pos="7095"/>
        </w:tabs>
        <w:spacing w:line="440" w:lineRule="exac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四、服务标准、期限、效率等要求：</w:t>
      </w:r>
    </w:p>
    <w:p>
      <w:pPr>
        <w:tabs>
          <w:tab w:val="left" w:pos="7095"/>
        </w:tabs>
        <w:spacing w:line="440" w:lineRule="exact"/>
        <w:ind w:firstLine="420" w:firstLineChars="200"/>
        <w:rPr>
          <w:rFonts w:hint="eastAsia" w:ascii="宋体" w:hAnsi="宋体" w:eastAsia="宋体"/>
          <w:b w:val="0"/>
          <w:bCs w:val="0"/>
          <w:sz w:val="21"/>
          <w:szCs w:val="21"/>
          <w:highlight w:val="none"/>
          <w:lang w:eastAsia="zh-CN"/>
        </w:rPr>
      </w:pPr>
      <w:r>
        <w:rPr>
          <w:rFonts w:hint="eastAsia" w:ascii="宋体" w:hAnsi="宋体" w:eastAsia="宋体" w:cs="黑体"/>
          <w:b w:val="0"/>
          <w:bCs w:val="0"/>
          <w:sz w:val="21"/>
          <w:szCs w:val="21"/>
          <w:highlight w:val="none"/>
          <w:shd w:val="clear" w:color="auto" w:fill="FFFFFF"/>
        </w:rPr>
        <w:t>服务标准</w:t>
      </w:r>
      <w:r>
        <w:rPr>
          <w:rFonts w:hint="eastAsia" w:ascii="宋体" w:hAnsi="宋体" w:eastAsia="宋体" w:cs="黑体"/>
          <w:b w:val="0"/>
          <w:bCs w:val="0"/>
          <w:sz w:val="21"/>
          <w:szCs w:val="21"/>
          <w:highlight w:val="none"/>
          <w:shd w:val="clear" w:color="auto" w:fill="FFFFFF"/>
          <w:lang w:eastAsia="zh-CN"/>
        </w:rPr>
        <w:t>：</w:t>
      </w:r>
      <w:r>
        <w:rPr>
          <w:rFonts w:hint="eastAsia" w:ascii="宋体" w:hAnsi="宋体" w:eastAsia="宋体"/>
          <w:b w:val="0"/>
          <w:bCs w:val="0"/>
          <w:sz w:val="21"/>
          <w:szCs w:val="21"/>
          <w:highlight w:val="none"/>
        </w:rPr>
        <w:t>符合业主需求</w:t>
      </w:r>
      <w:r>
        <w:rPr>
          <w:rFonts w:hint="eastAsia" w:ascii="宋体" w:hAnsi="宋体" w:eastAsia="宋体"/>
          <w:b w:val="0"/>
          <w:bCs w:val="0"/>
          <w:sz w:val="21"/>
          <w:szCs w:val="21"/>
          <w:highlight w:val="none"/>
          <w:lang w:eastAsia="zh-CN"/>
        </w:rPr>
        <w:t>；</w:t>
      </w:r>
    </w:p>
    <w:p>
      <w:pPr>
        <w:tabs>
          <w:tab w:val="left" w:pos="7095"/>
        </w:tabs>
        <w:spacing w:line="440" w:lineRule="exact"/>
        <w:ind w:firstLine="420" w:firstLineChars="200"/>
        <w:rPr>
          <w:rFonts w:hint="eastAsia" w:ascii="宋体" w:hAnsi="宋体" w:eastAsia="宋体"/>
          <w:b w:val="0"/>
          <w:bCs w:val="0"/>
          <w:sz w:val="21"/>
          <w:szCs w:val="21"/>
          <w:highlight w:val="none"/>
        </w:rPr>
      </w:pPr>
      <w:r>
        <w:rPr>
          <w:rFonts w:hint="eastAsia" w:ascii="宋体" w:hAnsi="宋体" w:eastAsia="宋体" w:cs="黑体"/>
          <w:b w:val="0"/>
          <w:bCs w:val="0"/>
          <w:sz w:val="21"/>
          <w:szCs w:val="21"/>
          <w:highlight w:val="none"/>
          <w:shd w:val="clear" w:color="auto" w:fill="FFFFFF"/>
        </w:rPr>
        <w:t>期限</w:t>
      </w:r>
      <w:r>
        <w:rPr>
          <w:rFonts w:hint="eastAsia" w:ascii="宋体" w:hAnsi="宋体" w:eastAsia="宋体" w:cs="黑体"/>
          <w:b w:val="0"/>
          <w:bCs w:val="0"/>
          <w:sz w:val="21"/>
          <w:szCs w:val="21"/>
          <w:highlight w:val="none"/>
          <w:shd w:val="clear" w:color="auto" w:fill="FFFFFF"/>
          <w:lang w:eastAsia="zh-CN"/>
        </w:rPr>
        <w:t>：</w:t>
      </w:r>
      <w:r>
        <w:rPr>
          <w:rFonts w:hint="eastAsia" w:ascii="宋体" w:hAnsi="宋体" w:eastAsia="宋体"/>
          <w:b w:val="0"/>
          <w:bCs w:val="0"/>
          <w:sz w:val="21"/>
          <w:szCs w:val="21"/>
          <w:highlight w:val="none"/>
          <w:lang w:val="en-US" w:eastAsia="zh-CN"/>
        </w:rPr>
        <w:t>服务期限三年；</w:t>
      </w:r>
    </w:p>
    <w:p>
      <w:pPr>
        <w:tabs>
          <w:tab w:val="left" w:pos="7095"/>
        </w:tabs>
        <w:spacing w:line="440" w:lineRule="exact"/>
        <w:ind w:firstLine="420" w:firstLineChars="200"/>
        <w:rPr>
          <w:rFonts w:hint="eastAsia" w:ascii="宋体" w:hAnsi="宋体" w:eastAsia="宋体"/>
          <w:b w:val="0"/>
          <w:bCs w:val="0"/>
          <w:sz w:val="21"/>
          <w:szCs w:val="21"/>
          <w:highlight w:val="none"/>
          <w:lang w:eastAsia="zh-CN"/>
        </w:rPr>
      </w:pPr>
      <w:r>
        <w:rPr>
          <w:rFonts w:hint="eastAsia" w:ascii="宋体" w:hAnsi="宋体" w:eastAsia="宋体"/>
          <w:b w:val="0"/>
          <w:bCs w:val="0"/>
          <w:sz w:val="21"/>
          <w:szCs w:val="21"/>
          <w:highlight w:val="none"/>
        </w:rPr>
        <w:t>效率</w:t>
      </w:r>
      <w:r>
        <w:rPr>
          <w:rFonts w:hint="eastAsia" w:ascii="宋体" w:hAnsi="宋体" w:eastAsia="宋体"/>
          <w:b w:val="0"/>
          <w:bCs w:val="0"/>
          <w:sz w:val="21"/>
          <w:szCs w:val="21"/>
          <w:highlight w:val="none"/>
          <w:lang w:eastAsia="zh-CN"/>
        </w:rPr>
        <w:t>：根据投标人在投标文件中承诺的响应时间。</w:t>
      </w:r>
    </w:p>
    <w:p>
      <w:pPr>
        <w:tabs>
          <w:tab w:val="left" w:pos="7095"/>
        </w:tabs>
        <w:spacing w:line="440" w:lineRule="exac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五、采购标的的其他技术、服务等要求：</w:t>
      </w:r>
    </w:p>
    <w:p>
      <w:pPr>
        <w:pStyle w:val="2"/>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1、本次招标某些技术标准与国家所要求的标准不统一或有不兼容的地方，均以国家强制性标准或最新出台的标准为准。</w:t>
      </w:r>
    </w:p>
    <w:p>
      <w:pPr>
        <w:pStyle w:val="2"/>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2、如果未在招标文件中要求提供其相关行业标准或国家强制性标准的，则投标人有责任给予补充说明。</w:t>
      </w:r>
    </w:p>
    <w:p>
      <w:pPr>
        <w:pStyle w:val="2"/>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3、中标方未达到作业计划标准及工作违规或引起纠纷、被上级部门处罚等不良后果，造成重大经济损失或服务严重失误，招标方有权终止本合同，并追究中标方的经济责任；</w:t>
      </w:r>
    </w:p>
    <w:p>
      <w:pPr>
        <w:pStyle w:val="2"/>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、国家标准：</w:t>
      </w:r>
    </w:p>
    <w:p>
      <w:pPr>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（1）强制性产品认证</w:t>
      </w:r>
    </w:p>
    <w:p>
      <w:pPr>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（2）信息安全产品强制性认证</w:t>
      </w:r>
    </w:p>
    <w:p>
      <w:pPr>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如供应商所投产品属于《信息安全产品强制性认证目录》，供应商不能提供超出此目录范畴外的替代品并须在响应文件中提供：</w:t>
      </w:r>
    </w:p>
    <w:p>
      <w:pPr>
        <w:wordWrap w:val="0"/>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①中国信息安全认证中心官网（http://www.isccc.gov.cn/index.shtml）产品查询结果截图并加盖供应商公章；</w:t>
      </w:r>
    </w:p>
    <w:p>
      <w:pPr>
        <w:wordWrap w:val="0"/>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②中国信息安全认证中心颁发的《</w:t>
      </w:r>
      <w:r>
        <w:rPr>
          <w:color w:val="auto"/>
          <w:sz w:val="21"/>
          <w:szCs w:val="21"/>
          <w:highlight w:val="none"/>
        </w:rPr>
        <w:fldChar w:fldCharType="begin"/>
      </w:r>
      <w:r>
        <w:rPr>
          <w:color w:val="auto"/>
          <w:sz w:val="21"/>
          <w:szCs w:val="21"/>
          <w:highlight w:val="none"/>
        </w:rPr>
        <w:instrText xml:space="preserve"> HYPERLINK "http://www.cnca.gov.cn/cnca/zwxx/ggxx/images/2010/07/19/A6C32D2A507AC2A38326896013A67542.doc" \t "_blank" </w:instrText>
      </w:r>
      <w:r>
        <w:rPr>
          <w:color w:val="auto"/>
          <w:sz w:val="21"/>
          <w:szCs w:val="21"/>
          <w:highlight w:val="none"/>
        </w:rPr>
        <w:fldChar w:fldCharType="separate"/>
      </w:r>
      <w:r>
        <w:rPr>
          <w:rFonts w:hint="eastAsia" w:ascii="宋体" w:hAnsi="宋体" w:eastAsia="宋体" w:cs="宋体"/>
          <w:color w:val="auto"/>
          <w:sz w:val="21"/>
          <w:szCs w:val="21"/>
          <w:highlight w:val="none"/>
        </w:rPr>
        <w:t>中国国家信息安全产品认证证书</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》的原件扫描件（或图片）并加盖供应商公章。</w:t>
      </w:r>
    </w:p>
    <w:p>
      <w:pPr>
        <w:wordWrap w:val="0"/>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注：仅需提供序号①～②其中之一即可。</w:t>
      </w:r>
    </w:p>
    <w:p>
      <w:pPr>
        <w:tabs>
          <w:tab w:val="left" w:pos="7095"/>
        </w:tabs>
        <w:spacing w:line="440" w:lineRule="exac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六、验收标准：</w:t>
      </w:r>
    </w:p>
    <w:p>
      <w:pPr>
        <w:tabs>
          <w:tab w:val="left" w:pos="7095"/>
        </w:tabs>
        <w:spacing w:line="440" w:lineRule="exact"/>
        <w:ind w:firstLine="420" w:firstLineChars="200"/>
        <w:rPr>
          <w:rFonts w:ascii="宋体" w:hAnsi="宋体" w:eastAsia="宋体"/>
          <w:sz w:val="21"/>
          <w:szCs w:val="21"/>
          <w:highlight w:val="none"/>
        </w:rPr>
      </w:pPr>
      <w:r>
        <w:rPr>
          <w:rFonts w:hint="eastAsia" w:ascii="宋体" w:hAnsi="宋体" w:eastAsia="宋体"/>
          <w:sz w:val="21"/>
          <w:szCs w:val="21"/>
          <w:highlight w:val="none"/>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 w:val="21"/>
          <w:szCs w:val="21"/>
          <w:highlight w:val="none"/>
        </w:rPr>
      </w:pPr>
      <w:r>
        <w:rPr>
          <w:rFonts w:hint="eastAsia" w:ascii="宋体" w:hAnsi="宋体" w:eastAsia="宋体"/>
          <w:sz w:val="21"/>
          <w:szCs w:val="21"/>
          <w:highlight w:val="none"/>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 w:val="21"/>
          <w:szCs w:val="21"/>
          <w:highlight w:val="none"/>
        </w:rPr>
      </w:pPr>
      <w:r>
        <w:rPr>
          <w:rFonts w:hint="eastAsia" w:ascii="宋体" w:hAnsi="宋体" w:eastAsia="宋体"/>
          <w:sz w:val="21"/>
          <w:szCs w:val="21"/>
          <w:highlight w:val="none"/>
        </w:rPr>
        <w:t>2、按照</w:t>
      </w:r>
      <w:r>
        <w:rPr>
          <w:rFonts w:hint="eastAsia" w:ascii="宋体" w:hAnsi="宋体" w:eastAsia="宋体"/>
          <w:sz w:val="21"/>
          <w:szCs w:val="21"/>
          <w:highlight w:val="none"/>
          <w:lang w:eastAsia="zh-CN"/>
        </w:rPr>
        <w:t>招标</w:t>
      </w:r>
      <w:r>
        <w:rPr>
          <w:rFonts w:hint="eastAsia" w:ascii="宋体" w:hAnsi="宋体" w:eastAsia="宋体"/>
          <w:sz w:val="21"/>
          <w:szCs w:val="21"/>
          <w:highlight w:val="none"/>
        </w:rPr>
        <w:t>文件要求、响应文件响应和承诺验收；</w:t>
      </w:r>
    </w:p>
    <w:p>
      <w:pPr>
        <w:tabs>
          <w:tab w:val="left" w:pos="7095"/>
        </w:tabs>
        <w:spacing w:line="440" w:lineRule="exact"/>
        <w:ind w:firstLine="420" w:firstLineChars="200"/>
        <w:rPr>
          <w:rFonts w:ascii="宋体" w:hAnsi="宋体" w:eastAsia="宋体"/>
          <w:sz w:val="21"/>
          <w:szCs w:val="21"/>
          <w:highlight w:val="none"/>
        </w:rPr>
      </w:pPr>
      <w:r>
        <w:rPr>
          <w:rFonts w:hint="eastAsia" w:ascii="宋体" w:hAnsi="宋体" w:eastAsia="宋体"/>
          <w:sz w:val="21"/>
          <w:szCs w:val="21"/>
          <w:highlight w:val="none"/>
        </w:rPr>
        <w:t>3、符合</w:t>
      </w:r>
      <w:r>
        <w:rPr>
          <w:rFonts w:hint="eastAsia" w:ascii="宋体" w:hAnsi="宋体" w:eastAsia="宋体"/>
          <w:sz w:val="21"/>
          <w:szCs w:val="21"/>
          <w:highlight w:val="none"/>
          <w:lang w:eastAsia="zh-CN"/>
        </w:rPr>
        <w:t>招标</w:t>
      </w:r>
      <w:r>
        <w:rPr>
          <w:rFonts w:hint="eastAsia" w:ascii="宋体" w:hAnsi="宋体" w:eastAsia="宋体"/>
          <w:sz w:val="21"/>
          <w:szCs w:val="21"/>
          <w:highlight w:val="none"/>
        </w:rPr>
        <w:t>文件要求和响应文件承诺；</w:t>
      </w:r>
    </w:p>
    <w:p>
      <w:pPr>
        <w:tabs>
          <w:tab w:val="left" w:pos="7095"/>
        </w:tabs>
        <w:spacing w:line="440" w:lineRule="exact"/>
        <w:ind w:firstLine="420" w:firstLineChars="200"/>
        <w:rPr>
          <w:rFonts w:ascii="宋体" w:hAnsi="宋体" w:eastAsia="宋体"/>
          <w:sz w:val="21"/>
          <w:szCs w:val="21"/>
          <w:highlight w:val="none"/>
        </w:rPr>
      </w:pPr>
      <w:r>
        <w:rPr>
          <w:rFonts w:hint="eastAsia" w:ascii="宋体" w:hAnsi="宋体" w:eastAsia="宋体"/>
          <w:sz w:val="21"/>
          <w:szCs w:val="21"/>
          <w:highlight w:val="none"/>
        </w:rPr>
        <w:t>4、本项目验收如需要第三方验收，中标方将承担所有产生的费用。</w:t>
      </w:r>
    </w:p>
    <w:p>
      <w:pPr>
        <w:tabs>
          <w:tab w:val="left" w:pos="7095"/>
        </w:tabs>
        <w:spacing w:line="440" w:lineRule="exac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七、采购资金支付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highlight w:val="none"/>
        </w:rPr>
      </w:pPr>
      <w:r>
        <w:rPr>
          <w:rFonts w:hint="eastAsia" w:ascii="宋体" w:hAnsi="宋体" w:eastAsia="宋体"/>
          <w:color w:val="auto"/>
          <w:szCs w:val="21"/>
          <w:highlight w:val="none"/>
        </w:rPr>
        <w:t>（一）支付方式：</w:t>
      </w:r>
      <w:r>
        <w:rPr>
          <w:rFonts w:hint="eastAsia" w:cs="仿宋_GB2312" w:asciiTheme="minorEastAsia" w:hAnsiTheme="minorEastAsia"/>
          <w:color w:val="auto"/>
          <w:szCs w:val="21"/>
          <w:highlight w:val="none"/>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highlight w:val="none"/>
        </w:rPr>
      </w:pPr>
      <w:r>
        <w:rPr>
          <w:rFonts w:hint="eastAsia" w:ascii="宋体" w:hAnsi="宋体"/>
          <w:color w:val="auto"/>
          <w:szCs w:val="21"/>
          <w:highlight w:val="none"/>
        </w:rPr>
        <w:t>（二）支付时间及条件：</w:t>
      </w:r>
      <w:r>
        <w:rPr>
          <w:rFonts w:hint="eastAsia" w:cs="仿宋_GB2312" w:asciiTheme="minorEastAsia" w:hAnsiTheme="minorEastAsia"/>
          <w:color w:val="auto"/>
          <w:szCs w:val="21"/>
          <w:highlight w:val="none"/>
          <w:lang w:val="zh-CN"/>
        </w:rPr>
        <w:t>双方签订合同约定。</w:t>
      </w:r>
    </w:p>
    <w:p>
      <w:pPr>
        <w:pStyle w:val="32"/>
        <w:ind w:left="0" w:leftChars="0" w:firstLine="0" w:firstLineChars="0"/>
        <w:rPr>
          <w:sz w:val="21"/>
          <w:szCs w:val="21"/>
          <w:highlight w:val="none"/>
        </w:rPr>
      </w:pPr>
    </w:p>
    <w:p>
      <w:pPr>
        <w:widowControl/>
        <w:jc w:val="center"/>
        <w:rPr>
          <w:rFonts w:hint="eastAsia" w:cs="宋体" w:asciiTheme="majorEastAsia" w:hAnsiTheme="majorEastAsia" w:eastAsiaTheme="majorEastAsia"/>
          <w:b/>
          <w:kern w:val="0"/>
          <w:sz w:val="32"/>
          <w:szCs w:val="32"/>
          <w:highlight w:val="none"/>
        </w:rPr>
      </w:pPr>
    </w:p>
    <w:p>
      <w:pPr>
        <w:widowControl/>
        <w:jc w:val="center"/>
        <w:rPr>
          <w:rFonts w:hint="eastAsia" w:cs="宋体" w:asciiTheme="majorEastAsia" w:hAnsiTheme="majorEastAsia" w:eastAsiaTheme="majorEastAsia"/>
          <w:b/>
          <w:kern w:val="0"/>
          <w:sz w:val="32"/>
          <w:szCs w:val="32"/>
          <w:highlight w:val="none"/>
        </w:rPr>
      </w:pPr>
    </w:p>
    <w:p>
      <w:pPr>
        <w:widowControl/>
        <w:jc w:val="center"/>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pStyle w:val="24"/>
        <w:rPr>
          <w:rFonts w:hint="eastAsia" w:cs="宋体" w:asciiTheme="majorEastAsia" w:hAnsiTheme="majorEastAsia" w:eastAsiaTheme="majorEastAsia"/>
          <w:b/>
          <w:kern w:val="0"/>
          <w:sz w:val="32"/>
          <w:szCs w:val="32"/>
          <w:highlight w:val="none"/>
        </w:rPr>
      </w:pPr>
    </w:p>
    <w:p>
      <w:pPr>
        <w:pStyle w:val="24"/>
        <w:rPr>
          <w:rFonts w:hint="eastAsia" w:cs="宋体" w:asciiTheme="majorEastAsia" w:hAnsiTheme="majorEastAsia" w:eastAsiaTheme="majorEastAsia"/>
          <w:b/>
          <w:kern w:val="0"/>
          <w:sz w:val="32"/>
          <w:szCs w:val="32"/>
          <w:highlight w:val="none"/>
        </w:rPr>
      </w:pPr>
    </w:p>
    <w:p>
      <w:pPr>
        <w:pStyle w:val="25"/>
        <w:rPr>
          <w:rFonts w:hint="eastAsia" w:cs="宋体" w:asciiTheme="majorEastAsia" w:hAnsiTheme="majorEastAsia" w:eastAsiaTheme="majorEastAsia"/>
          <w:b/>
          <w:kern w:val="0"/>
          <w:sz w:val="32"/>
          <w:szCs w:val="32"/>
          <w:highlight w:val="none"/>
        </w:rPr>
      </w:pPr>
    </w:p>
    <w:p>
      <w:pPr>
        <w:pStyle w:val="26"/>
        <w:rPr>
          <w:rFonts w:hint="eastAsia" w:cs="宋体" w:asciiTheme="majorEastAsia" w:hAnsiTheme="majorEastAsia" w:eastAsiaTheme="majorEastAsia"/>
          <w:b/>
          <w:kern w:val="0"/>
          <w:sz w:val="32"/>
          <w:szCs w:val="32"/>
          <w:highlight w:val="none"/>
        </w:rPr>
      </w:pPr>
    </w:p>
    <w:p>
      <w:pPr>
        <w:pStyle w:val="27"/>
        <w:rPr>
          <w:rFonts w:hint="eastAsia"/>
          <w:highlight w:val="none"/>
        </w:rPr>
      </w:pPr>
    </w:p>
    <w:p>
      <w:pPr>
        <w:pStyle w:val="24"/>
        <w:rPr>
          <w:rFonts w:hint="eastAsia" w:cs="宋体" w:asciiTheme="majorEastAsia" w:hAnsiTheme="majorEastAsia" w:eastAsiaTheme="majorEastAsia"/>
          <w:b/>
          <w:kern w:val="0"/>
          <w:sz w:val="32"/>
          <w:szCs w:val="32"/>
          <w:highlight w:val="none"/>
        </w:rPr>
      </w:pPr>
    </w:p>
    <w:p>
      <w:pPr>
        <w:widowControl/>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highlight w:val="none"/>
        </w:rPr>
      </w:pPr>
      <w:r>
        <w:rPr>
          <w:rFonts w:hint="eastAsia" w:cs="微软雅黑"/>
          <w:b/>
          <w:szCs w:val="21"/>
          <w:highlight w:val="none"/>
        </w:rPr>
        <w:t>招标文件中凡标有</w:t>
      </w:r>
      <w:r>
        <w:rPr>
          <w:rFonts w:hint="eastAsia" w:cs="微软雅黑" w:asciiTheme="minorEastAsia" w:hAnsiTheme="minorEastAsia"/>
          <w:b/>
          <w:szCs w:val="21"/>
          <w:highlight w:val="none"/>
        </w:rPr>
        <w:t>★</w:t>
      </w:r>
      <w:r>
        <w:rPr>
          <w:rFonts w:hint="eastAsia" w:cs="微软雅黑"/>
          <w:b/>
          <w:szCs w:val="21"/>
          <w:highlight w:val="none"/>
        </w:rPr>
        <w:t>条款均为实质性要求条款，投标文件须完全响应，未实质响应的，按照无效投标处理。</w:t>
      </w:r>
    </w:p>
    <w:tbl>
      <w:tblPr>
        <w:tblStyle w:val="3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061"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6439"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采购项目</w:t>
            </w:r>
          </w:p>
        </w:tc>
        <w:tc>
          <w:tcPr>
            <w:tcW w:w="6439" w:type="dxa"/>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项目名称：禹州市市场监督管理局知识产权快速维权中心建设项目（不见面开标）第</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标段</w:t>
            </w:r>
            <w:r>
              <w:rPr>
                <w:rFonts w:hint="eastAsia" w:ascii="宋体" w:hAnsi="宋体" w:eastAsia="宋体" w:cs="宋体"/>
                <w:color w:val="000000"/>
                <w:sz w:val="21"/>
                <w:szCs w:val="21"/>
                <w:highlight w:val="none"/>
              </w:rPr>
              <w:t>；</w:t>
            </w:r>
          </w:p>
          <w:p>
            <w:pPr>
              <w:autoSpaceDE w:val="0"/>
              <w:autoSpaceDN w:val="0"/>
              <w:adjustRightInd w:val="0"/>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rPr>
              <w:t>项目编号：</w:t>
            </w:r>
            <w:r>
              <w:rPr>
                <w:rFonts w:hint="eastAsia" w:ascii="宋体" w:hAnsi="宋体" w:eastAsia="宋体" w:cs="宋体"/>
                <w:color w:val="000000"/>
                <w:sz w:val="21"/>
                <w:szCs w:val="21"/>
                <w:highlight w:val="none"/>
              </w:rPr>
              <w:t>YZCG-DLG202</w:t>
            </w:r>
            <w:r>
              <w:rPr>
                <w:rFonts w:hint="eastAsia" w:ascii="宋体" w:hAnsi="宋体" w:eastAsia="宋体" w:cs="宋体"/>
                <w:color w:val="000000"/>
                <w:sz w:val="21"/>
                <w:szCs w:val="21"/>
                <w:highlight w:val="none"/>
                <w:lang w:val="en-US" w:eastAsia="zh-CN"/>
              </w:rPr>
              <w:t xml:space="preserve">3046  </w:t>
            </w:r>
          </w:p>
          <w:p>
            <w:pPr>
              <w:pStyle w:val="2"/>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投标人制作投标文件时项目编号以该项目编号为准</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项目内容：</w:t>
            </w:r>
            <w:r>
              <w:rPr>
                <w:rFonts w:hint="eastAsia" w:ascii="宋体" w:hAnsi="宋体" w:eastAsia="宋体" w:cs="宋体"/>
                <w:color w:val="000000"/>
                <w:sz w:val="21"/>
                <w:szCs w:val="21"/>
                <w:highlight w:val="none"/>
              </w:rPr>
              <w:t>详见招标文件第二章项目需求；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tc>
        <w:tc>
          <w:tcPr>
            <w:tcW w:w="6439" w:type="dxa"/>
            <w:vAlign w:val="center"/>
          </w:tcPr>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 标 人：</w:t>
            </w:r>
            <w:r>
              <w:rPr>
                <w:rFonts w:hint="eastAsia" w:ascii="宋体" w:hAnsi="宋体" w:eastAsia="宋体" w:cs="宋体"/>
                <w:sz w:val="21"/>
                <w:szCs w:val="21"/>
                <w:highlight w:val="none"/>
                <w:lang w:eastAsia="zh-CN"/>
              </w:rPr>
              <w:t>禹州市市场监督管理局</w:t>
            </w:r>
            <w:r>
              <w:rPr>
                <w:rFonts w:hint="eastAsia" w:ascii="宋体" w:hAnsi="宋体" w:eastAsia="宋体" w:cs="宋体"/>
                <w:sz w:val="21"/>
                <w:szCs w:val="21"/>
                <w:highlight w:val="none"/>
              </w:rPr>
              <w:t xml:space="preserve">          </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    址：禹州市行政南路70号</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 系 人：李先生</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联系方式：13937460878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代理机构</w:t>
            </w:r>
          </w:p>
        </w:tc>
        <w:tc>
          <w:tcPr>
            <w:tcW w:w="6439" w:type="dxa"/>
            <w:vAlign w:val="center"/>
          </w:tcPr>
          <w:p>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建基工程咨询有限公司</w:t>
            </w:r>
          </w:p>
          <w:p>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刘女士</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061" w:type="dxa"/>
            <w:vAlign w:val="center"/>
          </w:tcPr>
          <w:p>
            <w:pPr>
              <w:autoSpaceDE w:val="0"/>
              <w:autoSpaceDN w:val="0"/>
              <w:adjustRightInd w:val="0"/>
              <w:spacing w:line="360" w:lineRule="auto"/>
              <w:rPr>
                <w:rFonts w:hint="eastAsia" w:ascii="宋体" w:hAnsi="宋体" w:eastAsia="宋体" w:cs="仿宋_GB2312"/>
                <w:szCs w:val="21"/>
                <w:highlight w:val="none"/>
              </w:rPr>
            </w:pPr>
            <w:r>
              <w:rPr>
                <w:rFonts w:hint="eastAsia" w:ascii="宋体" w:hAnsi="宋体" w:eastAsia="宋体" w:cs="仿宋_GB2312"/>
                <w:szCs w:val="21"/>
                <w:highlight w:val="none"/>
              </w:rPr>
              <w:t>资金来源及落实情况</w:t>
            </w:r>
          </w:p>
        </w:tc>
        <w:tc>
          <w:tcPr>
            <w:tcW w:w="6439" w:type="dxa"/>
            <w:vAlign w:val="center"/>
          </w:tcPr>
          <w:p>
            <w:pPr>
              <w:autoSpaceDE w:val="0"/>
              <w:autoSpaceDN w:val="0"/>
              <w:adjustRightInd w:val="0"/>
              <w:spacing w:line="360" w:lineRule="auto"/>
              <w:rPr>
                <w:rFonts w:hint="eastAsia" w:ascii="宋体" w:hAnsi="宋体" w:eastAsia="宋体" w:cs="仿宋_GB2312"/>
                <w:szCs w:val="21"/>
                <w:highlight w:val="none"/>
              </w:rPr>
            </w:pPr>
            <w:r>
              <w:rPr>
                <w:rFonts w:hint="eastAsia" w:ascii="宋体" w:hAnsi="宋体" w:eastAsia="宋体" w:cs="仿宋_GB2312"/>
                <w:szCs w:val="21"/>
                <w:highlight w:val="none"/>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仿宋_GB2312"/>
                <w:szCs w:val="21"/>
                <w:highlight w:val="none"/>
              </w:rPr>
              <w:t>交付（服务、完工）时间</w:t>
            </w:r>
          </w:p>
        </w:tc>
        <w:tc>
          <w:tcPr>
            <w:tcW w:w="6439" w:type="dxa"/>
            <w:vAlign w:val="center"/>
          </w:tcPr>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仿宋_GB2312"/>
                <w:szCs w:val="21"/>
                <w:highlight w:val="none"/>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6439" w:type="dxa"/>
            <w:vAlign w:val="center"/>
          </w:tcPr>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合格（满足国家、行业和主管部门相关标准）；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Merge w:val="restart"/>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061" w:type="dxa"/>
            <w:vMerge w:val="restart"/>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投标人资格</w:t>
            </w:r>
          </w:p>
        </w:tc>
        <w:tc>
          <w:tcPr>
            <w:tcW w:w="6439" w:type="dxa"/>
            <w:vAlign w:val="center"/>
          </w:tcPr>
          <w:p>
            <w:pPr>
              <w:pStyle w:val="39"/>
              <w:spacing w:line="360" w:lineRule="auto"/>
              <w:ind w:firstLine="0" w:firstLineChars="0"/>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jc w:val="center"/>
        </w:trPr>
        <w:tc>
          <w:tcPr>
            <w:tcW w:w="709" w:type="dxa"/>
            <w:vMerge w:val="continue"/>
            <w:vAlign w:val="center"/>
          </w:tcPr>
          <w:p>
            <w:pPr>
              <w:autoSpaceDE w:val="0"/>
              <w:autoSpaceDN w:val="0"/>
              <w:adjustRightInd w:val="0"/>
              <w:spacing w:line="276" w:lineRule="auto"/>
              <w:jc w:val="center"/>
              <w:rPr>
                <w:rFonts w:hint="eastAsia" w:ascii="宋体" w:hAnsi="宋体" w:eastAsia="宋体" w:cs="宋体"/>
                <w:sz w:val="21"/>
                <w:szCs w:val="21"/>
                <w:highlight w:val="none"/>
              </w:rPr>
            </w:pPr>
          </w:p>
        </w:tc>
        <w:tc>
          <w:tcPr>
            <w:tcW w:w="2061" w:type="dxa"/>
            <w:vMerge w:val="continue"/>
            <w:vAlign w:val="center"/>
          </w:tcPr>
          <w:p>
            <w:pPr>
              <w:autoSpaceDE w:val="0"/>
              <w:autoSpaceDN w:val="0"/>
              <w:adjustRightInd w:val="0"/>
              <w:spacing w:line="276" w:lineRule="auto"/>
              <w:jc w:val="center"/>
              <w:rPr>
                <w:rFonts w:hint="eastAsia" w:ascii="宋体" w:hAnsi="宋体" w:eastAsia="宋体" w:cs="宋体"/>
                <w:sz w:val="21"/>
                <w:szCs w:val="21"/>
                <w:highlight w:val="none"/>
              </w:rPr>
            </w:pPr>
          </w:p>
        </w:tc>
        <w:tc>
          <w:tcPr>
            <w:tcW w:w="6439" w:type="dxa"/>
            <w:vAlign w:val="center"/>
          </w:tcPr>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符合《政府采购法》第二十二条之规定；</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1．具有独立承担民事责任的能力； </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2．具有良好的商业信誉和健全的财务会计制度； </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3．具有履行合同所必需的设备和专业技术能力； </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4．具有依法缴纳税收和社会保障资金的良好记录； </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5．参加政府采购活动前三年内，在经营活动中没有重大违法记录。</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供应商在投标时，提供《禹州市政府采购供应商信用承诺函》（详见招标文件第八章3.5格式），无需再提交上述证明材料。</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采购人有权在签订合同前要求中标供应商提供相关证明材料以核实中标供应商承诺事项的真实性。</w:t>
            </w:r>
          </w:p>
          <w:p>
            <w:pPr>
              <w:pStyle w:val="39"/>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联合体投标</w:t>
            </w:r>
          </w:p>
        </w:tc>
        <w:tc>
          <w:tcPr>
            <w:tcW w:w="6439" w:type="dxa"/>
            <w:vAlign w:val="center"/>
          </w:tcPr>
          <w:p>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本项目</w:t>
            </w: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kern w:val="0"/>
                <w:sz w:val="21"/>
                <w:szCs w:val="21"/>
                <w:highlight w:val="none"/>
              </w:rPr>
              <w:t>不接受</w:t>
            </w:r>
            <w:r>
              <w:rPr>
                <w:rFonts w:hint="eastAsia" w:ascii="宋体" w:hAnsi="宋体" w:eastAsia="宋体" w:cs="宋体"/>
                <w:bCs/>
                <w:sz w:val="21"/>
                <w:szCs w:val="21"/>
                <w:highlight w:val="none"/>
                <w:lang w:val="zh-CN"/>
              </w:rPr>
              <w:t>□接受</w:t>
            </w:r>
            <w:r>
              <w:rPr>
                <w:rFonts w:hint="eastAsia" w:ascii="宋体" w:hAnsi="宋体" w:eastAsia="宋体" w:cs="宋体"/>
                <w:kern w:val="0"/>
                <w:sz w:val="21"/>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最高限价</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本项目最高限价为</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招标控制价（最高限价）：</w:t>
            </w:r>
            <w:bookmarkStart w:id="7" w:name="_Hlk25596104"/>
            <w:r>
              <w:rPr>
                <w:rFonts w:hint="eastAsia" w:ascii="宋体" w:hAnsi="宋体" w:eastAsia="宋体" w:cs="仿宋_GB2312"/>
                <w:szCs w:val="21"/>
                <w:highlight w:val="none"/>
              </w:rPr>
              <w:t>第</w:t>
            </w:r>
            <w:r>
              <w:rPr>
                <w:rFonts w:hint="eastAsia" w:ascii="宋体" w:hAnsi="宋体" w:eastAsia="宋体" w:cs="仿宋_GB2312"/>
                <w:szCs w:val="21"/>
                <w:highlight w:val="none"/>
                <w:lang w:eastAsia="zh-CN"/>
              </w:rPr>
              <w:t>二</w:t>
            </w:r>
            <w:r>
              <w:rPr>
                <w:rFonts w:hint="eastAsia" w:ascii="宋体" w:hAnsi="宋体" w:eastAsia="宋体" w:cs="仿宋_GB2312"/>
                <w:szCs w:val="21"/>
                <w:highlight w:val="none"/>
              </w:rPr>
              <w:t>标段</w:t>
            </w: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2597170</w:t>
            </w:r>
            <w:r>
              <w:rPr>
                <w:rFonts w:hint="eastAsia" w:ascii="宋体" w:hAnsi="宋体" w:eastAsia="宋体" w:cs="宋体"/>
                <w:bCs/>
                <w:szCs w:val="21"/>
                <w:highlight w:val="none"/>
                <w:lang w:val="zh-CN"/>
              </w:rPr>
              <w:t>元</w:t>
            </w:r>
            <w:r>
              <w:rPr>
                <w:rFonts w:hint="eastAsia" w:ascii="宋体" w:hAnsi="宋体" w:eastAsia="宋体" w:cs="宋体"/>
                <w:bCs/>
                <w:sz w:val="21"/>
                <w:szCs w:val="21"/>
                <w:highlight w:val="none"/>
                <w:lang w:val="zh-CN"/>
              </w:rPr>
              <w:t>；投标人投标报价超出招标人发布的相应招标控制价的，投标无效。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现场考察</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不组织</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w:t>
            </w:r>
            <w:r>
              <w:rPr>
                <w:rFonts w:hint="eastAsia" w:ascii="宋体" w:hAnsi="宋体" w:eastAsia="宋体" w:cs="宋体"/>
                <w:bCs/>
                <w:sz w:val="21"/>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开标前答疑会</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不召开</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061" w:type="dxa"/>
            <w:vAlign w:val="center"/>
          </w:tcPr>
          <w:p>
            <w:pPr>
              <w:autoSpaceDE w:val="0"/>
              <w:autoSpaceDN w:val="0"/>
              <w:adjustRightInd w:val="0"/>
              <w:spacing w:line="276" w:lineRule="auto"/>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进口产品参与</w:t>
            </w:r>
          </w:p>
        </w:tc>
        <w:tc>
          <w:tcPr>
            <w:tcW w:w="6439"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zh-CN"/>
              </w:rPr>
              <w:sym w:font="Wingdings 2" w:char="0052"/>
            </w:r>
            <w:r>
              <w:rPr>
                <w:rFonts w:hint="eastAsia" w:ascii="宋体" w:hAnsi="宋体" w:eastAsia="宋体" w:cs="宋体"/>
                <w:bCs/>
                <w:sz w:val="21"/>
                <w:szCs w:val="21"/>
                <w:highlight w:val="none"/>
                <w:lang w:val="zh-CN"/>
              </w:rPr>
              <w:t xml:space="preserve">不允许    </w:t>
            </w: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投标有效期</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90天（自提交投标文件的截止之日起算）</w:t>
            </w:r>
          </w:p>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中标人将本项目的非主体、非关键性工作分包</w:t>
            </w:r>
          </w:p>
        </w:tc>
        <w:tc>
          <w:tcPr>
            <w:tcW w:w="6439"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 xml:space="preserve">不允许   </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投标截止及</w:t>
            </w:r>
          </w:p>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开标时间</w:t>
            </w:r>
          </w:p>
        </w:tc>
        <w:tc>
          <w:tcPr>
            <w:tcW w:w="6439" w:type="dxa"/>
            <w:vAlign w:val="center"/>
          </w:tcPr>
          <w:p>
            <w:pPr>
              <w:autoSpaceDE w:val="0"/>
              <w:autoSpaceDN w:val="0"/>
              <w:adjustRightInd w:val="0"/>
              <w:spacing w:line="360" w:lineRule="auto"/>
              <w:rPr>
                <w:rFonts w:hint="eastAsia" w:ascii="宋体" w:hAnsi="宋体" w:eastAsia="宋体" w:cs="宋体"/>
                <w:b/>
                <w:bCs/>
                <w:color w:val="0000FF"/>
                <w:sz w:val="21"/>
                <w:szCs w:val="21"/>
                <w:highlight w:val="none"/>
                <w:lang w:val="zh-CN"/>
              </w:rPr>
            </w:pPr>
            <w:r>
              <w:rPr>
                <w:rFonts w:hint="eastAsia" w:ascii="宋体" w:hAnsi="宋体" w:eastAsia="宋体" w:cs="宋体"/>
                <w:bCs/>
                <w:sz w:val="21"/>
                <w:szCs w:val="21"/>
                <w:highlight w:val="none"/>
                <w:lang w:val="zh-CN"/>
              </w:rPr>
              <w:t>2023年</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val="zh-CN"/>
              </w:rPr>
              <w:t>月</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lang w:val="zh-CN"/>
              </w:rPr>
              <w:t>日上午08时30分（北京时间）；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及开标地点</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电子投标文件递交地点</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电子投标文件应按规定在投标截止时间</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开标时间</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之前成功提交至【全国公共资源交易平台</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河南省</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许昌市</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】公共资源交易系统</w:t>
            </w:r>
            <w:r>
              <w:rPr>
                <w:rFonts w:hint="eastAsia" w:ascii="宋体" w:hAnsi="宋体" w:eastAsia="宋体" w:cs="宋体"/>
                <w:bCs/>
                <w:sz w:val="21"/>
                <w:szCs w:val="21"/>
                <w:highlight w:val="none"/>
              </w:rPr>
              <w:t>（</w:t>
            </w:r>
            <w:r>
              <w:rPr>
                <w:rFonts w:hint="eastAsia" w:ascii="宋体" w:hAnsi="宋体" w:eastAsia="宋体" w:cs="宋体"/>
                <w:bCs/>
                <w:color w:val="0000FF"/>
                <w:sz w:val="21"/>
                <w:szCs w:val="21"/>
                <w:highlight w:val="none"/>
                <w:u w:val="single"/>
              </w:rPr>
              <w:t>http://ggzy.xuchang.gov.cn/</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开标地点：禹州市公共资源交易中心开标</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6439" w:type="dxa"/>
            <w:vAlign w:val="center"/>
          </w:tcPr>
          <w:p>
            <w:pPr>
              <w:tabs>
                <w:tab w:val="left" w:pos="1260"/>
              </w:tabs>
              <w:autoSpaceDE w:val="0"/>
              <w:autoSpaceDN w:val="0"/>
              <w:adjustRightInd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本项目不收取。</w:t>
            </w:r>
          </w:p>
          <w:p>
            <w:pPr>
              <w:tabs>
                <w:tab w:val="left" w:pos="1260"/>
              </w:tabs>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公告发布</w:t>
            </w:r>
          </w:p>
        </w:tc>
        <w:tc>
          <w:tcPr>
            <w:tcW w:w="6439"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color w:val="000000"/>
                <w:sz w:val="21"/>
                <w:szCs w:val="21"/>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采购人澄清或修改招标文件时间</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投标截止时间15日前（</w:t>
            </w:r>
            <w:r>
              <w:rPr>
                <w:rFonts w:hint="eastAsia" w:ascii="宋体" w:hAnsi="宋体" w:eastAsia="宋体" w:cs="宋体"/>
                <w:sz w:val="21"/>
                <w:szCs w:val="21"/>
                <w:highlight w:val="none"/>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投标人对采购文件质疑截止时间</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6439" w:type="dxa"/>
            <w:vAlign w:val="center"/>
          </w:tcPr>
          <w:p>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电子投标文件：成功上传至《全国公共资源交易平台（河南省·许昌市）》公共资源交易系统加密电子投标文件1份</w:t>
            </w:r>
            <w:r>
              <w:rPr>
                <w:rFonts w:hint="eastAsia" w:ascii="宋体" w:hAnsi="宋体" w:eastAsia="宋体" w:cs="宋体"/>
                <w:sz w:val="21"/>
                <w:szCs w:val="21"/>
                <w:highlight w:val="none"/>
                <w:lang w:val="zh-CN"/>
              </w:rPr>
              <w:t>（文件格式为： XXX公司XXX项目编号.file）。</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签署盖章</w:t>
            </w:r>
          </w:p>
        </w:tc>
        <w:tc>
          <w:tcPr>
            <w:tcW w:w="6439" w:type="dxa"/>
            <w:vAlign w:val="center"/>
          </w:tcPr>
          <w:p>
            <w:pPr>
              <w:autoSpaceDE w:val="0"/>
              <w:autoSpaceDN w:val="0"/>
              <w:adjustRightIn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本项目是否采用不见面开标</w:t>
            </w:r>
          </w:p>
        </w:tc>
        <w:tc>
          <w:tcPr>
            <w:tcW w:w="6439" w:type="dxa"/>
            <w:vAlign w:val="center"/>
          </w:tcPr>
          <w:p>
            <w:pPr>
              <w:autoSpaceDE w:val="0"/>
              <w:autoSpaceDN w:val="0"/>
              <w:adjustRightInd w:val="0"/>
              <w:spacing w:line="42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评标委员会组建</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评标方法</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kern w:val="0"/>
                <w:sz w:val="21"/>
                <w:szCs w:val="21"/>
                <w:highlight w:val="none"/>
                <w:lang w:val="zh-CN"/>
              </w:rPr>
              <w:fldChar w:fldCharType="begin"/>
            </w:r>
            <w:r>
              <w:rPr>
                <w:rFonts w:hint="eastAsia" w:ascii="宋体" w:hAnsi="宋体" w:eastAsia="宋体" w:cs="宋体"/>
                <w:b/>
                <w:kern w:val="0"/>
                <w:sz w:val="21"/>
                <w:szCs w:val="21"/>
                <w:highlight w:val="none"/>
                <w:lang w:val="zh-CN"/>
              </w:rPr>
              <w:instrText xml:space="preserve">eq \o\ac(</w:instrText>
            </w:r>
            <w:r>
              <w:rPr>
                <w:rFonts w:hint="eastAsia" w:ascii="宋体" w:hAnsi="宋体" w:eastAsia="宋体" w:cs="宋体"/>
                <w:b/>
                <w:kern w:val="0"/>
                <w:position w:val="-4"/>
                <w:sz w:val="31"/>
                <w:szCs w:val="21"/>
                <w:highlight w:val="none"/>
                <w:lang w:val="zh-CN"/>
              </w:rPr>
              <w:instrText xml:space="preserve">□</w:instrText>
            </w:r>
            <w:r>
              <w:rPr>
                <w:rFonts w:hint="eastAsia" w:ascii="宋体" w:hAnsi="宋体" w:eastAsia="宋体" w:cs="宋体"/>
                <w:b/>
                <w:kern w:val="0"/>
                <w:position w:val="0"/>
                <w:sz w:val="21"/>
                <w:szCs w:val="21"/>
                <w:highlight w:val="none"/>
                <w:lang w:val="zh-CN"/>
              </w:rPr>
              <w:instrText xml:space="preserve">,√)</w:instrText>
            </w:r>
            <w:r>
              <w:rPr>
                <w:rFonts w:hint="eastAsia" w:ascii="宋体" w:hAnsi="宋体" w:eastAsia="宋体" w:cs="宋体"/>
                <w:b/>
                <w:kern w:val="0"/>
                <w:sz w:val="21"/>
                <w:szCs w:val="21"/>
                <w:highlight w:val="none"/>
                <w:lang w:val="zh-CN"/>
              </w:rPr>
              <w:fldChar w:fldCharType="end"/>
            </w:r>
            <w:r>
              <w:rPr>
                <w:rFonts w:hint="eastAsia" w:ascii="宋体" w:hAnsi="宋体" w:eastAsia="宋体" w:cs="宋体"/>
                <w:bCs/>
                <w:sz w:val="21"/>
                <w:szCs w:val="21"/>
                <w:highlight w:val="none"/>
                <w:lang w:val="zh-CN"/>
              </w:rPr>
              <w:t>综合评分法</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授权函</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中小企业有关政策</w:t>
            </w:r>
          </w:p>
        </w:tc>
        <w:tc>
          <w:tcPr>
            <w:tcW w:w="6439" w:type="dxa"/>
            <w:vAlign w:val="center"/>
          </w:tcPr>
          <w:p>
            <w:pPr>
              <w:autoSpaceDE w:val="0"/>
              <w:autoSpaceDN w:val="0"/>
              <w:adjustRightInd w:val="0"/>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1、本次采购标的对应的企业划分标准所属行业：软件和信息技术服务业</w:t>
            </w:r>
          </w:p>
          <w:p>
            <w:pPr>
              <w:autoSpaceDE w:val="0"/>
              <w:autoSpaceDN w:val="0"/>
              <w:adjustRightInd w:val="0"/>
              <w:spacing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节能环保要求</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信息安全要求</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履约保证金</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无要求</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w:t>
            </w:r>
            <w:r>
              <w:rPr>
                <w:rFonts w:hint="eastAsia" w:ascii="宋体" w:hAnsi="宋体" w:eastAsia="宋体" w:cs="宋体"/>
                <w:color w:val="333333"/>
                <w:sz w:val="21"/>
                <w:szCs w:val="21"/>
                <w:highlight w:val="none"/>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代理服务费</w:t>
            </w:r>
          </w:p>
        </w:tc>
        <w:tc>
          <w:tcPr>
            <w:tcW w:w="6439" w:type="dxa"/>
            <w:vAlign w:val="center"/>
          </w:tcPr>
          <w:p>
            <w:pPr>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收取，招标代理服务费由中标人支付，按照豫招协〔2023〕002《河南省招标代理服务收费指导意见》收取，由中标单位在领取中标通知书时一次性支付给代理机构。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中标通知书</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标结束后，投标人接到招标代理机构通知获得第一中标候选人24小时内，应将由《禹州市政府采购供应商信用承诺函》替代的证明材料提交采购人和招标代理机构核验，经核验无误后，招标代理机构向中标人发出中标通知书。</w:t>
            </w:r>
          </w:p>
          <w:p>
            <w:pPr>
              <w:pStyle w:val="2"/>
              <w:spacing w:line="360" w:lineRule="auto"/>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2、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电子化采购模式</w:t>
            </w:r>
          </w:p>
        </w:tc>
        <w:tc>
          <w:tcPr>
            <w:tcW w:w="6439" w:type="dxa"/>
            <w:vAlign w:val="center"/>
          </w:tcPr>
          <w:p>
            <w:pPr>
              <w:autoSpaceDE w:val="0"/>
              <w:autoSpaceDN w:val="0"/>
              <w:adjustRightInd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是。</w:t>
            </w:r>
            <w:r>
              <w:rPr>
                <w:rFonts w:hint="eastAsia" w:ascii="宋体" w:hAnsi="宋体" w:eastAsia="宋体" w:cs="宋体"/>
                <w:sz w:val="21"/>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投标人代表出席开标会及其他</w:t>
            </w:r>
          </w:p>
        </w:tc>
        <w:tc>
          <w:tcPr>
            <w:tcW w:w="6439" w:type="dxa"/>
            <w:vAlign w:val="center"/>
          </w:tcPr>
          <w:p>
            <w:pPr>
              <w:spacing w:line="312"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解释权</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构成本招标文件的各个组成文件应互为解释，互为说明；</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3、同一组成文件中就同一事项的规定或约定不一致的，以编排顺序在后者为准；</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000000"/>
                <w:kern w:val="0"/>
                <w:sz w:val="21"/>
                <w:szCs w:val="21"/>
                <w:highlight w:val="none"/>
                <w:lang w:val="zh-CN"/>
              </w:rPr>
            </w:pPr>
            <w:r>
              <w:rPr>
                <w:rFonts w:hint="eastAsia" w:ascii="宋体" w:hAnsi="宋体" w:eastAsia="宋体" w:cs="宋体"/>
                <w:sz w:val="21"/>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知识产权</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37</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投标费用</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38</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纪律和监督</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39</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投标文件的拒收</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lang w:val="zh-CN"/>
              </w:rPr>
              <w:t>、未成功上传的投标文件；</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特别提示</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评审专家应严格按照要求查看“硬件特征码” 相关信息并进行评审，在评审报告中显示“不同投标人电子投标文件制作硬件特征码”是否雷同的分析及判定结果。</w:t>
            </w:r>
          </w:p>
          <w:p>
            <w:pPr>
              <w:spacing w:after="156" w:after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7、项目编号、项目名称以本项目招标文件项目编号、项目名称为准。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41</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投标人资格核验</w:t>
            </w:r>
          </w:p>
        </w:tc>
        <w:tc>
          <w:tcPr>
            <w:tcW w:w="6439" w:type="dxa"/>
            <w:vAlign w:val="center"/>
          </w:tcPr>
          <w:p>
            <w:pPr>
              <w:autoSpaceDE w:val="0"/>
              <w:autoSpaceDN w:val="0"/>
              <w:adjustRightInd w:val="0"/>
              <w:spacing w:line="360" w:lineRule="auto"/>
              <w:ind w:right="-11"/>
              <w:rPr>
                <w:rFonts w:hint="eastAsia" w:ascii="宋体" w:hAnsi="宋体" w:eastAsia="宋体" w:cs="宋体"/>
                <w:sz w:val="21"/>
                <w:szCs w:val="21"/>
                <w:highlight w:val="none"/>
              </w:rPr>
            </w:pPr>
            <w:r>
              <w:rPr>
                <w:rFonts w:hint="eastAsia" w:ascii="宋体" w:hAnsi="宋体" w:eastAsia="宋体" w:cs="宋体"/>
                <w:sz w:val="21"/>
                <w:szCs w:val="21"/>
                <w:highlight w:val="none"/>
              </w:rPr>
              <w:t>评标结束后，投标人接到招标代理机构通知获得第一中标候选人24小时内，应将由《禹州市政府采购供应商信用承诺函》替代的证明材料提交采购人和招标代理机构核验，经核验无误后，招标代理机构向中标人发出中标通知书。</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二、财务状况报告相关材料</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1、投标人是法人（法人包括企业法人、机关法人、事业单位法人和社会团体法人），提供本单位：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w:t>
            </w:r>
            <w:r>
              <w:rPr>
                <w:rFonts w:hint="eastAsia" w:ascii="宋体" w:hAnsi="宋体" w:eastAsia="宋体" w:cs="宋体"/>
                <w:b/>
                <w:bCs/>
                <w:sz w:val="21"/>
                <w:szCs w:val="21"/>
                <w:highlight w:val="none"/>
              </w:rPr>
              <w:t>2021年度</w:t>
            </w:r>
            <w:r>
              <w:rPr>
                <w:rFonts w:hint="eastAsia" w:ascii="宋体" w:hAnsi="宋体" w:eastAsia="宋体" w:cs="宋体"/>
                <w:b/>
                <w:bCs/>
                <w:sz w:val="21"/>
                <w:szCs w:val="21"/>
                <w:highlight w:val="none"/>
                <w:lang w:val="en-US" w:eastAsia="zh-CN"/>
              </w:rPr>
              <w:t>或2022年度</w:t>
            </w:r>
            <w:r>
              <w:rPr>
                <w:rFonts w:hint="eastAsia" w:ascii="宋体" w:hAnsi="宋体" w:eastAsia="宋体" w:cs="宋体"/>
                <w:b/>
                <w:bCs/>
                <w:sz w:val="21"/>
                <w:szCs w:val="21"/>
                <w:highlight w:val="none"/>
              </w:rPr>
              <w:t>经审计的财务报告</w:t>
            </w:r>
            <w:r>
              <w:rPr>
                <w:rFonts w:hint="eastAsia" w:ascii="宋体" w:hAnsi="宋体" w:eastAsia="宋体" w:cs="宋体"/>
                <w:bCs/>
                <w:sz w:val="21"/>
                <w:szCs w:val="21"/>
                <w:highlight w:val="none"/>
              </w:rPr>
              <w:t>，包括资产负债表、利润表、现金流量表、所有者权益变动表及其附注；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②基本开户银行出具的资信证明；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①～③其中之一即可。</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2、投标人（其他组织和自然人）提供本单位：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w:t>
            </w:r>
            <w:r>
              <w:rPr>
                <w:rFonts w:hint="eastAsia" w:ascii="宋体" w:hAnsi="宋体" w:eastAsia="宋体" w:cs="宋体"/>
                <w:b/>
                <w:bCs/>
                <w:sz w:val="21"/>
                <w:szCs w:val="21"/>
                <w:highlight w:val="none"/>
              </w:rPr>
              <w:t>2021年度</w:t>
            </w:r>
            <w:r>
              <w:rPr>
                <w:rFonts w:hint="eastAsia" w:ascii="宋体" w:hAnsi="宋体" w:eastAsia="宋体" w:cs="宋体"/>
                <w:b/>
                <w:bCs/>
                <w:sz w:val="21"/>
                <w:szCs w:val="21"/>
                <w:highlight w:val="none"/>
                <w:lang w:val="en-US" w:eastAsia="zh-CN"/>
              </w:rPr>
              <w:t>或2022年度</w:t>
            </w:r>
            <w:r>
              <w:rPr>
                <w:rFonts w:hint="eastAsia" w:ascii="宋体" w:hAnsi="宋体" w:eastAsia="宋体" w:cs="宋体"/>
                <w:b/>
                <w:bCs/>
                <w:sz w:val="21"/>
                <w:szCs w:val="21"/>
                <w:highlight w:val="none"/>
              </w:rPr>
              <w:t>经审计的财务报告</w:t>
            </w:r>
            <w:r>
              <w:rPr>
                <w:rFonts w:hint="eastAsia" w:ascii="宋体" w:hAnsi="宋体" w:eastAsia="宋体" w:cs="宋体"/>
                <w:bCs/>
                <w:sz w:val="21"/>
                <w:szCs w:val="21"/>
                <w:highlight w:val="none"/>
              </w:rPr>
              <w:t>，包括资产负债表、利润表、现金流量表、所有者权益变动表及其附注；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①～③其中之一即可。</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三、依法缴纳税收相关材料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1、相关设备的购置发票、专业技术人员职称证书、用工合同等；</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1～2其中之一即可。</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kern w:val="0"/>
                <w:sz w:val="21"/>
                <w:szCs w:val="21"/>
                <w:highlight w:val="none"/>
              </w:rPr>
              <w:t>六、</w:t>
            </w:r>
            <w:r>
              <w:rPr>
                <w:rFonts w:hint="eastAsia" w:ascii="宋体" w:hAnsi="宋体" w:eastAsia="宋体" w:cs="宋体"/>
                <w:b/>
                <w:bCs/>
                <w:sz w:val="21"/>
                <w:szCs w:val="21"/>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七、</w:t>
            </w:r>
            <w:r>
              <w:rPr>
                <w:rFonts w:hint="eastAsia" w:ascii="宋体" w:hAnsi="宋体" w:eastAsia="宋体" w:cs="宋体"/>
                <w:b/>
                <w:sz w:val="21"/>
                <w:szCs w:val="21"/>
                <w:highlight w:val="none"/>
                <w:shd w:val="clear" w:color="auto" w:fill="FFFFFF"/>
              </w:rPr>
              <w:t>未被列入“信用中国”网站(www.creditchina.gov.cn)失信被执行人、重大税收违法失信主体；“中国政府采购网” (www.ccgp.gov.cn)政府采购严重违法失信行为记录名单的投标人</w:t>
            </w:r>
            <w:r>
              <w:rPr>
                <w:rFonts w:hint="eastAsia" w:ascii="宋体" w:hAnsi="宋体" w:eastAsia="宋体" w:cs="宋体"/>
                <w:b/>
                <w:bCs/>
                <w:sz w:val="21"/>
                <w:szCs w:val="21"/>
                <w:highlight w:val="none"/>
                <w:lang w:val="zh-CN"/>
              </w:rPr>
              <w:t>；</w:t>
            </w:r>
            <w:r>
              <w:rPr>
                <w:rFonts w:hint="eastAsia" w:ascii="宋体" w:hAnsi="宋体" w:eastAsia="宋体" w:cs="宋体"/>
                <w:b/>
                <w:sz w:val="21"/>
                <w:szCs w:val="21"/>
                <w:highlight w:val="none"/>
                <w:shd w:val="clear" w:color="auto" w:fill="FFFFFF"/>
              </w:rPr>
              <w:t xml:space="preserve"> “中国社会组织政务服务平台”网站（https://chinanpo.mca.gov.cn）严重违法失信社会组织（</w:t>
            </w:r>
            <w:r>
              <w:rPr>
                <w:rFonts w:hint="eastAsia" w:ascii="宋体" w:hAnsi="宋体" w:eastAsia="宋体" w:cs="宋体"/>
                <w:kern w:val="0"/>
                <w:sz w:val="21"/>
                <w:szCs w:val="21"/>
                <w:highlight w:val="none"/>
              </w:rPr>
              <w:t>联合体形式投标的，联合体成员存在不良信用记录，视同联合体存在不良信用记录）。</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www.creditchina.gov.cn</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②“中国政府采购网”（www.ccgp.gov.cn）</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③“中国社会组织政务服务平台”网站（https://chinanpo.mca.gov.cn）（仅查询社会组织）；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2、截止时间：中标公告发布前；</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3、信用信息的使用原则：经采购人认定的被列入失信被执行人、重大税收违法失信主体、</w:t>
            </w:r>
            <w:r>
              <w:rPr>
                <w:rFonts w:hint="eastAsia" w:ascii="宋体" w:hAnsi="宋体" w:eastAsia="宋体" w:cs="宋体"/>
                <w:sz w:val="21"/>
                <w:szCs w:val="21"/>
                <w:highlight w:val="none"/>
                <w:shd w:val="clear" w:color="auto" w:fill="FFFFFF"/>
              </w:rPr>
              <w:t>政府采购严重违法失信行为记录名单的投标人、</w:t>
            </w:r>
            <w:r>
              <w:rPr>
                <w:rFonts w:hint="eastAsia" w:ascii="宋体" w:hAnsi="宋体" w:eastAsia="宋体" w:cs="宋体"/>
                <w:kern w:val="0"/>
                <w:sz w:val="21"/>
                <w:szCs w:val="21"/>
                <w:highlight w:val="none"/>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09" w:type="dxa"/>
            <w:gridSpan w:val="3"/>
            <w:vAlign w:val="center"/>
          </w:tcPr>
          <w:p>
            <w:pPr>
              <w:autoSpaceDE w:val="0"/>
              <w:autoSpaceDN w:val="0"/>
              <w:adjustRightInd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position w:val="6"/>
                <w:sz w:val="21"/>
                <w:szCs w:val="21"/>
                <w:highlight w:val="none"/>
              </w:rPr>
              <w:t>未尽事宜，按国家有关规定执行。</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一、概念释义</w:t>
      </w: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适用范围</w:t>
      </w:r>
    </w:p>
    <w:p>
      <w:pPr>
        <w:pStyle w:val="50"/>
        <w:numPr>
          <w:ilvl w:val="0"/>
          <w:numId w:val="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本招标文件仅适用于本次“投标邀请”中所述采购项目。</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本招标文件解释权属于“投标邀请”所述的采购人。</w:t>
      </w:r>
    </w:p>
    <w:p>
      <w:pPr>
        <w:pStyle w:val="50"/>
        <w:autoSpaceDE w:val="0"/>
        <w:autoSpaceDN w:val="0"/>
        <w:spacing w:line="360" w:lineRule="auto"/>
        <w:ind w:left="780"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定义</w:t>
      </w:r>
    </w:p>
    <w:p>
      <w:pPr>
        <w:pStyle w:val="50"/>
        <w:numPr>
          <w:ilvl w:val="0"/>
          <w:numId w:val="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“采购项目”：“投标人须知前附表”中所述的采购项目。</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“招标人”：“投标人须知前附表”中所述的组织本次招标的代理机构和采购人。</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“采购人”：是指依法进行政府采购的国家机关、事业单位、团体组织。采购人名称、     地址、电话、联系人见“投标人须知前附表”。</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采购代理机构及其分支机构不得在所代理的采购项目中投标或者代理投标，不得为所代理的采购项目的投标人参加本项目提供投标咨询。</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“潜在投标人”指符合《中华人民共和国政府采购法》及相关法律法规和本招标文件的各项规定，且按照本项目招标公告及招标文件规定的方式获取招标文件的法人、其他组 织或者自然人。</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highlight w:val="none"/>
        </w:rPr>
        <w:t>2008</w:t>
      </w:r>
      <w:r>
        <w:rPr>
          <w:rFonts w:hint="eastAsia" w:cs="宋体" w:asciiTheme="minorEastAsia" w:hAnsiTheme="minorEastAsia"/>
          <w:kern w:val="0"/>
          <w:szCs w:val="21"/>
          <w:highlight w:val="none"/>
        </w:rPr>
        <w:t>］</w:t>
      </w:r>
      <w:r>
        <w:rPr>
          <w:rFonts w:cs="宋体" w:asciiTheme="minorEastAsia" w:hAnsiTheme="minorEastAsia"/>
          <w:kern w:val="0"/>
          <w:szCs w:val="21"/>
          <w:highlight w:val="none"/>
        </w:rPr>
        <w:t xml:space="preserve">248 </w:t>
      </w:r>
      <w:r>
        <w:rPr>
          <w:rFonts w:hint="eastAsia" w:cs="宋体" w:asciiTheme="minorEastAsia" w:hAnsiTheme="minorEastAsia"/>
          <w:kern w:val="0"/>
          <w:szCs w:val="21"/>
          <w:highlight w:val="none"/>
        </w:rPr>
        <w:t>号）。</w:t>
      </w:r>
    </w:p>
    <w:p>
      <w:pPr>
        <w:autoSpaceDE w:val="0"/>
        <w:autoSpaceDN w:val="0"/>
        <w:spacing w:line="360" w:lineRule="auto"/>
        <w:ind w:left="1274" w:leftChars="1" w:hanging="1272" w:hangingChars="60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2.7.1    </w:t>
      </w:r>
      <w:r>
        <w:rPr>
          <w:rFonts w:cs="宋体" w:asciiTheme="minorEastAsia" w:hAnsiTheme="minorEastAsia"/>
          <w:kern w:val="0"/>
          <w:szCs w:val="21"/>
          <w:highlight w:val="none"/>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2.7.2    </w:t>
      </w:r>
      <w:r>
        <w:rPr>
          <w:rFonts w:cs="宋体" w:asciiTheme="minorEastAsia" w:hAnsiTheme="minorEastAsia"/>
          <w:kern w:val="0"/>
          <w:szCs w:val="21"/>
          <w:highlight w:val="none"/>
        </w:rPr>
        <w:t>如</w:t>
      </w:r>
      <w:r>
        <w:rPr>
          <w:rFonts w:hint="eastAsia" w:cs="宋体" w:asciiTheme="minorEastAsia" w:hAnsiTheme="minorEastAsia"/>
          <w:kern w:val="0"/>
          <w:szCs w:val="21"/>
          <w:highlight w:val="none"/>
        </w:rPr>
        <w:t>招标</w:t>
      </w:r>
      <w:r>
        <w:rPr>
          <w:rFonts w:cs="宋体" w:asciiTheme="minorEastAsia" w:hAnsiTheme="minorEastAsia"/>
          <w:kern w:val="0"/>
          <w:szCs w:val="21"/>
          <w:highlight w:val="none"/>
        </w:rPr>
        <w:t>文件中已说明，经财政部门审核同意，允许部分或全部产品采购进口产品，投标人既可提供本国产品，也可以提供进口产品。</w:t>
      </w:r>
    </w:p>
    <w:p>
      <w:pPr>
        <w:pStyle w:val="50"/>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合格的投标人</w:t>
      </w:r>
    </w:p>
    <w:p>
      <w:pPr>
        <w:pStyle w:val="50"/>
        <w:numPr>
          <w:ilvl w:val="0"/>
          <w:numId w:val="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在中华人民共和国境内注册，具有本项目生产、制造、供应或实施能力，符合、承认并承诺履行本招标文件各项规定的法人、其他组织或者自然人。</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符合本项目“投标邀请”和“投标人须知前附表”中规定的合格投标人所必须具备的条件。</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ascii="宋体" w:hAnsi="宋体"/>
          <w:szCs w:val="21"/>
          <w:highlight w:val="none"/>
        </w:rPr>
        <w:t>按照财政部《</w:t>
      </w:r>
      <w:r>
        <w:rPr>
          <w:rFonts w:hint="eastAsia" w:ascii="宋体" w:hAnsi="宋体" w:cs="微软雅黑"/>
          <w:bCs/>
          <w:szCs w:val="21"/>
          <w:highlight w:val="none"/>
        </w:rPr>
        <w:t>关于在政府采购活动中查询及使用信用记录有关问题的通知</w:t>
      </w:r>
      <w:r>
        <w:rPr>
          <w:rFonts w:hint="eastAsia" w:ascii="宋体" w:hAnsi="宋体"/>
          <w:szCs w:val="21"/>
          <w:highlight w:val="none"/>
        </w:rPr>
        <w:t>》（财库</w:t>
      </w:r>
      <w:r>
        <w:rPr>
          <w:rFonts w:hint="eastAsia" w:ascii="宋体" w:hAnsi="宋体" w:cs="微软雅黑"/>
          <w:bCs/>
          <w:szCs w:val="21"/>
          <w:highlight w:val="none"/>
        </w:rPr>
        <w:t>〔2016〕</w:t>
      </w:r>
      <w:r>
        <w:rPr>
          <w:rFonts w:hint="eastAsia" w:ascii="宋体" w:hAnsi="宋体"/>
          <w:szCs w:val="21"/>
          <w:highlight w:val="none"/>
        </w:rPr>
        <w:t>125号）要求，</w:t>
      </w:r>
      <w:r>
        <w:rPr>
          <w:rFonts w:hint="eastAsia" w:cs="宋体" w:asciiTheme="minorEastAsia" w:hAnsiTheme="minorEastAsia"/>
          <w:kern w:val="0"/>
          <w:szCs w:val="21"/>
          <w:highlight w:val="none"/>
        </w:rPr>
        <w:t>政府采购活动中查询及使用投标人信用记录的具体要求为：投标人未被列入失信被执行人、税收违法黑名单、</w:t>
      </w:r>
      <w:r>
        <w:rPr>
          <w:rFonts w:cs="仿宋_GB2312" w:asciiTheme="minorEastAsia" w:hAnsiTheme="minorEastAsia"/>
          <w:szCs w:val="21"/>
          <w:highlight w:val="none"/>
          <w:shd w:val="clear" w:color="auto" w:fill="FFFFFF"/>
        </w:rPr>
        <w:t>政府采购严重违法失信行为记录名单</w:t>
      </w:r>
      <w:r>
        <w:rPr>
          <w:rFonts w:hint="eastAsia" w:cs="仿宋_GB2312" w:asciiTheme="minorEastAsia" w:hAnsiTheme="minorEastAsia"/>
          <w:szCs w:val="21"/>
          <w:highlight w:val="none"/>
          <w:shd w:val="clear" w:color="auto" w:fill="FFFFFF"/>
        </w:rPr>
        <w:t>、</w:t>
      </w:r>
      <w:r>
        <w:rPr>
          <w:rFonts w:hint="eastAsia" w:cs="宋体" w:asciiTheme="minorEastAsia" w:hAnsiTheme="minorEastAsia"/>
          <w:kern w:val="0"/>
          <w:szCs w:val="21"/>
          <w:highlight w:val="none"/>
        </w:rPr>
        <w:t>严重违法失信社会组织名单（联合体形式投标的，联合体成员存在不良信用记录，视同联合体存在不良信用记录）。</w:t>
      </w:r>
    </w:p>
    <w:p>
      <w:pPr>
        <w:pStyle w:val="50"/>
        <w:numPr>
          <w:ilvl w:val="0"/>
          <w:numId w:val="7"/>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查询渠道：“信用中国”网站（</w:t>
      </w:r>
      <w:r>
        <w:rPr>
          <w:rFonts w:cs="宋体" w:asciiTheme="minorEastAsia" w:hAnsiTheme="minorEastAsia"/>
          <w:kern w:val="0"/>
          <w:szCs w:val="21"/>
          <w:highlight w:val="none"/>
        </w:rPr>
        <w:t>www.creditchina.gov.cn</w:t>
      </w:r>
      <w:r>
        <w:rPr>
          <w:rFonts w:hint="eastAsia" w:cs="宋体" w:asciiTheme="minorEastAsia" w:hAnsiTheme="minorEastAsia"/>
          <w:kern w:val="0"/>
          <w:szCs w:val="21"/>
          <w:highlight w:val="none"/>
        </w:rPr>
        <w:t>）、“中国政府采购网”（</w:t>
      </w:r>
      <w:r>
        <w:rPr>
          <w:rFonts w:cs="宋体" w:asciiTheme="minorEastAsia" w:hAnsiTheme="minorEastAsia"/>
          <w:kern w:val="0"/>
          <w:szCs w:val="21"/>
          <w:highlight w:val="none"/>
        </w:rPr>
        <w:t>www.ccgp.gov.cn</w:t>
      </w:r>
      <w:r>
        <w:rPr>
          <w:rFonts w:hint="eastAsia" w:cs="宋体" w:asciiTheme="minorEastAsia" w:hAnsiTheme="minorEastAsia"/>
          <w:kern w:val="0"/>
          <w:szCs w:val="21"/>
          <w:highlight w:val="none"/>
        </w:rPr>
        <w:t>）、“中国社会组织政务服务平台”网站（</w:t>
      </w:r>
      <w:r>
        <w:rPr>
          <w:highlight w:val="none"/>
        </w:rPr>
        <w:fldChar w:fldCharType="begin"/>
      </w:r>
      <w:r>
        <w:rPr>
          <w:highlight w:val="none"/>
        </w:rPr>
        <w:instrText xml:space="preserve"> HYPERLINK "http://www.chinanpo.gov.cn" </w:instrText>
      </w:r>
      <w:r>
        <w:rPr>
          <w:highlight w:val="none"/>
        </w:rPr>
        <w:fldChar w:fldCharType="separate"/>
      </w:r>
      <w:r>
        <w:rPr>
          <w:rStyle w:val="38"/>
          <w:rFonts w:cs="宋体" w:asciiTheme="minorEastAsia" w:hAnsiTheme="minorEastAsia"/>
          <w:color w:val="auto"/>
          <w:kern w:val="0"/>
          <w:szCs w:val="21"/>
          <w:highlight w:val="none"/>
        </w:rPr>
        <w:t>https://chinanpo.mca.gov.cn</w:t>
      </w:r>
      <w:r>
        <w:rPr>
          <w:rStyle w:val="38"/>
          <w:rFonts w:cs="宋体" w:asciiTheme="minorEastAsia" w:hAnsiTheme="minorEastAsia"/>
          <w:color w:val="auto"/>
          <w:kern w:val="0"/>
          <w:szCs w:val="21"/>
          <w:highlight w:val="none"/>
        </w:rPr>
        <w:fldChar w:fldCharType="end"/>
      </w:r>
      <w:r>
        <w:rPr>
          <w:rFonts w:hint="eastAsia" w:cs="宋体" w:asciiTheme="minorEastAsia" w:hAnsiTheme="minorEastAsia"/>
          <w:kern w:val="0"/>
          <w:szCs w:val="21"/>
          <w:highlight w:val="none"/>
        </w:rPr>
        <w:t>）；</w:t>
      </w:r>
    </w:p>
    <w:p>
      <w:pPr>
        <w:pStyle w:val="50"/>
        <w:numPr>
          <w:ilvl w:val="0"/>
          <w:numId w:val="7"/>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截止时间：同投标截止时间；</w:t>
      </w:r>
    </w:p>
    <w:p>
      <w:pPr>
        <w:pStyle w:val="50"/>
        <w:numPr>
          <w:ilvl w:val="0"/>
          <w:numId w:val="7"/>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信用信息查询记录和证据留存具体方式：经采购人确认的查询结果网页截图作为查询记录和证据，与其他采购文件一并保存；</w:t>
      </w:r>
    </w:p>
    <w:p>
      <w:pPr>
        <w:pStyle w:val="50"/>
        <w:numPr>
          <w:ilvl w:val="0"/>
          <w:numId w:val="7"/>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信用信息的使用原则：经采购人认定的被列入失信被执行人、税收违法黑名单、</w:t>
      </w:r>
      <w:r>
        <w:rPr>
          <w:rFonts w:cs="仿宋_GB2312" w:asciiTheme="minorEastAsia" w:hAnsiTheme="minorEastAsia"/>
          <w:szCs w:val="21"/>
          <w:highlight w:val="none"/>
          <w:shd w:val="clear" w:color="auto" w:fill="FFFFFF"/>
        </w:rPr>
        <w:t>政府采购严重违法失信行为记录名单</w:t>
      </w:r>
      <w:r>
        <w:rPr>
          <w:rFonts w:hint="eastAsia" w:cs="仿宋_GB2312" w:asciiTheme="minorEastAsia" w:hAnsiTheme="minorEastAsia"/>
          <w:szCs w:val="21"/>
          <w:highlight w:val="none"/>
          <w:shd w:val="clear" w:color="auto" w:fill="FFFFFF"/>
        </w:rPr>
        <w:t>的投标人、</w:t>
      </w:r>
      <w:r>
        <w:rPr>
          <w:rFonts w:hint="eastAsia" w:cs="宋体" w:asciiTheme="minorEastAsia" w:hAnsiTheme="minorEastAsia"/>
          <w:kern w:val="0"/>
          <w:szCs w:val="21"/>
          <w:highlight w:val="none"/>
        </w:rPr>
        <w:t>严重违法失信社会组织名单的社会组织，将拒绝其参与本次政府采购活动；</w:t>
      </w:r>
    </w:p>
    <w:p>
      <w:pPr>
        <w:pStyle w:val="50"/>
        <w:numPr>
          <w:ilvl w:val="0"/>
          <w:numId w:val="7"/>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投标人无须提供</w:t>
      </w:r>
      <w:r>
        <w:rPr>
          <w:rFonts w:hint="eastAsia" w:ascii="宋体" w:hAnsi="宋体" w:cs="微软雅黑"/>
          <w:bCs/>
          <w:szCs w:val="21"/>
          <w:highlight w:val="none"/>
        </w:rPr>
        <w:t>信用记录查询结果网页截屏。</w:t>
      </w:r>
      <w:r>
        <w:rPr>
          <w:rFonts w:hint="eastAsia" w:cs="宋体" w:asciiTheme="minorEastAsia" w:hAnsiTheme="minorEastAsia"/>
          <w:kern w:val="0"/>
          <w:szCs w:val="21"/>
          <w:highlight w:val="none"/>
        </w:rPr>
        <w:t>投标人不良信用记录以采购人查询结果为准，采购人查询之后，网站信息发生的任何变更不再作为评审依据，投标人自行提供的与网站信息不一致的其他证明材料亦不作为评审依据。</w:t>
      </w:r>
    </w:p>
    <w:p>
      <w:pPr>
        <w:pStyle w:val="50"/>
        <w:numPr>
          <w:ilvl w:val="1"/>
          <w:numId w:val="5"/>
        </w:numPr>
        <w:autoSpaceDE w:val="0"/>
        <w:autoSpaceDN w:val="0"/>
        <w:spacing w:line="360" w:lineRule="auto"/>
        <w:ind w:hanging="964" w:firstLineChars="0"/>
        <w:contextualSpacing/>
        <w:rPr>
          <w:rFonts w:ascii="宋体" w:hAnsi="宋体"/>
          <w:szCs w:val="21"/>
          <w:highlight w:val="none"/>
        </w:rPr>
      </w:pPr>
      <w:r>
        <w:rPr>
          <w:rFonts w:hint="eastAsia" w:ascii="宋体" w:hAnsi="宋体"/>
          <w:szCs w:val="21"/>
          <w:highlight w:val="none"/>
        </w:rPr>
        <w:t>单位负责人为同一人或者存在直接控股、管理关系的不同供应商，不得同时参加本项目投标。违反规定的，相关投标均无效。</w:t>
      </w:r>
    </w:p>
    <w:p>
      <w:pPr>
        <w:pStyle w:val="50"/>
        <w:numPr>
          <w:ilvl w:val="1"/>
          <w:numId w:val="5"/>
        </w:numPr>
        <w:autoSpaceDE w:val="0"/>
        <w:autoSpaceDN w:val="0"/>
        <w:spacing w:line="360" w:lineRule="auto"/>
        <w:ind w:hanging="964" w:firstLineChars="0"/>
        <w:contextualSpacing/>
        <w:rPr>
          <w:rFonts w:ascii="宋体" w:hAnsi="宋体"/>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50"/>
        <w:numPr>
          <w:ilvl w:val="1"/>
          <w:numId w:val="5"/>
        </w:numPr>
        <w:autoSpaceDE w:val="0"/>
        <w:autoSpaceDN w:val="0"/>
        <w:spacing w:line="360" w:lineRule="auto"/>
        <w:ind w:hanging="964" w:firstLineChars="0"/>
        <w:contextualSpacing/>
        <w:rPr>
          <w:rFonts w:ascii="宋体" w:hAnsi="宋体"/>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pStyle w:val="50"/>
        <w:numPr>
          <w:ilvl w:val="0"/>
          <w:numId w:val="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在投标文件中向采购人提交联合体协议书，明确联合体各方承担的工作和义务；</w:t>
      </w:r>
    </w:p>
    <w:p>
      <w:pPr>
        <w:pStyle w:val="50"/>
        <w:numPr>
          <w:ilvl w:val="0"/>
          <w:numId w:val="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联合体中有同类资质的供应商按联合体分工承担相同工作的，应当按照资质等级较低的供应商确定资质等级；</w:t>
      </w:r>
    </w:p>
    <w:p>
      <w:pPr>
        <w:pStyle w:val="50"/>
        <w:numPr>
          <w:ilvl w:val="0"/>
          <w:numId w:val="8"/>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招标人根据采购项目的特殊要求规定投标人特定条件的，联合体各方中至少应当有一方符合采购规定的特定条件。</w:t>
      </w:r>
    </w:p>
    <w:p>
      <w:pPr>
        <w:pStyle w:val="50"/>
        <w:numPr>
          <w:ilvl w:val="0"/>
          <w:numId w:val="8"/>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联合体各方不得再单独参加或者与其他供应商另外组成联合体参加同一合同项下的政府采购活动。</w:t>
      </w:r>
    </w:p>
    <w:p>
      <w:pPr>
        <w:pStyle w:val="50"/>
        <w:numPr>
          <w:ilvl w:val="0"/>
          <w:numId w:val="8"/>
        </w:numPr>
        <w:autoSpaceDE w:val="0"/>
        <w:autoSpaceDN w:val="0"/>
        <w:spacing w:line="360" w:lineRule="auto"/>
        <w:ind w:left="1418" w:hanging="1416"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联合体各方应当共同与采购人签订采购合同，就采购合同约定的事项对采购人</w:t>
      </w:r>
      <w:r>
        <w:rPr>
          <w:highlight w:val="none"/>
        </w:rPr>
        <w:fldChar w:fldCharType="begin"/>
      </w:r>
      <w:r>
        <w:rPr>
          <w:highlight w:val="none"/>
        </w:rPr>
        <w:instrText xml:space="preserve"> HYPERLINK "https://baike.baidu.com/item/%E6%89%BF%E6%8B%85%E8%BF%9E%E5%B8%A6%E8%B4%A3%E4%BB%BB" \t "_blank" </w:instrText>
      </w:r>
      <w:r>
        <w:rPr>
          <w:highlight w:val="none"/>
        </w:rPr>
        <w:fldChar w:fldCharType="separate"/>
      </w:r>
      <w:r>
        <w:rPr>
          <w:rFonts w:cs="宋体" w:asciiTheme="minorEastAsia" w:hAnsiTheme="minorEastAsia"/>
          <w:kern w:val="0"/>
          <w:szCs w:val="21"/>
          <w:highlight w:val="none"/>
        </w:rPr>
        <w:t>承担连带责任</w:t>
      </w:r>
      <w:r>
        <w:rPr>
          <w:rFonts w:cs="宋体" w:asciiTheme="minorEastAsia" w:hAnsiTheme="minorEastAsia"/>
          <w:kern w:val="0"/>
          <w:szCs w:val="21"/>
          <w:highlight w:val="none"/>
        </w:rPr>
        <w:fldChar w:fldCharType="end"/>
      </w:r>
      <w:r>
        <w:rPr>
          <w:rFonts w:cs="宋体" w:asciiTheme="minorEastAsia" w:hAnsiTheme="minorEastAsia"/>
          <w:kern w:val="0"/>
          <w:szCs w:val="21"/>
          <w:highlight w:val="none"/>
        </w:rPr>
        <w:t>。</w:t>
      </w:r>
    </w:p>
    <w:p>
      <w:pPr>
        <w:pStyle w:val="50"/>
        <w:numPr>
          <w:ilvl w:val="0"/>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合格的货物和服务</w:t>
      </w:r>
    </w:p>
    <w:p>
      <w:pPr>
        <w:pStyle w:val="50"/>
        <w:numPr>
          <w:ilvl w:val="0"/>
          <w:numId w:val="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投标人所提供的服务应当没有侵犯任何第三方的知识产权、技术秘密等合法权利。</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根据财政部、工业和信息化部、国家质检总局、国家认监委联合发布</w:t>
      </w:r>
      <w:bookmarkStart w:id="8" w:name="baidusnap0"/>
      <w:bookmarkEnd w:id="8"/>
      <w:r>
        <w:rPr>
          <w:rFonts w:hint="eastAsia" w:cs="宋体" w:asciiTheme="minorEastAsia" w:hAnsiTheme="minorEastAsia"/>
          <w:kern w:val="0"/>
          <w:szCs w:val="21"/>
          <w:highlight w:val="none"/>
        </w:rPr>
        <w:t>《关于信息安全产品实施政府采购的通知》（财库[2010]48号）要求，投标人所投产品如被列入</w:t>
      </w:r>
      <w:r>
        <w:rPr>
          <w:rFonts w:cs="宋体" w:asciiTheme="minorEastAsia" w:hAnsiTheme="minorEastAsia"/>
          <w:kern w:val="0"/>
          <w:szCs w:val="21"/>
          <w:highlight w:val="none"/>
        </w:rPr>
        <w:t>《信息安全产品强制性认证目录》，</w:t>
      </w:r>
      <w:r>
        <w:rPr>
          <w:rFonts w:hint="eastAsia" w:cs="宋体" w:asciiTheme="minorEastAsia" w:hAnsiTheme="minorEastAsia"/>
          <w:kern w:val="0"/>
          <w:szCs w:val="21"/>
          <w:highlight w:val="none"/>
        </w:rPr>
        <w:t>则该产品应</w:t>
      </w:r>
      <w:r>
        <w:rPr>
          <w:rFonts w:cs="宋体" w:asciiTheme="minorEastAsia" w:hAnsiTheme="minorEastAsia"/>
          <w:kern w:val="0"/>
          <w:szCs w:val="21"/>
          <w:highlight w:val="none"/>
        </w:rPr>
        <w:t>具备</w:t>
      </w:r>
      <w:r>
        <w:rPr>
          <w:rFonts w:hint="eastAsia" w:cs="宋体" w:asciiTheme="minorEastAsia" w:hAnsiTheme="minorEastAsia"/>
          <w:kern w:val="0"/>
          <w:szCs w:val="21"/>
          <w:highlight w:val="none"/>
        </w:rPr>
        <w:t>中国信息安全认证中心</w:t>
      </w:r>
      <w:r>
        <w:rPr>
          <w:rFonts w:cs="宋体" w:asciiTheme="minorEastAsia" w:hAnsiTheme="minorEastAsia"/>
          <w:kern w:val="0"/>
          <w:szCs w:val="21"/>
          <w:highlight w:val="none"/>
        </w:rPr>
        <w:t>颁</w:t>
      </w:r>
      <w:r>
        <w:rPr>
          <w:rFonts w:hint="eastAsia" w:cs="宋体" w:asciiTheme="minorEastAsia" w:hAnsiTheme="minorEastAsia"/>
          <w:kern w:val="0"/>
          <w:szCs w:val="21"/>
          <w:highlight w:val="none"/>
        </w:rPr>
        <w:t>发的</w:t>
      </w:r>
      <w:r>
        <w:rPr>
          <w:rFonts w:cs="宋体" w:asciiTheme="minorEastAsia" w:hAnsiTheme="minorEastAsia"/>
          <w:kern w:val="0"/>
          <w:szCs w:val="21"/>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Cs w:val="21"/>
          <w:highlight w:val="none"/>
        </w:rPr>
        <w:t>中国国家信息安全产品认证证书</w:t>
      </w:r>
      <w:r>
        <w:rPr>
          <w:rFonts w:hint="eastAsia" w:cs="宋体" w:asciiTheme="minorEastAsia" w:hAnsiTheme="minorEastAsia"/>
          <w:kern w:val="0"/>
          <w:szCs w:val="21"/>
          <w:highlight w:val="none"/>
        </w:rPr>
        <w:fldChar w:fldCharType="end"/>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投标人</w:t>
      </w:r>
      <w:r>
        <w:rPr>
          <w:rFonts w:cs="宋体" w:asciiTheme="minorEastAsia" w:hAnsiTheme="minorEastAsia"/>
          <w:kern w:val="0"/>
          <w:szCs w:val="21"/>
          <w:highlight w:val="none"/>
        </w:rPr>
        <w:t>不能提供超出此目录范畴外的替代品</w:t>
      </w:r>
      <w:r>
        <w:rPr>
          <w:rFonts w:hint="eastAsia" w:cs="宋体" w:asciiTheme="minorEastAsia" w:hAnsiTheme="minorEastAsia"/>
          <w:kern w:val="0"/>
          <w:szCs w:val="21"/>
          <w:highlight w:val="none"/>
        </w:rPr>
        <w:t>。</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投标费用</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本采购项目需要公开的有关信息，包括招标公告、招标文件澄清或修改公告、中标公告以及延长投标截止时间等与招标活动有关的通知，招标人均将通过</w:t>
      </w:r>
      <w:r>
        <w:rPr>
          <w:rFonts w:hint="eastAsia" w:ascii="宋体" w:hAnsi="宋体" w:eastAsia="宋体" w:cs="宋体"/>
          <w:kern w:val="0"/>
          <w:sz w:val="21"/>
          <w:szCs w:val="21"/>
          <w:highlight w:val="none"/>
        </w:rPr>
        <w:t>在</w:t>
      </w:r>
      <w:r>
        <w:rPr>
          <w:rFonts w:hint="eastAsia" w:ascii="宋体" w:hAnsi="宋体" w:eastAsia="宋体" w:cs="宋体"/>
          <w:color w:val="000000"/>
          <w:sz w:val="21"/>
          <w:szCs w:val="21"/>
          <w:highlight w:val="none"/>
        </w:rPr>
        <w:t>《河南省政府采购网》、《许昌市政府采购网》、</w:t>
      </w:r>
      <w:r>
        <w:rPr>
          <w:rFonts w:hint="eastAsia" w:ascii="宋体" w:hAnsi="宋体" w:eastAsia="宋体" w:cs="宋体"/>
          <w:kern w:val="0"/>
          <w:sz w:val="21"/>
          <w:szCs w:val="21"/>
          <w:highlight w:val="none"/>
        </w:rPr>
        <w:t>和《全国公共资源交易平台（河南省·许昌市）》</w:t>
      </w:r>
      <w:r>
        <w:rPr>
          <w:rFonts w:hint="eastAsia" w:cs="宋体" w:asciiTheme="minorEastAsia" w:hAnsiTheme="minorEastAsia"/>
          <w:kern w:val="0"/>
          <w:szCs w:val="21"/>
          <w:highlight w:val="none"/>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招标代理服务费由中标人支付，按照豫招协〔2023〕002《河南省招标代理服务收费指导意见》收取，由中标单位在领取中标通知书时一次性支付给代理机构。</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其他</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highlight w:val="none"/>
        </w:rPr>
      </w:pPr>
    </w:p>
    <w:p>
      <w:pPr>
        <w:autoSpaceDE w:val="0"/>
        <w:autoSpaceDN w:val="0"/>
        <w:spacing w:line="360" w:lineRule="auto"/>
        <w:contextualSpacing/>
        <w:rPr>
          <w:rFonts w:cs="宋体" w:asciiTheme="minorEastAsia" w:hAnsiTheme="minorEastAsia"/>
          <w:kern w:val="0"/>
          <w:szCs w:val="21"/>
          <w:highlight w:val="none"/>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二、招标文件说明</w:t>
      </w: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招标文件构成</w:t>
      </w:r>
    </w:p>
    <w:p>
      <w:pPr>
        <w:pStyle w:val="50"/>
        <w:numPr>
          <w:ilvl w:val="0"/>
          <w:numId w:val="1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招标文件由以下部分组成：</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（1）投标邀请（招标公告）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（2）项目需求</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（3）投标人须知前附表</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（4）投标人须知</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（5）政府采购政策功能</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（6）资格审查与评标</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（7）拟签订的合同文本</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（8）投标文件有关格式</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（9）本项目招标文件的澄清、答复、修改、补充内容（如有的话）</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现场考察、开标前答疑会</w:t>
      </w:r>
    </w:p>
    <w:p>
      <w:pPr>
        <w:pStyle w:val="50"/>
        <w:numPr>
          <w:ilvl w:val="0"/>
          <w:numId w:val="1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招标人组织现场考察或者召开答疑会的，应当在招标文件中载明，或者在招标文件公告期满后在财政部门指定的政府采购信息发布媒体和</w:t>
      </w:r>
      <w:r>
        <w:rPr>
          <w:rFonts w:hint="eastAsia" w:ascii="宋体" w:hAnsi="宋体" w:eastAsia="宋体" w:cs="宋体"/>
          <w:kern w:val="0"/>
          <w:sz w:val="21"/>
          <w:szCs w:val="21"/>
          <w:highlight w:val="none"/>
        </w:rPr>
        <w:t>在</w:t>
      </w:r>
      <w:r>
        <w:rPr>
          <w:rFonts w:hint="eastAsia" w:ascii="宋体" w:hAnsi="宋体" w:eastAsia="宋体" w:cs="宋体"/>
          <w:color w:val="000000"/>
          <w:sz w:val="21"/>
          <w:szCs w:val="21"/>
          <w:highlight w:val="none"/>
        </w:rPr>
        <w:t>《河南省政府采购网》、《许昌市政府采购网》、</w:t>
      </w:r>
      <w:r>
        <w:rPr>
          <w:rFonts w:hint="eastAsia" w:ascii="宋体" w:hAnsi="宋体" w:eastAsia="宋体" w:cs="宋体"/>
          <w:kern w:val="0"/>
          <w:sz w:val="21"/>
          <w:szCs w:val="21"/>
          <w:highlight w:val="none"/>
        </w:rPr>
        <w:t>和《全国公共资源交易平台（河南省·许昌市）》</w:t>
      </w:r>
      <w:r>
        <w:rPr>
          <w:rFonts w:hint="eastAsia" w:cs="宋体" w:asciiTheme="minorEastAsia" w:hAnsiTheme="minorEastAsia"/>
          <w:kern w:val="0"/>
          <w:szCs w:val="21"/>
          <w:highlight w:val="none"/>
        </w:rPr>
        <w:t>发布更正公告。</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招标文件的澄清或修改</w:t>
      </w:r>
    </w:p>
    <w:p>
      <w:pPr>
        <w:pStyle w:val="50"/>
        <w:numPr>
          <w:ilvl w:val="0"/>
          <w:numId w:val="11"/>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在投标截止期前，无论出于何种原因，招标人可主动地或在解答潜在投标人提出的澄清问题时对招标文件进行修改。</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highlight w:val="none"/>
        </w:rPr>
        <w:t>15</w:t>
      </w:r>
      <w:r>
        <w:rPr>
          <w:rFonts w:hint="eastAsia" w:cs="宋体" w:asciiTheme="minorEastAsia" w:hAnsiTheme="minorEastAsia"/>
          <w:kern w:val="0"/>
          <w:szCs w:val="21"/>
          <w:highlight w:val="none"/>
        </w:rPr>
        <w:t>日前，在财政部门指定的政府采购信息发布媒体和《全国公共资源交易平台（河南省·许昌市）》发布更正公告。</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澄清或修改公告的内容为招标文件的组成部分，并对投标人具有约束力。当招标文件与澄清或修改公告就同一内容的表述不一致时，以最后发出的文件内容为准。</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highlight w:val="none"/>
        </w:rPr>
      </w:pPr>
    </w:p>
    <w:p>
      <w:pPr>
        <w:autoSpaceDE w:val="0"/>
        <w:autoSpaceDN w:val="0"/>
        <w:spacing w:line="360" w:lineRule="auto"/>
        <w:contextualSpacing/>
        <w:rPr>
          <w:rFonts w:cs="宋体" w:asciiTheme="minorEastAsia" w:hAnsiTheme="minorEastAsia"/>
          <w:kern w:val="0"/>
          <w:szCs w:val="21"/>
          <w:highlight w:val="none"/>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三、投标文件的编制</w:t>
      </w: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投标的语言及计量单位</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投标计量单位，招标文件已有明确规定的，使用招标文件规定的计量单位；招标文件没有规定的，一律采用中华人民共和国法定计量单位。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投标报价</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本次招标项目的投标均以人民币为计算单位。</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采购人不得向投标人索要或者接受其给予的赠品、回扣或者与采购无关的其他商品、服务。</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投标人应对项目要求的全部内容进行报价，少报漏报将导致其投标为非实质性响应予以拒绝。</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本项目所涉及的运输、施工、安装、集成、调试、验收、备品和工具等费用均包含在投标报价中。</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本次招标不接受可选择或可调整的投标方案和报价，任何有选择的或可调整的投标方案和报价将被视为非实质性响应投标而作无效投标处理。</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最低报价不能作为中标的保证。</w:t>
      </w:r>
    </w:p>
    <w:p>
      <w:pPr>
        <w:autoSpaceDE w:val="0"/>
        <w:autoSpaceDN w:val="0"/>
        <w:spacing w:line="360" w:lineRule="auto"/>
        <w:ind w:left="42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投标有效期</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投标有效期内投标人撤销投标文件的，投标人将承担违背投标承诺函的责任追究。</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中标人的投标文件作为项目合同的附件，其有效期至中标人全部合同义务履行完毕为止。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投标文件构成</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投标文件的构成应符合法律法规及招标文件的要求。</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投标人应当按照招标文件的要求编制投标文件。投标文件应当对招标文件提出的要求和条件作出明确响应。</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投标文件由资格证明材料、符合性证明材料、其它材料等组成。</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电子投标文件制作技术咨询：</w:t>
      </w:r>
      <w:r>
        <w:rPr>
          <w:rFonts w:hint="eastAsia" w:cs="宋体" w:asciiTheme="minorEastAsia" w:hAnsiTheme="minorEastAsia"/>
          <w:b/>
          <w:kern w:val="0"/>
          <w:szCs w:val="21"/>
          <w:highlight w:val="none"/>
        </w:rPr>
        <w:t>0374-2961598</w:t>
      </w:r>
      <w:r>
        <w:rPr>
          <w:rFonts w:hint="eastAsia" w:cs="宋体" w:asciiTheme="minorEastAsia" w:hAnsiTheme="minorEastAsia"/>
          <w:kern w:val="0"/>
          <w:szCs w:val="21"/>
          <w:highlight w:val="none"/>
        </w:rPr>
        <w:t>。</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投标文件格式</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投标保证金</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本项目不收取投标保证金。</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投标人应提供投标承诺函。</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投标文件的数量和签署盖章</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投标人应提交投标文件份数见“投标人须知前附表”。</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p>
    <w:p>
      <w:pPr>
        <w:tabs>
          <w:tab w:val="left" w:pos="1260"/>
        </w:tabs>
        <w:autoSpaceDE w:val="0"/>
        <w:autoSpaceDN w:val="0"/>
        <w:spacing w:line="360" w:lineRule="auto"/>
        <w:contextualSpacing/>
        <w:rPr>
          <w:rFonts w:cs="仿宋_GB2312" w:asciiTheme="minorEastAsia" w:hAnsiTheme="minorEastAsia"/>
          <w:szCs w:val="21"/>
          <w:highlight w:val="none"/>
          <w:lang w:val="zh-CN"/>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四、投标文件的提交</w:t>
      </w: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投标截止时间</w:t>
      </w:r>
    </w:p>
    <w:p>
      <w:pPr>
        <w:pStyle w:val="50"/>
        <w:numPr>
          <w:ilvl w:val="0"/>
          <w:numId w:val="1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投标人必须在“投标邀请”和“投标人须知前附表”中规定的投标截止时间前，将</w:t>
      </w:r>
      <w:r>
        <w:rPr>
          <w:rFonts w:hint="eastAsia" w:cs="仿宋_GB2312" w:asciiTheme="minorEastAsia" w:hAnsiTheme="minorEastAsia"/>
          <w:szCs w:val="21"/>
          <w:highlight w:val="none"/>
        </w:rPr>
        <w:t>加密电子投标文件</w:t>
      </w:r>
      <w:r>
        <w:rPr>
          <w:rFonts w:hint="eastAsia" w:cs="宋体" w:asciiTheme="minorEastAsia" w:hAnsiTheme="minorEastAsia"/>
          <w:szCs w:val="21"/>
          <w:highlight w:val="none"/>
        </w:rPr>
        <w:t>（</w:t>
      </w:r>
      <w:r>
        <w:rPr>
          <w:rFonts w:asciiTheme="minorEastAsia" w:hAnsiTheme="minorEastAsia"/>
          <w:szCs w:val="21"/>
          <w:highlight w:val="none"/>
        </w:rPr>
        <w:t>.file</w:t>
      </w:r>
      <w:r>
        <w:rPr>
          <w:rFonts w:hint="eastAsia" w:cs="宋体" w:asciiTheme="minorEastAsia" w:hAnsiTheme="minorEastAsia"/>
          <w:szCs w:val="21"/>
          <w:highlight w:val="none"/>
        </w:rPr>
        <w:t>格式）</w:t>
      </w:r>
      <w:r>
        <w:rPr>
          <w:rFonts w:hint="eastAsia" w:cs="仿宋_GB2312" w:asciiTheme="minorEastAsia" w:hAnsiTheme="minorEastAsia"/>
          <w:szCs w:val="21"/>
          <w:highlight w:val="none"/>
        </w:rPr>
        <w:t>通过《全国公共资源交易平台(河南省</w:t>
      </w:r>
      <w:r>
        <w:rPr>
          <w:rFonts w:hint="eastAsia" w:ascii="MS Mincho" w:hAnsi="MS Mincho" w:eastAsia="MS Mincho" w:cs="MS Mincho"/>
          <w:szCs w:val="21"/>
          <w:highlight w:val="none"/>
        </w:rPr>
        <w:t>▪</w:t>
      </w:r>
      <w:r>
        <w:rPr>
          <w:rFonts w:hint="eastAsia" w:ascii="宋体" w:hAnsi="宋体" w:cs="宋体"/>
          <w:szCs w:val="21"/>
          <w:highlight w:val="none"/>
        </w:rPr>
        <w:t>许昌市</w:t>
      </w:r>
      <w:r>
        <w:rPr>
          <w:rFonts w:hint="eastAsia" w:cs="仿宋_GB2312" w:asciiTheme="minorEastAsia" w:hAnsiTheme="minorEastAsia"/>
          <w:szCs w:val="21"/>
          <w:highlight w:val="none"/>
        </w:rPr>
        <w:t>)》公共资源交易系统成功上传。</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迟交的投标文件</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投标文件的修改和撤回</w:t>
      </w:r>
    </w:p>
    <w:p>
      <w:pPr>
        <w:pStyle w:val="50"/>
        <w:numPr>
          <w:ilvl w:val="0"/>
          <w:numId w:val="13"/>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投标人应当在投标截止时间前完成电子投标文件的提交，可以补充、修改或撤回。投标截止时间前未完成电子投标文件提交的，视为撤回投标文件。</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投标人补充、修改的内容并作为投标文件的组成部分。补充或修改应当按招标文件要求签署、盖章、提交，并应注明“修改</w:t>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或“补充</w:t>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字样。</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投标人在提交投标文件后，可以撤回其投标，但投标人必须在规定的投标截止时间前以书面形式告知招标人。</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highlight w:val="none"/>
        </w:rPr>
      </w:pP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highlight w:val="none"/>
        </w:rPr>
      </w:pPr>
    </w:p>
    <w:p>
      <w:pPr>
        <w:autoSpaceDE w:val="0"/>
        <w:autoSpaceDN w:val="0"/>
        <w:spacing w:line="360" w:lineRule="auto"/>
        <w:contextualSpacing/>
        <w:rPr>
          <w:rFonts w:cs="宋体" w:asciiTheme="minorEastAsia" w:hAnsiTheme="minorEastAsia"/>
          <w:kern w:val="0"/>
          <w:szCs w:val="21"/>
          <w:highlight w:val="none"/>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五、开标和评标</w:t>
      </w: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开标</w:t>
      </w:r>
    </w:p>
    <w:p>
      <w:pPr>
        <w:pStyle w:val="50"/>
        <w:numPr>
          <w:ilvl w:val="0"/>
          <w:numId w:val="1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招标人将按招标文件规定的时间和地点组织远程不见面开标。开标由代理机构主持，投标人无须到现场。评标委员会成员不得参加开标活动。</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招标人应当对开标、评标现场活动进行全程录音录像。录音录像应当清晰可辨，音像资料作为采购文件一并存档。</w:t>
      </w:r>
    </w:p>
    <w:p>
      <w:pPr>
        <w:pStyle w:val="50"/>
        <w:numPr>
          <w:ilvl w:val="1"/>
          <w:numId w:val="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开标时，由代理机构开通远程不见面开标大厅及开启“文字互动”等功能；投标人、代理机构进行电子投标文件的解密。解密后</w:t>
      </w:r>
      <w:r>
        <w:rPr>
          <w:rFonts w:hint="eastAsia" w:asciiTheme="minorEastAsia" w:hAnsiTheme="minorEastAsia"/>
          <w:szCs w:val="21"/>
          <w:highlight w:val="none"/>
        </w:rPr>
        <w:t>投标人选择功能栏“开标记录”按钮可查看</w:t>
      </w:r>
      <w:r>
        <w:rPr>
          <w:rFonts w:hint="eastAsia" w:cs="宋体" w:asciiTheme="minorEastAsia" w:hAnsiTheme="minorEastAsia"/>
          <w:kern w:val="0"/>
          <w:szCs w:val="21"/>
          <w:highlight w:val="none"/>
        </w:rPr>
        <w:t>投标人名称、投标价格、修改和撤回投标的通知（如有的话）和招标文件规定的需要宣布的其他内容。</w:t>
      </w:r>
    </w:p>
    <w:p>
      <w:pPr>
        <w:pStyle w:val="50"/>
        <w:numPr>
          <w:ilvl w:val="1"/>
          <w:numId w:val="15"/>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标段进行两次解密。</w:t>
      </w:r>
    </w:p>
    <w:p>
      <w:pPr>
        <w:pStyle w:val="50"/>
        <w:numPr>
          <w:ilvl w:val="1"/>
          <w:numId w:val="16"/>
        </w:numPr>
        <w:autoSpaceDE w:val="0"/>
        <w:autoSpaceDN w:val="0"/>
        <w:spacing w:line="360" w:lineRule="auto"/>
        <w:ind w:left="1843" w:hanging="184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23.3.1.2         代理机构解密：代理机构</w:t>
      </w:r>
      <w:r>
        <w:rPr>
          <w:rFonts w:cs="宋体" w:asciiTheme="minorEastAsia" w:hAnsiTheme="minorEastAsia"/>
          <w:kern w:val="0"/>
          <w:szCs w:val="21"/>
          <w:highlight w:val="none"/>
        </w:rPr>
        <w:t>按</w:t>
      </w:r>
      <w:r>
        <w:rPr>
          <w:rFonts w:hint="eastAsia" w:cs="宋体" w:asciiTheme="minorEastAsia" w:hAnsiTheme="minorEastAsia"/>
          <w:kern w:val="0"/>
          <w:szCs w:val="21"/>
          <w:highlight w:val="none"/>
        </w:rPr>
        <w:t>电子</w:t>
      </w:r>
      <w:r>
        <w:rPr>
          <w:rFonts w:cs="宋体" w:asciiTheme="minorEastAsia" w:hAnsiTheme="minorEastAsia"/>
          <w:kern w:val="0"/>
          <w:szCs w:val="21"/>
          <w:highlight w:val="none"/>
        </w:rPr>
        <w:t>投标</w:t>
      </w:r>
      <w:r>
        <w:rPr>
          <w:rFonts w:hint="eastAsia" w:cs="宋体" w:asciiTheme="minorEastAsia" w:hAnsiTheme="minorEastAsia"/>
          <w:kern w:val="0"/>
          <w:szCs w:val="21"/>
          <w:highlight w:val="none"/>
        </w:rPr>
        <w:t>文件到达交易系统</w:t>
      </w:r>
      <w:r>
        <w:rPr>
          <w:rFonts w:cs="宋体" w:asciiTheme="minorEastAsia" w:hAnsiTheme="minorEastAsia"/>
          <w:kern w:val="0"/>
          <w:szCs w:val="21"/>
          <w:highlight w:val="none"/>
        </w:rPr>
        <w:t>的先后顺序</w:t>
      </w:r>
      <w:r>
        <w:rPr>
          <w:rFonts w:hint="eastAsia" w:cs="宋体" w:asciiTheme="minorEastAsia" w:hAnsiTheme="minorEastAsia"/>
          <w:kern w:val="0"/>
          <w:szCs w:val="21"/>
          <w:highlight w:val="none"/>
        </w:rPr>
        <w:t>，使用本单位CA数字证书进行再次解密。</w:t>
      </w:r>
    </w:p>
    <w:p>
      <w:pPr>
        <w:pStyle w:val="50"/>
        <w:numPr>
          <w:ilvl w:val="1"/>
          <w:numId w:val="17"/>
        </w:numPr>
        <w:autoSpaceDE w:val="0"/>
        <w:autoSpaceDN w:val="0"/>
        <w:spacing w:line="360" w:lineRule="auto"/>
        <w:ind w:left="1843" w:hanging="184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因投标人原因电子投标文件解密失败的，其投标将被拒绝。</w:t>
      </w:r>
    </w:p>
    <w:p>
      <w:pPr>
        <w:pStyle w:val="50"/>
        <w:numPr>
          <w:ilvl w:val="1"/>
          <w:numId w:val="15"/>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投标人不足3家的，不得开标。</w:t>
      </w:r>
    </w:p>
    <w:p>
      <w:pPr>
        <w:pStyle w:val="50"/>
        <w:numPr>
          <w:ilvl w:val="1"/>
          <w:numId w:val="1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开标过程由采购代理机构负责记录，</w:t>
      </w:r>
      <w:r>
        <w:rPr>
          <w:rFonts w:hint="eastAsia" w:hAnsi="宋体"/>
          <w:szCs w:val="21"/>
          <w:highlight w:val="none"/>
        </w:rPr>
        <w:t>《开标记录表》经投标人进行电子签章、</w:t>
      </w:r>
      <w:r>
        <w:rPr>
          <w:rFonts w:hint="eastAsia" w:cs="宋体" w:asciiTheme="minorEastAsia" w:hAnsiTheme="minorEastAsia"/>
          <w:kern w:val="0"/>
          <w:szCs w:val="21"/>
          <w:highlight w:val="none"/>
        </w:rPr>
        <w:t>由参加开标相关工作人员签字确认后随采购文件一并存档。</w:t>
      </w:r>
      <w:r>
        <w:rPr>
          <w:rFonts w:hint="eastAsia" w:hAnsi="宋体"/>
          <w:szCs w:val="21"/>
          <w:highlight w:val="none"/>
        </w:rPr>
        <w:t>投标人未电子签章的，视同认可开标结果。</w:t>
      </w:r>
    </w:p>
    <w:p>
      <w:pPr>
        <w:pStyle w:val="50"/>
        <w:numPr>
          <w:ilvl w:val="1"/>
          <w:numId w:val="1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0"/>
        <w:numPr>
          <w:ilvl w:val="1"/>
          <w:numId w:val="1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项目远程不见面开标活动结束时，投标人应在《开标记录表》上进行电子签章。投标人未签章的，视同认可开标结果。</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18"/>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资格审查</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18"/>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评标委员会的组成</w:t>
      </w:r>
    </w:p>
    <w:p>
      <w:pPr>
        <w:pStyle w:val="50"/>
        <w:numPr>
          <w:ilvl w:val="0"/>
          <w:numId w:val="19"/>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50"/>
        <w:numPr>
          <w:ilvl w:val="0"/>
          <w:numId w:val="20"/>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招标人将依法组建评标委员会，评标委员会由评审专家组成，成员人数应当为5人以上单数。评审专家依法从政府采购评审专家库中随机抽取。</w:t>
      </w:r>
    </w:p>
    <w:p>
      <w:pPr>
        <w:pStyle w:val="50"/>
        <w:numPr>
          <w:ilvl w:val="0"/>
          <w:numId w:val="20"/>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采购项目符合下列情形之一的，评标委员会成员人数应当为7人以上单数：</w:t>
      </w:r>
    </w:p>
    <w:p>
      <w:pPr>
        <w:pStyle w:val="50"/>
        <w:numPr>
          <w:ilvl w:val="0"/>
          <w:numId w:val="21"/>
        </w:numPr>
        <w:autoSpaceDE w:val="0"/>
        <w:autoSpaceDN w:val="0"/>
        <w:spacing w:line="360" w:lineRule="auto"/>
        <w:ind w:left="1843" w:hanging="184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采购预算金额在1000万元以上；</w:t>
      </w:r>
    </w:p>
    <w:p>
      <w:pPr>
        <w:pStyle w:val="50"/>
        <w:numPr>
          <w:ilvl w:val="0"/>
          <w:numId w:val="21"/>
        </w:numPr>
        <w:autoSpaceDE w:val="0"/>
        <w:autoSpaceDN w:val="0"/>
        <w:spacing w:line="360" w:lineRule="auto"/>
        <w:ind w:left="1843" w:hanging="184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技术复杂；</w:t>
      </w:r>
    </w:p>
    <w:p>
      <w:pPr>
        <w:pStyle w:val="50"/>
        <w:numPr>
          <w:ilvl w:val="0"/>
          <w:numId w:val="21"/>
        </w:numPr>
        <w:autoSpaceDE w:val="0"/>
        <w:autoSpaceDN w:val="0"/>
        <w:spacing w:line="360" w:lineRule="auto"/>
        <w:ind w:left="1843" w:hanging="184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社会影响较大。</w:t>
      </w:r>
    </w:p>
    <w:p>
      <w:pPr>
        <w:pStyle w:val="50"/>
        <w:numPr>
          <w:ilvl w:val="0"/>
          <w:numId w:val="20"/>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评审专家对本单位的采购项目只能作为采购人代表参与评标。采购代理机构工作人员不得参加由本机构代理的政府采购项目的评标。</w:t>
      </w:r>
    </w:p>
    <w:p>
      <w:pPr>
        <w:pStyle w:val="50"/>
        <w:numPr>
          <w:ilvl w:val="0"/>
          <w:numId w:val="2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 xml:space="preserve">   </w:t>
      </w:r>
      <w:r>
        <w:rPr>
          <w:rFonts w:hint="eastAsia" w:cs="宋体" w:asciiTheme="minorEastAsia" w:hAnsiTheme="minorEastAsia"/>
          <w:kern w:val="0"/>
          <w:szCs w:val="21"/>
          <w:highlight w:val="none"/>
        </w:rPr>
        <w:t>评审专家与投标人存在下列利害关系之一的,应当回避:</w:t>
      </w:r>
    </w:p>
    <w:p>
      <w:pPr>
        <w:pStyle w:val="50"/>
        <w:numPr>
          <w:ilvl w:val="0"/>
          <w:numId w:val="2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参加采购活动前三年内,与供应商存在劳动关系,或者担任过供应商的董事、监事,或者是供应商的控股股东或实际控制人；</w:t>
      </w:r>
    </w:p>
    <w:p>
      <w:pPr>
        <w:pStyle w:val="50"/>
        <w:numPr>
          <w:ilvl w:val="0"/>
          <w:numId w:val="2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与供应商的法定代表人或者负责人有夫妻、直系血亲、三代以内旁系血亲或者近姻亲关系；</w:t>
      </w:r>
    </w:p>
    <w:p>
      <w:pPr>
        <w:pStyle w:val="50"/>
        <w:numPr>
          <w:ilvl w:val="0"/>
          <w:numId w:val="2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与供应商有其他可能影响政府采购活动公平、公正进行的关系。</w:t>
      </w:r>
    </w:p>
    <w:p>
      <w:pPr>
        <w:pStyle w:val="50"/>
        <w:numPr>
          <w:ilvl w:val="1"/>
          <w:numId w:val="2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评审专家发现本人与参加采购活动的供应商有利害关系的,应当主动提出回避。采购人或者代理机构发现评审专家与参加采购活动的供应商有利害关系的,应当要求其回避。</w:t>
      </w:r>
    </w:p>
    <w:p>
      <w:pPr>
        <w:pStyle w:val="50"/>
        <w:numPr>
          <w:ilvl w:val="1"/>
          <w:numId w:val="2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采购人不得担任评标小组长。</w:t>
      </w:r>
    </w:p>
    <w:p>
      <w:pPr>
        <w:pStyle w:val="50"/>
        <w:numPr>
          <w:ilvl w:val="1"/>
          <w:numId w:val="2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采购人可以在评标前说明项目背景和采购需求，说明内容不得含有歧视性、倾向性意见，不得超出招标文件所述范围。说明应当提交书面材料，并随采购文件一并存档。</w:t>
      </w:r>
    </w:p>
    <w:p>
      <w:pPr>
        <w:pStyle w:val="50"/>
        <w:numPr>
          <w:ilvl w:val="1"/>
          <w:numId w:val="2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highlight w:val="none"/>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符合性审查</w:t>
      </w:r>
    </w:p>
    <w:p>
      <w:pPr>
        <w:pStyle w:val="50"/>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评标委员会依据有关法律法规和招标文件的规定，对符合资格的投标人的投标文件进行符合性审查，以确定其是否满足招标文件的实质性要求。</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审查、评价投标文件是否符合招标文件的商务、技术等实质性要求。</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可要求投标人对投标文件有关事项作出澄清或者说明。</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2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投标文件的澄清</w:t>
      </w:r>
    </w:p>
    <w:p>
      <w:pPr>
        <w:pStyle w:val="50"/>
        <w:numPr>
          <w:ilvl w:val="0"/>
          <w:numId w:val="27"/>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对于投标文件中含义不明确、同类问题表述不一致或者有明显文字和计算错误的内容，评标委员会应当以书面形式要求投标人作出必要的澄清、说明或者补正。</w:t>
      </w:r>
    </w:p>
    <w:p>
      <w:pPr>
        <w:pStyle w:val="50"/>
        <w:numPr>
          <w:ilvl w:val="0"/>
          <w:numId w:val="28"/>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50"/>
        <w:numPr>
          <w:ilvl w:val="0"/>
          <w:numId w:val="29"/>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投标人的澄清文件是其投标文件的组成部分。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2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投标文件报价出现前后不一致的修正</w:t>
      </w:r>
    </w:p>
    <w:p>
      <w:pPr>
        <w:pStyle w:val="50"/>
        <w:numPr>
          <w:ilvl w:val="0"/>
          <w:numId w:val="3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投标文件中开标一览表(报价表)内容与投标文件中相应内容不一致的，以开标一览表(报价表)为准；</w:t>
      </w:r>
    </w:p>
    <w:p>
      <w:pPr>
        <w:pStyle w:val="50"/>
        <w:numPr>
          <w:ilvl w:val="0"/>
          <w:numId w:val="3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大写金额和小写金额不一致的，以大写金额为准；</w:t>
      </w:r>
    </w:p>
    <w:p>
      <w:pPr>
        <w:pStyle w:val="50"/>
        <w:numPr>
          <w:ilvl w:val="0"/>
          <w:numId w:val="3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单价金额小数点或者百分比有明显错位的，以开标一览表的总价为准，并修改单价；</w:t>
      </w:r>
    </w:p>
    <w:p>
      <w:pPr>
        <w:pStyle w:val="50"/>
        <w:numPr>
          <w:ilvl w:val="0"/>
          <w:numId w:val="3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2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投标无效情形</w:t>
      </w:r>
    </w:p>
    <w:p>
      <w:pPr>
        <w:pStyle w:val="50"/>
        <w:numPr>
          <w:ilvl w:val="0"/>
          <w:numId w:val="31"/>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投标文件属下列情况之一的，按照无效投标处理：</w:t>
      </w:r>
    </w:p>
    <w:p>
      <w:pPr>
        <w:pStyle w:val="50"/>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未按照招标文件的规定提交《禹州市政府采购供应商信用承诺函》的；</w:t>
      </w:r>
    </w:p>
    <w:p>
      <w:pPr>
        <w:pStyle w:val="50"/>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未按照招标文件的规定提交投标承诺函的；</w:t>
      </w:r>
    </w:p>
    <w:p>
      <w:pPr>
        <w:pStyle w:val="50"/>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投标文件未按招标文件要求签署、盖章的；</w:t>
      </w:r>
    </w:p>
    <w:p>
      <w:pPr>
        <w:pStyle w:val="50"/>
        <w:numPr>
          <w:ilvl w:val="0"/>
          <w:numId w:val="32"/>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报价超过招标文件中规定的预算金额或者最高限价的；</w:t>
      </w:r>
    </w:p>
    <w:p>
      <w:pPr>
        <w:pStyle w:val="50"/>
        <w:numPr>
          <w:ilvl w:val="0"/>
          <w:numId w:val="32"/>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投标文件含有采购人不能接受的附加条件的</w:t>
      </w:r>
      <w:r>
        <w:rPr>
          <w:rFonts w:hint="eastAsia" w:cs="宋体" w:asciiTheme="minorEastAsia" w:hAnsiTheme="minorEastAsia"/>
          <w:kern w:val="0"/>
          <w:szCs w:val="21"/>
          <w:highlight w:val="none"/>
        </w:rPr>
        <w:t>。</w:t>
      </w:r>
    </w:p>
    <w:p>
      <w:pPr>
        <w:pStyle w:val="50"/>
        <w:numPr>
          <w:ilvl w:val="0"/>
          <w:numId w:val="33"/>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根据《河南省财政厅关于防范供应商串通投标促进政府采购公平竞争的通知》（豫财购﹝2021﹞6号）要求，参与同一个标段的供应商存在下列情形之一的，其投标文件无效：</w:t>
      </w:r>
    </w:p>
    <w:p>
      <w:pPr>
        <w:pStyle w:val="50"/>
        <w:numPr>
          <w:ilvl w:val="0"/>
          <w:numId w:val="34"/>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不同供应商的电子投标文件上传计算机的网卡MAC地址、CPU序列号和硬盘序列号等硬件信息相同的；</w:t>
      </w:r>
    </w:p>
    <w:p>
      <w:pPr>
        <w:pStyle w:val="50"/>
        <w:numPr>
          <w:ilvl w:val="0"/>
          <w:numId w:val="35"/>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不同供应商的投标文件由同一电子设备编制、打印加密或者上传；</w:t>
      </w:r>
    </w:p>
    <w:p>
      <w:pPr>
        <w:pStyle w:val="50"/>
        <w:numPr>
          <w:ilvl w:val="0"/>
          <w:numId w:val="36"/>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不同供应商的投标文件由同一电子设备打印、复印；</w:t>
      </w:r>
    </w:p>
    <w:p>
      <w:pPr>
        <w:pStyle w:val="50"/>
        <w:numPr>
          <w:ilvl w:val="0"/>
          <w:numId w:val="37"/>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不同供应商的投标文件由同一人送达或者分发，或者不同供应商联系人为同一人或不同联系人的联系电话一致的；</w:t>
      </w:r>
    </w:p>
    <w:p>
      <w:pPr>
        <w:pStyle w:val="50"/>
        <w:numPr>
          <w:ilvl w:val="0"/>
          <w:numId w:val="3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不同供应商的投标文件的内容存在两处以上细节错误一致；</w:t>
      </w:r>
    </w:p>
    <w:p>
      <w:pPr>
        <w:pStyle w:val="50"/>
        <w:numPr>
          <w:ilvl w:val="0"/>
          <w:numId w:val="39"/>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不同供应商的法定代表人、委托代理人、项目经理、项目负责人等由同一个单位缴纳社会保险或者领取报酬的；</w:t>
      </w:r>
    </w:p>
    <w:p>
      <w:pPr>
        <w:pStyle w:val="50"/>
        <w:numPr>
          <w:ilvl w:val="0"/>
          <w:numId w:val="40"/>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不同供应商投标文件中法定代表人或者负责人签字出自同一人之手；</w:t>
      </w:r>
    </w:p>
    <w:p>
      <w:pPr>
        <w:pStyle w:val="50"/>
        <w:numPr>
          <w:ilvl w:val="0"/>
          <w:numId w:val="41"/>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其它涉嫌串通的情形。</w:t>
      </w:r>
    </w:p>
    <w:p>
      <w:pPr>
        <w:pStyle w:val="50"/>
        <w:numPr>
          <w:ilvl w:val="0"/>
          <w:numId w:val="4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有下列情形之一的，视为投标人串通投标，其投标无效：</w:t>
      </w:r>
    </w:p>
    <w:p>
      <w:pPr>
        <w:pStyle w:val="50"/>
        <w:numPr>
          <w:ilvl w:val="0"/>
          <w:numId w:val="4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不同投标人的投标文件由同一单位或者个人编制；</w:t>
      </w:r>
    </w:p>
    <w:p>
      <w:pPr>
        <w:pStyle w:val="50"/>
        <w:numPr>
          <w:ilvl w:val="0"/>
          <w:numId w:val="44"/>
        </w:numPr>
        <w:autoSpaceDE w:val="0"/>
        <w:autoSpaceDN w:val="0"/>
        <w:spacing w:line="360" w:lineRule="auto"/>
        <w:ind w:hanging="138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不同投标人委托同一单位或者个人办理投标事宜；</w:t>
      </w:r>
    </w:p>
    <w:p>
      <w:pPr>
        <w:pStyle w:val="50"/>
        <w:numPr>
          <w:ilvl w:val="0"/>
          <w:numId w:val="45"/>
        </w:numPr>
        <w:autoSpaceDE w:val="0"/>
        <w:autoSpaceDN w:val="0"/>
        <w:spacing w:line="360" w:lineRule="auto"/>
        <w:ind w:hanging="138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不同投标人的投标文件载明的项目管理成员或者联系人员为同一人；</w:t>
      </w:r>
    </w:p>
    <w:p>
      <w:pPr>
        <w:pStyle w:val="50"/>
        <w:numPr>
          <w:ilvl w:val="0"/>
          <w:numId w:val="46"/>
        </w:numPr>
        <w:autoSpaceDE w:val="0"/>
        <w:autoSpaceDN w:val="0"/>
        <w:spacing w:line="360" w:lineRule="auto"/>
        <w:ind w:hanging="138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不同投标人的投标文件异常一致或者投标报价呈规律性差异；</w:t>
      </w:r>
    </w:p>
    <w:p>
      <w:pPr>
        <w:pStyle w:val="50"/>
        <w:numPr>
          <w:ilvl w:val="0"/>
          <w:numId w:val="47"/>
        </w:numPr>
        <w:autoSpaceDE w:val="0"/>
        <w:autoSpaceDN w:val="0"/>
        <w:spacing w:line="360" w:lineRule="auto"/>
        <w:ind w:hanging="138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不同投标人的投标文件相互混装。</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50"/>
        <w:numPr>
          <w:ilvl w:val="0"/>
          <w:numId w:val="51"/>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法</w:t>
      </w:r>
      <w:r>
        <w:rPr>
          <w:rFonts w:cs="宋体" w:asciiTheme="minorEastAsia" w:hAnsiTheme="minorEastAsia"/>
          <w:kern w:val="0"/>
          <w:szCs w:val="21"/>
          <w:highlight w:val="none"/>
        </w:rPr>
        <w:t>律、法规和招标文件规定的其他无效情形。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2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相同品牌投标人的认定</w:t>
      </w:r>
      <w:r>
        <w:rPr>
          <w:rFonts w:cs="仿宋_GB2312" w:asciiTheme="minorEastAsia" w:hAnsiTheme="minorEastAsia"/>
          <w:b/>
          <w:bCs/>
          <w:szCs w:val="21"/>
          <w:highlight w:val="none"/>
          <w:lang w:val="zh-CN"/>
        </w:rPr>
        <w:t>（服务类项目不适用本条款规定）</w:t>
      </w:r>
    </w:p>
    <w:p>
      <w:pPr>
        <w:pStyle w:val="50"/>
        <w:numPr>
          <w:ilvl w:val="0"/>
          <w:numId w:val="5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50"/>
        <w:numPr>
          <w:ilvl w:val="0"/>
          <w:numId w:val="53"/>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2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投标文件的比较与评价</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2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评标方法、评标标准</w:t>
      </w:r>
    </w:p>
    <w:p>
      <w:pPr>
        <w:pStyle w:val="50"/>
        <w:numPr>
          <w:ilvl w:val="0"/>
          <w:numId w:val="5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评标方法分为最低评标价法和综合评分法。</w:t>
      </w:r>
    </w:p>
    <w:p>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最低评标价法</w:t>
      </w:r>
    </w:p>
    <w:p>
      <w:pPr>
        <w:pStyle w:val="50"/>
        <w:numPr>
          <w:ilvl w:val="0"/>
          <w:numId w:val="56"/>
        </w:numPr>
        <w:autoSpaceDE w:val="0"/>
        <w:autoSpaceDN w:val="0"/>
        <w:spacing w:line="360" w:lineRule="auto"/>
        <w:ind w:left="1841" w:leftChars="1" w:hanging="1839" w:hangingChars="87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最低评标价法，是指投标文件满足招标文件全部实质性要求，且投标报价最低的投标人为中标候选人的评标方法。</w:t>
      </w:r>
    </w:p>
    <w:p>
      <w:pPr>
        <w:pStyle w:val="50"/>
        <w:numPr>
          <w:ilvl w:val="0"/>
          <w:numId w:val="56"/>
        </w:numPr>
        <w:autoSpaceDE w:val="0"/>
        <w:autoSpaceDN w:val="0"/>
        <w:spacing w:line="360" w:lineRule="auto"/>
        <w:ind w:left="1841" w:leftChars="1" w:hanging="1839" w:hangingChars="87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采用最低评标价法评标时，除了算术修正和落实政府采购政策需进行的价格扣除外，不能对投标人的投标价格进行任何调整。</w:t>
      </w:r>
    </w:p>
    <w:p>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综合评分法，是指投标文件满足招标文件全部实质性要求，且按照评审因素的量化指标评审得分最高的投标人为中标候选人的评标方法。</w:t>
      </w:r>
    </w:p>
    <w:p>
      <w:pPr>
        <w:pStyle w:val="50"/>
        <w:numPr>
          <w:ilvl w:val="0"/>
          <w:numId w:val="57"/>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价格分</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A1、A2、……An 分别为各项评审因素所占的权重(A1+A2+……+An=1)。</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评标过程中，不得去掉报价中的最高报价和最低报价。</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因落实政府采购政策进行价格调整的，以调整后的价格计算评标基准价和投标报价。</w:t>
      </w:r>
    </w:p>
    <w:p>
      <w:pPr>
        <w:pStyle w:val="50"/>
        <w:numPr>
          <w:ilvl w:val="1"/>
          <w:numId w:val="59"/>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b/>
          <w:kern w:val="0"/>
          <w:szCs w:val="21"/>
          <w:highlight w:val="none"/>
        </w:rPr>
        <w:t>本次评标具体评标方法、评标标准见（第六章 资格审查与评标）</w:t>
      </w:r>
      <w:r>
        <w:rPr>
          <w:rFonts w:hint="eastAsia" w:cs="宋体" w:asciiTheme="minorEastAsia" w:hAnsiTheme="minorEastAsia"/>
          <w:kern w:val="0"/>
          <w:szCs w:val="21"/>
          <w:highlight w:val="none"/>
        </w:rPr>
        <w:t>。</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59"/>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推荐中标候选人</w:t>
      </w:r>
    </w:p>
    <w:p>
      <w:pPr>
        <w:pStyle w:val="50"/>
        <w:numPr>
          <w:ilvl w:val="0"/>
          <w:numId w:val="5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采用最低评标价法的，评标结果按投标报价由低到高顺序排列。投标报价相同的并列。投标文件满足招标文件全部实质性要求且投标报价最低的投标人为排名第一的中标候选人。</w:t>
      </w:r>
    </w:p>
    <w:p>
      <w:pPr>
        <w:pStyle w:val="50"/>
        <w:numPr>
          <w:ilvl w:val="0"/>
          <w:numId w:val="60"/>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50"/>
        <w:numPr>
          <w:ilvl w:val="0"/>
          <w:numId w:val="6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评审意见无效情形</w:t>
      </w:r>
    </w:p>
    <w:p>
      <w:pPr>
        <w:pStyle w:val="50"/>
        <w:numPr>
          <w:ilvl w:val="0"/>
          <w:numId w:val="62"/>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评标委员会及其成员有下列行为之一的，其评审意见无效：</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确定参与评标至评标结束前私自接触投标人；</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接受投标人提出的与投标文件不一致的澄清或者说明，《投标人须知》26条规定的情形除外；</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违反评标纪律发表倾向性意见或者征询采购人的倾向性意见；</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对需要专业判断的主观评审因素协商评分；</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在评标过程中擅离职守，影响评标程序正常进行的；</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记录、复制或者带走任何评标资料；</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其他不遵守评标纪律的行为。</w:t>
      </w:r>
    </w:p>
    <w:p>
      <w:pPr>
        <w:pStyle w:val="50"/>
        <w:autoSpaceDE w:val="0"/>
        <w:autoSpaceDN w:val="0"/>
        <w:spacing w:line="360" w:lineRule="auto"/>
        <w:ind w:left="1384" w:firstLine="0" w:firstLineChars="0"/>
        <w:contextualSpacing/>
        <w:rPr>
          <w:rFonts w:cs="宋体" w:asciiTheme="minorEastAsia" w:hAnsiTheme="minorEastAsia"/>
          <w:kern w:val="0"/>
          <w:szCs w:val="21"/>
          <w:highlight w:val="none"/>
        </w:rPr>
      </w:pP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6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保密</w:t>
      </w:r>
    </w:p>
    <w:p>
      <w:pPr>
        <w:pStyle w:val="50"/>
        <w:numPr>
          <w:ilvl w:val="0"/>
          <w:numId w:val="64"/>
        </w:numPr>
        <w:autoSpaceDE w:val="0"/>
        <w:autoSpaceDN w:val="0"/>
        <w:spacing w:line="360" w:lineRule="auto"/>
        <w:ind w:left="0"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六、定标和授予合同</w:t>
      </w:r>
    </w:p>
    <w:p>
      <w:pPr>
        <w:pStyle w:val="50"/>
        <w:numPr>
          <w:ilvl w:val="0"/>
          <w:numId w:val="6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确定中标人</w:t>
      </w:r>
    </w:p>
    <w:p>
      <w:pPr>
        <w:pStyle w:val="50"/>
        <w:numPr>
          <w:ilvl w:val="0"/>
          <w:numId w:val="6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50"/>
        <w:numPr>
          <w:ilvl w:val="0"/>
          <w:numId w:val="6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采购人在收到评标报告1个工作日内未按评标报告推荐的中标候选人顺序确定中标人，又不能说明合法理由的，视同按评标报告推荐的顺序确定排名第一的中标候选人为中标人。</w:t>
      </w:r>
    </w:p>
    <w:p>
      <w:pPr>
        <w:pStyle w:val="50"/>
        <w:numPr>
          <w:ilvl w:val="0"/>
          <w:numId w:val="6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中标公告、发出中标通知书</w:t>
      </w:r>
    </w:p>
    <w:p>
      <w:pPr>
        <w:pStyle w:val="50"/>
        <w:numPr>
          <w:ilvl w:val="0"/>
          <w:numId w:val="6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采购人确认中标人后，1个工作日公告中标结果的同时，禹州市政府采购中心向中标人发出中标通知书。</w:t>
      </w:r>
    </w:p>
    <w:p>
      <w:pPr>
        <w:pStyle w:val="50"/>
        <w:numPr>
          <w:ilvl w:val="0"/>
          <w:numId w:val="67"/>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中标通知书发出后，采购人不得违法改变中标结果，中标人无正当理由不得放弃中标。</w:t>
      </w:r>
    </w:p>
    <w:p>
      <w:pPr>
        <w:pStyle w:val="50"/>
        <w:numPr>
          <w:ilvl w:val="0"/>
          <w:numId w:val="68"/>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中标人在接到中标通知时，须向代理机构发送投标报价及分项报价一览表（包含主要中标标的的名称、规格型号、数量、单价、服务要求等）电子文档，并同时通知代理机构联系人。</w:t>
      </w:r>
    </w:p>
    <w:p>
      <w:pPr>
        <w:pStyle w:val="50"/>
        <w:numPr>
          <w:ilvl w:val="0"/>
          <w:numId w:val="6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质疑提出与答复</w:t>
      </w:r>
    </w:p>
    <w:p>
      <w:pPr>
        <w:pStyle w:val="50"/>
        <w:numPr>
          <w:ilvl w:val="0"/>
          <w:numId w:val="69"/>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highlight w:val="none"/>
        </w:rPr>
        <w:t>提出质疑的供应商应当是参与</w:t>
      </w:r>
      <w:r>
        <w:rPr>
          <w:rFonts w:hint="eastAsia" w:cs="宋体" w:asciiTheme="minorEastAsia" w:hAnsiTheme="minorEastAsia"/>
          <w:kern w:val="0"/>
          <w:szCs w:val="21"/>
          <w:highlight w:val="none"/>
        </w:rPr>
        <w:t>本</w:t>
      </w:r>
      <w:r>
        <w:rPr>
          <w:rFonts w:cs="宋体" w:asciiTheme="minorEastAsia" w:hAnsiTheme="minorEastAsia"/>
          <w:kern w:val="0"/>
          <w:szCs w:val="21"/>
          <w:highlight w:val="none"/>
        </w:rPr>
        <w:t>项目采购活动的供应商。</w:t>
      </w:r>
      <w:r>
        <w:rPr>
          <w:rFonts w:hint="eastAsia" w:cs="宋体" w:asciiTheme="minorEastAsia" w:hAnsiTheme="minorEastAsia"/>
          <w:kern w:val="0"/>
          <w:szCs w:val="21"/>
          <w:highlight w:val="none"/>
        </w:rPr>
        <w:t>提出时应按照《政府采购质疑和投诉办法》（财政部令第94号）第十二条规定提交质疑函和必要的证明材料，质疑提出后</w:t>
      </w:r>
      <w:r>
        <w:rPr>
          <w:rFonts w:cs="宋体" w:asciiTheme="minorEastAsia" w:hAnsiTheme="minorEastAsia"/>
          <w:kern w:val="0"/>
          <w:szCs w:val="21"/>
          <w:highlight w:val="none"/>
        </w:rPr>
        <w:t>潜在</w:t>
      </w:r>
      <w:r>
        <w:rPr>
          <w:rFonts w:hint="eastAsia" w:cs="宋体" w:asciiTheme="minorEastAsia" w:hAnsiTheme="minorEastAsia"/>
          <w:kern w:val="0"/>
          <w:szCs w:val="21"/>
          <w:highlight w:val="none"/>
        </w:rPr>
        <w:t>投标人应及时联系招标公告中集采机构联系人查看。如未提出视为全面接受。</w:t>
      </w:r>
    </w:p>
    <w:p>
      <w:pPr>
        <w:pStyle w:val="50"/>
        <w:numPr>
          <w:ilvl w:val="0"/>
          <w:numId w:val="70"/>
        </w:numPr>
        <w:autoSpaceDE w:val="0"/>
        <w:autoSpaceDN w:val="0"/>
        <w:spacing w:line="360" w:lineRule="auto"/>
        <w:ind w:hanging="1407"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对采购文件提出质疑的，</w:t>
      </w:r>
      <w:r>
        <w:rPr>
          <w:rFonts w:cs="宋体" w:asciiTheme="minorEastAsia" w:hAnsiTheme="minorEastAsia"/>
          <w:kern w:val="0"/>
          <w:szCs w:val="21"/>
          <w:highlight w:val="none"/>
        </w:rPr>
        <w:t>潜在</w:t>
      </w:r>
      <w:r>
        <w:rPr>
          <w:rFonts w:hint="eastAsia" w:cs="宋体" w:asciiTheme="minorEastAsia" w:hAnsiTheme="minorEastAsia"/>
          <w:kern w:val="0"/>
          <w:szCs w:val="21"/>
          <w:highlight w:val="none"/>
        </w:rPr>
        <w:t>投标人应</w:t>
      </w:r>
      <w:r>
        <w:rPr>
          <w:rFonts w:cs="宋体" w:asciiTheme="minorEastAsia" w:hAnsiTheme="minorEastAsia"/>
          <w:kern w:val="0"/>
          <w:szCs w:val="21"/>
          <w:highlight w:val="none"/>
        </w:rPr>
        <w:t>已依法获取采购文件</w:t>
      </w:r>
      <w:r>
        <w:rPr>
          <w:rFonts w:hint="eastAsia" w:cs="宋体" w:asciiTheme="minorEastAsia" w:hAnsiTheme="minorEastAsia"/>
          <w:kern w:val="0"/>
          <w:szCs w:val="21"/>
          <w:highlight w:val="none"/>
        </w:rPr>
        <w:t>，且应当在</w:t>
      </w:r>
      <w:r>
        <w:rPr>
          <w:rFonts w:cs="宋体" w:asciiTheme="minorEastAsia" w:hAnsiTheme="minorEastAsia"/>
          <w:kern w:val="0"/>
          <w:szCs w:val="21"/>
          <w:highlight w:val="none"/>
        </w:rPr>
        <w:t>获取采购文件或者采购文件公告期限届满之日起7个工作日内</w:t>
      </w:r>
      <w:r>
        <w:rPr>
          <w:rFonts w:hint="eastAsia" w:cs="宋体" w:asciiTheme="minorEastAsia" w:hAnsiTheme="minorEastAsia"/>
          <w:kern w:val="0"/>
          <w:szCs w:val="21"/>
          <w:highlight w:val="none"/>
        </w:rPr>
        <w:t>通过《全国公共资源交易平台（河南省·许昌市）》一次性提出。</w:t>
      </w:r>
    </w:p>
    <w:p>
      <w:pPr>
        <w:pStyle w:val="50"/>
        <w:numPr>
          <w:ilvl w:val="0"/>
          <w:numId w:val="70"/>
        </w:numPr>
        <w:autoSpaceDE w:val="0"/>
        <w:autoSpaceDN w:val="0"/>
        <w:spacing w:line="360" w:lineRule="auto"/>
        <w:ind w:hanging="1407"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对采购过程提出质疑的，为各采购程序环节结束之日起七个工作日内，投标人通过《全国公共资源交易平台（河南省·许昌市）》一次性提出；</w:t>
      </w:r>
    </w:p>
    <w:p>
      <w:pPr>
        <w:pStyle w:val="50"/>
        <w:numPr>
          <w:ilvl w:val="0"/>
          <w:numId w:val="70"/>
        </w:numPr>
        <w:autoSpaceDE w:val="0"/>
        <w:autoSpaceDN w:val="0"/>
        <w:spacing w:line="360" w:lineRule="auto"/>
        <w:ind w:hanging="1407"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38.2         </w:t>
      </w:r>
      <w:r>
        <w:rPr>
          <w:rFonts w:cs="宋体" w:asciiTheme="minorEastAsia" w:hAnsiTheme="minorEastAsia"/>
          <w:kern w:val="0"/>
          <w:szCs w:val="21"/>
          <w:highlight w:val="none"/>
        </w:rPr>
        <w:t>采购人、采购代理机构认为供应商质疑不成立，或者成立但未对中标结果构成影响的，</w:t>
      </w:r>
      <w:r>
        <w:rPr>
          <w:rFonts w:hint="eastAsia" w:cs="宋体" w:asciiTheme="minorEastAsia" w:hAnsiTheme="minorEastAsia"/>
          <w:kern w:val="0"/>
          <w:szCs w:val="21"/>
          <w:highlight w:val="none"/>
        </w:rPr>
        <w:t>在收到质疑函7个工作日内通过《全国公共资源交易平台（河南省·许昌市）》交易系统作出答复，并</w:t>
      </w:r>
      <w:r>
        <w:rPr>
          <w:rFonts w:cs="宋体" w:asciiTheme="minorEastAsia" w:hAnsiTheme="minorEastAsia"/>
          <w:kern w:val="0"/>
          <w:szCs w:val="21"/>
          <w:highlight w:val="none"/>
        </w:rPr>
        <w:t>继续开展采购活动；认为供应商质疑成立且影响或者可能影响中标结果的，</w:t>
      </w:r>
      <w:r>
        <w:rPr>
          <w:rFonts w:hint="eastAsia" w:cs="宋体" w:asciiTheme="minorEastAsia" w:hAnsiTheme="minorEastAsia"/>
          <w:kern w:val="0"/>
          <w:szCs w:val="21"/>
          <w:highlight w:val="none"/>
        </w:rPr>
        <w:t>在收到质疑函7个工作日内通过《全国公共资源交易平台（河南省·许昌市）》交易系统作出答复，并</w:t>
      </w:r>
      <w:r>
        <w:rPr>
          <w:rFonts w:cs="宋体" w:asciiTheme="minorEastAsia" w:hAnsiTheme="minorEastAsia"/>
          <w:kern w:val="0"/>
          <w:szCs w:val="21"/>
          <w:highlight w:val="none"/>
        </w:rPr>
        <w:t>按照下列情况处理：</w:t>
      </w:r>
    </w:p>
    <w:p>
      <w:pPr>
        <w:pStyle w:val="50"/>
        <w:numPr>
          <w:ilvl w:val="0"/>
          <w:numId w:val="71"/>
        </w:numPr>
        <w:autoSpaceDE w:val="0"/>
        <w:autoSpaceDN w:val="0"/>
        <w:spacing w:line="360" w:lineRule="auto"/>
        <w:ind w:hanging="138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对采购文件提出的质疑，依法通过澄清或者修改可以继续开展采购活动的，澄清或者修改采购文件后继续开展采购活动；否则应当修改采购文件后重新开展采购活动。</w:t>
      </w:r>
    </w:p>
    <w:p>
      <w:pPr>
        <w:pStyle w:val="50"/>
        <w:numPr>
          <w:ilvl w:val="0"/>
          <w:numId w:val="71"/>
        </w:numPr>
        <w:autoSpaceDE w:val="0"/>
        <w:autoSpaceDN w:val="0"/>
        <w:spacing w:line="360" w:lineRule="auto"/>
        <w:ind w:hanging="138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对采购过程、中标结果提出的质疑，合格供应商符合法定数量时，可以从合格的中标</w:t>
      </w:r>
      <w:r>
        <w:rPr>
          <w:rFonts w:hint="eastAsia" w:cs="宋体" w:asciiTheme="minorEastAsia" w:hAnsiTheme="minorEastAsia"/>
          <w:kern w:val="0"/>
          <w:szCs w:val="21"/>
          <w:highlight w:val="none"/>
        </w:rPr>
        <w:t>候选人</w:t>
      </w:r>
      <w:r>
        <w:rPr>
          <w:rFonts w:cs="宋体" w:asciiTheme="minorEastAsia" w:hAnsiTheme="minorEastAsia"/>
          <w:kern w:val="0"/>
          <w:szCs w:val="21"/>
          <w:highlight w:val="none"/>
        </w:rPr>
        <w:t>中另行确定中标供应商的，应当依法另行确定中标供应商；否则应当重新开展采购活动</w:t>
      </w:r>
      <w:r>
        <w:rPr>
          <w:rFonts w:hint="eastAsia" w:cs="宋体" w:asciiTheme="minorEastAsia" w:hAnsiTheme="minorEastAsia"/>
          <w:kern w:val="0"/>
          <w:szCs w:val="21"/>
          <w:highlight w:val="none"/>
        </w:rPr>
        <w:t>。</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签订合同与备案</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采购人自采购合同签订之日起，1个</w:t>
      </w:r>
      <w:r>
        <w:rPr>
          <w:rFonts w:cs="宋体" w:asciiTheme="minorEastAsia" w:hAnsiTheme="minorEastAsia"/>
          <w:kern w:val="0"/>
          <w:szCs w:val="21"/>
          <w:highlight w:val="none"/>
        </w:rPr>
        <w:t>工作日内</w:t>
      </w:r>
      <w:r>
        <w:rPr>
          <w:rFonts w:hint="eastAsia" w:cs="宋体" w:asciiTheme="minorEastAsia" w:hAnsiTheme="minorEastAsia"/>
          <w:kern w:val="0"/>
          <w:szCs w:val="21"/>
          <w:highlight w:val="none"/>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highlight w:val="none"/>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履约保证金</w:t>
      </w:r>
    </w:p>
    <w:p>
      <w:pPr>
        <w:autoSpaceDE w:val="0"/>
        <w:autoSpaceDN w:val="0"/>
        <w:spacing w:line="360" w:lineRule="auto"/>
        <w:ind w:left="964"/>
        <w:contextualSpacing/>
        <w:jc w:val="left"/>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kern w:val="0"/>
          <w:szCs w:val="21"/>
          <w:highlight w:val="none"/>
        </w:rPr>
        <w:t>“投标人须知前附表”中规定中标人提交履约保证金的，中标人应当以支票、汇票、本票或者金融机构、担保机构出具的保函等非现金形式向采购人提交。履约保证金的数额不得超过政府采购合同金额的10%。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ind w:left="964"/>
        <w:contextualSpacing/>
        <w:jc w:val="left"/>
        <w:rPr>
          <w:rFonts w:hint="eastAsia" w:cs="宋体" w:asciiTheme="minorEastAsia" w:hAnsiTheme="minorEastAsia" w:eastAsiaTheme="minorEastAsia"/>
          <w:kern w:val="0"/>
          <w:szCs w:val="21"/>
          <w:highlight w:val="none"/>
          <w:lang w:eastAsia="zh-CN"/>
        </w:rPr>
      </w:pPr>
    </w:p>
    <w:p>
      <w:pPr>
        <w:pStyle w:val="50"/>
        <w:numPr>
          <w:ilvl w:val="0"/>
          <w:numId w:val="72"/>
        </w:numPr>
        <w:autoSpaceDE w:val="0"/>
        <w:autoSpaceDN w:val="0"/>
        <w:spacing w:line="360" w:lineRule="auto"/>
        <w:ind w:firstLineChars="0"/>
        <w:contextualSpacing/>
        <w:rPr>
          <w:rFonts w:cs="宋体" w:asciiTheme="minorEastAsia" w:hAnsiTheme="minorEastAsia"/>
          <w:color w:val="FF99FF"/>
          <w:kern w:val="0"/>
          <w:szCs w:val="21"/>
          <w:highlight w:val="none"/>
        </w:rPr>
      </w:pPr>
      <w:r>
        <w:rPr>
          <w:rFonts w:hint="eastAsia" w:cs="宋体" w:asciiTheme="minorEastAsia" w:hAnsiTheme="minorEastAsia"/>
          <w:b/>
          <w:kern w:val="0"/>
          <w:szCs w:val="21"/>
          <w:highlight w:val="none"/>
        </w:rPr>
        <w:t>政府采购合同融资</w:t>
      </w:r>
    </w:p>
    <w:p>
      <w:pPr>
        <w:pStyle w:val="50"/>
        <w:numPr>
          <w:ilvl w:val="1"/>
          <w:numId w:val="73"/>
        </w:numPr>
        <w:wordWrap w:val="0"/>
        <w:topLinePunct/>
        <w:autoSpaceDE w:val="0"/>
        <w:autoSpaceDN w:val="0"/>
        <w:adjustRightInd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highlight w:val="none"/>
        </w:rPr>
      </w:pPr>
      <w:r>
        <w:rPr>
          <w:rFonts w:hint="eastAsia" w:cs="宋体" w:asciiTheme="minorEastAsia" w:hAnsiTheme="minorEastAsia"/>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highlight w:val="none"/>
        </w:rPr>
      </w:pPr>
      <w:r>
        <w:rPr>
          <w:rFonts w:hint="eastAsia" w:cs="宋体" w:asciiTheme="minorEastAsia" w:hAnsiTheme="minorEastAsia"/>
          <w:kern w:val="0"/>
          <w:szCs w:val="21"/>
          <w:highlight w:val="none"/>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highlight w:val="none"/>
        </w:rPr>
      </w:pPr>
    </w:p>
    <w:p>
      <w:pPr>
        <w:autoSpaceDE w:val="0"/>
        <w:autoSpaceDN w:val="0"/>
        <w:spacing w:line="360" w:lineRule="auto"/>
        <w:ind w:left="964"/>
        <w:contextualSpacing/>
        <w:jc w:val="left"/>
        <w:rPr>
          <w:rFonts w:cs="宋体" w:asciiTheme="majorEastAsia" w:hAnsiTheme="majorEastAsia" w:eastAsiaTheme="majorEastAsia"/>
          <w:b/>
          <w:kern w:val="0"/>
          <w:sz w:val="32"/>
          <w:szCs w:val="32"/>
          <w:highlight w:val="none"/>
        </w:rPr>
      </w:pPr>
    </w:p>
    <w:p>
      <w:pPr>
        <w:autoSpaceDE w:val="0"/>
        <w:autoSpaceDN w:val="0"/>
        <w:spacing w:line="360" w:lineRule="auto"/>
        <w:ind w:left="964"/>
        <w:contextualSpacing/>
        <w:jc w:val="left"/>
        <w:rPr>
          <w:rFonts w:cs="宋体" w:asciiTheme="majorEastAsia" w:hAnsiTheme="majorEastAsia" w:eastAsiaTheme="majorEastAsia"/>
          <w:b/>
          <w:kern w:val="0"/>
          <w:sz w:val="32"/>
          <w:szCs w:val="32"/>
          <w:highlight w:val="none"/>
        </w:rPr>
      </w:pPr>
    </w:p>
    <w:p>
      <w:pPr>
        <w:autoSpaceDE w:val="0"/>
        <w:autoSpaceDN w:val="0"/>
        <w:spacing w:line="360" w:lineRule="auto"/>
        <w:ind w:left="964"/>
        <w:contextualSpacing/>
        <w:jc w:val="left"/>
        <w:rPr>
          <w:rFonts w:cs="宋体" w:asciiTheme="majorEastAsia" w:hAnsiTheme="majorEastAsia" w:eastAsiaTheme="majorEastAsia"/>
          <w:b/>
          <w:kern w:val="0"/>
          <w:sz w:val="32"/>
          <w:szCs w:val="32"/>
          <w:highlight w:val="none"/>
        </w:rPr>
      </w:pPr>
    </w:p>
    <w:p>
      <w:pPr>
        <w:autoSpaceDE w:val="0"/>
        <w:autoSpaceDN w:val="0"/>
        <w:spacing w:line="360" w:lineRule="auto"/>
        <w:ind w:left="964"/>
        <w:contextualSpacing/>
        <w:jc w:val="left"/>
        <w:rPr>
          <w:rFonts w:cs="宋体" w:asciiTheme="majorEastAsia" w:hAnsiTheme="majorEastAsia" w:eastAsiaTheme="majorEastAsia"/>
          <w:b/>
          <w:kern w:val="0"/>
          <w:sz w:val="32"/>
          <w:szCs w:val="32"/>
          <w:highlight w:val="none"/>
        </w:rPr>
      </w:pPr>
    </w:p>
    <w:p>
      <w:pPr>
        <w:autoSpaceDE w:val="0"/>
        <w:autoSpaceDN w:val="0"/>
        <w:spacing w:line="360" w:lineRule="auto"/>
        <w:ind w:left="964"/>
        <w:contextualSpacing/>
        <w:jc w:val="left"/>
        <w:rPr>
          <w:rFonts w:cs="宋体" w:asciiTheme="majorEastAsia" w:hAnsiTheme="majorEastAsia" w:eastAsiaTheme="majorEastAsia"/>
          <w:b/>
          <w:kern w:val="0"/>
          <w:sz w:val="32"/>
          <w:szCs w:val="32"/>
          <w:highlight w:val="none"/>
        </w:rPr>
      </w:pPr>
    </w:p>
    <w:p>
      <w:pPr>
        <w:autoSpaceDE w:val="0"/>
        <w:autoSpaceDN w:val="0"/>
        <w:spacing w:line="360" w:lineRule="auto"/>
        <w:ind w:left="964"/>
        <w:contextualSpacing/>
        <w:jc w:val="left"/>
        <w:rPr>
          <w:rFonts w:cs="宋体" w:asciiTheme="majorEastAsia" w:hAnsiTheme="majorEastAsia" w:eastAsiaTheme="majorEastAsia"/>
          <w:b/>
          <w:kern w:val="0"/>
          <w:sz w:val="32"/>
          <w:szCs w:val="32"/>
          <w:highlight w:val="none"/>
        </w:rPr>
      </w:pPr>
    </w:p>
    <w:p>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pPr>
        <w:widowControl/>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第五章 政府采购政策功能</w:t>
      </w:r>
    </w:p>
    <w:p>
      <w:pPr>
        <w:jc w:val="center"/>
        <w:rPr>
          <w:rFonts w:cs="宋体" w:asciiTheme="majorEastAsia" w:hAnsiTheme="majorEastAsia" w:eastAsiaTheme="majorEastAsia"/>
          <w:b/>
          <w:kern w:val="0"/>
          <w:sz w:val="36"/>
          <w:szCs w:val="36"/>
          <w:highlight w:val="none"/>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一、节约能源、保护环境</w:t>
      </w:r>
    </w:p>
    <w:p>
      <w:pPr>
        <w:pStyle w:val="18"/>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highlight w:val="none"/>
        </w:rPr>
        <w:t>财政部、生态环境部</w:t>
      </w:r>
      <w:r>
        <w:rPr>
          <w:rFonts w:hint="eastAsia" w:cs="仿宋_GB2312" w:asciiTheme="minorEastAsia" w:hAnsiTheme="minorEastAsia" w:eastAsiaTheme="minorEastAsia"/>
          <w:sz w:val="21"/>
          <w:szCs w:val="21"/>
          <w:highlight w:val="none"/>
          <w:lang w:val="zh-CN"/>
        </w:rPr>
        <w:t>《关于印发环境标志产品政府采购品目清单的通知》</w:t>
      </w:r>
      <w:r>
        <w:rPr>
          <w:rFonts w:hint="eastAsia" w:cs="仿宋_GB2312" w:asciiTheme="minorEastAsia" w:hAnsiTheme="minorEastAsia" w:eastAsiaTheme="minorEastAsia"/>
          <w:sz w:val="21"/>
          <w:szCs w:val="21"/>
          <w:highlight w:val="none"/>
        </w:rPr>
        <w:t>（财库[2019]18号）以及</w:t>
      </w:r>
      <w:r>
        <w:rPr>
          <w:rFonts w:hint="eastAsia" w:cs="仿宋_GB2312" w:asciiTheme="minorEastAsia" w:hAnsiTheme="minorEastAsia" w:eastAsiaTheme="minorEastAsia"/>
          <w:sz w:val="21"/>
          <w:szCs w:val="21"/>
          <w:highlight w:val="none"/>
          <w:lang w:val="zh-CN"/>
        </w:rPr>
        <w:t>财政部、发展改革委</w:t>
      </w:r>
      <w:r>
        <w:rPr>
          <w:rFonts w:hint="eastAsia" w:cs="仿宋_GB2312" w:asciiTheme="minorEastAsia" w:hAnsiTheme="minorEastAsia" w:eastAsiaTheme="minorEastAsia"/>
          <w:sz w:val="21"/>
          <w:szCs w:val="21"/>
          <w:highlight w:val="none"/>
        </w:rPr>
        <w:t>《关于印发节能产品政府采购品目清单的通知》（财库[2019]19号）</w:t>
      </w:r>
      <w:r>
        <w:rPr>
          <w:rFonts w:hint="eastAsia" w:cs="仿宋_GB2312" w:asciiTheme="minorEastAsia" w:hAnsiTheme="minorEastAsia" w:eastAsiaTheme="minorEastAsia"/>
          <w:sz w:val="21"/>
          <w:szCs w:val="21"/>
          <w:highlight w:val="none"/>
          <w:lang w:val="zh-CN"/>
        </w:rPr>
        <w:t>，</w:t>
      </w:r>
      <w:r>
        <w:rPr>
          <w:rFonts w:hint="eastAsia" w:cs="仿宋_GB2312" w:asciiTheme="minorEastAsia" w:hAnsiTheme="minorEastAsia" w:eastAsiaTheme="minorEastAsia"/>
          <w:sz w:val="21"/>
          <w:szCs w:val="21"/>
          <w:highlight w:val="none"/>
        </w:rPr>
        <w:t>采购政府强</w:t>
      </w:r>
      <w:r>
        <w:rPr>
          <w:rFonts w:hint="eastAsia" w:cs="仿宋_GB2312" w:asciiTheme="minorEastAsia" w:hAnsiTheme="minorEastAsia" w:eastAsiaTheme="minorEastAsia"/>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8"/>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highlight w:val="none"/>
          <w:lang w:val="zh-CN"/>
        </w:rPr>
      </w:pPr>
      <w:r>
        <w:rPr>
          <w:rFonts w:hint="eastAsia" w:ascii="ˎ̥" w:hAnsi="ˎ̥"/>
          <w:highlight w:val="none"/>
          <w:lang w:val="en-US" w:eastAsia="zh-CN"/>
        </w:rPr>
        <w:t>本项目为</w:t>
      </w:r>
      <w:r>
        <w:rPr>
          <w:rFonts w:hint="eastAsia" w:ascii="ˎ̥" w:hAnsi="ˎ̥"/>
          <w:highlight w:val="none"/>
        </w:rPr>
        <w:t>非</w:t>
      </w:r>
      <w:r>
        <w:rPr>
          <w:rFonts w:hint="eastAsia" w:cs="仿宋_GB2312" w:asciiTheme="minorEastAsia" w:hAnsiTheme="minorEastAsia"/>
          <w:szCs w:val="21"/>
          <w:highlight w:val="none"/>
          <w:lang w:val="zh-CN"/>
        </w:rPr>
        <w:t>专门面向中小企业</w:t>
      </w:r>
      <w:r>
        <w:rPr>
          <w:rFonts w:hint="eastAsia" w:cs="仿宋_GB2312" w:asciiTheme="minorEastAsia" w:hAnsiTheme="minorEastAsia"/>
          <w:szCs w:val="21"/>
          <w:highlight w:val="none"/>
          <w:lang w:val="en-US" w:eastAsia="zh-CN"/>
        </w:rPr>
        <w:t>采购的项目</w:t>
      </w:r>
      <w:r>
        <w:rPr>
          <w:rFonts w:hint="eastAsia" w:cs="仿宋_GB2312" w:asciiTheme="minorEastAsia" w:hAnsiTheme="minorEastAsia"/>
          <w:szCs w:val="21"/>
          <w:highlight w:val="none"/>
          <w:lang w:val="zh-CN"/>
        </w:rPr>
        <w:t>根据财政部、工业和信息化部《政府采购促进中小企业发展管理办法》（财库[2020]46号）</w:t>
      </w:r>
      <w:r>
        <w:rPr>
          <w:rFonts w:hint="eastAsia" w:ascii="ˎ̥" w:hAnsi="ˎ̥"/>
          <w:highlight w:val="none"/>
        </w:rPr>
        <w:t>、</w:t>
      </w:r>
      <w:r>
        <w:rPr>
          <w:rFonts w:hint="eastAsia" w:ascii="ˎ̥" w:hAnsi="ˎ̥"/>
          <w:color w:val="FF0000"/>
          <w:highlight w:val="none"/>
        </w:rPr>
        <w:t>《关于进一步加大政府采购支持中小企业力度的通知》（财库〔2022〕19号）</w:t>
      </w:r>
      <w:r>
        <w:rPr>
          <w:rFonts w:hint="eastAsia" w:cs="仿宋_GB2312" w:asciiTheme="minorEastAsia" w:hAnsiTheme="minorEastAsia"/>
          <w:szCs w:val="21"/>
          <w:highlight w:val="none"/>
          <w:lang w:val="zh-CN"/>
        </w:rPr>
        <w:t>规定，对符合该办法规定的小型和微型企业报价给予</w:t>
      </w:r>
      <w:r>
        <w:rPr>
          <w:rFonts w:hint="eastAsia" w:cs="仿宋_GB2312" w:asciiTheme="minorEastAsia" w:hAnsiTheme="minorEastAsia"/>
          <w:color w:val="FF0000"/>
          <w:szCs w:val="21"/>
          <w:highlight w:val="none"/>
          <w:lang w:val="zh-CN"/>
        </w:rPr>
        <w:t>20%</w:t>
      </w:r>
      <w:r>
        <w:rPr>
          <w:rFonts w:hint="eastAsia" w:cs="仿宋_GB2312" w:asciiTheme="minorEastAsia" w:hAnsiTheme="minorEastAsia"/>
          <w:szCs w:val="21"/>
          <w:highlight w:val="none"/>
          <w:lang w:val="zh-CN"/>
        </w:rPr>
        <w:t>的扣除，用扣除后的价格参与评审。</w:t>
      </w:r>
    </w:p>
    <w:p>
      <w:pPr>
        <w:spacing w:line="360" w:lineRule="auto"/>
        <w:ind w:firstLine="420" w:firstLineChars="200"/>
        <w:contextualSpacing/>
        <w:rPr>
          <w:rFonts w:ascii="ˎ̥" w:hAnsi="ˎ̥"/>
          <w:highlight w:val="none"/>
        </w:rPr>
      </w:pPr>
      <w:r>
        <w:rPr>
          <w:rFonts w:hint="eastAsia" w:ascii="ˎ̥" w:hAnsi="ˎ̥"/>
          <w:highlight w:val="none"/>
        </w:rPr>
        <w:t>2、</w:t>
      </w:r>
      <w:r>
        <w:rPr>
          <w:rFonts w:ascii="ˎ̥" w:hAnsi="ˎ̥"/>
          <w:highlight w:val="none"/>
        </w:rPr>
        <w:t>在货物采购项目中，供应商提供的货物既有中小企业制造货物，也有大型企业制造货物的，不享受</w:t>
      </w:r>
      <w:r>
        <w:rPr>
          <w:rFonts w:hint="eastAsia" w:cs="仿宋_GB2312" w:asciiTheme="minorEastAsia" w:hAnsiTheme="minorEastAsia"/>
          <w:szCs w:val="21"/>
          <w:highlight w:val="none"/>
          <w:lang w:val="zh-CN"/>
        </w:rPr>
        <w:t>《政府采购促进中小企业发展管理办法》（财库[2020]46号）</w:t>
      </w:r>
      <w:r>
        <w:rPr>
          <w:rFonts w:ascii="ˎ̥" w:hAnsi="ˎ̥"/>
          <w:highlight w:val="none"/>
        </w:rPr>
        <w:t>规定的中小企业扶持政策。</w:t>
      </w:r>
    </w:p>
    <w:p>
      <w:pPr>
        <w:spacing w:line="360" w:lineRule="auto"/>
        <w:ind w:firstLine="420" w:firstLineChars="200"/>
        <w:contextualSpacing/>
        <w:rPr>
          <w:rFonts w:ascii="ˎ̥" w:hAnsi="ˎ̥"/>
          <w:highlight w:val="none"/>
        </w:rPr>
      </w:pPr>
      <w:r>
        <w:rPr>
          <w:rFonts w:hint="eastAsia" w:ascii="ˎ̥" w:hAnsi="ˎ̥"/>
          <w:highlight w:val="none"/>
        </w:rPr>
        <w:t>3、</w:t>
      </w:r>
      <w:r>
        <w:rPr>
          <w:rFonts w:ascii="ˎ̥" w:hAnsi="ˎ̥"/>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highlight w:val="none"/>
        </w:rPr>
      </w:pPr>
      <w:r>
        <w:rPr>
          <w:rFonts w:hint="eastAsia" w:ascii="ˎ̥" w:hAnsi="ˎ̥"/>
          <w:highlight w:val="none"/>
        </w:rPr>
        <w:t>4、</w:t>
      </w:r>
      <w:r>
        <w:rPr>
          <w:rFonts w:ascii="ˎ̥" w:hAnsi="ˎ̥"/>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highlight w:val="none"/>
        </w:rPr>
        <w:t>4-6</w:t>
      </w:r>
      <w:r>
        <w:rPr>
          <w:rFonts w:ascii="ˎ̥" w:hAnsi="ˎ̥"/>
          <w:highlight w:val="none"/>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highlight w:val="none"/>
        </w:rPr>
      </w:pPr>
      <w:r>
        <w:rPr>
          <w:rFonts w:hint="eastAsia" w:ascii="ˎ̥" w:hAnsi="ˎ̥"/>
          <w:highlight w:val="none"/>
        </w:rPr>
        <w:t>5、按照本次采购标的所属行业的划型标准，符合条件的中小企业应按照招标文件格式要求提供《中小企业声明函》，</w:t>
      </w:r>
      <w:r>
        <w:rPr>
          <w:rFonts w:ascii="ˎ̥" w:hAnsi="ˎ̥"/>
          <w:highlight w:val="none"/>
        </w:rPr>
        <w:t>否则不得享受相关中小企业扶持政策。</w:t>
      </w:r>
    </w:p>
    <w:p>
      <w:pPr>
        <w:topLinePunct/>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三、支持监狱企业发展</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按照财政部、司法部发布的《关于政府采购支持监狱企业发展有关问题的通知》（</w:t>
      </w:r>
      <w:bookmarkStart w:id="9" w:name="OLE_LINK6"/>
      <w:r>
        <w:rPr>
          <w:rFonts w:hint="eastAsia" w:cs="仿宋_GB2312" w:asciiTheme="minorEastAsia" w:hAnsiTheme="minorEastAsia"/>
          <w:szCs w:val="21"/>
          <w:highlight w:val="none"/>
          <w:lang w:val="zh-CN"/>
        </w:rPr>
        <w:t>财库[2014]68号</w:t>
      </w:r>
      <w:bookmarkEnd w:id="9"/>
      <w:r>
        <w:rPr>
          <w:rFonts w:hint="eastAsia" w:cs="仿宋_GB2312" w:asciiTheme="minorEastAsia" w:hAnsiTheme="minorEastAsia"/>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highlight w:val="none"/>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 w:val="21"/>
          <w:szCs w:val="21"/>
          <w:highlight w:val="none"/>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highlight w:val="none"/>
          <w:lang w:val="zh-CN"/>
        </w:rPr>
      </w:pPr>
    </w:p>
    <w:p>
      <w:pPr>
        <w:pStyle w:val="18"/>
        <w:spacing w:line="360" w:lineRule="auto"/>
        <w:ind w:left="282" w:hanging="282" w:hangingChars="78"/>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rPr>
          <w:rFonts w:cs="宋体" w:asciiTheme="majorEastAsia" w:hAnsiTheme="majorEastAsia" w:eastAsiaTheme="majorEastAsia"/>
          <w:b/>
          <w:kern w:val="0"/>
          <w:sz w:val="36"/>
          <w:szCs w:val="36"/>
          <w:highlight w:val="none"/>
        </w:rPr>
      </w:pPr>
    </w:p>
    <w:p>
      <w:pPr>
        <w:pStyle w:val="18"/>
        <w:spacing w:line="360" w:lineRule="auto"/>
        <w:contextualSpacing/>
        <w:rPr>
          <w:rFonts w:cs="宋体" w:asciiTheme="majorEastAsia" w:hAnsiTheme="majorEastAsia" w:eastAsiaTheme="majorEastAsia"/>
          <w:b/>
          <w:kern w:val="0"/>
          <w:sz w:val="36"/>
          <w:szCs w:val="36"/>
          <w:highlight w:val="none"/>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第六章 资格审查与评标</w:t>
      </w:r>
    </w:p>
    <w:p>
      <w:pPr>
        <w:pStyle w:val="18"/>
        <w:spacing w:line="360" w:lineRule="auto"/>
        <w:contextualSpacing/>
        <w:rPr>
          <w:rFonts w:cs="仿宋_GB2312" w:asciiTheme="minorEastAsia" w:hAnsiTheme="minorEastAsia"/>
          <w:highlight w:val="none"/>
          <w:lang w:val="zh-CN"/>
        </w:rPr>
      </w:pPr>
    </w:p>
    <w:p>
      <w:pPr>
        <w:pStyle w:val="18"/>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highlight w:val="none"/>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采购人（采购代理机构）依法对投标人资格进行审查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序号</w:t>
            </w:r>
          </w:p>
        </w:tc>
        <w:tc>
          <w:tcPr>
            <w:tcW w:w="2410"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资格审查</w:t>
            </w:r>
            <w:r>
              <w:rPr>
                <w:rFonts w:asciiTheme="minorEastAsia" w:hAnsiTheme="minorEastAsia"/>
                <w:b/>
                <w:szCs w:val="21"/>
                <w:highlight w:val="none"/>
              </w:rPr>
              <w:t>因素</w:t>
            </w:r>
          </w:p>
        </w:tc>
        <w:tc>
          <w:tcPr>
            <w:tcW w:w="5954"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1</w:t>
            </w:r>
          </w:p>
        </w:tc>
        <w:tc>
          <w:tcPr>
            <w:tcW w:w="2410"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投标函</w:t>
            </w:r>
          </w:p>
        </w:tc>
        <w:tc>
          <w:tcPr>
            <w:tcW w:w="5954" w:type="dxa"/>
            <w:vAlign w:val="center"/>
          </w:tcPr>
          <w:p>
            <w:pPr>
              <w:spacing w:line="360" w:lineRule="auto"/>
              <w:rPr>
                <w:rFonts w:asciiTheme="minorEastAsia" w:hAnsiTheme="minorEastAsia"/>
                <w:b/>
                <w:szCs w:val="21"/>
                <w:highlight w:val="none"/>
              </w:rPr>
            </w:pPr>
            <w:r>
              <w:rPr>
                <w:rFonts w:hint="eastAsia" w:ascii="宋体" w:hAnsi="宋体" w:cs="微软雅黑"/>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highlight w:val="none"/>
                <w:lang w:eastAsia="zh-CN"/>
              </w:rPr>
            </w:pPr>
            <w:r>
              <w:rPr>
                <w:rFonts w:hint="eastAsia" w:asciiTheme="minorEastAsia" w:hAnsiTheme="minorEastAsia"/>
                <w:b/>
                <w:bCs/>
                <w:szCs w:val="21"/>
                <w:highlight w:val="none"/>
                <w:lang w:val="en-US" w:eastAsia="zh-CN"/>
              </w:rPr>
              <w:t>2</w:t>
            </w:r>
          </w:p>
        </w:tc>
        <w:tc>
          <w:tcPr>
            <w:tcW w:w="2410"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禹州</w:t>
            </w:r>
            <w:r>
              <w:rPr>
                <w:rFonts w:asciiTheme="minorEastAsia" w:hAnsiTheme="minorEastAsia"/>
                <w:b/>
                <w:color w:val="000000" w:themeColor="text1"/>
                <w:szCs w:val="21"/>
                <w:highlight w:val="none"/>
                <w14:textFill>
                  <w14:solidFill>
                    <w14:schemeClr w14:val="tx1"/>
                  </w14:solidFill>
                </w14:textFill>
              </w:rPr>
              <w:t>市政府采购</w:t>
            </w:r>
          </w:p>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asciiTheme="minorEastAsia" w:hAnsiTheme="minorEastAsia"/>
                <w:b/>
                <w:color w:val="000000" w:themeColor="text1"/>
                <w:szCs w:val="21"/>
                <w:highlight w:val="none"/>
                <w14:textFill>
                  <w14:solidFill>
                    <w14:schemeClr w14:val="tx1"/>
                  </w14:solidFill>
                </w14:textFill>
              </w:rPr>
              <w:t>供应商信用承诺函</w:t>
            </w:r>
          </w:p>
        </w:tc>
        <w:tc>
          <w:tcPr>
            <w:tcW w:w="5954" w:type="dxa"/>
            <w:vAlign w:val="center"/>
          </w:tcPr>
          <w:p>
            <w:pPr>
              <w:spacing w:line="360" w:lineRule="auto"/>
              <w:jc w:val="left"/>
              <w:rPr>
                <w:rFonts w:asciiTheme="minorEastAsia" w:hAnsiTheme="minorEastAsia"/>
                <w:b/>
                <w:bCs/>
                <w:color w:val="000000" w:themeColor="text1"/>
                <w:szCs w:val="21"/>
                <w:highlight w:val="none"/>
                <w14:textFill>
                  <w14:solidFill>
                    <w14:schemeClr w14:val="tx1"/>
                  </w14:solidFill>
                </w14:textFill>
              </w:rPr>
            </w:pPr>
            <w:r>
              <w:rPr>
                <w:rFonts w:hint="eastAsia" w:ascii="宋体" w:hAnsi="宋体" w:cs="微软雅黑"/>
                <w:bCs/>
                <w:color w:val="000000" w:themeColor="text1"/>
                <w:szCs w:val="21"/>
                <w:highlight w:val="none"/>
                <w14:textFill>
                  <w14:solidFill>
                    <w14:schemeClr w14:val="tx1"/>
                  </w14:solidFill>
                </w14:textFill>
              </w:rPr>
              <w:t>按照招标文件第八章3.</w:t>
            </w:r>
            <w:r>
              <w:rPr>
                <w:rFonts w:hint="eastAsia" w:ascii="宋体" w:hAnsi="宋体" w:cs="微软雅黑"/>
                <w:bCs/>
                <w:color w:val="000000" w:themeColor="text1"/>
                <w:szCs w:val="21"/>
                <w:highlight w:val="none"/>
                <w:lang w:val="en-US" w:eastAsia="zh-CN"/>
                <w14:textFill>
                  <w14:solidFill>
                    <w14:schemeClr w14:val="tx1"/>
                  </w14:solidFill>
                </w14:textFill>
              </w:rPr>
              <w:t>5</w:t>
            </w:r>
            <w:r>
              <w:rPr>
                <w:rFonts w:hint="eastAsia" w:ascii="宋体" w:hAnsi="宋体" w:cs="微软雅黑"/>
                <w:bCs/>
                <w:color w:val="000000" w:themeColor="text1"/>
                <w:szCs w:val="21"/>
                <w:highlight w:val="none"/>
                <w14:textFill>
                  <w14:solidFill>
                    <w14:schemeClr w14:val="tx1"/>
                  </w14:solidFill>
                </w14:textFill>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highlight w:val="none"/>
                <w:lang w:eastAsia="zh-CN"/>
              </w:rPr>
            </w:pPr>
            <w:r>
              <w:rPr>
                <w:rFonts w:hint="eastAsia" w:asciiTheme="minorEastAsia" w:hAnsiTheme="minorEastAsia"/>
                <w:b/>
                <w:bCs/>
                <w:szCs w:val="21"/>
                <w:highlight w:val="none"/>
                <w:lang w:val="en-US" w:eastAsia="zh-CN"/>
              </w:rPr>
              <w:t>3</w:t>
            </w:r>
          </w:p>
        </w:tc>
        <w:tc>
          <w:tcPr>
            <w:tcW w:w="2410" w:type="dxa"/>
            <w:vAlign w:val="center"/>
          </w:tcPr>
          <w:p>
            <w:pPr>
              <w:spacing w:line="360" w:lineRule="auto"/>
              <w:jc w:val="center"/>
              <w:rPr>
                <w:rFonts w:asciiTheme="minorEastAsia" w:hAnsiTheme="minorEastAsia"/>
                <w:b/>
                <w:bCs/>
                <w:szCs w:val="21"/>
                <w:highlight w:val="none"/>
              </w:rPr>
            </w:pPr>
            <w:r>
              <w:rPr>
                <w:rFonts w:hint="eastAsia" w:asciiTheme="minorEastAsia" w:hAnsiTheme="minorEastAsia"/>
                <w:b/>
                <w:bCs/>
                <w:szCs w:val="21"/>
                <w:highlight w:val="none"/>
              </w:rPr>
              <w:t>投标</w:t>
            </w:r>
            <w:r>
              <w:rPr>
                <w:rFonts w:hint="eastAsia" w:cs="仿宋_GB2312" w:asciiTheme="minorEastAsia" w:hAnsiTheme="minorEastAsia"/>
                <w:b/>
                <w:szCs w:val="21"/>
                <w:highlight w:val="none"/>
                <w:lang w:val="zh-CN"/>
              </w:rPr>
              <w:t>报价</w:t>
            </w:r>
          </w:p>
        </w:tc>
        <w:tc>
          <w:tcPr>
            <w:tcW w:w="5954" w:type="dxa"/>
          </w:tcPr>
          <w:p>
            <w:pPr>
              <w:spacing w:line="360" w:lineRule="auto"/>
              <w:rPr>
                <w:rFonts w:asciiTheme="minorEastAsia" w:hAnsiTheme="minorEastAsia"/>
                <w:b/>
                <w:bCs/>
                <w:szCs w:val="21"/>
                <w:highlight w:val="none"/>
              </w:rPr>
            </w:pPr>
            <w:r>
              <w:rPr>
                <w:rFonts w:hint="eastAsia" w:cs="仿宋_GB2312" w:asciiTheme="minorEastAsia" w:hAnsiTheme="minorEastAsia"/>
                <w:szCs w:val="21"/>
                <w:highlight w:val="none"/>
                <w:lang w:val="zh-CN"/>
              </w:rPr>
              <w:t>投标报价是否超出招标文件中规定的预算金额，超出预算金额的投标无效。如投标人须知前附表规定最高限价，则</w:t>
            </w:r>
            <w:r>
              <w:rPr>
                <w:rFonts w:hint="eastAsia" w:cs="宋体" w:asciiTheme="minorEastAsia" w:hAnsiTheme="minorEastAsia"/>
                <w:bCs/>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highlight w:val="none"/>
                <w:lang w:eastAsia="zh-CN"/>
              </w:rPr>
            </w:pPr>
            <w:r>
              <w:rPr>
                <w:rFonts w:hint="eastAsia" w:asciiTheme="minorEastAsia" w:hAnsiTheme="minorEastAsia"/>
                <w:b/>
                <w:bCs/>
                <w:szCs w:val="21"/>
                <w:highlight w:val="none"/>
                <w:lang w:val="en-US" w:eastAsia="zh-CN"/>
              </w:rPr>
              <w:t>4</w:t>
            </w:r>
          </w:p>
        </w:tc>
        <w:tc>
          <w:tcPr>
            <w:tcW w:w="2410" w:type="dxa"/>
            <w:vAlign w:val="center"/>
          </w:tcPr>
          <w:p>
            <w:pPr>
              <w:spacing w:line="360" w:lineRule="auto"/>
              <w:jc w:val="center"/>
              <w:rPr>
                <w:rFonts w:asciiTheme="minorEastAsia" w:hAnsiTheme="minorEastAsia"/>
                <w:szCs w:val="21"/>
                <w:highlight w:val="none"/>
              </w:rPr>
            </w:pPr>
            <w:r>
              <w:rPr>
                <w:rFonts w:hint="eastAsia" w:asciiTheme="minorEastAsia" w:hAnsiTheme="minorEastAsia"/>
                <w:b/>
                <w:szCs w:val="21"/>
                <w:highlight w:val="none"/>
              </w:rPr>
              <w:t>投标承诺函</w:t>
            </w:r>
          </w:p>
        </w:tc>
        <w:tc>
          <w:tcPr>
            <w:tcW w:w="5954" w:type="dxa"/>
            <w:vAlign w:val="center"/>
          </w:tcPr>
          <w:p>
            <w:pPr>
              <w:spacing w:line="360" w:lineRule="auto"/>
              <w:rPr>
                <w:rFonts w:asciiTheme="minorEastAsia" w:hAnsiTheme="minorEastAsia"/>
                <w:b/>
                <w:szCs w:val="21"/>
                <w:highlight w:val="none"/>
              </w:rPr>
            </w:pPr>
            <w:r>
              <w:rPr>
                <w:rFonts w:hint="eastAsia" w:asciiTheme="minorEastAsia" w:hAnsiTheme="minorEastAsia"/>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highlight w:val="none"/>
                <w:lang w:eastAsia="zh-CN"/>
              </w:rPr>
            </w:pPr>
            <w:r>
              <w:rPr>
                <w:rFonts w:hint="eastAsia" w:asciiTheme="minorEastAsia" w:hAnsiTheme="minorEastAsia"/>
                <w:b/>
                <w:bCs/>
                <w:szCs w:val="21"/>
                <w:highlight w:val="none"/>
                <w:lang w:val="en-US" w:eastAsia="zh-CN"/>
              </w:rPr>
              <w:t>5</w:t>
            </w:r>
          </w:p>
        </w:tc>
        <w:tc>
          <w:tcPr>
            <w:tcW w:w="2410" w:type="dxa"/>
            <w:vAlign w:val="center"/>
          </w:tcPr>
          <w:p>
            <w:pPr>
              <w:spacing w:line="360" w:lineRule="auto"/>
              <w:jc w:val="center"/>
              <w:rPr>
                <w:rFonts w:asciiTheme="minorEastAsia" w:hAnsiTheme="minorEastAsia"/>
                <w:b/>
                <w:bCs/>
                <w:szCs w:val="21"/>
                <w:highlight w:val="none"/>
              </w:rPr>
            </w:pPr>
            <w:r>
              <w:rPr>
                <w:rFonts w:hint="eastAsia" w:asciiTheme="minorEastAsia" w:hAnsiTheme="minorEastAsia"/>
                <w:b/>
                <w:bCs/>
                <w:szCs w:val="21"/>
                <w:highlight w:val="none"/>
              </w:rPr>
              <w:t>联合体协议</w:t>
            </w:r>
          </w:p>
        </w:tc>
        <w:tc>
          <w:tcPr>
            <w:tcW w:w="5954" w:type="dxa"/>
          </w:tcPr>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highlight w:val="none"/>
                <w:lang w:eastAsia="zh-CN"/>
              </w:rPr>
            </w:pPr>
            <w:r>
              <w:rPr>
                <w:rFonts w:hint="eastAsia" w:asciiTheme="minorEastAsia" w:hAnsiTheme="minorEastAsia"/>
                <w:b/>
                <w:bCs/>
                <w:szCs w:val="21"/>
                <w:highlight w:val="none"/>
                <w:lang w:val="en-US" w:eastAsia="zh-CN"/>
              </w:rPr>
              <w:t>6</w:t>
            </w:r>
          </w:p>
        </w:tc>
        <w:tc>
          <w:tcPr>
            <w:tcW w:w="2410" w:type="dxa"/>
            <w:vAlign w:val="center"/>
          </w:tcPr>
          <w:p>
            <w:pPr>
              <w:spacing w:line="360" w:lineRule="auto"/>
              <w:contextualSpacing/>
              <w:jc w:val="center"/>
              <w:rPr>
                <w:rFonts w:asciiTheme="minorEastAsia" w:hAnsiTheme="minorEastAsia"/>
                <w:b/>
                <w:szCs w:val="21"/>
                <w:highlight w:val="none"/>
              </w:rPr>
            </w:pPr>
            <w:r>
              <w:rPr>
                <w:rFonts w:hint="eastAsia" w:asciiTheme="minorEastAsia" w:hAnsiTheme="minorEastAsia"/>
                <w:b/>
                <w:szCs w:val="21"/>
                <w:highlight w:val="none"/>
              </w:rPr>
              <w:t>投标人身份证明及授权</w:t>
            </w:r>
          </w:p>
        </w:tc>
        <w:tc>
          <w:tcPr>
            <w:tcW w:w="5954" w:type="dxa"/>
          </w:tcPr>
          <w:p>
            <w:pPr>
              <w:spacing w:line="360" w:lineRule="auto"/>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（1）法定代表人身份证明或提供法定代表人授权委托书及被授权人身份证明。（法人投标提供）</w:t>
            </w:r>
          </w:p>
          <w:p>
            <w:pPr>
              <w:spacing w:line="360" w:lineRule="auto"/>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highlight w:val="none"/>
                <w:lang w:val="zh-CN"/>
              </w:rPr>
            </w:pPr>
            <w:r>
              <w:rPr>
                <w:rFonts w:hint="eastAsia" w:ascii="楷体" w:hAnsi="楷体" w:eastAsia="楷体" w:cs="仿宋_GB2312"/>
                <w:b/>
                <w:sz w:val="24"/>
                <w:szCs w:val="24"/>
                <w:highlight w:val="none"/>
                <w:lang w:val="zh-CN"/>
              </w:rPr>
              <w:t>注：</w:t>
            </w:r>
          </w:p>
          <w:p>
            <w:pPr>
              <w:spacing w:line="360" w:lineRule="auto"/>
              <w:rPr>
                <w:rFonts w:asciiTheme="minorEastAsia" w:hAnsiTheme="minorEastAsia"/>
                <w:b/>
                <w:sz w:val="24"/>
                <w:szCs w:val="24"/>
                <w:highlight w:val="none"/>
              </w:rPr>
            </w:pPr>
            <w:r>
              <w:rPr>
                <w:rFonts w:hint="eastAsia" w:ascii="楷体" w:hAnsi="楷体" w:eastAsia="楷体"/>
                <w:sz w:val="24"/>
                <w:szCs w:val="24"/>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highlight w:val="none"/>
              </w:rPr>
            </w:pPr>
            <w:r>
              <w:rPr>
                <w:rFonts w:hint="eastAsia" w:ascii="楷体" w:hAnsi="楷体" w:eastAsia="楷体"/>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highlight w:val="none"/>
              </w:rPr>
            </w:pPr>
            <w:r>
              <w:rPr>
                <w:rFonts w:hint="eastAsia" w:ascii="楷体" w:hAnsi="楷体" w:eastAsia="楷体"/>
                <w:sz w:val="24"/>
                <w:szCs w:val="24"/>
                <w:highlight w:val="none"/>
              </w:rPr>
              <w:t>③</w:t>
            </w:r>
            <w:r>
              <w:rPr>
                <w:rFonts w:hint="eastAsia" w:ascii="楷体" w:hAnsi="楷体" w:eastAsia="楷体"/>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highlight w:val="none"/>
                <w:lang w:eastAsia="zh-CN"/>
              </w:rPr>
            </w:pPr>
            <w:r>
              <w:rPr>
                <w:rFonts w:hint="eastAsia" w:asciiTheme="minorEastAsia" w:hAnsiTheme="minorEastAsia"/>
                <w:b/>
                <w:bCs/>
                <w:szCs w:val="21"/>
                <w:highlight w:val="none"/>
                <w:lang w:val="en-US" w:eastAsia="zh-CN"/>
              </w:rPr>
              <w:t>7</w:t>
            </w:r>
          </w:p>
        </w:tc>
        <w:tc>
          <w:tcPr>
            <w:tcW w:w="2410" w:type="dxa"/>
            <w:vAlign w:val="center"/>
          </w:tcPr>
          <w:p>
            <w:pPr>
              <w:spacing w:line="360" w:lineRule="auto"/>
              <w:rPr>
                <w:rFonts w:asciiTheme="minorEastAsia" w:hAnsiTheme="minorEastAsia"/>
                <w:b/>
                <w:bCs/>
                <w:szCs w:val="21"/>
                <w:highlight w:val="none"/>
              </w:rPr>
            </w:pPr>
            <w:r>
              <w:rPr>
                <w:rFonts w:hint="eastAsia" w:asciiTheme="minorEastAsia" w:hAnsiTheme="minorEastAsia"/>
                <w:b/>
                <w:bCs/>
                <w:szCs w:val="21"/>
                <w:highlight w:val="none"/>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highlight w:val="none"/>
                <w:lang w:eastAsia="zh-CN"/>
              </w:rPr>
            </w:pPr>
            <w:r>
              <w:rPr>
                <w:rFonts w:hint="eastAsia" w:asciiTheme="minorEastAsia" w:hAnsiTheme="minorEastAsia"/>
                <w:b/>
                <w:bCs/>
                <w:szCs w:val="21"/>
                <w:highlight w:val="none"/>
                <w:lang w:val="en-US" w:eastAsia="zh-CN"/>
              </w:rPr>
              <w:t>8</w:t>
            </w:r>
          </w:p>
        </w:tc>
        <w:tc>
          <w:tcPr>
            <w:tcW w:w="2410" w:type="dxa"/>
            <w:vAlign w:val="center"/>
          </w:tcPr>
          <w:p>
            <w:pPr>
              <w:spacing w:line="360" w:lineRule="auto"/>
              <w:rPr>
                <w:rFonts w:asciiTheme="minorEastAsia" w:hAnsiTheme="minorEastAsia"/>
                <w:b/>
                <w:bCs/>
                <w:szCs w:val="21"/>
                <w:highlight w:val="none"/>
              </w:rPr>
            </w:pPr>
            <w:r>
              <w:rPr>
                <w:rFonts w:hint="eastAsia" w:asciiTheme="minorEastAsia" w:hAnsiTheme="minorEastAsia"/>
                <w:b/>
                <w:bCs/>
                <w:szCs w:val="21"/>
                <w:highlight w:val="none"/>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投标人</w:t>
            </w:r>
            <w:bookmarkStart w:id="10" w:name="baidusnap2"/>
            <w:bookmarkEnd w:id="10"/>
            <w:r>
              <w:rPr>
                <w:rFonts w:hint="eastAsia" w:cs="仿宋_GB2312" w:asciiTheme="minorEastAsia" w:hAnsiTheme="minorEastAsia"/>
                <w:szCs w:val="21"/>
                <w:highlight w:val="none"/>
                <w:lang w:val="zh-CN"/>
              </w:rPr>
              <w:t>提供未为本项目提供整体设计、</w:t>
            </w:r>
            <w:bookmarkStart w:id="11" w:name="baidusnap9"/>
            <w:bookmarkEnd w:id="11"/>
            <w:r>
              <w:rPr>
                <w:rFonts w:hint="eastAsia" w:cs="仿宋_GB2312" w:asciiTheme="minorEastAsia" w:hAnsiTheme="minorEastAsia"/>
                <w:szCs w:val="21"/>
                <w:highlight w:val="none"/>
                <w:lang w:val="zh-CN"/>
              </w:rPr>
              <w:t>规范编制或者项目管理、监理、检测等服务承诺函（承诺函格式自拟）。</w:t>
            </w:r>
          </w:p>
          <w:p>
            <w:pPr>
              <w:spacing w:line="360" w:lineRule="auto"/>
              <w:rPr>
                <w:rFonts w:asciiTheme="minorEastAsia" w:hAnsiTheme="minorEastAsia"/>
                <w:bCs/>
                <w:szCs w:val="21"/>
                <w:highlight w:val="none"/>
              </w:rPr>
            </w:pPr>
          </w:p>
        </w:tc>
      </w:tr>
    </w:tbl>
    <w:p>
      <w:pPr>
        <w:pStyle w:val="18"/>
        <w:spacing w:line="360" w:lineRule="auto"/>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二、评标</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（一）评标方法</w:t>
      </w:r>
    </w:p>
    <w:p>
      <w:pPr>
        <w:pStyle w:val="18"/>
        <w:spacing w:line="360" w:lineRule="auto"/>
        <w:ind w:firstLine="420"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sz w:val="21"/>
          <w:szCs w:val="21"/>
          <w:highlight w:val="none"/>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w:t>
      </w:r>
      <w:r>
        <w:rPr>
          <w:rFonts w:cs="仿宋_GB2312" w:asciiTheme="minorEastAsia" w:hAnsiTheme="minorEastAsia" w:eastAsiaTheme="minorEastAsia"/>
          <w:b/>
          <w:sz w:val="21"/>
          <w:szCs w:val="21"/>
          <w:highlight w:val="none"/>
          <w:lang w:val="zh-CN"/>
        </w:rPr>
        <w:t>评标委员会负责具体评标事务，并独立履行下列职责</w:t>
      </w:r>
    </w:p>
    <w:p>
      <w:pPr>
        <w:pStyle w:val="18"/>
        <w:spacing w:line="360" w:lineRule="auto"/>
        <w:ind w:firstLine="422" w:firstLineChars="200"/>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1、</w:t>
      </w:r>
      <w:r>
        <w:rPr>
          <w:rFonts w:cs="仿宋_GB2312" w:asciiTheme="minorEastAsia" w:hAnsiTheme="minorEastAsia" w:eastAsiaTheme="minorEastAsia"/>
          <w:b/>
          <w:sz w:val="21"/>
          <w:szCs w:val="21"/>
          <w:highlight w:val="none"/>
          <w:lang w:val="zh-CN"/>
        </w:rPr>
        <w:t>审查、评价投标文件是否符合招标文件的商务、技术等实质性要求；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cs="仿宋_GB2312" w:asciiTheme="minorEastAsia" w:hAnsiTheme="minorEastAsia"/>
          <w:sz w:val="21"/>
          <w:szCs w:val="21"/>
          <w:highlight w:val="none"/>
          <w:lang w:val="zh-CN"/>
        </w:rPr>
      </w:pPr>
      <w:r>
        <w:rPr>
          <w:rFonts w:hint="eastAsia" w:cs="仿宋_GB2312" w:asciiTheme="minorEastAsia" w:hAnsiTheme="minorEastAsia"/>
          <w:sz w:val="21"/>
          <w:szCs w:val="21"/>
          <w:highlight w:val="none"/>
          <w:lang w:val="zh-CN"/>
        </w:rPr>
        <w:t>注：符合性审查中所涉及到的证书及材料，均应在电子投标文件中提供原件扫描件（或图片）。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2、</w:t>
      </w:r>
      <w:r>
        <w:rPr>
          <w:rFonts w:cs="仿宋_GB2312" w:asciiTheme="minorEastAsia" w:hAnsiTheme="minorEastAsia" w:eastAsiaTheme="minorEastAsia"/>
          <w:b/>
          <w:sz w:val="21"/>
          <w:szCs w:val="21"/>
          <w:highlight w:val="none"/>
          <w:lang w:val="zh-CN"/>
        </w:rPr>
        <w:t>要求投标人对投标文件有关事项作出澄清或者说明；</w:t>
      </w:r>
    </w:p>
    <w:p>
      <w:pPr>
        <w:pStyle w:val="18"/>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3、</w:t>
      </w:r>
      <w:r>
        <w:rPr>
          <w:rFonts w:cs="仿宋_GB2312" w:asciiTheme="minorEastAsia" w:hAnsiTheme="minorEastAsia" w:eastAsiaTheme="minorEastAsia"/>
          <w:b/>
          <w:sz w:val="21"/>
          <w:szCs w:val="21"/>
          <w:highlight w:val="none"/>
          <w:lang w:val="zh-CN"/>
        </w:rPr>
        <w:t>对投标文件进行比较和评价；</w:t>
      </w:r>
    </w:p>
    <w:p>
      <w:pPr>
        <w:pStyle w:val="18"/>
        <w:spacing w:line="360" w:lineRule="auto"/>
        <w:ind w:firstLine="420" w:firstLineChars="200"/>
        <w:contextualSpacing/>
        <w:rPr>
          <w:rFonts w:cs="仿宋_GB2312" w:asciiTheme="minorEastAsia" w:hAnsiTheme="minorEastAsia"/>
          <w:sz w:val="21"/>
          <w:szCs w:val="21"/>
          <w:highlight w:val="none"/>
          <w:lang w:val="zh-CN"/>
        </w:rPr>
      </w:pPr>
      <w:r>
        <w:rPr>
          <w:rFonts w:hint="eastAsia" w:cs="仿宋_GB2312" w:asciiTheme="minorEastAsia" w:hAnsiTheme="minorEastAsia" w:eastAsiaTheme="minorEastAsia"/>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highlight w:val="none"/>
          <w:lang w:val="zh-CN"/>
        </w:rPr>
        <w:t>评标过程中，不得去掉报价中的最高报价和最低报价。</w:t>
      </w:r>
    </w:p>
    <w:p>
      <w:pPr>
        <w:pStyle w:val="18"/>
        <w:spacing w:line="360" w:lineRule="auto"/>
        <w:ind w:firstLine="420" w:firstLineChars="200"/>
        <w:contextualSpacing/>
        <w:rPr>
          <w:rFonts w:cs="仿宋_GB2312" w:asciiTheme="minorEastAsia" w:hAnsiTheme="minorEastAsia"/>
          <w:sz w:val="21"/>
          <w:szCs w:val="21"/>
          <w:highlight w:val="none"/>
          <w:lang w:val="zh-CN"/>
        </w:rPr>
      </w:pPr>
      <w:r>
        <w:rPr>
          <w:rFonts w:hint="eastAsia" w:cs="仿宋_GB2312" w:asciiTheme="minorEastAsia" w:hAnsiTheme="minorEastAsia"/>
          <w:sz w:val="21"/>
          <w:szCs w:val="21"/>
          <w:highlight w:val="none"/>
          <w:lang w:val="zh-CN"/>
        </w:rPr>
        <w:t>注：评标标准中所涉及到的证书及材料，均应在电子投标文件中提供原件扫描件（或图片）。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（1）价格分计算</w:t>
      </w:r>
    </w:p>
    <w:p>
      <w:pPr>
        <w:spacing w:line="360" w:lineRule="auto"/>
        <w:ind w:firstLine="420" w:firstLineChars="200"/>
        <w:contextualSpacing/>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contextualSpacing/>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1）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20" w:firstLineChars="200"/>
        <w:contextualSpacing/>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小型和微型企业不包含民办非企业单位。</w:t>
      </w:r>
    </w:p>
    <w:p>
      <w:pPr>
        <w:spacing w:line="360" w:lineRule="auto"/>
        <w:ind w:firstLine="420" w:firstLineChars="200"/>
        <w:contextualSpacing/>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highlight w:val="none"/>
        </w:rPr>
      </w:pPr>
      <w:r>
        <w:rPr>
          <w:rFonts w:hint="eastAsia" w:ascii="宋体" w:hAnsi="宋体" w:eastAsia="宋体" w:cs="仿宋_GB2312"/>
          <w:szCs w:val="21"/>
          <w:highlight w:val="none"/>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asciiTheme="minorEastAsia" w:hAnsiTheme="minorEastAsia" w:eastAsiaTheme="minorEastAsia"/>
          <w:b/>
          <w:sz w:val="21"/>
          <w:szCs w:val="21"/>
          <w:highlight w:val="none"/>
        </w:rPr>
        <w:t>（2）</w:t>
      </w:r>
      <w:r>
        <w:rPr>
          <w:rFonts w:cs="仿宋_GB2312" w:asciiTheme="minorEastAsia" w:hAnsiTheme="minorEastAsia" w:eastAsiaTheme="minorEastAsia"/>
          <w:b/>
          <w:sz w:val="21"/>
          <w:szCs w:val="21"/>
          <w:highlight w:val="none"/>
          <w:lang w:val="zh-CN"/>
        </w:rPr>
        <w:t>关于相同品牌产品</w:t>
      </w:r>
      <w:r>
        <w:rPr>
          <w:rFonts w:cs="仿宋_GB2312" w:asciiTheme="minorEastAsia" w:hAnsiTheme="minorEastAsia" w:eastAsiaTheme="minorEastAsia"/>
          <w:b/>
          <w:bCs/>
          <w:sz w:val="21"/>
          <w:szCs w:val="21"/>
          <w:highlight w:val="none"/>
          <w:lang w:val="zh-CN"/>
        </w:rPr>
        <w:t>（服务类项目不适用本条款规定）</w:t>
      </w:r>
    </w:p>
    <w:p>
      <w:pPr>
        <w:pStyle w:val="18"/>
        <w:spacing w:line="360" w:lineRule="auto"/>
        <w:ind w:firstLine="465"/>
        <w:contextualSpacing/>
        <w:jc w:val="left"/>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highlight w:val="none"/>
          <w:lang w:val="zh-CN"/>
        </w:rPr>
        <w:t>采取随机抽取</w:t>
      </w:r>
      <w:r>
        <w:rPr>
          <w:rFonts w:cs="仿宋_GB2312" w:asciiTheme="minorEastAsia" w:hAnsiTheme="minorEastAsia" w:eastAsiaTheme="minorEastAsia"/>
          <w:sz w:val="21"/>
          <w:szCs w:val="21"/>
          <w:highlight w:val="none"/>
          <w:lang w:val="zh-CN"/>
        </w:rPr>
        <w:t>方式确定一个参加评标的投标人，其他投标无效。</w:t>
      </w:r>
    </w:p>
    <w:p>
      <w:pPr>
        <w:pStyle w:val="18"/>
        <w:spacing w:line="360" w:lineRule="auto"/>
        <w:ind w:firstLine="465"/>
        <w:contextualSpacing/>
        <w:jc w:val="left"/>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采用综合评分法的，提供相同品牌产品</w:t>
      </w:r>
      <w:r>
        <w:rPr>
          <w:rFonts w:hint="eastAsia" w:cs="仿宋_GB2312" w:asciiTheme="minorEastAsia" w:hAnsiTheme="minorEastAsia" w:eastAsiaTheme="minorEastAsia"/>
          <w:sz w:val="21"/>
          <w:szCs w:val="21"/>
          <w:highlight w:val="none"/>
          <w:lang w:val="zh-CN"/>
        </w:rPr>
        <w:t>（</w:t>
      </w:r>
      <w:r>
        <w:rPr>
          <w:rFonts w:cs="仿宋_GB2312" w:asciiTheme="minorEastAsia" w:hAnsiTheme="minorEastAsia" w:eastAsiaTheme="minorEastAsia"/>
          <w:sz w:val="21"/>
          <w:szCs w:val="21"/>
          <w:highlight w:val="none"/>
          <w:lang w:val="zh-CN"/>
        </w:rPr>
        <w:t>非单一产品采购项目，多家投标人提供的核心产品品牌相同</w:t>
      </w:r>
      <w:r>
        <w:rPr>
          <w:rFonts w:hint="eastAsia" w:cs="仿宋_GB2312" w:asciiTheme="minorEastAsia" w:hAnsiTheme="minorEastAsia" w:eastAsiaTheme="minorEastAsia"/>
          <w:sz w:val="21"/>
          <w:szCs w:val="21"/>
          <w:highlight w:val="none"/>
          <w:lang w:val="zh-CN"/>
        </w:rPr>
        <w:t>）</w:t>
      </w:r>
      <w:r>
        <w:rPr>
          <w:rFonts w:cs="仿宋_GB2312" w:asciiTheme="minorEastAsia" w:hAnsiTheme="minorEastAsia" w:eastAsiaTheme="minorEastAsia"/>
          <w:sz w:val="21"/>
          <w:szCs w:val="21"/>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highlight w:val="none"/>
          <w:lang w:val="zh-CN"/>
        </w:rPr>
        <w:t>由采购人或者采购人委托评标委员会</w:t>
      </w:r>
      <w:r>
        <w:rPr>
          <w:rFonts w:cs="仿宋_GB2312" w:asciiTheme="minorEastAsia" w:hAnsiTheme="minorEastAsia" w:eastAsiaTheme="minorEastAsia"/>
          <w:sz w:val="21"/>
          <w:szCs w:val="21"/>
          <w:highlight w:val="none"/>
          <w:lang w:val="zh-CN"/>
        </w:rPr>
        <w:t>采取随机抽取方式确定</w:t>
      </w:r>
      <w:r>
        <w:rPr>
          <w:rFonts w:hint="eastAsia" w:cs="仿宋_GB2312" w:asciiTheme="minorEastAsia" w:hAnsiTheme="minorEastAsia" w:eastAsiaTheme="minorEastAsia"/>
          <w:sz w:val="21"/>
          <w:szCs w:val="21"/>
          <w:highlight w:val="none"/>
          <w:lang w:val="zh-CN"/>
        </w:rPr>
        <w:t>一个投标人获得中标人推荐资格</w:t>
      </w:r>
      <w:r>
        <w:rPr>
          <w:rFonts w:cs="仿宋_GB2312" w:asciiTheme="minorEastAsia" w:hAnsiTheme="minorEastAsia" w:eastAsiaTheme="minorEastAsia"/>
          <w:sz w:val="21"/>
          <w:szCs w:val="21"/>
          <w:highlight w:val="none"/>
          <w:lang w:val="zh-CN"/>
        </w:rPr>
        <w:t>，其他同品牌投标人不作为中标候选人。</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asciiTheme="minorEastAsia" w:hAnsiTheme="minorEastAsia" w:eastAsiaTheme="minorEastAsia"/>
          <w:b/>
          <w:sz w:val="21"/>
          <w:szCs w:val="21"/>
          <w:highlight w:val="none"/>
        </w:rPr>
        <w:t>（3）强制采购节能产品和优先采购节能产品、优先采购环保产品</w:t>
      </w:r>
    </w:p>
    <w:p>
      <w:pPr>
        <w:pStyle w:val="18"/>
        <w:spacing w:line="360" w:lineRule="auto"/>
        <w:ind w:firstLine="465"/>
        <w:contextualSpacing/>
        <w:jc w:val="left"/>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1）对《节能产品政府采购品目清单》所列的政府强制采购节能产品</w:t>
      </w:r>
      <w:r>
        <w:rPr>
          <w:rFonts w:hint="eastAsia" w:cs="仿宋_GB2312" w:asciiTheme="minorEastAsia" w:hAnsiTheme="minorEastAsia" w:eastAsiaTheme="minorEastAsia"/>
          <w:sz w:val="21"/>
          <w:szCs w:val="21"/>
          <w:highlight w:val="none"/>
        </w:rPr>
        <w:t>，</w:t>
      </w:r>
      <w:r>
        <w:rPr>
          <w:rFonts w:hint="eastAsia" w:cs="仿宋_GB2312" w:asciiTheme="minorEastAsia" w:hAnsiTheme="minorEastAsia" w:eastAsiaTheme="minorEastAsia"/>
          <w:sz w:val="21"/>
          <w:szCs w:val="21"/>
          <w:highlight w:val="none"/>
          <w:lang w:val="zh-CN"/>
        </w:rPr>
        <w:t>投标人投标文件中应提供具有国家确定的认证机构出具的、处于有效期之内的节能产品认证证书，否则将承担其投标被视为非实质性响应投标的风险。</w:t>
      </w:r>
    </w:p>
    <w:p>
      <w:pPr>
        <w:pStyle w:val="18"/>
        <w:spacing w:line="360" w:lineRule="auto"/>
        <w:ind w:firstLine="465"/>
        <w:contextualSpacing/>
        <w:jc w:val="left"/>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投标人所投产品若属于《节能产品政府采购品目清单》优先采购产品，</w:t>
      </w:r>
      <w:r>
        <w:rPr>
          <w:rFonts w:hint="eastAsia" w:cs="仿宋_GB2312" w:asciiTheme="minorEastAsia" w:hAnsiTheme="minorEastAsia"/>
          <w:sz w:val="21"/>
          <w:szCs w:val="21"/>
          <w:highlight w:val="none"/>
          <w:lang w:val="zh-CN"/>
        </w:rPr>
        <w:t>投标文件中应提供</w:t>
      </w:r>
      <w:r>
        <w:rPr>
          <w:rFonts w:hint="eastAsia" w:cs="仿宋_GB2312" w:asciiTheme="minorEastAsia" w:hAnsiTheme="minorEastAsia" w:eastAsiaTheme="minorEastAsia"/>
          <w:sz w:val="21"/>
          <w:szCs w:val="21"/>
          <w:highlight w:val="none"/>
          <w:lang w:val="zh-CN"/>
        </w:rPr>
        <w:t>具有国家确定的认证机构出具的、处于有效期之内的节能产品认证证书</w:t>
      </w:r>
      <w:r>
        <w:rPr>
          <w:rFonts w:hint="eastAsia" w:cs="仿宋_GB2312" w:asciiTheme="minorEastAsia" w:hAnsiTheme="minorEastAsia"/>
          <w:sz w:val="21"/>
          <w:szCs w:val="21"/>
          <w:highlight w:val="none"/>
          <w:lang w:val="zh-CN"/>
        </w:rPr>
        <w:t>，评标委员会根据本项目评标标准予以判定并赋分。</w:t>
      </w:r>
    </w:p>
    <w:p>
      <w:pPr>
        <w:pStyle w:val="18"/>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2）</w:t>
      </w:r>
      <w:r>
        <w:rPr>
          <w:rFonts w:hint="eastAsia" w:cs="仿宋_GB2312" w:asciiTheme="minorEastAsia" w:hAnsiTheme="minorEastAsia"/>
          <w:sz w:val="21"/>
          <w:szCs w:val="21"/>
          <w:highlight w:val="none"/>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highlight w:val="none"/>
          <w:lang w:val="zh-CN"/>
        </w:rPr>
        <w:t>具有国家确定的认证机构出具的、处于有效期之内的环境标志产品认证证书</w:t>
      </w:r>
      <w:r>
        <w:rPr>
          <w:rFonts w:hint="eastAsia" w:cs="仿宋_GB2312" w:asciiTheme="minorEastAsia" w:hAnsiTheme="minorEastAsia"/>
          <w:sz w:val="21"/>
          <w:szCs w:val="21"/>
          <w:highlight w:val="none"/>
          <w:lang w:val="zh-CN"/>
        </w:rPr>
        <w:t>，</w:t>
      </w:r>
      <w:r>
        <w:rPr>
          <w:rFonts w:hint="eastAsia" w:cs="仿宋_GB2312" w:asciiTheme="minorEastAsia" w:hAnsiTheme="minorEastAsia" w:eastAsiaTheme="minorEastAsia"/>
          <w:sz w:val="21"/>
          <w:szCs w:val="21"/>
          <w:highlight w:val="none"/>
          <w:lang w:val="zh-CN"/>
        </w:rPr>
        <w:t>评标委员会根据本项目评标标准予以判定并赋分。</w:t>
      </w:r>
    </w:p>
    <w:p>
      <w:pPr>
        <w:pStyle w:val="18"/>
        <w:spacing w:line="360" w:lineRule="auto"/>
        <w:ind w:firstLine="465"/>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（4）信息产品要求</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w:t>
      </w:r>
      <w:r>
        <w:rPr>
          <w:rFonts w:hint="eastAsia" w:cs="宋体" w:asciiTheme="minorEastAsia" w:hAnsiTheme="minorEastAsia"/>
          <w:kern w:val="0"/>
          <w:szCs w:val="21"/>
          <w:highlight w:val="none"/>
        </w:rPr>
        <w:t>投标人所投产品如被列入</w:t>
      </w:r>
      <w:r>
        <w:rPr>
          <w:rFonts w:cs="宋体" w:asciiTheme="minorEastAsia" w:hAnsiTheme="minorEastAsia"/>
          <w:kern w:val="0"/>
          <w:szCs w:val="21"/>
          <w:highlight w:val="none"/>
        </w:rPr>
        <w:t>《信息安全产品强制性认证目录》</w:t>
      </w:r>
      <w:r>
        <w:rPr>
          <w:rFonts w:cs="仿宋_GB2312" w:asciiTheme="minorEastAsia" w:hAnsiTheme="minorEastAsia"/>
          <w:szCs w:val="21"/>
          <w:highlight w:val="none"/>
          <w:lang w:val="zh-CN"/>
        </w:rPr>
        <w:t>，</w:t>
      </w:r>
      <w:r>
        <w:rPr>
          <w:rFonts w:hint="eastAsia" w:cs="仿宋_GB2312" w:asciiTheme="minorEastAsia" w:hAnsiTheme="minorEastAsia"/>
          <w:szCs w:val="21"/>
          <w:highlight w:val="none"/>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e.不同投标人的投标文件相互混装；</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5）</w:t>
      </w:r>
      <w:r>
        <w:rPr>
          <w:rFonts w:cs="仿宋_GB2312" w:asciiTheme="minorEastAsia" w:hAnsiTheme="minorEastAsia"/>
          <w:szCs w:val="21"/>
          <w:highlight w:val="none"/>
          <w:lang w:val="zh-CN"/>
        </w:rPr>
        <w:t>法律、法规和招标文件规定的其他无效情形。</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（6）评标标准</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63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分值构成</w:t>
            </w:r>
          </w:p>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(总分100分)</w:t>
            </w:r>
          </w:p>
        </w:tc>
        <w:tc>
          <w:tcPr>
            <w:tcW w:w="731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color w:val="auto"/>
                <w:highlight w:val="none"/>
              </w:rPr>
            </w:pPr>
            <w:r>
              <w:rPr>
                <w:rFonts w:hint="eastAsia" w:ascii="宋体" w:hAnsi="宋体"/>
                <w:color w:val="auto"/>
                <w:highlight w:val="none"/>
              </w:rPr>
              <w:t>价格分值：</w:t>
            </w:r>
            <w:r>
              <w:rPr>
                <w:rFonts w:hint="eastAsia" w:ascii="宋体" w:hAnsi="宋体"/>
                <w:color w:val="auto"/>
                <w:highlight w:val="none"/>
                <w:lang w:val="en-US" w:eastAsia="zh-CN"/>
              </w:rPr>
              <w:t>20</w:t>
            </w:r>
            <w:r>
              <w:rPr>
                <w:rFonts w:hint="eastAsia" w:ascii="宋体" w:hAnsi="宋体"/>
                <w:color w:val="auto"/>
                <w:highlight w:val="none"/>
              </w:rPr>
              <w:t>分</w:t>
            </w:r>
          </w:p>
          <w:p>
            <w:pPr>
              <w:spacing w:line="360" w:lineRule="auto"/>
              <w:ind w:firstLine="480"/>
              <w:rPr>
                <w:rFonts w:ascii="宋体" w:hAnsi="宋体"/>
                <w:color w:val="auto"/>
                <w:highlight w:val="none"/>
              </w:rPr>
            </w:pPr>
            <w:r>
              <w:rPr>
                <w:rFonts w:hint="eastAsia" w:ascii="宋体" w:hAnsi="宋体"/>
                <w:color w:val="auto"/>
                <w:highlight w:val="none"/>
              </w:rPr>
              <w:t>商务部分：40分</w:t>
            </w:r>
          </w:p>
          <w:p>
            <w:pPr>
              <w:spacing w:line="360" w:lineRule="auto"/>
              <w:ind w:firstLine="480" w:firstLineChars="0"/>
              <w:rPr>
                <w:rFonts w:ascii="宋体" w:hAnsi="宋体"/>
                <w:color w:val="auto"/>
                <w:highlight w:val="none"/>
              </w:rPr>
            </w:pPr>
            <w:r>
              <w:rPr>
                <w:rFonts w:hint="eastAsia" w:ascii="宋体" w:hAnsi="宋体"/>
                <w:color w:val="auto"/>
                <w:highlight w:val="none"/>
              </w:rPr>
              <w:t>技术部分：4</w:t>
            </w:r>
            <w:r>
              <w:rPr>
                <w:rFonts w:hint="eastAsia" w:ascii="宋体" w:hAnsi="宋体"/>
                <w:color w:val="auto"/>
                <w:highlight w:val="none"/>
                <w:lang w:val="en-US" w:eastAsia="zh-CN"/>
              </w:rPr>
              <w:t>0</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 w:val="24"/>
                <w:highlight w:val="none"/>
              </w:rPr>
            </w:pPr>
            <w:r>
              <w:rPr>
                <w:rFonts w:hint="eastAsia" w:ascii="宋体" w:hAnsi="宋体" w:cs="宋体"/>
                <w:bCs/>
                <w:color w:val="auto"/>
                <w:kern w:val="0"/>
                <w:sz w:val="24"/>
                <w:highlight w:val="none"/>
              </w:rPr>
              <w:t>一、价格部分（满分</w:t>
            </w:r>
            <w:r>
              <w:rPr>
                <w:rFonts w:hint="eastAsia" w:ascii="宋体" w:hAnsi="宋体" w:cs="宋体"/>
                <w:bCs/>
                <w:color w:val="auto"/>
                <w:kern w:val="0"/>
                <w:sz w:val="24"/>
                <w:highlight w:val="none"/>
                <w:lang w:val="en-US" w:eastAsia="zh-CN"/>
              </w:rPr>
              <w:t>20</w:t>
            </w:r>
            <w:r>
              <w:rPr>
                <w:rFonts w:hint="eastAsia" w:ascii="宋体" w:hAnsi="宋体" w:cs="宋体"/>
                <w:bCs/>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 w:val="24"/>
                <w:highlight w:val="none"/>
              </w:rPr>
            </w:pPr>
            <w:r>
              <w:rPr>
                <w:rFonts w:hint="eastAsia" w:ascii="宋体" w:hAnsi="宋体" w:cs="宋体"/>
                <w:bCs/>
                <w:color w:val="auto"/>
                <w:kern w:val="0"/>
                <w:sz w:val="24"/>
                <w:highlight w:val="none"/>
              </w:rPr>
              <w:t>评分因素</w:t>
            </w:r>
          </w:p>
        </w:tc>
        <w:tc>
          <w:tcPr>
            <w:tcW w:w="632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 w:val="24"/>
                <w:highlight w:val="none"/>
              </w:rPr>
            </w:pPr>
            <w:r>
              <w:rPr>
                <w:rFonts w:hint="eastAsia" w:ascii="宋体" w:hAnsi="宋体" w:cs="宋体"/>
                <w:bCs/>
                <w:color w:val="auto"/>
                <w:kern w:val="0"/>
                <w:sz w:val="24"/>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color w:val="auto"/>
                <w:kern w:val="0"/>
                <w:szCs w:val="21"/>
                <w:highlight w:val="none"/>
              </w:rPr>
            </w:pPr>
            <w:r>
              <w:rPr>
                <w:rFonts w:hint="eastAsia" w:ascii="宋体" w:hAnsi="宋体" w:cs="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一、报价部分（20分）</w:t>
            </w:r>
          </w:p>
          <w:p>
            <w:pPr>
              <w:jc w:val="both"/>
              <w:rPr>
                <w:rFonts w:ascii="宋体" w:hAnsi="宋体" w:cs="宋体"/>
                <w:color w:val="auto"/>
                <w:kern w:val="0"/>
                <w:sz w:val="24"/>
                <w:highlight w:val="none"/>
              </w:rPr>
            </w:pPr>
          </w:p>
        </w:tc>
        <w:tc>
          <w:tcPr>
            <w:tcW w:w="6320"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评标基准价：满足招标文件要求的有效投标报价中，最低的投标报价为评标基准价。</w:t>
            </w:r>
          </w:p>
          <w:p>
            <w:pPr>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投标报价得分=（评标基准价/投标报价）×20</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计算按四舍五入法则。保留小数点后两位。</w:t>
            </w:r>
          </w:p>
          <w:p>
            <w:pPr>
              <w:jc w:val="both"/>
              <w:rPr>
                <w:color w:val="auto"/>
                <w:highlight w:val="none"/>
              </w:rPr>
            </w:pPr>
            <w:r>
              <w:rPr>
                <w:rFonts w:hint="eastAsia" w:ascii="宋体" w:hAnsi="宋体" w:eastAsia="宋体" w:cs="宋体"/>
                <w:color w:val="auto"/>
                <w:sz w:val="21"/>
                <w:szCs w:val="21"/>
                <w:highlight w:val="none"/>
                <w:vertAlign w:val="baseline"/>
                <w:lang w:val="en-US" w:eastAsia="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r>
              <w:rPr>
                <w:rFonts w:hint="eastAsia"/>
                <w:color w:val="auto"/>
                <w:highlight w:val="none"/>
                <w:lang w:val="en-US" w:eastAsia="zh-CN"/>
              </w:rPr>
              <w:t>20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 w:val="24"/>
                <w:highlight w:val="none"/>
              </w:rPr>
            </w:pPr>
            <w:r>
              <w:rPr>
                <w:rFonts w:hint="eastAsia" w:ascii="宋体" w:hAnsi="宋体" w:cs="宋体"/>
                <w:bCs/>
                <w:color w:val="auto"/>
                <w:kern w:val="0"/>
                <w:sz w:val="24"/>
                <w:highlight w:val="none"/>
              </w:rPr>
              <w:t>二、商务部分（满分</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评分因素</w:t>
            </w:r>
          </w:p>
        </w:tc>
        <w:tc>
          <w:tcPr>
            <w:tcW w:w="63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color w:val="auto"/>
                <w:kern w:val="0"/>
                <w:szCs w:val="21"/>
                <w:highlight w:val="none"/>
              </w:rPr>
            </w:pPr>
            <w:r>
              <w:rPr>
                <w:rFonts w:hint="eastAsia" w:ascii="宋体" w:hAnsi="宋体" w:cs="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cs="宋体"/>
                <w:bCs/>
                <w:color w:val="auto"/>
                <w:kern w:val="0"/>
                <w:sz w:val="24"/>
                <w:highlight w:val="none"/>
              </w:rPr>
            </w:pPr>
            <w:r>
              <w:rPr>
                <w:rFonts w:hint="eastAsia" w:ascii="宋体" w:hAnsi="宋体" w:eastAsia="宋体" w:cs="宋体"/>
                <w:color w:val="auto"/>
                <w:sz w:val="21"/>
                <w:szCs w:val="21"/>
                <w:highlight w:val="none"/>
                <w:vertAlign w:val="baseline"/>
                <w:lang w:val="en-US" w:eastAsia="zh-CN"/>
              </w:rPr>
              <w:t>企业实力（6分）</w:t>
            </w:r>
          </w:p>
        </w:tc>
        <w:tc>
          <w:tcPr>
            <w:tcW w:w="6320"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cs="宋体"/>
                <w:bCs/>
                <w:color w:val="auto"/>
                <w:kern w:val="0"/>
                <w:sz w:val="24"/>
                <w:highlight w:val="none"/>
              </w:rPr>
            </w:pPr>
            <w:r>
              <w:rPr>
                <w:rFonts w:hint="eastAsia" w:ascii="宋体" w:hAnsi="宋体" w:eastAsia="宋体" w:cs="宋体"/>
                <w:color w:val="auto"/>
                <w:sz w:val="21"/>
                <w:szCs w:val="21"/>
                <w:highlight w:val="none"/>
                <w:vertAlign w:val="baseline"/>
                <w:lang w:val="en-US" w:eastAsia="zh-CN"/>
              </w:rPr>
              <w:t>供应商须提供2020年5月以来完成类似项目业绩，每份得3分，最多得6分。（提供类似项目合同，时间以合同签订时间为准，否则不得分）（投标文件中附完整清晰的扫描件）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cs="宋体"/>
                <w:bCs/>
                <w:color w:val="auto"/>
                <w:kern w:val="0"/>
                <w:sz w:val="24"/>
                <w:highlight w:val="none"/>
              </w:rPr>
            </w:pPr>
            <w:r>
              <w:rPr>
                <w:rFonts w:hint="eastAsia" w:ascii="宋体" w:hAnsi="宋体" w:eastAsia="宋体" w:cs="宋体"/>
                <w:color w:val="auto"/>
                <w:sz w:val="21"/>
                <w:szCs w:val="21"/>
                <w:highlight w:val="none"/>
                <w:vertAlign w:val="baseline"/>
                <w:lang w:val="en-US" w:eastAsia="zh-CN"/>
              </w:rPr>
              <w:t>售后服务、应急预案及其他（14分）</w:t>
            </w:r>
          </w:p>
        </w:tc>
        <w:tc>
          <w:tcPr>
            <w:tcW w:w="6320" w:type="dxa"/>
            <w:tcBorders>
              <w:top w:val="single" w:color="auto" w:sz="4" w:space="0"/>
              <w:left w:val="nil"/>
              <w:bottom w:val="single" w:color="auto" w:sz="4" w:space="0"/>
              <w:right w:val="single" w:color="auto" w:sz="4" w:space="0"/>
            </w:tcBorders>
            <w:noWrap/>
            <w:vAlign w:val="center"/>
          </w:tcPr>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1.售后运维服务（7分）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根据供应商提供的售后运维服务方案，从运维人员组成、运维的频次及时间、软件运行过程中出现问题的解决方案等进行综合分析比较评分。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售后方案完整、具体、完全满足要求得7分；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售后方案较为完整的得4分；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方案不够完整的得1分，缺项不得分。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2.应急预案（7分）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根据供应商提供的项目应急处置预案，包含应急响应时间、极端情况处置方案（如大面积停电、恶劣天气、地质灾害等）进行综合分析比较评分。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方案完整、具体、完全满足要求得7分；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方案较为完整的得5分；</w:t>
            </w:r>
          </w:p>
          <w:p>
            <w:pPr>
              <w:jc w:val="both"/>
              <w:rPr>
                <w:rFonts w:ascii="宋体" w:hAnsi="宋体" w:cs="宋体"/>
                <w:bCs/>
                <w:color w:val="auto"/>
                <w:kern w:val="0"/>
                <w:sz w:val="24"/>
                <w:highlight w:val="none"/>
              </w:rPr>
            </w:pPr>
            <w:r>
              <w:rPr>
                <w:rFonts w:hint="eastAsia" w:ascii="宋体" w:hAnsi="宋体" w:eastAsia="宋体" w:cs="宋体"/>
                <w:color w:val="auto"/>
                <w:sz w:val="21"/>
                <w:szCs w:val="21"/>
                <w:highlight w:val="none"/>
                <w:vertAlign w:val="baseline"/>
                <w:lang w:val="en-US" w:eastAsia="zh-CN"/>
              </w:rPr>
              <w:t>方案不够完整的得3分，缺项不得分。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rightChars="0"/>
              <w:jc w:val="righ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vertAlign w:val="baseline"/>
                <w:lang w:val="en-US" w:eastAsia="zh-CN"/>
              </w:rPr>
              <w:t>项目实施方案</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FF"/>
                <w:sz w:val="21"/>
                <w:szCs w:val="21"/>
                <w:highlight w:val="none"/>
                <w:vertAlign w:val="baseline"/>
                <w:lang w:val="en-US" w:eastAsia="zh-CN"/>
              </w:rPr>
              <w:t>（20分）</w:t>
            </w:r>
          </w:p>
        </w:tc>
        <w:tc>
          <w:tcPr>
            <w:tcW w:w="6320" w:type="dxa"/>
            <w:tcBorders>
              <w:top w:val="single" w:color="auto" w:sz="4" w:space="0"/>
              <w:left w:val="nil"/>
              <w:bottom w:val="single" w:color="auto" w:sz="4" w:space="0"/>
              <w:right w:val="single" w:color="auto" w:sz="4" w:space="0"/>
            </w:tcBorders>
            <w:noWrap/>
            <w:vAlign w:val="center"/>
          </w:tcPr>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1.项目实施方案（5分）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根据供应商提供的项目实施方案，从本项目的技术储备、设备配备、开发、部署等技术人员安排等方面进行综合分析比较评分：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方案完整、具体、完全满足要求得5分；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方案较为完整的得2分；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方案不够完整的得1分，缺项不得分。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2.进度保障措施（5分）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根据供应商提供的进度保障措施，从进度规划、进度保障措施等方面进行综合分析比较评分：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措施详细、可行性强，保证能在规定的期限内完成项目的顺利实施的得5分，措施较为详细，可行性一般，基本能保证项目的顺利实施的得2分，措施不够详细，操作性不强的得1分，缺项不得分。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3.调试、试运行方案（5分）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根据供应商提供的调试、试运行方案，从调试、试运行人员的配备，调试、试运行组织、效果及改进措施等方面进行综合分析比较评分：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方案详细、可行性强，能切实贴合使用方的需求得5分，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方案较为详细、可行性一般的得2分，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方案不够详细，可操作性不强的得1分，缺项不得分。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4.培训计划（5分）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根据供应商提供的培训计划，从培训技术人员、培训内容、培训方式、培训时间安排等方面进行综合分析比较评分：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计划较为详细、可行性强的得5分，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计划详细、可行性一般的得2分，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计划不够详细，可操作性不强的得1分，缺项不得分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rightChars="0"/>
              <w:jc w:val="right"/>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三、技术部分（满分4</w:t>
            </w:r>
            <w:r>
              <w:rPr>
                <w:rFonts w:hint="eastAsia" w:ascii="宋体" w:hAnsi="宋体" w:cs="宋体"/>
                <w:color w:val="auto"/>
                <w:highlight w:val="none"/>
                <w:lang w:val="en-US" w:eastAsia="zh-CN"/>
              </w:rPr>
              <w:t>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评分因素</w:t>
            </w:r>
          </w:p>
        </w:tc>
        <w:tc>
          <w:tcPr>
            <w:tcW w:w="632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55" w:type="dxa"/>
            <w:tcBorders>
              <w:left w:val="single" w:color="auto" w:sz="4" w:space="0"/>
              <w:right w:val="single" w:color="auto" w:sz="4" w:space="0"/>
            </w:tcBorders>
            <w:noWrap/>
            <w:vAlign w:val="center"/>
          </w:tcPr>
          <w:p>
            <w:pPr>
              <w:keepNext w:val="0"/>
              <w:keepLines w:val="0"/>
              <w:widowControl/>
              <w:suppressLineNumbers w:val="0"/>
              <w:jc w:val="left"/>
              <w:rPr>
                <w:rFonts w:ascii="宋体" w:hAnsi="宋体" w:cs="宋体"/>
                <w:color w:val="auto"/>
                <w:highlight w:val="none"/>
              </w:rPr>
            </w:pPr>
            <w:r>
              <w:rPr>
                <w:rFonts w:hint="eastAsia" w:ascii="宋体" w:hAnsi="宋体" w:eastAsia="宋体" w:cs="宋体"/>
                <w:color w:val="auto"/>
                <w:kern w:val="0"/>
                <w:sz w:val="24"/>
                <w:szCs w:val="24"/>
                <w:highlight w:val="none"/>
                <w:lang w:val="en-US" w:eastAsia="zh-CN" w:bidi="ar"/>
              </w:rPr>
              <w:t>技术部分（40分）</w:t>
            </w:r>
          </w:p>
        </w:tc>
        <w:tc>
          <w:tcPr>
            <w:tcW w:w="6320" w:type="dxa"/>
            <w:tcBorders>
              <w:top w:val="single" w:color="auto" w:sz="4" w:space="0"/>
              <w:left w:val="nil"/>
              <w:bottom w:val="single" w:color="auto" w:sz="4" w:space="0"/>
              <w:right w:val="single" w:color="auto" w:sz="4" w:space="0"/>
            </w:tcBorders>
            <w:noWrap/>
            <w:vAlign w:val="center"/>
          </w:tcPr>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1.技术方案综合评价（15分）</w:t>
            </w:r>
          </w:p>
          <w:p>
            <w:pPr>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项目总体设计先进、合理、完整，软件层次结构划分清晰、合理，对项目现状、需求、关键点分析清晰，对项目信息资源及数据规划合理，项目设计扩展性和可维护性强，进行打分，（优15分  良10分  一般5分），不提供的不得分。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2.设计理念、思路等（5分）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供应商须介绍可完成该项目的设计理念、设计思路、主要技术路线、主要功能模块等进行综合分析比较评分：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理念契合采购人要求，思路及技术路线清晰，功能模块运行简洁、高效，能完全满足要求的得5分；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理念基本满足采购人要求，思路及技术路、功能模块基本能满足要求的得2分；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设计理念、设计思路、主要技术路线、主要功能模块等不清晰的得1分，缺项不得分。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3.数据库建设数据要求（20分）</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（1）知识产权数据要求收录全球100个以上国家、地区及组织公开的数据；</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（2）知识产权数据资源要求全面覆盖全球公开的专利1亿条以上、集成电路布图5万条以上、软件著作权900万条以上、植物新品种4.5万条以上等数据资源；</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（3）专利数据信息必须包含专利的著录项信息、摘要、同族信息、引证和被引证信息、法律信息、说明书全文、附图以及各种附加信息；</w:t>
            </w:r>
          </w:p>
          <w:p>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（4）商标数量不少于6000万件、商标数据必须包括了国内商标注册基本信息，国际商标注册信息，商标注册人信息，商标代理机构、商标图片等信息资源。</w:t>
            </w:r>
          </w:p>
          <w:p>
            <w:pPr>
              <w:jc w:val="both"/>
              <w:rPr>
                <w:rFonts w:hint="default" w:ascii="宋体" w:hAnsi="宋体" w:cs="宋体"/>
                <w:color w:val="auto"/>
                <w:highlight w:val="none"/>
                <w:lang w:val="en-US"/>
              </w:rPr>
            </w:pPr>
            <w:r>
              <w:rPr>
                <w:rFonts w:hint="eastAsia" w:ascii="宋体" w:hAnsi="宋体" w:eastAsia="宋体" w:cs="宋体"/>
                <w:color w:val="auto"/>
                <w:sz w:val="21"/>
                <w:szCs w:val="21"/>
                <w:highlight w:val="none"/>
                <w:vertAlign w:val="baseline"/>
                <w:lang w:val="en-US" w:eastAsia="zh-CN"/>
              </w:rPr>
              <w:t>每满足一项功能得5分，共20分,不提供不得分（需提供系统功能截图或相关证明材料）</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rightChars="0"/>
              <w:jc w:val="right"/>
              <w:rPr>
                <w:rFonts w:hint="default" w:ascii="宋体" w:hAnsi="宋体" w:cs="宋体" w:eastAsiaTheme="minorEastAsia"/>
                <w:color w:val="auto"/>
                <w:highlight w:val="none"/>
                <w:lang w:val="en-US" w:eastAsia="zh-CN"/>
              </w:rPr>
            </w:pPr>
            <w:r>
              <w:rPr>
                <w:rFonts w:hint="eastAsia" w:ascii="宋体" w:hAnsi="宋体" w:cs="宋体"/>
                <w:color w:val="auto"/>
                <w:highlight w:val="none"/>
                <w:lang w:val="en-US" w:eastAsia="zh-CN"/>
              </w:rPr>
              <w:t>40分</w:t>
            </w:r>
          </w:p>
        </w:tc>
      </w:tr>
    </w:tbl>
    <w:p>
      <w:pPr>
        <w:spacing w:line="360" w:lineRule="auto"/>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其中：价格分计算（落实政府采购政策价格调整部分）</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序号</w:t>
            </w:r>
          </w:p>
        </w:tc>
        <w:tc>
          <w:tcPr>
            <w:tcW w:w="2823" w:type="dxa"/>
            <w:vAlign w:val="center"/>
          </w:tcPr>
          <w:p>
            <w:pPr>
              <w:jc w:val="center"/>
              <w:rPr>
                <w:rFonts w:ascii="宋体" w:hAnsi="宋体"/>
                <w:b/>
                <w:szCs w:val="21"/>
                <w:highlight w:val="none"/>
                <w:lang w:val="en-GB"/>
              </w:rPr>
            </w:pPr>
            <w:r>
              <w:rPr>
                <w:rFonts w:hint="eastAsia" w:ascii="宋体" w:hAnsi="宋体"/>
                <w:b/>
                <w:szCs w:val="21"/>
                <w:highlight w:val="none"/>
                <w:lang w:val="en-GB"/>
              </w:rPr>
              <w:t>情形</w:t>
            </w:r>
          </w:p>
        </w:tc>
        <w:tc>
          <w:tcPr>
            <w:tcW w:w="2552" w:type="dxa"/>
            <w:vAlign w:val="center"/>
          </w:tcPr>
          <w:p>
            <w:pPr>
              <w:jc w:val="center"/>
              <w:rPr>
                <w:rFonts w:ascii="宋体" w:hAnsi="宋体"/>
                <w:b/>
                <w:szCs w:val="21"/>
                <w:highlight w:val="none"/>
                <w:lang w:val="en-GB"/>
              </w:rPr>
            </w:pPr>
            <w:r>
              <w:rPr>
                <w:rFonts w:hint="eastAsia" w:ascii="宋体" w:hAnsi="宋体"/>
                <w:b/>
                <w:szCs w:val="21"/>
                <w:highlight w:val="none"/>
              </w:rPr>
              <w:t>价格扣除</w:t>
            </w:r>
            <w:r>
              <w:rPr>
                <w:rFonts w:hint="eastAsia" w:ascii="宋体" w:hAnsi="宋体"/>
                <w:b/>
                <w:szCs w:val="21"/>
                <w:highlight w:val="none"/>
                <w:lang w:val="en-GB"/>
              </w:rPr>
              <w:t>比例</w:t>
            </w:r>
          </w:p>
        </w:tc>
        <w:tc>
          <w:tcPr>
            <w:tcW w:w="2835" w:type="dxa"/>
            <w:vAlign w:val="center"/>
          </w:tcPr>
          <w:p>
            <w:pPr>
              <w:jc w:val="center"/>
              <w:rPr>
                <w:rFonts w:ascii="宋体" w:hAnsi="宋体"/>
                <w:b/>
                <w:szCs w:val="21"/>
                <w:highlight w:val="none"/>
                <w:lang w:val="en-GB"/>
              </w:rPr>
            </w:pPr>
            <w:r>
              <w:rPr>
                <w:rFonts w:hint="eastAsia" w:ascii="宋体" w:hAnsi="宋体"/>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1</w:t>
            </w:r>
          </w:p>
        </w:tc>
        <w:tc>
          <w:tcPr>
            <w:tcW w:w="2823" w:type="dxa"/>
            <w:vAlign w:val="center"/>
          </w:tcPr>
          <w:p>
            <w:pPr>
              <w:jc w:val="center"/>
              <w:rPr>
                <w:rFonts w:ascii="宋体" w:hAnsi="宋体"/>
                <w:b/>
                <w:szCs w:val="21"/>
                <w:highlight w:val="none"/>
                <w:lang w:val="en-GB"/>
              </w:rPr>
            </w:pPr>
            <w:r>
              <w:rPr>
                <w:rFonts w:hint="eastAsia" w:ascii="宋体" w:hAnsi="宋体"/>
                <w:szCs w:val="21"/>
                <w:highlight w:val="none"/>
                <w:lang w:val="en-GB"/>
              </w:rPr>
              <w:t>非联合体投标人</w:t>
            </w:r>
          </w:p>
        </w:tc>
        <w:tc>
          <w:tcPr>
            <w:tcW w:w="2552" w:type="dxa"/>
            <w:vAlign w:val="center"/>
          </w:tcPr>
          <w:p>
            <w:pPr>
              <w:jc w:val="center"/>
              <w:rPr>
                <w:rFonts w:ascii="ˎ̥" w:hAnsi="ˎ̥" w:eastAsia="宋体"/>
                <w:szCs w:val="21"/>
                <w:highlight w:val="none"/>
              </w:rPr>
            </w:pPr>
            <w:r>
              <w:rPr>
                <w:rFonts w:hint="eastAsia" w:ascii="ˎ̥" w:hAnsi="ˎ̥" w:eastAsia="宋体"/>
                <w:szCs w:val="21"/>
                <w:highlight w:val="none"/>
              </w:rPr>
              <w:t>对小型和微型企业报价</w:t>
            </w:r>
          </w:p>
          <w:p>
            <w:pPr>
              <w:jc w:val="center"/>
              <w:rPr>
                <w:rFonts w:ascii="宋体" w:hAnsi="宋体"/>
                <w:b/>
                <w:szCs w:val="21"/>
                <w:highlight w:val="none"/>
                <w:lang w:val="en-GB"/>
              </w:rPr>
            </w:pPr>
            <w:r>
              <w:rPr>
                <w:rFonts w:hint="eastAsia" w:ascii="ˎ̥" w:hAnsi="ˎ̥" w:eastAsia="宋体"/>
                <w:szCs w:val="21"/>
                <w:highlight w:val="none"/>
              </w:rPr>
              <w:t>扣除</w:t>
            </w:r>
            <w:r>
              <w:rPr>
                <w:rFonts w:hint="eastAsia" w:ascii="ˎ̥" w:hAnsi="ˎ̥" w:eastAsia="宋体"/>
                <w:color w:val="FF0000"/>
                <w:szCs w:val="21"/>
                <w:highlight w:val="none"/>
              </w:rPr>
              <w:t>20</w:t>
            </w:r>
            <w:r>
              <w:rPr>
                <w:rFonts w:hint="eastAsia" w:ascii="ˎ̥" w:hAnsi="ˎ̥" w:eastAsia="宋体"/>
                <w:szCs w:val="21"/>
                <w:highlight w:val="none"/>
              </w:rPr>
              <w:t>%</w:t>
            </w:r>
          </w:p>
        </w:tc>
        <w:tc>
          <w:tcPr>
            <w:tcW w:w="2835" w:type="dxa"/>
            <w:vMerge w:val="restart"/>
            <w:shd w:val="clear" w:color="auto" w:fill="auto"/>
            <w:vAlign w:val="center"/>
          </w:tcPr>
          <w:p>
            <w:pPr>
              <w:jc w:val="center"/>
              <w:rPr>
                <w:szCs w:val="21"/>
                <w:highlight w:val="none"/>
                <w:lang w:val="en-GB"/>
              </w:rPr>
            </w:pPr>
            <w:r>
              <w:rPr>
                <w:rFonts w:hint="eastAsia"/>
                <w:szCs w:val="21"/>
                <w:highlight w:val="none"/>
                <w:lang w:val="en-GB"/>
              </w:rPr>
              <w:t>评标价格＝</w:t>
            </w:r>
            <w:r>
              <w:rPr>
                <w:rFonts w:hint="eastAsia" w:ascii="ˎ̥" w:hAnsi="ˎ̥" w:eastAsia="宋体"/>
                <w:szCs w:val="21"/>
                <w:highlight w:val="none"/>
              </w:rPr>
              <w:t>小型和微型企业报价</w:t>
            </w:r>
            <w:r>
              <w:rPr>
                <w:rFonts w:hint="eastAsia" w:ascii="宋体" w:hAnsi="宋体"/>
                <w:szCs w:val="21"/>
                <w:highlight w:val="none"/>
                <w:lang w:val="en-GB"/>
              </w:rPr>
              <w:t>×（1-</w:t>
            </w:r>
            <w:r>
              <w:rPr>
                <w:rFonts w:hint="eastAsia" w:ascii="ˎ̥" w:hAnsi="ˎ̥" w:eastAsia="宋体"/>
                <w:color w:val="FF0000"/>
                <w:szCs w:val="21"/>
                <w:highlight w:val="none"/>
              </w:rPr>
              <w:t>20</w:t>
            </w:r>
            <w:r>
              <w:rPr>
                <w:rFonts w:hint="eastAsia"/>
                <w:szCs w:val="21"/>
                <w:highlight w:val="none"/>
                <w:lang w:val="en-GB"/>
              </w:rPr>
              <w:t>%</w:t>
            </w:r>
            <w:r>
              <w:rPr>
                <w:rFonts w:hint="eastAsia" w:ascii="宋体" w:hAnsi="宋体"/>
                <w:szCs w:val="21"/>
                <w:highlight w:val="none"/>
                <w:lang w:val="en-GB"/>
              </w:rPr>
              <w:t>）</w:t>
            </w:r>
          </w:p>
          <w:p>
            <w:pPr>
              <w:jc w:val="center"/>
              <w:rPr>
                <w:rFonts w:ascii="宋体" w:hAnsi="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2</w:t>
            </w:r>
          </w:p>
        </w:tc>
        <w:tc>
          <w:tcPr>
            <w:tcW w:w="2823" w:type="dxa"/>
            <w:vAlign w:val="center"/>
          </w:tcPr>
          <w:p>
            <w:pPr>
              <w:jc w:val="center"/>
              <w:rPr>
                <w:rFonts w:ascii="宋体" w:hAnsi="宋体"/>
                <w:szCs w:val="21"/>
                <w:highlight w:val="none"/>
                <w:lang w:val="en-GB"/>
              </w:rPr>
            </w:pPr>
            <w:r>
              <w:rPr>
                <w:rFonts w:hint="eastAsia" w:ascii="宋体" w:hAnsi="宋体"/>
                <w:szCs w:val="21"/>
                <w:highlight w:val="none"/>
                <w:lang w:val="en-GB"/>
              </w:rPr>
              <w:t>联合体各方均为</w:t>
            </w:r>
          </w:p>
          <w:p>
            <w:pPr>
              <w:jc w:val="center"/>
              <w:rPr>
                <w:rFonts w:ascii="宋体" w:hAnsi="宋体"/>
                <w:b/>
                <w:szCs w:val="21"/>
                <w:highlight w:val="none"/>
              </w:rPr>
            </w:pPr>
            <w:r>
              <w:rPr>
                <w:rFonts w:hint="eastAsia" w:ascii="宋体" w:hAnsi="宋体"/>
                <w:szCs w:val="21"/>
                <w:highlight w:val="none"/>
                <w:lang w:val="en-GB"/>
              </w:rPr>
              <w:t>小型、微型企业</w:t>
            </w:r>
          </w:p>
        </w:tc>
        <w:tc>
          <w:tcPr>
            <w:tcW w:w="2552" w:type="dxa"/>
            <w:vAlign w:val="center"/>
          </w:tcPr>
          <w:p>
            <w:pPr>
              <w:jc w:val="center"/>
              <w:rPr>
                <w:rFonts w:ascii="宋体" w:hAnsi="宋体"/>
                <w:szCs w:val="21"/>
                <w:highlight w:val="none"/>
              </w:rPr>
            </w:pPr>
            <w:r>
              <w:rPr>
                <w:rFonts w:hint="eastAsia" w:ascii="ˎ̥" w:hAnsi="ˎ̥" w:eastAsia="宋体"/>
                <w:szCs w:val="21"/>
                <w:highlight w:val="none"/>
              </w:rPr>
              <w:t>对小型和微型企业报价</w:t>
            </w:r>
          </w:p>
          <w:p>
            <w:pPr>
              <w:jc w:val="center"/>
              <w:rPr>
                <w:rFonts w:ascii="宋体" w:hAnsi="宋体"/>
                <w:szCs w:val="21"/>
                <w:highlight w:val="none"/>
              </w:rPr>
            </w:pPr>
            <w:r>
              <w:rPr>
                <w:rFonts w:hint="eastAsia" w:ascii="宋体" w:hAnsi="宋体"/>
                <w:szCs w:val="21"/>
                <w:highlight w:val="none"/>
              </w:rPr>
              <w:t>扣除</w:t>
            </w:r>
            <w:r>
              <w:rPr>
                <w:rFonts w:hint="eastAsia" w:ascii="ˎ̥" w:hAnsi="ˎ̥" w:eastAsia="宋体"/>
                <w:color w:val="FF0000"/>
                <w:szCs w:val="21"/>
                <w:highlight w:val="none"/>
              </w:rPr>
              <w:t>20</w:t>
            </w:r>
            <w:r>
              <w:rPr>
                <w:rFonts w:hint="eastAsia" w:ascii="宋体" w:hAnsi="宋体"/>
                <w:szCs w:val="21"/>
                <w:highlight w:val="none"/>
              </w:rPr>
              <w:t>%</w:t>
            </w:r>
          </w:p>
          <w:p>
            <w:pPr>
              <w:jc w:val="center"/>
              <w:rPr>
                <w:rFonts w:ascii="宋体" w:hAnsi="宋体"/>
                <w:b/>
                <w:szCs w:val="21"/>
                <w:highlight w:val="none"/>
                <w:lang w:val="en-GB"/>
              </w:rPr>
            </w:pPr>
            <w:r>
              <w:rPr>
                <w:rFonts w:hint="eastAsia" w:ascii="宋体" w:hAnsi="宋体"/>
                <w:szCs w:val="21"/>
                <w:highlight w:val="none"/>
              </w:rPr>
              <w:t>（不再享受序号3的价格折扣）</w:t>
            </w:r>
          </w:p>
        </w:tc>
        <w:tc>
          <w:tcPr>
            <w:tcW w:w="2835" w:type="dxa"/>
            <w:vMerge w:val="continue"/>
            <w:shd w:val="clear" w:color="auto" w:fill="auto"/>
          </w:tcPr>
          <w:p>
            <w:pP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3</w:t>
            </w:r>
          </w:p>
        </w:tc>
        <w:tc>
          <w:tcPr>
            <w:tcW w:w="2823" w:type="dxa"/>
            <w:vAlign w:val="center"/>
          </w:tcPr>
          <w:p>
            <w:pPr>
              <w:jc w:val="center"/>
              <w:rPr>
                <w:rFonts w:ascii="宋体" w:hAnsi="宋体"/>
                <w:b/>
                <w:szCs w:val="21"/>
                <w:highlight w:val="none"/>
                <w:lang w:val="en-GB"/>
              </w:rPr>
            </w:pPr>
            <w:r>
              <w:rPr>
                <w:rFonts w:ascii="ˎ̥" w:hAnsi="ˎ̥" w:eastAsia="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highlight w:val="none"/>
                <w:lang w:val="en-GB"/>
              </w:rPr>
            </w:pPr>
            <w:r>
              <w:rPr>
                <w:rFonts w:ascii="ˎ̥" w:hAnsi="ˎ̥" w:eastAsia="宋体"/>
                <w:szCs w:val="21"/>
                <w:highlight w:val="none"/>
              </w:rPr>
              <w:t>对联合体或者大中型企业的报价</w:t>
            </w:r>
            <w:r>
              <w:rPr>
                <w:rFonts w:hint="eastAsia" w:ascii="宋体" w:hAnsi="宋体"/>
                <w:szCs w:val="21"/>
                <w:highlight w:val="none"/>
                <w:lang w:val="en-GB"/>
              </w:rPr>
              <w:t>扣除6</w:t>
            </w:r>
            <w:r>
              <w:rPr>
                <w:rFonts w:hint="eastAsia" w:ascii="宋体" w:hAnsi="宋体"/>
                <w:szCs w:val="21"/>
                <w:highlight w:val="none"/>
              </w:rPr>
              <w:t>%</w:t>
            </w:r>
          </w:p>
        </w:tc>
        <w:tc>
          <w:tcPr>
            <w:tcW w:w="2835" w:type="dxa"/>
            <w:shd w:val="clear" w:color="auto" w:fill="auto"/>
            <w:vAlign w:val="center"/>
          </w:tcPr>
          <w:p>
            <w:pPr>
              <w:jc w:val="center"/>
              <w:rPr>
                <w:rFonts w:ascii="宋体" w:hAnsi="宋体"/>
                <w:b/>
                <w:szCs w:val="21"/>
                <w:highlight w:val="none"/>
                <w:lang w:val="en-GB"/>
              </w:rPr>
            </w:pPr>
            <w:r>
              <w:rPr>
                <w:rFonts w:hint="eastAsia" w:ascii="宋体" w:hAnsi="宋体"/>
                <w:szCs w:val="21"/>
                <w:highlight w:val="none"/>
                <w:lang w:val="en-GB"/>
              </w:rPr>
              <w:t>评标价格＝投标报价×</w:t>
            </w:r>
            <w:r>
              <w:rPr>
                <w:rFonts w:hint="eastAsia" w:ascii="宋体" w:hAnsi="宋体"/>
                <w:szCs w:val="21"/>
                <w:highlight w:val="none"/>
              </w:rPr>
              <w:t>(1-6</w:t>
            </w:r>
            <w:r>
              <w:rPr>
                <w:rFonts w:hint="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4</w:t>
            </w:r>
          </w:p>
        </w:tc>
        <w:tc>
          <w:tcPr>
            <w:tcW w:w="2823" w:type="dxa"/>
            <w:vAlign w:val="center"/>
          </w:tcPr>
          <w:p>
            <w:pPr>
              <w:jc w:val="center"/>
              <w:rPr>
                <w:rFonts w:ascii="宋体" w:hAnsi="宋体"/>
                <w:szCs w:val="21"/>
                <w:highlight w:val="none"/>
                <w:lang w:val="en-GB"/>
              </w:rPr>
            </w:pPr>
            <w:r>
              <w:rPr>
                <w:rFonts w:hint="eastAsia" w:ascii="宋体" w:hAnsi="宋体" w:eastAsia="宋体" w:cs="仿宋_GB2312"/>
                <w:sz w:val="24"/>
                <w:szCs w:val="24"/>
                <w:highlight w:val="none"/>
                <w:lang w:val="en-GB"/>
              </w:rPr>
              <w:t>监狱企业</w:t>
            </w:r>
          </w:p>
        </w:tc>
        <w:tc>
          <w:tcPr>
            <w:tcW w:w="2552" w:type="dxa"/>
            <w:vAlign w:val="center"/>
          </w:tcPr>
          <w:p>
            <w:pPr>
              <w:jc w:val="center"/>
              <w:rPr>
                <w:rFonts w:ascii="宋体" w:hAnsi="宋体"/>
                <w:szCs w:val="21"/>
                <w:highlight w:val="none"/>
                <w:lang w:val="en-GB"/>
              </w:rPr>
            </w:pPr>
            <w:r>
              <w:rPr>
                <w:rFonts w:hint="eastAsia" w:ascii="宋体" w:hAnsi="宋体"/>
                <w:szCs w:val="21"/>
                <w:highlight w:val="none"/>
                <w:lang w:val="en-GB"/>
              </w:rPr>
              <w:t>对监狱企业产品价格扣除</w:t>
            </w:r>
            <w:r>
              <w:rPr>
                <w:rFonts w:hint="eastAsia" w:ascii="ˎ̥" w:hAnsi="ˎ̥" w:eastAsia="宋体"/>
                <w:color w:val="FF0000"/>
                <w:szCs w:val="21"/>
                <w:highlight w:val="none"/>
              </w:rPr>
              <w:t>20</w:t>
            </w:r>
            <w:r>
              <w:rPr>
                <w:rFonts w:hint="eastAsia" w:ascii="宋体" w:hAnsi="宋体"/>
                <w:szCs w:val="21"/>
                <w:highlight w:val="none"/>
              </w:rPr>
              <w:t>%</w:t>
            </w:r>
          </w:p>
        </w:tc>
        <w:tc>
          <w:tcPr>
            <w:tcW w:w="2835" w:type="dxa"/>
            <w:shd w:val="clear" w:color="auto" w:fill="auto"/>
            <w:vAlign w:val="center"/>
          </w:tcPr>
          <w:p>
            <w:pPr>
              <w:jc w:val="center"/>
              <w:rPr>
                <w:rFonts w:ascii="宋体" w:hAnsi="宋体"/>
                <w:szCs w:val="21"/>
                <w:highlight w:val="none"/>
                <w:lang w:val="en-GB"/>
              </w:rPr>
            </w:pPr>
            <w:r>
              <w:rPr>
                <w:rFonts w:hint="eastAsia"/>
                <w:szCs w:val="21"/>
                <w:highlight w:val="none"/>
                <w:lang w:val="en-GB"/>
              </w:rPr>
              <w:t>评标价格＝投标报价—</w:t>
            </w:r>
            <w:r>
              <w:rPr>
                <w:rFonts w:hint="eastAsia"/>
                <w:szCs w:val="21"/>
                <w:highlight w:val="none"/>
              </w:rPr>
              <w:t>监狱企业产品的价格</w:t>
            </w:r>
            <w:r>
              <w:rPr>
                <w:rFonts w:hint="eastAsia" w:ascii="宋体" w:hAnsi="宋体"/>
                <w:szCs w:val="21"/>
                <w:highlight w:val="none"/>
                <w:lang w:val="en-GB"/>
              </w:rPr>
              <w:t>×</w:t>
            </w:r>
            <w:r>
              <w:rPr>
                <w:rFonts w:hint="eastAsia" w:ascii="ˎ̥" w:hAnsi="ˎ̥" w:eastAsia="宋体"/>
                <w:color w:val="FF0000"/>
                <w:szCs w:val="21"/>
                <w:highlight w:val="none"/>
              </w:rPr>
              <w:t>20</w:t>
            </w:r>
            <w:r>
              <w:rPr>
                <w:rFonts w:hint="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5</w:t>
            </w:r>
          </w:p>
        </w:tc>
        <w:tc>
          <w:tcPr>
            <w:tcW w:w="2823" w:type="dxa"/>
            <w:vAlign w:val="center"/>
          </w:tcPr>
          <w:p>
            <w:pPr>
              <w:jc w:val="center"/>
              <w:rPr>
                <w:rFonts w:ascii="宋体" w:hAnsi="宋体"/>
                <w:szCs w:val="21"/>
                <w:highlight w:val="none"/>
                <w:lang w:val="en-GB"/>
              </w:rPr>
            </w:pPr>
            <w:r>
              <w:rPr>
                <w:rFonts w:hint="eastAsia" w:ascii="宋体" w:hAnsi="宋体" w:eastAsia="宋体" w:cs="仿宋_GB2312"/>
                <w:sz w:val="24"/>
                <w:szCs w:val="24"/>
                <w:highlight w:val="none"/>
                <w:lang w:val="en-GB"/>
              </w:rPr>
              <w:t>残疾人福利性单位</w:t>
            </w:r>
          </w:p>
        </w:tc>
        <w:tc>
          <w:tcPr>
            <w:tcW w:w="2552" w:type="dxa"/>
            <w:vAlign w:val="center"/>
          </w:tcPr>
          <w:p>
            <w:pPr>
              <w:jc w:val="center"/>
              <w:rPr>
                <w:rFonts w:ascii="宋体" w:hAnsi="宋体"/>
                <w:szCs w:val="21"/>
                <w:highlight w:val="none"/>
                <w:lang w:val="en-GB"/>
              </w:rPr>
            </w:pPr>
            <w:r>
              <w:rPr>
                <w:rFonts w:hint="eastAsia" w:ascii="宋体" w:hAnsi="宋体"/>
                <w:szCs w:val="21"/>
                <w:highlight w:val="none"/>
                <w:lang w:val="en-GB"/>
              </w:rPr>
              <w:t>对残疾人福利性单位产品价格扣除</w:t>
            </w:r>
            <w:r>
              <w:rPr>
                <w:rFonts w:hint="eastAsia" w:ascii="ˎ̥" w:hAnsi="ˎ̥" w:eastAsia="宋体"/>
                <w:color w:val="FF0000"/>
                <w:szCs w:val="21"/>
                <w:highlight w:val="none"/>
              </w:rPr>
              <w:t>20</w:t>
            </w:r>
            <w:r>
              <w:rPr>
                <w:rFonts w:hint="eastAsia" w:ascii="宋体" w:hAnsi="宋体"/>
                <w:szCs w:val="21"/>
                <w:highlight w:val="none"/>
              </w:rPr>
              <w:t>%</w:t>
            </w:r>
          </w:p>
        </w:tc>
        <w:tc>
          <w:tcPr>
            <w:tcW w:w="2835" w:type="dxa"/>
            <w:shd w:val="clear" w:color="auto" w:fill="auto"/>
            <w:vAlign w:val="center"/>
          </w:tcPr>
          <w:p>
            <w:pPr>
              <w:jc w:val="center"/>
              <w:rPr>
                <w:szCs w:val="21"/>
                <w:highlight w:val="none"/>
                <w:lang w:val="en-GB"/>
              </w:rPr>
            </w:pPr>
            <w:r>
              <w:rPr>
                <w:rFonts w:hint="eastAsia"/>
                <w:szCs w:val="21"/>
                <w:highlight w:val="none"/>
                <w:lang w:val="en-GB"/>
              </w:rPr>
              <w:t>评标价格＝投标报价—</w:t>
            </w:r>
            <w:r>
              <w:rPr>
                <w:rFonts w:hint="eastAsia"/>
                <w:szCs w:val="21"/>
                <w:highlight w:val="none"/>
              </w:rPr>
              <w:t>残疾人福利性单位产品的价格</w:t>
            </w:r>
            <w:r>
              <w:rPr>
                <w:rFonts w:hint="eastAsia" w:ascii="宋体" w:hAnsi="宋体"/>
                <w:szCs w:val="21"/>
                <w:highlight w:val="none"/>
                <w:lang w:val="en-GB"/>
              </w:rPr>
              <w:t>×</w:t>
            </w:r>
            <w:r>
              <w:rPr>
                <w:rFonts w:hint="eastAsia" w:ascii="ˎ̥" w:hAnsi="ˎ̥" w:eastAsia="宋体"/>
                <w:color w:val="FF0000"/>
                <w:szCs w:val="21"/>
                <w:highlight w:val="none"/>
              </w:rPr>
              <w:t>20</w:t>
            </w:r>
            <w:r>
              <w:rPr>
                <w:rFonts w:hint="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tabs>
                <w:tab w:val="left" w:pos="1260"/>
              </w:tabs>
              <w:autoSpaceDE w:val="0"/>
              <w:autoSpaceDN w:val="0"/>
              <w:spacing w:line="360" w:lineRule="auto"/>
              <w:ind w:firstLine="480" w:firstLineChars="200"/>
              <w:contextualSpacing/>
              <w:rPr>
                <w:rFonts w:hint="eastAsia"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tabs>
                <w:tab w:val="left" w:pos="1260"/>
              </w:tabs>
              <w:autoSpaceDE w:val="0"/>
              <w:autoSpaceDN w:val="0"/>
              <w:spacing w:line="360" w:lineRule="auto"/>
              <w:ind w:firstLine="480" w:firstLineChars="200"/>
              <w:contextualSpacing/>
              <w:rPr>
                <w:rFonts w:hint="eastAsia"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tabs>
                <w:tab w:val="left" w:pos="1260"/>
              </w:tabs>
              <w:autoSpaceDE w:val="0"/>
              <w:autoSpaceDN w:val="0"/>
              <w:spacing w:line="360" w:lineRule="auto"/>
              <w:ind w:firstLine="480" w:firstLineChars="200"/>
              <w:contextualSpacing/>
              <w:rPr>
                <w:rFonts w:hint="eastAsia"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评标基准价=评标价格的最低价</w:t>
            </w:r>
          </w:p>
          <w:p>
            <w:pPr>
              <w:tabs>
                <w:tab w:val="left" w:pos="1260"/>
              </w:tabs>
              <w:autoSpaceDE w:val="0"/>
              <w:autoSpaceDN w:val="0"/>
              <w:spacing w:line="360" w:lineRule="auto"/>
              <w:ind w:firstLine="480" w:firstLineChars="200"/>
              <w:contextualSpacing/>
              <w:rPr>
                <w:rFonts w:cs="仿宋_GB2312" w:asciiTheme="minorEastAsia" w:hAnsiTheme="minorEastAsia"/>
                <w:szCs w:val="21"/>
                <w:highlight w:val="none"/>
                <w:lang w:val="zh-CN"/>
              </w:rPr>
            </w:pPr>
            <w:r>
              <w:rPr>
                <w:rFonts w:hint="eastAsia" w:ascii="宋体" w:hAnsi="宋体" w:eastAsia="宋体" w:cs="仿宋_GB2312"/>
                <w:sz w:val="24"/>
                <w:szCs w:val="24"/>
                <w:highlight w:val="none"/>
                <w:lang w:val="zh-CN"/>
              </w:rPr>
              <w:t>其他投标报价得分=（评标基准价/评标价格）×评标标准中价格分值</w:t>
            </w:r>
          </w:p>
        </w:tc>
      </w:tr>
    </w:tbl>
    <w:p>
      <w:pPr>
        <w:tabs>
          <w:tab w:val="left" w:pos="1260"/>
        </w:tabs>
        <w:autoSpaceDE w:val="0"/>
        <w:autoSpaceDN w:val="0"/>
        <w:spacing w:line="360" w:lineRule="auto"/>
        <w:ind w:firstLine="480" w:firstLineChars="200"/>
        <w:contextualSpacing/>
        <w:rPr>
          <w:rFonts w:ascii="宋体" w:hAnsi="宋体" w:eastAsia="宋体" w:cs="仿宋_GB2312"/>
          <w:sz w:val="24"/>
          <w:szCs w:val="24"/>
          <w:highlight w:val="none"/>
          <w:lang w:val="en-GB"/>
        </w:rPr>
      </w:pPr>
      <w:r>
        <w:rPr>
          <w:rFonts w:hint="eastAsia" w:ascii="宋体" w:hAnsi="宋体" w:eastAsia="宋体" w:cs="仿宋_GB2312"/>
          <w:sz w:val="24"/>
          <w:szCs w:val="24"/>
          <w:highlight w:val="none"/>
          <w:lang w:val="en-GB"/>
        </w:rPr>
        <w:t>备注：</w:t>
      </w:r>
    </w:p>
    <w:p>
      <w:pPr>
        <w:tabs>
          <w:tab w:val="left" w:pos="1260"/>
        </w:tabs>
        <w:autoSpaceDE w:val="0"/>
        <w:autoSpaceDN w:val="0"/>
        <w:spacing w:line="360" w:lineRule="auto"/>
        <w:ind w:firstLine="480" w:firstLineChars="200"/>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en-GB"/>
        </w:rPr>
        <w:t>a、不接受联合体投标的项目，</w:t>
      </w:r>
      <w:r>
        <w:rPr>
          <w:rFonts w:hint="eastAsia" w:ascii="宋体" w:hAnsi="宋体" w:eastAsia="宋体" w:cs="仿宋_GB2312"/>
          <w:sz w:val="24"/>
          <w:szCs w:val="24"/>
          <w:highlight w:val="none"/>
          <w:lang w:val="zh-CN"/>
        </w:rPr>
        <w:t>本表中第2项、第3项情形不适用。</w:t>
      </w:r>
    </w:p>
    <w:p>
      <w:pPr>
        <w:tabs>
          <w:tab w:val="left" w:pos="1260"/>
        </w:tabs>
        <w:autoSpaceDE w:val="0"/>
        <w:autoSpaceDN w:val="0"/>
        <w:spacing w:line="360" w:lineRule="auto"/>
        <w:ind w:firstLine="480" w:firstLineChars="200"/>
        <w:contextualSpacing/>
        <w:rPr>
          <w:rFonts w:ascii="宋体" w:hAnsi="宋体" w:eastAsia="宋体" w:cs="仿宋_GB2312"/>
          <w:sz w:val="24"/>
          <w:szCs w:val="24"/>
          <w:highlight w:val="none"/>
          <w:lang w:val="en-GB"/>
        </w:rPr>
      </w:pPr>
      <w:r>
        <w:rPr>
          <w:rFonts w:hint="eastAsia" w:ascii="宋体" w:hAnsi="宋体" w:eastAsia="宋体" w:cs="仿宋_GB2312"/>
          <w:sz w:val="24"/>
          <w:szCs w:val="24"/>
          <w:highlight w:val="none"/>
          <w:lang w:val="en-GB"/>
        </w:rPr>
        <w:t>b、</w:t>
      </w:r>
      <w:r>
        <w:rPr>
          <w:rFonts w:ascii="宋体" w:hAnsi="宋体" w:eastAsia="宋体" w:cs="仿宋_GB2312"/>
          <w:sz w:val="24"/>
          <w:szCs w:val="24"/>
          <w:highlight w:val="none"/>
          <w:lang w:val="zh-CN"/>
        </w:rPr>
        <w:t>在货物采购项目中，货物由中小企业制造，即货物由中小企业生产且使用该中小企业商号或者注册商标</w:t>
      </w:r>
      <w:r>
        <w:rPr>
          <w:rFonts w:hint="eastAsia" w:ascii="宋体" w:hAnsi="宋体" w:eastAsia="宋体" w:cs="仿宋_GB2312"/>
          <w:sz w:val="24"/>
          <w:szCs w:val="24"/>
          <w:highlight w:val="none"/>
          <w:lang w:val="en-GB"/>
        </w:rPr>
        <w:t>。</w:t>
      </w:r>
      <w:r>
        <w:rPr>
          <w:rFonts w:ascii="宋体" w:hAnsi="宋体" w:eastAsia="宋体" w:cs="仿宋_GB2312"/>
          <w:sz w:val="24"/>
          <w:szCs w:val="24"/>
          <w:highlight w:val="none"/>
          <w:lang w:val="zh-CN"/>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tabs>
          <w:tab w:val="left" w:pos="1260"/>
        </w:tabs>
        <w:autoSpaceDE w:val="0"/>
        <w:autoSpaceDN w:val="0"/>
        <w:spacing w:line="360" w:lineRule="auto"/>
        <w:ind w:firstLine="480" w:firstLineChars="200"/>
        <w:contextualSpacing/>
        <w:rPr>
          <w:rFonts w:ascii="宋体" w:hAnsi="宋体" w:eastAsia="宋体" w:cs="仿宋_GB2312"/>
          <w:sz w:val="24"/>
          <w:szCs w:val="24"/>
          <w:highlight w:val="none"/>
          <w:lang w:val="en-GB"/>
        </w:rPr>
      </w:pPr>
      <w:r>
        <w:rPr>
          <w:rFonts w:hint="eastAsia" w:ascii="宋体" w:hAnsi="宋体" w:eastAsia="宋体" w:cs="仿宋_GB2312"/>
          <w:sz w:val="24"/>
          <w:szCs w:val="24"/>
          <w:highlight w:val="none"/>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eastAsia="宋体" w:cs="仿宋_GB2312"/>
          <w:sz w:val="24"/>
          <w:szCs w:val="24"/>
          <w:highlight w:val="none"/>
          <w:lang w:val="en-GB"/>
        </w:rPr>
      </w:pPr>
      <w:r>
        <w:rPr>
          <w:rFonts w:hint="eastAsia" w:ascii="宋体" w:hAnsi="宋体" w:eastAsia="宋体" w:cs="仿宋_GB2312"/>
          <w:sz w:val="24"/>
          <w:szCs w:val="24"/>
          <w:highlight w:val="none"/>
          <w:lang w:val="en-GB"/>
        </w:rPr>
        <w:t>d、残疾人福利性单位属于小型、微型企业的，不重复享受政策。</w:t>
      </w:r>
    </w:p>
    <w:p>
      <w:pPr>
        <w:tabs>
          <w:tab w:val="left" w:pos="1260"/>
        </w:tabs>
        <w:autoSpaceDE w:val="0"/>
        <w:autoSpaceDN w:val="0"/>
        <w:spacing w:line="360" w:lineRule="auto"/>
        <w:ind w:firstLine="480" w:firstLineChars="200"/>
        <w:contextualSpacing/>
        <w:rPr>
          <w:rFonts w:hint="eastAsia" w:cs="仿宋_GB2312" w:asciiTheme="minorEastAsia" w:hAnsiTheme="minorEastAsia" w:eastAsiaTheme="minorEastAsia"/>
          <w:b/>
          <w:sz w:val="21"/>
          <w:szCs w:val="21"/>
          <w:highlight w:val="none"/>
          <w:lang w:val="zh-CN"/>
        </w:rPr>
      </w:pPr>
      <w:r>
        <w:rPr>
          <w:rFonts w:ascii="宋体" w:hAnsi="宋体" w:eastAsia="宋体" w:cs="仿宋_GB2312"/>
          <w:sz w:val="24"/>
          <w:szCs w:val="24"/>
          <w:highlight w:val="none"/>
          <w:lang w:val="en-GB"/>
        </w:rPr>
        <w:t>E</w:t>
      </w:r>
      <w:r>
        <w:rPr>
          <w:rFonts w:hint="eastAsia" w:ascii="宋体" w:hAnsi="宋体" w:eastAsia="宋体" w:cs="仿宋_GB2312"/>
          <w:sz w:val="24"/>
          <w:szCs w:val="24"/>
          <w:highlight w:val="none"/>
          <w:lang w:val="en-GB"/>
        </w:rPr>
        <w:t>、小型和微型企业不包括民办非企业单位。</w:t>
      </w:r>
    </w:p>
    <w:p>
      <w:pPr>
        <w:pStyle w:val="18"/>
        <w:spacing w:line="360" w:lineRule="auto"/>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b/>
          <w:sz w:val="21"/>
          <w:szCs w:val="21"/>
          <w:highlight w:val="none"/>
          <w:lang w:val="zh-CN"/>
        </w:rPr>
        <w:t>（7）</w:t>
      </w:r>
      <w:r>
        <w:rPr>
          <w:rFonts w:cs="仿宋_GB2312" w:asciiTheme="minorEastAsia" w:hAnsiTheme="minorEastAsia" w:eastAsiaTheme="minorEastAsia"/>
          <w:b/>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1） </w:t>
      </w:r>
      <w:r>
        <w:rPr>
          <w:rFonts w:cs="仿宋_GB2312" w:asciiTheme="minorEastAsia" w:hAnsiTheme="minorEastAsia"/>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2） </w:t>
      </w:r>
      <w:r>
        <w:rPr>
          <w:rFonts w:cs="仿宋_GB2312" w:asciiTheme="minorEastAsia" w:hAnsiTheme="minorEastAsia"/>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3） </w:t>
      </w:r>
      <w:r>
        <w:rPr>
          <w:rFonts w:cs="仿宋_GB2312" w:asciiTheme="minorEastAsia" w:hAnsiTheme="minorEastAsia"/>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4） </w:t>
      </w:r>
      <w:r>
        <w:rPr>
          <w:rFonts w:cs="仿宋_GB2312" w:asciiTheme="minorEastAsia" w:hAnsiTheme="minorEastAsia"/>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（9）</w:t>
      </w:r>
      <w:r>
        <w:rPr>
          <w:rFonts w:cs="仿宋_GB2312" w:asciiTheme="minorEastAsia" w:hAnsiTheme="minorEastAsia"/>
          <w:b/>
          <w:szCs w:val="21"/>
          <w:highlight w:val="none"/>
          <w:lang w:val="zh-CN"/>
        </w:rPr>
        <w:t>评标委员会</w:t>
      </w:r>
      <w:r>
        <w:rPr>
          <w:rFonts w:hint="eastAsia" w:cs="仿宋_GB2312" w:asciiTheme="minorEastAsia" w:hAnsiTheme="minorEastAsia"/>
          <w:b/>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w:t>
      </w:r>
      <w:r>
        <w:rPr>
          <w:rFonts w:cs="仿宋_GB2312" w:asciiTheme="minorEastAsia" w:hAnsiTheme="minorEastAsia"/>
          <w:b/>
          <w:szCs w:val="21"/>
          <w:highlight w:val="none"/>
          <w:lang w:val="zh-CN"/>
        </w:rPr>
        <w:t>确定中标候选人名单，以及根据采购人委托直接确定中标人</w:t>
      </w:r>
      <w:r>
        <w:rPr>
          <w:rFonts w:hint="eastAsia" w:cs="仿宋_GB2312" w:asciiTheme="minorEastAsia" w:hAnsiTheme="minorEastAsia"/>
          <w:b/>
          <w:szCs w:val="21"/>
          <w:highlight w:val="none"/>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2"/>
          <w:szCs w:val="32"/>
          <w:highlight w:val="none"/>
        </w:rPr>
        <w:t>第七章 拟签订的合同文本</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9"/>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highlight w:val="none"/>
        </w:rPr>
        <w:t>。</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9"/>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9"/>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9"/>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9"/>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 xml:space="preserve">     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9"/>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9"/>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jc w:val="center"/>
        <w:rPr>
          <w:rFonts w:cs="宋体" w:asciiTheme="majorEastAsia" w:hAnsiTheme="majorEastAsia" w:eastAsiaTheme="majorEastAsia"/>
          <w:b/>
          <w:kern w:val="0"/>
          <w:sz w:val="36"/>
          <w:szCs w:val="36"/>
          <w:highlight w:val="none"/>
        </w:rPr>
      </w:pPr>
    </w:p>
    <w:p>
      <w:pPr>
        <w:pStyle w:val="18"/>
        <w:spacing w:line="360" w:lineRule="auto"/>
        <w:contextualSpacing/>
        <w:rPr>
          <w:rFonts w:cs="宋体" w:asciiTheme="majorEastAsia" w:hAnsiTheme="majorEastAsia" w:eastAsiaTheme="majorEastAsia"/>
          <w:b/>
          <w:kern w:val="0"/>
          <w:sz w:val="36"/>
          <w:szCs w:val="36"/>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第八章投标文件有关格式</w:t>
      </w:r>
    </w:p>
    <w:p>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pStyle w:val="30"/>
        <w:rPr>
          <w:color w:val="auto"/>
          <w:highlight w:val="none"/>
          <w:lang w:val="zh-CN"/>
        </w:rPr>
      </w:pPr>
    </w:p>
    <w:p>
      <w:pPr>
        <w:widowControl/>
        <w:ind w:firstLine="1960" w:firstLineChars="700"/>
        <w:jc w:val="left"/>
        <w:rPr>
          <w:rFonts w:hint="eastAsia" w:ascii="宋体" w:hAnsi="宋体" w:eastAsia="宋体" w:cs="宋体"/>
          <w:sz w:val="36"/>
          <w:szCs w:val="36"/>
          <w:highlight w:val="none"/>
        </w:rPr>
      </w:pPr>
      <w:r>
        <w:rPr>
          <w:rFonts w:hint="eastAsia" w:ascii="宋体" w:hAnsi="宋体" w:eastAsia="宋体" w:cs="宋体"/>
          <w:sz w:val="28"/>
          <w:szCs w:val="28"/>
          <w:highlight w:val="none"/>
        </w:rPr>
        <w:t xml:space="preserve">  </w:t>
      </w:r>
      <w:r>
        <w:rPr>
          <w:rFonts w:hint="eastAsia" w:ascii="宋体" w:hAnsi="宋体" w:eastAsia="宋体" w:cs="宋体"/>
          <w:sz w:val="36"/>
          <w:szCs w:val="36"/>
          <w:highlight w:val="none"/>
          <w:u w:val="single"/>
        </w:rPr>
        <w:t xml:space="preserve">          （项目名称）  </w:t>
      </w:r>
      <w:r>
        <w:rPr>
          <w:rFonts w:hint="eastAsia" w:ascii="宋体" w:hAnsi="宋体" w:eastAsia="宋体" w:cs="宋体"/>
          <w:sz w:val="36"/>
          <w:szCs w:val="36"/>
          <w:highlight w:val="none"/>
          <w:u w:val="single"/>
          <w:lang w:eastAsia="zh-CN"/>
        </w:rPr>
        <w:t>标段</w:t>
      </w:r>
      <w:r>
        <w:rPr>
          <w:rFonts w:hint="eastAsia" w:ascii="宋体" w:hAnsi="宋体" w:eastAsia="宋体" w:cs="宋体"/>
          <w:sz w:val="36"/>
          <w:szCs w:val="36"/>
          <w:highlight w:val="none"/>
          <w:u w:val="single"/>
        </w:rPr>
        <w:t xml:space="preserve">   </w:t>
      </w:r>
    </w:p>
    <w:p>
      <w:pPr>
        <w:spacing w:line="380" w:lineRule="exact"/>
        <w:rPr>
          <w:rFonts w:hint="eastAsia" w:ascii="宋体" w:hAnsi="宋体" w:eastAsia="宋体" w:cs="宋体"/>
          <w:sz w:val="24"/>
          <w:szCs w:val="24"/>
          <w:highlight w:val="none"/>
        </w:rPr>
      </w:pPr>
    </w:p>
    <w:p>
      <w:pPr>
        <w:spacing w:line="380" w:lineRule="exact"/>
        <w:rPr>
          <w:rFonts w:hint="eastAsia" w:ascii="宋体" w:hAnsi="宋体" w:eastAsia="宋体" w:cs="宋体"/>
          <w:sz w:val="24"/>
          <w:szCs w:val="24"/>
          <w:highlight w:val="none"/>
        </w:rPr>
      </w:pPr>
    </w:p>
    <w:p>
      <w:pPr>
        <w:spacing w:line="380" w:lineRule="exact"/>
        <w:rPr>
          <w:rFonts w:hint="eastAsia" w:ascii="宋体" w:hAnsi="宋体" w:eastAsia="宋体" w:cs="宋体"/>
          <w:sz w:val="24"/>
          <w:szCs w:val="24"/>
          <w:highlight w:val="none"/>
        </w:rPr>
      </w:pPr>
    </w:p>
    <w:p>
      <w:pPr>
        <w:spacing w:line="380" w:lineRule="exact"/>
        <w:rPr>
          <w:rFonts w:hint="eastAsia" w:ascii="宋体" w:hAnsi="宋体" w:eastAsia="宋体" w:cs="宋体"/>
          <w:sz w:val="24"/>
          <w:szCs w:val="24"/>
          <w:highlight w:val="none"/>
        </w:rPr>
      </w:pPr>
    </w:p>
    <w:p>
      <w:pPr>
        <w:spacing w:line="380" w:lineRule="exact"/>
        <w:jc w:val="center"/>
        <w:rPr>
          <w:rFonts w:hint="eastAsia" w:ascii="宋体" w:hAnsi="宋体" w:eastAsia="宋体" w:cs="宋体"/>
          <w:b/>
          <w:bCs/>
          <w:sz w:val="24"/>
          <w:szCs w:val="24"/>
          <w:highlight w:val="none"/>
        </w:rPr>
      </w:pPr>
    </w:p>
    <w:p>
      <w:pPr>
        <w:spacing w:line="380" w:lineRule="exact"/>
        <w:jc w:val="center"/>
        <w:rPr>
          <w:rFonts w:hint="eastAsia" w:ascii="宋体" w:hAnsi="宋体" w:eastAsia="宋体" w:cs="宋体"/>
          <w:b/>
          <w:bCs/>
          <w:sz w:val="24"/>
          <w:szCs w:val="24"/>
          <w:highlight w:val="none"/>
        </w:rPr>
      </w:pPr>
    </w:p>
    <w:p>
      <w:pPr>
        <w:spacing w:line="380" w:lineRule="exact"/>
        <w:jc w:val="center"/>
        <w:rPr>
          <w:rFonts w:hint="eastAsia" w:ascii="宋体" w:hAnsi="宋体" w:eastAsia="宋体" w:cs="宋体"/>
          <w:b/>
          <w:bCs/>
          <w:sz w:val="32"/>
          <w:szCs w:val="32"/>
          <w:highlight w:val="none"/>
        </w:rPr>
      </w:pPr>
    </w:p>
    <w:p>
      <w:pPr>
        <w:spacing w:line="48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投  标 文 件</w:t>
      </w:r>
    </w:p>
    <w:p>
      <w:pPr>
        <w:spacing w:line="380" w:lineRule="exact"/>
        <w:rPr>
          <w:rFonts w:hint="eastAsia" w:ascii="宋体" w:hAnsi="宋体" w:eastAsia="宋体" w:cs="宋体"/>
          <w:sz w:val="24"/>
          <w:szCs w:val="24"/>
          <w:highlight w:val="none"/>
        </w:rPr>
      </w:pPr>
    </w:p>
    <w:p>
      <w:pPr>
        <w:spacing w:line="380" w:lineRule="exact"/>
        <w:rPr>
          <w:rFonts w:hint="eastAsia" w:ascii="宋体" w:hAnsi="宋体" w:eastAsia="宋体" w:cs="宋体"/>
          <w:sz w:val="32"/>
          <w:szCs w:val="32"/>
          <w:highlight w:val="none"/>
        </w:rPr>
      </w:pPr>
      <w:bookmarkStart w:id="26" w:name="_GoBack"/>
      <w:bookmarkEnd w:id="26"/>
    </w:p>
    <w:p>
      <w:pPr>
        <w:spacing w:line="380" w:lineRule="exact"/>
        <w:rPr>
          <w:rFonts w:hint="eastAsia" w:ascii="宋体" w:hAnsi="宋体" w:eastAsia="宋体" w:cs="宋体"/>
          <w:sz w:val="24"/>
          <w:szCs w:val="24"/>
          <w:highlight w:val="none"/>
        </w:rPr>
      </w:pPr>
    </w:p>
    <w:p>
      <w:pPr>
        <w:spacing w:after="120"/>
        <w:ind w:left="63" w:right="63" w:firstLine="240" w:firstLineChars="100"/>
        <w:rPr>
          <w:rFonts w:hint="eastAsia" w:ascii="宋体" w:hAnsi="宋体" w:eastAsia="宋体" w:cs="宋体"/>
          <w:kern w:val="0"/>
          <w:sz w:val="24"/>
          <w:szCs w:val="24"/>
          <w:highlight w:val="none"/>
        </w:rPr>
      </w:pPr>
    </w:p>
    <w:p>
      <w:pPr>
        <w:spacing w:line="380" w:lineRule="exact"/>
        <w:rPr>
          <w:rFonts w:hint="eastAsia" w:ascii="宋体" w:hAnsi="宋体" w:eastAsia="宋体" w:cs="宋体"/>
          <w:sz w:val="24"/>
          <w:szCs w:val="24"/>
          <w:highlight w:val="none"/>
        </w:rPr>
      </w:pPr>
    </w:p>
    <w:p>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项目编号：</w:t>
      </w:r>
    </w:p>
    <w:p>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12" w:name="_Toc27760_WPSOffice_Level1"/>
      <w:bookmarkStart w:id="13" w:name="_Toc7428_WPSOffice_Level1"/>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（全称并加盖公章）</w:t>
      </w:r>
      <w:bookmarkEnd w:id="12"/>
      <w:bookmarkEnd w:id="13"/>
    </w:p>
    <w:p>
      <w:pPr>
        <w:spacing w:line="48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bookmarkStart w:id="14" w:name="_Toc28157_WPSOffice_Level1"/>
      <w:bookmarkStart w:id="15" w:name="_Toc4840_WPSOffice_Level1"/>
      <w:r>
        <w:rPr>
          <w:rFonts w:hint="eastAsia" w:ascii="宋体" w:hAnsi="宋体" w:eastAsia="宋体" w:cs="宋体"/>
          <w:sz w:val="24"/>
          <w:szCs w:val="24"/>
          <w:highlight w:val="none"/>
        </w:rPr>
        <w:t>法定代表人或委托代理人（签字）：</w:t>
      </w:r>
      <w:bookmarkEnd w:id="14"/>
      <w:bookmarkEnd w:id="15"/>
      <w:r>
        <w:rPr>
          <w:rFonts w:hint="eastAsia" w:ascii="宋体" w:hAnsi="宋体" w:eastAsia="宋体" w:cs="宋体"/>
          <w:sz w:val="24"/>
          <w:szCs w:val="24"/>
          <w:highlight w:val="none"/>
          <w:u w:val="single"/>
        </w:rPr>
        <w:t xml:space="preserve">         </w:t>
      </w:r>
    </w:p>
    <w:p>
      <w:pPr>
        <w:spacing w:line="480" w:lineRule="auto"/>
        <w:rPr>
          <w:color w:val="auto"/>
          <w:sz w:val="24"/>
          <w:szCs w:val="28"/>
          <w:highlight w:val="none"/>
          <w:lang w:val="zh-CN"/>
        </w:rPr>
      </w:pPr>
      <w:r>
        <w:rPr>
          <w:rFonts w:hint="eastAsia" w:ascii="宋体" w:hAnsi="宋体" w:eastAsia="宋体" w:cs="宋体"/>
          <w:sz w:val="24"/>
          <w:szCs w:val="24"/>
          <w:highlight w:val="none"/>
        </w:rPr>
        <w:t xml:space="preserve">                </w:t>
      </w:r>
      <w:bookmarkStart w:id="16" w:name="_Toc2311_WPSOffice_Level1"/>
      <w:bookmarkStart w:id="17" w:name="_Toc15640_WPSOffice_Level1"/>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bookmarkEnd w:id="16"/>
      <w:bookmarkEnd w:id="17"/>
      <w:r>
        <w:rPr>
          <w:rFonts w:hint="eastAsia" w:ascii="宋体" w:hAnsi="宋体" w:eastAsia="宋体" w:cs="宋体"/>
          <w:sz w:val="24"/>
          <w:szCs w:val="24"/>
          <w:highlight w:val="none"/>
        </w:rPr>
        <w:t xml:space="preserve">   </w:t>
      </w:r>
    </w:p>
    <w:p>
      <w:pPr>
        <w:rPr>
          <w:color w:val="auto"/>
          <w:highlight w:val="none"/>
          <w:lang w:val="zh-CN"/>
        </w:rPr>
      </w:pPr>
    </w:p>
    <w:p>
      <w:pPr>
        <w:pStyle w:val="2"/>
        <w:rPr>
          <w:color w:val="auto"/>
          <w:highlight w:val="none"/>
          <w:lang w:val="zh-CN"/>
        </w:rPr>
      </w:pPr>
    </w:p>
    <w:p>
      <w:pPr>
        <w:pStyle w:val="2"/>
        <w:rPr>
          <w:rFonts w:hint="eastAsia" w:ascii="宋体" w:hAnsi="宋体" w:eastAsia="宋体" w:cs="宋体"/>
          <w:sz w:val="21"/>
          <w:szCs w:val="21"/>
          <w:highlight w:val="none"/>
          <w:lang w:val="zh-CN"/>
        </w:rPr>
      </w:pPr>
    </w:p>
    <w:p>
      <w:pPr>
        <w:keepNext/>
        <w:keepLines/>
        <w:tabs>
          <w:tab w:val="left" w:pos="660"/>
        </w:tabs>
        <w:adjustRightInd w:val="0"/>
        <w:snapToGrid w:val="0"/>
        <w:spacing w:line="360" w:lineRule="auto"/>
        <w:ind w:firstLine="1325" w:firstLineChars="300"/>
        <w:jc w:val="center"/>
        <w:textAlignment w:val="baseline"/>
        <w:rPr>
          <w:rFonts w:hint="eastAsia" w:ascii="宋体" w:hAnsi="宋体" w:eastAsia="宋体" w:cs="宋体"/>
          <w:b/>
          <w:bCs/>
          <w:sz w:val="44"/>
          <w:szCs w:val="44"/>
          <w:highlight w:val="none"/>
          <w:lang w:val="zh-CN"/>
        </w:rPr>
      </w:pPr>
      <w:r>
        <w:rPr>
          <w:rFonts w:hint="eastAsia" w:ascii="宋体" w:hAnsi="宋体" w:eastAsia="宋体" w:cs="宋体"/>
          <w:b/>
          <w:bCs/>
          <w:sz w:val="44"/>
          <w:szCs w:val="44"/>
          <w:highlight w:val="none"/>
          <w:lang w:val="zh-CN"/>
        </w:rPr>
        <w:t>目</w:t>
      </w:r>
      <w:r>
        <w:rPr>
          <w:rFonts w:hint="eastAsia" w:ascii="宋体" w:hAnsi="宋体" w:eastAsia="宋体" w:cs="宋体"/>
          <w:b/>
          <w:bCs/>
          <w:sz w:val="44"/>
          <w:szCs w:val="44"/>
          <w:highlight w:val="none"/>
        </w:rPr>
        <w:t xml:space="preserve"> </w:t>
      </w:r>
      <w:r>
        <w:rPr>
          <w:rFonts w:hint="eastAsia" w:ascii="宋体" w:hAnsi="宋体" w:eastAsia="宋体" w:cs="宋体"/>
          <w:b/>
          <w:bCs/>
          <w:sz w:val="44"/>
          <w:szCs w:val="44"/>
          <w:highlight w:val="none"/>
          <w:lang w:val="zh-CN"/>
        </w:rPr>
        <w:t>录</w:t>
      </w:r>
    </w:p>
    <w:p>
      <w:pPr>
        <w:keepNext/>
        <w:keepLines/>
        <w:tabs>
          <w:tab w:val="left" w:pos="660"/>
        </w:tabs>
        <w:adjustRightInd w:val="0"/>
        <w:snapToGrid w:val="0"/>
        <w:spacing w:line="360" w:lineRule="auto"/>
        <w:ind w:firstLine="422" w:firstLineChars="200"/>
        <w:jc w:val="center"/>
        <w:textAlignment w:val="baseline"/>
        <w:rPr>
          <w:rFonts w:hint="eastAsia" w:ascii="宋体" w:hAnsi="宋体" w:eastAsia="宋体" w:cs="宋体"/>
          <w:b/>
          <w:bCs/>
          <w:sz w:val="21"/>
          <w:szCs w:val="21"/>
          <w:highlight w:val="none"/>
          <w:lang w:val="zh-CN"/>
        </w:rPr>
      </w:pPr>
    </w:p>
    <w:p>
      <w:pPr>
        <w:keepNext/>
        <w:keepLines/>
        <w:tabs>
          <w:tab w:val="left" w:pos="660"/>
        </w:tabs>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一、投标人应答索引表</w:t>
      </w:r>
    </w:p>
    <w:p>
      <w:pPr>
        <w:keepNext/>
        <w:keepLines/>
        <w:tabs>
          <w:tab w:val="left" w:pos="660"/>
        </w:tabs>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二、开标一览表</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三、资格审查证明材料</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四、符合性审查证明材料</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w:t>
      </w:r>
      <w:r>
        <w:rPr>
          <w:rFonts w:hint="eastAsia" w:ascii="宋体" w:hAnsi="宋体" w:eastAsia="宋体" w:cs="宋体"/>
          <w:b/>
          <w:sz w:val="21"/>
          <w:szCs w:val="21"/>
          <w:highlight w:val="none"/>
          <w:lang w:val="zh-CN"/>
        </w:rPr>
        <w:t>其他资料（若有）</w:t>
      </w: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
        <w:widowControl w:val="0"/>
        <w:numPr>
          <w:ilvl w:val="0"/>
          <w:numId w:val="0"/>
        </w:numPr>
        <w:spacing w:after="120"/>
        <w:jc w:val="both"/>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6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bookmarkStart w:id="18" w:name="_Toc186274126"/>
      <w:bookmarkStart w:id="19" w:name="_Toc184023138"/>
      <w:bookmarkStart w:id="20" w:name="_Toc174185203"/>
      <w:r>
        <w:rPr>
          <w:rFonts w:hint="eastAsia" w:cs="黑体" w:asciiTheme="minorEastAsia" w:hAnsiTheme="minorEastAsia" w:eastAsiaTheme="minorEastAsia"/>
          <w:color w:val="auto"/>
          <w:kern w:val="2"/>
          <w:sz w:val="28"/>
          <w:szCs w:val="28"/>
          <w:highlight w:val="none"/>
          <w:lang w:val="zh-CN"/>
        </w:rPr>
        <w:t>一、投标人应答索引表</w:t>
      </w:r>
      <w:bookmarkEnd w:id="18"/>
      <w:bookmarkEnd w:id="19"/>
      <w:bookmarkEnd w:id="20"/>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序号</w:t>
            </w:r>
          </w:p>
        </w:tc>
        <w:tc>
          <w:tcPr>
            <w:tcW w:w="3751"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项  目</w:t>
            </w:r>
          </w:p>
        </w:tc>
        <w:tc>
          <w:tcPr>
            <w:tcW w:w="1559"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投标人应答</w:t>
            </w:r>
          </w:p>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（有/没有）</w:t>
            </w:r>
          </w:p>
        </w:tc>
        <w:tc>
          <w:tcPr>
            <w:tcW w:w="1560"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投标文件中所在页码</w:t>
            </w:r>
          </w:p>
        </w:tc>
        <w:tc>
          <w:tcPr>
            <w:tcW w:w="201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投标承诺函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8</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9</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10</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11</w:t>
            </w:r>
          </w:p>
        </w:tc>
        <w:tc>
          <w:tcPr>
            <w:tcW w:w="3751" w:type="dxa"/>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投标分项报价表</w:t>
            </w:r>
          </w:p>
        </w:tc>
        <w:tc>
          <w:tcPr>
            <w:tcW w:w="1559" w:type="dxa"/>
            <w:tcBorders>
              <w:top w:val="double" w:color="auto" w:sz="4" w:space="0"/>
            </w:tcBorders>
            <w:vAlign w:val="center"/>
          </w:tcPr>
          <w:p>
            <w:pPr>
              <w:jc w:val="center"/>
              <w:rPr>
                <w:szCs w:val="21"/>
                <w:highlight w:val="none"/>
              </w:rPr>
            </w:pPr>
          </w:p>
        </w:tc>
        <w:tc>
          <w:tcPr>
            <w:tcW w:w="1560" w:type="dxa"/>
            <w:tcBorders>
              <w:top w:val="double" w:color="auto" w:sz="4" w:space="0"/>
            </w:tcBorders>
            <w:vAlign w:val="center"/>
          </w:tcPr>
          <w:p>
            <w:pPr>
              <w:snapToGrid w:val="0"/>
              <w:spacing w:line="400" w:lineRule="exact"/>
              <w:rPr>
                <w:rFonts w:ascii="宋体" w:hAnsi="宋体" w:cs="微软雅黑"/>
                <w:szCs w:val="21"/>
                <w:highlight w:val="none"/>
              </w:rPr>
            </w:pPr>
          </w:p>
        </w:tc>
        <w:tc>
          <w:tcPr>
            <w:tcW w:w="2018" w:type="dxa"/>
            <w:tcBorders>
              <w:top w:val="double" w:color="auto" w:sz="4" w:space="0"/>
            </w:tcBorders>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12</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技术规格偏离表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13</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技术方案（实施方案）</w:t>
            </w:r>
          </w:p>
        </w:tc>
        <w:tc>
          <w:tcPr>
            <w:tcW w:w="1559" w:type="dxa"/>
            <w:vAlign w:val="center"/>
          </w:tcPr>
          <w:p>
            <w:pPr>
              <w:jc w:val="center"/>
              <w:rPr>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14</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售后服务方案</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15</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业绩情况表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16</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政府强制采购节能产品品目清单情况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17</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优先采购节能产品政府采购品目清单情况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18</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ascii="宋体" w:hAnsi="宋体"/>
                <w:sz w:val="21"/>
                <w:szCs w:val="21"/>
                <w:highlight w:val="none"/>
                <w:lang w:val="en-GB"/>
              </w:rPr>
              <w:t>优先采购环境标志产品政府采购品目清单情况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19</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中小企业声明函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20</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cs="仿宋_GB2312" w:asciiTheme="minorEastAsia" w:hAnsiTheme="minorEastAsia" w:eastAsiaTheme="minorEastAsia"/>
                <w:sz w:val="21"/>
                <w:szCs w:val="21"/>
                <w:highlight w:val="none"/>
                <w:lang w:val="zh-CN"/>
              </w:rPr>
              <w:t>残疾人福利性单位声明函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21</w:t>
            </w:r>
          </w:p>
        </w:tc>
        <w:tc>
          <w:tcPr>
            <w:tcW w:w="3751" w:type="dxa"/>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监狱企业证明文件</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22</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bCs/>
                <w:sz w:val="21"/>
                <w:szCs w:val="21"/>
                <w:highlight w:val="none"/>
                <w:lang w:val="zh-CN"/>
              </w:rPr>
              <w:t>中国信息安全认证中心按国家标准认证颁发的</w:t>
            </w:r>
            <w:r>
              <w:rPr>
                <w:rFonts w:cs="宋体" w:asciiTheme="minorEastAsia" w:hAnsiTheme="minorEastAsia"/>
                <w:kern w:val="0"/>
                <w:sz w:val="21"/>
                <w:szCs w:val="21"/>
                <w:highlight w:val="none"/>
              </w:rPr>
              <w:t>信息安全产品</w:t>
            </w:r>
            <w:r>
              <w:rPr>
                <w:rFonts w:hint="eastAsia" w:cs="宋体" w:asciiTheme="minorEastAsia" w:hAnsiTheme="minorEastAsia"/>
                <w:bCs/>
                <w:sz w:val="21"/>
                <w:szCs w:val="21"/>
                <w:highlight w:val="none"/>
                <w:lang w:val="zh-CN"/>
              </w:rPr>
              <w:t>有效认证证书</w:t>
            </w:r>
          </w:p>
        </w:tc>
        <w:tc>
          <w:tcPr>
            <w:tcW w:w="1559" w:type="dxa"/>
            <w:vAlign w:val="center"/>
          </w:tcPr>
          <w:p>
            <w:pPr>
              <w:pStyle w:val="18"/>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23</w:t>
            </w:r>
          </w:p>
        </w:tc>
        <w:tc>
          <w:tcPr>
            <w:tcW w:w="3751" w:type="dxa"/>
            <w:tcBorders>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pStyle w:val="18"/>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pStyle w:val="18"/>
        <w:spacing w:line="360" w:lineRule="auto"/>
        <w:jc w:val="center"/>
        <w:rPr>
          <w:rFonts w:asciiTheme="majorEastAsia" w:hAnsiTheme="majorEastAsia" w:eastAsiaTheme="majorEastAsia"/>
          <w:b/>
          <w:snapToGrid w:val="0"/>
          <w:kern w:val="0"/>
          <w:sz w:val="28"/>
          <w:szCs w:val="28"/>
          <w:highlight w:val="none"/>
        </w:rPr>
      </w:pPr>
    </w:p>
    <w:p>
      <w:pPr>
        <w:widowControl/>
        <w:jc w:val="left"/>
        <w:rPr>
          <w:rFonts w:asciiTheme="majorEastAsia" w:hAnsiTheme="majorEastAsia" w:eastAsiaTheme="majorEastAsia"/>
          <w:b/>
          <w:snapToGrid w:val="0"/>
          <w:kern w:val="0"/>
          <w:sz w:val="28"/>
          <w:szCs w:val="28"/>
          <w:highlight w:val="none"/>
        </w:rPr>
      </w:pPr>
      <w:r>
        <w:rPr>
          <w:rFonts w:asciiTheme="majorEastAsia" w:hAnsiTheme="majorEastAsia" w:eastAsiaTheme="majorEastAsia"/>
          <w:b/>
          <w:snapToGrid w:val="0"/>
          <w:kern w:val="0"/>
          <w:sz w:val="28"/>
          <w:szCs w:val="28"/>
          <w:highlight w:val="none"/>
        </w:rPr>
        <w:br w:type="page"/>
      </w:r>
    </w:p>
    <w:p>
      <w:pPr>
        <w:pStyle w:val="18"/>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二、开标一览表</w:t>
      </w:r>
    </w:p>
    <w:p>
      <w:pPr>
        <w:pStyle w:val="18"/>
        <w:spacing w:line="360" w:lineRule="auto"/>
        <w:jc w:val="center"/>
        <w:rPr>
          <w:rFonts w:asciiTheme="majorEastAsia" w:hAnsiTheme="majorEastAsia" w:eastAsiaTheme="majorEastAsia"/>
          <w:b/>
          <w:snapToGrid w:val="0"/>
          <w:kern w:val="0"/>
          <w:sz w:val="28"/>
          <w:szCs w:val="28"/>
          <w:highlight w:val="none"/>
        </w:rPr>
      </w:pPr>
    </w:p>
    <w:p>
      <w:pPr>
        <w:spacing w:before="50"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spacing w:line="360" w:lineRule="auto"/>
        <w:contextualSpacing/>
        <w:rPr>
          <w:rFonts w:asciiTheme="minorEastAsia" w:hAnsiTheme="minorEastAsia"/>
          <w:szCs w:val="21"/>
          <w:highlight w:val="none"/>
        </w:rPr>
      </w:pPr>
      <w:r>
        <w:rPr>
          <w:rFonts w:hint="eastAsia" w:asciiTheme="minorEastAsia" w:hAnsiTheme="minorEastAsia"/>
          <w:szCs w:val="21"/>
          <w:highlight w:val="none"/>
        </w:rPr>
        <w:t xml:space="preserve">项目名称：                                                      </w:t>
      </w:r>
      <w:r>
        <w:rPr>
          <w:rFonts w:hint="eastAsia" w:cs="Arial" w:asciiTheme="minorEastAsia" w:hAnsiTheme="minorEastAsia"/>
          <w:szCs w:val="21"/>
          <w:highlight w:val="none"/>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default" w:cs="宋体" w:asciiTheme="minorEastAsia" w:hAnsiTheme="minorEastAsia" w:eastAsiaTheme="minorEastAsia"/>
                <w:b/>
                <w:szCs w:val="21"/>
                <w:highlight w:val="none"/>
                <w:lang w:val="en-US" w:eastAsia="zh-CN"/>
              </w:rPr>
            </w:pPr>
            <w:r>
              <w:rPr>
                <w:rFonts w:hint="eastAsia" w:ascii="宋体" w:hAnsi="宋体" w:eastAsia="宋体" w:cs="宋体"/>
                <w:b/>
                <w:szCs w:val="21"/>
                <w:highlight w:val="none"/>
                <w:lang w:val="en-US" w:eastAsia="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r>
              <w:rPr>
                <w:rFonts w:cs="Arial" w:asciiTheme="minorEastAsia" w:hAnsiTheme="minorEastAsia"/>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r>
    </w:tbl>
    <w:p>
      <w:pPr>
        <w:autoSpaceDE w:val="0"/>
        <w:autoSpaceDN w:val="0"/>
        <w:adjustRightInd w:val="0"/>
        <w:spacing w:line="480" w:lineRule="auto"/>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投标人名称：</w:t>
      </w:r>
      <w:r>
        <w:rPr>
          <w:rFonts w:hint="eastAsia" w:cs="宋体" w:asciiTheme="minorEastAsia" w:hAnsiTheme="minorEastAsia"/>
          <w:szCs w:val="21"/>
          <w:highlight w:val="none"/>
          <w:u w:val="single"/>
          <w:lang w:val="zh-CN"/>
        </w:rPr>
        <w:t xml:space="preserve">     （全称）   </w:t>
      </w:r>
      <w:r>
        <w:rPr>
          <w:rFonts w:hint="eastAsia" w:cs="宋体" w:asciiTheme="minorEastAsia" w:hAnsiTheme="minorEastAsia"/>
          <w:szCs w:val="21"/>
          <w:highlight w:val="none"/>
          <w:lang w:val="zh-CN"/>
        </w:rPr>
        <w:t>（公章）：</w:t>
      </w:r>
    </w:p>
    <w:p>
      <w:pPr>
        <w:pStyle w:val="2"/>
        <w:rPr>
          <w:lang w:val="zh-CN"/>
        </w:rPr>
      </w:pPr>
      <w:r>
        <w:rPr>
          <w:rFonts w:hint="eastAsia"/>
          <w:lang w:val="zh-CN"/>
        </w:rPr>
        <w:t>投标人法定代表人（或授权代表）签字：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日期：年月日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三、资格审查证明材料</w:t>
      </w:r>
    </w:p>
    <w:p>
      <w:pPr>
        <w:pStyle w:val="18"/>
        <w:spacing w:line="360" w:lineRule="auto"/>
        <w:jc w:val="center"/>
        <w:rPr>
          <w:rFonts w:asciiTheme="majorEastAsia" w:hAnsiTheme="majorEastAsia" w:eastAsiaTheme="majorEastAsia"/>
          <w:b/>
          <w:snapToGrid w:val="0"/>
          <w:kern w:val="0"/>
          <w:szCs w:val="24"/>
          <w:highlight w:val="none"/>
        </w:rPr>
      </w:pPr>
      <w:r>
        <w:rPr>
          <w:rFonts w:hint="eastAsia" w:asciiTheme="majorEastAsia" w:hAnsiTheme="majorEastAsia" w:eastAsiaTheme="majorEastAsia"/>
          <w:b/>
          <w:snapToGrid w:val="0"/>
          <w:kern w:val="0"/>
          <w:szCs w:val="24"/>
          <w:highlight w:val="none"/>
        </w:rPr>
        <w:t>3.1 投 标 函</w:t>
      </w:r>
    </w:p>
    <w:p>
      <w:pPr>
        <w:pStyle w:val="18"/>
        <w:spacing w:line="360" w:lineRule="auto"/>
        <w:jc w:val="center"/>
        <w:rPr>
          <w:rFonts w:asciiTheme="majorEastAsia" w:hAnsiTheme="majorEastAsia" w:eastAsiaTheme="majorEastAsia"/>
          <w:b/>
          <w:snapToGrid w:val="0"/>
          <w:kern w:val="0"/>
          <w:sz w:val="28"/>
          <w:szCs w:val="28"/>
          <w:highlight w:val="none"/>
        </w:rPr>
      </w:pPr>
    </w:p>
    <w:p>
      <w:pPr>
        <w:adjustRightInd w:val="0"/>
        <w:spacing w:line="360" w:lineRule="auto"/>
        <w:contextualSpacing/>
        <w:rPr>
          <w:rFonts w:hint="default" w:asciiTheme="minorEastAsia" w:hAnsiTheme="minorEastAsia" w:eastAsiaTheme="minorEastAsia"/>
          <w:b/>
          <w:snapToGrid w:val="0"/>
          <w:kern w:val="0"/>
          <w:szCs w:val="21"/>
          <w:highlight w:val="none"/>
          <w:lang w:val="en-US" w:eastAsia="zh-CN"/>
        </w:rPr>
      </w:pPr>
      <w:r>
        <w:rPr>
          <w:rFonts w:hint="eastAsia" w:asciiTheme="minorEastAsia" w:hAnsiTheme="minorEastAsia"/>
          <w:snapToGrid w:val="0"/>
          <w:kern w:val="0"/>
          <w:szCs w:val="21"/>
          <w:highlight w:val="none"/>
        </w:rPr>
        <w:t>致：</w:t>
      </w:r>
      <w:r>
        <w:rPr>
          <w:rFonts w:hint="eastAsia" w:asciiTheme="minorEastAsia" w:hAnsiTheme="minorEastAsia"/>
          <w:snapToGrid w:val="0"/>
          <w:kern w:val="0"/>
          <w:szCs w:val="21"/>
          <w:highlight w:val="none"/>
          <w:lang w:val="en-US" w:eastAsia="zh-CN"/>
        </w:rPr>
        <w:t xml:space="preserve">   </w:t>
      </w:r>
      <w:r>
        <w:rPr>
          <w:rFonts w:hint="eastAsia" w:asciiTheme="minorEastAsia" w:hAnsiTheme="minorEastAsia" w:eastAsiaTheme="minorEastAsia"/>
          <w:color w:val="auto"/>
          <w:sz w:val="21"/>
          <w:szCs w:val="21"/>
          <w:highlight w:val="none"/>
        </w:rPr>
        <w:t>（采购人）</w:t>
      </w:r>
    </w:p>
    <w:p>
      <w:pPr>
        <w:adjustRightInd w:val="0"/>
        <w:spacing w:line="360" w:lineRule="auto"/>
        <w:ind w:firstLine="420" w:firstLineChars="200"/>
        <w:contextualSpacing/>
        <w:outlineLvl w:val="0"/>
        <w:rPr>
          <w:rFonts w:asciiTheme="minorEastAsia" w:hAnsiTheme="minorEastAsia"/>
          <w:snapToGrid w:val="0"/>
          <w:kern w:val="0"/>
          <w:szCs w:val="21"/>
          <w:highlight w:val="none"/>
        </w:rPr>
      </w:pPr>
      <w:r>
        <w:rPr>
          <w:rFonts w:hint="eastAsia" w:asciiTheme="minorEastAsia" w:hAnsiTheme="minorEastAsia"/>
          <w:snapToGrid w:val="0"/>
          <w:kern w:val="0"/>
          <w:szCs w:val="21"/>
          <w:highlight w:val="none"/>
        </w:rPr>
        <w:t>根据贵方</w:t>
      </w:r>
      <w:r>
        <w:rPr>
          <w:rFonts w:hint="eastAsia" w:asciiTheme="minorEastAsia" w:hAnsiTheme="minorEastAsia"/>
          <w:snapToGrid w:val="0"/>
          <w:kern w:val="0"/>
          <w:szCs w:val="21"/>
          <w:highlight w:val="none"/>
          <w:lang w:val="en-US" w:eastAsia="zh-CN"/>
        </w:rPr>
        <w:t xml:space="preserve">   </w:t>
      </w:r>
      <w:r>
        <w:rPr>
          <w:rFonts w:hint="eastAsia" w:asciiTheme="minorEastAsia" w:hAnsiTheme="minorEastAsia"/>
          <w:snapToGrid w:val="0"/>
          <w:kern w:val="0"/>
          <w:szCs w:val="21"/>
          <w:highlight w:val="none"/>
          <w:u w:val="single"/>
        </w:rPr>
        <w:t xml:space="preserve"> </w:t>
      </w:r>
      <w:r>
        <w:rPr>
          <w:rFonts w:hint="eastAsia" w:asciiTheme="minorEastAsia" w:hAnsiTheme="minorEastAsia"/>
          <w:snapToGrid w:val="0"/>
          <w:kern w:val="0"/>
          <w:szCs w:val="21"/>
          <w:highlight w:val="none"/>
          <w:u w:val="single"/>
          <w:lang w:val="en-US" w:eastAsia="zh-CN"/>
        </w:rPr>
        <w:t xml:space="preserve">       </w:t>
      </w:r>
      <w:r>
        <w:rPr>
          <w:rFonts w:hint="eastAsia" w:asciiTheme="minorEastAsia" w:hAnsiTheme="minorEastAsia"/>
          <w:snapToGrid w:val="0"/>
          <w:kern w:val="0"/>
          <w:szCs w:val="21"/>
          <w:highlight w:val="none"/>
          <w:u w:val="single"/>
        </w:rPr>
        <w:t xml:space="preserve">  </w:t>
      </w:r>
      <w:r>
        <w:rPr>
          <w:rFonts w:hint="eastAsia" w:asciiTheme="minorEastAsia" w:hAnsiTheme="minorEastAsia"/>
          <w:snapToGrid w:val="0"/>
          <w:kern w:val="0"/>
          <w:szCs w:val="21"/>
          <w:highlight w:val="none"/>
          <w:lang w:val="en-US" w:eastAsia="zh-CN"/>
        </w:rPr>
        <w:t xml:space="preserve">   </w:t>
      </w:r>
      <w:r>
        <w:rPr>
          <w:rFonts w:hint="eastAsia" w:asciiTheme="minorEastAsia" w:hAnsiTheme="minorEastAsia"/>
          <w:snapToGrid w:val="0"/>
          <w:kern w:val="0"/>
          <w:szCs w:val="21"/>
          <w:highlight w:val="none"/>
        </w:rPr>
        <w:t>（项目名称、招标编号）采购的招标公告及投标邀请，_______（姓名和职务）被正式授权并代表投标人（投标人名称、地址）提交。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highlight w:val="none"/>
        </w:rPr>
      </w:pPr>
      <w:r>
        <w:rPr>
          <w:rFonts w:hint="eastAsia" w:asciiTheme="minorEastAsia" w:hAnsiTheme="minorEastAsia" w:eastAsiaTheme="minorEastAsia"/>
          <w:snapToGrid w:val="0"/>
          <w:kern w:val="0"/>
          <w:sz w:val="21"/>
          <w:szCs w:val="21"/>
          <w:highlight w:val="none"/>
        </w:rPr>
        <w:t>我方确认收到贵方提供的（项目名称、招标编号）招标文件的全部内容。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highlight w:val="none"/>
        </w:rPr>
      </w:pPr>
      <w:r>
        <w:rPr>
          <w:rFonts w:hint="eastAsia" w:asciiTheme="minorEastAsia" w:hAnsiTheme="minorEastAsia" w:eastAsiaTheme="minorEastAsia"/>
          <w:snapToGrid w:val="0"/>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highlight w:val="none"/>
        </w:rPr>
        <w:t>已完全理解并接受招标文件的各项规定和要求及资金支付规定，对招标文件的合理性、合法性不再有异议，</w:t>
      </w:r>
      <w:r>
        <w:rPr>
          <w:rFonts w:hint="eastAsia" w:ascii="宋体" w:hAnsi="宋体"/>
          <w:sz w:val="21"/>
          <w:szCs w:val="21"/>
          <w:highlight w:val="none"/>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二、</w:t>
      </w:r>
      <w:r>
        <w:rPr>
          <w:rFonts w:hint="eastAsia" w:ascii="宋体" w:hAnsi="宋体"/>
          <w:szCs w:val="21"/>
          <w:highlight w:val="none"/>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9"/>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三、我方明白并同意，在规定的开标日之后，投标有效期之内撤销投标的，则我方承担违背投标承诺的责任追究。</w:t>
      </w:r>
    </w:p>
    <w:p>
      <w:pPr>
        <w:pStyle w:val="29"/>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四、我方同意按照贵方可能提出的要求而提供与投标有关的任何其它数据、信息或资料。</w:t>
      </w:r>
    </w:p>
    <w:p>
      <w:pPr>
        <w:pStyle w:val="29"/>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五、我方理解贵方不一定接受最低投标价或任何贵方可能收到的投标。</w:t>
      </w:r>
    </w:p>
    <w:p>
      <w:pPr>
        <w:pStyle w:val="29"/>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六、我方如果中标，将保证履行招标文件及其澄清、修改文件（如果有）中的全部责任和义务，按质、按量、按期完成《项目需求》及《合同书》中的全部任务。</w:t>
      </w:r>
    </w:p>
    <w:p>
      <w:pPr>
        <w:pStyle w:val="29"/>
        <w:adjustRightInd w:val="0"/>
        <w:spacing w:line="360" w:lineRule="auto"/>
        <w:ind w:firstLine="420" w:firstLineChars="200"/>
        <w:contextualSpacing/>
        <w:rPr>
          <w:rFonts w:cs="宋体"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5. 符合法律、行政法规规定的其他条件。</w:t>
      </w:r>
    </w:p>
    <w:p>
      <w:pPr>
        <w:adjustRightInd w:val="0"/>
        <w:spacing w:line="360" w:lineRule="auto"/>
        <w:ind w:firstLine="441" w:firstLineChars="210"/>
        <w:contextualSpacing/>
        <w:rPr>
          <w:rFonts w:cs="Arial" w:asciiTheme="minorEastAsia" w:hAnsiTheme="minorEastAsia"/>
          <w:szCs w:val="21"/>
          <w:highlight w:val="none"/>
        </w:rPr>
      </w:pPr>
      <w:r>
        <w:rPr>
          <w:rFonts w:hint="eastAsia" w:cs="宋体" w:asciiTheme="minorEastAsia" w:hAnsiTheme="minorEastAsia"/>
          <w:szCs w:val="21"/>
          <w:highlight w:val="none"/>
        </w:rPr>
        <w:t>以上内容如有虚假或与事实不符的，评审委员会可将</w:t>
      </w:r>
      <w:r>
        <w:rPr>
          <w:rFonts w:hint="eastAsia" w:cs="Arial" w:asciiTheme="minorEastAsia" w:hAnsiTheme="minorEastAsia"/>
          <w:szCs w:val="21"/>
          <w:highlight w:val="none"/>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十、我方具备履行合同所必需的设备和专业技术能力。</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十二、若我方中标，愿意向代理机构支付招标代理服务费。</w:t>
      </w:r>
    </w:p>
    <w:p>
      <w:pPr>
        <w:pStyle w:val="18"/>
        <w:adjustRightInd w:val="0"/>
        <w:snapToGrid w:val="0"/>
        <w:spacing w:line="360" w:lineRule="auto"/>
        <w:rPr>
          <w:rFonts w:asciiTheme="minorEastAsia" w:hAnsiTheme="minorEastAsia" w:eastAsiaTheme="minorEastAsia"/>
          <w:sz w:val="21"/>
          <w:szCs w:val="21"/>
          <w:highlight w:val="none"/>
        </w:rPr>
      </w:pPr>
    </w:p>
    <w:p>
      <w:pPr>
        <w:pStyle w:val="18"/>
        <w:adjustRightInd w:val="0"/>
        <w:snapToGrid w:val="0"/>
        <w:spacing w:line="360" w:lineRule="auto"/>
        <w:rPr>
          <w:rFonts w:asciiTheme="minorEastAsia" w:hAnsiTheme="minorEastAsia" w:eastAsiaTheme="minorEastAsia"/>
          <w:sz w:val="21"/>
          <w:szCs w:val="21"/>
          <w:highlight w:val="none"/>
        </w:rPr>
      </w:pPr>
    </w:p>
    <w:p>
      <w:pPr>
        <w:pStyle w:val="18"/>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地    址：  邮政编码：</w:t>
      </w:r>
    </w:p>
    <w:p>
      <w:pPr>
        <w:adjustRightInd w:val="0"/>
        <w:snapToGrid w:val="0"/>
        <w:spacing w:line="360" w:lineRule="auto"/>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电    话：  传    真：</w:t>
      </w:r>
    </w:p>
    <w:p>
      <w:pPr>
        <w:adjustRightInd w:val="0"/>
        <w:snapToGrid w:val="0"/>
        <w:spacing w:line="360" w:lineRule="auto"/>
        <w:ind w:firstLine="420" w:firstLineChars="200"/>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  职    务：</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3885" w:firstLineChars="1850"/>
        <w:rPr>
          <w:rFonts w:cs="宋体" w:asciiTheme="minorEastAsia" w:hAnsiTheme="minorEastAsia"/>
          <w:szCs w:val="21"/>
          <w:highlight w:val="none"/>
        </w:rPr>
      </w:pPr>
      <w:r>
        <w:rPr>
          <w:rFonts w:hint="eastAsia" w:cs="宋体" w:asciiTheme="minorEastAsia" w:hAnsiTheme="minorEastAsia"/>
          <w:szCs w:val="21"/>
          <w:highlight w:val="none"/>
        </w:rPr>
        <w:t>投标人名称（并加盖公章）：</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3885" w:firstLineChars="1850"/>
        <w:rPr>
          <w:rFonts w:cs="宋体" w:asciiTheme="minorEastAsia" w:hAnsiTheme="minorEastAsia"/>
          <w:szCs w:val="21"/>
          <w:highlight w:val="none"/>
        </w:rPr>
      </w:pPr>
      <w:r>
        <w:rPr>
          <w:rFonts w:hint="eastAsia" w:cs="宋体" w:asciiTheme="minorEastAsia" w:hAnsiTheme="minorEastAsia"/>
          <w:szCs w:val="21"/>
          <w:highlight w:val="none"/>
        </w:rPr>
        <w:t>日期：年月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rPr>
          <w:rFonts w:cs="宋体" w:asciiTheme="minorEastAsia" w:hAnsiTheme="minorEastAsia"/>
          <w:szCs w:val="21"/>
          <w:highlight w:val="none"/>
        </w:rPr>
      </w:pPr>
    </w:p>
    <w:p>
      <w:pPr>
        <w:spacing w:line="480" w:lineRule="exact"/>
        <w:jc w:val="center"/>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3.2 法定代表人（单位负责人）</w:t>
      </w:r>
      <w:r>
        <w:rPr>
          <w:rFonts w:asciiTheme="majorEastAsia" w:hAnsiTheme="majorEastAsia" w:eastAsiaTheme="majorEastAsia"/>
          <w:b/>
          <w:bCs/>
          <w:sz w:val="24"/>
          <w:szCs w:val="24"/>
          <w:highlight w:val="none"/>
        </w:rPr>
        <w:t>资</w:t>
      </w:r>
      <w:r>
        <w:rPr>
          <w:rFonts w:hint="eastAsia" w:asciiTheme="majorEastAsia" w:hAnsiTheme="majorEastAsia" w:eastAsiaTheme="majorEastAsia"/>
          <w:b/>
          <w:bCs/>
          <w:sz w:val="24"/>
          <w:szCs w:val="24"/>
          <w:highlight w:val="none"/>
        </w:rPr>
        <w:t>格</w:t>
      </w:r>
      <w:r>
        <w:rPr>
          <w:rFonts w:asciiTheme="majorEastAsia" w:hAnsiTheme="majorEastAsia" w:eastAsiaTheme="majorEastAsia"/>
          <w:b/>
          <w:bCs/>
          <w:sz w:val="24"/>
          <w:szCs w:val="24"/>
          <w:highlight w:val="none"/>
        </w:rPr>
        <w:t>证</w:t>
      </w:r>
      <w:r>
        <w:rPr>
          <w:rFonts w:hint="eastAsia" w:asciiTheme="majorEastAsia" w:hAnsiTheme="majorEastAsia" w:eastAsiaTheme="majorEastAsia"/>
          <w:b/>
          <w:bCs/>
          <w:sz w:val="24"/>
          <w:szCs w:val="24"/>
          <w:highlight w:val="none"/>
        </w:rPr>
        <w:t>明</w:t>
      </w:r>
      <w:r>
        <w:rPr>
          <w:rFonts w:asciiTheme="majorEastAsia" w:hAnsiTheme="majorEastAsia" w:eastAsiaTheme="majorEastAsia"/>
          <w:b/>
          <w:bCs/>
          <w:sz w:val="24"/>
          <w:szCs w:val="24"/>
          <w:highlight w:val="none"/>
        </w:rPr>
        <w:t>书</w:t>
      </w:r>
    </w:p>
    <w:p>
      <w:pPr>
        <w:autoSpaceDE w:val="0"/>
        <w:autoSpaceDN w:val="0"/>
        <w:adjustRightInd w:val="0"/>
        <w:spacing w:line="480" w:lineRule="auto"/>
        <w:ind w:firstLine="616" w:firstLineChars="257"/>
        <w:rPr>
          <w:rFonts w:ascii="宋体" w:hAnsi="宋体"/>
          <w:sz w:val="24"/>
          <w:szCs w:val="24"/>
          <w:highlight w:val="none"/>
        </w:rPr>
      </w:pPr>
    </w:p>
    <w:p>
      <w:pPr>
        <w:pStyle w:val="52"/>
        <w:spacing w:line="480" w:lineRule="auto"/>
        <w:ind w:firstLine="472" w:firstLineChars="225"/>
        <w:jc w:val="left"/>
        <w:rPr>
          <w:rFonts w:asciiTheme="minorEastAsia" w:hAnsiTheme="minorEastAsia"/>
          <w:sz w:val="21"/>
          <w:szCs w:val="21"/>
          <w:highlight w:val="none"/>
        </w:rPr>
      </w:pPr>
      <w:r>
        <w:rPr>
          <w:rFonts w:asciiTheme="minorEastAsia" w:hAnsiTheme="minorEastAsia"/>
          <w:sz w:val="21"/>
          <w:szCs w:val="21"/>
          <w:highlight w:val="none"/>
        </w:rPr>
        <w:t>单</w:t>
      </w:r>
      <w:r>
        <w:rPr>
          <w:rFonts w:hint="eastAsia" w:asciiTheme="minorEastAsia" w:hAnsiTheme="minorEastAsia"/>
          <w:sz w:val="21"/>
          <w:szCs w:val="21"/>
          <w:highlight w:val="none"/>
        </w:rPr>
        <w:t>位名</w:t>
      </w:r>
      <w:r>
        <w:rPr>
          <w:rFonts w:asciiTheme="minorEastAsia" w:hAnsiTheme="minorEastAsia"/>
          <w:sz w:val="21"/>
          <w:szCs w:val="21"/>
          <w:highlight w:val="none"/>
        </w:rPr>
        <w:t>称</w:t>
      </w:r>
      <w:r>
        <w:rPr>
          <w:rFonts w:hint="eastAsia" w:asciiTheme="minorEastAsia" w:hAnsiTheme="minorEastAsia"/>
          <w:sz w:val="21"/>
          <w:szCs w:val="21"/>
          <w:highlight w:val="none"/>
        </w:rPr>
        <w:t>：</w:t>
      </w:r>
    </w:p>
    <w:p>
      <w:pPr>
        <w:pStyle w:val="52"/>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地址：</w:t>
      </w:r>
    </w:p>
    <w:p>
      <w:pPr>
        <w:pStyle w:val="52"/>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姓名：       性</w:t>
      </w:r>
      <w:r>
        <w:rPr>
          <w:rFonts w:asciiTheme="minorEastAsia" w:hAnsiTheme="minorEastAsia"/>
          <w:sz w:val="21"/>
          <w:szCs w:val="21"/>
          <w:highlight w:val="none"/>
        </w:rPr>
        <w:t>别</w:t>
      </w:r>
      <w:r>
        <w:rPr>
          <w:rFonts w:hint="eastAsia" w:asciiTheme="minorEastAsia" w:hAnsiTheme="minorEastAsia"/>
          <w:sz w:val="21"/>
          <w:szCs w:val="21"/>
          <w:highlight w:val="none"/>
        </w:rPr>
        <w:t>：     年</w:t>
      </w:r>
      <w:r>
        <w:rPr>
          <w:rFonts w:asciiTheme="minorEastAsia" w:hAnsiTheme="minorEastAsia"/>
          <w:sz w:val="21"/>
          <w:szCs w:val="21"/>
          <w:highlight w:val="none"/>
        </w:rPr>
        <w:t>龄</w:t>
      </w:r>
      <w:r>
        <w:rPr>
          <w:rFonts w:hint="eastAsia" w:asciiTheme="minorEastAsia" w:hAnsiTheme="minorEastAsia"/>
          <w:sz w:val="21"/>
          <w:szCs w:val="21"/>
          <w:highlight w:val="none"/>
        </w:rPr>
        <w:t>：</w:t>
      </w:r>
      <w:r>
        <w:rPr>
          <w:rFonts w:asciiTheme="minorEastAsia" w:hAnsiTheme="minorEastAsia"/>
          <w:sz w:val="21"/>
          <w:szCs w:val="21"/>
          <w:highlight w:val="none"/>
        </w:rPr>
        <w:t xml:space="preserve">     职务</w:t>
      </w:r>
      <w:r>
        <w:rPr>
          <w:rFonts w:hint="eastAsia" w:asciiTheme="minorEastAsia" w:hAnsiTheme="minorEastAsia"/>
          <w:sz w:val="21"/>
          <w:szCs w:val="21"/>
          <w:highlight w:val="none"/>
        </w:rPr>
        <w:t xml:space="preserve">：        </w:t>
      </w:r>
    </w:p>
    <w:p>
      <w:pPr>
        <w:pStyle w:val="52"/>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本人系</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sz w:val="21"/>
          <w:szCs w:val="21"/>
          <w:highlight w:val="none"/>
        </w:rPr>
        <w:t>的法定代表人（单位负责人）。就</w:t>
      </w:r>
      <w:r>
        <w:rPr>
          <w:rFonts w:asciiTheme="minorEastAsia" w:hAnsiTheme="minorEastAsia"/>
          <w:sz w:val="21"/>
          <w:szCs w:val="21"/>
          <w:highlight w:val="none"/>
        </w:rPr>
        <w:t>参</w:t>
      </w:r>
      <w:r>
        <w:rPr>
          <w:rFonts w:hint="eastAsia" w:asciiTheme="minorEastAsia" w:hAnsiTheme="minorEastAsia"/>
          <w:sz w:val="21"/>
          <w:szCs w:val="21"/>
          <w:highlight w:val="none"/>
        </w:rPr>
        <w:t>加贵方招</w:t>
      </w:r>
      <w:r>
        <w:rPr>
          <w:rFonts w:asciiTheme="minorEastAsia" w:hAnsiTheme="minorEastAsia"/>
          <w:sz w:val="21"/>
          <w:szCs w:val="21"/>
          <w:highlight w:val="none"/>
        </w:rPr>
        <w:t>标编号为</w:t>
      </w:r>
      <w:r>
        <w:rPr>
          <w:rFonts w:asciiTheme="minorEastAsia" w:hAnsiTheme="minorEastAsia"/>
          <w:i/>
          <w:sz w:val="21"/>
          <w:szCs w:val="21"/>
          <w:highlight w:val="none"/>
          <w:u w:val="single"/>
        </w:rPr>
        <w:t>项目编号</w:t>
      </w:r>
      <w:r>
        <w:rPr>
          <w:rFonts w:hint="eastAsia" w:asciiTheme="minorEastAsia" w:hAnsiTheme="minorEastAsia"/>
          <w:sz w:val="21"/>
          <w:szCs w:val="21"/>
          <w:highlight w:val="none"/>
        </w:rPr>
        <w:t>的</w:t>
      </w:r>
      <w:r>
        <w:rPr>
          <w:rFonts w:asciiTheme="minorEastAsia" w:hAnsiTheme="minorEastAsia"/>
          <w:i/>
          <w:sz w:val="21"/>
          <w:szCs w:val="21"/>
          <w:highlight w:val="none"/>
          <w:u w:val="single"/>
        </w:rPr>
        <w:t>项目</w:t>
      </w:r>
      <w:r>
        <w:rPr>
          <w:rFonts w:hint="eastAsia" w:asciiTheme="minorEastAsia" w:hAnsiTheme="minorEastAsia"/>
          <w:i/>
          <w:sz w:val="21"/>
          <w:szCs w:val="21"/>
          <w:highlight w:val="none"/>
          <w:u w:val="single"/>
        </w:rPr>
        <w:t>名</w:t>
      </w:r>
      <w:r>
        <w:rPr>
          <w:rFonts w:asciiTheme="minorEastAsia" w:hAnsiTheme="minorEastAsia"/>
          <w:i/>
          <w:sz w:val="21"/>
          <w:szCs w:val="21"/>
          <w:highlight w:val="none"/>
          <w:u w:val="single"/>
        </w:rPr>
        <w:t>称</w:t>
      </w:r>
      <w:r>
        <w:rPr>
          <w:rFonts w:hint="eastAsia" w:asciiTheme="minorEastAsia" w:hAnsiTheme="minorEastAsia"/>
          <w:sz w:val="21"/>
          <w:szCs w:val="21"/>
          <w:highlight w:val="none"/>
        </w:rPr>
        <w:t>公</w:t>
      </w:r>
      <w:r>
        <w:rPr>
          <w:rFonts w:asciiTheme="minorEastAsia" w:hAnsiTheme="minorEastAsia"/>
          <w:sz w:val="21"/>
          <w:szCs w:val="21"/>
          <w:highlight w:val="none"/>
        </w:rPr>
        <w:t>开</w:t>
      </w:r>
      <w:r>
        <w:rPr>
          <w:rFonts w:hint="eastAsia" w:asciiTheme="minorEastAsia" w:hAnsiTheme="minorEastAsia"/>
          <w:sz w:val="21"/>
          <w:szCs w:val="21"/>
          <w:highlight w:val="none"/>
        </w:rPr>
        <w:t>招</w:t>
      </w:r>
      <w:r>
        <w:rPr>
          <w:rFonts w:asciiTheme="minorEastAsia" w:hAnsiTheme="minorEastAsia"/>
          <w:sz w:val="21"/>
          <w:szCs w:val="21"/>
          <w:highlight w:val="none"/>
        </w:rPr>
        <w:t>标项目</w:t>
      </w:r>
      <w:r>
        <w:rPr>
          <w:rFonts w:hint="eastAsia" w:asciiTheme="minorEastAsia" w:hAnsiTheme="minorEastAsia"/>
          <w:sz w:val="21"/>
          <w:szCs w:val="21"/>
          <w:highlight w:val="none"/>
        </w:rPr>
        <w:t>的投</w:t>
      </w:r>
      <w:r>
        <w:rPr>
          <w:rFonts w:asciiTheme="minorEastAsia" w:hAnsiTheme="minorEastAsia"/>
          <w:sz w:val="21"/>
          <w:szCs w:val="21"/>
          <w:highlight w:val="none"/>
        </w:rPr>
        <w:t>标报价</w:t>
      </w:r>
      <w:r>
        <w:rPr>
          <w:rFonts w:hint="eastAsia" w:asciiTheme="minorEastAsia" w:hAnsiTheme="minorEastAsia"/>
          <w:sz w:val="21"/>
          <w:szCs w:val="21"/>
          <w:highlight w:val="none"/>
        </w:rPr>
        <w:t>，</w:t>
      </w:r>
      <w:r>
        <w:rPr>
          <w:rFonts w:asciiTheme="minorEastAsia" w:hAnsiTheme="minorEastAsia"/>
          <w:sz w:val="21"/>
          <w:szCs w:val="21"/>
          <w:highlight w:val="none"/>
        </w:rPr>
        <w:t>签</w:t>
      </w:r>
      <w:r>
        <w:rPr>
          <w:rFonts w:hint="eastAsia" w:asciiTheme="minorEastAsia" w:hAnsiTheme="minorEastAsia"/>
          <w:sz w:val="21"/>
          <w:szCs w:val="21"/>
          <w:highlight w:val="none"/>
        </w:rPr>
        <w:t>署上</w:t>
      </w:r>
      <w:r>
        <w:rPr>
          <w:rFonts w:asciiTheme="minorEastAsia" w:hAnsiTheme="minorEastAsia"/>
          <w:sz w:val="21"/>
          <w:szCs w:val="21"/>
          <w:highlight w:val="none"/>
        </w:rPr>
        <w:t>述项目</w:t>
      </w:r>
      <w:r>
        <w:rPr>
          <w:rFonts w:hint="eastAsia" w:asciiTheme="minorEastAsia" w:hAnsiTheme="minorEastAsia"/>
          <w:sz w:val="21"/>
          <w:szCs w:val="21"/>
          <w:highlight w:val="none"/>
        </w:rPr>
        <w:t>的投</w:t>
      </w:r>
      <w:r>
        <w:rPr>
          <w:rFonts w:asciiTheme="minorEastAsia" w:hAnsiTheme="minorEastAsia"/>
          <w:sz w:val="21"/>
          <w:szCs w:val="21"/>
          <w:highlight w:val="none"/>
        </w:rPr>
        <w:t>标</w:t>
      </w:r>
      <w:r>
        <w:rPr>
          <w:rFonts w:hint="eastAsia" w:asciiTheme="minorEastAsia" w:hAnsiTheme="minorEastAsia"/>
          <w:sz w:val="21"/>
          <w:szCs w:val="21"/>
          <w:highlight w:val="none"/>
        </w:rPr>
        <w:t>文件及合同的</w:t>
      </w:r>
      <w:r>
        <w:rPr>
          <w:rFonts w:asciiTheme="minorEastAsia" w:hAnsiTheme="minorEastAsia"/>
          <w:sz w:val="21"/>
          <w:szCs w:val="21"/>
          <w:highlight w:val="none"/>
        </w:rPr>
        <w:t>执</w:t>
      </w:r>
      <w:r>
        <w:rPr>
          <w:rFonts w:hint="eastAsia" w:asciiTheme="minorEastAsia" w:hAnsiTheme="minorEastAsia"/>
          <w:sz w:val="21"/>
          <w:szCs w:val="21"/>
          <w:highlight w:val="none"/>
        </w:rPr>
        <w:t>行、完成、服</w:t>
      </w:r>
      <w:r>
        <w:rPr>
          <w:rFonts w:asciiTheme="minorEastAsia" w:hAnsiTheme="minorEastAsia"/>
          <w:sz w:val="21"/>
          <w:szCs w:val="21"/>
          <w:highlight w:val="none"/>
        </w:rPr>
        <w:t>务</w:t>
      </w:r>
      <w:r>
        <w:rPr>
          <w:rFonts w:hint="eastAsia" w:asciiTheme="minorEastAsia" w:hAnsiTheme="minorEastAsia"/>
          <w:sz w:val="21"/>
          <w:szCs w:val="21"/>
          <w:highlight w:val="none"/>
        </w:rPr>
        <w:t>和保修，</w:t>
      </w:r>
      <w:r>
        <w:rPr>
          <w:rFonts w:asciiTheme="minorEastAsia" w:hAnsiTheme="minorEastAsia"/>
          <w:sz w:val="21"/>
          <w:szCs w:val="21"/>
          <w:highlight w:val="none"/>
        </w:rPr>
        <w:t>签</w:t>
      </w:r>
      <w:r>
        <w:rPr>
          <w:rFonts w:hint="eastAsia" w:asciiTheme="minorEastAsia" w:hAnsiTheme="minorEastAsia"/>
          <w:sz w:val="21"/>
          <w:szCs w:val="21"/>
          <w:highlight w:val="none"/>
        </w:rPr>
        <w:t>署合同和</w:t>
      </w:r>
      <w:r>
        <w:rPr>
          <w:rFonts w:asciiTheme="minorEastAsia" w:hAnsiTheme="minorEastAsia"/>
          <w:sz w:val="21"/>
          <w:szCs w:val="21"/>
          <w:highlight w:val="none"/>
        </w:rPr>
        <w:t>处</w:t>
      </w:r>
      <w:r>
        <w:rPr>
          <w:rFonts w:hint="eastAsia" w:asciiTheme="minorEastAsia" w:hAnsiTheme="minorEastAsia"/>
          <w:sz w:val="21"/>
          <w:szCs w:val="21"/>
          <w:highlight w:val="none"/>
        </w:rPr>
        <w:t>理与之有</w:t>
      </w:r>
      <w:r>
        <w:rPr>
          <w:rFonts w:asciiTheme="minorEastAsia" w:hAnsiTheme="minorEastAsia"/>
          <w:sz w:val="21"/>
          <w:szCs w:val="21"/>
          <w:highlight w:val="none"/>
        </w:rPr>
        <w:t>关的</w:t>
      </w:r>
      <w:r>
        <w:rPr>
          <w:rFonts w:hint="eastAsia" w:asciiTheme="minorEastAsia" w:hAnsiTheme="minorEastAsia"/>
          <w:sz w:val="21"/>
          <w:szCs w:val="21"/>
          <w:highlight w:val="none"/>
        </w:rPr>
        <w:t>一切事</w:t>
      </w:r>
      <w:r>
        <w:rPr>
          <w:rFonts w:asciiTheme="minorEastAsia" w:hAnsiTheme="minorEastAsia"/>
          <w:sz w:val="21"/>
          <w:szCs w:val="21"/>
          <w:highlight w:val="none"/>
        </w:rPr>
        <w:t>务</w:t>
      </w:r>
      <w:r>
        <w:rPr>
          <w:rFonts w:hint="eastAsia" w:asciiTheme="minorEastAsia" w:hAnsiTheme="minorEastAsia"/>
          <w:sz w:val="21"/>
          <w:szCs w:val="21"/>
          <w:highlight w:val="none"/>
        </w:rPr>
        <w:t>。</w:t>
      </w:r>
    </w:p>
    <w:p>
      <w:pPr>
        <w:pStyle w:val="52"/>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特此</w:t>
      </w:r>
      <w:r>
        <w:rPr>
          <w:rFonts w:asciiTheme="minorEastAsia" w:hAnsiTheme="minorEastAsia"/>
          <w:sz w:val="21"/>
          <w:szCs w:val="21"/>
          <w:highlight w:val="none"/>
        </w:rPr>
        <w:t>证</w:t>
      </w:r>
      <w:r>
        <w:rPr>
          <w:rFonts w:hint="eastAsia" w:asciiTheme="minorEastAsia" w:hAnsiTheme="minorEastAsia"/>
          <w:sz w:val="21"/>
          <w:szCs w:val="21"/>
          <w:highlight w:val="none"/>
        </w:rPr>
        <w:t>明。</w:t>
      </w:r>
    </w:p>
    <w:p>
      <w:pPr>
        <w:pStyle w:val="52"/>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法定代表人（单位负责人）联系电话（手机）：</w:t>
      </w:r>
    </w:p>
    <w:p>
      <w:pPr>
        <w:pStyle w:val="52"/>
        <w:spacing w:line="480" w:lineRule="auto"/>
        <w:ind w:firstLine="472" w:firstLineChars="225"/>
        <w:jc w:val="left"/>
        <w:rPr>
          <w:rFonts w:asciiTheme="minorEastAsia" w:hAnsiTheme="minorEastAsia"/>
          <w:sz w:val="21"/>
          <w:szCs w:val="21"/>
          <w:highlight w:val="none"/>
        </w:rPr>
      </w:pPr>
    </w:p>
    <w:p>
      <w:pPr>
        <w:pStyle w:val="52"/>
        <w:spacing w:line="480" w:lineRule="auto"/>
        <w:ind w:left="-538" w:leftChars="-256" w:firstLine="539" w:firstLineChars="257"/>
        <w:jc w:val="center"/>
        <w:rPr>
          <w:rFonts w:asciiTheme="minorEastAsia" w:hAnsiTheme="minorEastAsia"/>
          <w:bCs/>
          <w:sz w:val="21"/>
          <w:szCs w:val="21"/>
          <w:highlight w:val="none"/>
        </w:rPr>
      </w:pPr>
      <w:r>
        <w:rPr>
          <w:rFonts w:hint="eastAsia" w:asciiTheme="minorEastAsia" w:hAnsiTheme="minorEastAsia"/>
          <w:bCs/>
          <w:sz w:val="21"/>
          <w:szCs w:val="21"/>
          <w:highlight w:val="none"/>
        </w:rPr>
        <w:t>【此</w:t>
      </w:r>
      <w:r>
        <w:rPr>
          <w:rFonts w:asciiTheme="minorEastAsia" w:hAnsiTheme="minorEastAsia"/>
          <w:bCs/>
          <w:sz w:val="21"/>
          <w:szCs w:val="21"/>
          <w:highlight w:val="none"/>
        </w:rPr>
        <w:t>处请</w:t>
      </w:r>
      <w:r>
        <w:rPr>
          <w:rFonts w:hint="eastAsia" w:asciiTheme="minorEastAsia" w:hAnsiTheme="minorEastAsia"/>
          <w:bCs/>
          <w:sz w:val="21"/>
          <w:szCs w:val="21"/>
          <w:highlight w:val="none"/>
        </w:rPr>
        <w:t>粘</w:t>
      </w:r>
      <w:r>
        <w:rPr>
          <w:rFonts w:asciiTheme="minorEastAsia" w:hAnsiTheme="minorEastAsia"/>
          <w:bCs/>
          <w:sz w:val="21"/>
          <w:szCs w:val="21"/>
          <w:highlight w:val="none"/>
        </w:rPr>
        <w:t>贴</w:t>
      </w:r>
      <w:r>
        <w:rPr>
          <w:rFonts w:hint="eastAsia" w:asciiTheme="minorEastAsia" w:hAnsiTheme="minorEastAsia"/>
          <w:bCs/>
          <w:sz w:val="21"/>
          <w:szCs w:val="21"/>
          <w:highlight w:val="none"/>
        </w:rPr>
        <w:t>法定代表人（单位负责人）身份</w:t>
      </w:r>
      <w:r>
        <w:rPr>
          <w:rFonts w:asciiTheme="minorEastAsia" w:hAnsiTheme="minorEastAsia"/>
          <w:bCs/>
          <w:sz w:val="21"/>
          <w:szCs w:val="21"/>
          <w:highlight w:val="none"/>
        </w:rPr>
        <w:t>证复</w:t>
      </w:r>
      <w:r>
        <w:rPr>
          <w:rFonts w:hint="eastAsia" w:asciiTheme="minorEastAsia" w:hAnsiTheme="minorEastAsia"/>
          <w:bCs/>
          <w:sz w:val="21"/>
          <w:szCs w:val="21"/>
          <w:highlight w:val="none"/>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szCs w:val="21"/>
          <w:highlight w:val="none"/>
          <w:u w:val="single"/>
        </w:rPr>
      </w:pPr>
      <w:r>
        <w:rPr>
          <w:rFonts w:hint="eastAsia" w:cs="Arial" w:asciiTheme="minorEastAsia" w:hAnsiTheme="minorEastAsia"/>
          <w:szCs w:val="21"/>
          <w:highlight w:val="none"/>
        </w:rPr>
        <w:t>投标人名称（并加盖公章）：</w:t>
      </w:r>
    </w:p>
    <w:p>
      <w:pPr>
        <w:pStyle w:val="55"/>
        <w:spacing w:before="60" w:line="480" w:lineRule="auto"/>
        <w:ind w:firstLine="3937" w:firstLineChars="1875"/>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签署日期：   年   月  日</w:t>
      </w:r>
    </w:p>
    <w:p>
      <w:pPr>
        <w:pStyle w:val="54"/>
        <w:spacing w:line="480" w:lineRule="auto"/>
        <w:rPr>
          <w:rFonts w:cs="Arial" w:asciiTheme="minorEastAsia" w:hAnsiTheme="minorEastAsia"/>
          <w:sz w:val="21"/>
          <w:szCs w:val="21"/>
          <w:highlight w:val="none"/>
        </w:rPr>
      </w:pPr>
    </w:p>
    <w:p>
      <w:pPr>
        <w:rPr>
          <w:szCs w:val="21"/>
          <w:highlight w:val="none"/>
        </w:rPr>
      </w:pPr>
    </w:p>
    <w:p>
      <w:pPr>
        <w:spacing w:line="320" w:lineRule="exact"/>
        <w:ind w:firstLine="420" w:firstLineChars="200"/>
        <w:rPr>
          <w:rFonts w:asciiTheme="minorEastAsia" w:hAnsiTheme="minorEastAsia"/>
          <w:bCs/>
          <w:kern w:val="12"/>
          <w:szCs w:val="21"/>
          <w:highlight w:val="none"/>
        </w:rPr>
      </w:pPr>
      <w:r>
        <w:rPr>
          <w:rFonts w:hint="eastAsia" w:asciiTheme="minorEastAsia" w:hAnsiTheme="minorEastAsia"/>
          <w:bCs/>
          <w:kern w:val="12"/>
          <w:szCs w:val="21"/>
          <w:highlight w:val="none"/>
        </w:rPr>
        <w:t>说明：法定代表人（单位负责人）</w:t>
      </w:r>
      <w:r>
        <w:rPr>
          <w:rFonts w:asciiTheme="minorEastAsia" w:hAnsiTheme="minorEastAsia"/>
          <w:bCs/>
          <w:kern w:val="12"/>
          <w:szCs w:val="21"/>
          <w:highlight w:val="none"/>
        </w:rPr>
        <w:t>参</w:t>
      </w:r>
      <w:r>
        <w:rPr>
          <w:rFonts w:hint="eastAsia" w:asciiTheme="minorEastAsia" w:hAnsiTheme="minorEastAsia"/>
          <w:bCs/>
          <w:kern w:val="12"/>
          <w:szCs w:val="21"/>
          <w:highlight w:val="none"/>
        </w:rPr>
        <w:t>加本招</w:t>
      </w:r>
      <w:r>
        <w:rPr>
          <w:rFonts w:asciiTheme="minorEastAsia" w:hAnsiTheme="minorEastAsia"/>
          <w:bCs/>
          <w:kern w:val="12"/>
          <w:szCs w:val="21"/>
          <w:highlight w:val="none"/>
        </w:rPr>
        <w:t>标项目</w:t>
      </w:r>
      <w:r>
        <w:rPr>
          <w:rFonts w:hint="eastAsia" w:asciiTheme="minorEastAsia" w:hAnsiTheme="minorEastAsia"/>
          <w:bCs/>
          <w:kern w:val="12"/>
          <w:szCs w:val="21"/>
          <w:highlight w:val="none"/>
        </w:rPr>
        <w:t>投</w:t>
      </w:r>
      <w:r>
        <w:rPr>
          <w:rFonts w:asciiTheme="minorEastAsia" w:hAnsiTheme="minorEastAsia"/>
          <w:bCs/>
          <w:kern w:val="12"/>
          <w:szCs w:val="21"/>
          <w:highlight w:val="none"/>
        </w:rPr>
        <w:t>标</w:t>
      </w:r>
      <w:r>
        <w:rPr>
          <w:rFonts w:hint="eastAsia" w:asciiTheme="minorEastAsia" w:hAnsiTheme="minorEastAsia"/>
          <w:bCs/>
          <w:kern w:val="12"/>
          <w:szCs w:val="21"/>
          <w:highlight w:val="none"/>
        </w:rPr>
        <w:t>的，</w:t>
      </w:r>
      <w:r>
        <w:rPr>
          <w:rFonts w:asciiTheme="minorEastAsia" w:hAnsiTheme="minorEastAsia"/>
          <w:bCs/>
          <w:kern w:val="12"/>
          <w:szCs w:val="21"/>
          <w:highlight w:val="none"/>
        </w:rPr>
        <w:t>仅须</w:t>
      </w:r>
      <w:r>
        <w:rPr>
          <w:rFonts w:hint="eastAsia" w:asciiTheme="minorEastAsia" w:hAnsiTheme="minorEastAsia"/>
          <w:bCs/>
          <w:kern w:val="12"/>
          <w:szCs w:val="21"/>
          <w:highlight w:val="none"/>
        </w:rPr>
        <w:t>出具此</w:t>
      </w:r>
      <w:r>
        <w:rPr>
          <w:rFonts w:asciiTheme="minorEastAsia" w:hAnsiTheme="minorEastAsia"/>
          <w:bCs/>
          <w:kern w:val="12"/>
          <w:szCs w:val="21"/>
          <w:highlight w:val="none"/>
        </w:rPr>
        <w:t>证</w:t>
      </w:r>
      <w:r>
        <w:rPr>
          <w:rFonts w:hint="eastAsia" w:asciiTheme="minorEastAsia" w:hAnsiTheme="minorEastAsia"/>
          <w:bCs/>
          <w:kern w:val="12"/>
          <w:szCs w:val="21"/>
          <w:highlight w:val="none"/>
        </w:rPr>
        <w:t>明</w:t>
      </w:r>
      <w:r>
        <w:rPr>
          <w:rFonts w:asciiTheme="minorEastAsia" w:hAnsiTheme="minorEastAsia"/>
          <w:bCs/>
          <w:kern w:val="12"/>
          <w:szCs w:val="21"/>
          <w:highlight w:val="none"/>
        </w:rPr>
        <w:t>书</w:t>
      </w:r>
      <w:r>
        <w:rPr>
          <w:rFonts w:hint="eastAsia" w:asciiTheme="minorEastAsia" w:hAnsiTheme="minorEastAsia"/>
          <w:bCs/>
          <w:kern w:val="12"/>
          <w:szCs w:val="21"/>
          <w:highlight w:val="none"/>
        </w:rPr>
        <w:t>。</w:t>
      </w:r>
    </w:p>
    <w:p>
      <w:pPr>
        <w:spacing w:line="480" w:lineRule="exact"/>
        <w:jc w:val="center"/>
        <w:rPr>
          <w:rFonts w:ascii="宋体" w:hAnsi="宋体"/>
          <w:b/>
          <w:bCs/>
          <w:sz w:val="36"/>
          <w:szCs w:val="36"/>
          <w:highlight w:val="none"/>
        </w:rPr>
      </w:pPr>
    </w:p>
    <w:p>
      <w:pPr>
        <w:widowControl/>
        <w:jc w:val="left"/>
        <w:rPr>
          <w:rFonts w:ascii="宋体" w:hAnsi="宋体"/>
          <w:b/>
          <w:bCs/>
          <w:sz w:val="24"/>
          <w:szCs w:val="24"/>
          <w:highlight w:val="none"/>
        </w:rPr>
      </w:pPr>
      <w:r>
        <w:rPr>
          <w:rFonts w:ascii="宋体" w:hAnsi="宋体"/>
          <w:b/>
          <w:bCs/>
          <w:sz w:val="24"/>
          <w:szCs w:val="24"/>
          <w:highlight w:val="none"/>
        </w:rPr>
        <w:br w:type="page"/>
      </w:r>
    </w:p>
    <w:p>
      <w:pPr>
        <w:spacing w:line="480" w:lineRule="exact"/>
        <w:jc w:val="center"/>
        <w:rPr>
          <w:rFonts w:ascii="宋体" w:hAnsi="宋体"/>
          <w:b/>
          <w:bCs/>
          <w:sz w:val="24"/>
          <w:szCs w:val="24"/>
          <w:highlight w:val="none"/>
        </w:rPr>
      </w:pPr>
      <w:r>
        <w:rPr>
          <w:rFonts w:hint="eastAsia" w:ascii="宋体" w:hAnsi="宋体"/>
          <w:b/>
          <w:bCs/>
          <w:sz w:val="24"/>
          <w:szCs w:val="24"/>
          <w:highlight w:val="none"/>
        </w:rPr>
        <w:t>3.3 法定代表人（单位负责人）授权书</w:t>
      </w:r>
    </w:p>
    <w:p>
      <w:pPr>
        <w:spacing w:line="480" w:lineRule="exact"/>
        <w:jc w:val="center"/>
        <w:rPr>
          <w:rFonts w:ascii="宋体" w:hAnsi="宋体"/>
          <w:b/>
          <w:bCs/>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cs="Arial" w:asciiTheme="minorEastAsia" w:hAnsiTheme="minorEastAsia"/>
          <w:szCs w:val="21"/>
          <w:highlight w:val="none"/>
        </w:rPr>
      </w:pPr>
      <w:r>
        <w:rPr>
          <w:rFonts w:hint="eastAsia" w:cs="Arial" w:asciiTheme="minorEastAsia" w:hAnsiTheme="minorEastAsia"/>
          <w:szCs w:val="21"/>
          <w:highlight w:val="none"/>
        </w:rPr>
        <w:t>法定代表人（单位负责人）： （签字或加盖名章）</w:t>
      </w:r>
    </w:p>
    <w:p>
      <w:pPr>
        <w:spacing w:line="480" w:lineRule="auto"/>
        <w:ind w:firstLine="420" w:firstLineChars="200"/>
        <w:rPr>
          <w:rFonts w:asciiTheme="minorEastAsia" w:hAnsiTheme="minorEastAsia"/>
          <w:szCs w:val="21"/>
          <w:highlight w:val="none"/>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授权代表：（签字或加盖名章）</w:t>
      </w:r>
    </w:p>
    <w:p>
      <w:pPr>
        <w:spacing w:line="480" w:lineRule="auto"/>
        <w:ind w:firstLine="420" w:firstLineChars="200"/>
        <w:rPr>
          <w:rFonts w:asciiTheme="minorEastAsia" w:hAnsiTheme="minorEastAsia"/>
          <w:szCs w:val="21"/>
          <w:highlight w:val="none"/>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授权代表联系电话（手机）：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21" w:name="_资格证明文件"/>
            <w:bookmarkEnd w:id="21"/>
            <w:bookmarkStart w:id="22"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22"/>
          </w:p>
        </w:tc>
        <w:tc>
          <w:tcPr>
            <w:tcW w:w="4492" w:type="dxa"/>
            <w:gridSpan w:val="2"/>
            <w:vAlign w:val="center"/>
          </w:tcPr>
          <w:p>
            <w:pPr>
              <w:jc w:val="center"/>
              <w:rPr>
                <w:rFonts w:asciiTheme="minorEastAsia" w:hAnsiTheme="minorEastAsia"/>
                <w:szCs w:val="21"/>
                <w:highlight w:val="none"/>
              </w:rPr>
            </w:pPr>
            <w:bookmarkStart w:id="23"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23"/>
          </w:p>
        </w:tc>
      </w:tr>
    </w:tbl>
    <w:p>
      <w:pPr>
        <w:widowControl/>
        <w:spacing w:before="100" w:beforeAutospacing="1" w:after="100" w:afterAutospacing="1" w:line="360" w:lineRule="auto"/>
        <w:jc w:val="center"/>
        <w:rPr>
          <w:rFonts w:ascii="宋体" w:hAnsi="宋体"/>
          <w:b/>
          <w:bCs/>
          <w:sz w:val="24"/>
          <w:szCs w:val="24"/>
          <w:highlight w:val="none"/>
        </w:rPr>
      </w:pPr>
      <w:r>
        <w:rPr>
          <w:rFonts w:hint="eastAsia" w:ascii="宋体" w:hAnsi="宋体"/>
          <w:b/>
          <w:bCs/>
          <w:sz w:val="24"/>
          <w:szCs w:val="24"/>
          <w:highlight w:val="none"/>
        </w:rPr>
        <w:t>3.4 投标承诺函</w:t>
      </w:r>
    </w:p>
    <w:p>
      <w:pPr>
        <w:autoSpaceDE w:val="0"/>
        <w:autoSpaceDN w:val="0"/>
        <w:snapToGrid w:val="0"/>
        <w:spacing w:line="360" w:lineRule="auto"/>
        <w:jc w:val="center"/>
        <w:rPr>
          <w:rFonts w:ascii="宋体" w:hAnsi="宋体"/>
          <w:b/>
          <w:bCs/>
          <w:sz w:val="24"/>
          <w:szCs w:val="24"/>
          <w:highlight w:val="none"/>
        </w:rPr>
      </w:pPr>
    </w:p>
    <w:p>
      <w:pPr>
        <w:spacing w:beforeLines="50" w:afterLines="50" w:line="360" w:lineRule="auto"/>
        <w:contextualSpacing/>
        <w:rPr>
          <w:rFonts w:ascii="宋体" w:hAnsi="宋体" w:eastAsia="宋体" w:cs="宋体"/>
          <w:szCs w:val="21"/>
          <w:highlight w:val="none"/>
          <w:lang w:val="zh-CN"/>
        </w:rPr>
      </w:pPr>
      <w:r>
        <w:rPr>
          <w:rFonts w:hint="eastAsia" w:ascii="宋体" w:hAnsi="宋体" w:eastAsia="宋体" w:cs="宋体"/>
          <w:color w:val="auto"/>
          <w:szCs w:val="21"/>
          <w:highlight w:val="none"/>
          <w:lang w:val="zh-CN"/>
        </w:rPr>
        <w:t>本企业郑重承诺：</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ascii="宋体" w:hAnsi="宋体" w:eastAsia="宋体" w:cs="宋体"/>
          <w:szCs w:val="21"/>
          <w:highlight w:val="none"/>
          <w:lang w:val="zh-CN"/>
        </w:rPr>
        <w:t>经研究，我</w:t>
      </w:r>
      <w:r>
        <w:rPr>
          <w:rFonts w:hint="eastAsia" w:cs="宋体" w:asciiTheme="minorEastAsia" w:hAnsiTheme="minorEastAsia"/>
          <w:szCs w:val="21"/>
          <w:highlight w:val="none"/>
          <w:lang w:val="zh-CN"/>
        </w:rPr>
        <w:t>方自愿参与贵方</w:t>
      </w:r>
      <w:r>
        <w:rPr>
          <w:rFonts w:ascii="宋体" w:hAnsi="宋体" w:eastAsia="宋体" w:cs="宋体"/>
          <w:szCs w:val="21"/>
          <w:highlight w:val="none"/>
          <w:lang w:val="zh-CN"/>
        </w:rPr>
        <w:t>____年____月____日________</w:t>
      </w:r>
      <w:r>
        <w:rPr>
          <w:rFonts w:hint="eastAsia" w:cs="宋体" w:asciiTheme="minorEastAsia" w:hAnsiTheme="minorEastAsia"/>
          <w:i/>
          <w:szCs w:val="21"/>
          <w:highlight w:val="none"/>
          <w:u w:val="single"/>
          <w:lang w:val="zh-CN"/>
        </w:rPr>
        <w:t>（招标编号、项目名称、标段）</w:t>
      </w:r>
      <w:r>
        <w:rPr>
          <w:rFonts w:hint="eastAsia" w:cs="宋体" w:asciiTheme="minorEastAsia" w:hAnsiTheme="minorEastAsia"/>
          <w:szCs w:val="21"/>
          <w:highlight w:val="none"/>
          <w:lang w:val="zh-CN"/>
        </w:rPr>
        <w:t>的</w:t>
      </w:r>
      <w:r>
        <w:rPr>
          <w:rFonts w:ascii="宋体" w:hAnsi="宋体" w:eastAsia="宋体" w:cs="宋体"/>
          <w:szCs w:val="21"/>
          <w:highlight w:val="none"/>
          <w:lang w:val="zh-CN"/>
        </w:rPr>
        <w:t>投标，</w:t>
      </w:r>
      <w:r>
        <w:rPr>
          <w:rFonts w:hint="eastAsia" w:cs="宋体" w:asciiTheme="minorEastAsia" w:hAnsiTheme="minorEastAsia"/>
          <w:szCs w:val="21"/>
          <w:highlight w:val="none"/>
          <w:lang w:val="zh-CN"/>
        </w:rPr>
        <w:t>将</w:t>
      </w:r>
      <w:r>
        <w:rPr>
          <w:rFonts w:ascii="宋体" w:hAnsi="宋体" w:eastAsia="宋体" w:cs="宋体"/>
          <w:szCs w:val="21"/>
          <w:highlight w:val="none"/>
          <w:lang w:val="zh-CN"/>
        </w:rPr>
        <w:t>严格</w:t>
      </w:r>
      <w:r>
        <w:rPr>
          <w:rFonts w:hint="eastAsia" w:cs="宋体" w:asciiTheme="minorEastAsia" w:hAnsiTheme="minorEastAsia"/>
          <w:szCs w:val="21"/>
          <w:highlight w:val="none"/>
          <w:lang w:val="zh-CN"/>
        </w:rPr>
        <w:t>遵守</w:t>
      </w:r>
      <w:r>
        <w:rPr>
          <w:rFonts w:ascii="宋体" w:hAnsi="宋体" w:eastAsia="宋体" w:cs="宋体"/>
          <w:szCs w:val="21"/>
          <w:highlight w:val="none"/>
          <w:lang w:val="zh-CN"/>
        </w:rPr>
        <w:t>《</w:t>
      </w:r>
      <w:r>
        <w:rPr>
          <w:rFonts w:hint="eastAsia" w:cs="宋体" w:asciiTheme="minorEastAsia" w:hAnsiTheme="minorEastAsia"/>
          <w:szCs w:val="21"/>
          <w:highlight w:val="none"/>
          <w:lang w:val="zh-CN"/>
        </w:rPr>
        <w:t>中华人民共和国政府采购</w:t>
      </w:r>
      <w:r>
        <w:rPr>
          <w:rFonts w:ascii="宋体" w:hAnsi="宋体" w:eastAsia="宋体" w:cs="宋体"/>
          <w:szCs w:val="21"/>
          <w:highlight w:val="none"/>
          <w:lang w:val="zh-CN"/>
        </w:rPr>
        <w:t>法》等</w:t>
      </w:r>
      <w:r>
        <w:rPr>
          <w:rFonts w:hint="eastAsia" w:cs="宋体" w:asciiTheme="minorEastAsia" w:hAnsiTheme="minorEastAsia"/>
          <w:szCs w:val="21"/>
          <w:highlight w:val="none"/>
          <w:lang w:val="zh-CN"/>
        </w:rPr>
        <w:t>相关</w:t>
      </w:r>
      <w:r>
        <w:rPr>
          <w:rFonts w:ascii="宋体" w:hAnsi="宋体" w:eastAsia="宋体" w:cs="宋体"/>
          <w:szCs w:val="21"/>
          <w:highlight w:val="none"/>
          <w:lang w:val="zh-CN"/>
        </w:rPr>
        <w:t>法律法规</w:t>
      </w:r>
      <w:r>
        <w:rPr>
          <w:rFonts w:hint="eastAsia" w:cs="宋体" w:asciiTheme="minorEastAsia" w:hAnsiTheme="minorEastAsia"/>
          <w:szCs w:val="21"/>
          <w:highlight w:val="none"/>
          <w:lang w:val="zh-CN"/>
        </w:rPr>
        <w:t>规定</w:t>
      </w:r>
      <w:r>
        <w:rPr>
          <w:rFonts w:cs="宋体" w:asciiTheme="minorEastAsia" w:hAnsiTheme="minorEastAsia"/>
          <w:szCs w:val="21"/>
          <w:highlight w:val="none"/>
          <w:lang w:val="zh-CN"/>
        </w:rPr>
        <w:t>，并无条件地遵守本次采购活动各项规定。我们郑重承诺：</w:t>
      </w:r>
      <w:r>
        <w:rPr>
          <w:rFonts w:hint="eastAsia" w:cs="宋体" w:asciiTheme="minorEastAsia" w:hAnsiTheme="minorEastAsia"/>
          <w:szCs w:val="21"/>
          <w:highlight w:val="none"/>
          <w:lang w:val="zh-CN"/>
        </w:rPr>
        <w:t>我方</w:t>
      </w:r>
      <w:r>
        <w:rPr>
          <w:rFonts w:cs="宋体" w:asciiTheme="minorEastAsia" w:hAnsiTheme="minorEastAsia"/>
          <w:szCs w:val="21"/>
          <w:highlight w:val="none"/>
          <w:lang w:val="zh-CN"/>
        </w:rPr>
        <w:t>如果在本次</w:t>
      </w:r>
      <w:r>
        <w:rPr>
          <w:rFonts w:hint="eastAsia" w:cs="宋体" w:asciiTheme="minorEastAsia" w:hAnsiTheme="minorEastAsia"/>
          <w:szCs w:val="21"/>
          <w:highlight w:val="none"/>
          <w:lang w:val="zh-CN"/>
        </w:rPr>
        <w:t>投标</w:t>
      </w:r>
      <w:r>
        <w:rPr>
          <w:rFonts w:cs="宋体" w:asciiTheme="minorEastAsia" w:hAnsiTheme="minorEastAsia"/>
          <w:szCs w:val="21"/>
          <w:highlight w:val="none"/>
          <w:lang w:val="zh-CN"/>
        </w:rPr>
        <w:t>活动中有</w:t>
      </w:r>
      <w:r>
        <w:rPr>
          <w:rFonts w:hint="eastAsia" w:cs="宋体" w:asciiTheme="minorEastAsia" w:hAnsiTheme="minorEastAsia"/>
          <w:szCs w:val="21"/>
          <w:highlight w:val="none"/>
          <w:lang w:val="zh-CN"/>
        </w:rPr>
        <w:t>下列</w:t>
      </w:r>
      <w:r>
        <w:rPr>
          <w:rFonts w:cs="宋体" w:asciiTheme="minorEastAsia" w:hAnsiTheme="minorEastAsia"/>
          <w:szCs w:val="21"/>
          <w:highlight w:val="none"/>
          <w:lang w:val="zh-CN"/>
        </w:rPr>
        <w:t>情形</w:t>
      </w:r>
      <w:r>
        <w:rPr>
          <w:rFonts w:hint="eastAsia" w:cs="宋体" w:asciiTheme="minorEastAsia" w:hAnsiTheme="minorEastAsia"/>
          <w:szCs w:val="21"/>
          <w:highlight w:val="none"/>
          <w:lang w:val="zh-CN"/>
        </w:rPr>
        <w:t>之一</w:t>
      </w:r>
      <w:r>
        <w:rPr>
          <w:rFonts w:cs="宋体" w:asciiTheme="minorEastAsia" w:hAnsiTheme="minorEastAsia"/>
          <w:szCs w:val="21"/>
          <w:highlight w:val="none"/>
          <w:lang w:val="zh-CN"/>
        </w:rPr>
        <w:t>的，愿接受政府采购</w:t>
      </w:r>
      <w:r>
        <w:rPr>
          <w:rFonts w:hint="eastAsia" w:cs="宋体" w:asciiTheme="minorEastAsia" w:hAnsiTheme="minorEastAsia"/>
          <w:szCs w:val="21"/>
          <w:highlight w:val="none"/>
          <w:lang w:val="zh-CN"/>
        </w:rPr>
        <w:t>监督管理</w:t>
      </w:r>
      <w:r>
        <w:rPr>
          <w:rFonts w:cs="宋体" w:asciiTheme="minorEastAsia" w:hAnsiTheme="minorEastAsia"/>
          <w:szCs w:val="21"/>
          <w:highlight w:val="none"/>
          <w:lang w:val="zh-CN"/>
        </w:rPr>
        <w:t>部门给予相关处罚并</w:t>
      </w:r>
      <w:r>
        <w:rPr>
          <w:rFonts w:hint="eastAsia" w:cs="宋体" w:asciiTheme="minorEastAsia" w:hAnsiTheme="minorEastAsia"/>
          <w:szCs w:val="21"/>
          <w:highlight w:val="none"/>
          <w:lang w:val="zh-CN"/>
        </w:rPr>
        <w:t>承诺依法</w:t>
      </w:r>
      <w:r>
        <w:rPr>
          <w:rFonts w:cs="宋体" w:asciiTheme="minorEastAsia" w:hAnsiTheme="minorEastAsia"/>
          <w:szCs w:val="21"/>
          <w:highlight w:val="none"/>
          <w:lang w:val="zh-CN"/>
        </w:rPr>
        <w:t>承担</w:t>
      </w:r>
      <w:r>
        <w:rPr>
          <w:rFonts w:hint="eastAsia" w:cs="宋体" w:asciiTheme="minorEastAsia" w:hAnsiTheme="minorEastAsia"/>
          <w:szCs w:val="21"/>
          <w:highlight w:val="none"/>
          <w:lang w:val="zh-CN"/>
        </w:rPr>
        <w:t>相关的经济赔偿责任和</w:t>
      </w:r>
      <w:r>
        <w:rPr>
          <w:rFonts w:cs="宋体" w:asciiTheme="minorEastAsia" w:hAnsiTheme="minorEastAsia"/>
          <w:szCs w:val="21"/>
          <w:highlight w:val="none"/>
          <w:lang w:val="zh-CN"/>
        </w:rPr>
        <w:t>法律责任。</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五、法律法规及本招标文件规定的其他严重违法行为。</w:t>
      </w:r>
    </w:p>
    <w:p>
      <w:pPr>
        <w:rPr>
          <w:sz w:val="28"/>
          <w:szCs w:val="28"/>
          <w:highlight w:val="none"/>
          <w:u w:val="single"/>
        </w:rPr>
      </w:pPr>
    </w:p>
    <w:p>
      <w:pPr>
        <w:rPr>
          <w:sz w:val="28"/>
          <w:szCs w:val="28"/>
          <w:highlight w:val="none"/>
          <w:u w:val="single"/>
        </w:rPr>
      </w:pPr>
    </w:p>
    <w:p>
      <w:pPr>
        <w:spacing w:line="480" w:lineRule="auto"/>
        <w:ind w:firstLine="4357" w:firstLineChars="2075"/>
        <w:rPr>
          <w:rFonts w:cs="Arial" w:asciiTheme="minorEastAsia" w:hAnsiTheme="minorEastAsia"/>
          <w:szCs w:val="21"/>
          <w:highlight w:val="none"/>
        </w:rPr>
      </w:pPr>
      <w:r>
        <w:rPr>
          <w:rFonts w:hint="eastAsia" w:cs="Arial" w:asciiTheme="minorEastAsia" w:hAnsiTheme="minorEastAsia"/>
          <w:szCs w:val="21"/>
          <w:highlight w:val="none"/>
        </w:rPr>
        <w:t>投标人名称（并加盖公章）：　　　　　　　　　</w:t>
      </w:r>
    </w:p>
    <w:p>
      <w:pPr>
        <w:spacing w:line="480" w:lineRule="auto"/>
        <w:ind w:firstLine="4357" w:firstLineChars="2075"/>
        <w:rPr>
          <w:rFonts w:cs="Arial" w:asciiTheme="minorEastAsia" w:hAnsiTheme="minorEastAsia"/>
          <w:szCs w:val="21"/>
          <w:highlight w:val="none"/>
        </w:rPr>
      </w:pPr>
      <w:r>
        <w:rPr>
          <w:rFonts w:hint="eastAsia" w:cs="Arial" w:asciiTheme="minorEastAsia" w:hAnsiTheme="minorEastAsia"/>
          <w:szCs w:val="21"/>
          <w:highlight w:val="none"/>
        </w:rPr>
        <w:t>日　  期：      年    月    日</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spacing w:line="360" w:lineRule="auto"/>
        <w:jc w:val="center"/>
        <w:rPr>
          <w:rFonts w:ascii="宋体" w:hAnsi="宋体"/>
          <w:b/>
          <w:bCs/>
          <w:sz w:val="24"/>
          <w:szCs w:val="24"/>
          <w:highlight w:val="none"/>
        </w:rPr>
      </w:pPr>
      <w:r>
        <w:rPr>
          <w:rFonts w:hint="eastAsia" w:ascii="宋体" w:hAnsi="宋体"/>
          <w:b/>
          <w:bCs/>
          <w:sz w:val="24"/>
          <w:szCs w:val="24"/>
          <w:highlight w:val="none"/>
        </w:rPr>
        <w:t>3.5禹州市政府采购供应商信用承诺函</w:t>
      </w:r>
    </w:p>
    <w:p>
      <w:pPr>
        <w:rPr>
          <w:rFonts w:cs="宋体" w:asciiTheme="minorEastAsia" w:hAnsiTheme="minorEastAsia"/>
          <w:szCs w:val="21"/>
          <w:highlight w:val="none"/>
          <w:lang w:val="zh-CN"/>
        </w:rPr>
      </w:pPr>
    </w:p>
    <w:p>
      <w:pPr>
        <w:spacing w:line="600" w:lineRule="exact"/>
        <w:rPr>
          <w:rFonts w:cs="宋体" w:asciiTheme="minorEastAsia" w:hAnsiTheme="minorEastAsia"/>
          <w:szCs w:val="21"/>
          <w:highlight w:val="none"/>
          <w:lang w:val="zh-CN"/>
        </w:rPr>
      </w:pPr>
      <w:r>
        <w:rPr>
          <w:rFonts w:cs="宋体" w:asciiTheme="minorEastAsia" w:hAnsiTheme="minorEastAsia"/>
          <w:szCs w:val="21"/>
          <w:highlight w:val="none"/>
          <w:lang w:val="zh-CN"/>
        </w:rPr>
        <w:t>致（采购人或采购代理机构）：</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单位名称（自然人姓名）:</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统一社会信用代码（身份证号码）:</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法定代表人（负责人）:</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联系地址和电话：</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（一）具有独立承担民事责任的能力；</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（二）具有良好的商业信誉和健全的财务会计制度；</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（三）具有履行合同所必需的设备和专业技术能力；</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（四）有依法缴纳税收和社会保障资金的良好记录；</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（五）参加政府采购活动前三年内，在经营活动中没有重大违法记录；</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（七）未被相关监管部门作出行政处罚且尚在处罚有效期的；</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（八）未曾作出虚假采购承诺</w:t>
      </w:r>
      <w:r>
        <w:rPr>
          <w:rFonts w:hint="eastAsia" w:cs="宋体" w:asciiTheme="minorEastAsia" w:hAnsiTheme="minorEastAsia"/>
          <w:szCs w:val="21"/>
          <w:highlight w:val="none"/>
          <w:lang w:val="en-US" w:eastAsia="zh-CN"/>
        </w:rPr>
        <w:t>或提供过虚假材料</w:t>
      </w:r>
      <w:r>
        <w:rPr>
          <w:rFonts w:cs="宋体" w:asciiTheme="minorEastAsia" w:hAnsiTheme="minorEastAsia"/>
          <w:szCs w:val="21"/>
          <w:highlight w:val="none"/>
          <w:lang w:val="zh-CN"/>
        </w:rPr>
        <w:t>；</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（九）符合法律、行政法规规定的其他条件。</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供应商（电子章）:</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法定代表人、负责人、本人、或授权代表（签字或电子印章）:</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日期：年月日</w:t>
      </w:r>
    </w:p>
    <w:p>
      <w:pPr>
        <w:rPr>
          <w:rFonts w:cs="宋体" w:asciiTheme="minorEastAsia" w:hAnsiTheme="minorEastAsia"/>
          <w:szCs w:val="21"/>
          <w:highlight w:val="none"/>
          <w:lang w:val="zh-CN"/>
        </w:rPr>
      </w:pPr>
    </w:p>
    <w:p>
      <w:pPr>
        <w:rPr>
          <w:rFonts w:ascii="仿宋" w:hAnsi="仿宋" w:eastAsia="仿宋" w:cs="华文仿宋"/>
          <w:szCs w:val="21"/>
          <w:highlight w:val="none"/>
        </w:rPr>
      </w:pPr>
    </w:p>
    <w:p>
      <w:pPr>
        <w:rPr>
          <w:rFonts w:ascii="仿宋" w:hAnsi="仿宋" w:eastAsia="仿宋"/>
          <w:highlight w:val="none"/>
        </w:rPr>
      </w:pPr>
      <w:r>
        <w:rPr>
          <w:rFonts w:ascii="仿宋" w:hAnsi="仿宋" w:eastAsia="仿宋" w:cs="华文仿宋"/>
          <w:szCs w:val="21"/>
          <w:highlight w:val="none"/>
        </w:rPr>
        <w:t>注：1.供应商须在</w:t>
      </w:r>
      <w:r>
        <w:rPr>
          <w:rFonts w:hint="eastAsia" w:ascii="仿宋" w:hAnsi="仿宋" w:eastAsia="仿宋" w:cs="华文仿宋"/>
          <w:szCs w:val="21"/>
          <w:highlight w:val="none"/>
          <w:lang w:eastAsia="zh-CN"/>
        </w:rPr>
        <w:t>招标</w:t>
      </w:r>
      <w:r>
        <w:rPr>
          <w:rFonts w:ascii="仿宋" w:hAnsi="仿宋" w:eastAsia="仿宋" w:cs="华文仿宋"/>
          <w:szCs w:val="21"/>
          <w:highlight w:val="none"/>
        </w:rPr>
        <w:t>文件中按此模板提供承诺函，未提供视为未实质性响应</w:t>
      </w:r>
      <w:r>
        <w:rPr>
          <w:rFonts w:hint="eastAsia" w:ascii="仿宋" w:hAnsi="仿宋" w:eastAsia="仿宋" w:cs="华文仿宋"/>
          <w:szCs w:val="21"/>
          <w:highlight w:val="none"/>
          <w:lang w:eastAsia="zh-CN"/>
        </w:rPr>
        <w:t>招标</w:t>
      </w:r>
      <w:r>
        <w:rPr>
          <w:rFonts w:ascii="仿宋" w:hAnsi="仿宋" w:eastAsia="仿宋" w:cs="华文仿宋"/>
          <w:szCs w:val="21"/>
          <w:highlight w:val="none"/>
        </w:rPr>
        <w:t>文件要求，按无效投标处理。</w:t>
      </w:r>
    </w:p>
    <w:p>
      <w:pPr>
        <w:rPr>
          <w:rFonts w:ascii="仿宋" w:hAnsi="仿宋" w:eastAsia="仿宋"/>
          <w:highlight w:val="none"/>
        </w:rPr>
      </w:pPr>
      <w:r>
        <w:rPr>
          <w:rFonts w:ascii="仿宋" w:hAnsi="仿宋" w:eastAsia="仿宋" w:cs="华文仿宋"/>
          <w:szCs w:val="21"/>
          <w:highlight w:val="none"/>
        </w:rPr>
        <w:t>2.供应商的法定代表人或者授权代表的签字或盖章应真实、有效，如由授权代表签字或盖章的，应提供“法定代表人授权书”。</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pStyle w:val="2"/>
        <w:rPr>
          <w:rFonts w:ascii="宋体" w:cs="宋体"/>
          <w:sz w:val="24"/>
          <w:highlight w:val="none"/>
          <w:lang w:val="zh-CN"/>
        </w:rPr>
      </w:pPr>
    </w:p>
    <w:p>
      <w:pPr>
        <w:pStyle w:val="2"/>
        <w:rPr>
          <w:rFonts w:ascii="宋体" w:cs="宋体"/>
          <w:sz w:val="24"/>
          <w:highlight w:val="none"/>
          <w:lang w:val="zh-CN"/>
        </w:rPr>
      </w:pPr>
    </w:p>
    <w:p>
      <w:pPr>
        <w:pStyle w:val="2"/>
        <w:rPr>
          <w:rFonts w:ascii="宋体" w:cs="宋体"/>
          <w:sz w:val="24"/>
          <w:highlight w:val="none"/>
          <w:lang w:val="zh-CN"/>
        </w:rPr>
      </w:pPr>
    </w:p>
    <w:p>
      <w:pPr>
        <w:spacing w:line="360" w:lineRule="auto"/>
        <w:rPr>
          <w:rFonts w:ascii="宋体" w:hAnsi="宋体"/>
          <w:b/>
          <w:bCs/>
          <w:sz w:val="24"/>
          <w:szCs w:val="24"/>
          <w:highlight w:val="none"/>
        </w:rPr>
      </w:pPr>
    </w:p>
    <w:p>
      <w:pPr>
        <w:spacing w:line="360" w:lineRule="auto"/>
        <w:jc w:val="center"/>
        <w:rPr>
          <w:rFonts w:ascii="宋体" w:hAnsi="宋体"/>
          <w:b/>
          <w:bCs/>
          <w:sz w:val="24"/>
          <w:szCs w:val="24"/>
          <w:highlight w:val="none"/>
        </w:rPr>
      </w:pPr>
    </w:p>
    <w:p>
      <w:pPr>
        <w:spacing w:line="360" w:lineRule="auto"/>
        <w:jc w:val="center"/>
        <w:rPr>
          <w:rFonts w:ascii="宋体" w:hAnsi="宋体"/>
          <w:b/>
          <w:bCs/>
          <w:sz w:val="24"/>
          <w:szCs w:val="24"/>
          <w:highlight w:val="none"/>
        </w:rPr>
      </w:pPr>
      <w:r>
        <w:rPr>
          <w:rFonts w:hint="eastAsia" w:ascii="宋体" w:hAnsi="宋体"/>
          <w:b/>
          <w:bCs/>
          <w:sz w:val="24"/>
          <w:szCs w:val="24"/>
          <w:highlight w:val="none"/>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highlight w:val="none"/>
        </w:rPr>
      </w:pPr>
      <w:r>
        <w:rPr>
          <w:rFonts w:hint="eastAsia" w:ascii="宋体" w:hAnsi="宋体"/>
          <w:bCs/>
          <w:sz w:val="24"/>
          <w:szCs w:val="24"/>
          <w:highlight w:val="none"/>
        </w:rPr>
        <w:t>（承诺函格式自拟）</w:t>
      </w:r>
    </w:p>
    <w:p>
      <w:pPr>
        <w:autoSpaceDE w:val="0"/>
        <w:autoSpaceDN w:val="0"/>
        <w:adjustRightInd w:val="0"/>
        <w:spacing w:line="360" w:lineRule="auto"/>
        <w:jc w:val="center"/>
        <w:outlineLvl w:val="0"/>
        <w:rPr>
          <w:rFonts w:ascii="宋体" w:hAnsi="宋体"/>
          <w:b/>
          <w:bCs/>
          <w:sz w:val="24"/>
          <w:szCs w:val="24"/>
          <w:highlight w:val="none"/>
        </w:rPr>
      </w:pPr>
    </w:p>
    <w:p>
      <w:pPr>
        <w:widowControl/>
        <w:jc w:val="left"/>
        <w:rPr>
          <w:rFonts w:ascii="宋体" w:hAnsi="宋体"/>
          <w:b/>
          <w:bCs/>
          <w:sz w:val="24"/>
          <w:szCs w:val="24"/>
          <w:highlight w:val="none"/>
        </w:rPr>
      </w:pPr>
      <w:r>
        <w:rPr>
          <w:rFonts w:hint="eastAsia" w:ascii="宋体" w:hAnsi="宋体"/>
          <w:b/>
          <w:bCs/>
          <w:sz w:val="24"/>
          <w:szCs w:val="24"/>
          <w:highlight w:val="none"/>
        </w:rPr>
        <w:t>3.7投标人提供未为本项目提供整体设计、规范编制或者项目管理、监理、检测等服务承诺函</w:t>
      </w:r>
    </w:p>
    <w:p>
      <w:pPr>
        <w:spacing w:line="360" w:lineRule="auto"/>
        <w:jc w:val="center"/>
        <w:rPr>
          <w:rFonts w:ascii="宋体" w:hAnsi="宋体"/>
          <w:bCs/>
          <w:sz w:val="24"/>
          <w:szCs w:val="24"/>
          <w:highlight w:val="none"/>
        </w:rPr>
      </w:pPr>
      <w:r>
        <w:rPr>
          <w:rFonts w:hint="eastAsia" w:ascii="宋体" w:hAnsi="宋体"/>
          <w:bCs/>
          <w:sz w:val="24"/>
          <w:szCs w:val="24"/>
          <w:highlight w:val="none"/>
        </w:rPr>
        <w:t>（承诺函格式自拟）</w:t>
      </w:r>
    </w:p>
    <w:p>
      <w:pPr>
        <w:spacing w:line="360" w:lineRule="auto"/>
        <w:jc w:val="center"/>
        <w:rPr>
          <w:rFonts w:ascii="宋体" w:hAnsi="宋体"/>
          <w:bCs/>
          <w:sz w:val="24"/>
          <w:szCs w:val="24"/>
          <w:highlight w:val="none"/>
        </w:rPr>
      </w:pPr>
    </w:p>
    <w:p>
      <w:pPr>
        <w:spacing w:line="360" w:lineRule="auto"/>
        <w:jc w:val="center"/>
        <w:rPr>
          <w:rFonts w:ascii="宋体" w:hAnsi="宋体"/>
          <w:bCs/>
          <w:sz w:val="24"/>
          <w:szCs w:val="24"/>
          <w:highlight w:val="none"/>
        </w:rPr>
      </w:pPr>
    </w:p>
    <w:p>
      <w:pPr>
        <w:spacing w:line="360" w:lineRule="auto"/>
        <w:jc w:val="center"/>
        <w:rPr>
          <w:rFonts w:ascii="宋体" w:hAnsi="宋体"/>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3.8 其他资格证书或材料</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4.1 技术方案（实施方案）</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4.2 业绩情况表</w:t>
      </w:r>
    </w:p>
    <w:p>
      <w:pPr>
        <w:autoSpaceDE w:val="0"/>
        <w:autoSpaceDN w:val="0"/>
        <w:adjustRightInd w:val="0"/>
        <w:spacing w:line="360" w:lineRule="auto"/>
        <w:jc w:val="center"/>
        <w:outlineLvl w:val="0"/>
        <w:rPr>
          <w:rFonts w:ascii="宋体" w:hAnsi="宋体"/>
          <w:b/>
          <w:bCs/>
          <w:sz w:val="28"/>
          <w:szCs w:val="28"/>
          <w:highlight w:val="none"/>
        </w:rPr>
      </w:pPr>
    </w:p>
    <w:p>
      <w:pPr>
        <w:spacing w:before="50"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snapToGrid w:val="0"/>
        <w:spacing w:line="360" w:lineRule="auto"/>
        <w:rPr>
          <w:rFonts w:asciiTheme="minorEastAsia" w:hAnsiTheme="minorEastAsia"/>
          <w:szCs w:val="21"/>
          <w:highlight w:val="none"/>
        </w:rPr>
      </w:pPr>
      <w:r>
        <w:rPr>
          <w:rFonts w:hint="eastAsia" w:asciiTheme="minorEastAsia" w:hAnsiTheme="minorEastAsia"/>
          <w:szCs w:val="21"/>
          <w:highlight w:val="none"/>
        </w:rPr>
        <w:t xml:space="preserve">项目名称：   </w:t>
      </w:r>
    </w:p>
    <w:p>
      <w:pPr>
        <w:snapToGrid w:val="0"/>
        <w:spacing w:line="360" w:lineRule="auto"/>
        <w:rPr>
          <w:rFonts w:hAnsi="宋体" w:eastAsia="宋体"/>
          <w:b/>
          <w:snapToGrid w:val="0"/>
          <w:kern w:val="0"/>
          <w:szCs w:val="21"/>
          <w:highlight w:val="none"/>
        </w:rPr>
      </w:pP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投标人（并加盖公章）：</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4.3 售后服务方案</w:t>
      </w:r>
    </w:p>
    <w:p>
      <w:pPr>
        <w:autoSpaceDE w:val="0"/>
        <w:autoSpaceDN w:val="0"/>
        <w:adjustRightInd w:val="0"/>
        <w:spacing w:line="360" w:lineRule="auto"/>
        <w:jc w:val="center"/>
        <w:outlineLvl w:val="0"/>
        <w:rPr>
          <w:rFonts w:ascii="宋体" w:hAnsi="宋体"/>
          <w:b/>
          <w:bCs/>
          <w:sz w:val="36"/>
          <w:szCs w:val="36"/>
          <w:highlight w:val="none"/>
        </w:rPr>
      </w:pPr>
    </w:p>
    <w:p>
      <w:pPr>
        <w:autoSpaceDE w:val="0"/>
        <w:autoSpaceDN w:val="0"/>
        <w:adjustRightInd w:val="0"/>
        <w:spacing w:line="360" w:lineRule="auto"/>
        <w:jc w:val="center"/>
        <w:outlineLvl w:val="0"/>
        <w:rPr>
          <w:rFonts w:ascii="宋体" w:hAnsi="宋体"/>
          <w:b/>
          <w:bCs/>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highlight w:val="none"/>
        </w:rPr>
      </w:pPr>
    </w:p>
    <w:p>
      <w:pPr>
        <w:autoSpaceDE w:val="0"/>
        <w:autoSpaceDN w:val="0"/>
        <w:adjustRightInd w:val="0"/>
        <w:spacing w:line="360" w:lineRule="auto"/>
        <w:jc w:val="center"/>
        <w:outlineLvl w:val="0"/>
        <w:rPr>
          <w:rFonts w:ascii="宋体" w:hAnsi="宋体"/>
          <w:b/>
          <w:bCs/>
          <w:sz w:val="36"/>
          <w:szCs w:val="36"/>
          <w:highlight w:val="none"/>
        </w:rPr>
      </w:pPr>
    </w:p>
    <w:p>
      <w:pPr>
        <w:autoSpaceDE w:val="0"/>
        <w:autoSpaceDN w:val="0"/>
        <w:adjustRightInd w:val="0"/>
        <w:spacing w:line="360" w:lineRule="auto"/>
        <w:jc w:val="center"/>
        <w:outlineLvl w:val="0"/>
        <w:rPr>
          <w:rFonts w:ascii="宋体" w:hAnsi="宋体"/>
          <w:b/>
          <w:bCs/>
          <w:sz w:val="36"/>
          <w:szCs w:val="36"/>
          <w:highlight w:val="none"/>
        </w:rPr>
      </w:pPr>
    </w:p>
    <w:p>
      <w:pPr>
        <w:shd w:val="clear" w:color="auto" w:fill="FFFFFF"/>
        <w:spacing w:before="100" w:beforeAutospacing="1" w:after="100" w:afterAutospacing="1" w:line="435" w:lineRule="atLeast"/>
        <w:jc w:val="center"/>
        <w:rPr>
          <w:rFonts w:ascii="宋体" w:hAnsi="宋体" w:eastAsia="宋体" w:cs="Arial"/>
          <w:b/>
          <w:bCs/>
          <w:color w:val="333333"/>
          <w:kern w:val="0"/>
          <w:sz w:val="29"/>
          <w:highlight w:val="none"/>
        </w:rPr>
      </w:pPr>
      <w:r>
        <w:rPr>
          <w:rFonts w:hint="eastAsia" w:ascii="宋体" w:hAnsi="宋体"/>
          <w:b/>
          <w:bCs/>
          <w:sz w:val="24"/>
          <w:szCs w:val="24"/>
          <w:highlight w:val="none"/>
        </w:rPr>
        <w:t>4.4</w:t>
      </w:r>
      <w:r>
        <w:rPr>
          <w:rFonts w:hint="eastAsia" w:ascii="宋体" w:hAnsi="宋体" w:eastAsia="宋体" w:cs="Arial"/>
          <w:b/>
          <w:bCs/>
          <w:color w:val="333333"/>
          <w:kern w:val="0"/>
          <w:sz w:val="29"/>
          <w:highlight w:val="none"/>
        </w:rPr>
        <w:t>中小企业声明函（服务）</w:t>
      </w:r>
    </w:p>
    <w:p>
      <w:pPr>
        <w:widowControl/>
        <w:spacing w:before="100" w:beforeAutospacing="1" w:after="100" w:afterAutospacing="1" w:line="360" w:lineRule="auto"/>
        <w:ind w:firstLine="420"/>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本公司</w:t>
      </w:r>
      <w:r>
        <w:rPr>
          <w:rFonts w:hint="eastAsia" w:ascii="宋体" w:hAnsi="宋体" w:eastAsia="宋体" w:cs="宋体"/>
          <w:color w:val="333333"/>
          <w:kern w:val="0"/>
          <w:szCs w:val="21"/>
          <w:highlight w:val="none"/>
        </w:rPr>
        <w:t>（联合体）</w:t>
      </w:r>
      <w:r>
        <w:rPr>
          <w:rFonts w:hint="eastAsia" w:ascii="宋体" w:hAnsi="宋体" w:eastAsia="宋体" w:cs="宋体"/>
          <w:kern w:val="0"/>
          <w:szCs w:val="21"/>
          <w:highlight w:val="none"/>
        </w:rPr>
        <w:t>郑重声明，根据《政府采购促进中小企业发展管理办法》（财库[2020]46号）的规定，本公司</w:t>
      </w:r>
      <w:r>
        <w:rPr>
          <w:rFonts w:hint="eastAsia" w:ascii="宋体" w:hAnsi="宋体" w:eastAsia="宋体" w:cs="宋体"/>
          <w:color w:val="333333"/>
          <w:kern w:val="0"/>
          <w:szCs w:val="21"/>
          <w:highlight w:val="none"/>
        </w:rPr>
        <w:t>（联合体）</w:t>
      </w:r>
      <w:r>
        <w:rPr>
          <w:rFonts w:hint="eastAsia" w:ascii="宋体" w:hAnsi="宋体" w:eastAsia="宋体" w:cs="宋体"/>
          <w:kern w:val="0"/>
          <w:szCs w:val="21"/>
          <w:highlight w:val="none"/>
        </w:rPr>
        <w:t>参加</w:t>
      </w:r>
      <w:r>
        <w:rPr>
          <w:rFonts w:hint="eastAsia" w:ascii="宋体" w:hAnsi="宋体" w:eastAsia="宋体" w:cs="宋体"/>
          <w:kern w:val="0"/>
          <w:szCs w:val="21"/>
          <w:highlight w:val="none"/>
          <w:u w:val="single"/>
        </w:rPr>
        <w:t xml:space="preserve">     （单位名称）</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（项目名称）</w:t>
      </w:r>
      <w:r>
        <w:rPr>
          <w:rFonts w:hint="eastAsia" w:ascii="宋体" w:hAnsi="宋体" w:eastAsia="宋体" w:cs="宋体"/>
          <w:kern w:val="0"/>
          <w:szCs w:val="21"/>
          <w:highlight w:val="none"/>
        </w:rPr>
        <w:t>采购活动，服务全部</w:t>
      </w:r>
      <w:r>
        <w:rPr>
          <w:rFonts w:hint="eastAsia" w:ascii="宋体" w:hAnsi="宋体" w:eastAsia="宋体" w:cs="宋体"/>
          <w:kern w:val="0"/>
          <w:szCs w:val="21"/>
          <w:highlight w:val="none"/>
          <w:lang w:val="en-US" w:eastAsia="zh-CN"/>
        </w:rPr>
        <w:t>由</w:t>
      </w:r>
      <w:r>
        <w:rPr>
          <w:rFonts w:hint="eastAsia" w:ascii="宋体" w:hAnsi="宋体" w:eastAsia="宋体" w:cs="宋体"/>
          <w:kern w:val="0"/>
          <w:szCs w:val="21"/>
          <w:highlight w:val="none"/>
        </w:rPr>
        <w:t>符合政策要求的中小企业承接。相关企业(含联合体中的中小企业、签订分包意向协议的中小企业）的具体情况如下：</w:t>
      </w:r>
    </w:p>
    <w:p>
      <w:pPr>
        <w:widowControl/>
        <w:spacing w:before="100" w:beforeAutospacing="1" w:after="100" w:afterAutospacing="1" w:line="360" w:lineRule="auto"/>
        <w:ind w:firstLine="420" w:firstLineChars="200"/>
        <w:contextualSpacing/>
        <w:jc w:val="left"/>
        <w:rPr>
          <w:rFonts w:hint="eastAsia" w:ascii="宋体" w:hAnsi="宋体" w:eastAsia="宋体" w:cs="宋体"/>
          <w:szCs w:val="21"/>
          <w:highlight w:val="none"/>
          <w:u w:val="single"/>
        </w:rPr>
      </w:pPr>
      <w:r>
        <w:rPr>
          <w:rFonts w:hint="eastAsia" w:ascii="宋体" w:hAnsi="宋体" w:eastAsia="宋体" w:cs="宋体"/>
          <w:kern w:val="0"/>
          <w:szCs w:val="21"/>
          <w:highlight w:val="none"/>
          <w:u w:val="single"/>
        </w:rPr>
        <w:t>（标的名称）</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（采购文件中明确的所属行业）</w:t>
      </w:r>
      <w:r>
        <w:rPr>
          <w:rFonts w:hint="eastAsia" w:ascii="宋体" w:hAnsi="宋体" w:eastAsia="宋体" w:cs="宋体"/>
          <w:kern w:val="0"/>
          <w:szCs w:val="21"/>
          <w:highlight w:val="none"/>
        </w:rPr>
        <w:t>；承建（承接）企业为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人，营业收入__万元，资产总额__万元，属于</w:t>
      </w:r>
      <w:r>
        <w:rPr>
          <w:rFonts w:hint="eastAsia" w:ascii="宋体" w:hAnsi="宋体" w:eastAsia="宋体" w:cs="宋体"/>
          <w:szCs w:val="21"/>
          <w:highlight w:val="none"/>
          <w:u w:val="single"/>
        </w:rPr>
        <w:t>（中型企业、小型企业、微型企业）；</w:t>
      </w:r>
    </w:p>
    <w:p>
      <w:pPr>
        <w:spacing w:line="360" w:lineRule="auto"/>
        <w:ind w:firstLine="707" w:firstLineChars="337"/>
        <w:jc w:val="left"/>
        <w:rPr>
          <w:rFonts w:hint="eastAsia" w:ascii="宋体" w:hAnsi="宋体" w:eastAsia="宋体" w:cs="宋体"/>
          <w:highlight w:val="none"/>
        </w:rPr>
      </w:pPr>
      <w:r>
        <w:rPr>
          <w:rFonts w:hint="eastAsia" w:ascii="宋体" w:hAnsi="宋体" w:eastAsia="宋体" w:cs="宋体"/>
          <w:highlight w:val="none"/>
        </w:rPr>
        <w:t xml:space="preserve">…… </w:t>
      </w:r>
    </w:p>
    <w:p>
      <w:pPr>
        <w:spacing w:line="360" w:lineRule="auto"/>
        <w:ind w:firstLine="707" w:firstLineChars="337"/>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jc w:val="left"/>
        <w:rPr>
          <w:rFonts w:hint="eastAsia" w:ascii="宋体" w:hAnsi="宋体" w:eastAsia="宋体" w:cs="宋体"/>
          <w:highlight w:val="none"/>
        </w:rPr>
      </w:pPr>
    </w:p>
    <w:p>
      <w:pPr>
        <w:spacing w:line="480" w:lineRule="auto"/>
        <w:jc w:val="center"/>
        <w:rPr>
          <w:rFonts w:hint="eastAsia" w:ascii="宋体" w:hAnsi="宋体" w:eastAsia="宋体" w:cs="宋体"/>
          <w:highlight w:val="none"/>
        </w:rPr>
      </w:pPr>
      <w:r>
        <w:rPr>
          <w:rFonts w:hint="eastAsia" w:ascii="宋体" w:hAnsi="宋体" w:eastAsia="宋体" w:cs="宋体"/>
          <w:highlight w:val="none"/>
        </w:rPr>
        <w:t xml:space="preserve">                         企业名称（盖章）：</w:t>
      </w:r>
    </w:p>
    <w:p>
      <w:pPr>
        <w:spacing w:line="480" w:lineRule="auto"/>
        <w:jc w:val="center"/>
        <w:rPr>
          <w:rFonts w:hint="eastAsia" w:ascii="宋体" w:hAnsi="宋体" w:eastAsia="宋体" w:cs="宋体"/>
          <w:szCs w:val="21"/>
          <w:highlight w:val="none"/>
        </w:rPr>
      </w:pPr>
      <w:r>
        <w:rPr>
          <w:rFonts w:hint="eastAsia" w:ascii="宋体" w:hAnsi="宋体" w:eastAsia="宋体" w:cs="宋体"/>
          <w:highlight w:val="none"/>
        </w:rPr>
        <w:t xml:space="preserve">              日期：</w:t>
      </w:r>
    </w:p>
    <w:p>
      <w:pPr>
        <w:widowControl/>
        <w:spacing w:before="100" w:beforeAutospacing="1" w:after="100" w:afterAutospacing="1"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说明：</w:t>
      </w:r>
    </w:p>
    <w:p>
      <w:pPr>
        <w:widowControl/>
        <w:spacing w:before="100" w:beforeAutospacing="1" w:after="100" w:afterAutospacing="1" w:line="360" w:lineRule="auto"/>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2、中小企业参加政府采购活动，应当出具</w:t>
      </w:r>
      <w:r>
        <w:rPr>
          <w:rFonts w:hint="eastAsia" w:ascii="宋体" w:hAnsi="宋体" w:eastAsia="宋体" w:cs="宋体"/>
          <w:highlight w:val="none"/>
        </w:rPr>
        <w:t>《中小企业声明函》，否则不得享受相关中小企业扶持政</w:t>
      </w:r>
      <w:r>
        <w:rPr>
          <w:rFonts w:hint="eastAsia" w:ascii="宋体" w:hAnsi="宋体" w:eastAsia="宋体" w:cs="宋体"/>
          <w:kern w:val="0"/>
          <w:szCs w:val="21"/>
          <w:highlight w:val="none"/>
        </w:rPr>
        <w:t>策。</w:t>
      </w:r>
    </w:p>
    <w:p>
      <w:pPr>
        <w:widowControl/>
        <w:spacing w:before="100" w:beforeAutospacing="1" w:after="100" w:afterAutospacing="1" w:line="360" w:lineRule="auto"/>
        <w:contextualSpacing/>
        <w:jc w:val="left"/>
        <w:rPr>
          <w:rFonts w:ascii="宋体" w:hAnsi="宋体" w:cs="Arial"/>
          <w:kern w:val="0"/>
          <w:szCs w:val="21"/>
          <w:highlight w:val="none"/>
        </w:rPr>
      </w:pPr>
    </w:p>
    <w:p>
      <w:pPr>
        <w:pStyle w:val="2"/>
        <w:rPr>
          <w:rFonts w:ascii="宋体" w:hAnsi="宋体" w:cs="Arial"/>
          <w:kern w:val="0"/>
          <w:szCs w:val="21"/>
          <w:highlight w:val="none"/>
        </w:rPr>
      </w:pPr>
    </w:p>
    <w:p>
      <w:pPr>
        <w:pStyle w:val="3"/>
        <w:rPr>
          <w:highlight w:val="none"/>
        </w:rPr>
      </w:pPr>
    </w:p>
    <w:p>
      <w:pPr>
        <w:widowControl/>
        <w:jc w:val="left"/>
        <w:rPr>
          <w:rFonts w:ascii="宋体" w:hAnsi="宋体"/>
          <w:b/>
          <w:bCs/>
          <w:sz w:val="24"/>
          <w:szCs w:val="24"/>
          <w:highlight w:val="none"/>
        </w:rPr>
      </w:pPr>
    </w:p>
    <w:p>
      <w:pPr>
        <w:shd w:val="clear" w:color="auto" w:fill="FFFFFF"/>
        <w:spacing w:before="100" w:beforeAutospacing="1" w:after="100" w:afterAutospacing="1" w:line="435" w:lineRule="atLeast"/>
        <w:rPr>
          <w:rFonts w:ascii="Arial" w:hAnsi="Arial" w:eastAsia="宋体" w:cs="Arial"/>
          <w:color w:val="333333"/>
          <w:kern w:val="0"/>
          <w:szCs w:val="21"/>
          <w:highlight w:val="none"/>
        </w:rPr>
      </w:pPr>
    </w:p>
    <w:p>
      <w:pPr>
        <w:autoSpaceDE w:val="0"/>
        <w:autoSpaceDN w:val="0"/>
        <w:adjustRightInd w:val="0"/>
        <w:spacing w:line="360" w:lineRule="auto"/>
        <w:jc w:val="center"/>
        <w:outlineLvl w:val="0"/>
        <w:rPr>
          <w:rFonts w:hint="eastAsia" w:ascii="宋体" w:hAnsi="宋体"/>
          <w:b/>
          <w:bCs/>
          <w:sz w:val="24"/>
          <w:szCs w:val="24"/>
          <w:highlight w:val="none"/>
        </w:rPr>
      </w:pPr>
      <w:bookmarkStart w:id="24" w:name="OLE_LINK14"/>
      <w:bookmarkStart w:id="25" w:name="OLE_LINK13"/>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4.5   残疾人福利性单位声明函</w:t>
      </w:r>
    </w:p>
    <w:bookmarkEnd w:id="24"/>
    <w:bookmarkEnd w:id="25"/>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adjustRightInd w:val="0"/>
        <w:snapToGrid w:val="0"/>
        <w:spacing w:line="360" w:lineRule="auto"/>
        <w:ind w:firstLine="3150" w:firstLineChars="1500"/>
        <w:rPr>
          <w:rFonts w:cs="宋体" w:asciiTheme="minorEastAsia" w:hAnsiTheme="minorEastAsia"/>
          <w:szCs w:val="21"/>
          <w:highlight w:val="none"/>
        </w:rPr>
      </w:pPr>
      <w:r>
        <w:rPr>
          <w:rFonts w:hint="eastAsia" w:ascii="宋体" w:hAnsi="宋体"/>
          <w:szCs w:val="21"/>
          <w:highlight w:val="none"/>
        </w:rPr>
        <w:t>单位名称（盖章）</w:t>
      </w:r>
      <w:r>
        <w:rPr>
          <w:rFonts w:hint="eastAsia" w:cs="宋体" w:asciiTheme="minorEastAsia" w:hAnsiTheme="minorEastAsia"/>
          <w:szCs w:val="21"/>
          <w:highlight w:val="none"/>
        </w:rPr>
        <w:t>：</w:t>
      </w:r>
    </w:p>
    <w:p>
      <w:pPr>
        <w:spacing w:line="480" w:lineRule="auto"/>
        <w:ind w:left="4358" w:leftChars="2075"/>
        <w:rPr>
          <w:highlight w:val="none"/>
        </w:rPr>
      </w:pPr>
      <w:r>
        <w:rPr>
          <w:rFonts w:hint="eastAsia" w:cs="Arial" w:asciiTheme="minorEastAsia" w:hAnsiTheme="minorEastAsia"/>
          <w:szCs w:val="21"/>
          <w:highlight w:val="none"/>
        </w:rPr>
        <w:t xml:space="preserve"> 日    期：      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sz w:val="28"/>
          <w:szCs w:val="28"/>
          <w:highlight w:val="none"/>
        </w:rPr>
      </w:pPr>
      <w:r>
        <w:rPr>
          <w:rFonts w:ascii="宋体" w:hAnsi="宋体"/>
          <w:b/>
          <w:bCs/>
          <w:sz w:val="28"/>
          <w:szCs w:val="28"/>
          <w:highlight w:val="none"/>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highlight w:val="none"/>
        </w:rPr>
      </w:pPr>
      <w:r>
        <w:rPr>
          <w:rFonts w:ascii="宋体" w:hAnsi="宋体"/>
          <w:b/>
          <w:bCs/>
          <w:sz w:val="28"/>
          <w:szCs w:val="28"/>
          <w:highlight w:val="none"/>
        </w:rPr>
        <w:t> </w:t>
      </w:r>
    </w:p>
    <w:sectPr>
      <w:footerReference r:id="rId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roman"/>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74"/>
      </w:rPr>
    </w:pPr>
    <w:r>
      <w:fldChar w:fldCharType="begin"/>
    </w:r>
    <w:r>
      <w:rPr>
        <w:rStyle w:val="74"/>
      </w:rPr>
      <w:instrText xml:space="preserve">PAGE  </w:instrText>
    </w:r>
    <w:r>
      <w:fldChar w:fldCharType="separate"/>
    </w:r>
    <w:r>
      <w:rPr>
        <w:rStyle w:val="74"/>
      </w:rPr>
      <w:t>15</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5">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6">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4">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39">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0">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1">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4">
    <w:nsid w:val="59F817E8"/>
    <w:multiLevelType w:val="singleLevel"/>
    <w:tmpl w:val="59F817E8"/>
    <w:lvl w:ilvl="0" w:tentative="0">
      <w:start w:val="1"/>
      <w:numFmt w:val="chineseCounting"/>
      <w:pStyle w:val="61"/>
      <w:suff w:val="nothing"/>
      <w:lvlText w:val="%1、"/>
      <w:lvlJc w:val="left"/>
    </w:lvl>
  </w:abstractNum>
  <w:abstractNum w:abstractNumId="45">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6">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1">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44"/>
  </w:num>
  <w:num w:numId="4">
    <w:abstractNumId w:val="39"/>
  </w:num>
  <w:num w:numId="5">
    <w:abstractNumId w:val="23"/>
  </w:num>
  <w:num w:numId="6">
    <w:abstractNumId w:val="58"/>
  </w:num>
  <w:num w:numId="7">
    <w:abstractNumId w:val="29"/>
  </w:num>
  <w:num w:numId="8">
    <w:abstractNumId w:val="31"/>
  </w:num>
  <w:num w:numId="9">
    <w:abstractNumId w:val="53"/>
  </w:num>
  <w:num w:numId="10">
    <w:abstractNumId w:val="15"/>
  </w:num>
  <w:num w:numId="11">
    <w:abstractNumId w:val="17"/>
  </w:num>
  <w:num w:numId="12">
    <w:abstractNumId w:val="71"/>
  </w:num>
  <w:num w:numId="13">
    <w:abstractNumId w:val="50"/>
  </w:num>
  <w:num w:numId="14">
    <w:abstractNumId w:val="68"/>
  </w:num>
  <w:num w:numId="15">
    <w:abstractNumId w:val="8"/>
  </w:num>
  <w:num w:numId="16">
    <w:abstractNumId w:val="10"/>
  </w:num>
  <w:num w:numId="17">
    <w:abstractNumId w:val="48"/>
  </w:num>
  <w:num w:numId="18">
    <w:abstractNumId w:val="27"/>
  </w:num>
  <w:num w:numId="19">
    <w:abstractNumId w:val="45"/>
  </w:num>
  <w:num w:numId="20">
    <w:abstractNumId w:val="57"/>
  </w:num>
  <w:num w:numId="21">
    <w:abstractNumId w:val="34"/>
  </w:num>
  <w:num w:numId="22">
    <w:abstractNumId w:val="28"/>
  </w:num>
  <w:num w:numId="23">
    <w:abstractNumId w:val="5"/>
  </w:num>
  <w:num w:numId="24">
    <w:abstractNumId w:val="20"/>
  </w:num>
  <w:num w:numId="25">
    <w:abstractNumId w:val="19"/>
  </w:num>
  <w:num w:numId="26">
    <w:abstractNumId w:val="67"/>
  </w:num>
  <w:num w:numId="27">
    <w:abstractNumId w:val="59"/>
  </w:num>
  <w:num w:numId="28">
    <w:abstractNumId w:val="52"/>
  </w:num>
  <w:num w:numId="29">
    <w:abstractNumId w:val="62"/>
  </w:num>
  <w:num w:numId="30">
    <w:abstractNumId w:val="41"/>
  </w:num>
  <w:num w:numId="31">
    <w:abstractNumId w:val="11"/>
  </w:num>
  <w:num w:numId="32">
    <w:abstractNumId w:val="22"/>
  </w:num>
  <w:num w:numId="33">
    <w:abstractNumId w:val="54"/>
  </w:num>
  <w:num w:numId="34">
    <w:abstractNumId w:val="32"/>
  </w:num>
  <w:num w:numId="35">
    <w:abstractNumId w:val="40"/>
  </w:num>
  <w:num w:numId="36">
    <w:abstractNumId w:val="60"/>
  </w:num>
  <w:num w:numId="37">
    <w:abstractNumId w:val="47"/>
  </w:num>
  <w:num w:numId="38">
    <w:abstractNumId w:val="33"/>
  </w:num>
  <w:num w:numId="39">
    <w:abstractNumId w:val="24"/>
  </w:num>
  <w:num w:numId="40">
    <w:abstractNumId w:val="25"/>
  </w:num>
  <w:num w:numId="41">
    <w:abstractNumId w:val="66"/>
  </w:num>
  <w:num w:numId="42">
    <w:abstractNumId w:val="26"/>
  </w:num>
  <w:num w:numId="43">
    <w:abstractNumId w:val="21"/>
  </w:num>
  <w:num w:numId="44">
    <w:abstractNumId w:val="9"/>
  </w:num>
  <w:num w:numId="45">
    <w:abstractNumId w:val="43"/>
  </w:num>
  <w:num w:numId="46">
    <w:abstractNumId w:val="38"/>
  </w:num>
  <w:num w:numId="47">
    <w:abstractNumId w:val="4"/>
  </w:num>
  <w:num w:numId="48">
    <w:abstractNumId w:val="6"/>
  </w:num>
  <w:num w:numId="49">
    <w:abstractNumId w:val="16"/>
  </w:num>
  <w:num w:numId="50">
    <w:abstractNumId w:val="51"/>
  </w:num>
  <w:num w:numId="51">
    <w:abstractNumId w:val="42"/>
  </w:num>
  <w:num w:numId="52">
    <w:abstractNumId w:val="65"/>
  </w:num>
  <w:num w:numId="53">
    <w:abstractNumId w:val="36"/>
  </w:num>
  <w:num w:numId="54">
    <w:abstractNumId w:val="70"/>
  </w:num>
  <w:num w:numId="55">
    <w:abstractNumId w:val="72"/>
  </w:num>
  <w:num w:numId="56">
    <w:abstractNumId w:val="18"/>
  </w:num>
  <w:num w:numId="57">
    <w:abstractNumId w:val="12"/>
  </w:num>
  <w:num w:numId="58">
    <w:abstractNumId w:val="37"/>
  </w:num>
  <w:num w:numId="59">
    <w:abstractNumId w:val="63"/>
  </w:num>
  <w:num w:numId="60">
    <w:abstractNumId w:val="61"/>
  </w:num>
  <w:num w:numId="61">
    <w:abstractNumId w:val="49"/>
  </w:num>
  <w:num w:numId="62">
    <w:abstractNumId w:val="3"/>
  </w:num>
  <w:num w:numId="63">
    <w:abstractNumId w:val="64"/>
  </w:num>
  <w:num w:numId="64">
    <w:abstractNumId w:val="2"/>
  </w:num>
  <w:num w:numId="65">
    <w:abstractNumId w:val="14"/>
  </w:num>
  <w:num w:numId="66">
    <w:abstractNumId w:val="46"/>
  </w:num>
  <w:num w:numId="67">
    <w:abstractNumId w:val="13"/>
  </w:num>
  <w:num w:numId="68">
    <w:abstractNumId w:val="56"/>
  </w:num>
  <w:num w:numId="69">
    <w:abstractNumId w:val="7"/>
  </w:num>
  <w:num w:numId="70">
    <w:abstractNumId w:val="55"/>
  </w:num>
  <w:num w:numId="71">
    <w:abstractNumId w:val="30"/>
  </w:num>
  <w:num w:numId="72">
    <w:abstractNumId w:val="35"/>
  </w:num>
  <w:num w:numId="7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DM2OTk4NWZiMWNlYjZjZmI5OWMwOGMzZGEyMWY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5D97"/>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64B"/>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2F78"/>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3C4E17"/>
    <w:rsid w:val="03143949"/>
    <w:rsid w:val="04185410"/>
    <w:rsid w:val="053B0E15"/>
    <w:rsid w:val="05ED428E"/>
    <w:rsid w:val="063B6381"/>
    <w:rsid w:val="069F7723"/>
    <w:rsid w:val="072E67C4"/>
    <w:rsid w:val="07FA4B11"/>
    <w:rsid w:val="08E7715F"/>
    <w:rsid w:val="091E5277"/>
    <w:rsid w:val="09E65669"/>
    <w:rsid w:val="0D4A5A64"/>
    <w:rsid w:val="0D9026D9"/>
    <w:rsid w:val="0E151844"/>
    <w:rsid w:val="130A56B8"/>
    <w:rsid w:val="13F02249"/>
    <w:rsid w:val="14DE7F1B"/>
    <w:rsid w:val="15A85EC8"/>
    <w:rsid w:val="15CF16A7"/>
    <w:rsid w:val="15E92769"/>
    <w:rsid w:val="17231CAA"/>
    <w:rsid w:val="19445F08"/>
    <w:rsid w:val="19F17E3E"/>
    <w:rsid w:val="1C3D380E"/>
    <w:rsid w:val="1E6A01BF"/>
    <w:rsid w:val="1EDE51C1"/>
    <w:rsid w:val="1F5A0C93"/>
    <w:rsid w:val="1FFD5496"/>
    <w:rsid w:val="214D37A3"/>
    <w:rsid w:val="21501CCA"/>
    <w:rsid w:val="22B91715"/>
    <w:rsid w:val="232559FC"/>
    <w:rsid w:val="236B59D3"/>
    <w:rsid w:val="27980351"/>
    <w:rsid w:val="28E079FB"/>
    <w:rsid w:val="299F78B6"/>
    <w:rsid w:val="29FA4AED"/>
    <w:rsid w:val="2AB82D5D"/>
    <w:rsid w:val="2CE43832"/>
    <w:rsid w:val="2DD92C6B"/>
    <w:rsid w:val="2ECC5991"/>
    <w:rsid w:val="2F2148C9"/>
    <w:rsid w:val="2FDB0F1C"/>
    <w:rsid w:val="30B26121"/>
    <w:rsid w:val="31177D70"/>
    <w:rsid w:val="32DF2AD1"/>
    <w:rsid w:val="332D674C"/>
    <w:rsid w:val="33CC3C48"/>
    <w:rsid w:val="34764BC8"/>
    <w:rsid w:val="34B32468"/>
    <w:rsid w:val="35951B6D"/>
    <w:rsid w:val="359F0C3E"/>
    <w:rsid w:val="36F17691"/>
    <w:rsid w:val="379D201D"/>
    <w:rsid w:val="38E56374"/>
    <w:rsid w:val="38F80C60"/>
    <w:rsid w:val="3AA7481D"/>
    <w:rsid w:val="3AB87674"/>
    <w:rsid w:val="3B2F65C0"/>
    <w:rsid w:val="3B554563"/>
    <w:rsid w:val="3BAE5737"/>
    <w:rsid w:val="3C0E4427"/>
    <w:rsid w:val="3C7644C1"/>
    <w:rsid w:val="3D9557FB"/>
    <w:rsid w:val="3E963D85"/>
    <w:rsid w:val="3EBB719B"/>
    <w:rsid w:val="3F5634C5"/>
    <w:rsid w:val="404E1296"/>
    <w:rsid w:val="41174E1F"/>
    <w:rsid w:val="41D45B91"/>
    <w:rsid w:val="447E204B"/>
    <w:rsid w:val="4517434D"/>
    <w:rsid w:val="45D160C2"/>
    <w:rsid w:val="461E16FA"/>
    <w:rsid w:val="472C0E00"/>
    <w:rsid w:val="48FF23C8"/>
    <w:rsid w:val="49B02FC2"/>
    <w:rsid w:val="4A795F54"/>
    <w:rsid w:val="4B8432E3"/>
    <w:rsid w:val="4C5730E2"/>
    <w:rsid w:val="4C59524B"/>
    <w:rsid w:val="4CF3744D"/>
    <w:rsid w:val="4DF74D1B"/>
    <w:rsid w:val="4F2314F4"/>
    <w:rsid w:val="50067498"/>
    <w:rsid w:val="501716A5"/>
    <w:rsid w:val="5043249A"/>
    <w:rsid w:val="52047F1C"/>
    <w:rsid w:val="5268268C"/>
    <w:rsid w:val="5451797D"/>
    <w:rsid w:val="55494EF2"/>
    <w:rsid w:val="56B063AF"/>
    <w:rsid w:val="57E57B32"/>
    <w:rsid w:val="58BC54DF"/>
    <w:rsid w:val="58D2260D"/>
    <w:rsid w:val="5BD273E2"/>
    <w:rsid w:val="5E253BAB"/>
    <w:rsid w:val="5E606570"/>
    <w:rsid w:val="5E6F4DA2"/>
    <w:rsid w:val="5E8C5954"/>
    <w:rsid w:val="5EBF15F8"/>
    <w:rsid w:val="5EE36088"/>
    <w:rsid w:val="603D6F06"/>
    <w:rsid w:val="62B071CE"/>
    <w:rsid w:val="65336FA1"/>
    <w:rsid w:val="669B14AA"/>
    <w:rsid w:val="672524A2"/>
    <w:rsid w:val="67B5273D"/>
    <w:rsid w:val="683D68AF"/>
    <w:rsid w:val="688B340F"/>
    <w:rsid w:val="69317154"/>
    <w:rsid w:val="693F458D"/>
    <w:rsid w:val="6A38073E"/>
    <w:rsid w:val="6C021003"/>
    <w:rsid w:val="6C1276B8"/>
    <w:rsid w:val="70AE52B6"/>
    <w:rsid w:val="710C022E"/>
    <w:rsid w:val="715776FB"/>
    <w:rsid w:val="71ED05FD"/>
    <w:rsid w:val="72D41A69"/>
    <w:rsid w:val="74260F41"/>
    <w:rsid w:val="75113E10"/>
    <w:rsid w:val="769242F2"/>
    <w:rsid w:val="76EE0B02"/>
    <w:rsid w:val="76EF1037"/>
    <w:rsid w:val="7750356B"/>
    <w:rsid w:val="77900A9A"/>
    <w:rsid w:val="77AE203F"/>
    <w:rsid w:val="780A3F32"/>
    <w:rsid w:val="78324A1E"/>
    <w:rsid w:val="79514F05"/>
    <w:rsid w:val="7A28257D"/>
    <w:rsid w:val="7A7251A2"/>
    <w:rsid w:val="7D0E6639"/>
    <w:rsid w:val="7D6A6D18"/>
    <w:rsid w:val="7DA55C93"/>
    <w:rsid w:val="7DE60785"/>
    <w:rsid w:val="7E60081F"/>
    <w:rsid w:val="7ED76320"/>
    <w:rsid w:val="7F5860A6"/>
    <w:rsid w:val="7F880D5E"/>
    <w:rsid w:val="7FAB3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szCs w:val="24"/>
    </w:rPr>
  </w:style>
  <w:style w:type="paragraph" w:customStyle="1" w:styleId="4">
    <w:name w:val="2"/>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qFormat/>
    <w:uiPriority w:val="0"/>
    <w:pPr>
      <w:ind w:left="1680"/>
    </w:pPr>
    <w:rPr>
      <w:rFonts w:cs="Times New Roman"/>
    </w:rPr>
  </w:style>
  <w:style w:type="paragraph" w:styleId="12">
    <w:name w:val="annotation text"/>
    <w:basedOn w:val="1"/>
    <w:semiHidden/>
    <w:unhideWhenUsed/>
    <w:qFormat/>
    <w:uiPriority w:val="99"/>
    <w:pPr>
      <w:jc w:val="left"/>
    </w:pPr>
  </w:style>
  <w:style w:type="paragraph" w:styleId="13">
    <w:name w:val="Body Text 3"/>
    <w:basedOn w:val="1"/>
    <w:link w:val="58"/>
    <w:qFormat/>
    <w:uiPriority w:val="0"/>
    <w:rPr>
      <w:rFonts w:ascii="Times New Roman" w:hAnsi="Times New Roman" w:eastAsia="宋体" w:cs="Times New Roman"/>
      <w:color w:val="FF0000"/>
      <w:sz w:val="24"/>
      <w:szCs w:val="24"/>
    </w:rPr>
  </w:style>
  <w:style w:type="paragraph" w:styleId="14">
    <w:name w:val="Body Text Indent"/>
    <w:basedOn w:val="1"/>
    <w:next w:val="15"/>
    <w:link w:val="67"/>
    <w:qFormat/>
    <w:uiPriority w:val="0"/>
    <w:pPr>
      <w:adjustRightInd w:val="0"/>
      <w:spacing w:after="120" w:line="360" w:lineRule="atLeast"/>
      <w:ind w:left="420" w:leftChars="200"/>
      <w:jc w:val="left"/>
      <w:textAlignment w:val="baseline"/>
    </w:pPr>
    <w:rPr>
      <w:sz w:val="24"/>
    </w:rPr>
  </w:style>
  <w:style w:type="paragraph" w:styleId="15">
    <w:name w:val="envelope return"/>
    <w:basedOn w:val="1"/>
    <w:qFormat/>
    <w:uiPriority w:val="99"/>
    <w:pPr>
      <w:snapToGrid w:val="0"/>
    </w:pPr>
    <w:rPr>
      <w:rFonts w:ascii="Arial" w:hAnsi="Arial" w:cs="Arial"/>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4"/>
    <w:qFormat/>
    <w:uiPriority w:val="0"/>
    <w:rPr>
      <w:rFonts w:eastAsia="宋体"/>
      <w:sz w:val="24"/>
    </w:rPr>
  </w:style>
  <w:style w:type="paragraph" w:styleId="19">
    <w:name w:val="Date"/>
    <w:basedOn w:val="1"/>
    <w:next w:val="1"/>
    <w:link w:val="45"/>
    <w:unhideWhenUsed/>
    <w:qFormat/>
    <w:uiPriority w:val="99"/>
    <w:pPr>
      <w:ind w:left="100" w:leftChars="2500"/>
    </w:pPr>
  </w:style>
  <w:style w:type="paragraph" w:styleId="20">
    <w:name w:val="Balloon Text"/>
    <w:basedOn w:val="1"/>
    <w:link w:val="69"/>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next w:val="25"/>
    <w:qFormat/>
    <w:uiPriority w:val="0"/>
    <w:pPr>
      <w:spacing w:line="480" w:lineRule="auto"/>
      <w:ind w:right="357"/>
    </w:pPr>
    <w:rPr>
      <w:szCs w:val="20"/>
    </w:rPr>
  </w:style>
  <w:style w:type="paragraph" w:customStyle="1" w:styleId="25">
    <w:name w:val="标书正文居左"/>
    <w:next w:val="26"/>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26">
    <w:name w:val="xl63"/>
    <w:basedOn w:val="1"/>
    <w:next w:val="27"/>
    <w:qFormat/>
    <w:uiPriority w:val="0"/>
    <w:pPr>
      <w:widowControl/>
      <w:shd w:val="clear" w:color="000000" w:fill="FFFFFF"/>
      <w:spacing w:before="280" w:after="280"/>
      <w:jc w:val="center"/>
    </w:pPr>
    <w:rPr>
      <w:rFonts w:ascii="宋体" w:eastAsia="宋体"/>
      <w:color w:val="000000"/>
      <w:sz w:val="24"/>
    </w:rPr>
  </w:style>
  <w:style w:type="paragraph" w:customStyle="1" w:styleId="27">
    <w:name w:val="xl64"/>
    <w:basedOn w:val="1"/>
    <w:next w:val="1"/>
    <w:qFormat/>
    <w:uiPriority w:val="0"/>
    <w:pPr>
      <w:widowControl/>
      <w:shd w:val="clear" w:color="000000" w:fill="FFFFFF"/>
      <w:spacing w:before="280" w:after="280"/>
    </w:pPr>
    <w:rPr>
      <w:rFonts w:ascii="宋体" w:eastAsia="宋体"/>
      <w:color w:val="000000"/>
      <w:sz w:val="24"/>
    </w:rPr>
  </w:style>
  <w:style w:type="paragraph" w:styleId="28">
    <w:name w:val="HTML Preformatted"/>
    <w:basedOn w:val="1"/>
    <w:link w:val="6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99"/>
    <w:rPr>
      <w:rFonts w:ascii="Calibri" w:hAnsi="Calibri" w:eastAsia="宋体" w:cs="Times New Roman"/>
      <w:sz w:val="24"/>
      <w:szCs w:val="24"/>
    </w:rPr>
  </w:style>
  <w:style w:type="paragraph" w:styleId="30">
    <w:name w:val="Body Text First Indent"/>
    <w:basedOn w:val="2"/>
    <w:next w:val="31"/>
    <w:link w:val="63"/>
    <w:qFormat/>
    <w:uiPriority w:val="0"/>
    <w:pPr>
      <w:ind w:firstLine="420" w:firstLineChars="100"/>
    </w:pPr>
    <w:rPr>
      <w:rFonts w:ascii="宋体" w:hAnsi="Times New Roman" w:eastAsia="宋体" w:cs="Times New Roman"/>
      <w:kern w:val="0"/>
      <w:sz w:val="34"/>
      <w:szCs w:val="20"/>
    </w:rPr>
  </w:style>
  <w:style w:type="paragraph" w:customStyle="1" w:styleId="31">
    <w:name w:val="List Paragraph1"/>
    <w:basedOn w:val="1"/>
    <w:next w:val="1"/>
    <w:qFormat/>
    <w:uiPriority w:val="0"/>
    <w:pPr>
      <w:spacing w:line="240" w:lineRule="auto"/>
      <w:ind w:left="420" w:firstLine="3748"/>
    </w:pPr>
  </w:style>
  <w:style w:type="paragraph" w:styleId="32">
    <w:name w:val="Body Text First Indent 2"/>
    <w:basedOn w:val="14"/>
    <w:next w:val="1"/>
    <w:unhideWhenUsed/>
    <w:qFormat/>
    <w:uiPriority w:val="99"/>
    <w:pPr>
      <w:adjustRightInd/>
      <w:spacing w:line="240" w:lineRule="auto"/>
      <w:ind w:firstLine="420" w:firstLineChars="200"/>
      <w:jc w:val="both"/>
    </w:pPr>
    <w:rPr>
      <w:kern w:val="2"/>
      <w:sz w:val="21"/>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Hyperlink"/>
    <w:basedOn w:val="35"/>
    <w:unhideWhenUsed/>
    <w:qFormat/>
    <w:uiPriority w:val="0"/>
    <w:rPr>
      <w:color w:val="0000FF"/>
      <w:u w:val="single"/>
    </w:rPr>
  </w:style>
  <w:style w:type="paragraph" w:customStyle="1" w:styleId="39">
    <w:name w:val="列出段落1"/>
    <w:basedOn w:val="1"/>
    <w:next w:val="11"/>
    <w:qFormat/>
    <w:uiPriority w:val="0"/>
    <w:pPr>
      <w:ind w:firstLine="420" w:firstLineChars="200"/>
    </w:pPr>
  </w:style>
  <w:style w:type="character" w:customStyle="1" w:styleId="40">
    <w:name w:val="标题 1 Char"/>
    <w:basedOn w:val="35"/>
    <w:link w:val="5"/>
    <w:qFormat/>
    <w:uiPriority w:val="0"/>
    <w:rPr>
      <w:rFonts w:ascii="Calibri" w:hAnsi="Calibri" w:eastAsia="宋体" w:cs="Times New Roman"/>
      <w:b/>
      <w:bCs/>
      <w:kern w:val="44"/>
      <w:sz w:val="44"/>
      <w:szCs w:val="44"/>
    </w:rPr>
  </w:style>
  <w:style w:type="character" w:customStyle="1" w:styleId="41">
    <w:name w:val="标题 2 Char"/>
    <w:basedOn w:val="35"/>
    <w:link w:val="6"/>
    <w:qFormat/>
    <w:uiPriority w:val="0"/>
    <w:rPr>
      <w:rFonts w:ascii="Arial" w:hAnsi="Arial" w:eastAsia="黑体" w:cs="Times New Roman"/>
      <w:b/>
      <w:bCs/>
      <w:sz w:val="32"/>
      <w:szCs w:val="32"/>
    </w:rPr>
  </w:style>
  <w:style w:type="character" w:customStyle="1" w:styleId="42">
    <w:name w:val="标题 3 Char"/>
    <w:basedOn w:val="35"/>
    <w:link w:val="7"/>
    <w:qFormat/>
    <w:uiPriority w:val="0"/>
    <w:rPr>
      <w:rFonts w:ascii="宋体" w:hAnsi="宋体" w:eastAsia="宋体" w:cs="Times New Roman"/>
      <w:b/>
      <w:color w:val="000000"/>
      <w:kern w:val="0"/>
      <w:sz w:val="24"/>
      <w:szCs w:val="20"/>
      <w:lang w:val="en-GB"/>
    </w:rPr>
  </w:style>
  <w:style w:type="character" w:customStyle="1" w:styleId="43">
    <w:name w:val="标题 4 Char"/>
    <w:basedOn w:val="35"/>
    <w:link w:val="8"/>
    <w:qFormat/>
    <w:uiPriority w:val="0"/>
    <w:rPr>
      <w:rFonts w:ascii="Arial" w:hAnsi="Arial" w:eastAsia="黑体" w:cs="Times New Roman"/>
      <w:b/>
      <w:bCs/>
      <w:sz w:val="28"/>
      <w:szCs w:val="28"/>
    </w:rPr>
  </w:style>
  <w:style w:type="character" w:customStyle="1" w:styleId="44">
    <w:name w:val="纯文本 Char"/>
    <w:basedOn w:val="35"/>
    <w:link w:val="18"/>
    <w:qFormat/>
    <w:uiPriority w:val="0"/>
    <w:rPr>
      <w:rFonts w:eastAsia="宋体"/>
      <w:sz w:val="24"/>
    </w:rPr>
  </w:style>
  <w:style w:type="character" w:customStyle="1" w:styleId="45">
    <w:name w:val="日期 Char"/>
    <w:basedOn w:val="35"/>
    <w:link w:val="19"/>
    <w:qFormat/>
    <w:uiPriority w:val="99"/>
  </w:style>
  <w:style w:type="character" w:customStyle="1" w:styleId="46">
    <w:name w:val="页脚 Char"/>
    <w:basedOn w:val="35"/>
    <w:link w:val="21"/>
    <w:qFormat/>
    <w:uiPriority w:val="99"/>
    <w:rPr>
      <w:sz w:val="18"/>
      <w:szCs w:val="18"/>
    </w:rPr>
  </w:style>
  <w:style w:type="character" w:customStyle="1" w:styleId="47">
    <w:name w:val="页眉 Char"/>
    <w:basedOn w:val="35"/>
    <w:link w:val="22"/>
    <w:qFormat/>
    <w:uiPriority w:val="99"/>
    <w:rPr>
      <w:sz w:val="18"/>
      <w:szCs w:val="18"/>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正文文本 3 Char"/>
    <w:basedOn w:val="35"/>
    <w:link w:val="13"/>
    <w:qFormat/>
    <w:uiPriority w:val="0"/>
    <w:rPr>
      <w:rFonts w:ascii="Times New Roman" w:hAnsi="Times New Roman" w:eastAsia="宋体" w:cs="Times New Roman"/>
      <w:color w:val="FF0000"/>
      <w:sz w:val="24"/>
      <w:szCs w:val="24"/>
    </w:rPr>
  </w:style>
  <w:style w:type="character" w:customStyle="1" w:styleId="59">
    <w:name w:val="edittexttarea"/>
    <w:basedOn w:val="35"/>
    <w:qFormat/>
    <w:uiPriority w:val="0"/>
  </w:style>
  <w:style w:type="paragraph" w:customStyle="1" w:styleId="60">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文本 Char"/>
    <w:basedOn w:val="35"/>
    <w:link w:val="2"/>
    <w:qFormat/>
    <w:uiPriority w:val="99"/>
  </w:style>
  <w:style w:type="character" w:customStyle="1" w:styleId="63">
    <w:name w:val="正文首行缩进 Char"/>
    <w:basedOn w:val="62"/>
    <w:link w:val="30"/>
    <w:qFormat/>
    <w:uiPriority w:val="0"/>
    <w:rPr>
      <w:rFonts w:ascii="宋体" w:hAnsi="Times New Roman" w:eastAsia="宋体" w:cs="Times New Roman"/>
      <w:kern w:val="0"/>
      <w:sz w:val="34"/>
      <w:szCs w:val="20"/>
    </w:rPr>
  </w:style>
  <w:style w:type="character" w:customStyle="1" w:styleId="64">
    <w:name w:val="HTML 预设格式 Char"/>
    <w:basedOn w:val="35"/>
    <w:semiHidden/>
    <w:qFormat/>
    <w:uiPriority w:val="99"/>
    <w:rPr>
      <w:rFonts w:ascii="宋体" w:hAnsi="宋体" w:eastAsia="宋体" w:cs="宋体"/>
      <w:kern w:val="0"/>
      <w:sz w:val="24"/>
      <w:szCs w:val="24"/>
    </w:rPr>
  </w:style>
  <w:style w:type="character" w:customStyle="1" w:styleId="65">
    <w:name w:val="HTML 预设格式 Char1"/>
    <w:basedOn w:val="35"/>
    <w:link w:val="28"/>
    <w:semiHidden/>
    <w:qFormat/>
    <w:uiPriority w:val="99"/>
    <w:rPr>
      <w:rFonts w:ascii="Courier New" w:hAnsi="Courier New" w:cs="Courier New"/>
      <w:sz w:val="20"/>
      <w:szCs w:val="20"/>
    </w:rPr>
  </w:style>
  <w:style w:type="character" w:customStyle="1" w:styleId="66">
    <w:name w:val="正文文本缩进 Char"/>
    <w:qFormat/>
    <w:uiPriority w:val="0"/>
    <w:rPr>
      <w:sz w:val="24"/>
    </w:rPr>
  </w:style>
  <w:style w:type="character" w:customStyle="1" w:styleId="67">
    <w:name w:val="正文文本缩进 Char1"/>
    <w:basedOn w:val="35"/>
    <w:link w:val="14"/>
    <w:semiHidden/>
    <w:qFormat/>
    <w:uiPriority w:val="99"/>
  </w:style>
  <w:style w:type="character" w:customStyle="1" w:styleId="68">
    <w:name w:val="批注框文本 Char"/>
    <w:basedOn w:val="35"/>
    <w:semiHidden/>
    <w:qFormat/>
    <w:uiPriority w:val="99"/>
    <w:rPr>
      <w:sz w:val="18"/>
      <w:szCs w:val="18"/>
    </w:rPr>
  </w:style>
  <w:style w:type="character" w:customStyle="1" w:styleId="69">
    <w:name w:val="批注框文本 Char1"/>
    <w:basedOn w:val="35"/>
    <w:link w:val="20"/>
    <w:semiHidden/>
    <w:qFormat/>
    <w:uiPriority w:val="99"/>
    <w:rPr>
      <w:sz w:val="18"/>
      <w:szCs w:val="18"/>
    </w:rPr>
  </w:style>
  <w:style w:type="paragraph" w:customStyle="1" w:styleId="70">
    <w:name w:val="Table Paragraph"/>
    <w:basedOn w:val="1"/>
    <w:qFormat/>
    <w:uiPriority w:val="1"/>
    <w:rPr>
      <w:rFonts w:ascii="Arial Unicode MS" w:hAnsi="Arial Unicode MS" w:eastAsia="Arial Unicode MS" w:cs="Arial Unicode MS"/>
      <w:lang w:val="zh-CN" w:bidi="zh-CN"/>
    </w:rPr>
  </w:style>
  <w:style w:type="paragraph" w:customStyle="1" w:styleId="71">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72">
    <w:name w:val="表格文字"/>
    <w:basedOn w:val="1"/>
    <w:next w:val="2"/>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73">
    <w:name w:val="NormalCharacter"/>
    <w:semiHidden/>
    <w:qFormat/>
    <w:uiPriority w:val="0"/>
  </w:style>
  <w:style w:type="character" w:customStyle="1" w:styleId="74">
    <w:name w:val="页码1"/>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40191</Words>
  <Characters>41684</Characters>
  <Lines>301</Lines>
  <Paragraphs>84</Paragraphs>
  <TotalTime>31</TotalTime>
  <ScaleCrop>false</ScaleCrop>
  <LinksUpToDate>false</LinksUpToDate>
  <CharactersWithSpaces>42707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.唯一 D.se彩</cp:lastModifiedBy>
  <cp:lastPrinted>2023-06-15T23:29:00Z</cp:lastPrinted>
  <dcterms:modified xsi:type="dcterms:W3CDTF">2023-06-16T06:58:10Z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56336A0606CE4A30BAF0723049640705_13</vt:lpwstr>
  </property>
</Properties>
</file>