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widowControl/>
        <w:jc w:val="center"/>
        <w:rPr>
          <w:rFonts w:hint="eastAsia" w:ascii="黑体" w:hAnsi="黑体" w:eastAsia="黑体" w:cs="黑体"/>
          <w:bCs/>
          <w:color w:val="auto"/>
          <w:kern w:val="2"/>
          <w:sz w:val="36"/>
          <w:szCs w:val="36"/>
          <w:lang w:val="en-US" w:eastAsia="zh-CN" w:bidi="ar-SA"/>
        </w:rPr>
      </w:pPr>
      <w:r>
        <w:rPr>
          <w:rFonts w:hint="eastAsia" w:ascii="黑体" w:hAnsi="黑体" w:eastAsia="黑体" w:cs="黑体"/>
          <w:bCs/>
          <w:color w:val="auto"/>
          <w:kern w:val="2"/>
          <w:sz w:val="36"/>
          <w:szCs w:val="36"/>
          <w:lang w:val="en-US" w:eastAsia="zh-CN" w:bidi="ar-SA"/>
        </w:rPr>
        <w:t>禹州市环境保护局大气环境执法能力提升项目</w:t>
      </w:r>
    </w:p>
    <w:p>
      <w:pPr>
        <w:jc w:val="center"/>
        <w:rPr>
          <w:rFonts w:ascii="华文隶书" w:eastAsia="华文隶书"/>
          <w:bCs/>
          <w:color w:val="auto"/>
          <w:w w:val="90"/>
          <w:sz w:val="96"/>
        </w:rPr>
      </w:pPr>
      <w:r>
        <w:rPr>
          <w:rFonts w:hint="eastAsia" w:ascii="黑体" w:hAnsi="黑体" w:eastAsia="黑体" w:cs="黑体"/>
          <w:bCs/>
          <w:color w:val="auto"/>
          <w:sz w:val="36"/>
          <w:szCs w:val="36"/>
        </w:rPr>
        <w:t>（不见面开标）</w:t>
      </w:r>
    </w:p>
    <w:p>
      <w:pPr>
        <w:pStyle w:val="36"/>
        <w:ind w:firstLine="0" w:firstLineChars="0"/>
        <w:rPr>
          <w:rFonts w:ascii="华文隶书" w:eastAsia="华文隶书"/>
          <w:bCs/>
          <w:color w:val="auto"/>
          <w:w w:val="90"/>
          <w:sz w:val="96"/>
        </w:rPr>
      </w:pPr>
    </w:p>
    <w:p>
      <w:pPr>
        <w:pStyle w:val="36"/>
        <w:ind w:firstLine="0" w:firstLineChars="0"/>
        <w:rPr>
          <w:rFonts w:ascii="华文隶书" w:eastAsia="华文隶书"/>
          <w:bCs/>
          <w:color w:val="auto"/>
          <w:w w:val="90"/>
          <w:sz w:val="40"/>
          <w:szCs w:val="40"/>
        </w:rPr>
      </w:pPr>
    </w:p>
    <w:p>
      <w:pPr>
        <w:pStyle w:val="36"/>
        <w:ind w:firstLine="0" w:firstLineChars="0"/>
        <w:rPr>
          <w:rFonts w:ascii="华文隶书" w:eastAsia="华文隶书"/>
          <w:bCs/>
          <w:color w:val="auto"/>
          <w:w w:val="90"/>
          <w:sz w:val="40"/>
          <w:szCs w:val="40"/>
        </w:rPr>
      </w:pPr>
    </w:p>
    <w:p>
      <w:pPr>
        <w:pStyle w:val="37"/>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竞争性谈判文件</w:t>
      </w:r>
    </w:p>
    <w:p>
      <w:pPr>
        <w:rPr>
          <w:rFonts w:ascii="微软简隶书" w:eastAsia="微软简隶书"/>
          <w:color w:val="auto"/>
        </w:rPr>
      </w:pPr>
    </w:p>
    <w:p>
      <w:pPr>
        <w:rPr>
          <w:rFonts w:ascii="微软简隶书" w:eastAsia="微软简隶书"/>
          <w:color w:val="auto"/>
        </w:rPr>
      </w:pPr>
    </w:p>
    <w:p>
      <w:pPr>
        <w:pStyle w:val="3"/>
        <w:rPr>
          <w:color w:val="auto"/>
        </w:rPr>
      </w:pPr>
    </w:p>
    <w:p>
      <w:pPr>
        <w:pStyle w:val="34"/>
        <w:rPr>
          <w:color w:val="auto"/>
        </w:rPr>
      </w:pPr>
    </w:p>
    <w:p>
      <w:pPr>
        <w:pStyle w:val="35"/>
        <w:rPr>
          <w:color w:val="auto"/>
        </w:rPr>
      </w:pPr>
    </w:p>
    <w:p>
      <w:pPr>
        <w:pStyle w:val="11"/>
        <w:numPr>
          <w:ilvl w:val="3"/>
          <w:numId w:val="0"/>
        </w:numPr>
        <w:rPr>
          <w:color w:val="auto"/>
        </w:rPr>
      </w:pPr>
    </w:p>
    <w:p>
      <w:pPr>
        <w:rPr>
          <w:rFonts w:ascii="微软简隶书" w:eastAsia="微软简隶书"/>
          <w:color w:val="auto"/>
        </w:rPr>
      </w:pPr>
    </w:p>
    <w:p>
      <w:pPr>
        <w:rPr>
          <w:rFonts w:ascii="微软简隶书" w:eastAsia="微软简隶书"/>
          <w:color w:val="auto"/>
        </w:rPr>
      </w:pPr>
    </w:p>
    <w:p>
      <w:pPr>
        <w:ind w:firstLine="2249" w:firstLineChars="700"/>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rPr>
        <w:t>采购编号：YZCG-DLT2023</w:t>
      </w:r>
      <w:r>
        <w:rPr>
          <w:rFonts w:hint="eastAsia" w:ascii="宋体" w:hAnsi="宋体" w:eastAsia="宋体" w:cs="宋体"/>
          <w:b/>
          <w:bCs/>
          <w:color w:val="auto"/>
          <w:sz w:val="32"/>
          <w:szCs w:val="32"/>
          <w:lang w:val="en-US" w:eastAsia="zh-CN"/>
        </w:rPr>
        <w:t xml:space="preserve">039 </w:t>
      </w:r>
    </w:p>
    <w:p>
      <w:pPr>
        <w:ind w:firstLine="2249" w:firstLineChars="700"/>
        <w:rPr>
          <w:rFonts w:ascii="宋体" w:hAnsi="宋体" w:eastAsia="宋体" w:cs="宋体"/>
          <w:b/>
          <w:bCs/>
          <w:color w:val="auto"/>
          <w:sz w:val="32"/>
          <w:szCs w:val="32"/>
        </w:rPr>
      </w:pPr>
      <w:r>
        <w:rPr>
          <w:rFonts w:hint="eastAsia" w:ascii="宋体" w:hAnsi="宋体" w:eastAsia="宋体" w:cs="宋体"/>
          <w:b/>
          <w:bCs/>
          <w:color w:val="auto"/>
          <w:sz w:val="32"/>
          <w:szCs w:val="32"/>
        </w:rPr>
        <w:t>采购单位：禹州市</w:t>
      </w:r>
      <w:r>
        <w:rPr>
          <w:rFonts w:hint="eastAsia" w:ascii="宋体" w:hAnsi="宋体" w:eastAsia="宋体" w:cs="宋体"/>
          <w:b/>
          <w:bCs/>
          <w:color w:val="auto"/>
          <w:sz w:val="32"/>
          <w:szCs w:val="32"/>
          <w:lang w:eastAsia="zh-CN"/>
        </w:rPr>
        <w:t>环境保护</w:t>
      </w:r>
      <w:r>
        <w:rPr>
          <w:rFonts w:hint="eastAsia" w:ascii="宋体" w:hAnsi="宋体" w:eastAsia="宋体" w:cs="宋体"/>
          <w:b/>
          <w:bCs/>
          <w:color w:val="auto"/>
          <w:sz w:val="32"/>
          <w:szCs w:val="32"/>
        </w:rPr>
        <w:t>局</w:t>
      </w:r>
    </w:p>
    <w:p>
      <w:pPr>
        <w:ind w:firstLine="2249" w:firstLineChars="700"/>
        <w:rPr>
          <w:rFonts w:ascii="宋体" w:hAnsi="宋体" w:eastAsia="宋体" w:cs="宋体"/>
          <w:b/>
          <w:bCs/>
          <w:color w:val="auto"/>
          <w:sz w:val="32"/>
          <w:szCs w:val="32"/>
        </w:rPr>
      </w:pPr>
      <w:r>
        <w:rPr>
          <w:rFonts w:hint="eastAsia" w:ascii="宋体" w:hAnsi="宋体" w:eastAsia="宋体" w:cs="宋体"/>
          <w:b/>
          <w:bCs/>
          <w:color w:val="auto"/>
          <w:sz w:val="32"/>
          <w:szCs w:val="32"/>
        </w:rPr>
        <w:t>代理机构：许昌丰元咨询管理有限公司</w:t>
      </w:r>
    </w:p>
    <w:p>
      <w:pPr>
        <w:ind w:firstLine="3534" w:firstLineChars="1100"/>
        <w:rPr>
          <w:rFonts w:ascii="宋体" w:hAnsi="宋体" w:eastAsia="宋体" w:cs="宋体"/>
          <w:b/>
          <w:bCs/>
          <w:color w:val="auto"/>
          <w:sz w:val="32"/>
          <w:szCs w:val="32"/>
          <w:lang w:val="zh-CN"/>
        </w:rPr>
        <w:sectPr>
          <w:pgSz w:w="11906" w:h="16838"/>
          <w:pgMar w:top="2098" w:right="1474" w:bottom="1928" w:left="1588" w:header="851" w:footer="992" w:gutter="0"/>
          <w:cols w:space="425" w:num="1"/>
          <w:docGrid w:type="lines" w:linePitch="312" w:charSpace="0"/>
        </w:sectPr>
      </w:pPr>
      <w:r>
        <w:rPr>
          <w:rFonts w:hint="eastAsia" w:ascii="宋体" w:hAnsi="宋体" w:eastAsia="宋体" w:cs="宋体"/>
          <w:b/>
          <w:bCs/>
          <w:color w:val="auto"/>
          <w:sz w:val="32"/>
          <w:szCs w:val="32"/>
        </w:rPr>
        <w:t>二〇二三年</w:t>
      </w:r>
      <w:r>
        <w:rPr>
          <w:rFonts w:hint="eastAsia" w:ascii="宋体" w:hAnsi="宋体" w:eastAsia="宋体" w:cs="宋体"/>
          <w:b/>
          <w:bCs/>
          <w:color w:val="auto"/>
          <w:sz w:val="32"/>
          <w:szCs w:val="32"/>
          <w:lang w:eastAsia="zh-CN"/>
        </w:rPr>
        <w:t>六</w:t>
      </w:r>
      <w:r>
        <w:rPr>
          <w:rFonts w:hint="eastAsia" w:ascii="宋体" w:hAnsi="宋体" w:eastAsia="宋体" w:cs="宋体"/>
          <w:b/>
          <w:bCs/>
          <w:color w:val="auto"/>
          <w:sz w:val="32"/>
          <w:szCs w:val="32"/>
        </w:rPr>
        <w:t>月</w:t>
      </w:r>
    </w:p>
    <w:p>
      <w:pPr>
        <w:widowControl/>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pPr>
        <w:jc w:val="center"/>
        <w:rPr>
          <w:color w:val="auto"/>
        </w:rPr>
      </w:pPr>
      <w:r>
        <w:rPr>
          <w:rFonts w:hint="eastAsia" w:cs="宋体" w:asciiTheme="majorEastAsia" w:hAnsiTheme="majorEastAsia" w:eastAsiaTheme="majorEastAsia"/>
          <w:b/>
          <w:color w:val="auto"/>
          <w:kern w:val="0"/>
          <w:sz w:val="32"/>
          <w:szCs w:val="32"/>
        </w:rPr>
        <w:t>第一章</w:t>
      </w:r>
      <w:r>
        <w:rPr>
          <w:rFonts w:hint="eastAsia" w:cs="宋体" w:asciiTheme="majorEastAsia" w:hAnsiTheme="majorEastAsia" w:eastAsiaTheme="majorEastAsia"/>
          <w:b/>
          <w:color w:val="auto"/>
          <w:kern w:val="0"/>
          <w:sz w:val="32"/>
          <w:szCs w:val="32"/>
          <w:lang w:val="en-US" w:eastAsia="zh-CN"/>
        </w:rPr>
        <w:t xml:space="preserve"> </w:t>
      </w:r>
      <w:r>
        <w:rPr>
          <w:rFonts w:hint="eastAsia" w:cs="宋体" w:asciiTheme="majorEastAsia" w:hAnsiTheme="majorEastAsia" w:eastAsiaTheme="majorEastAsia"/>
          <w:b/>
          <w:color w:val="auto"/>
          <w:kern w:val="0"/>
          <w:sz w:val="32"/>
          <w:szCs w:val="32"/>
        </w:rPr>
        <w:t>谈判邀请</w:t>
      </w:r>
    </w:p>
    <w:p>
      <w:pPr>
        <w:tabs>
          <w:tab w:val="left" w:pos="7095"/>
        </w:tabs>
        <w:spacing w:line="360" w:lineRule="auto"/>
        <w:contextualSpacing/>
        <w:rPr>
          <w:rFonts w:hAnsi="宋体"/>
          <w:b/>
          <w:bCs/>
          <w:color w:val="auto"/>
          <w:szCs w:val="21"/>
        </w:rPr>
      </w:pPr>
      <w:r>
        <w:rPr>
          <w:rFonts w:hint="eastAsia" w:hAnsi="宋体"/>
          <w:b/>
          <w:bCs/>
          <w:color w:val="auto"/>
          <w:szCs w:val="21"/>
        </w:rPr>
        <w:t>项目概况</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禹州市环境保护局大气环境执法能力提升项目的潜在投标人应在谈判响应截止时间前登录《全国公共资源交易平台（河南省·许昌市）》“投标人/供应商登录”入口（http://ggzy.xuchang.gov.cn:8088/ggzy/）自行免费下载获取招标文件，并于2023年</w:t>
      </w:r>
      <w:r>
        <w:rPr>
          <w:rFonts w:hint="eastAsia" w:hAnsi="宋体"/>
          <w:color w:val="auto"/>
          <w:szCs w:val="21"/>
          <w:lang w:val="en-US" w:eastAsia="zh-CN"/>
        </w:rPr>
        <w:t>06</w:t>
      </w:r>
      <w:r>
        <w:rPr>
          <w:rFonts w:hint="eastAsia" w:hAnsi="宋体"/>
          <w:color w:val="auto"/>
          <w:szCs w:val="21"/>
        </w:rPr>
        <w:t>月</w:t>
      </w:r>
      <w:r>
        <w:rPr>
          <w:rFonts w:hint="eastAsia" w:hAnsi="宋体"/>
          <w:color w:val="auto"/>
          <w:szCs w:val="21"/>
          <w:lang w:val="en-US" w:eastAsia="zh-CN"/>
        </w:rPr>
        <w:t xml:space="preserve">14 </w:t>
      </w:r>
      <w:r>
        <w:rPr>
          <w:rFonts w:hint="eastAsia" w:hAnsi="宋体"/>
          <w:color w:val="auto"/>
          <w:szCs w:val="21"/>
        </w:rPr>
        <w:t>日</w:t>
      </w:r>
      <w:r>
        <w:rPr>
          <w:rFonts w:hint="eastAsia" w:hAnsi="宋体"/>
          <w:color w:val="auto"/>
          <w:szCs w:val="21"/>
          <w:lang w:val="en-US" w:eastAsia="zh-CN"/>
        </w:rPr>
        <w:t>08</w:t>
      </w:r>
      <w:r>
        <w:rPr>
          <w:rFonts w:hint="eastAsia" w:hAnsi="宋体"/>
          <w:color w:val="auto"/>
          <w:szCs w:val="21"/>
        </w:rPr>
        <w:t>时30 分（北京时间）前递交响应文件。</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一、项目基本情况</w:t>
      </w:r>
    </w:p>
    <w:p>
      <w:pPr>
        <w:tabs>
          <w:tab w:val="left" w:pos="7095"/>
        </w:tabs>
        <w:spacing w:line="360" w:lineRule="auto"/>
        <w:ind w:firstLine="420" w:firstLineChars="200"/>
        <w:contextualSpacing/>
        <w:rPr>
          <w:rFonts w:hint="default" w:hAnsi="宋体" w:eastAsiaTheme="minorEastAsia"/>
          <w:color w:val="auto"/>
          <w:szCs w:val="21"/>
          <w:lang w:val="en-US" w:eastAsia="zh-CN"/>
        </w:rPr>
      </w:pPr>
      <w:r>
        <w:rPr>
          <w:rFonts w:hint="eastAsia" w:hAnsi="宋体"/>
          <w:color w:val="auto"/>
          <w:szCs w:val="21"/>
        </w:rPr>
        <w:t>1.项目编号：YZCG-DLT2023</w:t>
      </w:r>
      <w:r>
        <w:rPr>
          <w:rFonts w:hint="eastAsia" w:hAnsi="宋体"/>
          <w:color w:val="auto"/>
          <w:szCs w:val="21"/>
          <w:lang w:val="en-US" w:eastAsia="zh-CN"/>
        </w:rPr>
        <w:t xml:space="preserve">039 </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2.项目名称：禹州市环境保护局大气环境执法能力提升项目</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3.采购方式：竞争性谈判</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4.预算金额：</w:t>
      </w:r>
      <w:r>
        <w:rPr>
          <w:rFonts w:hint="eastAsia" w:hAnsi="宋体"/>
          <w:color w:val="auto"/>
          <w:szCs w:val="21"/>
          <w:lang w:val="en-US" w:eastAsia="zh-CN"/>
        </w:rPr>
        <w:t>48</w:t>
      </w:r>
      <w:r>
        <w:rPr>
          <w:rFonts w:hint="eastAsia" w:hAnsi="宋体"/>
          <w:color w:val="auto"/>
          <w:szCs w:val="21"/>
        </w:rPr>
        <w:t>0000.00元</w:t>
      </w:r>
    </w:p>
    <w:p>
      <w:pPr>
        <w:tabs>
          <w:tab w:val="left" w:pos="7095"/>
        </w:tabs>
        <w:spacing w:line="360" w:lineRule="auto"/>
        <w:ind w:firstLine="525" w:firstLineChars="250"/>
        <w:contextualSpacing/>
        <w:rPr>
          <w:rFonts w:hAnsi="宋体"/>
          <w:color w:val="auto"/>
          <w:szCs w:val="21"/>
        </w:rPr>
      </w:pPr>
      <w:r>
        <w:rPr>
          <w:rFonts w:hint="eastAsia" w:hAnsi="宋体"/>
          <w:color w:val="auto"/>
          <w:szCs w:val="21"/>
        </w:rPr>
        <w:t>最高限价：</w:t>
      </w:r>
      <w:r>
        <w:rPr>
          <w:rFonts w:hint="eastAsia" w:hAnsi="宋体"/>
          <w:color w:val="auto"/>
          <w:szCs w:val="21"/>
          <w:lang w:val="en-US" w:eastAsia="zh-CN"/>
        </w:rPr>
        <w:t>48</w:t>
      </w:r>
      <w:r>
        <w:rPr>
          <w:rFonts w:hint="eastAsia" w:hAnsi="宋体"/>
          <w:color w:val="auto"/>
          <w:szCs w:val="21"/>
        </w:rPr>
        <w:t xml:space="preserve">0000.00元 </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5.采购需求（包括但不限于标的的名称、数量、简要技术需求或服务要求等）</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禹州市环境保护局大气环境执法能力提升项目，采购内容包括：购置3台粉尘快速测定仪、3台多参数气体检测仪、3台手持式光离子化检测仪（PID）和执法记录仪等有关执法设备（详见谈判文件）。</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6.合同履行期限：合同签订后15</w:t>
      </w:r>
      <w:r>
        <w:rPr>
          <w:rFonts w:hint="eastAsia" w:hAnsi="宋体"/>
          <w:color w:val="auto"/>
          <w:szCs w:val="21"/>
          <w:lang w:eastAsia="zh-CN"/>
        </w:rPr>
        <w:t>个工作</w:t>
      </w:r>
      <w:r>
        <w:rPr>
          <w:rFonts w:hint="eastAsia" w:hAnsi="宋体"/>
          <w:color w:val="auto"/>
          <w:szCs w:val="21"/>
        </w:rPr>
        <w:t>日内</w:t>
      </w:r>
      <w:r>
        <w:rPr>
          <w:rFonts w:hint="eastAsia" w:ascii="宋体" w:hAnsi="宋体" w:eastAsia="宋体" w:cs="宋体"/>
          <w:color w:val="auto"/>
          <w:szCs w:val="21"/>
          <w:shd w:val="clear" w:color="auto" w:fill="FFFFFF"/>
        </w:rPr>
        <w:t>完成采购、安装、调试</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7.本项目是否接受联合体投标：否</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8.是否接受进口产品：否</w:t>
      </w:r>
    </w:p>
    <w:p>
      <w:pPr>
        <w:tabs>
          <w:tab w:val="left" w:pos="7095"/>
        </w:tabs>
        <w:spacing w:line="384" w:lineRule="auto"/>
        <w:ind w:firstLine="420" w:firstLineChars="200"/>
        <w:contextualSpacing/>
        <w:rPr>
          <w:rFonts w:hint="eastAsia" w:eastAsiaTheme="minorEastAsia"/>
          <w:color w:val="auto"/>
          <w:lang w:eastAsia="zh-CN"/>
        </w:rPr>
      </w:pPr>
      <w:r>
        <w:rPr>
          <w:rFonts w:hint="eastAsia" w:hAnsi="宋体"/>
          <w:color w:val="auto"/>
          <w:szCs w:val="21"/>
        </w:rPr>
        <w:t>9.是否专门面向中小企业：</w:t>
      </w:r>
      <w:r>
        <w:rPr>
          <w:rFonts w:hint="eastAsia" w:hAnsi="宋体"/>
          <w:color w:val="auto"/>
          <w:szCs w:val="21"/>
          <w:lang w:eastAsia="zh-CN"/>
        </w:rPr>
        <w:t>否</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二、供应商资格要求：</w:t>
      </w:r>
    </w:p>
    <w:p>
      <w:pPr>
        <w:tabs>
          <w:tab w:val="left" w:pos="7095"/>
        </w:tabs>
        <w:spacing w:line="384" w:lineRule="auto"/>
        <w:ind w:firstLine="420" w:firstLineChars="200"/>
        <w:contextualSpacing/>
        <w:rPr>
          <w:rFonts w:hint="eastAsia" w:hAnsi="宋体"/>
          <w:color w:val="auto"/>
          <w:szCs w:val="21"/>
        </w:rPr>
      </w:pPr>
      <w:r>
        <w:rPr>
          <w:rFonts w:hint="eastAsia" w:hAnsi="宋体"/>
          <w:color w:val="auto"/>
          <w:szCs w:val="21"/>
        </w:rPr>
        <w:t>1.满足《中华人民共和国政府采购法》第二十二条规定。</w:t>
      </w:r>
    </w:p>
    <w:p>
      <w:pPr>
        <w:tabs>
          <w:tab w:val="left" w:pos="7095"/>
        </w:tabs>
        <w:spacing w:line="384" w:lineRule="auto"/>
        <w:ind w:firstLine="420" w:firstLineChars="200"/>
        <w:contextualSpacing/>
        <w:rPr>
          <w:rFonts w:hint="eastAsia" w:hAnsi="宋体"/>
          <w:color w:val="auto"/>
          <w:szCs w:val="21"/>
        </w:rPr>
      </w:pPr>
      <w:r>
        <w:rPr>
          <w:rFonts w:hint="eastAsia" w:hAnsi="宋体"/>
          <w:color w:val="auto"/>
          <w:szCs w:val="21"/>
        </w:rPr>
        <w:t>2.落实政府采购政策满足的资格要求：本项目落实节约能源、保护环境、扶持不发达地区和少数民族地区、促进中小企业、监狱企业发展等政府采购政策。</w:t>
      </w:r>
    </w:p>
    <w:p>
      <w:pPr>
        <w:tabs>
          <w:tab w:val="left" w:pos="7095"/>
        </w:tabs>
        <w:spacing w:line="384" w:lineRule="auto"/>
        <w:ind w:firstLine="420" w:firstLineChars="200"/>
        <w:contextualSpacing/>
        <w:rPr>
          <w:rFonts w:hint="eastAsia" w:hAnsi="宋体"/>
          <w:color w:val="auto"/>
          <w:szCs w:val="21"/>
        </w:rPr>
      </w:pPr>
      <w:r>
        <w:rPr>
          <w:rFonts w:hint="eastAsia" w:hAnsi="宋体"/>
          <w:color w:val="auto"/>
          <w:szCs w:val="21"/>
        </w:rPr>
        <w:t>3.本项目的特定资格要求：被委托人须是本单位职工，须提供公司为本人缴纳社会保险证明。</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三、获取谈判文件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即日起至投标截止时间，登录《全国公共资源交易平台（河南省·许昌市）》“投标人/供应 商登录”入口（http://ggzy.xuchang.gov.cn:8088/ggzy/）自行免费下载竞争性谈判文件。</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 xml:space="preserve">四、响应文件的提交方式及注意事项 </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本项目为全流程电子化交易项目，供应商必须通过许昌公共资源交易系统下载“许昌投标文件制作系统 SEARUN 最新版本”制作并上传加密电子响应文件。截至投标截止时间，交易系统投标通道将关闭，供应商未完成电子投标文件上传的，投标将被拒绝。</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五、谈判截止时间、谈判时间及地点</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1、响应文件提交截止时间及谈判响应截止时间、谈判时间：2023年</w:t>
      </w:r>
      <w:r>
        <w:rPr>
          <w:rFonts w:hint="eastAsia" w:ascii="宋体" w:hAnsi="宋体" w:eastAsia="宋体" w:cs="宋体"/>
          <w:color w:val="auto"/>
          <w:szCs w:val="21"/>
          <w:shd w:val="clear" w:color="auto" w:fill="FFFFFF"/>
          <w:lang w:val="en-US" w:eastAsia="zh-CN"/>
        </w:rPr>
        <w:t>06</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14</w:t>
      </w:r>
      <w:r>
        <w:rPr>
          <w:rFonts w:hint="eastAsia" w:ascii="宋体" w:hAnsi="宋体" w:eastAsia="宋体" w:cs="宋体"/>
          <w:color w:val="auto"/>
          <w:szCs w:val="21"/>
          <w:shd w:val="clear" w:color="auto" w:fill="FFFFFF"/>
        </w:rPr>
        <w:t>日</w:t>
      </w:r>
      <w:r>
        <w:rPr>
          <w:rFonts w:hint="eastAsia" w:ascii="宋体" w:hAnsi="宋体" w:eastAsia="宋体" w:cs="宋体"/>
          <w:color w:val="auto"/>
          <w:szCs w:val="21"/>
          <w:shd w:val="clear" w:color="auto" w:fill="FFFFFF"/>
          <w:lang w:val="en-US" w:eastAsia="zh-CN"/>
        </w:rPr>
        <w:t>08时</w:t>
      </w:r>
      <w:r>
        <w:rPr>
          <w:rFonts w:hint="eastAsia" w:ascii="宋体" w:hAnsi="宋体" w:eastAsia="宋体" w:cs="宋体"/>
          <w:color w:val="auto"/>
          <w:szCs w:val="21"/>
          <w:shd w:val="clear" w:color="auto" w:fill="FFFFFF"/>
        </w:rPr>
        <w:t>30</w:t>
      </w:r>
      <w:r>
        <w:rPr>
          <w:rFonts w:hint="eastAsia" w:ascii="宋体" w:hAnsi="宋体" w:eastAsia="宋体" w:cs="宋体"/>
          <w:color w:val="auto"/>
          <w:szCs w:val="21"/>
          <w:shd w:val="clear" w:color="auto" w:fill="FFFFFF"/>
          <w:lang w:eastAsia="zh-CN"/>
        </w:rPr>
        <w:t>分</w:t>
      </w:r>
      <w:r>
        <w:rPr>
          <w:rFonts w:hint="eastAsia" w:ascii="宋体" w:hAnsi="宋体" w:eastAsia="宋体" w:cs="宋体"/>
          <w:color w:val="auto"/>
          <w:szCs w:val="21"/>
          <w:shd w:val="clear" w:color="auto" w:fill="FFFFFF"/>
        </w:rPr>
        <w:t>（北京时间），逾期提交或不符合规定的响应文件恕不接受。</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2、响应文件开启时间：同响应文件提交截止时间。</w:t>
      </w:r>
    </w:p>
    <w:p>
      <w:pPr>
        <w:spacing w:line="440" w:lineRule="exact"/>
        <w:ind w:firstLine="420" w:firstLineChars="200"/>
        <w:rPr>
          <w:color w:val="auto"/>
        </w:rPr>
      </w:pPr>
      <w:r>
        <w:rPr>
          <w:rFonts w:hint="eastAsia" w:ascii="宋体" w:hAnsi="宋体" w:eastAsia="宋体" w:cs="宋体"/>
          <w:color w:val="auto"/>
          <w:szCs w:val="21"/>
          <w:shd w:val="clear" w:color="auto" w:fill="FFFFFF"/>
        </w:rPr>
        <w:t xml:space="preserve">3、谈判响应文件开启地点：禹州市公共资源交易中心九楼第开标 </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 xml:space="preserve"> 室。（本项目采用远程不见面谈判，供应商无须到达现场）。</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六、开标注意事项</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七、发布公告的媒介</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 xml:space="preserve">本次谈判公告同时在《河南省政府采购网》《许昌市政府采购网》《全国公共资源交易平台（河南省·许昌市）》上发布。 </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八、联系方式</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1.采购人信息</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名称：禹州市</w:t>
      </w:r>
      <w:r>
        <w:rPr>
          <w:rFonts w:hint="eastAsia" w:asciiTheme="majorEastAsia" w:hAnsiTheme="majorEastAsia" w:eastAsiaTheme="majorEastAsia" w:cstheme="majorEastAsia"/>
          <w:color w:val="auto"/>
          <w:szCs w:val="21"/>
          <w:lang w:eastAsia="zh-CN"/>
        </w:rPr>
        <w:t>环境保护</w:t>
      </w:r>
      <w:r>
        <w:rPr>
          <w:rFonts w:hint="eastAsia" w:asciiTheme="majorEastAsia" w:hAnsiTheme="majorEastAsia" w:eastAsiaTheme="majorEastAsia" w:cstheme="majorEastAsia"/>
          <w:color w:val="auto"/>
          <w:szCs w:val="21"/>
        </w:rPr>
        <w:t>局</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地址：禹州市行政北路2号创业大厦</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联系人：焦女士</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联系电话：0374-6066221</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2.采购代理机构信息</w:t>
      </w:r>
    </w:p>
    <w:p>
      <w:pPr>
        <w:pStyle w:val="13"/>
        <w:spacing w:line="348"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名称：</w:t>
      </w:r>
      <w:r>
        <w:rPr>
          <w:rFonts w:hint="eastAsia"/>
          <w:color w:val="auto"/>
        </w:rPr>
        <w:t>许昌丰元咨询管理有限公司</w:t>
      </w:r>
    </w:p>
    <w:p>
      <w:pPr>
        <w:spacing w:line="384" w:lineRule="auto"/>
        <w:ind w:firstLine="420" w:firstLineChars="200"/>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地址：</w:t>
      </w:r>
      <w:r>
        <w:rPr>
          <w:rFonts w:hint="eastAsia"/>
          <w:color w:val="auto"/>
          <w:lang w:val="en-US" w:eastAsia="zh-CN"/>
        </w:rPr>
        <w:t>禹州市颍北大道6号</w:t>
      </w:r>
    </w:p>
    <w:p>
      <w:pPr>
        <w:spacing w:line="384" w:lineRule="auto"/>
        <w:ind w:firstLine="420" w:firstLineChars="200"/>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联系人：</w:t>
      </w:r>
      <w:r>
        <w:rPr>
          <w:rFonts w:hint="eastAsia" w:asciiTheme="majorEastAsia" w:hAnsiTheme="majorEastAsia" w:eastAsiaTheme="majorEastAsia" w:cstheme="majorEastAsia"/>
          <w:color w:val="auto"/>
          <w:szCs w:val="21"/>
          <w:lang w:val="en-US" w:eastAsia="zh-CN"/>
        </w:rPr>
        <w:t>连女士</w:t>
      </w:r>
    </w:p>
    <w:p>
      <w:pPr>
        <w:spacing w:line="384" w:lineRule="auto"/>
        <w:ind w:firstLine="420" w:firstLineChars="200"/>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联系电话：</w:t>
      </w:r>
      <w:r>
        <w:rPr>
          <w:rFonts w:hint="eastAsia" w:asciiTheme="majorEastAsia" w:hAnsiTheme="majorEastAsia" w:eastAsiaTheme="majorEastAsia" w:cstheme="majorEastAsia"/>
          <w:color w:val="auto"/>
          <w:szCs w:val="21"/>
          <w:lang w:val="en-US" w:eastAsia="zh-CN"/>
        </w:rPr>
        <w:t>0374-8281999</w:t>
      </w:r>
    </w:p>
    <w:p>
      <w:pPr>
        <w:spacing w:line="440" w:lineRule="exact"/>
        <w:ind w:firstLine="420" w:firstLineChars="200"/>
        <w:jc w:val="left"/>
        <w:rPr>
          <w:rFonts w:hAnsi="宋体"/>
          <w:b/>
          <w:color w:val="auto"/>
          <w:szCs w:val="21"/>
        </w:rPr>
      </w:pPr>
      <w:r>
        <w:rPr>
          <w:rFonts w:hint="eastAsia" w:hAnsi="宋体"/>
          <w:color w:val="auto"/>
          <w:szCs w:val="21"/>
        </w:rPr>
        <w:t>3.监督单位：禹州市政府采购监督管理办公室</w:t>
      </w:r>
    </w:p>
    <w:p>
      <w:pPr>
        <w:spacing w:line="360" w:lineRule="auto"/>
        <w:rPr>
          <w:rFonts w:hAnsi="宋体"/>
          <w:b/>
          <w:color w:val="auto"/>
          <w:szCs w:val="21"/>
        </w:rPr>
      </w:pPr>
      <w:r>
        <w:rPr>
          <w:rFonts w:hint="eastAsia" w:hAnsi="宋体"/>
          <w:b/>
          <w:color w:val="auto"/>
          <w:szCs w:val="21"/>
        </w:rPr>
        <w:t>温馨提示：</w:t>
      </w:r>
    </w:p>
    <w:p>
      <w:pPr>
        <w:tabs>
          <w:tab w:val="left" w:pos="7095"/>
        </w:tabs>
        <w:spacing w:line="360" w:lineRule="auto"/>
        <w:ind w:firstLine="422" w:firstLineChars="200"/>
        <w:contextualSpacing/>
        <w:rPr>
          <w:rFonts w:hAnsi="宋体"/>
          <w:b/>
          <w:color w:val="auto"/>
          <w:szCs w:val="21"/>
        </w:rPr>
      </w:pPr>
      <w:r>
        <w:rPr>
          <w:rFonts w:hint="eastAsia" w:hAnsi="宋体"/>
          <w:b/>
          <w:color w:val="auto"/>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供应商应按谈判文件规定编制、提交、解密电子响应文件。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电子文件下载、制作、提交期间和远程不见面谈判（</w:t>
      </w:r>
      <w:r>
        <w:rPr>
          <w:rFonts w:hint="eastAsia" w:hAnsi="宋体"/>
          <w:color w:val="auto"/>
          <w:szCs w:val="21"/>
        </w:rPr>
        <w:t>电子响应文件的解密</w:t>
      </w:r>
      <w:r>
        <w:rPr>
          <w:rFonts w:hint="eastAsia" w:hAnsi="宋体"/>
          <w:b/>
          <w:color w:val="auto"/>
          <w:szCs w:val="21"/>
        </w:rPr>
        <w:t>）环节，供应商须使用同一个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电子响应文件的制作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供应商登录《全国公共资源交易平台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color w:val="auto"/>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电子响应文件的制作，参考《全国公共资源交易平台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供应商对同一项目多个标段进行响应的，应分别下载所投标段的谈判文件，按标段制作电子响应文件，并</w:t>
      </w:r>
      <w:r>
        <w:rPr>
          <w:rFonts w:hAnsi="宋体"/>
          <w:color w:val="auto"/>
          <w:szCs w:val="21"/>
        </w:rPr>
        <w:t>按</w:t>
      </w:r>
      <w:r>
        <w:rPr>
          <w:rFonts w:hint="eastAsia" w:hAnsi="宋体"/>
          <w:color w:val="auto"/>
          <w:szCs w:val="21"/>
        </w:rPr>
        <w:t>谈判</w:t>
      </w:r>
      <w:r>
        <w:rPr>
          <w:rFonts w:hAnsi="宋体"/>
          <w:color w:val="auto"/>
          <w:szCs w:val="21"/>
        </w:rPr>
        <w:t>文件要求在相应位置加盖</w:t>
      </w:r>
      <w:r>
        <w:rPr>
          <w:rFonts w:hint="eastAsia" w:hAnsi="宋体"/>
          <w:color w:val="auto"/>
          <w:szCs w:val="21"/>
        </w:rPr>
        <w:t>供应商</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电子响应文件的提交</w:t>
      </w:r>
    </w:p>
    <w:p>
      <w:pPr>
        <w:tabs>
          <w:tab w:val="left" w:pos="7095"/>
        </w:tabs>
        <w:spacing w:line="360" w:lineRule="auto"/>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电子响应文件应按规定在谈判响应截止时间（谈判时间）之前成功提交至《全国公共资源交易平台(河南省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供应商应充分考虑并预留技术处理和上传数据所需时间。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电子响应文件成功提交后，《全国公共资源交易平台(河南省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5.远程不见面谈判（</w:t>
      </w:r>
      <w:r>
        <w:rPr>
          <w:rFonts w:hint="eastAsia" w:hAnsi="宋体"/>
          <w:b/>
          <w:color w:val="auto"/>
          <w:szCs w:val="21"/>
        </w:rPr>
        <w:t>电子响应文件的解密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1</w:t>
      </w:r>
      <w:r>
        <w:rPr>
          <w:rFonts w:hint="eastAsia" w:hAnsi="宋体"/>
          <w:color w:val="auto"/>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color w:val="auto"/>
          <w:kern w:val="0"/>
          <w:szCs w:val="21"/>
        </w:rPr>
        <w:t>因供应商原因解密失败的，其响应文件将被拒绝。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auto"/>
          <w:szCs w:val="21"/>
        </w:rPr>
      </w:pPr>
      <w:r>
        <w:rPr>
          <w:rFonts w:hint="eastAsia" w:asciiTheme="minorEastAsia" w:hAnsiTheme="minorEastAsia"/>
          <w:b/>
          <w:color w:val="auto"/>
          <w:szCs w:val="21"/>
        </w:rPr>
        <w:t>6.评审依据</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（1）最后报价（加盖公章，或者由法定代表人或其授权的代表签字）；</w:t>
      </w:r>
    </w:p>
    <w:p>
      <w:pPr>
        <w:autoSpaceDE w:val="0"/>
        <w:autoSpaceDN w:val="0"/>
        <w:spacing w:line="360" w:lineRule="auto"/>
        <w:ind w:firstLine="420" w:firstLineChars="200"/>
        <w:contextualSpacing/>
        <w:rPr>
          <w:rFonts w:ascii="ˎ̥" w:hAnsi="ˎ̥"/>
          <w:color w:val="auto"/>
        </w:rPr>
      </w:pPr>
      <w:r>
        <w:rPr>
          <w:rFonts w:hint="eastAsia" w:ascii="ˎ̥" w:hAnsi="ˎ̥"/>
          <w:color w:val="auto"/>
        </w:rPr>
        <w:t>提交方式：供应商须使用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tabs>
          <w:tab w:val="left" w:pos="7095"/>
        </w:tabs>
        <w:spacing w:line="360" w:lineRule="auto"/>
        <w:ind w:firstLine="420"/>
        <w:contextualSpacing/>
        <w:rPr>
          <w:rFonts w:asciiTheme="minorEastAsia" w:hAnsiTheme="minorEastAsia"/>
          <w:color w:val="auto"/>
          <w:szCs w:val="21"/>
          <w:lang w:val="zh-CN"/>
        </w:rPr>
      </w:pPr>
      <w:r>
        <w:rPr>
          <w:rFonts w:hint="eastAsia" w:asciiTheme="minorEastAsia" w:hAnsiTheme="minorEastAsia"/>
          <w:color w:val="auto"/>
          <w:szCs w:val="21"/>
          <w:lang w:val="zh-CN"/>
        </w:rPr>
        <w:t>注：</w:t>
      </w:r>
      <w:r>
        <w:rPr>
          <w:rFonts w:hint="eastAsia" w:asciiTheme="minorEastAsia" w:hAnsiTheme="minorEastAsia"/>
          <w:color w:val="auto"/>
          <w:szCs w:val="21"/>
        </w:rPr>
        <w:t>①谈判小组要求供应商提交最后报价时，</w:t>
      </w:r>
      <w:r>
        <w:rPr>
          <w:rFonts w:hint="eastAsia" w:asciiTheme="minorEastAsia" w:hAnsiTheme="minorEastAsia"/>
          <w:color w:val="auto"/>
          <w:szCs w:val="21"/>
          <w:lang w:val="zh-CN"/>
        </w:rPr>
        <w:t>在谈判小组规定时间内，供应商未提交最后报价则以其初次提交响应文件报价为最后报价。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②谈判文件第二章“采购需求”中“采购清单”以工程量清单提供的，供应商应以工程量清单方式提交最后报价。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③请供应商根据项目情况，可提前准备分项报价。</w:t>
      </w:r>
    </w:p>
    <w:p>
      <w:pPr>
        <w:numPr>
          <w:ilvl w:val="0"/>
          <w:numId w:val="4"/>
        </w:num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谈判小组如要求供应商提供“澄清、说明或者更正”；“按照谈判文件的变动情况和谈判小组的要求重新提交响应文件”；“</w:t>
      </w:r>
      <w:r>
        <w:rPr>
          <w:rFonts w:asciiTheme="minorEastAsia" w:hAnsiTheme="minorEastAsia"/>
          <w:color w:val="auto"/>
          <w:szCs w:val="21"/>
        </w:rPr>
        <w:t>最终设计方案或解决方案</w:t>
      </w:r>
      <w:r>
        <w:rPr>
          <w:rFonts w:hint="eastAsia" w:asciiTheme="minorEastAsia" w:hAnsiTheme="minorEastAsia"/>
          <w:color w:val="auto"/>
          <w:szCs w:val="21"/>
        </w:rPr>
        <w:t>”的，供应商提供的书面材料应加盖公章，或者由法定代表人或其授权的代表签字后通过电子邮件形式提供。</w:t>
      </w:r>
    </w:p>
    <w:p>
      <w:pPr>
        <w:tabs>
          <w:tab w:val="left" w:pos="7095"/>
        </w:tabs>
        <w:spacing w:line="360" w:lineRule="auto"/>
        <w:ind w:firstLine="210" w:firstLineChars="100"/>
        <w:contextualSpacing/>
        <w:rPr>
          <w:rFonts w:cs="宋体" w:asciiTheme="majorEastAsia" w:hAnsiTheme="majorEastAsia" w:eastAsiaTheme="majorEastAsia"/>
          <w:b/>
          <w:color w:val="auto"/>
          <w:kern w:val="0"/>
          <w:sz w:val="32"/>
          <w:szCs w:val="32"/>
        </w:rPr>
      </w:pPr>
      <w:r>
        <w:rPr>
          <w:rFonts w:hint="eastAsia" w:asciiTheme="minorEastAsia" w:hAnsiTheme="minorEastAsia"/>
          <w:color w:val="auto"/>
          <w:szCs w:val="21"/>
        </w:rPr>
        <w:t>（3）如因供应商（参加谈判的法定代表人或其授权代表）未按照本项目谈判文件第八章“响应文件有关格式”要求，在响应文件中未预留手机号码或因供应商自身原因导致谈判小组无法联系供应商参加谈判《最后报价》的，其风险由供应商自行承担，采购人与代理机构不承担任何责任。</w:t>
      </w: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tabs>
          <w:tab w:val="left" w:pos="1149"/>
        </w:tabs>
        <w:spacing w:line="360" w:lineRule="auto"/>
        <w:ind w:firstLine="422" w:firstLineChars="200"/>
        <w:jc w:val="left"/>
        <w:rPr>
          <w:rFonts w:hint="eastAsia" w:eastAsiaTheme="minorEastAsia"/>
          <w:color w:val="auto"/>
          <w:lang w:eastAsia="zh-CN"/>
        </w:rPr>
      </w:pPr>
      <w:r>
        <w:rPr>
          <w:rFonts w:hint="eastAsia" w:ascii="新宋体" w:hAnsi="新宋体" w:eastAsia="新宋体" w:cs="新宋体"/>
          <w:b/>
          <w:bCs/>
          <w:color w:val="auto"/>
          <w:szCs w:val="21"/>
          <w:lang w:val="zh-CN"/>
        </w:rPr>
        <w:t>一、采购需求及参数：</w:t>
      </w:r>
    </w:p>
    <w:tbl>
      <w:tblPr>
        <w:tblStyle w:val="27"/>
        <w:tblW w:w="8938" w:type="dxa"/>
        <w:jc w:val="center"/>
        <w:tblLayout w:type="autofit"/>
        <w:tblCellMar>
          <w:top w:w="0" w:type="dxa"/>
          <w:left w:w="108" w:type="dxa"/>
          <w:bottom w:w="0" w:type="dxa"/>
          <w:right w:w="108" w:type="dxa"/>
        </w:tblCellMar>
      </w:tblPr>
      <w:tblGrid>
        <w:gridCol w:w="1024"/>
        <w:gridCol w:w="5585"/>
        <w:gridCol w:w="2329"/>
      </w:tblGrid>
      <w:tr>
        <w:tblPrEx>
          <w:tblCellMar>
            <w:top w:w="0" w:type="dxa"/>
            <w:left w:w="108" w:type="dxa"/>
            <w:bottom w:w="0" w:type="dxa"/>
            <w:right w:w="108" w:type="dxa"/>
          </w:tblCellMar>
        </w:tblPrEx>
        <w:trPr>
          <w:trHeight w:val="163" w:hRule="atLeast"/>
          <w:jc w:val="center"/>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55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仪器名称</w:t>
            </w:r>
          </w:p>
        </w:tc>
        <w:tc>
          <w:tcPr>
            <w:tcW w:w="23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数量　　　</w:t>
            </w:r>
          </w:p>
        </w:tc>
      </w:tr>
      <w:tr>
        <w:tblPrEx>
          <w:tblCellMar>
            <w:top w:w="0" w:type="dxa"/>
            <w:left w:w="108" w:type="dxa"/>
            <w:bottom w:w="0" w:type="dxa"/>
            <w:right w:w="108" w:type="dxa"/>
          </w:tblCellMar>
        </w:tblPrEx>
        <w:trPr>
          <w:trHeight w:val="163" w:hRule="atLeast"/>
          <w:jc w:val="center"/>
        </w:trPr>
        <w:tc>
          <w:tcPr>
            <w:tcW w:w="10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558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多参数气体检测仪</w:t>
            </w:r>
          </w:p>
        </w:tc>
        <w:tc>
          <w:tcPr>
            <w:tcW w:w="232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r>
      <w:tr>
        <w:tblPrEx>
          <w:tblCellMar>
            <w:top w:w="0" w:type="dxa"/>
            <w:left w:w="108" w:type="dxa"/>
            <w:bottom w:w="0" w:type="dxa"/>
            <w:right w:w="108" w:type="dxa"/>
          </w:tblCellMar>
        </w:tblPrEx>
        <w:trPr>
          <w:trHeight w:val="163" w:hRule="atLeast"/>
          <w:jc w:val="center"/>
        </w:trPr>
        <w:tc>
          <w:tcPr>
            <w:tcW w:w="10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558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粉尘快速测定仪</w:t>
            </w:r>
          </w:p>
        </w:tc>
        <w:tc>
          <w:tcPr>
            <w:tcW w:w="232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r>
      <w:tr>
        <w:tblPrEx>
          <w:tblCellMar>
            <w:top w:w="0" w:type="dxa"/>
            <w:left w:w="108" w:type="dxa"/>
            <w:bottom w:w="0" w:type="dxa"/>
            <w:right w:w="108" w:type="dxa"/>
          </w:tblCellMar>
        </w:tblPrEx>
        <w:trPr>
          <w:trHeight w:val="306" w:hRule="atLeast"/>
          <w:jc w:val="center"/>
        </w:trPr>
        <w:tc>
          <w:tcPr>
            <w:tcW w:w="10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558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手持式光离子化检测仪（PID）</w:t>
            </w:r>
          </w:p>
        </w:tc>
        <w:tc>
          <w:tcPr>
            <w:tcW w:w="232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r>
      <w:tr>
        <w:tblPrEx>
          <w:tblCellMar>
            <w:top w:w="0" w:type="dxa"/>
            <w:left w:w="108" w:type="dxa"/>
            <w:bottom w:w="0" w:type="dxa"/>
            <w:right w:w="108" w:type="dxa"/>
          </w:tblCellMar>
        </w:tblPrEx>
        <w:trPr>
          <w:trHeight w:val="163" w:hRule="atLeast"/>
          <w:jc w:val="center"/>
        </w:trPr>
        <w:tc>
          <w:tcPr>
            <w:tcW w:w="10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558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风速仪</w:t>
            </w:r>
          </w:p>
        </w:tc>
        <w:tc>
          <w:tcPr>
            <w:tcW w:w="232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r>
      <w:tr>
        <w:tblPrEx>
          <w:tblCellMar>
            <w:top w:w="0" w:type="dxa"/>
            <w:left w:w="108" w:type="dxa"/>
            <w:bottom w:w="0" w:type="dxa"/>
            <w:right w:w="108" w:type="dxa"/>
          </w:tblCellMar>
        </w:tblPrEx>
        <w:trPr>
          <w:trHeight w:val="306" w:hRule="atLeast"/>
          <w:jc w:val="center"/>
        </w:trPr>
        <w:tc>
          <w:tcPr>
            <w:tcW w:w="10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558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手持式挥发性有机气体分析仪（FID+PID）</w:t>
            </w:r>
          </w:p>
        </w:tc>
        <w:tc>
          <w:tcPr>
            <w:tcW w:w="232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r>
      <w:tr>
        <w:tblPrEx>
          <w:tblCellMar>
            <w:top w:w="0" w:type="dxa"/>
            <w:left w:w="108" w:type="dxa"/>
            <w:bottom w:w="0" w:type="dxa"/>
            <w:right w:w="108" w:type="dxa"/>
          </w:tblCellMar>
        </w:tblPrEx>
        <w:trPr>
          <w:trHeight w:val="163" w:hRule="atLeast"/>
          <w:jc w:val="center"/>
        </w:trPr>
        <w:tc>
          <w:tcPr>
            <w:tcW w:w="10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558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智能手持式红外热成像仪</w:t>
            </w:r>
          </w:p>
        </w:tc>
        <w:tc>
          <w:tcPr>
            <w:tcW w:w="232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r>
      <w:tr>
        <w:tblPrEx>
          <w:tblCellMar>
            <w:top w:w="0" w:type="dxa"/>
            <w:left w:w="108" w:type="dxa"/>
            <w:bottom w:w="0" w:type="dxa"/>
            <w:right w:w="108" w:type="dxa"/>
          </w:tblCellMar>
        </w:tblPrEx>
        <w:trPr>
          <w:trHeight w:val="163" w:hRule="atLeast"/>
          <w:jc w:val="center"/>
        </w:trPr>
        <w:tc>
          <w:tcPr>
            <w:tcW w:w="10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558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执法记录仪</w:t>
            </w:r>
          </w:p>
        </w:tc>
        <w:tc>
          <w:tcPr>
            <w:tcW w:w="232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r>
      <w:tr>
        <w:tblPrEx>
          <w:tblCellMar>
            <w:top w:w="0" w:type="dxa"/>
            <w:left w:w="108" w:type="dxa"/>
            <w:bottom w:w="0" w:type="dxa"/>
            <w:right w:w="108" w:type="dxa"/>
          </w:tblCellMar>
        </w:tblPrEx>
        <w:trPr>
          <w:trHeight w:val="328" w:hRule="atLeast"/>
          <w:jc w:val="center"/>
        </w:trPr>
        <w:tc>
          <w:tcPr>
            <w:tcW w:w="10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558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涉气企业专项执法巡查用无人机</w:t>
            </w:r>
          </w:p>
        </w:tc>
        <w:tc>
          <w:tcPr>
            <w:tcW w:w="232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r>
    </w:tbl>
    <w:p>
      <w:pPr>
        <w:spacing w:after="240" w:line="360" w:lineRule="auto"/>
        <w:ind w:firstLine="420" w:firstLineChars="200"/>
        <w:rPr>
          <w:rFonts w:hint="eastAsia" w:ascii="新宋体" w:hAnsi="新宋体" w:eastAsia="新宋体" w:cs="新宋体"/>
          <w:b/>
          <w:color w:val="auto"/>
          <w:szCs w:val="21"/>
        </w:rPr>
      </w:pPr>
      <w:r>
        <w:rPr>
          <w:rFonts w:hint="eastAsia"/>
          <w:color w:val="auto"/>
          <w:lang w:eastAsia="zh-CN"/>
        </w:rPr>
        <w:t>参数要求详见参数附件。</w:t>
      </w:r>
    </w:p>
    <w:p>
      <w:pPr>
        <w:keepNext w:val="0"/>
        <w:keepLines w:val="0"/>
        <w:pageBreakBefore w:val="0"/>
        <w:widowControl w:val="0"/>
        <w:tabs>
          <w:tab w:val="left" w:pos="1149"/>
        </w:tabs>
        <w:kinsoku/>
        <w:overflowPunct/>
        <w:topLinePunct w:val="0"/>
        <w:autoSpaceDE/>
        <w:autoSpaceDN/>
        <w:bidi w:val="0"/>
        <w:spacing w:line="356" w:lineRule="auto"/>
        <w:ind w:firstLine="422" w:firstLineChars="200"/>
        <w:textAlignment w:val="auto"/>
        <w:rPr>
          <w:b/>
          <w:color w:val="auto"/>
        </w:rPr>
      </w:pPr>
      <w:r>
        <w:rPr>
          <w:rFonts w:hint="eastAsia" w:ascii="新宋体" w:hAnsi="新宋体" w:eastAsia="新宋体" w:cs="新宋体"/>
          <w:b/>
          <w:color w:val="auto"/>
          <w:szCs w:val="21"/>
        </w:rPr>
        <w:t>注： 参数不允许负偏离，否则为无效投标。</w:t>
      </w:r>
    </w:p>
    <w:p>
      <w:pPr>
        <w:keepNext w:val="0"/>
        <w:keepLines w:val="0"/>
        <w:pageBreakBefore w:val="0"/>
        <w:widowControl w:val="0"/>
        <w:kinsoku/>
        <w:overflowPunct/>
        <w:topLinePunct w:val="0"/>
        <w:autoSpaceDE/>
        <w:autoSpaceDN/>
        <w:bidi w:val="0"/>
        <w:spacing w:line="356" w:lineRule="auto"/>
        <w:ind w:firstLine="422" w:firstLineChars="200"/>
        <w:contextualSpacing/>
        <w:textAlignment w:val="auto"/>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二、采购标的执行标准</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执行国家相关标准。</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1、强制性产品认证</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2、信息安全产品强制性认证</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如投标人所投产品被列入《信息安全产品强制性认证目录》，投标人不能提供出此目录范畴外的替代品并须在投标文件中提供：</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（1）中国信息安全认证中心官网(http://www.isccc.gov.cn/index.shtml)产品查询结果截图并加盖投标人公章；</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（2）中国信息安全认证中心颁发的《中国国家信息安全产品认证证书》的原件扫描件(或图片)并加盖投标人公章。</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注:仅需提供序号（1）~（2）其中之一即可。</w:t>
      </w:r>
    </w:p>
    <w:p>
      <w:pPr>
        <w:keepNext w:val="0"/>
        <w:keepLines w:val="0"/>
        <w:pageBreakBefore w:val="0"/>
        <w:widowControl w:val="0"/>
        <w:kinsoku/>
        <w:wordWrap w:val="0"/>
        <w:overflowPunct/>
        <w:topLinePunct w:val="0"/>
        <w:autoSpaceDE/>
        <w:autoSpaceDN/>
        <w:bidi w:val="0"/>
        <w:spacing w:line="356" w:lineRule="auto"/>
        <w:ind w:firstLine="422" w:firstLineChars="200"/>
        <w:contextualSpacing/>
        <w:textAlignment w:val="auto"/>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三、采购标的的其他技术、服务等要求</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b/>
          <w:bCs/>
          <w:color w:val="auto"/>
          <w:szCs w:val="21"/>
          <w:lang w:val="zh-CN"/>
        </w:rPr>
      </w:pP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、投标人应就本项目完整投标，报价含税费等综合费用，</w:t>
      </w:r>
      <w:r>
        <w:rPr>
          <w:rFonts w:hint="eastAsia" w:cs="仿宋_GB2312" w:asciiTheme="minorEastAsia" w:hAnsiTheme="minorEastAsia"/>
          <w:b/>
          <w:bCs/>
          <w:color w:val="auto"/>
          <w:szCs w:val="21"/>
          <w:lang w:val="zh-CN"/>
        </w:rPr>
        <w:t>否则为无效投标;</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、所投产品必须符合招标文件规定标准的全新正品现货，</w:t>
      </w:r>
      <w:r>
        <w:rPr>
          <w:rFonts w:hint="eastAsia" w:cs="仿宋_GB2312" w:asciiTheme="minorEastAsia" w:hAnsiTheme="minorEastAsia"/>
          <w:b/>
          <w:bCs/>
          <w:color w:val="auto"/>
          <w:szCs w:val="21"/>
          <w:lang w:val="zh-CN"/>
        </w:rPr>
        <w:t>否则为无效投标;</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、投标人须明确投标产品的厂家、产地、品牌、型号等参数，</w:t>
      </w:r>
      <w:r>
        <w:rPr>
          <w:rFonts w:hint="eastAsia" w:cs="仿宋_GB2312" w:asciiTheme="minorEastAsia" w:hAnsiTheme="minorEastAsia"/>
          <w:b/>
          <w:bCs/>
          <w:color w:val="auto"/>
          <w:szCs w:val="21"/>
          <w:lang w:val="zh-CN"/>
        </w:rPr>
        <w:t>否则为无效投标。</w:t>
      </w:r>
    </w:p>
    <w:p>
      <w:pPr>
        <w:keepNext w:val="0"/>
        <w:keepLines w:val="0"/>
        <w:pageBreakBefore w:val="0"/>
        <w:widowControl w:val="0"/>
        <w:kinsoku/>
        <w:overflowPunct/>
        <w:topLinePunct w:val="0"/>
        <w:autoSpaceDE/>
        <w:autoSpaceDN/>
        <w:bidi w:val="0"/>
        <w:spacing w:line="356" w:lineRule="auto"/>
        <w:ind w:firstLine="420" w:firstLineChars="200"/>
        <w:textAlignment w:val="auto"/>
        <w:rPr>
          <w:rFonts w:ascii="宋体" w:hAnsi="宋体"/>
          <w:color w:val="auto"/>
          <w:szCs w:val="21"/>
        </w:rPr>
      </w:pPr>
      <w:r>
        <w:rPr>
          <w:rFonts w:hint="eastAsia" w:ascii="宋体" w:hAnsi="宋体"/>
          <w:color w:val="auto"/>
          <w:szCs w:val="21"/>
        </w:rPr>
        <w:t>4、接到报修后8小时内响应，24小时内到场，除需更换配件外，48小时内解决故障。</w:t>
      </w:r>
    </w:p>
    <w:p>
      <w:pPr>
        <w:keepNext w:val="0"/>
        <w:keepLines w:val="0"/>
        <w:pageBreakBefore w:val="0"/>
        <w:widowControl w:val="0"/>
        <w:kinsoku/>
        <w:overflowPunct/>
        <w:topLinePunct w:val="0"/>
        <w:autoSpaceDE/>
        <w:autoSpaceDN/>
        <w:bidi w:val="0"/>
        <w:spacing w:line="356" w:lineRule="auto"/>
        <w:textAlignment w:val="auto"/>
        <w:rPr>
          <w:rFonts w:ascii="宋体" w:hAnsi="宋体"/>
          <w:color w:val="auto"/>
          <w:szCs w:val="21"/>
        </w:rPr>
      </w:pPr>
      <w:r>
        <w:rPr>
          <w:rFonts w:hint="eastAsia" w:ascii="宋体" w:hAnsi="宋体"/>
          <w:color w:val="auto"/>
          <w:szCs w:val="21"/>
        </w:rPr>
        <w:t xml:space="preserve">    5、设备整体免费保修1年（包括所有部件、耗材），终身维修，1年后免除人工费用只收取材料及耗材费。</w:t>
      </w:r>
    </w:p>
    <w:p>
      <w:pPr>
        <w:keepNext w:val="0"/>
        <w:keepLines w:val="0"/>
        <w:pageBreakBefore w:val="0"/>
        <w:widowControl w:val="0"/>
        <w:kinsoku/>
        <w:overflowPunct/>
        <w:topLinePunct w:val="0"/>
        <w:autoSpaceDE/>
        <w:autoSpaceDN/>
        <w:bidi w:val="0"/>
        <w:spacing w:line="356" w:lineRule="auto"/>
        <w:textAlignment w:val="auto"/>
        <w:rPr>
          <w:rFonts w:ascii="宋体" w:hAnsi="宋体"/>
          <w:color w:val="auto"/>
          <w:szCs w:val="21"/>
        </w:rPr>
      </w:pPr>
      <w:r>
        <w:rPr>
          <w:rFonts w:hint="eastAsia" w:ascii="宋体" w:hAnsi="宋体"/>
          <w:color w:val="auto"/>
          <w:szCs w:val="21"/>
        </w:rPr>
        <w:t xml:space="preserve">    6、设备的质量保证期，从设备安装调试验收合格之日起计。在保证期内因设备本身的质量问题发生故障，负责免费修理和更换零部件。对达不到使用要求者，经双方协商，可以更换设备，由中标单位承担所发生的全部费用。</w:t>
      </w:r>
    </w:p>
    <w:p>
      <w:pPr>
        <w:keepNext w:val="0"/>
        <w:keepLines w:val="0"/>
        <w:pageBreakBefore w:val="0"/>
        <w:widowControl w:val="0"/>
        <w:kinsoku/>
        <w:overflowPunct/>
        <w:topLinePunct w:val="0"/>
        <w:autoSpaceDE/>
        <w:autoSpaceDN/>
        <w:bidi w:val="0"/>
        <w:adjustRightInd w:val="0"/>
        <w:snapToGrid w:val="0"/>
        <w:spacing w:line="356" w:lineRule="auto"/>
        <w:ind w:firstLine="420" w:firstLineChars="200"/>
        <w:textAlignment w:val="auto"/>
        <w:rPr>
          <w:rFonts w:ascii="宋体" w:hAnsi="宋体"/>
          <w:color w:val="auto"/>
          <w:sz w:val="18"/>
          <w:szCs w:val="18"/>
        </w:rPr>
      </w:pPr>
      <w:r>
        <w:rPr>
          <w:rFonts w:hint="eastAsia" w:ascii="宋体" w:hAnsi="宋体"/>
          <w:color w:val="auto"/>
          <w:szCs w:val="21"/>
        </w:rPr>
        <w:t>7、在质保期内到设备使用寿命止，由中标单位对设备出现的质量问题负责处理解决。</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rPr>
        <w:t>8</w:t>
      </w:r>
      <w:r>
        <w:rPr>
          <w:rFonts w:hint="eastAsia" w:cs="宋体" w:asciiTheme="minorEastAsia" w:hAnsiTheme="minorEastAsia"/>
          <w:color w:val="auto"/>
          <w:kern w:val="0"/>
          <w:szCs w:val="21"/>
          <w:lang w:val="zh-CN"/>
        </w:rPr>
        <w:t>、本项目为交钥匙工程（包括设备、材料、元件等购置、安装调试、验收、与其它施工单位协作所产生的费用等）</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9、交货地点：采购人指定地点，现场交货，中标人负责办理运输，保证运输到户，并提供免费安装调试，对此项作出承诺。为了确保项目按时按质完成，实施方案应由项目负责人签字，否则无效投标。</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10、投标人应具有完善的善后服务。投标人须明确质保期限，须明确维修地址、负责人、联系人和联系电话，维修点具备什么样的维修能力等详细资料。</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11、中标人需按合同约定时间供货，逾期1天扣除合同额的5%，中标人须现场提供技术指导，直至配合完成整个项目的竣工验收等工作。</w:t>
      </w:r>
    </w:p>
    <w:p>
      <w:pPr>
        <w:keepNext w:val="0"/>
        <w:keepLines w:val="0"/>
        <w:pageBreakBefore w:val="0"/>
        <w:widowControl w:val="0"/>
        <w:kinsoku/>
        <w:wordWrap w:val="0"/>
        <w:overflowPunct/>
        <w:topLinePunct w:val="0"/>
        <w:autoSpaceDE/>
        <w:autoSpaceDN/>
        <w:bidi w:val="0"/>
        <w:spacing w:line="356" w:lineRule="auto"/>
        <w:ind w:firstLine="422" w:firstLineChars="200"/>
        <w:contextualSpacing/>
        <w:textAlignment w:val="auto"/>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四、验收标准</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1、按照国家相关标准、行业标准、地方标准或其他标准、规范验收。</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2、按照招标文件要求、投标文件响应和承诺验收。</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rPr>
        <w:t>3、本项目验收如需要第三方验收，中标方将承担所有产生的费用。</w:t>
      </w:r>
    </w:p>
    <w:p>
      <w:pPr>
        <w:keepNext w:val="0"/>
        <w:keepLines w:val="0"/>
        <w:pageBreakBefore w:val="0"/>
        <w:widowControl w:val="0"/>
        <w:kinsoku/>
        <w:wordWrap w:val="0"/>
        <w:overflowPunct/>
        <w:topLinePunct w:val="0"/>
        <w:autoSpaceDE/>
        <w:autoSpaceDN/>
        <w:bidi w:val="0"/>
        <w:spacing w:line="356" w:lineRule="auto"/>
        <w:ind w:firstLine="422" w:firstLineChars="200"/>
        <w:contextualSpacing/>
        <w:textAlignment w:val="auto"/>
        <w:rPr>
          <w:rFonts w:cs="仿宋_GB2312" w:asciiTheme="minorEastAsia" w:hAnsiTheme="minorEastAsia"/>
          <w:b/>
          <w:bCs/>
          <w:color w:val="auto"/>
          <w:szCs w:val="21"/>
          <w:lang w:val="zh-CN"/>
        </w:rPr>
      </w:pPr>
      <w:r>
        <w:rPr>
          <w:rFonts w:hint="eastAsia" w:cs="仿宋_GB2312" w:asciiTheme="minorEastAsia" w:hAnsiTheme="minorEastAsia"/>
          <w:b/>
          <w:bCs/>
          <w:color w:val="auto"/>
          <w:szCs w:val="21"/>
        </w:rPr>
        <w:t>五</w:t>
      </w:r>
      <w:r>
        <w:rPr>
          <w:rFonts w:hint="eastAsia" w:cs="仿宋_GB2312" w:asciiTheme="minorEastAsia" w:hAnsiTheme="minorEastAsia"/>
          <w:b/>
          <w:bCs/>
          <w:color w:val="auto"/>
          <w:szCs w:val="21"/>
          <w:lang w:val="zh-CN"/>
        </w:rPr>
        <w:t>、资金支付</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ascii="宋体" w:hAnsi="宋体" w:eastAsia="宋体"/>
          <w:color w:val="auto"/>
          <w:szCs w:val="21"/>
        </w:rPr>
      </w:pPr>
      <w:r>
        <w:rPr>
          <w:rFonts w:hint="eastAsia" w:ascii="宋体" w:hAnsi="宋体" w:eastAsia="宋体"/>
          <w:color w:val="auto"/>
          <w:szCs w:val="21"/>
          <w:lang w:val="zh-CN"/>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auto"/>
          <w:szCs w:val="21"/>
          <w:lang w:val="zh-CN"/>
        </w:rPr>
        <w:t>。</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ascii="宋体" w:hAnsi="宋体" w:eastAsia="宋体"/>
          <w:color w:val="auto"/>
          <w:szCs w:val="21"/>
        </w:rPr>
      </w:pPr>
      <w:r>
        <w:rPr>
          <w:rFonts w:hint="eastAsia" w:ascii="宋体" w:hAnsi="宋体" w:eastAsia="宋体"/>
          <w:color w:val="auto"/>
          <w:szCs w:val="21"/>
        </w:rPr>
        <w:t>（一）支付方式：</w:t>
      </w:r>
      <w:r>
        <w:rPr>
          <w:rFonts w:hint="eastAsia" w:cs="仿宋_GB2312" w:asciiTheme="minorEastAsia" w:hAnsiTheme="minorEastAsia"/>
          <w:color w:val="auto"/>
          <w:szCs w:val="21"/>
          <w:lang w:val="zh-CN"/>
        </w:rPr>
        <w:t>双方签订合同约定。</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color w:val="auto"/>
        </w:rPr>
      </w:pPr>
      <w:r>
        <w:rPr>
          <w:rFonts w:hint="eastAsia" w:ascii="宋体" w:hAnsi="宋体"/>
          <w:color w:val="auto"/>
          <w:szCs w:val="21"/>
        </w:rPr>
        <w:t>（二）支付时间及条件：</w:t>
      </w:r>
      <w:r>
        <w:rPr>
          <w:rFonts w:hint="eastAsia" w:cs="仿宋_GB2312" w:asciiTheme="minorEastAsia" w:hAnsiTheme="minorEastAsia"/>
          <w:color w:val="auto"/>
          <w:szCs w:val="21"/>
          <w:lang w:val="zh-CN"/>
        </w:rPr>
        <w:t>双方签订合同约定。</w:t>
      </w: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5"/>
        <w:rPr>
          <w:rFonts w:hint="eastAsia"/>
          <w:color w:val="auto"/>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436"/>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43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hint="eastAsia" w:cs="仿宋_GB2312" w:asciiTheme="minorEastAsia" w:hAnsiTheme="minorEastAsia"/>
                <w:color w:val="auto"/>
                <w:szCs w:val="21"/>
              </w:rPr>
              <w:t>项目名称：</w:t>
            </w:r>
            <w:r>
              <w:rPr>
                <w:rFonts w:hint="eastAsia" w:hAnsi="宋体"/>
                <w:color w:val="auto"/>
                <w:szCs w:val="21"/>
              </w:rPr>
              <w:t>禹州市环境保护局大气环境执法能力提升项目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38"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spacing w:line="384" w:lineRule="auto"/>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名称：禹州市</w:t>
            </w:r>
            <w:r>
              <w:rPr>
                <w:rFonts w:hint="eastAsia" w:asciiTheme="majorEastAsia" w:hAnsiTheme="majorEastAsia" w:eastAsiaTheme="majorEastAsia" w:cstheme="majorEastAsia"/>
                <w:color w:val="auto"/>
                <w:szCs w:val="21"/>
                <w:lang w:eastAsia="zh-CN"/>
              </w:rPr>
              <w:t>环境保护</w:t>
            </w:r>
            <w:r>
              <w:rPr>
                <w:rFonts w:hint="eastAsia" w:asciiTheme="majorEastAsia" w:hAnsiTheme="majorEastAsia" w:eastAsiaTheme="majorEastAsia" w:cstheme="majorEastAsia"/>
                <w:color w:val="auto"/>
                <w:szCs w:val="21"/>
              </w:rPr>
              <w:t>局</w:t>
            </w:r>
          </w:p>
          <w:p>
            <w:pPr>
              <w:spacing w:line="384" w:lineRule="auto"/>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地址：禹州市行政北路2号创业大厦</w:t>
            </w:r>
          </w:p>
          <w:p>
            <w:pPr>
              <w:spacing w:line="384" w:lineRule="auto"/>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联系人：焦女士</w:t>
            </w:r>
          </w:p>
          <w:p>
            <w:pPr>
              <w:spacing w:line="384" w:lineRule="auto"/>
              <w:jc w:val="left"/>
              <w:rPr>
                <w:rFonts w:cs="仿宋_GB2312" w:asciiTheme="minorEastAsia" w:hAnsiTheme="minorEastAsia"/>
                <w:color w:val="auto"/>
                <w:szCs w:val="21"/>
              </w:rPr>
            </w:pPr>
            <w:r>
              <w:rPr>
                <w:rFonts w:hint="eastAsia" w:asciiTheme="majorEastAsia" w:hAnsiTheme="majorEastAsia" w:eastAsiaTheme="majorEastAsia" w:cstheme="majorEastAsia"/>
                <w:color w:val="auto"/>
                <w:szCs w:val="21"/>
              </w:rPr>
              <w:t>联系电话：0374-6066221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pStyle w:val="13"/>
              <w:spacing w:line="348" w:lineRule="auto"/>
              <w:ind w:left="0" w:leftChars="0" w:firstLine="0" w:firstLineChars="0"/>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名称：</w:t>
            </w:r>
            <w:r>
              <w:rPr>
                <w:rFonts w:hint="eastAsia"/>
                <w:color w:val="auto"/>
              </w:rPr>
              <w:t>许昌丰元咨询管理有限公司</w:t>
            </w:r>
          </w:p>
          <w:p>
            <w:pPr>
              <w:spacing w:line="384" w:lineRule="auto"/>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地址：</w:t>
            </w:r>
            <w:r>
              <w:rPr>
                <w:rFonts w:hint="eastAsia"/>
                <w:color w:val="auto"/>
                <w:lang w:val="en-US" w:eastAsia="zh-CN"/>
              </w:rPr>
              <w:t>禹州市颍北大道6号</w:t>
            </w:r>
          </w:p>
          <w:p>
            <w:pPr>
              <w:spacing w:line="384" w:lineRule="auto"/>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联系人：</w:t>
            </w:r>
            <w:r>
              <w:rPr>
                <w:rFonts w:hint="eastAsia" w:asciiTheme="majorEastAsia" w:hAnsiTheme="majorEastAsia" w:eastAsiaTheme="majorEastAsia" w:cstheme="majorEastAsia"/>
                <w:color w:val="auto"/>
                <w:szCs w:val="21"/>
                <w:lang w:val="en-US" w:eastAsia="zh-CN"/>
              </w:rPr>
              <w:t>连女士</w:t>
            </w:r>
          </w:p>
          <w:p>
            <w:pPr>
              <w:spacing w:line="384" w:lineRule="auto"/>
              <w:jc w:val="left"/>
              <w:rPr>
                <w:rFonts w:cs="仿宋_GB2312" w:asciiTheme="minorEastAsia" w:hAnsiTheme="minorEastAsia"/>
                <w:color w:val="auto"/>
                <w:szCs w:val="21"/>
              </w:rPr>
            </w:pPr>
            <w:r>
              <w:rPr>
                <w:rFonts w:hint="eastAsia" w:asciiTheme="majorEastAsia" w:hAnsiTheme="majorEastAsia" w:eastAsiaTheme="majorEastAsia" w:cstheme="majorEastAsia"/>
                <w:bCs/>
                <w:color w:val="auto"/>
                <w:szCs w:val="21"/>
              </w:rPr>
              <w:t>联系电话：</w:t>
            </w:r>
            <w:r>
              <w:rPr>
                <w:rFonts w:hint="eastAsia" w:asciiTheme="majorEastAsia" w:hAnsiTheme="majorEastAsia" w:eastAsiaTheme="majorEastAsia" w:cstheme="majorEastAsia"/>
                <w:color w:val="auto"/>
                <w:szCs w:val="21"/>
                <w:lang w:val="en-US" w:eastAsia="zh-CN"/>
              </w:rPr>
              <w:t>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38" w:type="dxa"/>
            <w:vMerge w:val="restart"/>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436" w:type="dxa"/>
            <w:vMerge w:val="restart"/>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中小企业或者残疾人福利性单位声明函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1、中小企业出具《中小企业声明函》</w:t>
            </w:r>
          </w:p>
          <w:p>
            <w:pPr>
              <w:autoSpaceDE w:val="0"/>
              <w:autoSpaceDN w:val="0"/>
              <w:adjustRightInd w:val="0"/>
              <w:spacing w:line="360" w:lineRule="auto"/>
              <w:jc w:val="left"/>
              <w:rPr>
                <w:rFonts w:cs="仿宋_GB2312" w:asciiTheme="minorEastAsia" w:hAnsiTheme="minorEastAsia"/>
                <w:b/>
                <w:color w:val="auto"/>
                <w:szCs w:val="21"/>
                <w:shd w:val="clear" w:color="auto" w:fill="FFFFFF"/>
              </w:rPr>
            </w:pPr>
            <w:r>
              <w:rPr>
                <w:rFonts w:hint="eastAsia" w:cs="宋体" w:asciiTheme="minorEastAsia" w:hAnsiTheme="minorEastAsia"/>
                <w:bCs/>
                <w:color w:val="auto"/>
                <w:szCs w:val="21"/>
                <w:lang w:val="zh-CN"/>
              </w:rPr>
              <w:t>2、残疾人福利性单位出具《残疾人福利企业声明函》</w:t>
            </w:r>
          </w:p>
          <w:p>
            <w:pPr>
              <w:autoSpaceDE w:val="0"/>
              <w:autoSpaceDN w:val="0"/>
              <w:adjustRightInd w:val="0"/>
              <w:spacing w:line="360" w:lineRule="auto"/>
              <w:jc w:val="left"/>
              <w:rPr>
                <w:rFonts w:cs="仿宋_GB2312" w:asciiTheme="minorEastAsia" w:hAnsiTheme="minorEastAsia"/>
                <w:b/>
                <w:color w:val="auto"/>
                <w:szCs w:val="21"/>
                <w:shd w:val="clear" w:color="auto" w:fill="FFFFFF"/>
              </w:rPr>
            </w:pPr>
            <w:r>
              <w:rPr>
                <w:rFonts w:hint="eastAsia" w:cs="仿宋_GB2312" w:asciiTheme="minorEastAsia" w:hAnsiTheme="minorEastAsia"/>
                <w:b/>
                <w:color w:val="auto"/>
                <w:szCs w:val="21"/>
                <w:shd w:val="clear" w:color="auto" w:fill="FFFFFF"/>
              </w:rPr>
              <w:t>符合《政府采购法》第二十二条规定</w:t>
            </w:r>
          </w:p>
          <w:p>
            <w:pPr>
              <w:pStyle w:val="5"/>
              <w:ind w:left="0" w:leftChars="0" w:firstLine="0" w:firstLineChars="0"/>
              <w:rPr>
                <w:color w:val="auto"/>
              </w:rPr>
            </w:pPr>
            <w:r>
              <w:rPr>
                <w:rFonts w:hint="eastAsia"/>
                <w:color w:val="auto"/>
              </w:rPr>
              <w:t>特定资格要求：详见谈判公告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Merge w:val="continue"/>
            <w:vAlign w:val="center"/>
          </w:tcPr>
          <w:p>
            <w:pPr>
              <w:autoSpaceDE w:val="0"/>
              <w:autoSpaceDN w:val="0"/>
              <w:adjustRightInd w:val="0"/>
              <w:spacing w:line="276" w:lineRule="auto"/>
              <w:jc w:val="center"/>
              <w:rPr>
                <w:rFonts w:cs="黑体" w:asciiTheme="minorEastAsia" w:hAnsiTheme="minorEastAsia"/>
                <w:color w:val="auto"/>
                <w:szCs w:val="21"/>
              </w:rPr>
            </w:pPr>
          </w:p>
        </w:tc>
        <w:tc>
          <w:tcPr>
            <w:tcW w:w="2436" w:type="dxa"/>
            <w:vMerge w:val="continue"/>
            <w:vAlign w:val="center"/>
          </w:tcPr>
          <w:p>
            <w:pPr>
              <w:autoSpaceDE w:val="0"/>
              <w:autoSpaceDN w:val="0"/>
              <w:adjustRightInd w:val="0"/>
              <w:spacing w:line="276" w:lineRule="auto"/>
              <w:jc w:val="center"/>
              <w:rPr>
                <w:rFonts w:cs="仿宋_GB2312" w:asciiTheme="minorEastAsia" w:hAnsiTheme="minorEastAsia"/>
                <w:color w:val="auto"/>
                <w:szCs w:val="21"/>
              </w:rPr>
            </w:pPr>
          </w:p>
        </w:tc>
        <w:tc>
          <w:tcPr>
            <w:tcW w:w="6813" w:type="dxa"/>
            <w:vAlign w:val="center"/>
          </w:tcPr>
          <w:p>
            <w:pPr>
              <w:numPr>
                <w:ilvl w:val="0"/>
                <w:numId w:val="5"/>
              </w:numPr>
              <w:autoSpaceDE w:val="0"/>
              <w:autoSpaceDN w:val="0"/>
              <w:adjustRightInd w:val="0"/>
              <w:spacing w:line="360" w:lineRule="auto"/>
              <w:ind w:right="-11"/>
              <w:rPr>
                <w:color w:val="auto"/>
                <w:lang w:val="zh-CN"/>
              </w:rPr>
            </w:pP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①2021年度</w:t>
            </w:r>
            <w:r>
              <w:rPr>
                <w:rFonts w:hint="eastAsia"/>
                <w:color w:val="auto"/>
                <w:lang w:eastAsia="zh-CN"/>
              </w:rPr>
              <w:t>或</w:t>
            </w:r>
            <w:r>
              <w:rPr>
                <w:rFonts w:hint="eastAsia"/>
                <w:color w:val="auto"/>
                <w:lang w:val="en-US" w:eastAsia="zh-CN"/>
              </w:rPr>
              <w:t>2022年度</w:t>
            </w:r>
            <w:r>
              <w:rPr>
                <w:rFonts w:hint="eastAsia"/>
                <w:color w:val="auto"/>
              </w:rPr>
              <w:t>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①2021年度</w:t>
            </w:r>
            <w:r>
              <w:rPr>
                <w:rFonts w:hint="eastAsia"/>
                <w:color w:val="auto"/>
                <w:lang w:eastAsia="zh-CN"/>
              </w:rPr>
              <w:t>或</w:t>
            </w:r>
            <w:r>
              <w:rPr>
                <w:rFonts w:hint="eastAsia"/>
                <w:color w:val="auto"/>
                <w:lang w:val="en-US" w:eastAsia="zh-CN"/>
              </w:rPr>
              <w:t>2022年度</w:t>
            </w:r>
            <w:r>
              <w:rPr>
                <w:rFonts w:hint="eastAsia"/>
                <w:color w:val="auto"/>
              </w:rPr>
              <w:t>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color w:val="auto"/>
              </w:rPr>
              <w:t>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asciiTheme="majorEastAsia" w:hAnsiTheme="majorEastAsia" w:eastAsiaTheme="majorEastAsia" w:cstheme="majorEastAsia"/>
                <w:color w:val="auto"/>
                <w:szCs w:val="21"/>
              </w:rPr>
              <w:t>“中国社会组织政务服务平台”网站（</w:t>
            </w:r>
            <w:r>
              <w:rPr>
                <w:rFonts w:cs="宋体" w:asciiTheme="minorEastAsia" w:hAnsiTheme="minorEastAsia"/>
                <w:color w:val="auto"/>
                <w:kern w:val="0"/>
                <w:szCs w:val="21"/>
              </w:rPr>
              <w:t>https://chinanpo.mca.gov.cn</w:t>
            </w:r>
            <w:r>
              <w:rPr>
                <w:rFonts w:hint="eastAsia" w:asciiTheme="majorEastAsia" w:hAnsiTheme="majorEastAsia" w:eastAsiaTheme="majorEastAsia" w:cstheme="majorEastAsia"/>
                <w:color w:val="auto"/>
                <w:szCs w:val="21"/>
              </w:rPr>
              <w:t>）（仅查询社会组织）</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rFonts w:hint="eastAsia"/>
                <w:color w:val="auto"/>
              </w:rPr>
              <w:t>③“中国社会组织政务服务平台”网站（</w:t>
            </w:r>
            <w:r>
              <w:rPr>
                <w:rFonts w:cs="宋体" w:asciiTheme="minorEastAsia" w:hAnsiTheme="minorEastAsia"/>
                <w:color w:val="auto"/>
                <w:kern w:val="0"/>
                <w:szCs w:val="21"/>
              </w:rPr>
              <w:t>https://chinanpo.mca.gov.cn</w:t>
            </w:r>
            <w:r>
              <w:rPr>
                <w:rFonts w:hint="eastAsia"/>
                <w:color w:val="auto"/>
              </w:rPr>
              <w:t>）（仅查询社会组织）；</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注：</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1、</w:t>
            </w:r>
            <w:r>
              <w:rPr>
                <w:rFonts w:hint="eastAsia" w:ascii="宋体" w:hAnsi="宋体" w:eastAsia="宋体" w:cs="宋体"/>
                <w:b/>
                <w:bCs/>
                <w:color w:val="auto"/>
                <w:szCs w:val="21"/>
              </w:rPr>
              <w:tab/>
            </w:r>
            <w:r>
              <w:rPr>
                <w:rFonts w:hint="eastAsia" w:ascii="宋体" w:hAnsi="宋体" w:eastAsia="宋体" w:cs="宋体"/>
                <w:b/>
                <w:bCs/>
                <w:color w:val="auto"/>
                <w:szCs w:val="21"/>
              </w:rPr>
              <w:t>供应商在投标时，提供《禹州市政府采购供应商信用承诺函》（详见招标文件第八章格式），无需再提交上述第一至七项证明材料。</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2、</w:t>
            </w:r>
            <w:r>
              <w:rPr>
                <w:rFonts w:hint="eastAsia" w:ascii="宋体" w:hAnsi="宋体" w:eastAsia="宋体" w:cs="宋体"/>
                <w:b/>
                <w:bCs/>
                <w:color w:val="auto"/>
                <w:szCs w:val="21"/>
              </w:rPr>
              <w:tab/>
            </w:r>
            <w:r>
              <w:rPr>
                <w:rFonts w:hint="eastAsia" w:ascii="宋体" w:hAnsi="宋体" w:eastAsia="宋体" w:cs="宋体"/>
                <w:b/>
                <w:bCs/>
                <w:color w:val="auto"/>
                <w:szCs w:val="21"/>
              </w:rPr>
              <w:t>采购人有权在签订合同前要求中标供应商提供相关证明材料以核实中标供应商承诺事项的真实性。</w:t>
            </w:r>
          </w:p>
          <w:p>
            <w:pPr>
              <w:spacing w:line="360" w:lineRule="auto"/>
              <w:ind w:firstLine="422" w:firstLineChars="200"/>
              <w:rPr>
                <w:color w:val="auto"/>
              </w:rPr>
            </w:pPr>
            <w:r>
              <w:rPr>
                <w:rFonts w:hint="eastAsia" w:ascii="宋体" w:hAnsi="宋体" w:eastAsia="宋体" w:cs="宋体"/>
                <w:b/>
                <w:bCs/>
                <w:color w:val="auto"/>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Cs w:val="21"/>
              </w:rPr>
            </w:pPr>
            <w:r>
              <w:rPr>
                <w:rFonts w:hint="eastAsia" w:ascii="宋体" w:hAnsi="宋体" w:eastAsia="宋体" w:cs="宋体"/>
                <w:color w:val="auto"/>
                <w:szCs w:val="21"/>
                <w:shd w:val="clear" w:color="auto" w:fill="FFFFFF"/>
                <w:lang w:val="en-US" w:eastAsia="zh-CN"/>
              </w:rPr>
              <w:t>48</w:t>
            </w:r>
            <w:r>
              <w:rPr>
                <w:rFonts w:hint="eastAsia" w:ascii="宋体" w:hAnsi="宋体" w:eastAsia="宋体" w:cs="宋体"/>
                <w:color w:val="auto"/>
                <w:szCs w:val="21"/>
                <w:shd w:val="clear" w:color="auto" w:fill="FFFFFF"/>
              </w:rPr>
              <w:t>0000.00 元</w:t>
            </w:r>
            <w:r>
              <w:rPr>
                <w:rFonts w:hint="eastAsia" w:cs="宋体" w:asciiTheme="minorEastAsia" w:hAnsiTheme="minorEastAsia"/>
                <w:bCs/>
                <w:color w:val="auto"/>
                <w:szCs w:val="21"/>
                <w:lang w:val="zh-CN"/>
              </w:rPr>
              <w:t>，超出最高限价的响应无效</w:t>
            </w:r>
            <w:r>
              <w:rPr>
                <w:rFonts w:hint="eastAsia" w:cs="宋体" w:asciiTheme="minorEastAsia" w:hAnsiTheme="minor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sym w:font="Wingdings 2" w:char="00A3"/>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436"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rPr>
              <w:t>2023</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06</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14</w:t>
            </w:r>
            <w:r>
              <w:rPr>
                <w:rFonts w:hint="eastAsia" w:cs="宋体" w:asciiTheme="minorEastAsia" w:hAnsiTheme="minorEastAsia"/>
                <w:bCs/>
                <w:color w:val="auto"/>
                <w:szCs w:val="21"/>
              </w:rPr>
              <w:t>日</w:t>
            </w:r>
            <w:r>
              <w:rPr>
                <w:rFonts w:hint="eastAsia" w:cs="宋体" w:asciiTheme="minorEastAsia" w:hAnsiTheme="minorEastAsia"/>
                <w:bCs/>
                <w:color w:val="auto"/>
                <w:szCs w:val="21"/>
                <w:lang w:val="en-US" w:eastAsia="zh-CN"/>
              </w:rPr>
              <w:t>08</w:t>
            </w:r>
            <w:r>
              <w:rPr>
                <w:rFonts w:hint="eastAsia" w:cs="宋体" w:asciiTheme="minorEastAsia" w:hAnsiTheme="minorEastAsia"/>
                <w:bCs/>
                <w:color w:val="auto"/>
                <w:szCs w:val="21"/>
              </w:rPr>
              <w:t xml:space="preserve"> 时30分</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 xml:space="preserve">禹州市公共资源交易中心开标 </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 xml:space="preserve"> 室（地址：禹州市行政服务中心楼九楼）（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谈判文件费用</w:t>
            </w:r>
          </w:p>
        </w:tc>
        <w:tc>
          <w:tcPr>
            <w:tcW w:w="6813" w:type="dxa"/>
            <w:tcBorders>
              <w:top w:val="single" w:color="auto" w:sz="4" w:space="0"/>
            </w:tcBorders>
            <w:vAlign w:val="center"/>
          </w:tcPr>
          <w:p>
            <w:pPr>
              <w:pStyle w:val="3"/>
              <w:rPr>
                <w:color w:val="auto"/>
                <w:sz w:val="22"/>
              </w:rPr>
            </w:pPr>
            <w:r>
              <w:rPr>
                <w:rFonts w:hint="eastAsia"/>
                <w:color w:val="auto"/>
                <w:sz w:val="22"/>
              </w:rPr>
              <w:t>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436"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w:t>
            </w:r>
            <w:r>
              <w:rPr>
                <w:rFonts w:hint="eastAsia" w:cs="宋体" w:asciiTheme="minorEastAsia" w:hAnsiTheme="minorEastAsia"/>
                <w:bCs/>
                <w:color w:val="auto"/>
                <w:szCs w:val="21"/>
              </w:rPr>
              <w:t>7</w:t>
            </w:r>
            <w:r>
              <w:rPr>
                <w:rFonts w:hint="eastAsia" w:cs="宋体" w:asciiTheme="minorEastAsia" w:hAnsiTheme="minorEastAsia"/>
                <w:bCs/>
                <w:color w:val="auto"/>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20</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436"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eastAsia" w:ascii="ˎ̥" w:hAnsi="ˎ̥" w:eastAsiaTheme="minorEastAsia"/>
                <w:color w:val="auto"/>
                <w:lang w:val="en-US" w:eastAsia="zh-CN"/>
              </w:rPr>
            </w:pPr>
            <w:r>
              <w:rPr>
                <w:rFonts w:hint="eastAsia" w:ascii="ˎ̥" w:hAnsi="ˎ̥"/>
                <w:color w:val="auto"/>
              </w:rPr>
              <w:t>2、本次</w:t>
            </w:r>
            <w:r>
              <w:rPr>
                <w:color w:val="auto"/>
              </w:rPr>
              <w:t>采购标的对应的中小企业划分标准所属行业</w:t>
            </w:r>
            <w:r>
              <w:rPr>
                <w:rFonts w:hint="eastAsia"/>
                <w:color w:val="auto"/>
              </w:rPr>
              <w:t>：</w:t>
            </w:r>
            <w:r>
              <w:rPr>
                <w:rFonts w:hint="eastAsia"/>
                <w:color w:val="auto"/>
                <w:lang w:eastAsia="zh-CN"/>
              </w:rPr>
              <w:t>制造业。</w:t>
            </w:r>
          </w:p>
          <w:p>
            <w:pPr>
              <w:autoSpaceDE w:val="0"/>
              <w:autoSpaceDN w:val="0"/>
              <w:adjustRightInd w:val="0"/>
              <w:spacing w:line="360" w:lineRule="auto"/>
              <w:contextualSpacing/>
              <w:rPr>
                <w:rFonts w:ascii="ˎ̥" w:hAnsi="ˎ̥"/>
                <w:color w:val="auto"/>
              </w:rPr>
            </w:pPr>
            <w:r>
              <w:rPr>
                <w:rFonts w:hint="eastAsia" w:cs="仿宋_GB2312" w:asciiTheme="minorEastAsia" w:hAnsiTheme="minorEastAsia"/>
                <w:color w:val="auto"/>
                <w:szCs w:val="21"/>
              </w:rPr>
              <w:t>3、</w:t>
            </w:r>
            <w:r>
              <w:rPr>
                <w:rFonts w:hint="eastAsia" w:ascii="ˎ̥" w:hAnsi="ˎ̥"/>
                <w:color w:val="auto"/>
                <w:sz w:val="21"/>
                <w:szCs w:val="21"/>
              </w:rPr>
              <w:t>本项目非专门面向中小企业采购</w:t>
            </w:r>
            <w:r>
              <w:rPr>
                <w:rFonts w:hint="eastAsia" w:ascii="ˎ̥" w:hAnsi="ˎ̥"/>
                <w:color w:val="auto"/>
                <w:sz w:val="21"/>
                <w:szCs w:val="21"/>
                <w:lang w:eastAsia="zh-CN"/>
              </w:rPr>
              <w:t>，</w:t>
            </w:r>
            <w:r>
              <w:rPr>
                <w:rFonts w:hint="eastAsia" w:cs="仿宋_GB2312" w:asciiTheme="minorEastAsia" w:hAnsiTheme="minorEastAsia"/>
                <w:color w:val="auto"/>
                <w:szCs w:val="21"/>
              </w:rPr>
              <w:t>根据财政部、工业和信息化部发布的《政府采购促进中小企业发展管理办法》（财库〔2020〕46号）、《关于进一步加大政府采购支持中小企业力度的通知》（财库〔2022〕19号）规定，对小型和微型企业投标价格给予20%的扣除，用扣除后的价格参与评审</w:t>
            </w:r>
            <w:r>
              <w:rPr>
                <w:rFonts w:ascii="ˎ̥" w:hAnsi="ˎ̥"/>
                <w:color w:val="auto"/>
              </w:rPr>
              <w:t>。</w:t>
            </w:r>
          </w:p>
          <w:p>
            <w:pPr>
              <w:autoSpaceDE w:val="0"/>
              <w:autoSpaceDN w:val="0"/>
              <w:adjustRightInd w:val="0"/>
              <w:spacing w:line="360" w:lineRule="auto"/>
              <w:contextualSpacing/>
              <w:rPr>
                <w:rFonts w:ascii="ˎ̥" w:hAnsi="ˎ̥"/>
                <w:color w:val="auto"/>
              </w:rPr>
            </w:pPr>
            <w:r>
              <w:rPr>
                <w:rFonts w:hint="eastAsia" w:ascii="ˎ̥" w:hAnsi="ˎ̥"/>
                <w:color w:val="auto"/>
                <w:lang w:val="en-US" w:eastAsia="zh-CN"/>
              </w:rPr>
              <w:t>4</w:t>
            </w:r>
            <w:r>
              <w:rPr>
                <w:rFonts w:hint="eastAsia" w:ascii="ˎ̥" w:hAnsi="ˎ̥"/>
                <w:color w:val="auto"/>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lang w:val="en-US" w:eastAsia="zh-CN"/>
              </w:rPr>
              <w:t>5</w:t>
            </w:r>
            <w:r>
              <w:rPr>
                <w:rFonts w:hint="eastAsia" w:ascii="ˎ̥" w:hAnsi="ˎ̥"/>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ascii="ˎ̥" w:hAnsi="ˎ̥"/>
                <w:color w:val="auto"/>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436"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政策告知函</w:t>
            </w:r>
          </w:p>
        </w:tc>
        <w:tc>
          <w:tcPr>
            <w:tcW w:w="6813" w:type="dxa"/>
            <w:vAlign w:val="center"/>
          </w:tcPr>
          <w:p>
            <w:pPr>
              <w:autoSpaceDE w:val="0"/>
              <w:autoSpaceDN w:val="0"/>
              <w:adjustRightInd w:val="0"/>
              <w:spacing w:line="360" w:lineRule="auto"/>
              <w:rPr>
                <w:rFonts w:cs="宋体" w:asciiTheme="minorEastAsia" w:hAnsiTheme="minorEastAsia"/>
                <w:color w:val="auto"/>
                <w:szCs w:val="21"/>
                <w:lang w:val="zh-CN"/>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   %</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hint="eastAsia"/>
                <w:color w:val="auto"/>
                <w:lang w:eastAsia="zh-CN"/>
              </w:rPr>
            </w:pPr>
            <w:r>
              <w:rPr>
                <w:color w:val="auto"/>
                <w:lang w:val="zh-CN"/>
              </w:rPr>
              <w:fldChar w:fldCharType="begin"/>
            </w:r>
            <w:r>
              <w:rPr>
                <w:rFonts w:hint="eastAsia"/>
                <w:color w:val="auto"/>
                <w:lang w:val="zh-CN"/>
              </w:rPr>
              <w:instrText xml:space="preserve">eq \o\ac(□,√)</w:instrText>
            </w:r>
            <w:r>
              <w:rPr>
                <w:color w:val="auto"/>
                <w:lang w:val="zh-CN"/>
              </w:rPr>
              <w:fldChar w:fldCharType="end"/>
            </w:r>
            <w:r>
              <w:rPr>
                <w:rFonts w:hint="eastAsia"/>
                <w:color w:val="auto"/>
                <w:lang w:val="zh-CN"/>
              </w:rPr>
              <w:t>收取，</w:t>
            </w:r>
            <w:r>
              <w:rPr>
                <w:rFonts w:hint="eastAsia"/>
                <w:color w:val="auto"/>
              </w:rPr>
              <w:t>招标代理服务费由中标人支付，</w:t>
            </w:r>
            <w:r>
              <w:rPr>
                <w:rFonts w:hint="eastAsia"/>
                <w:color w:val="auto"/>
                <w:lang w:eastAsia="zh-CN"/>
              </w:rPr>
              <w:t>按照豫招协</w:t>
            </w:r>
            <w:r>
              <w:rPr>
                <w:rFonts w:hint="eastAsia"/>
                <w:color w:val="auto"/>
              </w:rPr>
              <w:t>〔</w:t>
            </w:r>
            <w:r>
              <w:rPr>
                <w:color w:val="auto"/>
              </w:rPr>
              <w:t>20</w:t>
            </w:r>
            <w:r>
              <w:rPr>
                <w:rFonts w:hint="eastAsia"/>
                <w:color w:val="auto"/>
                <w:lang w:val="en-US" w:eastAsia="zh-CN"/>
              </w:rPr>
              <w:t>23</w:t>
            </w:r>
            <w:r>
              <w:rPr>
                <w:rFonts w:hint="eastAsia"/>
                <w:color w:val="auto"/>
              </w:rPr>
              <w:t>〕</w:t>
            </w:r>
            <w:r>
              <w:rPr>
                <w:rFonts w:hint="eastAsia"/>
                <w:color w:val="auto"/>
                <w:lang w:val="en-US" w:eastAsia="zh-CN"/>
              </w:rPr>
              <w:t>002</w:t>
            </w:r>
            <w:r>
              <w:rPr>
                <w:rFonts w:hint="eastAsia"/>
                <w:color w:val="auto"/>
              </w:rPr>
              <w:t>《</w:t>
            </w:r>
            <w:r>
              <w:rPr>
                <w:rFonts w:hint="eastAsia"/>
                <w:color w:val="auto"/>
                <w:lang w:eastAsia="zh-CN"/>
              </w:rPr>
              <w:t>河南省招标代理服务收费指导意见</w:t>
            </w:r>
            <w:r>
              <w:rPr>
                <w:rFonts w:hint="eastAsia"/>
                <w:color w:val="auto"/>
              </w:rPr>
              <w:t>》</w:t>
            </w:r>
            <w:r>
              <w:rPr>
                <w:rFonts w:hint="eastAsia"/>
                <w:color w:val="auto"/>
                <w:lang w:eastAsia="zh-CN"/>
              </w:rPr>
              <w:t>收取，由中标单位在领取中标通知书时一次性支付给代理机构。</w:t>
            </w:r>
          </w:p>
          <w:p>
            <w:pPr>
              <w:autoSpaceDE w:val="0"/>
              <w:autoSpaceDN w:val="0"/>
              <w:spacing w:line="360" w:lineRule="auto"/>
              <w:contextualSpacing/>
              <w:rPr>
                <w:rFonts w:hint="eastAsia"/>
                <w:color w:val="auto"/>
                <w:sz w:val="21"/>
                <w:szCs w:val="21"/>
                <w:lang w:eastAsia="zh-CN"/>
              </w:rPr>
            </w:pPr>
            <w:r>
              <w:rPr>
                <w:rFonts w:hint="eastAsia"/>
                <w:color w:val="auto"/>
                <w:sz w:val="21"/>
                <w:szCs w:val="21"/>
                <w:lang w:eastAsia="zh-CN"/>
              </w:rPr>
              <w:t>招标代理服务收费按差额定率累计法计算：</w:t>
            </w:r>
          </w:p>
          <w:p>
            <w:pPr>
              <w:pStyle w:val="2"/>
              <w:ind w:firstLine="340" w:firstLineChars="100"/>
              <w:rPr>
                <w:rFonts w:cs="宋体" w:asciiTheme="minorEastAsia" w:hAnsiTheme="minorEastAsia"/>
                <w:bCs/>
                <w:color w:val="auto"/>
                <w:szCs w:val="21"/>
                <w:lang w:val="zh-CN"/>
              </w:rPr>
            </w:pPr>
            <w:r>
              <w:rPr>
                <w:rFonts w:hint="eastAsia"/>
                <w:color w:val="auto"/>
                <w:lang w:eastAsia="zh-CN"/>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30</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spacing w:line="384" w:lineRule="auto"/>
              <w:ind w:firstLine="420" w:firstLineChars="200"/>
              <w:jc w:val="left"/>
              <w:rPr>
                <w:rFonts w:hint="eastAsia" w:cs="宋体" w:asciiTheme="minorEastAsia" w:hAnsiTheme="minorEastAsia" w:eastAsiaTheme="minorEastAsia"/>
                <w:bCs/>
                <w:color w:val="auto"/>
                <w:szCs w:val="21"/>
                <w:lang w:eastAsia="zh-CN"/>
              </w:rPr>
            </w:pPr>
            <w:r>
              <w:rPr>
                <w:rFonts w:hint="eastAsia" w:cs="宋体" w:asciiTheme="minorEastAsia" w:hAnsiTheme="minorEastAsia"/>
                <w:color w:val="auto"/>
                <w:szCs w:val="21"/>
                <w:lang w:val="zh-CN"/>
              </w:rPr>
              <w:t>中标人在接到中标通知时，须向代理机构发送投标报价及分项报价一览表（包含主要中标标的的名称、规格型号、数量、单价、服务要求等）电子文档，联系电话：</w:t>
            </w:r>
            <w:r>
              <w:rPr>
                <w:rFonts w:hint="eastAsia"/>
                <w:color w:val="auto"/>
              </w:rPr>
              <w:t>0374-8281999</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xcfyzxgl@126.com</w:t>
            </w:r>
            <w:r>
              <w:rPr>
                <w:rFonts w:hint="eastAsia" w:ascii="宋体" w:hAnsi="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31</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32</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注：</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②采购文件第二章“采购需求”中“采购清单”以工程量清单提供的，供应商应以工程量清单方式提交最后报价。</w:t>
            </w:r>
          </w:p>
          <w:p>
            <w:pPr>
              <w:autoSpaceDE w:val="0"/>
              <w:autoSpaceDN w:val="0"/>
              <w:adjustRightInd w:val="0"/>
              <w:spacing w:line="360" w:lineRule="auto"/>
              <w:contextualSpacing/>
              <w:rPr>
                <w:rFonts w:ascii="ˎ̥" w:hAnsi="ˎ̥"/>
                <w:color w:val="auto"/>
              </w:rPr>
            </w:pPr>
            <w:r>
              <w:rPr>
                <w:rFonts w:hint="eastAsia" w:hAnsi="宋体" w:cs="宋体"/>
                <w:color w:val="auto"/>
                <w:szCs w:val="21"/>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33</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auto"/>
              </w:rPr>
            </w:pPr>
            <w:r>
              <w:rPr>
                <w:rFonts w:hint="eastAsia" w:ascii="ˎ̥" w:hAnsi="ˎ̥"/>
                <w:color w:val="auto"/>
              </w:rPr>
              <w:t>不同供应商电子投标文件制作硬件特征码（网卡MAC地址、CPU序号、硬盘序列号）均一致时，视为‘</w:t>
            </w:r>
            <w:r>
              <w:rPr>
                <w:rFonts w:ascii="ˎ̥" w:hAnsi="ˎ̥"/>
                <w:color w:val="auto"/>
              </w:rPr>
              <w:t>不同</w:t>
            </w:r>
            <w:r>
              <w:rPr>
                <w:rFonts w:hint="eastAsia" w:ascii="ˎ̥" w:hAnsi="ˎ̥"/>
                <w:color w:val="auto"/>
              </w:rPr>
              <w:t>投标人的投标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autoSpaceDE w:val="0"/>
              <w:autoSpaceDN w:val="0"/>
              <w:adjustRightInd w:val="0"/>
              <w:spacing w:line="360" w:lineRule="auto"/>
              <w:contextualSpacing/>
              <w:rPr>
                <w:rFonts w:ascii="ˎ̥" w:hAnsi="ˎ̥"/>
                <w:color w:val="auto"/>
              </w:rPr>
            </w:pPr>
            <w:r>
              <w:rPr>
                <w:rFonts w:hint="eastAsia" w:ascii="ˎ̥" w:hAnsi="ˎ̥"/>
                <w:color w:val="auto"/>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color w:val="auto"/>
              </w:rPr>
            </w:pPr>
            <w:r>
              <w:rPr>
                <w:rFonts w:hint="eastAsia" w:ascii="ˎ̥" w:hAnsi="ˎ̥"/>
                <w:color w:val="auto"/>
              </w:rPr>
              <w:t>2、项目编号以本谈判文件中的采购编号为准。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34</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供应商资格核验</w:t>
            </w:r>
          </w:p>
        </w:tc>
        <w:tc>
          <w:tcPr>
            <w:tcW w:w="6813" w:type="dxa"/>
            <w:vAlign w:val="center"/>
          </w:tcPr>
          <w:p>
            <w:pPr>
              <w:autoSpaceDE w:val="0"/>
              <w:autoSpaceDN w:val="0"/>
              <w:adjustRightInd w:val="0"/>
              <w:spacing w:line="360" w:lineRule="auto"/>
              <w:ind w:right="-11"/>
              <w:rPr>
                <w:color w:val="auto"/>
                <w:lang w:val="zh-CN"/>
              </w:rPr>
            </w:pPr>
            <w:r>
              <w:rPr>
                <w:rFonts w:hint="eastAsia" w:ascii="ˎ̥" w:hAnsi="ˎ̥"/>
                <w:color w:val="auto"/>
              </w:rPr>
              <w:t>供应商在成交后，应将由《禹州市政府采购供应商信用承诺函》替代的证明材料提交采购人核验，经核验无误后，采购人发出成交通知书。</w:t>
            </w:r>
          </w:p>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①2021年度</w:t>
            </w:r>
            <w:r>
              <w:rPr>
                <w:rFonts w:hint="eastAsia"/>
                <w:color w:val="auto"/>
                <w:lang w:eastAsia="zh-CN"/>
              </w:rPr>
              <w:t>或</w:t>
            </w:r>
            <w:r>
              <w:rPr>
                <w:rFonts w:hint="eastAsia"/>
                <w:color w:val="auto"/>
                <w:lang w:val="en-US" w:eastAsia="zh-CN"/>
              </w:rPr>
              <w:t>2022年度</w:t>
            </w:r>
            <w:r>
              <w:rPr>
                <w:rFonts w:hint="eastAsia"/>
                <w:color w:val="auto"/>
              </w:rPr>
              <w:t>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①2021年度</w:t>
            </w:r>
            <w:r>
              <w:rPr>
                <w:rFonts w:hint="eastAsia"/>
                <w:color w:val="auto"/>
                <w:lang w:eastAsia="zh-CN"/>
              </w:rPr>
              <w:t>或</w:t>
            </w:r>
            <w:r>
              <w:rPr>
                <w:rFonts w:hint="eastAsia"/>
                <w:color w:val="auto"/>
                <w:lang w:val="en-US" w:eastAsia="zh-CN"/>
              </w:rPr>
              <w:t>2022年度</w:t>
            </w:r>
            <w:r>
              <w:rPr>
                <w:rFonts w:hint="eastAsia"/>
                <w:color w:val="auto"/>
              </w:rPr>
              <w:t>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color w:val="auto"/>
              </w:rPr>
              <w:t>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asciiTheme="majorEastAsia" w:hAnsiTheme="majorEastAsia" w:eastAsiaTheme="majorEastAsia" w:cstheme="majorEastAsia"/>
                <w:color w:val="auto"/>
                <w:szCs w:val="21"/>
              </w:rPr>
              <w:t>“中国社会组织政务服务平台”网站（</w:t>
            </w:r>
            <w:r>
              <w:rPr>
                <w:rFonts w:cs="宋体" w:asciiTheme="minorEastAsia" w:hAnsiTheme="minorEastAsia"/>
                <w:color w:val="auto"/>
                <w:kern w:val="0"/>
                <w:szCs w:val="21"/>
              </w:rPr>
              <w:t>https://chinanpo.mca.gov.cn</w:t>
            </w:r>
            <w:r>
              <w:rPr>
                <w:rFonts w:hint="eastAsia" w:asciiTheme="majorEastAsia" w:hAnsiTheme="majorEastAsia" w:eastAsiaTheme="majorEastAsia" w:cstheme="majorEastAsia"/>
                <w:color w:val="auto"/>
                <w:szCs w:val="21"/>
              </w:rPr>
              <w:t>）（仅查询社会组织）</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rFonts w:ascii="ˎ̥" w:hAnsi="ˎ̥"/>
                <w:color w:val="auto"/>
              </w:rPr>
            </w:pPr>
            <w:r>
              <w:rPr>
                <w:rFonts w:hint="eastAsia"/>
                <w:color w:val="auto"/>
              </w:rPr>
              <w:t>③“中国社会组织政务服务平台”网站（</w:t>
            </w:r>
            <w:r>
              <w:rPr>
                <w:rFonts w:cs="宋体" w:asciiTheme="minorEastAsia" w:hAnsiTheme="minorEastAsia"/>
                <w:color w:val="auto"/>
                <w:kern w:val="0"/>
                <w:szCs w:val="21"/>
              </w:rPr>
              <w:t>https://chinanpo.mca.gov.cn</w:t>
            </w:r>
            <w:r>
              <w:rPr>
                <w:rFonts w:hint="eastAsia"/>
                <w:color w:val="auto"/>
              </w:rPr>
              <w:t>）（仅查询社会组织）；</w:t>
            </w:r>
          </w:p>
        </w:tc>
      </w:tr>
    </w:tbl>
    <w:p>
      <w:pPr>
        <w:pStyle w:val="36"/>
        <w:ind w:firstLine="0" w:firstLineChars="0"/>
        <w:rPr>
          <w:rFonts w:cs="宋体" w:asciiTheme="majorEastAsia" w:hAnsiTheme="majorEastAsia" w:eastAsiaTheme="majorEastAsia"/>
          <w:b/>
          <w:color w:val="auto"/>
          <w:kern w:val="0"/>
          <w:sz w:val="36"/>
          <w:szCs w:val="36"/>
        </w:rPr>
      </w:pPr>
    </w:p>
    <w:p>
      <w:pPr>
        <w:pStyle w:val="36"/>
        <w:ind w:firstLine="0" w:firstLineChars="0"/>
        <w:rPr>
          <w:rFonts w:cs="宋体" w:asciiTheme="majorEastAsia" w:hAnsiTheme="majorEastAsia" w:eastAsiaTheme="majorEastAsia"/>
          <w:b/>
          <w:color w:val="auto"/>
          <w:kern w:val="0"/>
          <w:sz w:val="36"/>
          <w:szCs w:val="36"/>
        </w:rPr>
      </w:pPr>
    </w:p>
    <w:p>
      <w:pPr>
        <w:pStyle w:val="36"/>
        <w:ind w:firstLine="0" w:firstLineChars="0"/>
        <w:rPr>
          <w:rFonts w:cs="宋体" w:asciiTheme="majorEastAsia" w:hAnsiTheme="majorEastAsia" w:eastAsiaTheme="majorEastAsia"/>
          <w:b/>
          <w:color w:val="auto"/>
          <w:kern w:val="0"/>
          <w:sz w:val="36"/>
          <w:szCs w:val="36"/>
        </w:rPr>
      </w:pPr>
    </w:p>
    <w:p>
      <w:pPr>
        <w:pStyle w:val="36"/>
        <w:ind w:firstLine="0" w:firstLineChars="0"/>
        <w:rPr>
          <w:rFonts w:cs="宋体" w:asciiTheme="majorEastAsia" w:hAnsiTheme="majorEastAsia" w:eastAsiaTheme="majorEastAsia"/>
          <w:b/>
          <w:color w:val="auto"/>
          <w:kern w:val="0"/>
          <w:sz w:val="36"/>
          <w:szCs w:val="36"/>
        </w:rPr>
      </w:pPr>
    </w:p>
    <w:p>
      <w:pPr>
        <w:pStyle w:val="36"/>
        <w:ind w:firstLine="0" w:firstLineChars="0"/>
        <w:rPr>
          <w:rFonts w:cs="宋体" w:asciiTheme="majorEastAsia" w:hAnsiTheme="majorEastAsia" w:eastAsiaTheme="majorEastAsia"/>
          <w:b/>
          <w:color w:val="auto"/>
          <w:kern w:val="0"/>
          <w:sz w:val="36"/>
          <w:szCs w:val="36"/>
        </w:rPr>
      </w:pPr>
    </w:p>
    <w:p>
      <w:pPr>
        <w:pStyle w:val="36"/>
        <w:ind w:firstLine="0" w:firstLineChars="0"/>
        <w:rPr>
          <w:rFonts w:cs="宋体" w:asciiTheme="majorEastAsia" w:hAnsiTheme="majorEastAsia" w:eastAsiaTheme="majorEastAsia"/>
          <w:b/>
          <w:color w:val="auto"/>
          <w:kern w:val="0"/>
          <w:sz w:val="36"/>
          <w:szCs w:val="36"/>
        </w:rPr>
      </w:pPr>
    </w:p>
    <w:p>
      <w:pPr>
        <w:pStyle w:val="36"/>
        <w:ind w:firstLine="0" w:firstLineChars="0"/>
        <w:rPr>
          <w:rFonts w:cs="宋体" w:asciiTheme="majorEastAsia" w:hAnsiTheme="majorEastAsia" w:eastAsiaTheme="majorEastAsia"/>
          <w:b/>
          <w:color w:val="auto"/>
          <w:kern w:val="0"/>
          <w:sz w:val="36"/>
          <w:szCs w:val="36"/>
        </w:rPr>
      </w:pPr>
    </w:p>
    <w:p>
      <w:pPr>
        <w:pStyle w:val="36"/>
        <w:ind w:firstLine="0" w:firstLineChars="0"/>
        <w:rPr>
          <w:rFonts w:cs="宋体" w:asciiTheme="majorEastAsia" w:hAnsiTheme="majorEastAsia" w:eastAsiaTheme="majorEastAsia"/>
          <w:b/>
          <w:color w:val="auto"/>
          <w:kern w:val="0"/>
          <w:sz w:val="36"/>
          <w:szCs w:val="36"/>
        </w:rPr>
      </w:pPr>
    </w:p>
    <w:p>
      <w:pPr>
        <w:pStyle w:val="36"/>
        <w:ind w:firstLine="0" w:firstLineChars="0"/>
        <w:rPr>
          <w:rFonts w:cs="宋体" w:asciiTheme="majorEastAsia" w:hAnsiTheme="majorEastAsia" w:eastAsiaTheme="majorEastAsia"/>
          <w:b/>
          <w:color w:val="auto"/>
          <w:kern w:val="0"/>
          <w:sz w:val="36"/>
          <w:szCs w:val="36"/>
        </w:rPr>
      </w:pPr>
    </w:p>
    <w:p>
      <w:pPr>
        <w:pStyle w:val="36"/>
        <w:ind w:firstLine="0" w:firstLineChars="0"/>
        <w:rPr>
          <w:rFonts w:cs="宋体" w:asciiTheme="majorEastAsia" w:hAnsiTheme="majorEastAsia" w:eastAsiaTheme="majorEastAsia"/>
          <w:b/>
          <w:color w:val="auto"/>
          <w:kern w:val="0"/>
          <w:sz w:val="36"/>
          <w:szCs w:val="36"/>
        </w:rPr>
      </w:pPr>
    </w:p>
    <w:p>
      <w:pPr>
        <w:pStyle w:val="36"/>
        <w:ind w:firstLine="0" w:firstLineChars="0"/>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 适用范围</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 本谈判文件仅适用于本次“采购邀请”</w:t>
      </w:r>
      <w:r>
        <w:rPr>
          <w:rFonts w:hint="eastAsia" w:ascii="宋体" w:hAnsi="宋体"/>
          <w:color w:val="auto"/>
          <w:szCs w:val="21"/>
        </w:rPr>
        <w:t xml:space="preserve"> 和“供应商须知前附表”中所述采购项目的采购。</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 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6"/>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系指“供应商须知前附表”中所述的组织本次采购的采购招标代理机构和采购人。</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  “进口产品”：是指通过中国海关报关验放进入中国境内且产自关境外的产品，包括已经进入中国境内的进口产品。详见《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 谈判文件中凡标有“★”的条款均系实质性要求条款。</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rFonts w:hint="eastAsia" w:cs="宋体" w:asciiTheme="minorEastAsia" w:hAnsiTheme="minorEastAsia"/>
          <w:color w:val="auto"/>
          <w:kern w:val="0"/>
          <w:szCs w:val="21"/>
        </w:rPr>
        <w:t>、</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w:t>
      </w:r>
      <w:r>
        <w:rPr>
          <w:rFonts w:hint="eastAsia" w:asciiTheme="majorEastAsia" w:hAnsiTheme="majorEastAsia" w:eastAsiaTheme="majorEastAsia" w:cstheme="majorEastAsia"/>
          <w:color w:val="auto"/>
          <w:szCs w:val="21"/>
        </w:rPr>
        <w:t>“中国社会组织政务服务平台”网站（</w:t>
      </w:r>
      <w:r>
        <w:rPr>
          <w:rFonts w:hint="eastAsia" w:ascii="宋体" w:hAnsi="宋体" w:eastAsia="宋体" w:cs="宋体"/>
          <w:color w:val="auto"/>
          <w:szCs w:val="21"/>
        </w:rPr>
        <w:t>chinanpo.mca.gov.cn</w:t>
      </w:r>
      <w:r>
        <w:rPr>
          <w:rFonts w:hint="eastAsia" w:asciiTheme="majorEastAsia" w:hAnsiTheme="majorEastAsia" w:eastAsiaTheme="majorEastAsia" w:cstheme="majorEastAsia"/>
          <w:color w:val="auto"/>
          <w:szCs w:val="21"/>
        </w:rPr>
        <w:t>）</w:t>
      </w:r>
      <w:r>
        <w:rPr>
          <w:rFonts w:hint="eastAsia" w:cs="宋体" w:asciiTheme="minorEastAsia" w:hAnsiTheme="minorEastAsia"/>
          <w:color w:val="auto"/>
          <w:kern w:val="0"/>
          <w:szCs w:val="21"/>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3.6.1在响应文件中向采购人提交联合体协议书，明确联合体各方承担的工作和义务；</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3.6.2联合体中有同类资质的供应商按联合体分工承担相同工作的，应当按照资质等级较低的供应商确定资质等级；</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3.6.3采购人根据采购项目的特殊要求规定供应商特定条件的，联合体各方中至少应当有一方符合采购规定的特定条件；</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3.6.4联合体各方不得再单独参加或者与其他供应商另外组成联合体参加同一合同项下的政府采购活动；</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3.7法律、行政法规规定的其他条件。</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 .合格的货物和服务</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4.4</w:t>
      </w:r>
      <w:r>
        <w:rPr>
          <w:rFonts w:hint="eastAsia"/>
          <w:color w:val="auto"/>
          <w:szCs w:val="21"/>
          <w:shd w:val="clear" w:color="auto" w:fill="FFFFFF"/>
        </w:rPr>
        <w:t>根据《强制性产品认证管理规定》（质检总局第117号令）要求，</w:t>
      </w: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4.5根据财政部、工业和信息化部、国家质检总局、国家认监委联合发布</w:t>
      </w:r>
      <w:bookmarkStart w:id="0" w:name="baidusnap0"/>
      <w:bookmarkEnd w:id="0"/>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 .谈判费用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 .信息发布</w:t>
      </w:r>
    </w:p>
    <w:p>
      <w:pPr>
        <w:pStyle w:val="56"/>
        <w:autoSpaceDE w:val="0"/>
        <w:autoSpaceDN w:val="0"/>
        <w:spacing w:line="360" w:lineRule="auto"/>
        <w:contextualSpacing/>
        <w:rPr>
          <w:rFonts w:cs="宋体" w:asciiTheme="minorEastAsia" w:hAnsiTheme="minorEastAsia"/>
          <w:bCs/>
          <w:color w:val="auto"/>
          <w:kern w:val="0"/>
          <w:szCs w:val="21"/>
        </w:rPr>
      </w:pPr>
      <w:r>
        <w:rPr>
          <w:rFonts w:hint="eastAsia" w:cs="宋体" w:asciiTheme="minorEastAsia" w:hAnsiTheme="minorEastAsia"/>
          <w:bCs/>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s="宋体"/>
          <w:color w:val="auto"/>
          <w:szCs w:val="21"/>
        </w:rPr>
        <w:t>招标代理服务费由中标人支付，</w:t>
      </w:r>
      <w:r>
        <w:rPr>
          <w:rFonts w:hint="eastAsia"/>
          <w:color w:val="auto"/>
          <w:lang w:eastAsia="zh-CN"/>
        </w:rPr>
        <w:t>按照豫招协</w:t>
      </w:r>
      <w:r>
        <w:rPr>
          <w:rFonts w:hint="eastAsia"/>
          <w:color w:val="auto"/>
        </w:rPr>
        <w:t>〔</w:t>
      </w:r>
      <w:r>
        <w:rPr>
          <w:color w:val="auto"/>
        </w:rPr>
        <w:t>20</w:t>
      </w:r>
      <w:r>
        <w:rPr>
          <w:rFonts w:hint="eastAsia"/>
          <w:color w:val="auto"/>
          <w:lang w:val="en-US" w:eastAsia="zh-CN"/>
        </w:rPr>
        <w:t>23</w:t>
      </w:r>
      <w:r>
        <w:rPr>
          <w:rFonts w:hint="eastAsia"/>
          <w:color w:val="auto"/>
        </w:rPr>
        <w:t>〕</w:t>
      </w:r>
      <w:r>
        <w:rPr>
          <w:rFonts w:hint="eastAsia"/>
          <w:color w:val="auto"/>
          <w:lang w:val="en-US" w:eastAsia="zh-CN"/>
        </w:rPr>
        <w:t>002</w:t>
      </w:r>
      <w:r>
        <w:rPr>
          <w:rFonts w:hint="eastAsia"/>
          <w:color w:val="auto"/>
        </w:rPr>
        <w:t>《</w:t>
      </w:r>
      <w:r>
        <w:rPr>
          <w:rFonts w:hint="eastAsia"/>
          <w:color w:val="auto"/>
          <w:lang w:eastAsia="zh-CN"/>
        </w:rPr>
        <w:t>河南省招标代理服务收费指导意见</w:t>
      </w:r>
      <w:r>
        <w:rPr>
          <w:rFonts w:hint="eastAsia"/>
          <w:color w:val="auto"/>
        </w:rPr>
        <w:t>》</w:t>
      </w:r>
      <w:r>
        <w:rPr>
          <w:rFonts w:hint="eastAsia"/>
          <w:color w:val="auto"/>
          <w:lang w:eastAsia="zh-CN"/>
        </w:rPr>
        <w:t>收取</w:t>
      </w:r>
      <w:r>
        <w:rPr>
          <w:rFonts w:hint="eastAsia" w:ascii="宋体" w:hAnsi="宋体" w:cs="宋体"/>
          <w:color w:val="auto"/>
          <w:szCs w:val="21"/>
        </w:rPr>
        <w:t>。</w:t>
      </w:r>
      <w:bookmarkStart w:id="2" w:name="_GoBack"/>
      <w:bookmarkEnd w:id="2"/>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 .其他</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9.谈判文件构成</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单独提供廉政方案，并由单位法定代表人（单位负责人）签字，否则将否决其投标。</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 .谈判文件的澄清或修改</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 .响应文件的语言及计量单位</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 .报价</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12.5本项目所涉及的运输、施工、安装、集成、调试、验收、备品和工具等费用均包含在响应报价中。单独承诺响应报价包含对在一切产生的费用，以及对在运输安装过程中的一切安全问题负责，否则为无效投标。</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12.6报价不得高于本项目预算金额，且不低于成本价。供应商的响应报价高于预算金额（项目控制金额上限）的，该供应商的响应文件将被视为非实质性响应予以拒绝。</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12.7最低报价不能做为成交的保证。</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 .响应文件有效期</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14.响应文件构成</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14.2供应商应当按照谈判文件的要求编制响应文件。响应文件应当对谈判文件提出的要求和条件作出明确响应，且须承诺在合同履行期限内完成，并保证验收合格，否则为无效投标。</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14.3响应文件由资格证明材料、符合性证明材料、其它材料等组成。</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14.5供应商登录许昌公共资源交易系统下载“许昌投标文件制作系统SEARUN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”的文件用于电子响应使用。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电子响应文件制作技术咨询：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15.响应文件格式</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15.2供应商应按谈判文件提供的格式编写响应文件。谈判文件未提供标准格式的供应商可自行拟定。</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16.谈判保证金</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17.谈判文件的数量和签署盖章</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pPr>
        <w:pStyle w:val="56"/>
        <w:autoSpaceDE w:val="0"/>
        <w:autoSpaceDN w:val="0"/>
        <w:spacing w:line="360" w:lineRule="auto"/>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18.谈判响应截止时间</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18.1供应商必须在“采购邀请”和“供应商须知前附表”中规定的响应截止时间前，将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19.迟交的响应文件</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谈判响应文件截止时间之后上传的响应文件，采购人、采购代理机构将将拒绝接收。</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20.响应文件的修改和撤回</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20.3供应商不得在响应有效期内撤销响应文件，否则供应商将承担违背响应承诺函的责任追究。</w:t>
      </w:r>
    </w:p>
    <w:p>
      <w:pPr>
        <w:pStyle w:val="56"/>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21.除供应商须知前附表另有规定外，供应商所提交的电子响应文件不予退还。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22.响应文件解密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6"/>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rPr>
        <w:t>22.2谈判响应截止时间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22.2.1电子响应文件的解密：全流程电子化交易项目电子响应文件采用双重加密。解密需分标段进行两次解密。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22.2.2供应商解密：供应商使用本单位CA数字证书进行远程解密。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22.2.3采购代理机构解密：</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22.2.4供应商未在规定时间内解密或</w:t>
      </w:r>
      <w:r>
        <w:rPr>
          <w:rFonts w:hint="eastAsia" w:cs="宋体" w:asciiTheme="minorEastAsia" w:hAnsiTheme="minorEastAsia"/>
          <w:color w:val="auto"/>
          <w:kern w:val="0"/>
          <w:szCs w:val="21"/>
        </w:rPr>
        <w:t>因供应商原因解密失败的，其响应文件将被拒绝。</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22.4响应文件解密过程由采购代理机构负责记录。</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22.6响应文件</w:t>
      </w:r>
      <w:r>
        <w:rPr>
          <w:rFonts w:hint="eastAsia" w:hAnsi="宋体"/>
          <w:color w:val="auto"/>
          <w:szCs w:val="21"/>
        </w:rPr>
        <w:t>解密活动结束时，供应商应在《开标记录表》上进行电子签章。供应商未签章的，视同认可解密结果。</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23.谈判小组组成</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23.1.2达到公开</w:t>
      </w:r>
      <w:r>
        <w:rPr>
          <w:rFonts w:ascii="ˎ̥" w:hAnsi="ˎ̥"/>
          <w:color w:val="auto"/>
        </w:rPr>
        <w:t>招标数额标准的货物或者服务采购项目，或者达到招标规模标准的政府采购工程，竞争性谈判小组应当由5人以上单数组成</w:t>
      </w:r>
      <w:r>
        <w:rPr>
          <w:rFonts w:hint="eastAsia" w:ascii="ˎ̥" w:hAnsi="ˎ̥"/>
          <w:color w:val="auto"/>
        </w:rPr>
        <w:t>。</w:t>
      </w:r>
    </w:p>
    <w:p>
      <w:pPr>
        <w:pStyle w:val="56"/>
        <w:numPr>
          <w:ilvl w:val="1"/>
          <w:numId w:val="6"/>
        </w:numPr>
        <w:autoSpaceDE w:val="0"/>
        <w:autoSpaceDN w:val="0"/>
        <w:spacing w:line="360" w:lineRule="auto"/>
        <w:ind w:firstLineChars="0"/>
        <w:contextualSpacing/>
        <w:rPr>
          <w:rFonts w:ascii="ˎ̥" w:hAnsi="ˎ̥"/>
          <w:vanish/>
          <w:color w:val="auto"/>
        </w:rPr>
      </w:pP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23.2采购人</w:t>
      </w:r>
      <w:r>
        <w:rPr>
          <w:rFonts w:ascii="ˎ̥" w:hAnsi="ˎ̥"/>
          <w:color w:val="auto"/>
        </w:rPr>
        <w:t>不得以评审专家身份参加本部门或本单位采购项目的评审</w:t>
      </w:r>
      <w:r>
        <w:rPr>
          <w:rFonts w:hint="eastAsia" w:cs="宋体" w:asciiTheme="minorEastAsia" w:hAnsiTheme="minorEastAsia"/>
          <w:color w:val="auto"/>
          <w:kern w:val="0"/>
          <w:szCs w:val="21"/>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23.3谈判小组成员与供应商存在下列利害关系之一的,应当回避：</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23.3.1参加采购活动前三年内,与供应商存在劳动关系,或者担任过供应商的董事、监事,或者是供应商的控股股东或实际控制人；</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23.3.2与供应商的法定代表人或者负责人有夫妻、直系血亲、三代以内旁系血亲或者近姻亲关系；</w:t>
      </w:r>
    </w:p>
    <w:p>
      <w:pPr>
        <w:pStyle w:val="56"/>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23.3.3与供应</w:t>
      </w:r>
      <w:r>
        <w:rPr>
          <w:rFonts w:hint="eastAsia" w:ascii="ˎ̥" w:hAnsi="ˎ̥"/>
          <w:color w:val="auto"/>
        </w:rPr>
        <w:t>商有其他可能影响政府采购活动公平、公正进行的关系。</w:t>
      </w:r>
    </w:p>
    <w:p>
      <w:pPr>
        <w:pStyle w:val="56"/>
        <w:numPr>
          <w:ilvl w:val="0"/>
          <w:numId w:val="7"/>
        </w:numPr>
        <w:autoSpaceDE w:val="0"/>
        <w:autoSpaceDN w:val="0"/>
        <w:spacing w:line="360" w:lineRule="auto"/>
        <w:ind w:firstLineChars="0"/>
        <w:contextualSpacing/>
        <w:rPr>
          <w:rFonts w:cs="宋体" w:asciiTheme="minorEastAsia" w:hAnsiTheme="minorEastAsia"/>
          <w:vanish/>
          <w:color w:val="auto"/>
          <w:kern w:val="0"/>
          <w:szCs w:val="21"/>
        </w:rPr>
      </w:pP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23.5采购人不得担任谈判小组组长。</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23.6谈判小组成员名单在成交结果公告前应当保密。</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24.资格审查和符合性审查</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pPr>
        <w:pStyle w:val="56"/>
        <w:autoSpaceDE w:val="0"/>
        <w:autoSpaceDN w:val="0"/>
        <w:spacing w:line="360" w:lineRule="auto"/>
        <w:ind w:firstLine="422"/>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6"/>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6"/>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6"/>
        <w:numPr>
          <w:ilvl w:val="1"/>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25.响应文件的澄清</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25.1谈判小</w:t>
      </w:r>
      <w:r>
        <w:rPr>
          <w:rFonts w:ascii="ˎ̥" w:hAnsi="ˎ̥"/>
          <w:color w:val="auto"/>
        </w:rPr>
        <w:t>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26.响应文件报价出现前后不一致的修正</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27.响应无效情形</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27.1.1未按照谈判文件的规定提交谈判承诺函的；</w:t>
      </w:r>
    </w:p>
    <w:p>
      <w:pPr>
        <w:pStyle w:val="56"/>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pPr>
        <w:pStyle w:val="56"/>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pPr>
        <w:pStyle w:val="56"/>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pPr>
        <w:pStyle w:val="56"/>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27.1.5投标文件内容模糊清，无法辨认的；</w:t>
      </w:r>
    </w:p>
    <w:p>
      <w:pPr>
        <w:pStyle w:val="56"/>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27.2有下列情形之一的，视为供应商串通谈判，其响应无效：</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27.2.1不同供应商的响应文件由同一单位或者个人编制；</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27.2.2不同供应商委托同一单位或者个人办理响应事宜；</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27.2.3不同供应商的响应文件载明的项目管理成员或者联系人员为同一人；</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27.2.4不同供应商的响应文件异常一致或者投标报价呈规律性差异；</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27.2.5不同供应商的响应文件相互混装。</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28.响应文件评审与谈判</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28.2谈判小组所有成员应当集中与单一供应商分别进行谈判，并给予所有参加谈判的供应商平等的谈判机会。</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28.3在谈判中，谈判的任何一方不得透露与谈判有关的其他供应商的技术资料、价格和其他信息。</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28.7最后报价是供应商响应文件的有效组成部分。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28.8已提交响应文件的供应商，在提交最后报价之前，可以根据谈判情况退出谈判。</w:t>
      </w:r>
    </w:p>
    <w:p>
      <w:pPr>
        <w:pStyle w:val="56"/>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28.9按照《</w:t>
      </w:r>
      <w:r>
        <w:rPr>
          <w:rFonts w:hint="eastAsia" w:ascii="ˎ̥" w:hAnsi="ˎ̥"/>
          <w:color w:val="auto"/>
        </w:rPr>
        <w:t>关于推进全流程电子化交易和在线监管工作有关问题的通知》（许公管办[2019]3号）规定，评审专家应严格按照要求查看“硬件特征码相” 关信息并进行评审。</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29.评审方法与提出成交候选人</w:t>
      </w:r>
    </w:p>
    <w:p>
      <w:pPr>
        <w:pStyle w:val="56"/>
        <w:autoSpaceDE w:val="0"/>
        <w:autoSpaceDN w:val="0"/>
        <w:spacing w:line="360" w:lineRule="auto"/>
        <w:contextualSpacing/>
        <w:rPr>
          <w:rFonts w:cs="宋体" w:asciiTheme="minorEastAsia" w:hAnsiTheme="minorEastAsia"/>
          <w:b/>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30.确定成交供应商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30.2采购人</w:t>
      </w:r>
      <w:r>
        <w:rPr>
          <w:rFonts w:ascii="ˎ̥" w:hAnsi="ˎ̥"/>
          <w:color w:val="auto"/>
        </w:rPr>
        <w:t>逾期未确定成交供应商且不提出异议的，视为确定评审报告提出的最后报价最低的供应商为成交供应商</w:t>
      </w:r>
      <w:r>
        <w:rPr>
          <w:rFonts w:hint="eastAsia" w:ascii="ˎ̥" w:hAnsi="ˎ̥"/>
          <w:color w:val="auto"/>
        </w:rPr>
        <w:t>。</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31.终止采购活动的情形</w:t>
      </w:r>
    </w:p>
    <w:p>
      <w:pPr>
        <w:pStyle w:val="56"/>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6"/>
        <w:numPr>
          <w:ilvl w:val="0"/>
          <w:numId w:val="10"/>
        </w:numPr>
        <w:autoSpaceDE w:val="0"/>
        <w:autoSpaceDN w:val="0"/>
        <w:spacing w:line="360" w:lineRule="auto"/>
        <w:ind w:firstLineChars="0"/>
        <w:contextualSpacing/>
        <w:rPr>
          <w:rFonts w:cs="宋体" w:asciiTheme="minorEastAsia" w:hAnsiTheme="minorEastAsia"/>
          <w:vanish/>
          <w:color w:val="auto"/>
          <w:kern w:val="0"/>
          <w:szCs w:val="21"/>
        </w:rPr>
      </w:pPr>
    </w:p>
    <w:p>
      <w:pPr>
        <w:pStyle w:val="56"/>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pPr>
        <w:pStyle w:val="56"/>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6"/>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32.成交公告、发出成交通知书</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33.质疑提出与答复</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34.签订合同</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35.履约保证金</w:t>
      </w:r>
    </w:p>
    <w:p>
      <w:pPr>
        <w:autoSpaceDE w:val="0"/>
        <w:autoSpaceDN w:val="0"/>
        <w:spacing w:line="360" w:lineRule="auto"/>
        <w:ind w:firstLine="420" w:firstLineChars="200"/>
        <w:contextualSpacing/>
        <w:rPr>
          <w:color w:val="auto"/>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6"/>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36.政府采购合同融资</w:t>
      </w:r>
    </w:p>
    <w:p>
      <w:pPr>
        <w:pStyle w:val="56"/>
        <w:wordWrap w:val="0"/>
        <w:topLinePunct/>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36.3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autoSpaceDE w:val="0"/>
        <w:autoSpaceDN w:val="0"/>
        <w:spacing w:line="360" w:lineRule="auto"/>
        <w:ind w:left="964"/>
        <w:contextualSpacing/>
        <w:rPr>
          <w:color w:val="auto"/>
        </w:rPr>
      </w:pPr>
    </w:p>
    <w:p>
      <w:pPr>
        <w:pStyle w:val="5"/>
        <w:rPr>
          <w:color w:val="auto"/>
        </w:rPr>
      </w:pPr>
    </w:p>
    <w:p>
      <w:pPr>
        <w:rPr>
          <w:color w:val="auto"/>
        </w:rPr>
      </w:pPr>
    </w:p>
    <w:p>
      <w:pPr>
        <w:pStyle w:val="5"/>
        <w:rPr>
          <w:color w:val="auto"/>
        </w:rPr>
      </w:pPr>
    </w:p>
    <w:p>
      <w:pPr>
        <w:rPr>
          <w:color w:val="auto"/>
        </w:rPr>
      </w:pPr>
    </w:p>
    <w:p>
      <w:pPr>
        <w:pStyle w:val="5"/>
        <w:rPr>
          <w:color w:val="auto"/>
        </w:rPr>
      </w:pPr>
    </w:p>
    <w:p>
      <w:pPr>
        <w:rPr>
          <w:color w:val="auto"/>
        </w:rPr>
      </w:pPr>
    </w:p>
    <w:p>
      <w:pPr>
        <w:pStyle w:val="5"/>
        <w:rPr>
          <w:color w:val="auto"/>
        </w:rPr>
      </w:pPr>
    </w:p>
    <w:p>
      <w:pPr>
        <w:rPr>
          <w:color w:val="auto"/>
        </w:rPr>
      </w:pPr>
    </w:p>
    <w:p>
      <w:pPr>
        <w:pStyle w:val="5"/>
        <w:rPr>
          <w:color w:val="auto"/>
        </w:rPr>
      </w:pPr>
    </w:p>
    <w:p>
      <w:pPr>
        <w:rPr>
          <w:color w:val="auto"/>
        </w:rPr>
      </w:pPr>
    </w:p>
    <w:p>
      <w:pPr>
        <w:pStyle w:val="5"/>
        <w:rPr>
          <w:color w:val="auto"/>
        </w:rPr>
      </w:pPr>
    </w:p>
    <w:p>
      <w:pPr>
        <w:rPr>
          <w:color w:val="auto"/>
        </w:rPr>
      </w:pPr>
    </w:p>
    <w:p>
      <w:pPr>
        <w:rPr>
          <w:color w:val="auto"/>
        </w:rPr>
      </w:pPr>
    </w:p>
    <w:p>
      <w:pPr>
        <w:pStyle w:val="11"/>
        <w:numPr>
          <w:ilvl w:val="3"/>
          <w:numId w:val="0"/>
        </w:numPr>
        <w:rPr>
          <w:color w:val="auto"/>
        </w:rPr>
      </w:pPr>
    </w:p>
    <w:p>
      <w:pPr>
        <w:rPr>
          <w:color w:val="auto"/>
        </w:rPr>
      </w:pPr>
    </w:p>
    <w:p>
      <w:pPr>
        <w:pStyle w:val="5"/>
        <w:rPr>
          <w:color w:val="auto"/>
        </w:rPr>
      </w:pPr>
    </w:p>
    <w:p>
      <w:pPr>
        <w:rPr>
          <w:color w:val="auto"/>
        </w:rPr>
      </w:pPr>
    </w:p>
    <w:p>
      <w:pPr>
        <w:pStyle w:val="5"/>
        <w:rPr>
          <w:color w:val="auto"/>
        </w:rPr>
      </w:pPr>
    </w:p>
    <w:p>
      <w:pPr>
        <w:rPr>
          <w:color w:val="auto"/>
        </w:rPr>
      </w:pPr>
    </w:p>
    <w:p>
      <w:pPr>
        <w:autoSpaceDE w:val="0"/>
        <w:autoSpaceDN w:val="0"/>
        <w:spacing w:line="360" w:lineRule="auto"/>
        <w:ind w:left="964" w:firstLine="1446" w:firstLineChars="450"/>
        <w:contextualSpacing/>
        <w:jc w:val="left"/>
        <w:rPr>
          <w:color w:val="auto"/>
        </w:rPr>
      </w:pPr>
      <w:r>
        <w:rPr>
          <w:rFonts w:hint="eastAsia" w:cs="宋体" w:asciiTheme="majorEastAsia" w:hAnsiTheme="majorEastAsia" w:eastAsiaTheme="majorEastAsia"/>
          <w:b/>
          <w:color w:val="auto"/>
          <w:kern w:val="0"/>
          <w:sz w:val="32"/>
          <w:szCs w:val="32"/>
        </w:rPr>
        <w:t>第五章 政府采购政策功能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8"/>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hint="default" w:cs="仿宋_GB2312" w:asciiTheme="minorEastAsia" w:hAnsiTheme="minorEastAsia" w:eastAsiaTheme="minorEastAsia"/>
          <w:color w:val="auto"/>
          <w:szCs w:val="21"/>
          <w:lang w:val="en-US" w:eastAsia="zh-CN"/>
        </w:rPr>
      </w:pPr>
      <w:r>
        <w:rPr>
          <w:rFonts w:hint="eastAsia" w:ascii="ˎ̥" w:hAnsi="ˎ̥"/>
          <w:color w:val="auto"/>
        </w:rPr>
        <w:t>1、</w:t>
      </w:r>
      <w:r>
        <w:rPr>
          <w:rFonts w:hint="eastAsia" w:cs="仿宋_GB2312" w:asciiTheme="minorEastAsia" w:hAnsiTheme="minorEastAsia"/>
          <w:color w:val="auto"/>
          <w:szCs w:val="21"/>
        </w:rPr>
        <w:t>如</w:t>
      </w:r>
      <w:r>
        <w:rPr>
          <w:rFonts w:hint="eastAsia" w:cs="仿宋_GB2312" w:asciiTheme="minorEastAsia" w:hAnsiTheme="minorEastAsia"/>
          <w:color w:val="auto"/>
          <w:szCs w:val="21"/>
          <w:lang w:val="zh-CN"/>
        </w:rPr>
        <w:t>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4</w:t>
      </w:r>
      <w:r>
        <w:rPr>
          <w:rFonts w:ascii="ˎ̥" w:hAnsi="ˎ̥"/>
          <w:color w:val="auto"/>
        </w:rPr>
        <w:t>—</w:t>
      </w:r>
      <w:r>
        <w:rPr>
          <w:rFonts w:hint="eastAsia" w:ascii="ˎ̥" w:hAnsi="ˎ̥"/>
          <w:color w:val="auto"/>
        </w:rPr>
        <w:t>6</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pPr>
        <w:pStyle w:val="18"/>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（2）资格审查中所涉及到的证书及材料，均须在电子投标文件中提供原件扫描件（或图片）。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报价函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按照谈判文件第八章3.1格式填写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2</w:t>
            </w:r>
          </w:p>
        </w:tc>
        <w:tc>
          <w:tcPr>
            <w:tcW w:w="2410" w:type="dxa"/>
            <w:vAlign w:val="center"/>
          </w:tcPr>
          <w:p>
            <w:pPr>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禹州</w:t>
            </w:r>
            <w:r>
              <w:rPr>
                <w:rFonts w:cs="宋体" w:asciiTheme="minorEastAsia" w:hAnsiTheme="minorEastAsia"/>
                <w:b/>
                <w:color w:val="auto"/>
                <w:szCs w:val="21"/>
                <w:lang w:val="zh-CN"/>
              </w:rPr>
              <w:t>市政府采购</w:t>
            </w:r>
          </w:p>
          <w:p>
            <w:pPr>
              <w:spacing w:line="360" w:lineRule="auto"/>
              <w:jc w:val="center"/>
              <w:rPr>
                <w:rFonts w:cs="宋体" w:asciiTheme="minorEastAsia" w:hAnsiTheme="minorEastAsia"/>
                <w:bCs/>
                <w:color w:val="auto"/>
                <w:szCs w:val="21"/>
                <w:lang w:val="zh-CN"/>
              </w:rPr>
            </w:pPr>
            <w:r>
              <w:rPr>
                <w:rFonts w:cs="宋体" w:asciiTheme="minorEastAsia" w:hAnsiTheme="minorEastAsia"/>
                <w:b/>
                <w:color w:val="auto"/>
                <w:szCs w:val="21"/>
                <w:lang w:val="zh-CN"/>
              </w:rPr>
              <w:t>供应商信用承诺函</w:t>
            </w:r>
          </w:p>
        </w:tc>
        <w:tc>
          <w:tcPr>
            <w:tcW w:w="5954" w:type="dxa"/>
            <w:vAlign w:val="center"/>
          </w:tcPr>
          <w:p>
            <w:pPr>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w:t>
            </w:r>
            <w:r>
              <w:rPr>
                <w:rFonts w:hint="eastAsia" w:ascii="宋体" w:hAnsi="宋体" w:cs="微软雅黑"/>
                <w:bCs/>
                <w:color w:val="auto"/>
                <w:szCs w:val="21"/>
              </w:rPr>
              <w:t>谈判文件</w:t>
            </w:r>
            <w:r>
              <w:rPr>
                <w:rFonts w:hint="eastAsia" w:cs="宋体" w:asciiTheme="minorEastAsia" w:hAnsiTheme="minorEastAsia"/>
                <w:bCs/>
                <w:color w:val="auto"/>
                <w:szCs w:val="21"/>
                <w:lang w:val="zh-CN"/>
              </w:rPr>
              <w:t>第八章3.</w:t>
            </w:r>
            <w:r>
              <w:rPr>
                <w:rFonts w:hint="eastAsia" w:cs="宋体" w:asciiTheme="minorEastAsia" w:hAnsiTheme="minorEastAsia"/>
                <w:bCs/>
                <w:color w:val="auto"/>
                <w:szCs w:val="21"/>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3</w:t>
            </w:r>
          </w:p>
        </w:tc>
        <w:tc>
          <w:tcPr>
            <w:tcW w:w="2410" w:type="dxa"/>
            <w:vAlign w:val="center"/>
          </w:tcPr>
          <w:p>
            <w:pPr>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中小企业声明函</w:t>
            </w:r>
          </w:p>
        </w:tc>
        <w:tc>
          <w:tcPr>
            <w:tcW w:w="5954" w:type="dxa"/>
            <w:vAlign w:val="center"/>
          </w:tcPr>
          <w:p>
            <w:pPr>
              <w:spacing w:line="360" w:lineRule="auto"/>
              <w:jc w:val="left"/>
              <w:rPr>
                <w:rFonts w:cs="宋体" w:asciiTheme="minorEastAsia" w:hAnsiTheme="minorEastAsia"/>
                <w:bCs/>
                <w:color w:val="auto"/>
                <w:szCs w:val="21"/>
                <w:lang w:val="zh-CN"/>
              </w:rPr>
            </w:pPr>
            <w:r>
              <w:rPr>
                <w:rFonts w:hint="eastAsia" w:ascii="宋体" w:hAnsi="宋体" w:cs="微软雅黑"/>
                <w:bCs/>
                <w:color w:val="auto"/>
                <w:szCs w:val="21"/>
              </w:rPr>
              <w:t>按照谈判文件第八章</w:t>
            </w:r>
            <w:r>
              <w:rPr>
                <w:rFonts w:hint="eastAsia" w:ascii="宋体" w:hAnsi="宋体" w:cs="微软雅黑"/>
                <w:bCs/>
                <w:color w:val="auto"/>
                <w:szCs w:val="21"/>
                <w:lang w:val="en-US" w:eastAsia="zh-CN"/>
              </w:rPr>
              <w:t>3.6</w:t>
            </w:r>
            <w:r>
              <w:rPr>
                <w:rFonts w:hint="eastAsia" w:ascii="宋体" w:hAnsi="宋体" w:cs="微软雅黑"/>
                <w:bCs/>
                <w:color w:val="auto"/>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供应商须具备的特殊</w:t>
            </w:r>
          </w:p>
          <w:p>
            <w:pPr>
              <w:spacing w:line="360" w:lineRule="auto"/>
              <w:jc w:val="center"/>
              <w:rPr>
                <w:rFonts w:asciiTheme="minorEastAsia" w:hAnsiTheme="minorEastAsia"/>
                <w:b/>
                <w:bCs/>
                <w:color w:val="auto"/>
                <w:szCs w:val="21"/>
              </w:rPr>
            </w:pPr>
            <w:r>
              <w:rPr>
                <w:rFonts w:hint="eastAsia" w:asciiTheme="minorEastAsia" w:hAnsiTheme="minorEastAsia"/>
                <w:b/>
                <w:color w:val="auto"/>
                <w:szCs w:val="21"/>
              </w:rPr>
              <w:t>资质证书</w:t>
            </w:r>
          </w:p>
        </w:tc>
        <w:tc>
          <w:tcPr>
            <w:tcW w:w="5954" w:type="dxa"/>
            <w:vAlign w:val="center"/>
          </w:tcPr>
          <w:p>
            <w:pPr>
              <w:spacing w:line="360" w:lineRule="auto"/>
              <w:rPr>
                <w:rFonts w:asciiTheme="minorEastAsia" w:hAnsiTheme="minorEastAsia"/>
                <w:b/>
                <w:bCs/>
                <w:color w:val="auto"/>
                <w:szCs w:val="21"/>
              </w:rPr>
            </w:pPr>
            <w:r>
              <w:rPr>
                <w:rFonts w:hint="eastAsia" w:asciiTheme="minorEastAsia" w:hAnsiTheme="minorEastAsia"/>
                <w:bCs/>
                <w:color w:val="auto"/>
                <w:szCs w:val="21"/>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谈判</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6</w:t>
            </w:r>
          </w:p>
        </w:tc>
        <w:tc>
          <w:tcPr>
            <w:tcW w:w="2410" w:type="dxa"/>
            <w:vAlign w:val="center"/>
          </w:tcPr>
          <w:p>
            <w:pPr>
              <w:spacing w:line="360" w:lineRule="auto"/>
              <w:jc w:val="center"/>
              <w:rPr>
                <w:rFonts w:asciiTheme="minorEastAsia" w:hAnsiTheme="minorEastAsia"/>
                <w:color w:val="auto"/>
                <w:szCs w:val="21"/>
              </w:rPr>
            </w:pPr>
            <w:r>
              <w:rPr>
                <w:rFonts w:hint="eastAsia" w:asciiTheme="minorEastAsia" w:hAnsiTheme="minorEastAsia"/>
                <w:b/>
                <w:color w:val="auto"/>
                <w:szCs w:val="21"/>
              </w:rPr>
              <w:t>响应承诺函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7</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8</w:t>
            </w:r>
          </w:p>
        </w:tc>
        <w:tc>
          <w:tcPr>
            <w:tcW w:w="2410"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注：</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9</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10</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8"/>
        <w:spacing w:line="360" w:lineRule="auto"/>
        <w:ind w:firstLine="482" w:firstLineChars="200"/>
        <w:contextualSpacing/>
        <w:rPr>
          <w:rFonts w:cs="仿宋_GB2312" w:asciiTheme="minorEastAsia" w:hAnsiTheme="minorEastAsia" w:eastAsiaTheme="minorEastAsia"/>
          <w:b/>
          <w:color w:val="auto"/>
          <w:szCs w:val="24"/>
          <w:lang w:val="zh-CN"/>
        </w:rPr>
      </w:pP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8"/>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8"/>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8"/>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谈判小组对符合资格的投标人的响应文件进行审查，以确定其是否满足谈判文件的商务、技术等实质性要求。</w:t>
      </w:r>
    </w:p>
    <w:p>
      <w:pPr>
        <w:pStyle w:val="18"/>
        <w:spacing w:line="360" w:lineRule="auto"/>
        <w:ind w:firstLine="420" w:firstLineChars="200"/>
        <w:contextualSpacing/>
        <w:jc w:val="left"/>
        <w:rPr>
          <w:rFonts w:hint="eastAsia"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注：审查中所涉及到的证书及材料，均应在电子响应文件中提供原件扫描件（或图片）。</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w:t>
      </w:r>
      <w:r>
        <w:rPr>
          <w:rFonts w:hint="eastAsia" w:cs="仿宋_GB2312" w:asciiTheme="minorEastAsia" w:hAnsiTheme="minorEastAsia" w:eastAsiaTheme="minorEastAsia"/>
          <w:b/>
          <w:color w:val="auto"/>
          <w:sz w:val="21"/>
          <w:szCs w:val="21"/>
          <w:lang w:val="zh-CN"/>
        </w:rPr>
        <w:t>供应商</w:t>
      </w:r>
      <w:r>
        <w:rPr>
          <w:rFonts w:cs="仿宋_GB2312" w:asciiTheme="minorEastAsia" w:hAnsiTheme="minorEastAsia" w:eastAsiaTheme="minorEastAsia"/>
          <w:b/>
          <w:color w:val="auto"/>
          <w:sz w:val="21"/>
          <w:szCs w:val="21"/>
          <w:lang w:val="zh-CN"/>
        </w:rPr>
        <w:t>对</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文件有关事项作出澄清或者说明；</w:t>
      </w:r>
    </w:p>
    <w:p>
      <w:pPr>
        <w:pStyle w:val="18"/>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8"/>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（二）落实政府采购政策及强制性认证</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hint="eastAsia" w:cs="仿宋_GB2312" w:asciiTheme="minorEastAsia" w:hAnsiTheme="minorEastAsia" w:eastAsiaTheme="minorEastAsia"/>
          <w:b/>
          <w:color w:val="auto"/>
          <w:sz w:val="21"/>
          <w:szCs w:val="21"/>
          <w:lang w:val="zh-CN"/>
        </w:rPr>
        <w:t>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（1）如供应商所响应产品属于“中国强制性产品认证”（3C认证）范围内,则必须承诺采用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（2）供应商所响应产品如被列入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则响应文件中应根据本项目谈判文件“第二章 采购需求”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颁发的《中国国家信息安全产品认证证书》加盖供应商公章的原件扫描件（或图片）。</w:t>
      </w:r>
    </w:p>
    <w:p>
      <w:pPr>
        <w:wordWrap w:val="0"/>
        <w:autoSpaceDE w:val="0"/>
        <w:autoSpaceDN w:val="0"/>
        <w:spacing w:line="360" w:lineRule="auto"/>
        <w:ind w:firstLine="420" w:firstLineChars="20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zh-CN"/>
        </w:rPr>
        <w:t>注：仅需提供序号</w:t>
      </w:r>
      <w:r>
        <w:rPr>
          <w:rFonts w:hint="eastAsia" w:cs="宋体" w:asciiTheme="minorEastAsia" w:hAnsiTheme="minorEastAsia"/>
          <w:color w:val="auto"/>
          <w:kern w:val="0"/>
          <w:szCs w:val="21"/>
        </w:rPr>
        <w:t>①～②其中之一即可。</w:t>
      </w:r>
    </w:p>
    <w:p>
      <w:pPr>
        <w:pStyle w:val="18"/>
        <w:spacing w:line="360" w:lineRule="auto"/>
        <w:ind w:firstLine="422"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eastAsiaTheme="minorEastAsia"/>
          <w:b/>
          <w:color w:val="auto"/>
          <w:sz w:val="21"/>
          <w:szCs w:val="21"/>
          <w:lang w:val="zh-CN"/>
        </w:rPr>
        <w:t>（三）</w:t>
      </w:r>
      <w:r>
        <w:rPr>
          <w:rFonts w:cs="仿宋_GB2312" w:asciiTheme="minorEastAsia" w:hAnsiTheme="minorEastAsia" w:eastAsiaTheme="minorEastAsia"/>
          <w:b/>
          <w:color w:val="auto"/>
          <w:sz w:val="21"/>
          <w:szCs w:val="21"/>
          <w:lang w:val="zh-CN"/>
        </w:rPr>
        <w:t>因落实政府采购政策进行价格调整的，以调整后的价格计算报价。</w:t>
      </w:r>
    </w:p>
    <w:p>
      <w:pPr>
        <w:pStyle w:val="18"/>
        <w:spacing w:line="360" w:lineRule="auto"/>
        <w:ind w:firstLine="420" w:firstLineChars="200"/>
        <w:contextualSpacing/>
        <w:rPr>
          <w:rFonts w:ascii="ˎ̥" w:hAnsi="ˎ̥"/>
          <w:color w:val="auto"/>
        </w:rPr>
      </w:pPr>
      <w:r>
        <w:rPr>
          <w:rFonts w:hint="eastAsia" w:cs="仿宋_GB2312" w:asciiTheme="minorEastAsia" w:hAnsiTheme="minorEastAsia" w:eastAsiaTheme="minorEastAsia"/>
          <w:color w:val="auto"/>
          <w:sz w:val="21"/>
          <w:szCs w:val="21"/>
          <w:lang w:val="zh-CN"/>
        </w:rPr>
        <w:t>（1）</w:t>
      </w:r>
      <w:r>
        <w:rPr>
          <w:rFonts w:hint="eastAsia" w:ascii="ˎ̥" w:hAnsi="ˎ̥"/>
          <w:color w:val="auto"/>
          <w:sz w:val="21"/>
          <w:szCs w:val="21"/>
        </w:rPr>
        <w:t>如果本项目非专门面向中小企业采购，对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《政府采购促进中小企业发展管理办法》(财库〔2020〕46号、《关于进一步加大政府采购支持中小企业力度的通知》（财库〔2022〕19号）</w:t>
      </w:r>
      <w:r>
        <w:rPr>
          <w:rFonts w:ascii="ˎ̥" w:hAnsi="ˎ̥"/>
          <w:color w:val="auto"/>
          <w:sz w:val="21"/>
          <w:szCs w:val="21"/>
        </w:rPr>
        <w:t>规定的小微企业报价</w:t>
      </w:r>
      <w:r>
        <w:rPr>
          <w:rFonts w:hint="eastAsia" w:ascii="ˎ̥" w:hAnsi="ˎ̥"/>
          <w:color w:val="auto"/>
          <w:sz w:val="21"/>
          <w:szCs w:val="21"/>
        </w:rPr>
        <w:t>给予20%的扣除，用扣除后的价格参与评审。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color w:val="auto"/>
          <w:sz w:val="21"/>
          <w:szCs w:val="21"/>
        </w:rPr>
        <w:t>6</w:t>
      </w:r>
      <w:r>
        <w:rPr>
          <w:rFonts w:ascii="ˎ̥" w:hAnsi="ˎ̥"/>
          <w:color w:val="auto"/>
          <w:sz w:val="21"/>
          <w:szCs w:val="21"/>
        </w:rPr>
        <w:t>%的扣除，用扣除后的价格参加评审。组成联合体或者接受分包的小微企业与联合体内其他企业、分包企业之间存在直接控股、管理关系的，不享受价格扣除优惠政策。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（2）对监狱企业价格给予</w:t>
      </w:r>
      <w:r>
        <w:rPr>
          <w:rFonts w:hint="eastAsia" w:cs="仿宋_GB2312" w:asciiTheme="minorEastAsia" w:hAnsiTheme="minorEastAsia"/>
          <w:color w:val="auto"/>
          <w:szCs w:val="21"/>
          <w:lang w:val="en-US" w:eastAsia="zh-CN"/>
        </w:rPr>
        <w:t>20</w:t>
      </w:r>
      <w:r>
        <w:rPr>
          <w:rFonts w:hint="eastAsia" w:cs="仿宋_GB2312" w:asciiTheme="minorEastAsia" w:hAnsiTheme="minorEastAsia"/>
          <w:color w:val="auto"/>
          <w:szCs w:val="21"/>
          <w:lang w:val="zh-CN"/>
        </w:rPr>
        <w:t>%的扣除，用扣除后的价格参与评审。监狱企业应当提供由省级以上监狱管理局、戒毒管理局(含新疆生产建设兵团)出具的属于监狱企业的证明文件。</w:t>
      </w:r>
    </w:p>
    <w:p>
      <w:pPr>
        <w:pStyle w:val="18"/>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 w:val="21"/>
          <w:szCs w:val="21"/>
          <w:lang w:val="en-US" w:eastAsia="zh-CN"/>
        </w:rPr>
        <w:t>20</w:t>
      </w:r>
      <w:r>
        <w:rPr>
          <w:rFonts w:hint="eastAsia" w:cs="仿宋_GB2312" w:asciiTheme="minorEastAsia" w:hAnsiTheme="minorEastAsia" w:eastAsiaTheme="minorEastAsia"/>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540"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693"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977"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540" w:type="dxa"/>
            <w:vAlign w:val="center"/>
          </w:tcPr>
          <w:p>
            <w:pPr>
              <w:jc w:val="center"/>
              <w:rPr>
                <w:rFonts w:ascii="宋体" w:hAnsi="宋体"/>
                <w:b/>
                <w:color w:val="auto"/>
                <w:szCs w:val="21"/>
                <w:lang w:val="en-GB"/>
              </w:rPr>
            </w:pPr>
            <w:r>
              <w:rPr>
                <w:rFonts w:hint="eastAsia" w:ascii="宋体" w:hAnsi="宋体"/>
                <w:color w:val="auto"/>
                <w:szCs w:val="21"/>
                <w:lang w:val="en-GB"/>
              </w:rPr>
              <w:t>非联合体投标人</w:t>
            </w:r>
          </w:p>
        </w:tc>
        <w:tc>
          <w:tcPr>
            <w:tcW w:w="2693" w:type="dxa"/>
            <w:vAlign w:val="center"/>
          </w:tcPr>
          <w:p>
            <w:pPr>
              <w:jc w:val="center"/>
              <w:rPr>
                <w:rFonts w:ascii="ˎ̥" w:hAnsi="ˎ̥" w:eastAsia="宋体"/>
                <w:color w:val="auto"/>
                <w:szCs w:val="21"/>
              </w:rPr>
            </w:pPr>
            <w:r>
              <w:rPr>
                <w:rFonts w:hint="eastAsia" w:ascii="ˎ̥" w:hAnsi="ˎ̥" w:eastAsia="宋体"/>
                <w:color w:val="auto"/>
                <w:szCs w:val="21"/>
              </w:rPr>
              <w:t>对小型和微型企业报价</w:t>
            </w:r>
          </w:p>
          <w:p>
            <w:pPr>
              <w:jc w:val="center"/>
              <w:rPr>
                <w:rFonts w:ascii="宋体" w:hAnsi="宋体"/>
                <w:b/>
                <w:color w:val="auto"/>
                <w:szCs w:val="21"/>
                <w:lang w:val="en-GB"/>
              </w:rPr>
            </w:pPr>
            <w:r>
              <w:rPr>
                <w:rFonts w:hint="eastAsia" w:ascii="ˎ̥" w:hAnsi="ˎ̥" w:eastAsia="宋体"/>
                <w:color w:val="auto"/>
                <w:szCs w:val="21"/>
              </w:rPr>
              <w:t>扣除</w:t>
            </w:r>
            <w:r>
              <w:rPr>
                <w:rFonts w:hint="eastAsia" w:ascii="ˎ̥" w:hAnsi="ˎ̥" w:eastAsia="宋体"/>
                <w:color w:val="auto"/>
                <w:szCs w:val="21"/>
                <w:lang w:val="en-US" w:eastAsia="zh-CN"/>
              </w:rPr>
              <w:t>20</w:t>
            </w:r>
            <w:r>
              <w:rPr>
                <w:rFonts w:hint="eastAsia" w:ascii="ˎ̥" w:hAnsi="ˎ̥" w:eastAsia="宋体"/>
                <w:color w:val="auto"/>
                <w:szCs w:val="21"/>
              </w:rPr>
              <w:t>%</w:t>
            </w:r>
          </w:p>
        </w:tc>
        <w:tc>
          <w:tcPr>
            <w:tcW w:w="2977" w:type="dxa"/>
            <w:vMerge w:val="restart"/>
            <w:shd w:val="clear" w:color="auto" w:fill="auto"/>
            <w:vAlign w:val="center"/>
          </w:tcPr>
          <w:p>
            <w:pPr>
              <w:jc w:val="center"/>
              <w:rPr>
                <w:color w:val="auto"/>
                <w:szCs w:val="21"/>
                <w:lang w:val="en-GB"/>
              </w:rPr>
            </w:pPr>
            <w:r>
              <w:rPr>
                <w:rFonts w:hint="eastAsia"/>
                <w:color w:val="auto"/>
                <w:szCs w:val="21"/>
                <w:lang w:val="en-GB"/>
              </w:rPr>
              <w:t>评标价格＝</w:t>
            </w:r>
            <w:r>
              <w:rPr>
                <w:rFonts w:hint="eastAsia" w:ascii="ˎ̥" w:hAnsi="ˎ̥" w:eastAsia="宋体"/>
                <w:color w:val="auto"/>
                <w:szCs w:val="21"/>
              </w:rPr>
              <w:t>小型和微型企业报价</w:t>
            </w:r>
            <w:r>
              <w:rPr>
                <w:rFonts w:hint="eastAsia" w:ascii="宋体" w:hAnsi="宋体"/>
                <w:color w:val="auto"/>
                <w:szCs w:val="21"/>
                <w:lang w:val="en-GB"/>
              </w:rPr>
              <w:t>×（1-</w:t>
            </w:r>
            <w:r>
              <w:rPr>
                <w:rFonts w:hint="eastAsia"/>
                <w:color w:val="auto"/>
                <w:szCs w:val="21"/>
                <w:lang w:val="en-US" w:eastAsia="zh-CN"/>
              </w:rPr>
              <w:t xml:space="preserve">20 </w:t>
            </w:r>
            <w:r>
              <w:rPr>
                <w:rFonts w:hint="eastAsia"/>
                <w:color w:val="auto"/>
                <w:szCs w:val="21"/>
                <w:lang w:val="en-GB"/>
              </w:rPr>
              <w:t>%</w:t>
            </w:r>
            <w:r>
              <w:rPr>
                <w:rFonts w:hint="eastAsia" w:ascii="宋体" w:hAnsi="宋体"/>
                <w:color w:val="auto"/>
                <w:szCs w:val="21"/>
                <w:lang w:val="en-GB"/>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联合体各方均为</w:t>
            </w:r>
          </w:p>
          <w:p>
            <w:pPr>
              <w:jc w:val="center"/>
              <w:rPr>
                <w:rFonts w:ascii="宋体" w:hAnsi="宋体"/>
                <w:b/>
                <w:color w:val="auto"/>
                <w:szCs w:val="21"/>
              </w:rPr>
            </w:pPr>
            <w:r>
              <w:rPr>
                <w:rFonts w:hint="eastAsia" w:ascii="宋体" w:hAnsi="宋体"/>
                <w:color w:val="auto"/>
                <w:szCs w:val="21"/>
                <w:lang w:val="en-GB"/>
              </w:rPr>
              <w:t>小型、微型企业</w:t>
            </w:r>
          </w:p>
        </w:tc>
        <w:tc>
          <w:tcPr>
            <w:tcW w:w="2693" w:type="dxa"/>
            <w:vAlign w:val="center"/>
          </w:tcPr>
          <w:p>
            <w:pPr>
              <w:jc w:val="center"/>
              <w:rPr>
                <w:rFonts w:ascii="宋体" w:hAnsi="宋体"/>
                <w:color w:val="auto"/>
                <w:szCs w:val="21"/>
              </w:rPr>
            </w:pPr>
            <w:r>
              <w:rPr>
                <w:rFonts w:hint="eastAsia" w:ascii="ˎ̥" w:hAnsi="ˎ̥" w:eastAsia="宋体"/>
                <w:color w:val="auto"/>
                <w:szCs w:val="21"/>
              </w:rPr>
              <w:t>对小型和微型企业报价</w:t>
            </w:r>
          </w:p>
          <w:p>
            <w:pPr>
              <w:jc w:val="center"/>
              <w:rPr>
                <w:rFonts w:ascii="宋体" w:hAnsi="宋体"/>
                <w:color w:val="auto"/>
                <w:szCs w:val="21"/>
              </w:rPr>
            </w:pPr>
            <w:r>
              <w:rPr>
                <w:rFonts w:hint="eastAsia" w:ascii="宋体" w:hAnsi="宋体"/>
                <w:color w:val="auto"/>
                <w:szCs w:val="21"/>
              </w:rPr>
              <w:t>扣除</w:t>
            </w:r>
            <w:r>
              <w:rPr>
                <w:rFonts w:hint="eastAsia" w:ascii="宋体" w:hAnsi="宋体"/>
                <w:color w:val="auto"/>
                <w:szCs w:val="21"/>
                <w:lang w:val="en-US" w:eastAsia="zh-CN"/>
              </w:rPr>
              <w:t>20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977"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540" w:type="dxa"/>
            <w:vAlign w:val="center"/>
          </w:tcPr>
          <w:p>
            <w:pPr>
              <w:jc w:val="center"/>
              <w:rPr>
                <w:rFonts w:ascii="宋体" w:hAnsi="宋体"/>
                <w:b/>
                <w:color w:val="auto"/>
                <w:szCs w:val="21"/>
                <w:lang w:val="en-GB"/>
              </w:rPr>
            </w:pPr>
            <w:r>
              <w:rPr>
                <w:rFonts w:ascii="ˎ̥" w:hAnsi="ˎ̥" w:eastAsia="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color w:val="auto"/>
                <w:szCs w:val="21"/>
                <w:lang w:val="en-GB"/>
              </w:rPr>
            </w:pPr>
            <w:r>
              <w:rPr>
                <w:rFonts w:ascii="ˎ̥" w:hAnsi="ˎ̥" w:eastAsia="宋体"/>
                <w:color w:val="auto"/>
                <w:szCs w:val="21"/>
              </w:rPr>
              <w:t>对联合体或者大中型企业的报价</w:t>
            </w:r>
            <w:r>
              <w:rPr>
                <w:rFonts w:hint="eastAsia" w:ascii="宋体" w:hAnsi="宋体"/>
                <w:color w:val="auto"/>
                <w:szCs w:val="21"/>
                <w:lang w:val="en-GB"/>
              </w:rPr>
              <w:t>扣除</w:t>
            </w:r>
            <w:r>
              <w:rPr>
                <w:rFonts w:hint="eastAsia" w:ascii="宋体" w:hAnsi="宋体"/>
                <w:color w:val="auto"/>
                <w:szCs w:val="21"/>
                <w:lang w:val="en-US" w:eastAsia="zh-CN"/>
              </w:rPr>
              <w:t xml:space="preserve">6 </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评审价格＝响应报价×</w:t>
            </w:r>
            <w:r>
              <w:rPr>
                <w:rFonts w:hint="eastAsia" w:ascii="宋体" w:hAnsi="宋体"/>
                <w:color w:val="auto"/>
                <w:szCs w:val="21"/>
              </w:rPr>
              <w:t>(1-</w:t>
            </w:r>
            <w:r>
              <w:rPr>
                <w:rFonts w:hint="eastAsia" w:ascii="宋体" w:hAnsi="宋体"/>
                <w:color w:val="auto"/>
                <w:szCs w:val="21"/>
                <w:u w:val="single"/>
                <w:lang w:val="en-US" w:eastAsia="zh-CN"/>
              </w:rPr>
              <w:t xml:space="preserve"> 6 </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hint="eastAsia" w:ascii="宋体" w:hAnsi="宋体"/>
                <w:color w:val="auto"/>
                <w:szCs w:val="21"/>
                <w:u w:val="single"/>
                <w:lang w:val="en-US" w:eastAsia="zh-CN"/>
              </w:rPr>
              <w:t xml:space="preserve"> 20 </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lang w:val="en-GB"/>
              </w:rPr>
            </w:pPr>
            <w:r>
              <w:rPr>
                <w:rFonts w:hint="eastAsia"/>
                <w:color w:val="auto"/>
                <w:szCs w:val="21"/>
                <w:lang w:val="en-GB"/>
              </w:rPr>
              <w:t>评审价格＝响应报价—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US" w:eastAsia="zh-CN"/>
              </w:rPr>
              <w:t xml:space="preserve"> 20 </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hint="eastAsia" w:ascii="宋体" w:hAnsi="宋体"/>
                <w:color w:val="auto"/>
                <w:szCs w:val="21"/>
                <w:u w:val="single"/>
                <w:lang w:val="en-US" w:eastAsia="zh-CN"/>
              </w:rPr>
              <w:t xml:space="preserve"> 20 </w:t>
            </w:r>
            <w:r>
              <w:rPr>
                <w:rFonts w:hint="eastAsia" w:ascii="宋体" w:hAnsi="宋体"/>
                <w:color w:val="auto"/>
                <w:szCs w:val="21"/>
              </w:rPr>
              <w:t>%</w:t>
            </w:r>
          </w:p>
        </w:tc>
        <w:tc>
          <w:tcPr>
            <w:tcW w:w="2977" w:type="dxa"/>
            <w:shd w:val="clear" w:color="auto" w:fill="auto"/>
            <w:vAlign w:val="center"/>
          </w:tcPr>
          <w:p>
            <w:pPr>
              <w:jc w:val="center"/>
              <w:rPr>
                <w:color w:val="auto"/>
                <w:szCs w:val="21"/>
                <w:lang w:val="en-GB"/>
              </w:rPr>
            </w:pPr>
            <w:r>
              <w:rPr>
                <w:rFonts w:hint="eastAsia"/>
                <w:color w:val="auto"/>
                <w:szCs w:val="21"/>
                <w:lang w:val="en-GB"/>
              </w:rPr>
              <w:t>评审价格＝响应报价—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US" w:eastAsia="zh-CN"/>
              </w:rPr>
              <w:t xml:space="preserve">20 </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color w:val="auto"/>
                <w:lang w:val="zh-CN"/>
              </w:rPr>
            </w:pPr>
            <w:r>
              <w:rPr>
                <w:rFonts w:hint="eastAsia"/>
                <w:color w:val="auto"/>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color w:val="auto"/>
                <w:lang w:val="en-US"/>
              </w:rPr>
            </w:pPr>
            <w:r>
              <w:rPr>
                <w:rFonts w:hint="eastAsia"/>
                <w:color w:val="auto"/>
                <w:lang w:val="zh-CN"/>
              </w:rPr>
              <w:t>2、</w:t>
            </w:r>
            <w:r>
              <w:rPr>
                <w:color w:val="auto"/>
                <w:lang w:val="zh-CN"/>
              </w:rPr>
              <w:t>经</w:t>
            </w:r>
            <w:r>
              <w:rPr>
                <w:rFonts w:hint="eastAsia"/>
                <w:color w:val="auto"/>
                <w:lang w:val="zh-CN"/>
              </w:rPr>
              <w:t>谈判小组审查、评价</w:t>
            </w:r>
            <w:r>
              <w:rPr>
                <w:color w:val="auto"/>
                <w:lang w:val="zh-CN"/>
              </w:rPr>
              <w:t>，</w:t>
            </w:r>
            <w:r>
              <w:rPr>
                <w:rFonts w:hint="eastAsia"/>
                <w:color w:val="auto"/>
                <w:lang w:val="zh-CN"/>
              </w:rPr>
              <w:t>响应文件符合谈判文件实质性</w:t>
            </w:r>
            <w:r>
              <w:rPr>
                <w:color w:val="auto"/>
                <w:lang w:val="zh-CN"/>
              </w:rPr>
              <w:t>要求且</w:t>
            </w:r>
            <w:r>
              <w:rPr>
                <w:rFonts w:hint="eastAsia"/>
                <w:color w:val="auto"/>
                <w:lang w:val="zh-CN"/>
              </w:rPr>
              <w:t>进行了政策性价格扣除后，</w:t>
            </w:r>
            <w:r>
              <w:rPr>
                <w:color w:val="auto"/>
                <w:lang w:val="zh-CN"/>
              </w:rPr>
              <w:t>以</w:t>
            </w:r>
            <w:r>
              <w:rPr>
                <w:rFonts w:hint="eastAsia"/>
                <w:color w:val="auto"/>
                <w:lang w:val="zh-CN"/>
              </w:rPr>
              <w:t>评审价格由低到高的顺序提出</w:t>
            </w:r>
            <w:r>
              <w:rPr>
                <w:color w:val="auto"/>
                <w:lang w:val="zh-CN"/>
              </w:rPr>
              <w:t>3</w:t>
            </w:r>
            <w:r>
              <w:rPr>
                <w:rFonts w:hint="eastAsia"/>
                <w:color w:val="auto"/>
                <w:lang w:val="zh-CN"/>
              </w:rPr>
              <w:t>名成交候选人。</w:t>
            </w:r>
          </w:p>
        </w:tc>
      </w:tr>
    </w:tbl>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auto"/>
          <w:szCs w:val="21"/>
          <w:lang w:val="en-GB"/>
        </w:rPr>
      </w:pPr>
      <w:r>
        <w:rPr>
          <w:rFonts w:hint="eastAsia" w:cs="仿宋_GB2312" w:asciiTheme="minorEastAsia" w:hAnsiTheme="minorEastAsia"/>
          <w:color w:val="auto"/>
          <w:szCs w:val="21"/>
          <w:lang w:val="zh-CN"/>
        </w:rPr>
        <w:t>d、残疾人福利性单位属于小型、微型企业的，不重复享受政策。</w:t>
      </w:r>
    </w:p>
    <w:p>
      <w:pPr>
        <w:spacing w:line="360" w:lineRule="auto"/>
        <w:ind w:firstLine="420" w:firstLineChars="200"/>
        <w:rPr>
          <w:rFonts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e</w:t>
      </w:r>
      <w:r>
        <w:rPr>
          <w:rFonts w:hint="eastAsia" w:cs="仿宋_GB2312" w:asciiTheme="minorEastAsia" w:hAnsiTheme="minorEastAsia"/>
          <w:color w:val="auto"/>
          <w:szCs w:val="21"/>
          <w:lang w:val="zh-CN"/>
        </w:rPr>
        <w:t>、小型和微型企业不包括民办非企业单位。</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四、评审方法</w:t>
      </w:r>
    </w:p>
    <w:p>
      <w:pPr>
        <w:pStyle w:val="18"/>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lang w:val="zh-CN"/>
        </w:rPr>
        <w:t>3</w:t>
      </w:r>
      <w:r>
        <w:rPr>
          <w:rFonts w:hint="eastAsia" w:cs="仿宋_GB2312" w:asciiTheme="minorEastAsia" w:hAnsiTheme="minorEastAsia" w:eastAsiaTheme="minorEastAsia"/>
          <w:color w:val="auto"/>
          <w:sz w:val="21"/>
          <w:szCs w:val="21"/>
          <w:lang w:val="zh-CN"/>
        </w:rPr>
        <w:t>名成交候选人。根据规定</w:t>
      </w:r>
      <w:r>
        <w:rPr>
          <w:rFonts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lang w:val="zh-CN"/>
        </w:rPr>
        <w:t>采购人按照成交候选人排名顺序确定成交供应商。</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五、谈判小组编写评审报告。</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hint="eastAsia" w:cs="仿宋_GB2312" w:asciiTheme="minorEastAsia" w:hAnsiTheme="minorEastAsia" w:eastAsiaTheme="minorEastAsia"/>
          <w:color w:val="auto"/>
          <w:kern w:val="2"/>
          <w:sz w:val="21"/>
          <w:szCs w:val="21"/>
          <w:lang w:val="zh-CN" w:eastAsia="zh-CN" w:bidi="ar-SA"/>
        </w:rPr>
      </w:pPr>
      <w:r>
        <w:rPr>
          <w:rFonts w:hint="eastAsia" w:cs="仿宋_GB2312" w:asciiTheme="minorEastAsia" w:hAnsiTheme="minorEastAsia" w:eastAsiaTheme="minorEastAsia"/>
          <w:color w:val="auto"/>
          <w:kern w:val="2"/>
          <w:sz w:val="21"/>
          <w:szCs w:val="21"/>
          <w:lang w:val="zh-CN" w:eastAsia="zh-CN" w:bidi="ar-SA"/>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8"/>
        <w:spacing w:line="360" w:lineRule="auto"/>
        <w:contextualSpacing/>
        <w:rPr>
          <w:rFonts w:cs="仿宋_GB2312" w:asciiTheme="minorEastAsia" w:hAnsiTheme="minorEastAsia" w:eastAsiaTheme="minorEastAsia"/>
          <w:b/>
          <w:color w:val="auto"/>
          <w:sz w:val="21"/>
          <w:szCs w:val="21"/>
          <w:lang w:val="zh-CN"/>
        </w:rPr>
      </w:pPr>
    </w:p>
    <w:p>
      <w:pPr>
        <w:pStyle w:val="18"/>
        <w:spacing w:line="360" w:lineRule="auto"/>
        <w:contextualSpacing/>
        <w:rPr>
          <w:rFonts w:cs="仿宋_GB2312" w:asciiTheme="minorEastAsia" w:hAnsiTheme="minorEastAsia" w:eastAsiaTheme="minorEastAsia"/>
          <w:b/>
          <w:color w:val="auto"/>
          <w:sz w:val="21"/>
          <w:szCs w:val="21"/>
          <w:lang w:val="zh-CN"/>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pStyle w:val="2"/>
        <w:rPr>
          <w:rFonts w:ascii="宋体" w:hAnsi="宋体" w:cs="Courier New"/>
          <w:color w:val="auto"/>
          <w:szCs w:val="21"/>
        </w:rPr>
      </w:pPr>
    </w:p>
    <w:p>
      <w:pPr>
        <w:pStyle w:val="5"/>
        <w:rPr>
          <w:rFonts w:ascii="宋体" w:hAnsi="宋体" w:cs="Courier New"/>
          <w:color w:val="auto"/>
          <w:szCs w:val="21"/>
        </w:rPr>
      </w:pPr>
    </w:p>
    <w:p>
      <w:pPr>
        <w:rPr>
          <w:rFonts w:ascii="宋体" w:hAnsi="宋体" w:cs="Courier New"/>
          <w:color w:val="auto"/>
          <w:szCs w:val="21"/>
        </w:rPr>
      </w:pPr>
    </w:p>
    <w:p>
      <w:pPr>
        <w:pStyle w:val="2"/>
        <w:rPr>
          <w:rFonts w:ascii="宋体" w:hAnsi="宋体" w:cs="Courier New"/>
          <w:color w:val="auto"/>
          <w:szCs w:val="21"/>
        </w:rPr>
      </w:pPr>
    </w:p>
    <w:p>
      <w:pPr>
        <w:pStyle w:val="5"/>
        <w:rPr>
          <w:rFonts w:ascii="宋体" w:hAnsi="宋体" w:cs="Courier New"/>
          <w:color w:val="auto"/>
          <w:szCs w:val="21"/>
        </w:rPr>
      </w:pPr>
    </w:p>
    <w:p>
      <w:pPr>
        <w:rPr>
          <w:rFonts w:ascii="宋体" w:hAnsi="宋体" w:cs="Courier New"/>
          <w:color w:val="auto"/>
          <w:szCs w:val="21"/>
        </w:rPr>
      </w:pPr>
    </w:p>
    <w:p>
      <w:pPr>
        <w:pStyle w:val="2"/>
        <w:rPr>
          <w:color w:val="auto"/>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拟签订的合同文本</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微软雅黑" w:hAnsi="微软雅黑" w:eastAsia="微软雅黑"/>
          <w:color w:val="auto"/>
          <w:sz w:val="27"/>
          <w:szCs w:val="27"/>
        </w:rPr>
      </w:pPr>
      <w:r>
        <w:rPr>
          <w:rFonts w:hint="eastAsia" w:ascii="宋体" w:hAnsi="宋体" w:cs="微软雅黑"/>
          <w:b/>
          <w:bCs/>
          <w:color w:val="auto"/>
          <w:szCs w:val="21"/>
        </w:rPr>
        <w:t>最终签定合同的主要条款不能与招标文件有冲突）</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1.2招标文件、乙方的投标文件；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5、合同标的应符合招标文件、乙方投标文件的规定或约定，具体如下：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6.1验收应按照招标文件、乙方投标文件的规定或约定进行，具体如下：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6.2本项目是否邀请其他投标人参与验收：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7、合同款项的支付应按照招标文件的规定进行，具体如下：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6"/>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 xml:space="preserve">     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ind w:firstLine="723"/>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color w:val="auto"/>
          <w:sz w:val="44"/>
          <w:szCs w:val="44"/>
          <w:lang w:val="zh-CN"/>
        </w:rPr>
      </w:pPr>
      <w:r>
        <w:rPr>
          <w:rFonts w:hint="eastAsia" w:cs="宋体" w:asciiTheme="majorEastAsia" w:hAnsiTheme="majorEastAsia" w:eastAsiaTheme="majorEastAsia"/>
          <w:b/>
          <w:color w:val="auto"/>
          <w:kern w:val="0"/>
          <w:sz w:val="32"/>
          <w:szCs w:val="32"/>
        </w:rPr>
        <w:t>第八章 响应文件有关格式</w:t>
      </w:r>
    </w:p>
    <w:p>
      <w:pPr>
        <w:pStyle w:val="6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058"/>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2"/>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10</w:t>
            </w:r>
          </w:p>
        </w:tc>
        <w:tc>
          <w:tcPr>
            <w:tcW w:w="3751" w:type="dxa"/>
            <w:gridSpan w:val="2"/>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rPr>
              <w:t>11</w:t>
            </w:r>
          </w:p>
        </w:tc>
        <w:tc>
          <w:tcPr>
            <w:tcW w:w="3751" w:type="dxa"/>
            <w:gridSpan w:val="2"/>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lang w:val="zh-CN"/>
              </w:rPr>
              <w:t>1</w:t>
            </w:r>
            <w:r>
              <w:rPr>
                <w:rFonts w:hint="eastAsia" w:asciiTheme="majorEastAsia" w:hAnsiTheme="majorEastAsia" w:eastAsiaTheme="majorEastAsia" w:cstheme="majorEastAsia"/>
                <w:bCs/>
                <w:color w:val="auto"/>
                <w:szCs w:val="21"/>
              </w:rPr>
              <w:t>2</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1058" w:type="dxa"/>
            <w:tcBorders>
              <w:right w:val="single" w:color="auto" w:sz="4"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tcBorders>
              <w:left w:val="single" w:color="auto" w:sz="4"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8"/>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1058" w:type="dxa"/>
            <w:vMerge w:val="restart"/>
            <w:tcBorders>
              <w:right w:val="single" w:color="auto" w:sz="4" w:space="0"/>
            </w:tcBorders>
            <w:vAlign w:val="center"/>
          </w:tcPr>
          <w:p>
            <w:pPr>
              <w:pStyle w:val="18"/>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8"/>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vMerge w:val="continue"/>
            <w:tcBorders>
              <w:righ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8"/>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rPr>
          <w:rFonts w:asciiTheme="majorEastAsia" w:hAnsiTheme="majorEastAsia" w:eastAsiaTheme="majorEastAsia"/>
          <w:b/>
          <w:snapToGrid w:val="0"/>
          <w:color w:val="auto"/>
          <w:kern w:val="0"/>
          <w:sz w:val="28"/>
          <w:szCs w:val="28"/>
        </w:rPr>
      </w:pPr>
    </w:p>
    <w:p>
      <w:pPr>
        <w:pStyle w:val="18"/>
        <w:numPr>
          <w:ilvl w:val="0"/>
          <w:numId w:val="11"/>
        </w:numPr>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报价一览表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pStyle w:val="11"/>
        <w:numPr>
          <w:ilvl w:val="3"/>
          <w:numId w:val="0"/>
        </w:numPr>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8"/>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asciiTheme="minorEastAsia" w:hAnsiTheme="minorEastAsia"/>
          <w:b/>
          <w:snapToGrid w:val="0"/>
          <w:color w:val="auto"/>
          <w:kern w:val="0"/>
          <w:szCs w:val="21"/>
          <w:u w:val="single"/>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rPr>
        <w:t xml:space="preserve">              （采购人名称）</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（项目名称、项目编号）采购的竞争性谈判公告及谈判邀请，_______（姓名和职务）被正式授权并代表供应商</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（供应商名称、地址）提交。</w:t>
      </w:r>
    </w:p>
    <w:p>
      <w:pPr>
        <w:pStyle w:val="18"/>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w:t>
      </w:r>
      <w:r>
        <w:rPr>
          <w:rFonts w:hint="eastAsia" w:asciiTheme="minorEastAsia" w:hAnsiTheme="minorEastAsia" w:eastAsiaTheme="minorEastAsia"/>
          <w:snapToGrid w:val="0"/>
          <w:color w:val="auto"/>
          <w:kern w:val="0"/>
          <w:sz w:val="21"/>
          <w:szCs w:val="21"/>
        </w:rPr>
        <w:t>（项目名称、项目编号）谈判文件的全部内容。</w:t>
      </w:r>
    </w:p>
    <w:p>
      <w:pPr>
        <w:pStyle w:val="18"/>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6"/>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8"/>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8"/>
        <w:adjustRightInd w:val="0"/>
        <w:snapToGrid w:val="0"/>
        <w:spacing w:line="360" w:lineRule="auto"/>
        <w:rPr>
          <w:rFonts w:asciiTheme="minorEastAsia" w:hAnsiTheme="minorEastAsia" w:eastAsiaTheme="minorEastAsia"/>
          <w:color w:val="auto"/>
          <w:sz w:val="21"/>
          <w:szCs w:val="21"/>
        </w:rPr>
      </w:pPr>
    </w:p>
    <w:p>
      <w:pPr>
        <w:pStyle w:val="18"/>
        <w:adjustRightInd w:val="0"/>
        <w:snapToGrid w:val="0"/>
        <w:spacing w:line="360" w:lineRule="auto"/>
        <w:rPr>
          <w:rFonts w:asciiTheme="minorEastAsia" w:hAnsiTheme="minorEastAsia" w:eastAsiaTheme="minorEastAsia"/>
          <w:color w:val="auto"/>
          <w:sz w:val="21"/>
          <w:szCs w:val="21"/>
        </w:rPr>
      </w:pP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pStyle w:val="11"/>
        <w:numPr>
          <w:ilvl w:val="3"/>
          <w:numId w:val="0"/>
        </w:numPr>
        <w:rPr>
          <w:color w:val="auto"/>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58"/>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w:t>
      </w:r>
      <w:r>
        <w:rPr>
          <w:rFonts w:hint="eastAsia" w:asciiTheme="minorEastAsia" w:hAnsiTheme="minorEastAsia"/>
          <w:color w:val="auto"/>
          <w:sz w:val="21"/>
          <w:szCs w:val="21"/>
          <w:lang w:eastAsia="zh-CN"/>
        </w:rPr>
        <w:t>签字：</w:t>
      </w:r>
      <w:r>
        <w:rPr>
          <w:rFonts w:hint="eastAsia" w:asciiTheme="minorEastAsia" w:hAnsiTheme="minorEastAsia"/>
          <w:color w:val="auto"/>
          <w:sz w:val="21"/>
          <w:szCs w:val="21"/>
          <w:lang w:val="en-US" w:eastAsia="zh-CN"/>
        </w:rPr>
        <w:t xml:space="preserve">          </w:t>
      </w:r>
      <w:r>
        <w:rPr>
          <w:rFonts w:hint="eastAsia" w:asciiTheme="minorEastAsia" w:hAnsiTheme="minorEastAsia"/>
          <w:color w:val="auto"/>
          <w:sz w:val="21"/>
          <w:szCs w:val="21"/>
        </w:rPr>
        <w:t>联系电话（手机）：</w:t>
      </w:r>
    </w:p>
    <w:p>
      <w:pPr>
        <w:pStyle w:val="58"/>
        <w:spacing w:line="480" w:lineRule="auto"/>
        <w:ind w:firstLine="472" w:firstLineChars="225"/>
        <w:jc w:val="left"/>
        <w:rPr>
          <w:rFonts w:asciiTheme="minorEastAsia" w:hAnsiTheme="minorEastAsia"/>
          <w:color w:val="auto"/>
          <w:sz w:val="21"/>
          <w:szCs w:val="21"/>
        </w:rPr>
      </w:pPr>
    </w:p>
    <w:p>
      <w:pPr>
        <w:pStyle w:val="58"/>
        <w:spacing w:line="480" w:lineRule="auto"/>
        <w:ind w:firstLine="472" w:firstLineChars="225"/>
        <w:jc w:val="left"/>
        <w:rPr>
          <w:rFonts w:asciiTheme="minorEastAsia" w:hAnsiTheme="minorEastAsia"/>
          <w:color w:val="auto"/>
          <w:sz w:val="21"/>
          <w:szCs w:val="21"/>
        </w:rPr>
      </w:pPr>
    </w:p>
    <w:p>
      <w:pPr>
        <w:pStyle w:val="58"/>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8"/>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61"/>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60"/>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w:t>
      </w:r>
      <w:r>
        <w:rPr>
          <w:rFonts w:hint="eastAsia" w:cs="Arial" w:asciiTheme="minorEastAsia" w:hAnsiTheme="minorEastAsia"/>
          <w:color w:val="auto"/>
          <w:szCs w:val="21"/>
          <w:lang w:val="en-US" w:eastAsia="zh-CN"/>
        </w:rPr>
        <w:t>和</w:t>
      </w:r>
      <w:r>
        <w:rPr>
          <w:rFonts w:hint="eastAsia" w:cs="Arial" w:asciiTheme="minorEastAsia" w:hAnsiTheme="minorEastAsia"/>
          <w:color w:val="auto"/>
          <w:szCs w:val="21"/>
        </w:rPr>
        <w:t>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w:t>
      </w:r>
      <w:r>
        <w:rPr>
          <w:rFonts w:hint="eastAsia" w:asciiTheme="minorEastAsia" w:hAnsiTheme="minorEastAsia"/>
          <w:color w:val="auto"/>
          <w:szCs w:val="21"/>
          <w:lang w:eastAsia="zh-CN"/>
        </w:rPr>
        <w:t>和</w:t>
      </w:r>
      <w:r>
        <w:rPr>
          <w:rFonts w:hint="eastAsia" w:asciiTheme="minorEastAsia" w:hAnsiTheme="minorEastAsia"/>
          <w:color w:val="auto"/>
          <w:szCs w:val="21"/>
        </w:rPr>
        <w:t>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7"/>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2"/>
        <w:gridCol w:w="7"/>
        <w:gridCol w:w="448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98" w:hRule="atLeast"/>
        </w:trPr>
        <w:tc>
          <w:tcPr>
            <w:tcW w:w="449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9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w:t>
            </w:r>
            <w:r>
              <w:rPr>
                <w:rFonts w:hint="eastAsia" w:asciiTheme="minorEastAsia" w:hAnsiTheme="minorEastAsia"/>
                <w:color w:val="auto"/>
                <w:szCs w:val="21"/>
                <w:lang w:eastAsia="zh-CN"/>
              </w:rPr>
              <w:t>反</w:t>
            </w:r>
            <w:r>
              <w:rPr>
                <w:rFonts w:hint="eastAsia" w:asciiTheme="minorEastAsia" w:hAnsiTheme="minorEastAsia"/>
                <w:color w:val="auto"/>
                <w:szCs w:val="21"/>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449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c>
          <w:tcPr>
            <w:tcW w:w="450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w:t>
            </w:r>
            <w:r>
              <w:rPr>
                <w:rFonts w:hint="eastAsia" w:asciiTheme="minorEastAsia" w:hAnsiTheme="minorEastAsia"/>
                <w:color w:val="auto"/>
                <w:szCs w:val="21"/>
                <w:lang w:eastAsia="zh-CN"/>
              </w:rPr>
              <w:t>反</w:t>
            </w:r>
            <w:r>
              <w:rPr>
                <w:rFonts w:hint="eastAsia" w:asciiTheme="minorEastAsia" w:hAnsiTheme="minorEastAsia"/>
                <w:color w:val="auto"/>
                <w:szCs w:val="21"/>
              </w:rPr>
              <w:t>面）</w:t>
            </w:r>
          </w:p>
        </w:tc>
      </w:tr>
    </w:tbl>
    <w:p>
      <w:pPr>
        <w:spacing w:beforeLines="50" w:afterLines="50" w:line="360" w:lineRule="auto"/>
        <w:ind w:right="420"/>
        <w:rPr>
          <w:rFonts w:cs="宋体" w:asciiTheme="minorEastAsia" w:hAnsiTheme="minorEastAsia"/>
          <w:color w:val="auto"/>
          <w:sz w:val="24"/>
          <w:szCs w:val="24"/>
          <w:lang w:val="zh-CN"/>
        </w:rPr>
      </w:pPr>
    </w:p>
    <w:p>
      <w:pPr>
        <w:pStyle w:val="5"/>
        <w:rPr>
          <w:color w:val="auto"/>
          <w:lang w:val="zh-CN"/>
        </w:rPr>
      </w:pPr>
    </w:p>
    <w:p>
      <w:pPr>
        <w:spacing w:line="360" w:lineRule="auto"/>
        <w:jc w:val="center"/>
        <w:rPr>
          <w:rFonts w:ascii="宋体" w:hAnsi="宋体"/>
          <w:b/>
          <w:bCs/>
          <w:color w:val="auto"/>
          <w:sz w:val="24"/>
          <w:szCs w:val="24"/>
        </w:rPr>
      </w:pPr>
      <w:r>
        <w:rPr>
          <w:rFonts w:hint="eastAsia" w:ascii="宋体" w:hAnsi="宋体"/>
          <w:b/>
          <w:bCs/>
          <w:color w:val="auto"/>
          <w:sz w:val="24"/>
          <w:szCs w:val="24"/>
        </w:rPr>
        <w:t>3.4禹州市政府采购供应商信用承诺函</w:t>
      </w:r>
    </w:p>
    <w:p>
      <w:pPr>
        <w:rPr>
          <w:rFonts w:cs="宋体" w:asciiTheme="minorEastAsia" w:hAnsiTheme="minorEastAsia"/>
          <w:color w:val="auto"/>
          <w:szCs w:val="21"/>
          <w:lang w:val="zh-CN"/>
        </w:rPr>
      </w:pPr>
    </w:p>
    <w:p>
      <w:pPr>
        <w:spacing w:line="600" w:lineRule="exact"/>
        <w:rPr>
          <w:rFonts w:cs="宋体" w:asciiTheme="minorEastAsia" w:hAnsiTheme="minorEastAsia"/>
          <w:color w:val="auto"/>
          <w:szCs w:val="21"/>
          <w:lang w:val="zh-CN"/>
        </w:rPr>
      </w:pPr>
      <w:r>
        <w:rPr>
          <w:rFonts w:cs="宋体" w:asciiTheme="minorEastAsia" w:hAnsiTheme="minorEastAsia"/>
          <w:color w:val="auto"/>
          <w:szCs w:val="21"/>
          <w:lang w:val="zh-CN"/>
        </w:rPr>
        <w:t>致（采购人或采购代理机构）：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单位名称（自然人姓名）:</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统一社会信用代码（身份证号码）:</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联系地址和电话：</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（一）具有独立承担民事责任的能力；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（二）具有良好的商业信誉和健全的财务会计制度；</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（三）具有履行合同所必需的设备和专业技术能力；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（四）有依法缴纳税收和社会保障资金的良好记录；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（五）参加政府采购活动前三年内，在经营活动中没有重大违法记录；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（七）未被相关监管部门作出行政处罚且尚在处罚有效期的；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（八）未曾作出虚假采购承诺；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（九）符合法律、行政法规规定的其他条件。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供应商（电子章）: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法定代表人、负责人、本人、或授权代表（签字或电子印章）: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日期：年月日</w:t>
      </w:r>
    </w:p>
    <w:p>
      <w:pPr>
        <w:rPr>
          <w:rFonts w:cs="宋体" w:asciiTheme="minorEastAsia" w:hAnsiTheme="minorEastAsia"/>
          <w:color w:val="auto"/>
          <w:szCs w:val="21"/>
          <w:lang w:val="zh-CN"/>
        </w:rPr>
      </w:pPr>
    </w:p>
    <w:p>
      <w:pPr>
        <w:rPr>
          <w:rFonts w:ascii="仿宋" w:hAnsi="仿宋" w:eastAsia="仿宋" w:cs="华文仿宋"/>
          <w:color w:val="auto"/>
          <w:szCs w:val="21"/>
        </w:rPr>
      </w:pPr>
    </w:p>
    <w:p>
      <w:pPr>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rPr>
          <w:rFonts w:ascii="仿宋" w:hAnsi="仿宋" w:eastAsia="仿宋"/>
          <w:color w:val="auto"/>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rPr>
          <w:rFonts w:ascii="仿宋" w:hAnsi="仿宋" w:eastAsia="仿宋"/>
          <w:color w:val="auto"/>
          <w:sz w:val="32"/>
          <w:szCs w:val="32"/>
        </w:rPr>
      </w:pPr>
    </w:p>
    <w:p>
      <w:pPr>
        <w:spacing w:beforeLines="50" w:afterLines="50" w:line="360" w:lineRule="auto"/>
        <w:ind w:right="420"/>
        <w:rPr>
          <w:rFonts w:cs="宋体" w:asciiTheme="minorEastAsia" w:hAnsiTheme="minorEastAsia"/>
          <w:color w:val="auto"/>
          <w:sz w:val="24"/>
          <w:szCs w:val="24"/>
          <w:lang w:val="zh-CN"/>
        </w:rPr>
      </w:pPr>
    </w:p>
    <w:p>
      <w:pPr>
        <w:pStyle w:val="11"/>
        <w:numPr>
          <w:ilvl w:val="3"/>
          <w:numId w:val="0"/>
        </w:numPr>
        <w:rPr>
          <w:color w:val="auto"/>
          <w:lang w:val="zh-CN"/>
        </w:rPr>
      </w:pPr>
    </w:p>
    <w:p>
      <w:pPr>
        <w:rPr>
          <w:color w:val="auto"/>
          <w:lang w:val="zh-CN"/>
        </w:rPr>
      </w:pPr>
    </w:p>
    <w:p>
      <w:pPr>
        <w:pStyle w:val="11"/>
        <w:numPr>
          <w:ilvl w:val="3"/>
          <w:numId w:val="0"/>
        </w:numPr>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Theme="minorEastAsia" w:hAnsiTheme="minorEastAsia"/>
          <w:snapToGrid w:val="0"/>
          <w:color w:val="auto"/>
          <w:kern w:val="0"/>
          <w:szCs w:val="21"/>
          <w:u w:val="single"/>
        </w:rPr>
        <w:t>（采购人名称）</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____年____月____日</w:t>
      </w:r>
      <w:r>
        <w:rPr>
          <w:rFonts w:hint="eastAsia" w:ascii="宋体" w:hAnsi="宋体" w:eastAsia="宋体" w:cs="宋体"/>
          <w:color w:val="auto"/>
          <w:szCs w:val="21"/>
          <w:u w:val="single"/>
          <w:lang w:val="en-US" w:eastAsia="zh-CN"/>
        </w:rPr>
        <w:t xml:space="preserve">     </w:t>
      </w:r>
      <w:r>
        <w:rPr>
          <w:rFonts w:hint="eastAsia" w:cs="宋体" w:asciiTheme="minorEastAsia" w:hAnsiTheme="minorEastAsia"/>
          <w:color w:val="auto"/>
          <w:szCs w:val="21"/>
          <w:lang w:val="zh-CN"/>
        </w:rPr>
        <w:t>（项目编号、项目名称）的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pStyle w:val="3"/>
        <w:rPr>
          <w:color w:val="auto"/>
          <w:lang w:val="zh-CN"/>
        </w:rPr>
      </w:pPr>
    </w:p>
    <w:p>
      <w:pPr>
        <w:pStyle w:val="34"/>
        <w:rPr>
          <w:color w:val="auto"/>
          <w:lang w:val="zh-CN"/>
        </w:rPr>
      </w:pPr>
    </w:p>
    <w:p>
      <w:pPr>
        <w:pStyle w:val="35"/>
        <w:rPr>
          <w:color w:val="auto"/>
          <w:lang w:val="zh-CN"/>
        </w:rPr>
      </w:pPr>
    </w:p>
    <w:p>
      <w:pPr>
        <w:rPr>
          <w:color w:val="auto"/>
          <w:lang w:val="zh-CN"/>
        </w:rPr>
      </w:pPr>
    </w:p>
    <w:p>
      <w:pPr>
        <w:pStyle w:val="5"/>
        <w:rPr>
          <w:color w:val="auto"/>
          <w:lang w:val="zh-CN"/>
        </w:rPr>
      </w:pPr>
    </w:p>
    <w:p>
      <w:pPr>
        <w:rPr>
          <w:color w:val="auto"/>
          <w:lang w:val="zh-CN"/>
        </w:rPr>
      </w:pPr>
    </w:p>
    <w:p>
      <w:pPr>
        <w:pStyle w:val="5"/>
        <w:rPr>
          <w:color w:val="auto"/>
          <w:lang w:val="zh-CN"/>
        </w:rPr>
      </w:pPr>
    </w:p>
    <w:p>
      <w:pPr>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lang w:val="en-US" w:eastAsia="zh-CN"/>
        </w:rPr>
        <w:t xml:space="preserve">3.6 </w:t>
      </w:r>
      <w:r>
        <w:rPr>
          <w:rFonts w:ascii="宋体" w:hAnsi="宋体"/>
          <w:b/>
          <w:bCs/>
          <w:color w:val="auto"/>
          <w:sz w:val="24"/>
          <w:szCs w:val="24"/>
        </w:rPr>
        <w:t>中小企业声明函</w:t>
      </w:r>
    </w:p>
    <w:p>
      <w:pPr>
        <w:spacing w:line="360" w:lineRule="auto"/>
        <w:jc w:val="center"/>
        <w:rPr>
          <w:rFonts w:ascii="宋体" w:hAnsi="宋体"/>
          <w:b/>
          <w:bCs/>
          <w:color w:val="auto"/>
          <w:szCs w:val="21"/>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480" w:lineRule="auto"/>
        <w:jc w:val="left"/>
        <w:rPr>
          <w:color w:val="auto"/>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color w:val="auto"/>
        </w:rPr>
        <w:t>：</w:t>
      </w:r>
    </w:p>
    <w:p>
      <w:pPr>
        <w:spacing w:line="480" w:lineRule="auto"/>
        <w:jc w:val="left"/>
        <w:rPr>
          <w:rFonts w:cs="Arial" w:asciiTheme="minorEastAsia" w:hAnsiTheme="minorEastAsia"/>
          <w:color w:val="auto"/>
          <w:szCs w:val="21"/>
        </w:rPr>
      </w:pPr>
      <w:r>
        <w:rPr>
          <w:color w:val="auto"/>
        </w:rPr>
        <w:t>日期：</w:t>
      </w:r>
    </w:p>
    <w:p>
      <w:pPr>
        <w:spacing w:line="480" w:lineRule="auto"/>
        <w:ind w:left="4358" w:leftChars="2075"/>
        <w:rPr>
          <w:rFonts w:cs="Arial" w:asciiTheme="minorEastAsia" w:hAnsiTheme="minorEastAsia"/>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36"/>
        <w:ind w:left="0" w:leftChars="0" w:firstLine="0" w:firstLineChars="0"/>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lang w:val="en-US" w:eastAsia="zh-CN"/>
        </w:rPr>
        <w:t xml:space="preserve">3.7 </w:t>
      </w:r>
      <w:r>
        <w:rPr>
          <w:rFonts w:hint="eastAsia" w:ascii="宋体" w:hAnsi="宋体"/>
          <w:b/>
          <w:bCs/>
          <w:color w:val="auto"/>
          <w:sz w:val="24"/>
          <w:szCs w:val="24"/>
        </w:rPr>
        <w:t>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contextualSpacing/>
        <w:rPr>
          <w:rFonts w:ascii="宋体" w:hAnsi="宋体"/>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pacing w:line="360" w:lineRule="auto"/>
        <w:contextualSpacing/>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pStyle w:val="3"/>
        <w:rPr>
          <w:color w:val="auto"/>
          <w:lang w:val="zh-CN"/>
        </w:rPr>
      </w:pPr>
    </w:p>
    <w:p>
      <w:pPr>
        <w:pStyle w:val="34"/>
        <w:rPr>
          <w:color w:val="auto"/>
          <w:lang w:val="zh-CN"/>
        </w:rPr>
      </w:pPr>
    </w:p>
    <w:p>
      <w:pPr>
        <w:pStyle w:val="35"/>
        <w:rPr>
          <w:color w:val="auto"/>
          <w:lang w:val="zh-CN"/>
        </w:rPr>
      </w:pPr>
    </w:p>
    <w:p>
      <w:pPr>
        <w:rPr>
          <w:color w:val="auto"/>
          <w:lang w:val="zh-CN"/>
        </w:rPr>
      </w:pPr>
    </w:p>
    <w:p>
      <w:pPr>
        <w:pStyle w:val="5"/>
        <w:rPr>
          <w:color w:val="auto"/>
          <w:lang w:val="zh-CN"/>
        </w:rPr>
      </w:pPr>
    </w:p>
    <w:p>
      <w:pPr>
        <w:rPr>
          <w:color w:val="auto"/>
          <w:lang w:val="zh-CN"/>
        </w:rPr>
      </w:pPr>
    </w:p>
    <w:p>
      <w:pPr>
        <w:pStyle w:val="5"/>
        <w:rPr>
          <w:color w:val="auto"/>
          <w:lang w:val="zh-CN"/>
        </w:rPr>
      </w:pPr>
    </w:p>
    <w:p>
      <w:pPr>
        <w:rPr>
          <w:color w:val="auto"/>
          <w:lang w:val="zh-CN"/>
        </w:rPr>
      </w:pPr>
    </w:p>
    <w:p>
      <w:pPr>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w:t>
      </w:r>
      <w:r>
        <w:rPr>
          <w:rFonts w:hint="eastAsia" w:ascii="宋体" w:hAnsi="宋体"/>
          <w:b/>
          <w:bCs/>
          <w:color w:val="auto"/>
          <w:sz w:val="24"/>
          <w:szCs w:val="24"/>
          <w:lang w:val="en-US" w:eastAsia="zh-CN"/>
        </w:rPr>
        <w:t>8</w:t>
      </w:r>
      <w:r>
        <w:rPr>
          <w:rFonts w:hint="eastAsia" w:ascii="宋体" w:hAnsi="宋体"/>
          <w:b/>
          <w:bCs/>
          <w:color w:val="auto"/>
          <w:sz w:val="24"/>
          <w:szCs w:val="24"/>
        </w:rPr>
        <w:t xml:space="preserve">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rPr>
          <w:color w:val="auto"/>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四、符合性审查相关材料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4.1分项报价表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采购编号：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品牌</w:t>
            </w:r>
          </w:p>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outlineLvl w:val="0"/>
        <w:rPr>
          <w:rFonts w:ascii="宋体" w:hAnsi="宋体"/>
          <w:b/>
          <w:bCs/>
          <w:color w:val="auto"/>
          <w:sz w:val="24"/>
          <w:szCs w:val="24"/>
        </w:rPr>
      </w:pPr>
    </w:p>
    <w:p>
      <w:pPr>
        <w:pStyle w:val="5"/>
        <w:ind w:firstLine="482"/>
        <w:rPr>
          <w:rFonts w:ascii="宋体" w:hAnsi="宋体"/>
          <w:b/>
          <w:bCs/>
          <w:color w:val="auto"/>
          <w:sz w:val="24"/>
          <w:szCs w:val="24"/>
        </w:rPr>
      </w:pPr>
    </w:p>
    <w:p>
      <w:pPr>
        <w:rPr>
          <w:rFonts w:ascii="宋体" w:hAnsi="宋体"/>
          <w:b/>
          <w:bCs/>
          <w:color w:val="auto"/>
          <w:sz w:val="24"/>
          <w:szCs w:val="24"/>
        </w:rPr>
      </w:pPr>
    </w:p>
    <w:p>
      <w:pPr>
        <w:pStyle w:val="5"/>
        <w:ind w:firstLine="482"/>
        <w:rPr>
          <w:rFonts w:ascii="宋体" w:hAnsi="宋体"/>
          <w:b/>
          <w:bCs/>
          <w:color w:val="auto"/>
          <w:sz w:val="24"/>
          <w:szCs w:val="24"/>
        </w:rPr>
      </w:pPr>
    </w:p>
    <w:p>
      <w:pPr>
        <w:rPr>
          <w:rFonts w:ascii="宋体" w:hAnsi="宋体"/>
          <w:b/>
          <w:bCs/>
          <w:color w:val="auto"/>
          <w:sz w:val="24"/>
          <w:szCs w:val="24"/>
        </w:rPr>
      </w:pPr>
    </w:p>
    <w:p>
      <w:pPr>
        <w:pStyle w:val="5"/>
        <w:ind w:firstLine="482"/>
        <w:rPr>
          <w:rFonts w:ascii="宋体" w:hAnsi="宋体"/>
          <w:b/>
          <w:bCs/>
          <w:color w:val="auto"/>
          <w:sz w:val="24"/>
          <w:szCs w:val="24"/>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pStyle w:val="5"/>
        <w:rPr>
          <w:rFonts w:cs="宋体" w:asciiTheme="minorEastAsia" w:hAnsiTheme="minorEastAsia"/>
          <w:color w:val="auto"/>
          <w:szCs w:val="21"/>
          <w:lang w:val="zh-CN"/>
        </w:rPr>
      </w:pPr>
    </w:p>
    <w:p>
      <w:pPr>
        <w:rPr>
          <w:rFonts w:cs="宋体" w:asciiTheme="minorEastAsia" w:hAnsiTheme="minorEastAsia"/>
          <w:color w:val="auto"/>
          <w:szCs w:val="21"/>
          <w:lang w:val="zh-CN"/>
        </w:rPr>
      </w:pPr>
    </w:p>
    <w:p>
      <w:pPr>
        <w:pStyle w:val="5"/>
        <w:rPr>
          <w:rFonts w:cs="宋体" w:asciiTheme="minorEastAsia" w:hAnsiTheme="minorEastAsia"/>
          <w:color w:val="auto"/>
          <w:szCs w:val="21"/>
          <w:lang w:val="zh-CN"/>
        </w:rPr>
      </w:pPr>
    </w:p>
    <w:p>
      <w:pPr>
        <w:rPr>
          <w:rFonts w:cs="宋体" w:asciiTheme="minorEastAsia" w:hAnsiTheme="minorEastAsia"/>
          <w:color w:val="auto"/>
          <w:szCs w:val="21"/>
          <w:lang w:val="zh-CN"/>
        </w:rPr>
      </w:pPr>
    </w:p>
    <w:p>
      <w:pPr>
        <w:pStyle w:val="5"/>
        <w:rPr>
          <w:rFonts w:cs="宋体" w:asciiTheme="minorEastAsia" w:hAnsiTheme="minorEastAsia"/>
          <w:color w:val="auto"/>
          <w:szCs w:val="21"/>
          <w:lang w:val="zh-CN"/>
        </w:rPr>
      </w:pPr>
    </w:p>
    <w:p>
      <w:pPr>
        <w:rPr>
          <w:rFonts w:cs="宋体" w:asciiTheme="minorEastAsia" w:hAnsiTheme="minorEastAsia"/>
          <w:color w:val="auto"/>
          <w:szCs w:val="21"/>
          <w:lang w:val="zh-CN"/>
        </w:rPr>
      </w:pPr>
    </w:p>
    <w:p>
      <w:pPr>
        <w:pStyle w:val="5"/>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auto"/>
            <w:vAlign w:val="center"/>
          </w:tcPr>
          <w:p>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auto"/>
            <w:vAlign w:val="center"/>
          </w:tcPr>
          <w:p>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auto"/>
            <w:vAlign w:val="center"/>
          </w:tcPr>
          <w:p>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14"/>
              <w:spacing w:line="360" w:lineRule="auto"/>
              <w:rPr>
                <w:rFonts w:ascii="宋体" w:hAnsi="宋体" w:eastAsia="宋体" w:cs="Times New Roman"/>
                <w:color w:val="auto"/>
                <w:sz w:val="21"/>
                <w:szCs w:val="21"/>
              </w:rPr>
            </w:pPr>
          </w:p>
        </w:tc>
        <w:tc>
          <w:tcPr>
            <w:tcW w:w="3579" w:type="dxa"/>
            <w:vAlign w:val="center"/>
          </w:tcPr>
          <w:p>
            <w:pPr>
              <w:pStyle w:val="14"/>
              <w:spacing w:line="360" w:lineRule="auto"/>
              <w:rPr>
                <w:rFonts w:ascii="宋体" w:hAnsi="宋体" w:eastAsia="宋体" w:cs="Times New Roman"/>
                <w:color w:val="auto"/>
                <w:sz w:val="21"/>
                <w:szCs w:val="21"/>
              </w:rPr>
            </w:pPr>
          </w:p>
        </w:tc>
        <w:tc>
          <w:tcPr>
            <w:tcW w:w="1440" w:type="dxa"/>
            <w:vAlign w:val="center"/>
          </w:tcPr>
          <w:p>
            <w:pPr>
              <w:pStyle w:val="14"/>
              <w:spacing w:line="360" w:lineRule="auto"/>
              <w:rPr>
                <w:rFonts w:ascii="宋体" w:hAnsi="宋体" w:eastAsia="宋体" w:cs="Times New Roman"/>
                <w:color w:val="auto"/>
                <w:sz w:val="21"/>
                <w:szCs w:val="21"/>
              </w:rPr>
            </w:pPr>
          </w:p>
        </w:tc>
        <w:tc>
          <w:tcPr>
            <w:tcW w:w="1706" w:type="dxa"/>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14"/>
              <w:spacing w:line="360" w:lineRule="auto"/>
              <w:rPr>
                <w:rFonts w:ascii="宋体" w:hAnsi="宋体" w:eastAsia="宋体" w:cs="Times New Roman"/>
                <w:color w:val="auto"/>
                <w:sz w:val="21"/>
                <w:szCs w:val="21"/>
              </w:rPr>
            </w:pPr>
          </w:p>
        </w:tc>
        <w:tc>
          <w:tcPr>
            <w:tcW w:w="3579" w:type="dxa"/>
            <w:vAlign w:val="center"/>
          </w:tcPr>
          <w:p>
            <w:pPr>
              <w:pStyle w:val="14"/>
              <w:spacing w:line="360" w:lineRule="auto"/>
              <w:rPr>
                <w:rFonts w:ascii="宋体" w:hAnsi="宋体" w:eastAsia="宋体" w:cs="Times New Roman"/>
                <w:color w:val="auto"/>
                <w:sz w:val="21"/>
                <w:szCs w:val="21"/>
              </w:rPr>
            </w:pPr>
          </w:p>
        </w:tc>
        <w:tc>
          <w:tcPr>
            <w:tcW w:w="1440" w:type="dxa"/>
            <w:vAlign w:val="center"/>
          </w:tcPr>
          <w:p>
            <w:pPr>
              <w:pStyle w:val="14"/>
              <w:spacing w:line="360" w:lineRule="auto"/>
              <w:rPr>
                <w:rFonts w:ascii="宋体" w:hAnsi="宋体" w:eastAsia="宋体" w:cs="Times New Roman"/>
                <w:color w:val="auto"/>
                <w:sz w:val="21"/>
                <w:szCs w:val="21"/>
              </w:rPr>
            </w:pPr>
          </w:p>
        </w:tc>
        <w:tc>
          <w:tcPr>
            <w:tcW w:w="1706" w:type="dxa"/>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14"/>
              <w:spacing w:line="360" w:lineRule="auto"/>
              <w:rPr>
                <w:rFonts w:ascii="宋体" w:hAnsi="宋体" w:eastAsia="宋体" w:cs="Times New Roman"/>
                <w:color w:val="auto"/>
                <w:sz w:val="21"/>
                <w:szCs w:val="21"/>
              </w:rPr>
            </w:pPr>
          </w:p>
        </w:tc>
        <w:tc>
          <w:tcPr>
            <w:tcW w:w="3579" w:type="dxa"/>
            <w:vAlign w:val="center"/>
          </w:tcPr>
          <w:p>
            <w:pPr>
              <w:pStyle w:val="14"/>
              <w:spacing w:line="360" w:lineRule="auto"/>
              <w:rPr>
                <w:rFonts w:ascii="宋体" w:hAnsi="宋体" w:eastAsia="宋体" w:cs="Times New Roman"/>
                <w:color w:val="auto"/>
                <w:sz w:val="21"/>
                <w:szCs w:val="21"/>
              </w:rPr>
            </w:pPr>
          </w:p>
        </w:tc>
        <w:tc>
          <w:tcPr>
            <w:tcW w:w="1440" w:type="dxa"/>
            <w:vAlign w:val="center"/>
          </w:tcPr>
          <w:p>
            <w:pPr>
              <w:pStyle w:val="14"/>
              <w:spacing w:line="360" w:lineRule="auto"/>
              <w:rPr>
                <w:rFonts w:ascii="宋体" w:hAnsi="宋体" w:eastAsia="宋体" w:cs="Times New Roman"/>
                <w:color w:val="auto"/>
                <w:sz w:val="21"/>
                <w:szCs w:val="21"/>
              </w:rPr>
            </w:pPr>
          </w:p>
        </w:tc>
        <w:tc>
          <w:tcPr>
            <w:tcW w:w="1706" w:type="dxa"/>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pStyle w:val="11"/>
        <w:numPr>
          <w:ilvl w:val="3"/>
          <w:numId w:val="0"/>
        </w:numPr>
        <w:rPr>
          <w:color w:val="auto"/>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5"/>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526"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4"/>
              <w:spacing w:line="360" w:lineRule="auto"/>
              <w:rPr>
                <w:rFonts w:ascii="宋体" w:hAnsi="宋体" w:eastAsia="宋体" w:cs="Times New Roman"/>
                <w:color w:val="auto"/>
                <w:sz w:val="21"/>
                <w:szCs w:val="21"/>
              </w:rPr>
            </w:pPr>
          </w:p>
        </w:tc>
        <w:tc>
          <w:tcPr>
            <w:tcW w:w="1518" w:type="dxa"/>
            <w:vAlign w:val="center"/>
          </w:tcPr>
          <w:p>
            <w:pPr>
              <w:pStyle w:val="14"/>
              <w:spacing w:line="360" w:lineRule="auto"/>
              <w:rPr>
                <w:rFonts w:ascii="宋体" w:hAnsi="宋体" w:eastAsia="宋体" w:cs="Times New Roman"/>
                <w:color w:val="auto"/>
                <w:sz w:val="21"/>
                <w:szCs w:val="21"/>
              </w:rPr>
            </w:pPr>
          </w:p>
        </w:tc>
        <w:tc>
          <w:tcPr>
            <w:tcW w:w="1240" w:type="dxa"/>
          </w:tcPr>
          <w:p>
            <w:pPr>
              <w:pStyle w:val="14"/>
              <w:spacing w:line="360" w:lineRule="auto"/>
              <w:rPr>
                <w:rFonts w:ascii="宋体" w:hAnsi="宋体" w:eastAsia="宋体" w:cs="Times New Roman"/>
                <w:color w:val="auto"/>
                <w:sz w:val="21"/>
                <w:szCs w:val="21"/>
              </w:rPr>
            </w:pPr>
          </w:p>
        </w:tc>
        <w:tc>
          <w:tcPr>
            <w:tcW w:w="1648" w:type="dxa"/>
          </w:tcPr>
          <w:p>
            <w:pPr>
              <w:pStyle w:val="14"/>
              <w:spacing w:line="360" w:lineRule="auto"/>
              <w:rPr>
                <w:rFonts w:ascii="宋体" w:hAnsi="宋体" w:eastAsia="宋体" w:cs="Times New Roman"/>
                <w:color w:val="auto"/>
                <w:sz w:val="21"/>
                <w:szCs w:val="21"/>
              </w:rPr>
            </w:pPr>
          </w:p>
        </w:tc>
        <w:tc>
          <w:tcPr>
            <w:tcW w:w="1600" w:type="dxa"/>
          </w:tcPr>
          <w:p>
            <w:pPr>
              <w:pStyle w:val="14"/>
              <w:spacing w:line="360" w:lineRule="auto"/>
              <w:rPr>
                <w:rFonts w:ascii="宋体" w:hAnsi="宋体" w:eastAsia="宋体" w:cs="Times New Roman"/>
                <w:color w:val="auto"/>
                <w:sz w:val="21"/>
                <w:szCs w:val="21"/>
              </w:rPr>
            </w:pPr>
          </w:p>
        </w:tc>
        <w:tc>
          <w:tcPr>
            <w:tcW w:w="1417" w:type="dxa"/>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4"/>
              <w:spacing w:line="360" w:lineRule="auto"/>
              <w:rPr>
                <w:rFonts w:ascii="宋体" w:hAnsi="宋体" w:eastAsia="宋体" w:cs="Times New Roman"/>
                <w:color w:val="auto"/>
                <w:sz w:val="21"/>
                <w:szCs w:val="21"/>
              </w:rPr>
            </w:pPr>
          </w:p>
        </w:tc>
        <w:tc>
          <w:tcPr>
            <w:tcW w:w="1518" w:type="dxa"/>
            <w:vAlign w:val="center"/>
          </w:tcPr>
          <w:p>
            <w:pPr>
              <w:pStyle w:val="14"/>
              <w:spacing w:line="360" w:lineRule="auto"/>
              <w:rPr>
                <w:rFonts w:ascii="宋体" w:hAnsi="宋体" w:eastAsia="宋体" w:cs="Times New Roman"/>
                <w:color w:val="auto"/>
                <w:sz w:val="21"/>
                <w:szCs w:val="21"/>
              </w:rPr>
            </w:pPr>
          </w:p>
        </w:tc>
        <w:tc>
          <w:tcPr>
            <w:tcW w:w="1240" w:type="dxa"/>
          </w:tcPr>
          <w:p>
            <w:pPr>
              <w:pStyle w:val="14"/>
              <w:spacing w:line="360" w:lineRule="auto"/>
              <w:rPr>
                <w:rFonts w:ascii="宋体" w:hAnsi="宋体" w:eastAsia="宋体" w:cs="Times New Roman"/>
                <w:color w:val="auto"/>
                <w:sz w:val="21"/>
                <w:szCs w:val="21"/>
              </w:rPr>
            </w:pPr>
          </w:p>
        </w:tc>
        <w:tc>
          <w:tcPr>
            <w:tcW w:w="1648" w:type="dxa"/>
          </w:tcPr>
          <w:p>
            <w:pPr>
              <w:pStyle w:val="14"/>
              <w:spacing w:line="360" w:lineRule="auto"/>
              <w:rPr>
                <w:rFonts w:ascii="宋体" w:hAnsi="宋体" w:eastAsia="宋体" w:cs="Times New Roman"/>
                <w:color w:val="auto"/>
                <w:sz w:val="21"/>
                <w:szCs w:val="21"/>
              </w:rPr>
            </w:pPr>
          </w:p>
        </w:tc>
        <w:tc>
          <w:tcPr>
            <w:tcW w:w="1600" w:type="dxa"/>
          </w:tcPr>
          <w:p>
            <w:pPr>
              <w:pStyle w:val="14"/>
              <w:spacing w:line="360" w:lineRule="auto"/>
              <w:rPr>
                <w:rFonts w:ascii="宋体" w:hAnsi="宋体" w:eastAsia="宋体" w:cs="Times New Roman"/>
                <w:color w:val="auto"/>
                <w:sz w:val="21"/>
                <w:szCs w:val="21"/>
              </w:rPr>
            </w:pPr>
          </w:p>
        </w:tc>
        <w:tc>
          <w:tcPr>
            <w:tcW w:w="1417" w:type="dxa"/>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4"/>
              <w:spacing w:line="360" w:lineRule="auto"/>
              <w:rPr>
                <w:rFonts w:ascii="宋体" w:hAnsi="宋体" w:eastAsia="宋体" w:cs="Times New Roman"/>
                <w:color w:val="auto"/>
                <w:sz w:val="21"/>
                <w:szCs w:val="21"/>
              </w:rPr>
            </w:pPr>
          </w:p>
        </w:tc>
        <w:tc>
          <w:tcPr>
            <w:tcW w:w="1518" w:type="dxa"/>
            <w:vAlign w:val="center"/>
          </w:tcPr>
          <w:p>
            <w:pPr>
              <w:pStyle w:val="14"/>
              <w:spacing w:line="360" w:lineRule="auto"/>
              <w:rPr>
                <w:rFonts w:ascii="宋体" w:hAnsi="宋体" w:eastAsia="宋体" w:cs="Times New Roman"/>
                <w:color w:val="auto"/>
                <w:sz w:val="21"/>
                <w:szCs w:val="21"/>
              </w:rPr>
            </w:pPr>
          </w:p>
        </w:tc>
        <w:tc>
          <w:tcPr>
            <w:tcW w:w="1240" w:type="dxa"/>
          </w:tcPr>
          <w:p>
            <w:pPr>
              <w:pStyle w:val="14"/>
              <w:spacing w:line="360" w:lineRule="auto"/>
              <w:rPr>
                <w:rFonts w:ascii="宋体" w:hAnsi="宋体" w:eastAsia="宋体" w:cs="Times New Roman"/>
                <w:color w:val="auto"/>
                <w:sz w:val="21"/>
                <w:szCs w:val="21"/>
              </w:rPr>
            </w:pPr>
          </w:p>
        </w:tc>
        <w:tc>
          <w:tcPr>
            <w:tcW w:w="1648" w:type="dxa"/>
          </w:tcPr>
          <w:p>
            <w:pPr>
              <w:pStyle w:val="14"/>
              <w:spacing w:line="360" w:lineRule="auto"/>
              <w:rPr>
                <w:rFonts w:ascii="宋体" w:hAnsi="宋体" w:eastAsia="宋体" w:cs="Times New Roman"/>
                <w:color w:val="auto"/>
                <w:sz w:val="21"/>
                <w:szCs w:val="21"/>
              </w:rPr>
            </w:pPr>
          </w:p>
        </w:tc>
        <w:tc>
          <w:tcPr>
            <w:tcW w:w="1600" w:type="dxa"/>
          </w:tcPr>
          <w:p>
            <w:pPr>
              <w:pStyle w:val="14"/>
              <w:spacing w:line="360" w:lineRule="auto"/>
              <w:rPr>
                <w:rFonts w:ascii="宋体" w:hAnsi="宋体" w:eastAsia="宋体" w:cs="Times New Roman"/>
                <w:color w:val="auto"/>
                <w:sz w:val="21"/>
                <w:szCs w:val="21"/>
              </w:rPr>
            </w:pPr>
          </w:p>
        </w:tc>
        <w:tc>
          <w:tcPr>
            <w:tcW w:w="1417" w:type="dxa"/>
          </w:tcPr>
          <w:p>
            <w:pPr>
              <w:pStyle w:val="14"/>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11"/>
        <w:numPr>
          <w:ilvl w:val="3"/>
          <w:numId w:val="0"/>
        </w:numPr>
        <w:rPr>
          <w:color w:val="auto"/>
        </w:rPr>
      </w:pPr>
    </w:p>
    <w:p>
      <w:pPr>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4"/>
              <w:spacing w:line="360" w:lineRule="auto"/>
              <w:rPr>
                <w:rFonts w:ascii="宋体" w:hAnsi="宋体" w:eastAsia="宋体" w:cs="Times New Roman"/>
                <w:color w:val="auto"/>
                <w:sz w:val="21"/>
                <w:szCs w:val="21"/>
              </w:rPr>
            </w:pPr>
          </w:p>
        </w:tc>
        <w:tc>
          <w:tcPr>
            <w:tcW w:w="1518" w:type="dxa"/>
            <w:vAlign w:val="center"/>
          </w:tcPr>
          <w:p>
            <w:pPr>
              <w:pStyle w:val="14"/>
              <w:spacing w:line="360" w:lineRule="auto"/>
              <w:rPr>
                <w:rFonts w:ascii="宋体" w:hAnsi="宋体" w:eastAsia="宋体" w:cs="Times New Roman"/>
                <w:color w:val="auto"/>
                <w:sz w:val="21"/>
                <w:szCs w:val="21"/>
              </w:rPr>
            </w:pPr>
          </w:p>
        </w:tc>
        <w:tc>
          <w:tcPr>
            <w:tcW w:w="1240" w:type="dxa"/>
          </w:tcPr>
          <w:p>
            <w:pPr>
              <w:pStyle w:val="14"/>
              <w:spacing w:line="360" w:lineRule="auto"/>
              <w:rPr>
                <w:rFonts w:ascii="宋体" w:hAnsi="宋体" w:eastAsia="宋体" w:cs="Times New Roman"/>
                <w:color w:val="auto"/>
                <w:sz w:val="21"/>
                <w:szCs w:val="21"/>
              </w:rPr>
            </w:pPr>
          </w:p>
        </w:tc>
        <w:tc>
          <w:tcPr>
            <w:tcW w:w="1648" w:type="dxa"/>
          </w:tcPr>
          <w:p>
            <w:pPr>
              <w:pStyle w:val="14"/>
              <w:spacing w:line="360" w:lineRule="auto"/>
              <w:rPr>
                <w:rFonts w:ascii="宋体" w:hAnsi="宋体" w:eastAsia="宋体" w:cs="Times New Roman"/>
                <w:color w:val="auto"/>
                <w:sz w:val="21"/>
                <w:szCs w:val="21"/>
              </w:rPr>
            </w:pPr>
          </w:p>
        </w:tc>
        <w:tc>
          <w:tcPr>
            <w:tcW w:w="1600" w:type="dxa"/>
          </w:tcPr>
          <w:p>
            <w:pPr>
              <w:pStyle w:val="14"/>
              <w:spacing w:line="360" w:lineRule="auto"/>
              <w:rPr>
                <w:rFonts w:ascii="宋体" w:hAnsi="宋体" w:eastAsia="宋体" w:cs="Times New Roman"/>
                <w:color w:val="auto"/>
                <w:sz w:val="21"/>
                <w:szCs w:val="21"/>
              </w:rPr>
            </w:pPr>
          </w:p>
        </w:tc>
        <w:tc>
          <w:tcPr>
            <w:tcW w:w="1417" w:type="dxa"/>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4"/>
              <w:spacing w:line="360" w:lineRule="auto"/>
              <w:rPr>
                <w:rFonts w:ascii="宋体" w:hAnsi="宋体" w:eastAsia="宋体" w:cs="Times New Roman"/>
                <w:color w:val="auto"/>
                <w:sz w:val="21"/>
                <w:szCs w:val="21"/>
              </w:rPr>
            </w:pPr>
          </w:p>
        </w:tc>
        <w:tc>
          <w:tcPr>
            <w:tcW w:w="1518" w:type="dxa"/>
            <w:vAlign w:val="center"/>
          </w:tcPr>
          <w:p>
            <w:pPr>
              <w:pStyle w:val="14"/>
              <w:spacing w:line="360" w:lineRule="auto"/>
              <w:rPr>
                <w:rFonts w:ascii="宋体" w:hAnsi="宋体" w:eastAsia="宋体" w:cs="Times New Roman"/>
                <w:color w:val="auto"/>
                <w:sz w:val="21"/>
                <w:szCs w:val="21"/>
              </w:rPr>
            </w:pPr>
          </w:p>
        </w:tc>
        <w:tc>
          <w:tcPr>
            <w:tcW w:w="1240" w:type="dxa"/>
          </w:tcPr>
          <w:p>
            <w:pPr>
              <w:pStyle w:val="14"/>
              <w:spacing w:line="360" w:lineRule="auto"/>
              <w:rPr>
                <w:rFonts w:ascii="宋体" w:hAnsi="宋体" w:eastAsia="宋体" w:cs="Times New Roman"/>
                <w:color w:val="auto"/>
                <w:sz w:val="21"/>
                <w:szCs w:val="21"/>
              </w:rPr>
            </w:pPr>
          </w:p>
        </w:tc>
        <w:tc>
          <w:tcPr>
            <w:tcW w:w="1648" w:type="dxa"/>
          </w:tcPr>
          <w:p>
            <w:pPr>
              <w:pStyle w:val="14"/>
              <w:spacing w:line="360" w:lineRule="auto"/>
              <w:rPr>
                <w:rFonts w:ascii="宋体" w:hAnsi="宋体" w:eastAsia="宋体" w:cs="Times New Roman"/>
                <w:color w:val="auto"/>
                <w:sz w:val="21"/>
                <w:szCs w:val="21"/>
              </w:rPr>
            </w:pPr>
          </w:p>
        </w:tc>
        <w:tc>
          <w:tcPr>
            <w:tcW w:w="1600" w:type="dxa"/>
          </w:tcPr>
          <w:p>
            <w:pPr>
              <w:pStyle w:val="14"/>
              <w:spacing w:line="360" w:lineRule="auto"/>
              <w:rPr>
                <w:rFonts w:ascii="宋体" w:hAnsi="宋体" w:eastAsia="宋体" w:cs="Times New Roman"/>
                <w:color w:val="auto"/>
                <w:sz w:val="21"/>
                <w:szCs w:val="21"/>
              </w:rPr>
            </w:pPr>
          </w:p>
        </w:tc>
        <w:tc>
          <w:tcPr>
            <w:tcW w:w="1417" w:type="dxa"/>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4"/>
              <w:spacing w:line="360" w:lineRule="auto"/>
              <w:rPr>
                <w:rFonts w:ascii="宋体" w:hAnsi="宋体" w:eastAsia="宋体" w:cs="Times New Roman"/>
                <w:color w:val="auto"/>
                <w:sz w:val="21"/>
                <w:szCs w:val="21"/>
              </w:rPr>
            </w:pPr>
          </w:p>
        </w:tc>
        <w:tc>
          <w:tcPr>
            <w:tcW w:w="1518" w:type="dxa"/>
            <w:vAlign w:val="center"/>
          </w:tcPr>
          <w:p>
            <w:pPr>
              <w:pStyle w:val="14"/>
              <w:spacing w:line="360" w:lineRule="auto"/>
              <w:rPr>
                <w:rFonts w:ascii="宋体" w:hAnsi="宋体" w:eastAsia="宋体" w:cs="Times New Roman"/>
                <w:color w:val="auto"/>
                <w:sz w:val="21"/>
                <w:szCs w:val="21"/>
              </w:rPr>
            </w:pPr>
          </w:p>
        </w:tc>
        <w:tc>
          <w:tcPr>
            <w:tcW w:w="1240" w:type="dxa"/>
          </w:tcPr>
          <w:p>
            <w:pPr>
              <w:pStyle w:val="14"/>
              <w:spacing w:line="360" w:lineRule="auto"/>
              <w:rPr>
                <w:rFonts w:ascii="宋体" w:hAnsi="宋体" w:eastAsia="宋体" w:cs="Times New Roman"/>
                <w:color w:val="auto"/>
                <w:sz w:val="21"/>
                <w:szCs w:val="21"/>
              </w:rPr>
            </w:pPr>
          </w:p>
        </w:tc>
        <w:tc>
          <w:tcPr>
            <w:tcW w:w="1648" w:type="dxa"/>
          </w:tcPr>
          <w:p>
            <w:pPr>
              <w:pStyle w:val="14"/>
              <w:spacing w:line="360" w:lineRule="auto"/>
              <w:rPr>
                <w:rFonts w:ascii="宋体" w:hAnsi="宋体" w:eastAsia="宋体" w:cs="Times New Roman"/>
                <w:color w:val="auto"/>
                <w:sz w:val="21"/>
                <w:szCs w:val="21"/>
              </w:rPr>
            </w:pPr>
          </w:p>
        </w:tc>
        <w:tc>
          <w:tcPr>
            <w:tcW w:w="1600" w:type="dxa"/>
          </w:tcPr>
          <w:p>
            <w:pPr>
              <w:pStyle w:val="14"/>
              <w:spacing w:line="360" w:lineRule="auto"/>
              <w:rPr>
                <w:rFonts w:ascii="宋体" w:hAnsi="宋体" w:eastAsia="宋体" w:cs="Times New Roman"/>
                <w:color w:val="auto"/>
                <w:sz w:val="21"/>
                <w:szCs w:val="21"/>
              </w:rPr>
            </w:pPr>
          </w:p>
        </w:tc>
        <w:tc>
          <w:tcPr>
            <w:tcW w:w="1417" w:type="dxa"/>
          </w:tcPr>
          <w:p>
            <w:pPr>
              <w:pStyle w:val="14"/>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Theme="minorEastAsia" w:hAnsiTheme="minorEastAsia"/>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4"/>
              <w:spacing w:line="360" w:lineRule="auto"/>
              <w:rPr>
                <w:rFonts w:ascii="宋体" w:hAnsi="宋体" w:eastAsia="宋体" w:cs="Times New Roman"/>
                <w:color w:val="auto"/>
                <w:sz w:val="21"/>
                <w:szCs w:val="21"/>
              </w:rPr>
            </w:pPr>
          </w:p>
        </w:tc>
        <w:tc>
          <w:tcPr>
            <w:tcW w:w="1518" w:type="dxa"/>
            <w:vAlign w:val="center"/>
          </w:tcPr>
          <w:p>
            <w:pPr>
              <w:pStyle w:val="14"/>
              <w:spacing w:line="360" w:lineRule="auto"/>
              <w:rPr>
                <w:rFonts w:ascii="宋体" w:hAnsi="宋体" w:eastAsia="宋体" w:cs="Times New Roman"/>
                <w:color w:val="auto"/>
                <w:sz w:val="21"/>
                <w:szCs w:val="21"/>
              </w:rPr>
            </w:pPr>
          </w:p>
        </w:tc>
        <w:tc>
          <w:tcPr>
            <w:tcW w:w="1240" w:type="dxa"/>
          </w:tcPr>
          <w:p>
            <w:pPr>
              <w:pStyle w:val="14"/>
              <w:spacing w:line="360" w:lineRule="auto"/>
              <w:rPr>
                <w:rFonts w:ascii="宋体" w:hAnsi="宋体" w:eastAsia="宋体" w:cs="Times New Roman"/>
                <w:color w:val="auto"/>
                <w:sz w:val="21"/>
                <w:szCs w:val="21"/>
              </w:rPr>
            </w:pPr>
          </w:p>
        </w:tc>
        <w:tc>
          <w:tcPr>
            <w:tcW w:w="1648" w:type="dxa"/>
          </w:tcPr>
          <w:p>
            <w:pPr>
              <w:pStyle w:val="14"/>
              <w:spacing w:line="360" w:lineRule="auto"/>
              <w:rPr>
                <w:rFonts w:ascii="宋体" w:hAnsi="宋体" w:eastAsia="宋体" w:cs="Times New Roman"/>
                <w:color w:val="auto"/>
                <w:sz w:val="21"/>
                <w:szCs w:val="21"/>
              </w:rPr>
            </w:pPr>
          </w:p>
        </w:tc>
        <w:tc>
          <w:tcPr>
            <w:tcW w:w="1600" w:type="dxa"/>
          </w:tcPr>
          <w:p>
            <w:pPr>
              <w:pStyle w:val="14"/>
              <w:spacing w:line="360" w:lineRule="auto"/>
              <w:rPr>
                <w:rFonts w:ascii="宋体" w:hAnsi="宋体" w:eastAsia="宋体" w:cs="Times New Roman"/>
                <w:color w:val="auto"/>
                <w:sz w:val="21"/>
                <w:szCs w:val="21"/>
              </w:rPr>
            </w:pPr>
          </w:p>
        </w:tc>
        <w:tc>
          <w:tcPr>
            <w:tcW w:w="1417" w:type="dxa"/>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4"/>
              <w:spacing w:line="360" w:lineRule="auto"/>
              <w:rPr>
                <w:rFonts w:ascii="宋体" w:hAnsi="宋体" w:eastAsia="宋体" w:cs="Times New Roman"/>
                <w:color w:val="auto"/>
                <w:sz w:val="21"/>
                <w:szCs w:val="21"/>
              </w:rPr>
            </w:pPr>
          </w:p>
        </w:tc>
        <w:tc>
          <w:tcPr>
            <w:tcW w:w="1518" w:type="dxa"/>
            <w:vAlign w:val="center"/>
          </w:tcPr>
          <w:p>
            <w:pPr>
              <w:pStyle w:val="14"/>
              <w:spacing w:line="360" w:lineRule="auto"/>
              <w:rPr>
                <w:rFonts w:ascii="宋体" w:hAnsi="宋体" w:eastAsia="宋体" w:cs="Times New Roman"/>
                <w:color w:val="auto"/>
                <w:sz w:val="21"/>
                <w:szCs w:val="21"/>
              </w:rPr>
            </w:pPr>
          </w:p>
        </w:tc>
        <w:tc>
          <w:tcPr>
            <w:tcW w:w="1240" w:type="dxa"/>
          </w:tcPr>
          <w:p>
            <w:pPr>
              <w:pStyle w:val="14"/>
              <w:spacing w:line="360" w:lineRule="auto"/>
              <w:rPr>
                <w:rFonts w:ascii="宋体" w:hAnsi="宋体" w:eastAsia="宋体" w:cs="Times New Roman"/>
                <w:color w:val="auto"/>
                <w:sz w:val="21"/>
                <w:szCs w:val="21"/>
              </w:rPr>
            </w:pPr>
          </w:p>
        </w:tc>
        <w:tc>
          <w:tcPr>
            <w:tcW w:w="1648" w:type="dxa"/>
          </w:tcPr>
          <w:p>
            <w:pPr>
              <w:pStyle w:val="14"/>
              <w:spacing w:line="360" w:lineRule="auto"/>
              <w:rPr>
                <w:rFonts w:ascii="宋体" w:hAnsi="宋体" w:eastAsia="宋体" w:cs="Times New Roman"/>
                <w:color w:val="auto"/>
                <w:sz w:val="21"/>
                <w:szCs w:val="21"/>
              </w:rPr>
            </w:pPr>
          </w:p>
        </w:tc>
        <w:tc>
          <w:tcPr>
            <w:tcW w:w="1600" w:type="dxa"/>
          </w:tcPr>
          <w:p>
            <w:pPr>
              <w:pStyle w:val="14"/>
              <w:spacing w:line="360" w:lineRule="auto"/>
              <w:rPr>
                <w:rFonts w:ascii="宋体" w:hAnsi="宋体" w:eastAsia="宋体" w:cs="Times New Roman"/>
                <w:color w:val="auto"/>
                <w:sz w:val="21"/>
                <w:szCs w:val="21"/>
              </w:rPr>
            </w:pPr>
          </w:p>
        </w:tc>
        <w:tc>
          <w:tcPr>
            <w:tcW w:w="1417" w:type="dxa"/>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4"/>
              <w:spacing w:line="360" w:lineRule="auto"/>
              <w:rPr>
                <w:rFonts w:ascii="宋体" w:hAnsi="宋体" w:eastAsia="宋体" w:cs="Times New Roman"/>
                <w:color w:val="auto"/>
                <w:sz w:val="21"/>
                <w:szCs w:val="21"/>
              </w:rPr>
            </w:pPr>
          </w:p>
        </w:tc>
        <w:tc>
          <w:tcPr>
            <w:tcW w:w="1518" w:type="dxa"/>
            <w:vAlign w:val="center"/>
          </w:tcPr>
          <w:p>
            <w:pPr>
              <w:pStyle w:val="14"/>
              <w:spacing w:line="360" w:lineRule="auto"/>
              <w:rPr>
                <w:rFonts w:ascii="宋体" w:hAnsi="宋体" w:eastAsia="宋体" w:cs="Times New Roman"/>
                <w:color w:val="auto"/>
                <w:sz w:val="21"/>
                <w:szCs w:val="21"/>
              </w:rPr>
            </w:pPr>
          </w:p>
        </w:tc>
        <w:tc>
          <w:tcPr>
            <w:tcW w:w="1240" w:type="dxa"/>
          </w:tcPr>
          <w:p>
            <w:pPr>
              <w:pStyle w:val="14"/>
              <w:spacing w:line="360" w:lineRule="auto"/>
              <w:rPr>
                <w:rFonts w:ascii="宋体" w:hAnsi="宋体" w:eastAsia="宋体" w:cs="Times New Roman"/>
                <w:color w:val="auto"/>
                <w:sz w:val="21"/>
                <w:szCs w:val="21"/>
              </w:rPr>
            </w:pPr>
          </w:p>
        </w:tc>
        <w:tc>
          <w:tcPr>
            <w:tcW w:w="1648" w:type="dxa"/>
          </w:tcPr>
          <w:p>
            <w:pPr>
              <w:pStyle w:val="14"/>
              <w:spacing w:line="360" w:lineRule="auto"/>
              <w:rPr>
                <w:rFonts w:ascii="宋体" w:hAnsi="宋体" w:eastAsia="宋体" w:cs="Times New Roman"/>
                <w:color w:val="auto"/>
                <w:sz w:val="21"/>
                <w:szCs w:val="21"/>
              </w:rPr>
            </w:pPr>
          </w:p>
        </w:tc>
        <w:tc>
          <w:tcPr>
            <w:tcW w:w="1600" w:type="dxa"/>
          </w:tcPr>
          <w:p>
            <w:pPr>
              <w:pStyle w:val="14"/>
              <w:spacing w:line="360" w:lineRule="auto"/>
              <w:rPr>
                <w:rFonts w:ascii="宋体" w:hAnsi="宋体" w:eastAsia="宋体" w:cs="Times New Roman"/>
                <w:color w:val="auto"/>
                <w:sz w:val="21"/>
                <w:szCs w:val="21"/>
              </w:rPr>
            </w:pPr>
          </w:p>
        </w:tc>
        <w:tc>
          <w:tcPr>
            <w:tcW w:w="1417" w:type="dxa"/>
          </w:tcPr>
          <w:p>
            <w:pPr>
              <w:pStyle w:val="14"/>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9</w:t>
      </w:r>
      <w:r>
        <w:rPr>
          <w:rFonts w:hint="eastAsia" w:ascii="宋体" w:hAnsi="宋体"/>
          <w:b/>
          <w:bCs/>
          <w:color w:val="auto"/>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cs="黑体" w:asciiTheme="minorEastAsia" w:hAnsiTheme="minorEastAsia"/>
          <w:b/>
          <w:bCs/>
          <w:color w:val="auto"/>
          <w:sz w:val="44"/>
          <w:szCs w:val="44"/>
          <w:lang w:val="zh-CN"/>
        </w:rPr>
      </w:pPr>
      <w:r>
        <w:rPr>
          <w:rFonts w:hint="eastAsia" w:ascii="宋体" w:hAnsi="宋体" w:cs="Arial"/>
          <w:color w:val="auto"/>
          <w:kern w:val="0"/>
          <w:szCs w:val="21"/>
        </w:rPr>
        <w:t>供应商所投产品涉及国家有属强制性规定的，须承诺其所投产品符合国家强制性要求（如CCC认证，格式自拟）</w:t>
      </w:r>
    </w:p>
    <w:p>
      <w:pPr>
        <w:pStyle w:val="11"/>
        <w:numPr>
          <w:ilvl w:val="3"/>
          <w:numId w:val="0"/>
        </w:numPr>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val="0"/>
          <w:bCs w:val="0"/>
          <w:color w:val="auto"/>
          <w:sz w:val="21"/>
          <w:szCs w:val="21"/>
        </w:rPr>
      </w:pPr>
      <w:r>
        <w:rPr>
          <w:rFonts w:ascii="宋体" w:hAnsi="宋体"/>
          <w:b w:val="0"/>
          <w:bCs w:val="0"/>
          <w:color w:val="auto"/>
          <w:sz w:val="21"/>
          <w:szCs w:val="21"/>
        </w:rPr>
        <w:t>除</w:t>
      </w:r>
      <w:r>
        <w:rPr>
          <w:rFonts w:hint="eastAsia" w:ascii="宋体" w:hAnsi="宋体"/>
          <w:b w:val="0"/>
          <w:bCs w:val="0"/>
          <w:color w:val="auto"/>
          <w:sz w:val="21"/>
          <w:szCs w:val="21"/>
        </w:rPr>
        <w:t>谈判</w:t>
      </w:r>
      <w:r>
        <w:rPr>
          <w:rFonts w:ascii="宋体" w:hAnsi="宋体"/>
          <w:b w:val="0"/>
          <w:bCs w:val="0"/>
          <w:color w:val="auto"/>
          <w:sz w:val="21"/>
          <w:szCs w:val="21"/>
        </w:rPr>
        <w:t>文件另有规定外，</w:t>
      </w:r>
      <w:r>
        <w:rPr>
          <w:rFonts w:hint="eastAsia" w:ascii="宋体" w:hAnsi="宋体"/>
          <w:b w:val="0"/>
          <w:bCs w:val="0"/>
          <w:color w:val="auto"/>
          <w:sz w:val="21"/>
          <w:szCs w:val="21"/>
        </w:rPr>
        <w:t>供应商</w:t>
      </w:r>
      <w:r>
        <w:rPr>
          <w:rFonts w:ascii="宋体" w:hAnsi="宋体"/>
          <w:b w:val="0"/>
          <w:bCs w:val="0"/>
          <w:color w:val="auto"/>
          <w:sz w:val="21"/>
          <w:szCs w:val="21"/>
        </w:rPr>
        <w:t>认为需要提交的其他证明材料或资料加盖</w:t>
      </w:r>
      <w:r>
        <w:rPr>
          <w:rFonts w:hint="eastAsia" w:ascii="宋体" w:hAnsi="宋体"/>
          <w:b w:val="0"/>
          <w:bCs w:val="0"/>
          <w:color w:val="auto"/>
          <w:sz w:val="21"/>
          <w:szCs w:val="21"/>
        </w:rPr>
        <w:t>供应商</w:t>
      </w:r>
      <w:r>
        <w:rPr>
          <w:rFonts w:ascii="宋体" w:hAnsi="宋体"/>
          <w:b w:val="0"/>
          <w:bCs w:val="0"/>
          <w:color w:val="auto"/>
          <w:sz w:val="21"/>
          <w:szCs w:val="21"/>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Courier New"/>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 1"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21"/>
                </w:pPr>
                <w:r>
                  <w:fldChar w:fldCharType="begin"/>
                </w:r>
                <w:r>
                  <w:instrText xml:space="preserve"> PAGE  \* MERGEFORMAT </w:instrText>
                </w:r>
                <w:r>
                  <w:fldChar w:fldCharType="separate"/>
                </w:r>
                <w:r>
                  <w:t>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93672"/>
    <w:multiLevelType w:val="singleLevel"/>
    <w:tmpl w:val="EF493672"/>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6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428C85BE"/>
    <w:multiLevelType w:val="singleLevel"/>
    <w:tmpl w:val="428C85BE"/>
    <w:lvl w:ilvl="0" w:tentative="0">
      <w:start w:val="2"/>
      <w:numFmt w:val="chineseCounting"/>
      <w:suff w:val="space"/>
      <w:lvlText w:val="%1、"/>
      <w:lvlJc w:val="left"/>
      <w:rPr>
        <w:rFonts w:hint="eastAsia"/>
      </w:rPr>
    </w:lvl>
  </w:abstractNum>
  <w:abstractNum w:abstractNumId="6">
    <w:nsid w:val="59F817E8"/>
    <w:multiLevelType w:val="singleLevel"/>
    <w:tmpl w:val="59F817E8"/>
    <w:lvl w:ilvl="0" w:tentative="0">
      <w:start w:val="1"/>
      <w:numFmt w:val="chineseCounting"/>
      <w:pStyle w:val="66"/>
      <w:suff w:val="nothing"/>
      <w:lvlText w:val="%1、"/>
      <w:lvlJc w:val="left"/>
    </w:lvl>
  </w:abstractNum>
  <w:abstractNum w:abstractNumId="7">
    <w:nsid w:val="630FA47E"/>
    <w:multiLevelType w:val="singleLevel"/>
    <w:tmpl w:val="630FA47E"/>
    <w:lvl w:ilvl="0" w:tentative="0">
      <w:start w:val="1"/>
      <w:numFmt w:val="chineseCounting"/>
      <w:suff w:val="nothing"/>
      <w:lvlText w:val="%1、"/>
      <w:lvlJc w:val="left"/>
      <w:rPr>
        <w:rFonts w:hint="eastAsia"/>
      </w:rPr>
    </w:lvl>
  </w:abstractNum>
  <w:abstractNum w:abstractNumId="8">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1"/>
  </w:num>
  <w:num w:numId="2">
    <w:abstractNumId w:val="2"/>
  </w:num>
  <w:num w:numId="3">
    <w:abstractNumId w:val="6"/>
  </w:num>
  <w:num w:numId="4">
    <w:abstractNumId w:val="0"/>
  </w:num>
  <w:num w:numId="5">
    <w:abstractNumId w:val="7"/>
  </w:num>
  <w:num w:numId="6">
    <w:abstractNumId w:val="10"/>
  </w:num>
  <w:num w:numId="7">
    <w:abstractNumId w:val="3"/>
  </w:num>
  <w:num w:numId="8">
    <w:abstractNumId w:val="8"/>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s>
  <w:rsids>
    <w:rsidRoot w:val="00D51569"/>
    <w:rsid w:val="000069EC"/>
    <w:rsid w:val="00007470"/>
    <w:rsid w:val="000112AC"/>
    <w:rsid w:val="0001195E"/>
    <w:rsid w:val="0001598A"/>
    <w:rsid w:val="000173D4"/>
    <w:rsid w:val="000227BF"/>
    <w:rsid w:val="00023076"/>
    <w:rsid w:val="00030B34"/>
    <w:rsid w:val="00031CF4"/>
    <w:rsid w:val="000418F9"/>
    <w:rsid w:val="00046E42"/>
    <w:rsid w:val="0005454B"/>
    <w:rsid w:val="0007027E"/>
    <w:rsid w:val="00072339"/>
    <w:rsid w:val="00074D05"/>
    <w:rsid w:val="000800D2"/>
    <w:rsid w:val="00080389"/>
    <w:rsid w:val="00083387"/>
    <w:rsid w:val="0008414A"/>
    <w:rsid w:val="00090009"/>
    <w:rsid w:val="00091C9C"/>
    <w:rsid w:val="00095387"/>
    <w:rsid w:val="00096224"/>
    <w:rsid w:val="0009640F"/>
    <w:rsid w:val="000A02BB"/>
    <w:rsid w:val="000A73BC"/>
    <w:rsid w:val="000B3383"/>
    <w:rsid w:val="000B36D7"/>
    <w:rsid w:val="000B4057"/>
    <w:rsid w:val="000B44D3"/>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25A07"/>
    <w:rsid w:val="00134A7E"/>
    <w:rsid w:val="001415B4"/>
    <w:rsid w:val="00147BC4"/>
    <w:rsid w:val="00152541"/>
    <w:rsid w:val="00154EA8"/>
    <w:rsid w:val="001618ED"/>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0524"/>
    <w:rsid w:val="001E25D9"/>
    <w:rsid w:val="001E592F"/>
    <w:rsid w:val="001E76C9"/>
    <w:rsid w:val="001F7199"/>
    <w:rsid w:val="00206982"/>
    <w:rsid w:val="002078AE"/>
    <w:rsid w:val="00210B90"/>
    <w:rsid w:val="00213F11"/>
    <w:rsid w:val="00214892"/>
    <w:rsid w:val="00224D01"/>
    <w:rsid w:val="00231307"/>
    <w:rsid w:val="00234627"/>
    <w:rsid w:val="00241A41"/>
    <w:rsid w:val="002426C4"/>
    <w:rsid w:val="002436B4"/>
    <w:rsid w:val="00246A17"/>
    <w:rsid w:val="00252623"/>
    <w:rsid w:val="00255732"/>
    <w:rsid w:val="002559C0"/>
    <w:rsid w:val="00257206"/>
    <w:rsid w:val="002615C0"/>
    <w:rsid w:val="00262B6F"/>
    <w:rsid w:val="00264014"/>
    <w:rsid w:val="002659C7"/>
    <w:rsid w:val="00266F45"/>
    <w:rsid w:val="00267EE6"/>
    <w:rsid w:val="002709BD"/>
    <w:rsid w:val="002732E0"/>
    <w:rsid w:val="00276150"/>
    <w:rsid w:val="002847E1"/>
    <w:rsid w:val="002871DE"/>
    <w:rsid w:val="002872FE"/>
    <w:rsid w:val="002908DD"/>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46744"/>
    <w:rsid w:val="003509A7"/>
    <w:rsid w:val="003518EF"/>
    <w:rsid w:val="0037221E"/>
    <w:rsid w:val="00375394"/>
    <w:rsid w:val="003812AE"/>
    <w:rsid w:val="00382E5B"/>
    <w:rsid w:val="00386F17"/>
    <w:rsid w:val="003916C5"/>
    <w:rsid w:val="0039230E"/>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3CF2"/>
    <w:rsid w:val="004B620B"/>
    <w:rsid w:val="004B6F24"/>
    <w:rsid w:val="004C1117"/>
    <w:rsid w:val="004C2A4D"/>
    <w:rsid w:val="004D0712"/>
    <w:rsid w:val="004D3082"/>
    <w:rsid w:val="004D7BED"/>
    <w:rsid w:val="004E0DFB"/>
    <w:rsid w:val="004E450C"/>
    <w:rsid w:val="004E547A"/>
    <w:rsid w:val="004E5E79"/>
    <w:rsid w:val="004F1683"/>
    <w:rsid w:val="004F1700"/>
    <w:rsid w:val="00501F13"/>
    <w:rsid w:val="0050326F"/>
    <w:rsid w:val="00504A26"/>
    <w:rsid w:val="00506193"/>
    <w:rsid w:val="0051114C"/>
    <w:rsid w:val="00513C0A"/>
    <w:rsid w:val="00520164"/>
    <w:rsid w:val="005222C3"/>
    <w:rsid w:val="005254AD"/>
    <w:rsid w:val="00527604"/>
    <w:rsid w:val="00532D1B"/>
    <w:rsid w:val="00535B8D"/>
    <w:rsid w:val="00536DD2"/>
    <w:rsid w:val="00540B2F"/>
    <w:rsid w:val="005411DE"/>
    <w:rsid w:val="00546251"/>
    <w:rsid w:val="005462AC"/>
    <w:rsid w:val="0055332A"/>
    <w:rsid w:val="00555EDE"/>
    <w:rsid w:val="0056657E"/>
    <w:rsid w:val="00567C1C"/>
    <w:rsid w:val="005701A3"/>
    <w:rsid w:val="005711DE"/>
    <w:rsid w:val="00571763"/>
    <w:rsid w:val="00573241"/>
    <w:rsid w:val="00575C9D"/>
    <w:rsid w:val="005779B2"/>
    <w:rsid w:val="00581F58"/>
    <w:rsid w:val="00586CD2"/>
    <w:rsid w:val="00592785"/>
    <w:rsid w:val="005940FF"/>
    <w:rsid w:val="00596914"/>
    <w:rsid w:val="005A0C27"/>
    <w:rsid w:val="005A19A9"/>
    <w:rsid w:val="005A225E"/>
    <w:rsid w:val="005A33DA"/>
    <w:rsid w:val="005A49BE"/>
    <w:rsid w:val="005A7E7E"/>
    <w:rsid w:val="005B1144"/>
    <w:rsid w:val="005B14F6"/>
    <w:rsid w:val="005B180E"/>
    <w:rsid w:val="005B39AC"/>
    <w:rsid w:val="005B4048"/>
    <w:rsid w:val="005B511E"/>
    <w:rsid w:val="005B7E03"/>
    <w:rsid w:val="005C09F8"/>
    <w:rsid w:val="005C21AE"/>
    <w:rsid w:val="005C4642"/>
    <w:rsid w:val="005D1597"/>
    <w:rsid w:val="005D4EBE"/>
    <w:rsid w:val="005D51C3"/>
    <w:rsid w:val="005D6674"/>
    <w:rsid w:val="005F4274"/>
    <w:rsid w:val="00600324"/>
    <w:rsid w:val="00603ED5"/>
    <w:rsid w:val="00605FD5"/>
    <w:rsid w:val="00612130"/>
    <w:rsid w:val="00614C74"/>
    <w:rsid w:val="00622142"/>
    <w:rsid w:val="006230E7"/>
    <w:rsid w:val="00630932"/>
    <w:rsid w:val="00631795"/>
    <w:rsid w:val="0063252A"/>
    <w:rsid w:val="00636AAD"/>
    <w:rsid w:val="00637A19"/>
    <w:rsid w:val="0064175E"/>
    <w:rsid w:val="00642E4D"/>
    <w:rsid w:val="00645105"/>
    <w:rsid w:val="00650176"/>
    <w:rsid w:val="00651710"/>
    <w:rsid w:val="00652F79"/>
    <w:rsid w:val="0065322E"/>
    <w:rsid w:val="006533B0"/>
    <w:rsid w:val="00654154"/>
    <w:rsid w:val="0065447A"/>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C4E06"/>
    <w:rsid w:val="006C6F1B"/>
    <w:rsid w:val="006D0369"/>
    <w:rsid w:val="006D2CF0"/>
    <w:rsid w:val="006D2D95"/>
    <w:rsid w:val="006D71B0"/>
    <w:rsid w:val="006D71DF"/>
    <w:rsid w:val="006E21C6"/>
    <w:rsid w:val="006F1019"/>
    <w:rsid w:val="006F15D2"/>
    <w:rsid w:val="006F7C4F"/>
    <w:rsid w:val="007050C8"/>
    <w:rsid w:val="00714D78"/>
    <w:rsid w:val="00724498"/>
    <w:rsid w:val="007303E5"/>
    <w:rsid w:val="00733E11"/>
    <w:rsid w:val="00736C7C"/>
    <w:rsid w:val="0075258E"/>
    <w:rsid w:val="00752DA3"/>
    <w:rsid w:val="007622D4"/>
    <w:rsid w:val="00763CD2"/>
    <w:rsid w:val="0076522A"/>
    <w:rsid w:val="007707E3"/>
    <w:rsid w:val="00772353"/>
    <w:rsid w:val="0077399E"/>
    <w:rsid w:val="00775E81"/>
    <w:rsid w:val="0078097A"/>
    <w:rsid w:val="00783715"/>
    <w:rsid w:val="007873DE"/>
    <w:rsid w:val="0078746E"/>
    <w:rsid w:val="0078798E"/>
    <w:rsid w:val="00791B7A"/>
    <w:rsid w:val="007A1051"/>
    <w:rsid w:val="007A5A56"/>
    <w:rsid w:val="007A7C26"/>
    <w:rsid w:val="007B2B51"/>
    <w:rsid w:val="007B7FCE"/>
    <w:rsid w:val="007C0625"/>
    <w:rsid w:val="007C1E03"/>
    <w:rsid w:val="007C74CE"/>
    <w:rsid w:val="007E5B97"/>
    <w:rsid w:val="007E6BFA"/>
    <w:rsid w:val="007E6FAA"/>
    <w:rsid w:val="007F042C"/>
    <w:rsid w:val="007F216A"/>
    <w:rsid w:val="007F22FC"/>
    <w:rsid w:val="007F4688"/>
    <w:rsid w:val="008040FC"/>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77984"/>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99D"/>
    <w:rsid w:val="00946F0D"/>
    <w:rsid w:val="00951D5E"/>
    <w:rsid w:val="009564F5"/>
    <w:rsid w:val="0096341B"/>
    <w:rsid w:val="00965EE4"/>
    <w:rsid w:val="009703B2"/>
    <w:rsid w:val="00971959"/>
    <w:rsid w:val="00971CF1"/>
    <w:rsid w:val="00971DF8"/>
    <w:rsid w:val="009739C3"/>
    <w:rsid w:val="009748D7"/>
    <w:rsid w:val="009757E6"/>
    <w:rsid w:val="00983B30"/>
    <w:rsid w:val="009853BF"/>
    <w:rsid w:val="0098663F"/>
    <w:rsid w:val="00992786"/>
    <w:rsid w:val="00992A2E"/>
    <w:rsid w:val="00992AB2"/>
    <w:rsid w:val="00996D87"/>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4FA2"/>
    <w:rsid w:val="009D63BC"/>
    <w:rsid w:val="009E135A"/>
    <w:rsid w:val="009E2327"/>
    <w:rsid w:val="009E2A41"/>
    <w:rsid w:val="009E3AD6"/>
    <w:rsid w:val="009E53E2"/>
    <w:rsid w:val="009F2898"/>
    <w:rsid w:val="009F3688"/>
    <w:rsid w:val="00A0082D"/>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B6C"/>
    <w:rsid w:val="00A95C8D"/>
    <w:rsid w:val="00A95EA0"/>
    <w:rsid w:val="00A96F5A"/>
    <w:rsid w:val="00AA0B3A"/>
    <w:rsid w:val="00AA23BA"/>
    <w:rsid w:val="00AA6F4A"/>
    <w:rsid w:val="00AB15FD"/>
    <w:rsid w:val="00AB37ED"/>
    <w:rsid w:val="00AC081D"/>
    <w:rsid w:val="00AC5A33"/>
    <w:rsid w:val="00AC766D"/>
    <w:rsid w:val="00AC7F46"/>
    <w:rsid w:val="00AD442D"/>
    <w:rsid w:val="00AD77A9"/>
    <w:rsid w:val="00AE142E"/>
    <w:rsid w:val="00AE3026"/>
    <w:rsid w:val="00AE3F48"/>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0CD0"/>
    <w:rsid w:val="00B44C64"/>
    <w:rsid w:val="00B44FF5"/>
    <w:rsid w:val="00B51CBD"/>
    <w:rsid w:val="00B52793"/>
    <w:rsid w:val="00B5412E"/>
    <w:rsid w:val="00B6230B"/>
    <w:rsid w:val="00B62649"/>
    <w:rsid w:val="00B62715"/>
    <w:rsid w:val="00B723D2"/>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4562"/>
    <w:rsid w:val="00BF49BB"/>
    <w:rsid w:val="00BF6206"/>
    <w:rsid w:val="00BF6B3B"/>
    <w:rsid w:val="00C02173"/>
    <w:rsid w:val="00C0537F"/>
    <w:rsid w:val="00C13A29"/>
    <w:rsid w:val="00C14BFB"/>
    <w:rsid w:val="00C21F92"/>
    <w:rsid w:val="00C24F01"/>
    <w:rsid w:val="00C25F2B"/>
    <w:rsid w:val="00C27457"/>
    <w:rsid w:val="00C318AC"/>
    <w:rsid w:val="00C32265"/>
    <w:rsid w:val="00C32DA0"/>
    <w:rsid w:val="00C3589C"/>
    <w:rsid w:val="00C35F7B"/>
    <w:rsid w:val="00C43592"/>
    <w:rsid w:val="00C44F98"/>
    <w:rsid w:val="00C46F35"/>
    <w:rsid w:val="00C513E0"/>
    <w:rsid w:val="00C51450"/>
    <w:rsid w:val="00C52D91"/>
    <w:rsid w:val="00C53C71"/>
    <w:rsid w:val="00C54034"/>
    <w:rsid w:val="00C54556"/>
    <w:rsid w:val="00C56D2B"/>
    <w:rsid w:val="00C57617"/>
    <w:rsid w:val="00C60B8E"/>
    <w:rsid w:val="00C67918"/>
    <w:rsid w:val="00C73C00"/>
    <w:rsid w:val="00C73DB4"/>
    <w:rsid w:val="00C75839"/>
    <w:rsid w:val="00C80C5C"/>
    <w:rsid w:val="00C81686"/>
    <w:rsid w:val="00C83353"/>
    <w:rsid w:val="00C8359A"/>
    <w:rsid w:val="00C84321"/>
    <w:rsid w:val="00C87D15"/>
    <w:rsid w:val="00C958B7"/>
    <w:rsid w:val="00C968BF"/>
    <w:rsid w:val="00CA3DC9"/>
    <w:rsid w:val="00CB1679"/>
    <w:rsid w:val="00CC1F2F"/>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21B0"/>
    <w:rsid w:val="00D82300"/>
    <w:rsid w:val="00D82E65"/>
    <w:rsid w:val="00D955CB"/>
    <w:rsid w:val="00D96B66"/>
    <w:rsid w:val="00DA2DBB"/>
    <w:rsid w:val="00DB0E94"/>
    <w:rsid w:val="00DB3D3C"/>
    <w:rsid w:val="00DB4EA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38C7"/>
    <w:rsid w:val="00E34CB3"/>
    <w:rsid w:val="00E410FF"/>
    <w:rsid w:val="00E47083"/>
    <w:rsid w:val="00E52555"/>
    <w:rsid w:val="00E52CC2"/>
    <w:rsid w:val="00E5529D"/>
    <w:rsid w:val="00E60BAE"/>
    <w:rsid w:val="00E635CF"/>
    <w:rsid w:val="00E7064E"/>
    <w:rsid w:val="00E7195A"/>
    <w:rsid w:val="00E722B7"/>
    <w:rsid w:val="00E73C1D"/>
    <w:rsid w:val="00E77ABE"/>
    <w:rsid w:val="00E8777D"/>
    <w:rsid w:val="00E909DB"/>
    <w:rsid w:val="00E923D8"/>
    <w:rsid w:val="00E971A0"/>
    <w:rsid w:val="00EA0AC6"/>
    <w:rsid w:val="00EA2482"/>
    <w:rsid w:val="00EA2C50"/>
    <w:rsid w:val="00EA7A5F"/>
    <w:rsid w:val="00EB129D"/>
    <w:rsid w:val="00EB28B0"/>
    <w:rsid w:val="00EC484B"/>
    <w:rsid w:val="00EC4B87"/>
    <w:rsid w:val="00EC5194"/>
    <w:rsid w:val="00EC600B"/>
    <w:rsid w:val="00ED390E"/>
    <w:rsid w:val="00ED5C44"/>
    <w:rsid w:val="00ED72AF"/>
    <w:rsid w:val="00ED7B22"/>
    <w:rsid w:val="00EE03C4"/>
    <w:rsid w:val="00EE07D8"/>
    <w:rsid w:val="00EE2C71"/>
    <w:rsid w:val="00EE74E8"/>
    <w:rsid w:val="00EF0221"/>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655"/>
    <w:rsid w:val="00F64A3F"/>
    <w:rsid w:val="00F66AF5"/>
    <w:rsid w:val="00F67C47"/>
    <w:rsid w:val="00F77BE2"/>
    <w:rsid w:val="00F80181"/>
    <w:rsid w:val="00F80C67"/>
    <w:rsid w:val="00F82BA2"/>
    <w:rsid w:val="00F92BFB"/>
    <w:rsid w:val="00F9441A"/>
    <w:rsid w:val="00FA0047"/>
    <w:rsid w:val="00FA44E8"/>
    <w:rsid w:val="00FA6EDD"/>
    <w:rsid w:val="00FB2E22"/>
    <w:rsid w:val="00FB5348"/>
    <w:rsid w:val="00FB5796"/>
    <w:rsid w:val="00FB6F1A"/>
    <w:rsid w:val="00FC04EC"/>
    <w:rsid w:val="00FC302B"/>
    <w:rsid w:val="00FC5DCD"/>
    <w:rsid w:val="00FD14EE"/>
    <w:rsid w:val="00FD2FCB"/>
    <w:rsid w:val="00FD37A3"/>
    <w:rsid w:val="00FE5AD6"/>
    <w:rsid w:val="00FF04A6"/>
    <w:rsid w:val="011D2710"/>
    <w:rsid w:val="015E675E"/>
    <w:rsid w:val="01AC6CD8"/>
    <w:rsid w:val="01CD2E9D"/>
    <w:rsid w:val="020E02AA"/>
    <w:rsid w:val="02257485"/>
    <w:rsid w:val="023B7AFE"/>
    <w:rsid w:val="02EA4E80"/>
    <w:rsid w:val="033321E5"/>
    <w:rsid w:val="036412FD"/>
    <w:rsid w:val="03642F3A"/>
    <w:rsid w:val="050C464D"/>
    <w:rsid w:val="05251973"/>
    <w:rsid w:val="05B54F34"/>
    <w:rsid w:val="05D102A2"/>
    <w:rsid w:val="0652201E"/>
    <w:rsid w:val="065C4178"/>
    <w:rsid w:val="066C351A"/>
    <w:rsid w:val="067D3496"/>
    <w:rsid w:val="06E371F8"/>
    <w:rsid w:val="070E3765"/>
    <w:rsid w:val="07733ED3"/>
    <w:rsid w:val="07777916"/>
    <w:rsid w:val="079A26F9"/>
    <w:rsid w:val="079A689E"/>
    <w:rsid w:val="0804293C"/>
    <w:rsid w:val="082C4FE6"/>
    <w:rsid w:val="088E2DA9"/>
    <w:rsid w:val="09C37472"/>
    <w:rsid w:val="0A2D0C1C"/>
    <w:rsid w:val="0A473E93"/>
    <w:rsid w:val="0A746776"/>
    <w:rsid w:val="0A927DA2"/>
    <w:rsid w:val="0AD32B7F"/>
    <w:rsid w:val="0AFF60DE"/>
    <w:rsid w:val="0B8C6B1D"/>
    <w:rsid w:val="0C904259"/>
    <w:rsid w:val="0C981A08"/>
    <w:rsid w:val="0C9B273A"/>
    <w:rsid w:val="0CDC0459"/>
    <w:rsid w:val="0CE85A8D"/>
    <w:rsid w:val="0D185B61"/>
    <w:rsid w:val="0D2622BF"/>
    <w:rsid w:val="0D6026F2"/>
    <w:rsid w:val="0D6975D2"/>
    <w:rsid w:val="0DD3723A"/>
    <w:rsid w:val="0E14442A"/>
    <w:rsid w:val="0EAA0890"/>
    <w:rsid w:val="0EDC43A3"/>
    <w:rsid w:val="0EE9262B"/>
    <w:rsid w:val="0EE97B8E"/>
    <w:rsid w:val="0EED42F1"/>
    <w:rsid w:val="0EF80A44"/>
    <w:rsid w:val="0F0F0F63"/>
    <w:rsid w:val="0F292F65"/>
    <w:rsid w:val="0F3B3D47"/>
    <w:rsid w:val="0F961F0A"/>
    <w:rsid w:val="0FDD7B3F"/>
    <w:rsid w:val="109630D4"/>
    <w:rsid w:val="10D5709A"/>
    <w:rsid w:val="11213053"/>
    <w:rsid w:val="11A93813"/>
    <w:rsid w:val="1215360D"/>
    <w:rsid w:val="123E4294"/>
    <w:rsid w:val="12EC456E"/>
    <w:rsid w:val="12F9459F"/>
    <w:rsid w:val="13557D81"/>
    <w:rsid w:val="13706DBD"/>
    <w:rsid w:val="13C72FDB"/>
    <w:rsid w:val="13F255EB"/>
    <w:rsid w:val="13FF1FA1"/>
    <w:rsid w:val="144362BE"/>
    <w:rsid w:val="14737324"/>
    <w:rsid w:val="148D6DCE"/>
    <w:rsid w:val="14A37090"/>
    <w:rsid w:val="14D86122"/>
    <w:rsid w:val="14EA3CF5"/>
    <w:rsid w:val="150C4F0B"/>
    <w:rsid w:val="155F3801"/>
    <w:rsid w:val="159F7737"/>
    <w:rsid w:val="15C72F70"/>
    <w:rsid w:val="1644527A"/>
    <w:rsid w:val="16884EA2"/>
    <w:rsid w:val="16F60120"/>
    <w:rsid w:val="17636C96"/>
    <w:rsid w:val="176C0575"/>
    <w:rsid w:val="177E15D6"/>
    <w:rsid w:val="17B30CC5"/>
    <w:rsid w:val="17C42EFF"/>
    <w:rsid w:val="17CD65DD"/>
    <w:rsid w:val="17EA51A2"/>
    <w:rsid w:val="185B5194"/>
    <w:rsid w:val="18856BD6"/>
    <w:rsid w:val="18BA00F9"/>
    <w:rsid w:val="194D2A56"/>
    <w:rsid w:val="1A181462"/>
    <w:rsid w:val="1A393593"/>
    <w:rsid w:val="1A464258"/>
    <w:rsid w:val="1AB634E7"/>
    <w:rsid w:val="1BAC3676"/>
    <w:rsid w:val="1BD03EF1"/>
    <w:rsid w:val="1BFD3750"/>
    <w:rsid w:val="1C0D0E22"/>
    <w:rsid w:val="1C3C6048"/>
    <w:rsid w:val="1CA75985"/>
    <w:rsid w:val="1CCF1ADD"/>
    <w:rsid w:val="1CD8278F"/>
    <w:rsid w:val="1D3D2567"/>
    <w:rsid w:val="1D9A4838"/>
    <w:rsid w:val="1DD64980"/>
    <w:rsid w:val="1DE978C4"/>
    <w:rsid w:val="1DEF574F"/>
    <w:rsid w:val="1E2051B0"/>
    <w:rsid w:val="1E521E5C"/>
    <w:rsid w:val="1ED878F4"/>
    <w:rsid w:val="1F1675B1"/>
    <w:rsid w:val="1F9A2354"/>
    <w:rsid w:val="1FDB1308"/>
    <w:rsid w:val="201B693E"/>
    <w:rsid w:val="20AB5326"/>
    <w:rsid w:val="21200178"/>
    <w:rsid w:val="2137422A"/>
    <w:rsid w:val="219F0AC7"/>
    <w:rsid w:val="226513C9"/>
    <w:rsid w:val="23F32A04"/>
    <w:rsid w:val="245F1FE8"/>
    <w:rsid w:val="24844ADB"/>
    <w:rsid w:val="24B72FF5"/>
    <w:rsid w:val="24E915BF"/>
    <w:rsid w:val="251534E7"/>
    <w:rsid w:val="254D4EA0"/>
    <w:rsid w:val="26217A03"/>
    <w:rsid w:val="262640BE"/>
    <w:rsid w:val="27187E25"/>
    <w:rsid w:val="271E248E"/>
    <w:rsid w:val="27821D05"/>
    <w:rsid w:val="27E7184E"/>
    <w:rsid w:val="27FE437C"/>
    <w:rsid w:val="280110F2"/>
    <w:rsid w:val="284941DC"/>
    <w:rsid w:val="28F633C2"/>
    <w:rsid w:val="292F32B9"/>
    <w:rsid w:val="29A97796"/>
    <w:rsid w:val="2A1F45FB"/>
    <w:rsid w:val="2A5C4C80"/>
    <w:rsid w:val="2A9B65A1"/>
    <w:rsid w:val="2AA71F8F"/>
    <w:rsid w:val="2AC228C2"/>
    <w:rsid w:val="2AC33130"/>
    <w:rsid w:val="2AEB1F08"/>
    <w:rsid w:val="2B8A2452"/>
    <w:rsid w:val="2BB232BD"/>
    <w:rsid w:val="2BBB0CAB"/>
    <w:rsid w:val="2BF73FF5"/>
    <w:rsid w:val="2C12402E"/>
    <w:rsid w:val="2C2B746F"/>
    <w:rsid w:val="2C8B3664"/>
    <w:rsid w:val="2CB55A9D"/>
    <w:rsid w:val="2E5B51FD"/>
    <w:rsid w:val="2E5C09FD"/>
    <w:rsid w:val="2EA75B0A"/>
    <w:rsid w:val="2EC8588E"/>
    <w:rsid w:val="2ECF07BC"/>
    <w:rsid w:val="2ED955F4"/>
    <w:rsid w:val="2F0F4330"/>
    <w:rsid w:val="2F9D4845"/>
    <w:rsid w:val="30033BF1"/>
    <w:rsid w:val="301A7EDF"/>
    <w:rsid w:val="310B75DF"/>
    <w:rsid w:val="3163741B"/>
    <w:rsid w:val="316A69FC"/>
    <w:rsid w:val="318B7228"/>
    <w:rsid w:val="32493792"/>
    <w:rsid w:val="32733DFC"/>
    <w:rsid w:val="32A366B2"/>
    <w:rsid w:val="32BA2D96"/>
    <w:rsid w:val="32C20171"/>
    <w:rsid w:val="3348062E"/>
    <w:rsid w:val="3363327C"/>
    <w:rsid w:val="34AE374B"/>
    <w:rsid w:val="3560378B"/>
    <w:rsid w:val="35827561"/>
    <w:rsid w:val="35AD3EF5"/>
    <w:rsid w:val="35B07A97"/>
    <w:rsid w:val="35B53B02"/>
    <w:rsid w:val="35E717ED"/>
    <w:rsid w:val="36A04C6E"/>
    <w:rsid w:val="36AC44ED"/>
    <w:rsid w:val="36DC44A4"/>
    <w:rsid w:val="371619FA"/>
    <w:rsid w:val="37256657"/>
    <w:rsid w:val="373607C6"/>
    <w:rsid w:val="375C57D8"/>
    <w:rsid w:val="37C170DA"/>
    <w:rsid w:val="38BA74E9"/>
    <w:rsid w:val="38DF726B"/>
    <w:rsid w:val="38FB618B"/>
    <w:rsid w:val="396963F9"/>
    <w:rsid w:val="398F18A7"/>
    <w:rsid w:val="3A4B28EC"/>
    <w:rsid w:val="3A6A2923"/>
    <w:rsid w:val="3A860534"/>
    <w:rsid w:val="3AB0548E"/>
    <w:rsid w:val="3B1F0857"/>
    <w:rsid w:val="3B1F636E"/>
    <w:rsid w:val="3B2A07E1"/>
    <w:rsid w:val="3B5B4B17"/>
    <w:rsid w:val="3BA20695"/>
    <w:rsid w:val="3C047A4D"/>
    <w:rsid w:val="3C3257B6"/>
    <w:rsid w:val="3C3E7500"/>
    <w:rsid w:val="3C575DCE"/>
    <w:rsid w:val="3C99413F"/>
    <w:rsid w:val="3CA62872"/>
    <w:rsid w:val="3CF133C8"/>
    <w:rsid w:val="3CFC65CB"/>
    <w:rsid w:val="3D2C725B"/>
    <w:rsid w:val="3E0D4F54"/>
    <w:rsid w:val="3ECE16C0"/>
    <w:rsid w:val="3EFE4198"/>
    <w:rsid w:val="3FB66E29"/>
    <w:rsid w:val="4057096D"/>
    <w:rsid w:val="40E9662B"/>
    <w:rsid w:val="40F12E27"/>
    <w:rsid w:val="417325FA"/>
    <w:rsid w:val="41E424CB"/>
    <w:rsid w:val="42042EE5"/>
    <w:rsid w:val="42745016"/>
    <w:rsid w:val="42747AC2"/>
    <w:rsid w:val="43963680"/>
    <w:rsid w:val="43F565F9"/>
    <w:rsid w:val="4427077C"/>
    <w:rsid w:val="45107DD5"/>
    <w:rsid w:val="454D157F"/>
    <w:rsid w:val="459C04E5"/>
    <w:rsid w:val="45AF2DEC"/>
    <w:rsid w:val="45E43B02"/>
    <w:rsid w:val="467847B1"/>
    <w:rsid w:val="4685446D"/>
    <w:rsid w:val="4748383D"/>
    <w:rsid w:val="476D64A6"/>
    <w:rsid w:val="47D81C67"/>
    <w:rsid w:val="480C2163"/>
    <w:rsid w:val="483327C3"/>
    <w:rsid w:val="484A2A04"/>
    <w:rsid w:val="48623B31"/>
    <w:rsid w:val="487B1FD3"/>
    <w:rsid w:val="487F52F6"/>
    <w:rsid w:val="48DD1682"/>
    <w:rsid w:val="48FE1123"/>
    <w:rsid w:val="4918629F"/>
    <w:rsid w:val="493E22E0"/>
    <w:rsid w:val="497D28F0"/>
    <w:rsid w:val="4A895B10"/>
    <w:rsid w:val="4B4635F5"/>
    <w:rsid w:val="4B49722A"/>
    <w:rsid w:val="4BA17E79"/>
    <w:rsid w:val="4C130973"/>
    <w:rsid w:val="4C952604"/>
    <w:rsid w:val="4CB44E0F"/>
    <w:rsid w:val="4CD07AB6"/>
    <w:rsid w:val="4CEE64C1"/>
    <w:rsid w:val="4D6F2CBC"/>
    <w:rsid w:val="4DA218C8"/>
    <w:rsid w:val="4E6F2656"/>
    <w:rsid w:val="4EAA4484"/>
    <w:rsid w:val="4EC04089"/>
    <w:rsid w:val="4EC512BE"/>
    <w:rsid w:val="4ECB4EC5"/>
    <w:rsid w:val="4F22226C"/>
    <w:rsid w:val="4F4541AF"/>
    <w:rsid w:val="4F492AE7"/>
    <w:rsid w:val="4FFF435B"/>
    <w:rsid w:val="505E73A8"/>
    <w:rsid w:val="50777382"/>
    <w:rsid w:val="50C40376"/>
    <w:rsid w:val="51363D96"/>
    <w:rsid w:val="518365E9"/>
    <w:rsid w:val="522A5218"/>
    <w:rsid w:val="5441470B"/>
    <w:rsid w:val="551D69F3"/>
    <w:rsid w:val="55213467"/>
    <w:rsid w:val="552C60AE"/>
    <w:rsid w:val="55423AE9"/>
    <w:rsid w:val="557003EF"/>
    <w:rsid w:val="55765394"/>
    <w:rsid w:val="559346D9"/>
    <w:rsid w:val="55CD5ACF"/>
    <w:rsid w:val="55D41375"/>
    <w:rsid w:val="561E2226"/>
    <w:rsid w:val="567177FF"/>
    <w:rsid w:val="56E10C5F"/>
    <w:rsid w:val="570D2635"/>
    <w:rsid w:val="571E77BD"/>
    <w:rsid w:val="572801D7"/>
    <w:rsid w:val="57321D93"/>
    <w:rsid w:val="575A15AB"/>
    <w:rsid w:val="575D02CE"/>
    <w:rsid w:val="5785131D"/>
    <w:rsid w:val="57D83E10"/>
    <w:rsid w:val="589954DC"/>
    <w:rsid w:val="58E77692"/>
    <w:rsid w:val="59115A9D"/>
    <w:rsid w:val="5927426C"/>
    <w:rsid w:val="59B06C06"/>
    <w:rsid w:val="5A482C64"/>
    <w:rsid w:val="5AAC31FA"/>
    <w:rsid w:val="5AB00F9E"/>
    <w:rsid w:val="5AD3266C"/>
    <w:rsid w:val="5BA0191B"/>
    <w:rsid w:val="5BAB69DB"/>
    <w:rsid w:val="5C4442F2"/>
    <w:rsid w:val="5C727A2A"/>
    <w:rsid w:val="5CCF49AE"/>
    <w:rsid w:val="5CD214C7"/>
    <w:rsid w:val="5CD379FF"/>
    <w:rsid w:val="5CDF79EE"/>
    <w:rsid w:val="5D0F245D"/>
    <w:rsid w:val="5D520EA4"/>
    <w:rsid w:val="5D9728C7"/>
    <w:rsid w:val="5DB53F06"/>
    <w:rsid w:val="5DBC5230"/>
    <w:rsid w:val="5DFB2CE6"/>
    <w:rsid w:val="5E2574B5"/>
    <w:rsid w:val="5E613959"/>
    <w:rsid w:val="5E6C1665"/>
    <w:rsid w:val="5F3B723E"/>
    <w:rsid w:val="5FCA2E7D"/>
    <w:rsid w:val="5FCD53E2"/>
    <w:rsid w:val="5FEB7EAE"/>
    <w:rsid w:val="60755A9B"/>
    <w:rsid w:val="607C7F63"/>
    <w:rsid w:val="608821DD"/>
    <w:rsid w:val="60F77E3E"/>
    <w:rsid w:val="614A4B79"/>
    <w:rsid w:val="616A214F"/>
    <w:rsid w:val="61B41E84"/>
    <w:rsid w:val="621D6EE4"/>
    <w:rsid w:val="62256567"/>
    <w:rsid w:val="6243006B"/>
    <w:rsid w:val="624B4636"/>
    <w:rsid w:val="625247BE"/>
    <w:rsid w:val="6292525E"/>
    <w:rsid w:val="62CD7249"/>
    <w:rsid w:val="640038EE"/>
    <w:rsid w:val="644A174B"/>
    <w:rsid w:val="644B413F"/>
    <w:rsid w:val="64680489"/>
    <w:rsid w:val="64DF582C"/>
    <w:rsid w:val="64EA2CC0"/>
    <w:rsid w:val="654B64F1"/>
    <w:rsid w:val="656D5A41"/>
    <w:rsid w:val="65A83B86"/>
    <w:rsid w:val="662C3C0B"/>
    <w:rsid w:val="6666518A"/>
    <w:rsid w:val="66A36C22"/>
    <w:rsid w:val="67140EB3"/>
    <w:rsid w:val="6765707C"/>
    <w:rsid w:val="67F95D09"/>
    <w:rsid w:val="68080DC2"/>
    <w:rsid w:val="68133FA1"/>
    <w:rsid w:val="68853B44"/>
    <w:rsid w:val="68B92688"/>
    <w:rsid w:val="69983BC4"/>
    <w:rsid w:val="69C2222A"/>
    <w:rsid w:val="69DB7ED9"/>
    <w:rsid w:val="6AFF61FD"/>
    <w:rsid w:val="6B1322D3"/>
    <w:rsid w:val="6BC54C0A"/>
    <w:rsid w:val="6C187E23"/>
    <w:rsid w:val="6C225202"/>
    <w:rsid w:val="6C331F42"/>
    <w:rsid w:val="6D003FEE"/>
    <w:rsid w:val="6D7F41B1"/>
    <w:rsid w:val="6DA76189"/>
    <w:rsid w:val="6DCC1A87"/>
    <w:rsid w:val="6DEA209F"/>
    <w:rsid w:val="6E371B75"/>
    <w:rsid w:val="6E3D3992"/>
    <w:rsid w:val="6E8F3771"/>
    <w:rsid w:val="6FCF56A0"/>
    <w:rsid w:val="708E3211"/>
    <w:rsid w:val="70A46938"/>
    <w:rsid w:val="70B346F0"/>
    <w:rsid w:val="70FC66ED"/>
    <w:rsid w:val="713779A1"/>
    <w:rsid w:val="71570483"/>
    <w:rsid w:val="718E5927"/>
    <w:rsid w:val="719B1FB7"/>
    <w:rsid w:val="71EB4281"/>
    <w:rsid w:val="71ED2F81"/>
    <w:rsid w:val="725310CC"/>
    <w:rsid w:val="72827E86"/>
    <w:rsid w:val="72BC4BA5"/>
    <w:rsid w:val="73B04761"/>
    <w:rsid w:val="742E153F"/>
    <w:rsid w:val="748B1FFA"/>
    <w:rsid w:val="74F31E31"/>
    <w:rsid w:val="75082170"/>
    <w:rsid w:val="75535311"/>
    <w:rsid w:val="755440B2"/>
    <w:rsid w:val="75BC2C57"/>
    <w:rsid w:val="76173278"/>
    <w:rsid w:val="768E15B5"/>
    <w:rsid w:val="76DA1652"/>
    <w:rsid w:val="76FC7A2C"/>
    <w:rsid w:val="770D75B6"/>
    <w:rsid w:val="77374253"/>
    <w:rsid w:val="776412E5"/>
    <w:rsid w:val="776E4D1A"/>
    <w:rsid w:val="77765373"/>
    <w:rsid w:val="77C720FB"/>
    <w:rsid w:val="78535399"/>
    <w:rsid w:val="79703A50"/>
    <w:rsid w:val="79C40BAA"/>
    <w:rsid w:val="7A3A3C5D"/>
    <w:rsid w:val="7A4C3D6B"/>
    <w:rsid w:val="7A5423D9"/>
    <w:rsid w:val="7A9343F5"/>
    <w:rsid w:val="7B40242B"/>
    <w:rsid w:val="7B63605C"/>
    <w:rsid w:val="7B7E6E23"/>
    <w:rsid w:val="7B7F0BFB"/>
    <w:rsid w:val="7BA54B1B"/>
    <w:rsid w:val="7BA57168"/>
    <w:rsid w:val="7C314A06"/>
    <w:rsid w:val="7C433F8A"/>
    <w:rsid w:val="7C5B3AC3"/>
    <w:rsid w:val="7C9A726F"/>
    <w:rsid w:val="7CDF1A1D"/>
    <w:rsid w:val="7D6A2E66"/>
    <w:rsid w:val="7DCC1688"/>
    <w:rsid w:val="7DE36F48"/>
    <w:rsid w:val="7DED0700"/>
    <w:rsid w:val="7E76666C"/>
    <w:rsid w:val="7EC84FDE"/>
    <w:rsid w:val="7F0005FE"/>
    <w:rsid w:val="7F075501"/>
    <w:rsid w:val="7F255404"/>
    <w:rsid w:val="7F743B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12">
    <w:name w:val="heading 5"/>
    <w:basedOn w:val="1"/>
    <w:next w:val="1"/>
    <w:semiHidden/>
    <w:unhideWhenUsed/>
    <w:qFormat/>
    <w:uiPriority w:val="9"/>
    <w:pPr>
      <w:keepNext/>
      <w:keepLines/>
      <w:spacing w:before="280" w:after="290"/>
      <w:jc w:val="center"/>
      <w:outlineLvl w:val="4"/>
    </w:pPr>
    <w:rPr>
      <w:rFonts w:ascii="Calibri" w:hAnsi="Calibri"/>
      <w:b/>
      <w:bCs/>
      <w:szCs w:val="28"/>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4"/>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3"/>
    <w:semiHidden/>
    <w:unhideWhenUsed/>
    <w:qFormat/>
    <w:uiPriority w:val="99"/>
    <w:pPr>
      <w:spacing w:after="120"/>
    </w:pPr>
  </w:style>
  <w:style w:type="paragraph" w:customStyle="1" w:styleId="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
    <w:name w:val="Body Text First Indent 2"/>
    <w:basedOn w:val="6"/>
    <w:next w:val="1"/>
    <w:link w:val="67"/>
    <w:semiHidden/>
    <w:unhideWhenUsed/>
    <w:qFormat/>
    <w:uiPriority w:val="99"/>
    <w:pPr>
      <w:adjustRightInd/>
      <w:spacing w:line="240" w:lineRule="auto"/>
      <w:ind w:firstLine="420" w:firstLineChars="200"/>
      <w:jc w:val="both"/>
      <w:textAlignment w:val="auto"/>
    </w:pPr>
    <w:rPr>
      <w:kern w:val="2"/>
      <w:sz w:val="21"/>
      <w:szCs w:val="22"/>
    </w:rPr>
  </w:style>
  <w:style w:type="paragraph" w:styleId="6">
    <w:name w:val="Body Text Indent"/>
    <w:basedOn w:val="1"/>
    <w:next w:val="7"/>
    <w:link w:val="45"/>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13">
    <w:name w:val="Normal Indent"/>
    <w:basedOn w:val="1"/>
    <w:qFormat/>
    <w:uiPriority w:val="0"/>
    <w:pPr>
      <w:ind w:firstLine="425"/>
    </w:pPr>
    <w:rPr>
      <w:rFonts w:ascii="Times New Roman" w:hAnsi="Times New Roman" w:eastAsia="宋体" w:cs="Times New Roman"/>
      <w:szCs w:val="20"/>
    </w:rPr>
  </w:style>
  <w:style w:type="paragraph" w:styleId="14">
    <w:name w:val="caption"/>
    <w:basedOn w:val="1"/>
    <w:next w:val="1"/>
    <w:qFormat/>
    <w:uiPriority w:val="0"/>
    <w:rPr>
      <w:rFonts w:ascii="Arial" w:hAnsi="Arial" w:eastAsia="黑体" w:cs="Arial"/>
      <w:sz w:val="20"/>
      <w:szCs w:val="20"/>
    </w:rPr>
  </w:style>
  <w:style w:type="paragraph" w:styleId="15">
    <w:name w:val="Body Text 3"/>
    <w:basedOn w:val="1"/>
    <w:link w:val="42"/>
    <w:qFormat/>
    <w:uiPriority w:val="0"/>
    <w:rPr>
      <w:rFonts w:ascii="Times New Roman" w:hAnsi="Times New Roman" w:eastAsia="宋体" w:cs="Times New Roman"/>
      <w:color w:val="FF0000"/>
      <w:sz w:val="24"/>
      <w:szCs w:val="24"/>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6"/>
    <w:qFormat/>
    <w:uiPriority w:val="0"/>
    <w:rPr>
      <w:rFonts w:eastAsia="宋体"/>
      <w:sz w:val="24"/>
    </w:rPr>
  </w:style>
  <w:style w:type="paragraph" w:styleId="19">
    <w:name w:val="Date"/>
    <w:basedOn w:val="1"/>
    <w:next w:val="1"/>
    <w:link w:val="47"/>
    <w:unhideWhenUsed/>
    <w:qFormat/>
    <w:uiPriority w:val="99"/>
    <w:pPr>
      <w:ind w:left="100" w:leftChars="2500"/>
    </w:pPr>
  </w:style>
  <w:style w:type="paragraph" w:styleId="20">
    <w:name w:val="Balloon Text"/>
    <w:basedOn w:val="1"/>
    <w:link w:val="49"/>
    <w:semiHidden/>
    <w:unhideWhenUsed/>
    <w:qFormat/>
    <w:uiPriority w:val="99"/>
    <w:rPr>
      <w:sz w:val="18"/>
      <w:szCs w:val="18"/>
    </w:rPr>
  </w:style>
  <w:style w:type="paragraph" w:styleId="21">
    <w:name w:val="footer"/>
    <w:basedOn w:val="1"/>
    <w:link w:val="50"/>
    <w:unhideWhenUsed/>
    <w:qFormat/>
    <w:uiPriority w:val="99"/>
    <w:pPr>
      <w:tabs>
        <w:tab w:val="center" w:pos="4153"/>
        <w:tab w:val="right" w:pos="8306"/>
      </w:tabs>
      <w:snapToGrid w:val="0"/>
      <w:jc w:val="left"/>
    </w:pPr>
    <w:rPr>
      <w:sz w:val="18"/>
      <w:szCs w:val="18"/>
    </w:rPr>
  </w:style>
  <w:style w:type="paragraph" w:styleId="22">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Body Text 2"/>
    <w:basedOn w:val="1"/>
    <w:qFormat/>
    <w:uiPriority w:val="0"/>
    <w:pPr>
      <w:spacing w:after="120" w:line="480" w:lineRule="auto"/>
    </w:pPr>
  </w:style>
  <w:style w:type="paragraph" w:styleId="25">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Emphasis"/>
    <w:basedOn w:val="29"/>
    <w:qFormat/>
    <w:uiPriority w:val="20"/>
    <w:rPr>
      <w:i/>
      <w:iCs/>
    </w:rPr>
  </w:style>
  <w:style w:type="character" w:styleId="32">
    <w:name w:val="Hyperlink"/>
    <w:basedOn w:val="29"/>
    <w:unhideWhenUsed/>
    <w:qFormat/>
    <w:uiPriority w:val="0"/>
    <w:rPr>
      <w:color w:val="0000FF"/>
      <w:u w:val="single"/>
    </w:rPr>
  </w:style>
  <w:style w:type="paragraph" w:customStyle="1" w:styleId="33">
    <w:name w:val="List Paragraph1"/>
    <w:basedOn w:val="1"/>
    <w:next w:val="1"/>
    <w:qFormat/>
    <w:uiPriority w:val="0"/>
    <w:pPr>
      <w:ind w:firstLine="420" w:firstLineChars="200"/>
    </w:pPr>
    <w:rPr>
      <w:rFonts w:ascii="Calibri" w:hAnsi="Calibri" w:cs="宋体"/>
    </w:rPr>
  </w:style>
  <w:style w:type="paragraph" w:customStyle="1" w:styleId="34">
    <w:name w:val="style4"/>
    <w:basedOn w:val="1"/>
    <w:next w:val="35"/>
    <w:qFormat/>
    <w:uiPriority w:val="0"/>
    <w:pPr>
      <w:widowControl/>
      <w:spacing w:before="280" w:after="280"/>
    </w:pPr>
    <w:rPr>
      <w:rFonts w:ascii="宋体" w:hAnsi="Times New Roman" w:eastAsia="宋体" w:cs="Times New Roman"/>
      <w:sz w:val="18"/>
    </w:rPr>
  </w:style>
  <w:style w:type="paragraph" w:customStyle="1" w:styleId="3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6">
    <w:name w:val="列出段落1"/>
    <w:basedOn w:val="1"/>
    <w:qFormat/>
    <w:uiPriority w:val="0"/>
    <w:pPr>
      <w:ind w:firstLine="420" w:firstLineChars="200"/>
    </w:pPr>
  </w:style>
  <w:style w:type="paragraph" w:customStyle="1" w:styleId="37">
    <w:name w:val="*正文"/>
    <w:basedOn w:val="1"/>
    <w:qFormat/>
    <w:uiPriority w:val="0"/>
    <w:pPr>
      <w:keepNext/>
      <w:keepLines/>
      <w:spacing w:line="360" w:lineRule="auto"/>
      <w:ind w:firstLine="200" w:firstLineChars="200"/>
    </w:pPr>
    <w:rPr>
      <w:rFonts w:ascii="宋体" w:hAnsi="宋体"/>
    </w:rPr>
  </w:style>
  <w:style w:type="character" w:customStyle="1" w:styleId="38">
    <w:name w:val="标题 1 Char"/>
    <w:basedOn w:val="29"/>
    <w:link w:val="8"/>
    <w:qFormat/>
    <w:uiPriority w:val="0"/>
    <w:rPr>
      <w:rFonts w:ascii="Calibri" w:hAnsi="Calibri" w:eastAsia="宋体" w:cs="Times New Roman"/>
      <w:b/>
      <w:bCs/>
      <w:kern w:val="44"/>
      <w:sz w:val="44"/>
      <w:szCs w:val="44"/>
    </w:rPr>
  </w:style>
  <w:style w:type="character" w:customStyle="1" w:styleId="39">
    <w:name w:val="标题 2 Char"/>
    <w:basedOn w:val="29"/>
    <w:link w:val="9"/>
    <w:qFormat/>
    <w:uiPriority w:val="0"/>
    <w:rPr>
      <w:rFonts w:ascii="Arial" w:hAnsi="Arial" w:eastAsia="黑体" w:cs="Times New Roman"/>
      <w:b/>
      <w:bCs/>
      <w:kern w:val="0"/>
      <w:sz w:val="32"/>
      <w:szCs w:val="32"/>
    </w:rPr>
  </w:style>
  <w:style w:type="character" w:customStyle="1" w:styleId="40">
    <w:name w:val="标题 3 Char"/>
    <w:basedOn w:val="29"/>
    <w:link w:val="10"/>
    <w:qFormat/>
    <w:uiPriority w:val="0"/>
    <w:rPr>
      <w:rFonts w:ascii="宋体" w:hAnsi="宋体" w:eastAsia="宋体" w:cs="Times New Roman"/>
      <w:b/>
      <w:color w:val="000000"/>
      <w:kern w:val="0"/>
      <w:sz w:val="24"/>
      <w:szCs w:val="20"/>
      <w:lang w:val="en-GB"/>
    </w:rPr>
  </w:style>
  <w:style w:type="character" w:customStyle="1" w:styleId="41">
    <w:name w:val="标题 4 Char"/>
    <w:basedOn w:val="29"/>
    <w:link w:val="11"/>
    <w:qFormat/>
    <w:uiPriority w:val="0"/>
    <w:rPr>
      <w:rFonts w:ascii="Arial" w:hAnsi="Arial" w:eastAsia="黑体" w:cs="Times New Roman"/>
      <w:b/>
      <w:bCs/>
      <w:kern w:val="0"/>
      <w:sz w:val="28"/>
      <w:szCs w:val="28"/>
    </w:rPr>
  </w:style>
  <w:style w:type="character" w:customStyle="1" w:styleId="42">
    <w:name w:val="正文文本 3 Char"/>
    <w:basedOn w:val="29"/>
    <w:link w:val="15"/>
    <w:qFormat/>
    <w:uiPriority w:val="0"/>
    <w:rPr>
      <w:rFonts w:ascii="Times New Roman" w:hAnsi="Times New Roman" w:eastAsia="宋体" w:cs="Times New Roman"/>
      <w:color w:val="FF0000"/>
      <w:sz w:val="24"/>
      <w:szCs w:val="24"/>
    </w:rPr>
  </w:style>
  <w:style w:type="character" w:customStyle="1" w:styleId="43">
    <w:name w:val="正文文本 Char"/>
    <w:basedOn w:val="29"/>
    <w:link w:val="3"/>
    <w:semiHidden/>
    <w:qFormat/>
    <w:uiPriority w:val="99"/>
  </w:style>
  <w:style w:type="character" w:customStyle="1" w:styleId="44">
    <w:name w:val="正文文本缩进 Char"/>
    <w:basedOn w:val="29"/>
    <w:link w:val="6"/>
    <w:qFormat/>
    <w:uiPriority w:val="0"/>
  </w:style>
  <w:style w:type="character" w:customStyle="1" w:styleId="45">
    <w:name w:val="正文文本缩进 Char1"/>
    <w:basedOn w:val="29"/>
    <w:link w:val="6"/>
    <w:qFormat/>
    <w:uiPriority w:val="0"/>
    <w:rPr>
      <w:kern w:val="0"/>
      <w:sz w:val="24"/>
      <w:szCs w:val="20"/>
    </w:rPr>
  </w:style>
  <w:style w:type="character" w:customStyle="1" w:styleId="46">
    <w:name w:val="纯文本 Char"/>
    <w:basedOn w:val="29"/>
    <w:link w:val="18"/>
    <w:qFormat/>
    <w:uiPriority w:val="0"/>
    <w:rPr>
      <w:rFonts w:eastAsia="宋体"/>
      <w:sz w:val="24"/>
    </w:rPr>
  </w:style>
  <w:style w:type="character" w:customStyle="1" w:styleId="47">
    <w:name w:val="日期 Char"/>
    <w:basedOn w:val="29"/>
    <w:link w:val="19"/>
    <w:qFormat/>
    <w:uiPriority w:val="99"/>
  </w:style>
  <w:style w:type="character" w:customStyle="1" w:styleId="48">
    <w:name w:val="批注框文本 Char"/>
    <w:basedOn w:val="29"/>
    <w:link w:val="20"/>
    <w:semiHidden/>
    <w:qFormat/>
    <w:uiPriority w:val="99"/>
    <w:rPr>
      <w:sz w:val="18"/>
      <w:szCs w:val="18"/>
    </w:rPr>
  </w:style>
  <w:style w:type="character" w:customStyle="1" w:styleId="49">
    <w:name w:val="批注框文本 Char1"/>
    <w:basedOn w:val="29"/>
    <w:link w:val="20"/>
    <w:semiHidden/>
    <w:qFormat/>
    <w:uiPriority w:val="99"/>
    <w:rPr>
      <w:sz w:val="18"/>
      <w:szCs w:val="18"/>
    </w:rPr>
  </w:style>
  <w:style w:type="character" w:customStyle="1" w:styleId="50">
    <w:name w:val="页脚 Char"/>
    <w:basedOn w:val="29"/>
    <w:link w:val="21"/>
    <w:qFormat/>
    <w:uiPriority w:val="99"/>
    <w:rPr>
      <w:sz w:val="18"/>
      <w:szCs w:val="18"/>
    </w:rPr>
  </w:style>
  <w:style w:type="character" w:customStyle="1" w:styleId="51">
    <w:name w:val="页眉 Char"/>
    <w:basedOn w:val="29"/>
    <w:link w:val="22"/>
    <w:qFormat/>
    <w:uiPriority w:val="99"/>
    <w:rPr>
      <w:sz w:val="18"/>
      <w:szCs w:val="18"/>
    </w:rPr>
  </w:style>
  <w:style w:type="character" w:customStyle="1" w:styleId="52">
    <w:name w:val="HTML 预设格式 Char"/>
    <w:basedOn w:val="29"/>
    <w:link w:val="25"/>
    <w:semiHidden/>
    <w:qFormat/>
    <w:uiPriority w:val="99"/>
    <w:rPr>
      <w:rFonts w:ascii="宋体" w:hAnsi="宋体" w:eastAsia="宋体" w:cs="宋体"/>
      <w:kern w:val="0"/>
      <w:sz w:val="24"/>
      <w:szCs w:val="24"/>
    </w:rPr>
  </w:style>
  <w:style w:type="character" w:customStyle="1" w:styleId="53">
    <w:name w:val="HTML 预设格式 Char1"/>
    <w:basedOn w:val="29"/>
    <w:link w:val="25"/>
    <w:semiHidden/>
    <w:qFormat/>
    <w:uiPriority w:val="99"/>
    <w:rPr>
      <w:rFonts w:ascii="Courier New" w:hAnsi="Courier New" w:cs="Courier New"/>
      <w:sz w:val="20"/>
      <w:szCs w:val="20"/>
    </w:rPr>
  </w:style>
  <w:style w:type="character" w:customStyle="1" w:styleId="54">
    <w:name w:val="正文首行缩进 Char"/>
    <w:basedOn w:val="43"/>
    <w:link w:val="2"/>
    <w:qFormat/>
    <w:uiPriority w:val="0"/>
    <w:rPr>
      <w:rFonts w:ascii="宋体" w:hAnsi="Times New Roman" w:eastAsia="宋体" w:cs="Times New Roman"/>
      <w:kern w:val="0"/>
      <w:sz w:val="34"/>
      <w:szCs w:val="20"/>
    </w:rPr>
  </w:style>
  <w:style w:type="character" w:customStyle="1" w:styleId="55">
    <w:name w:val="纯文本 Char1"/>
    <w:qFormat/>
    <w:uiPriority w:val="0"/>
    <w:rPr>
      <w:rFonts w:eastAsia="宋体"/>
      <w:sz w:val="24"/>
    </w:rPr>
  </w:style>
  <w:style w:type="paragraph" w:styleId="56">
    <w:name w:val="List Paragraph"/>
    <w:basedOn w:val="1"/>
    <w:unhideWhenUsed/>
    <w:qFormat/>
    <w:uiPriority w:val="34"/>
    <w:pPr>
      <w:ind w:firstLine="420" w:firstLineChars="200"/>
    </w:pPr>
  </w:style>
  <w:style w:type="character" w:customStyle="1" w:styleId="57">
    <w:name w:val="正文文本缩进 Char Char"/>
    <w:link w:val="58"/>
    <w:qFormat/>
    <w:uiPriority w:val="0"/>
    <w:rPr>
      <w:rFonts w:ascii="宋体"/>
      <w:sz w:val="24"/>
    </w:rPr>
  </w:style>
  <w:style w:type="paragraph" w:customStyle="1" w:styleId="58">
    <w:name w:val="正文文本缩进1"/>
    <w:basedOn w:val="1"/>
    <w:link w:val="57"/>
    <w:qFormat/>
    <w:uiPriority w:val="0"/>
    <w:pPr>
      <w:spacing w:line="360" w:lineRule="auto"/>
      <w:ind w:firstLine="480" w:firstLineChars="200"/>
    </w:pPr>
    <w:rPr>
      <w:rFonts w:ascii="宋体"/>
      <w:sz w:val="24"/>
    </w:rPr>
  </w:style>
  <w:style w:type="character" w:customStyle="1" w:styleId="59">
    <w:name w:val="日期 Char Char"/>
    <w:link w:val="60"/>
    <w:qFormat/>
    <w:uiPriority w:val="0"/>
    <w:rPr>
      <w:sz w:val="24"/>
    </w:rPr>
  </w:style>
  <w:style w:type="paragraph" w:customStyle="1" w:styleId="60">
    <w:name w:val="日期1"/>
    <w:basedOn w:val="1"/>
    <w:next w:val="1"/>
    <w:link w:val="59"/>
    <w:qFormat/>
    <w:uiPriority w:val="0"/>
    <w:rPr>
      <w:sz w:val="24"/>
    </w:rPr>
  </w:style>
  <w:style w:type="paragraph" w:customStyle="1" w:styleId="6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4">
    <w:name w:val="edittexttarea"/>
    <w:basedOn w:val="29"/>
    <w:qFormat/>
    <w:uiPriority w:val="0"/>
  </w:style>
  <w:style w:type="paragraph" w:customStyle="1" w:styleId="65">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6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7">
    <w:name w:val="正文首行缩进 2 Char"/>
    <w:basedOn w:val="45"/>
    <w:link w:val="5"/>
    <w:semiHidden/>
    <w:qFormat/>
    <w:uiPriority w:val="99"/>
    <w:rPr>
      <w:kern w:val="2"/>
      <w:sz w:val="21"/>
      <w:szCs w:val="22"/>
    </w:rPr>
  </w:style>
  <w:style w:type="character" w:customStyle="1" w:styleId="68">
    <w:name w:val="font01"/>
    <w:basedOn w:val="29"/>
    <w:qFormat/>
    <w:uiPriority w:val="0"/>
    <w:rPr>
      <w:rFonts w:hint="eastAsia" w:ascii="宋体" w:hAnsi="宋体" w:eastAsia="宋体" w:cs="宋体"/>
      <w:color w:val="000000"/>
      <w:sz w:val="22"/>
      <w:szCs w:val="22"/>
      <w:u w:val="none"/>
    </w:rPr>
  </w:style>
  <w:style w:type="character" w:customStyle="1" w:styleId="69">
    <w:name w:val="font31"/>
    <w:basedOn w:val="29"/>
    <w:qFormat/>
    <w:uiPriority w:val="0"/>
    <w:rPr>
      <w:rFonts w:ascii="Calibri" w:hAnsi="Calibri" w:cs="Calibri"/>
      <w:b/>
      <w:color w:val="000000"/>
      <w:sz w:val="18"/>
      <w:szCs w:val="18"/>
      <w:u w:val="none"/>
    </w:rPr>
  </w:style>
  <w:style w:type="character" w:customStyle="1" w:styleId="70">
    <w:name w:val="font121"/>
    <w:basedOn w:val="29"/>
    <w:qFormat/>
    <w:uiPriority w:val="0"/>
    <w:rPr>
      <w:rFonts w:hint="eastAsia" w:ascii="宋体" w:hAnsi="宋体" w:eastAsia="宋体" w:cs="宋体"/>
      <w:color w:val="000000"/>
      <w:sz w:val="18"/>
      <w:szCs w:val="18"/>
      <w:u w:val="none"/>
    </w:rPr>
  </w:style>
  <w:style w:type="character" w:customStyle="1" w:styleId="71">
    <w:name w:val="font91"/>
    <w:basedOn w:val="29"/>
    <w:qFormat/>
    <w:uiPriority w:val="0"/>
    <w:rPr>
      <w:rFonts w:hint="eastAsia" w:ascii="宋体" w:hAnsi="宋体" w:eastAsia="宋体" w:cs="宋体"/>
      <w:color w:val="000000"/>
      <w:sz w:val="18"/>
      <w:szCs w:val="18"/>
      <w:u w:val="none"/>
    </w:rPr>
  </w:style>
  <w:style w:type="character" w:customStyle="1" w:styleId="72">
    <w:name w:val="font112"/>
    <w:basedOn w:val="29"/>
    <w:qFormat/>
    <w:uiPriority w:val="0"/>
    <w:rPr>
      <w:rFonts w:hint="eastAsia" w:ascii="宋体" w:hAnsi="宋体" w:eastAsia="宋体" w:cs="宋体"/>
      <w:color w:val="FF0000"/>
      <w:sz w:val="18"/>
      <w:szCs w:val="18"/>
      <w:u w:val="none"/>
    </w:rPr>
  </w:style>
  <w:style w:type="character" w:customStyle="1" w:styleId="73">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74">
    <w:name w:val="UserStyle_1"/>
    <w:basedOn w:val="73"/>
    <w:qFormat/>
    <w:uiPriority w:val="0"/>
    <w:rPr>
      <w:rFonts w:ascii="宋体" w:hAnsi="宋体" w:eastAsia="宋体"/>
      <w:color w:val="000000"/>
      <w:sz w:val="24"/>
      <w:szCs w:val="24"/>
    </w:rPr>
  </w:style>
  <w:style w:type="character" w:customStyle="1" w:styleId="75">
    <w:name w:val="UserStyle_0"/>
    <w:basedOn w:val="73"/>
    <w:qFormat/>
    <w:uiPriority w:val="0"/>
    <w:rPr>
      <w:rFonts w:ascii="MS Gothic" w:hAnsi="MS Gothic" w:eastAsia="MS Gothic"/>
      <w:color w:val="000000"/>
      <w:sz w:val="24"/>
      <w:szCs w:val="24"/>
    </w:rPr>
  </w:style>
  <w:style w:type="paragraph" w:customStyle="1" w:styleId="76">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paragraph" w:customStyle="1" w:styleId="77">
    <w:name w:val="p0"/>
    <w:basedOn w:val="1"/>
    <w:qFormat/>
    <w:uiPriority w:val="0"/>
    <w:pPr>
      <w:widowControl/>
    </w:pPr>
    <w:rPr>
      <w:rFonts w:ascii="Times New Roman" w:hAnsi="Times New Roman" w:eastAsia="宋体" w:cs="Times New Roman"/>
      <w:kern w:val="0"/>
      <w:szCs w:val="21"/>
    </w:rPr>
  </w:style>
  <w:style w:type="paragraph" w:customStyle="1" w:styleId="78">
    <w:name w:val="179"/>
    <w:basedOn w:val="1"/>
    <w:qFormat/>
    <w:uiPriority w:val="0"/>
    <w:pPr>
      <w:ind w:firstLine="420" w:firstLineChars="200"/>
    </w:pPr>
    <w:rPr>
      <w:rFonts w:ascii="Calibri" w:hAnsi="Calibri" w:eastAsia="宋体" w:cs="Times New Roman"/>
    </w:rPr>
  </w:style>
  <w:style w:type="character" w:customStyle="1" w:styleId="79">
    <w:name w:val="font51"/>
    <w:basedOn w:val="29"/>
    <w:qFormat/>
    <w:uiPriority w:val="0"/>
    <w:rPr>
      <w:rFonts w:hint="eastAsia" w:ascii="宋体" w:hAnsi="宋体" w:eastAsia="宋体" w:cs="宋体"/>
      <w:color w:val="000000"/>
      <w:sz w:val="18"/>
      <w:szCs w:val="18"/>
      <w:u w:val="none"/>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784E3-8471-4A88-856B-70894EBDB99B}">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66</Pages>
  <Words>32482</Words>
  <Characters>34639</Characters>
  <Lines>275</Lines>
  <Paragraphs>77</Paragraphs>
  <TotalTime>0</TotalTime>
  <ScaleCrop>false</ScaleCrop>
  <LinksUpToDate>false</LinksUpToDate>
  <CharactersWithSpaces>35410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河南省立源工程管理有限公司:雷甜甜</cp:lastModifiedBy>
  <cp:lastPrinted>2023-02-03T02:25:00Z</cp:lastPrinted>
  <dcterms:modified xsi:type="dcterms:W3CDTF">2023-06-07T06:58:22Z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051091EB99A4474ABD99145219203627</vt:lpwstr>
  </property>
</Properties>
</file>