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禹州市环境保护局大气环境执法能力提升项目（不见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面开标）</w:t>
      </w:r>
    </w:p>
    <w:p>
      <w:pPr>
        <w:pStyle w:val="12"/>
        <w:widowControl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竞争性谈判公告</w:t>
      </w:r>
    </w:p>
    <w:p>
      <w:pPr>
        <w:tabs>
          <w:tab w:val="left" w:pos="7095"/>
        </w:tabs>
        <w:spacing w:line="384" w:lineRule="auto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项目概况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禹州市环境保护局大气环境执法能力提升项目</w:t>
      </w:r>
      <w:r>
        <w:rPr>
          <w:rFonts w:hint="eastAsia" w:hAnsi="宋体"/>
          <w:color w:val="auto"/>
          <w:szCs w:val="21"/>
        </w:rPr>
        <w:t>招</w:t>
      </w:r>
      <w:r>
        <w:rPr>
          <w:rFonts w:hint="eastAsia" w:hAnsi="宋体"/>
          <w:color w:val="auto"/>
          <w:szCs w:val="21"/>
        </w:rPr>
        <w:t>标项目的潜在投标人应在谈判响应截止时间前</w:t>
      </w:r>
      <w:bookmarkStart w:id="0" w:name="_GoBack"/>
      <w:bookmarkEnd w:id="0"/>
      <w:r>
        <w:rPr>
          <w:rFonts w:hint="eastAsia" w:hAnsi="宋体"/>
          <w:color w:val="auto"/>
          <w:szCs w:val="21"/>
        </w:rPr>
        <w:t>登录《全国公共资源交易平台（河南省·许昌市）》“投标人/供应商登录”入口（http://ggzy.xuchang.gov.cn:8088/ggzy/）自行免费下</w:t>
      </w:r>
      <w:r>
        <w:rPr>
          <w:rFonts w:hint="eastAsia" w:hAnsi="宋体"/>
          <w:color w:val="auto"/>
          <w:szCs w:val="21"/>
        </w:rPr>
        <w:t>载获取招标文件，并于2</w:t>
      </w:r>
      <w:r>
        <w:rPr>
          <w:rFonts w:hint="eastAsia" w:hAnsi="宋体"/>
          <w:color w:val="auto"/>
          <w:szCs w:val="21"/>
        </w:rPr>
        <w:t>023年</w:t>
      </w:r>
      <w:r>
        <w:rPr>
          <w:rFonts w:hint="eastAsia" w:hAnsi="宋体"/>
          <w:color w:val="auto"/>
          <w:szCs w:val="21"/>
          <w:lang w:val="en-US" w:eastAsia="zh-CN"/>
        </w:rPr>
        <w:t>06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14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>时</w:t>
      </w:r>
      <w:r>
        <w:rPr>
          <w:rFonts w:hint="eastAsia" w:hAnsi="宋体"/>
          <w:color w:val="auto"/>
          <w:szCs w:val="21"/>
        </w:rPr>
        <w:t>30 分（北京时间）前递交响应文件。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一、项目基本情况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eastAsiaTheme="minorEastAsia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</w:rPr>
        <w:t>1.项目编号：YZC</w:t>
      </w:r>
      <w:r>
        <w:rPr>
          <w:rFonts w:hint="eastAsia" w:hAnsi="宋体"/>
          <w:color w:val="auto"/>
          <w:szCs w:val="21"/>
        </w:rPr>
        <w:t>G-DLT2023</w:t>
      </w:r>
      <w:r>
        <w:rPr>
          <w:rFonts w:hint="eastAsia" w:hAnsi="宋体"/>
          <w:color w:val="auto"/>
          <w:szCs w:val="21"/>
          <w:lang w:val="en-US" w:eastAsia="zh-CN"/>
        </w:rPr>
        <w:t>039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2.项目名称：</w:t>
      </w:r>
      <w:r>
        <w:rPr>
          <w:rFonts w:hint="eastAsia" w:hAnsi="宋体"/>
          <w:color w:val="auto"/>
          <w:szCs w:val="21"/>
        </w:rPr>
        <w:t>禹州市环境保护局大气环境执法能力提升项目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3.采购方式：竞争性谈判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4.预算金额：</w:t>
      </w:r>
      <w:r>
        <w:rPr>
          <w:rFonts w:hint="eastAsia" w:hAnsi="宋体"/>
          <w:color w:val="auto"/>
          <w:szCs w:val="21"/>
          <w:lang w:val="en-US" w:eastAsia="zh-CN"/>
        </w:rPr>
        <w:t>48</w:t>
      </w:r>
      <w:r>
        <w:rPr>
          <w:rFonts w:hint="eastAsia" w:hAnsi="宋体"/>
          <w:color w:val="auto"/>
          <w:szCs w:val="21"/>
        </w:rPr>
        <w:t>000</w:t>
      </w:r>
      <w:r>
        <w:rPr>
          <w:rFonts w:hint="eastAsia" w:hAnsi="宋体"/>
          <w:color w:val="auto"/>
          <w:szCs w:val="21"/>
        </w:rPr>
        <w:t>0.00元</w:t>
      </w:r>
    </w:p>
    <w:p>
      <w:pPr>
        <w:tabs>
          <w:tab w:val="left" w:pos="7095"/>
        </w:tabs>
        <w:spacing w:line="384" w:lineRule="auto"/>
        <w:ind w:firstLine="525" w:firstLineChars="25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最高限价：</w:t>
      </w:r>
      <w:r>
        <w:rPr>
          <w:rFonts w:hint="eastAsia" w:hAnsi="宋体"/>
          <w:color w:val="auto"/>
          <w:szCs w:val="21"/>
          <w:lang w:val="en-US" w:eastAsia="zh-CN"/>
        </w:rPr>
        <w:t>48</w:t>
      </w:r>
      <w:r>
        <w:rPr>
          <w:rFonts w:hint="eastAsia" w:hAnsi="宋体"/>
          <w:color w:val="auto"/>
          <w:szCs w:val="21"/>
        </w:rPr>
        <w:t xml:space="preserve">0000.00元 </w:t>
      </w:r>
    </w:p>
    <w:tbl>
      <w:tblPr>
        <w:tblStyle w:val="13"/>
        <w:tblW w:w="9055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575"/>
        <w:gridCol w:w="2595"/>
        <w:gridCol w:w="1410"/>
        <w:gridCol w:w="180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序号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包号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包名称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包预算（元）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包最高限价（元）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是否专门面向中小企业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YZC</w:t>
            </w:r>
            <w:r>
              <w:rPr>
                <w:rFonts w:hint="eastAsia" w:hAnsi="宋体"/>
                <w:color w:val="auto"/>
                <w:szCs w:val="21"/>
              </w:rPr>
              <w:t>G-DLT2023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039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禹州市环境保护局大气环境执法能力提升项目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48</w:t>
            </w:r>
            <w:r>
              <w:rPr>
                <w:rFonts w:hint="eastAsia" w:hAnsi="宋体"/>
                <w:color w:val="auto"/>
                <w:szCs w:val="21"/>
              </w:rPr>
              <w:t>0000.00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48</w:t>
            </w:r>
            <w:r>
              <w:rPr>
                <w:rFonts w:hint="eastAsia" w:hAnsi="宋体"/>
                <w:color w:val="auto"/>
                <w:szCs w:val="21"/>
              </w:rPr>
              <w:t>0000.00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contextualSpacing/>
              <w:rPr>
                <w:rFonts w:hint="eastAsia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hAnsi="宋体"/>
                <w:color w:val="auto"/>
                <w:szCs w:val="21"/>
                <w:lang w:eastAsia="zh-CN"/>
              </w:rPr>
              <w:t>否</w:t>
            </w:r>
          </w:p>
        </w:tc>
      </w:tr>
    </w:tbl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5.采购需求（包括但不限于标的的名称、数量、简要技术需求或服务要求等）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禹州市环境保护局大气环境执法能力提升项目</w:t>
      </w:r>
      <w:r>
        <w:rPr>
          <w:rFonts w:hint="eastAsia" w:hAnsi="宋体"/>
          <w:color w:val="auto"/>
          <w:szCs w:val="21"/>
        </w:rPr>
        <w:t>，采</w:t>
      </w:r>
      <w:r>
        <w:rPr>
          <w:rFonts w:hint="eastAsia" w:hAnsi="宋体"/>
          <w:color w:val="auto"/>
          <w:szCs w:val="21"/>
        </w:rPr>
        <w:t>购内容包括：购置3台粉尘快速测定仪、3台多参数气体检测仪、3台手持式光离子化检测仪（PID）和执法记录仪等有关执法设备</w:t>
      </w:r>
      <w:r>
        <w:rPr>
          <w:rFonts w:hint="eastAsia" w:hAnsi="宋体"/>
          <w:color w:val="auto"/>
          <w:szCs w:val="21"/>
        </w:rPr>
        <w:t>（详见谈判文件）。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6.合同履行期限：合同签订后</w:t>
      </w:r>
      <w:r>
        <w:rPr>
          <w:rFonts w:hint="eastAsia" w:hAnsi="宋体"/>
          <w:color w:val="auto"/>
          <w:szCs w:val="21"/>
        </w:rPr>
        <w:t>15</w:t>
      </w:r>
      <w:r>
        <w:rPr>
          <w:rFonts w:hint="eastAsia" w:hAnsi="宋体"/>
          <w:color w:val="auto"/>
          <w:szCs w:val="21"/>
          <w:lang w:eastAsia="zh-CN"/>
        </w:rPr>
        <w:t>个工作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</w:rPr>
        <w:t>内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完成采购、安装、调试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7.本项目是否接受联合体投标：否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8.是否接受进口产品：否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eastAsiaTheme="minorEastAsia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9.是否专门面向中小</w:t>
      </w:r>
      <w:r>
        <w:rPr>
          <w:rFonts w:hint="eastAsia" w:hAnsi="宋体"/>
          <w:color w:val="auto"/>
          <w:szCs w:val="21"/>
        </w:rPr>
        <w:t>企业：</w:t>
      </w:r>
      <w:r>
        <w:rPr>
          <w:rFonts w:hint="eastAsia" w:hAnsi="宋体"/>
          <w:color w:val="auto"/>
          <w:szCs w:val="21"/>
          <w:lang w:eastAsia="zh-CN"/>
        </w:rPr>
        <w:t>否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二、申请人资格要求：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1.满足《中华人民共和国政府采购法》第二十二条规定；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2.落实政府采购政策满足的资格要求：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3.本项目的特定资格要求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被委托人须是本单位职工，须提供公司为本人缴纳社会保险证明。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三、获取采购文件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1.时间：2023年</w:t>
      </w:r>
      <w:r>
        <w:rPr>
          <w:rFonts w:hint="eastAsia" w:hAnsi="宋体"/>
          <w:color w:val="auto"/>
          <w:szCs w:val="21"/>
          <w:lang w:val="en-US" w:eastAsia="zh-CN"/>
        </w:rPr>
        <w:t xml:space="preserve">06 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07</w:t>
      </w:r>
      <w:r>
        <w:rPr>
          <w:rFonts w:hint="eastAsia" w:hAnsi="宋体"/>
          <w:color w:val="auto"/>
          <w:szCs w:val="21"/>
        </w:rPr>
        <w:t xml:space="preserve"> 日 至 2023年</w:t>
      </w:r>
      <w:r>
        <w:rPr>
          <w:rFonts w:hint="eastAsia" w:hAnsi="宋体"/>
          <w:color w:val="auto"/>
          <w:szCs w:val="21"/>
          <w:lang w:val="en-US" w:eastAsia="zh-CN"/>
        </w:rPr>
        <w:t xml:space="preserve">06 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 xml:space="preserve">14 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</w:rPr>
        <w:t>，每天上午00:00至12:00，下午12:01至23:59（北京时间，法定节假日除外。）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2.地点：谈判响应截止时间前登录《全国公共资源交易平台（河南省·许昌市）》“投标人/供应商登录”入口（http://ggzy.xuchang.gov.cn:8088/ggzy/）自行免费下载。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3.方式：网上自行下载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4.售价：0元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四、响应文件提交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1.时间：202</w:t>
      </w:r>
      <w:r>
        <w:rPr>
          <w:rFonts w:hint="eastAsia" w:hAnsi="宋体"/>
          <w:color w:val="auto"/>
          <w:szCs w:val="21"/>
        </w:rPr>
        <w:t>3年</w:t>
      </w:r>
      <w:r>
        <w:rPr>
          <w:rFonts w:hint="eastAsia" w:hAnsi="宋体"/>
          <w:color w:val="auto"/>
          <w:szCs w:val="21"/>
          <w:lang w:val="en-US" w:eastAsia="zh-CN"/>
        </w:rPr>
        <w:t>06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14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>时 30 分（</w:t>
      </w:r>
      <w:r>
        <w:rPr>
          <w:rFonts w:hint="eastAsia" w:hAnsi="宋体"/>
          <w:color w:val="auto"/>
          <w:szCs w:val="21"/>
        </w:rPr>
        <w:t>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2.地点：本项目采用网上响应，请符合响应条件的供应商使用CA数字证书加密上传响应文件。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五、响应文件开启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1.时间：202</w:t>
      </w:r>
      <w:r>
        <w:rPr>
          <w:rFonts w:hint="eastAsia" w:hAnsi="宋体"/>
          <w:color w:val="auto"/>
          <w:szCs w:val="21"/>
        </w:rPr>
        <w:t>3年</w:t>
      </w:r>
      <w:r>
        <w:rPr>
          <w:rFonts w:hint="eastAsia" w:hAnsi="宋体"/>
          <w:color w:val="auto"/>
          <w:szCs w:val="21"/>
          <w:lang w:val="en-US" w:eastAsia="zh-CN"/>
        </w:rPr>
        <w:t>06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14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>时 30 分（</w:t>
      </w:r>
      <w:r>
        <w:rPr>
          <w:rFonts w:hint="eastAsia" w:hAnsi="宋体"/>
          <w:color w:val="auto"/>
          <w:szCs w:val="21"/>
        </w:rPr>
        <w:t>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在规定的开启时间内进行解密开启。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六、发布公告的媒介及招标公告期限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本次招标公告在《河南省政府采购网》《许昌市政府采购网》《全国公共资源交易平台（河南省·许昌市）》上发布。 招标公告期限为三个工作日。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七、其他补充事宜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监督单位：禹州市政府采购监督管理办公室。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八、凡对本次招标提出询问，请按照以下方式联系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1.采购人信息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名称：禹州市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环境保护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局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地址：禹州市行政北路2号创业大厦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联系人：焦女士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联系电话：0374-6066221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2.采购代理机构信息</w:t>
      </w:r>
    </w:p>
    <w:p>
      <w:pPr>
        <w:pStyle w:val="9"/>
        <w:spacing w:line="348" w:lineRule="auto"/>
        <w:rPr>
          <w:rFonts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名称：</w:t>
      </w:r>
      <w:r>
        <w:rPr>
          <w:rFonts w:hint="eastAsia"/>
          <w:color w:val="auto"/>
        </w:rPr>
        <w:t>许昌丰元咨询管理有限公司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地址：</w:t>
      </w:r>
      <w:r>
        <w:rPr>
          <w:rFonts w:hint="eastAsia"/>
          <w:color w:val="auto"/>
          <w:lang w:val="en-US" w:eastAsia="zh-CN"/>
        </w:rPr>
        <w:t>禹州市颍北大道6号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联系人：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连女士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联系电话：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0374-8281999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3.项目联系方式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联系人：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连女士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联系电话：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0374-8281999</w:t>
      </w:r>
    </w:p>
    <w:p>
      <w:pPr>
        <w:spacing w:line="560" w:lineRule="exact"/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</w:p>
    <w:sectPr>
      <w:footerReference r:id="rId3" w:type="default"/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8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JhZmZmNzIzN2U0NDdjNGYyMDVjOWE5NTljYjJhNDkifQ=="/>
  </w:docVars>
  <w:rsids>
    <w:rsidRoot w:val="6FC14EB8"/>
    <w:rsid w:val="0008589B"/>
    <w:rsid w:val="00126491"/>
    <w:rsid w:val="001C65B9"/>
    <w:rsid w:val="001D673D"/>
    <w:rsid w:val="003063EA"/>
    <w:rsid w:val="003D2F11"/>
    <w:rsid w:val="003F06D3"/>
    <w:rsid w:val="0040529C"/>
    <w:rsid w:val="005353F7"/>
    <w:rsid w:val="007C11E5"/>
    <w:rsid w:val="007D4A99"/>
    <w:rsid w:val="008B24E0"/>
    <w:rsid w:val="009C5C6A"/>
    <w:rsid w:val="00AD13BA"/>
    <w:rsid w:val="00B80697"/>
    <w:rsid w:val="00C52FED"/>
    <w:rsid w:val="00C75CA4"/>
    <w:rsid w:val="00C81D3A"/>
    <w:rsid w:val="00CA149A"/>
    <w:rsid w:val="00D376F9"/>
    <w:rsid w:val="00EA08B8"/>
    <w:rsid w:val="00EE7581"/>
    <w:rsid w:val="00F62936"/>
    <w:rsid w:val="025D7B9F"/>
    <w:rsid w:val="081128A2"/>
    <w:rsid w:val="093E0C81"/>
    <w:rsid w:val="0A424693"/>
    <w:rsid w:val="0B293A5F"/>
    <w:rsid w:val="0B563B56"/>
    <w:rsid w:val="0D63594E"/>
    <w:rsid w:val="0D6E42F3"/>
    <w:rsid w:val="0DC02A29"/>
    <w:rsid w:val="108D2CE2"/>
    <w:rsid w:val="117B6FDE"/>
    <w:rsid w:val="11F02045"/>
    <w:rsid w:val="132316DC"/>
    <w:rsid w:val="14676E3E"/>
    <w:rsid w:val="15C9656A"/>
    <w:rsid w:val="166325E7"/>
    <w:rsid w:val="17086943"/>
    <w:rsid w:val="178526DD"/>
    <w:rsid w:val="18116993"/>
    <w:rsid w:val="1AC272B5"/>
    <w:rsid w:val="1AEA6245"/>
    <w:rsid w:val="1BD432F2"/>
    <w:rsid w:val="1C584098"/>
    <w:rsid w:val="1E3417FF"/>
    <w:rsid w:val="1F221CF8"/>
    <w:rsid w:val="1F914E56"/>
    <w:rsid w:val="20472039"/>
    <w:rsid w:val="20B00A53"/>
    <w:rsid w:val="21C019ED"/>
    <w:rsid w:val="26A82D08"/>
    <w:rsid w:val="27010B47"/>
    <w:rsid w:val="27604658"/>
    <w:rsid w:val="2A2B739C"/>
    <w:rsid w:val="2ECD538A"/>
    <w:rsid w:val="317672F1"/>
    <w:rsid w:val="324B2D8D"/>
    <w:rsid w:val="32FD3482"/>
    <w:rsid w:val="341140DB"/>
    <w:rsid w:val="34E26A56"/>
    <w:rsid w:val="360016DD"/>
    <w:rsid w:val="3A490B50"/>
    <w:rsid w:val="3ADB3ABB"/>
    <w:rsid w:val="3BE57C6E"/>
    <w:rsid w:val="40C83FF8"/>
    <w:rsid w:val="411C0608"/>
    <w:rsid w:val="49DE7B2F"/>
    <w:rsid w:val="4C3F23DE"/>
    <w:rsid w:val="4C5B3942"/>
    <w:rsid w:val="4D8A7F66"/>
    <w:rsid w:val="4E1704DC"/>
    <w:rsid w:val="4E4F5496"/>
    <w:rsid w:val="51C961B3"/>
    <w:rsid w:val="52CB2F54"/>
    <w:rsid w:val="58C44394"/>
    <w:rsid w:val="58E82C2D"/>
    <w:rsid w:val="5DA24229"/>
    <w:rsid w:val="5DEB0614"/>
    <w:rsid w:val="5F6C6814"/>
    <w:rsid w:val="606801FF"/>
    <w:rsid w:val="60B3541A"/>
    <w:rsid w:val="63A026D4"/>
    <w:rsid w:val="64145F33"/>
    <w:rsid w:val="667E6B92"/>
    <w:rsid w:val="684F3C7A"/>
    <w:rsid w:val="68614FC0"/>
    <w:rsid w:val="68A847B6"/>
    <w:rsid w:val="69AC398E"/>
    <w:rsid w:val="6BA725F1"/>
    <w:rsid w:val="6FC14EB8"/>
    <w:rsid w:val="72BC46BB"/>
    <w:rsid w:val="73891774"/>
    <w:rsid w:val="74432700"/>
    <w:rsid w:val="746A1A64"/>
    <w:rsid w:val="78053506"/>
    <w:rsid w:val="788D5076"/>
    <w:rsid w:val="7CE87DA1"/>
    <w:rsid w:val="7DAF3C2E"/>
    <w:rsid w:val="7E9F4AAE"/>
    <w:rsid w:val="7EF82C92"/>
    <w:rsid w:val="7F3D43D5"/>
    <w:rsid w:val="7F685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5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Normal Indent"/>
    <w:basedOn w:val="1"/>
    <w:qFormat/>
    <w:uiPriority w:val="0"/>
    <w:pPr>
      <w:ind w:firstLine="425"/>
    </w:pPr>
    <w:rPr>
      <w:rFonts w:ascii="Times New Roman" w:hAnsi="Times New Roman" w:eastAsia="宋体" w:cs="Times New Roman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rPr>
      <w:sz w:val="24"/>
    </w:rPr>
  </w:style>
  <w:style w:type="character" w:styleId="15">
    <w:name w:val="FollowedHyperlink"/>
    <w:basedOn w:val="14"/>
    <w:qFormat/>
    <w:uiPriority w:val="0"/>
    <w:rPr>
      <w:color w:val="000000"/>
      <w:u w:val="none"/>
    </w:rPr>
  </w:style>
  <w:style w:type="character" w:styleId="16">
    <w:name w:val="Emphasis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00"/>
      <w:u w:val="none"/>
    </w:rPr>
  </w:style>
  <w:style w:type="paragraph" w:customStyle="1" w:styleId="18">
    <w:name w:val="style4"/>
    <w:basedOn w:val="1"/>
    <w:next w:val="19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19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0">
    <w:name w:val="red"/>
    <w:basedOn w:val="14"/>
    <w:qFormat/>
    <w:uiPriority w:val="0"/>
    <w:rPr>
      <w:color w:val="FF0000"/>
      <w:sz w:val="18"/>
      <w:szCs w:val="18"/>
    </w:rPr>
  </w:style>
  <w:style w:type="character" w:customStyle="1" w:styleId="21">
    <w:name w:val="red1"/>
    <w:basedOn w:val="14"/>
    <w:qFormat/>
    <w:uiPriority w:val="0"/>
    <w:rPr>
      <w:color w:val="FF0000"/>
      <w:sz w:val="18"/>
      <w:szCs w:val="18"/>
    </w:rPr>
  </w:style>
  <w:style w:type="character" w:customStyle="1" w:styleId="22">
    <w:name w:val="red2"/>
    <w:basedOn w:val="14"/>
    <w:qFormat/>
    <w:uiPriority w:val="0"/>
    <w:rPr>
      <w:color w:val="FF0000"/>
    </w:rPr>
  </w:style>
  <w:style w:type="character" w:customStyle="1" w:styleId="23">
    <w:name w:val="red3"/>
    <w:basedOn w:val="14"/>
    <w:qFormat/>
    <w:uiPriority w:val="0"/>
    <w:rPr>
      <w:color w:val="CC0000"/>
    </w:rPr>
  </w:style>
  <w:style w:type="character" w:customStyle="1" w:styleId="24">
    <w:name w:val="green"/>
    <w:basedOn w:val="14"/>
    <w:qFormat/>
    <w:uiPriority w:val="0"/>
    <w:rPr>
      <w:color w:val="66AE00"/>
      <w:sz w:val="18"/>
      <w:szCs w:val="18"/>
    </w:rPr>
  </w:style>
  <w:style w:type="character" w:customStyle="1" w:styleId="25">
    <w:name w:val="green1"/>
    <w:basedOn w:val="14"/>
    <w:qFormat/>
    <w:uiPriority w:val="0"/>
    <w:rPr>
      <w:color w:val="66AE00"/>
      <w:sz w:val="18"/>
      <w:szCs w:val="18"/>
    </w:rPr>
  </w:style>
  <w:style w:type="character" w:customStyle="1" w:styleId="26">
    <w:name w:val="hover25"/>
    <w:basedOn w:val="14"/>
    <w:qFormat/>
    <w:uiPriority w:val="0"/>
  </w:style>
  <w:style w:type="character" w:customStyle="1" w:styleId="27">
    <w:name w:val="gb-jt"/>
    <w:basedOn w:val="14"/>
    <w:qFormat/>
    <w:uiPriority w:val="0"/>
  </w:style>
  <w:style w:type="character" w:customStyle="1" w:styleId="28">
    <w:name w:val="active4"/>
    <w:basedOn w:val="14"/>
    <w:qFormat/>
    <w:uiPriority w:val="0"/>
    <w:rPr>
      <w:color w:val="FFFFFF"/>
      <w:shd w:val="clear" w:color="auto" w:fill="2B7AFC"/>
    </w:rPr>
  </w:style>
  <w:style w:type="character" w:customStyle="1" w:styleId="29">
    <w:name w:val="blue"/>
    <w:basedOn w:val="14"/>
    <w:qFormat/>
    <w:uiPriority w:val="0"/>
    <w:rPr>
      <w:color w:val="0371C6"/>
      <w:sz w:val="21"/>
      <w:szCs w:val="21"/>
    </w:rPr>
  </w:style>
  <w:style w:type="character" w:customStyle="1" w:styleId="30">
    <w:name w:val="right"/>
    <w:basedOn w:val="14"/>
    <w:qFormat/>
    <w:uiPriority w:val="0"/>
    <w:rPr>
      <w:color w:val="999999"/>
      <w:sz w:val="18"/>
      <w:szCs w:val="18"/>
    </w:rPr>
  </w:style>
  <w:style w:type="character" w:customStyle="1" w:styleId="31">
    <w:name w:val="hover24"/>
    <w:basedOn w:val="14"/>
    <w:qFormat/>
    <w:uiPriority w:val="0"/>
  </w:style>
  <w:style w:type="character" w:customStyle="1" w:styleId="32">
    <w:name w:val="hover"/>
    <w:basedOn w:val="14"/>
    <w:qFormat/>
    <w:uiPriority w:val="0"/>
  </w:style>
  <w:style w:type="character" w:customStyle="1" w:styleId="33">
    <w:name w:val="red4"/>
    <w:basedOn w:val="14"/>
    <w:qFormat/>
    <w:uiPriority w:val="0"/>
    <w:rPr>
      <w:color w:val="FF0000"/>
      <w:sz w:val="18"/>
      <w:szCs w:val="18"/>
    </w:rPr>
  </w:style>
  <w:style w:type="character" w:customStyle="1" w:styleId="34">
    <w:name w:val="red5"/>
    <w:basedOn w:val="14"/>
    <w:qFormat/>
    <w:uiPriority w:val="0"/>
    <w:rPr>
      <w:color w:val="FF0000"/>
      <w:sz w:val="18"/>
      <w:szCs w:val="18"/>
    </w:rPr>
  </w:style>
  <w:style w:type="character" w:customStyle="1" w:styleId="35">
    <w:name w:val="red6"/>
    <w:basedOn w:val="14"/>
    <w:qFormat/>
    <w:uiPriority w:val="0"/>
    <w:rPr>
      <w:color w:val="CC0000"/>
    </w:rPr>
  </w:style>
  <w:style w:type="character" w:customStyle="1" w:styleId="36">
    <w:name w:val="red7"/>
    <w:basedOn w:val="14"/>
    <w:qFormat/>
    <w:uiPriority w:val="0"/>
    <w:rPr>
      <w:color w:val="FF0000"/>
    </w:rPr>
  </w:style>
  <w:style w:type="character" w:customStyle="1" w:styleId="37">
    <w:name w:val="hover18"/>
    <w:basedOn w:val="1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3</Pages>
  <Words>1217</Words>
  <Characters>1493</Characters>
  <Lines>10</Lines>
  <Paragraphs>3</Paragraphs>
  <TotalTime>3</TotalTime>
  <ScaleCrop>false</ScaleCrop>
  <LinksUpToDate>false</LinksUpToDate>
  <CharactersWithSpaces>1507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2021-11-29T07:45:00Z</dcterms:created>
  <dc:creator>WPS_1591240706</dc:creator>
  <cp:lastModifiedBy>河南省立源工程管理有限公司:雷甜甜</cp:lastModifiedBy>
  <cp:lastPrinted>2023-02-03T02:12:00Z</cp:lastPrinted>
  <dcterms:modified xsi:type="dcterms:W3CDTF">2023-06-07T04:53:08Z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A5A972D3A4D7492498E3F4902B218294</vt:lpwstr>
  </property>
</Properties>
</file>