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widowControl/>
        <w:jc w:val="center"/>
        <w:rPr>
          <w:rFonts w:hint="eastAsia" w:ascii="黑体" w:hAnsi="黑体" w:eastAsia="黑体" w:cs="黑体"/>
          <w:bCs/>
          <w:color w:val="auto"/>
          <w:kern w:val="2"/>
          <w:sz w:val="36"/>
          <w:szCs w:val="36"/>
          <w:lang w:val="en-US" w:eastAsia="zh-CN" w:bidi="ar-SA"/>
        </w:rPr>
      </w:pPr>
      <w:bookmarkStart w:id="2" w:name="_GoBack"/>
      <w:r>
        <w:rPr>
          <w:rFonts w:hint="eastAsia" w:ascii="黑体" w:hAnsi="黑体" w:eastAsia="黑体" w:cs="黑体"/>
          <w:bCs/>
          <w:color w:val="auto"/>
          <w:kern w:val="2"/>
          <w:sz w:val="36"/>
          <w:szCs w:val="36"/>
          <w:lang w:val="en-US" w:eastAsia="zh-CN" w:bidi="ar-SA"/>
        </w:rPr>
        <w:t>禹州市环境保护局大气环境执法能力提升项目</w:t>
      </w:r>
    </w:p>
    <w:p>
      <w:pPr>
        <w:jc w:val="center"/>
        <w:rPr>
          <w:rFonts w:ascii="华文隶书" w:eastAsia="华文隶书"/>
          <w:bCs/>
          <w:color w:val="auto"/>
          <w:w w:val="90"/>
          <w:sz w:val="96"/>
        </w:rPr>
      </w:pPr>
      <w:r>
        <w:rPr>
          <w:rFonts w:hint="eastAsia" w:ascii="黑体" w:hAnsi="黑体" w:eastAsia="黑体" w:cs="黑体"/>
          <w:bCs/>
          <w:color w:val="auto"/>
          <w:sz w:val="36"/>
          <w:szCs w:val="36"/>
        </w:rPr>
        <w:t>（不见面开标）</w:t>
      </w:r>
    </w:p>
    <w:p>
      <w:pPr>
        <w:pStyle w:val="36"/>
        <w:ind w:firstLine="0" w:firstLineChars="0"/>
        <w:rPr>
          <w:rFonts w:ascii="华文隶书" w:eastAsia="华文隶书"/>
          <w:bCs/>
          <w:color w:val="auto"/>
          <w:w w:val="90"/>
          <w:sz w:val="96"/>
        </w:rPr>
      </w:pPr>
    </w:p>
    <w:p>
      <w:pPr>
        <w:pStyle w:val="36"/>
        <w:ind w:firstLine="0" w:firstLineChars="0"/>
        <w:rPr>
          <w:rFonts w:ascii="华文隶书" w:eastAsia="华文隶书"/>
          <w:bCs/>
          <w:color w:val="auto"/>
          <w:w w:val="90"/>
          <w:sz w:val="40"/>
          <w:szCs w:val="40"/>
        </w:rPr>
      </w:pPr>
    </w:p>
    <w:p>
      <w:pPr>
        <w:pStyle w:val="36"/>
        <w:ind w:firstLine="0" w:firstLineChars="0"/>
        <w:rPr>
          <w:rFonts w:ascii="华文隶书" w:eastAsia="华文隶书"/>
          <w:bCs/>
          <w:color w:val="auto"/>
          <w:w w:val="90"/>
          <w:sz w:val="40"/>
          <w:szCs w:val="40"/>
        </w:rPr>
      </w:pPr>
    </w:p>
    <w:p>
      <w:pPr>
        <w:pStyle w:val="37"/>
        <w:ind w:firstLine="420"/>
        <w:rPr>
          <w:color w:val="auto"/>
        </w:rPr>
      </w:pPr>
    </w:p>
    <w:p>
      <w:pPr>
        <w:jc w:val="center"/>
        <w:rPr>
          <w:rFonts w:ascii="黑体" w:hAnsi="黑体" w:eastAsia="黑体" w:cs="黑体"/>
          <w:bCs/>
          <w:color w:val="auto"/>
          <w:w w:val="90"/>
          <w:sz w:val="72"/>
          <w:szCs w:val="72"/>
        </w:rPr>
      </w:pPr>
      <w:r>
        <w:rPr>
          <w:rFonts w:hint="eastAsia" w:ascii="黑体" w:hAnsi="黑体" w:eastAsia="黑体" w:cs="黑体"/>
          <w:bCs/>
          <w:color w:val="auto"/>
          <w:w w:val="90"/>
          <w:sz w:val="72"/>
          <w:szCs w:val="72"/>
        </w:rPr>
        <w:t>竞争性谈判文件</w:t>
      </w:r>
    </w:p>
    <w:p>
      <w:pPr>
        <w:rPr>
          <w:rFonts w:ascii="微软简隶书" w:eastAsia="微软简隶书"/>
          <w:color w:val="auto"/>
        </w:rPr>
      </w:pPr>
    </w:p>
    <w:p>
      <w:pPr>
        <w:rPr>
          <w:rFonts w:ascii="微软简隶书" w:eastAsia="微软简隶书"/>
          <w:color w:val="auto"/>
        </w:rPr>
      </w:pPr>
    </w:p>
    <w:p>
      <w:pPr>
        <w:pStyle w:val="3"/>
        <w:rPr>
          <w:color w:val="auto"/>
        </w:rPr>
      </w:pPr>
    </w:p>
    <w:p>
      <w:pPr>
        <w:pStyle w:val="34"/>
        <w:rPr>
          <w:color w:val="auto"/>
        </w:rPr>
      </w:pPr>
    </w:p>
    <w:p>
      <w:pPr>
        <w:pStyle w:val="35"/>
        <w:rPr>
          <w:color w:val="auto"/>
        </w:rPr>
      </w:pPr>
    </w:p>
    <w:p>
      <w:pPr>
        <w:pStyle w:val="11"/>
        <w:numPr>
          <w:ilvl w:val="3"/>
          <w:numId w:val="0"/>
        </w:numPr>
        <w:rPr>
          <w:color w:val="auto"/>
        </w:rPr>
      </w:pPr>
    </w:p>
    <w:p>
      <w:pPr>
        <w:rPr>
          <w:rFonts w:ascii="微软简隶书" w:eastAsia="微软简隶书"/>
          <w:color w:val="auto"/>
        </w:rPr>
      </w:pPr>
    </w:p>
    <w:p>
      <w:pPr>
        <w:rPr>
          <w:rFonts w:ascii="微软简隶书" w:eastAsia="微软简隶书"/>
          <w:color w:val="auto"/>
        </w:rPr>
      </w:pPr>
    </w:p>
    <w:p>
      <w:pPr>
        <w:ind w:firstLine="2249" w:firstLineChars="700"/>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rPr>
        <w:t>采购编号：YZC</w:t>
      </w:r>
      <w:r>
        <w:rPr>
          <w:rFonts w:hint="eastAsia" w:ascii="宋体" w:hAnsi="宋体" w:eastAsia="宋体" w:cs="宋体"/>
          <w:b/>
          <w:bCs/>
          <w:color w:val="auto"/>
          <w:sz w:val="32"/>
          <w:szCs w:val="32"/>
        </w:rPr>
        <w:t>G-DLT2023</w:t>
      </w:r>
      <w:r>
        <w:rPr>
          <w:rFonts w:hint="eastAsia" w:ascii="宋体" w:hAnsi="宋体" w:eastAsia="宋体" w:cs="宋体"/>
          <w:b/>
          <w:bCs/>
          <w:color w:val="auto"/>
          <w:sz w:val="32"/>
          <w:szCs w:val="32"/>
          <w:lang w:val="en-US" w:eastAsia="zh-CN"/>
        </w:rPr>
        <w:t xml:space="preserve">039 </w:t>
      </w:r>
    </w:p>
    <w:p>
      <w:pPr>
        <w:ind w:firstLine="2249" w:firstLineChars="700"/>
        <w:rPr>
          <w:rFonts w:ascii="宋体" w:hAnsi="宋体" w:eastAsia="宋体" w:cs="宋体"/>
          <w:b/>
          <w:bCs/>
          <w:color w:val="auto"/>
          <w:sz w:val="32"/>
          <w:szCs w:val="32"/>
        </w:rPr>
      </w:pPr>
      <w:r>
        <w:rPr>
          <w:rFonts w:hint="eastAsia" w:ascii="宋体" w:hAnsi="宋体" w:eastAsia="宋体" w:cs="宋体"/>
          <w:b/>
          <w:bCs/>
          <w:color w:val="auto"/>
          <w:sz w:val="32"/>
          <w:szCs w:val="32"/>
        </w:rPr>
        <w:t>采购单位：禹州市</w:t>
      </w:r>
      <w:r>
        <w:rPr>
          <w:rFonts w:hint="eastAsia" w:ascii="宋体" w:hAnsi="宋体" w:eastAsia="宋体" w:cs="宋体"/>
          <w:b/>
          <w:bCs/>
          <w:color w:val="auto"/>
          <w:sz w:val="32"/>
          <w:szCs w:val="32"/>
          <w:lang w:eastAsia="zh-CN"/>
        </w:rPr>
        <w:t>环境保护</w:t>
      </w:r>
      <w:r>
        <w:rPr>
          <w:rFonts w:hint="eastAsia" w:ascii="宋体" w:hAnsi="宋体" w:eastAsia="宋体" w:cs="宋体"/>
          <w:b/>
          <w:bCs/>
          <w:color w:val="auto"/>
          <w:sz w:val="32"/>
          <w:szCs w:val="32"/>
        </w:rPr>
        <w:t>局</w:t>
      </w:r>
    </w:p>
    <w:p>
      <w:pPr>
        <w:ind w:firstLine="2249" w:firstLineChars="700"/>
        <w:rPr>
          <w:rFonts w:ascii="宋体" w:hAnsi="宋体" w:eastAsia="宋体" w:cs="宋体"/>
          <w:b/>
          <w:bCs/>
          <w:color w:val="auto"/>
          <w:sz w:val="32"/>
          <w:szCs w:val="32"/>
        </w:rPr>
      </w:pPr>
      <w:r>
        <w:rPr>
          <w:rFonts w:hint="eastAsia" w:ascii="宋体" w:hAnsi="宋体" w:eastAsia="宋体" w:cs="宋体"/>
          <w:b/>
          <w:bCs/>
          <w:color w:val="auto"/>
          <w:sz w:val="32"/>
          <w:szCs w:val="32"/>
        </w:rPr>
        <w:t>代理机构：许昌丰元咨询管理有限公司</w:t>
      </w:r>
    </w:p>
    <w:p>
      <w:pPr>
        <w:ind w:firstLine="3534" w:firstLineChars="1100"/>
        <w:rPr>
          <w:rFonts w:ascii="宋体" w:hAnsi="宋体" w:eastAsia="宋体" w:cs="宋体"/>
          <w:b/>
          <w:bCs/>
          <w:color w:val="auto"/>
          <w:sz w:val="32"/>
          <w:szCs w:val="32"/>
          <w:lang w:val="zh-CN"/>
        </w:rPr>
        <w:sectPr>
          <w:pgSz w:w="11906" w:h="16838"/>
          <w:pgMar w:top="2098" w:right="1474" w:bottom="1928" w:left="1588" w:header="851" w:footer="992" w:gutter="0"/>
          <w:cols w:space="425" w:num="1"/>
          <w:docGrid w:type="lines" w:linePitch="312" w:charSpace="0"/>
        </w:sectPr>
      </w:pPr>
      <w:r>
        <w:rPr>
          <w:rFonts w:hint="eastAsia" w:ascii="宋体" w:hAnsi="宋体" w:eastAsia="宋体" w:cs="宋体"/>
          <w:b/>
          <w:bCs/>
          <w:color w:val="auto"/>
          <w:sz w:val="32"/>
          <w:szCs w:val="32"/>
        </w:rPr>
        <w:t>二〇二三年</w:t>
      </w:r>
      <w:r>
        <w:rPr>
          <w:rFonts w:hint="eastAsia" w:ascii="宋体" w:hAnsi="宋体" w:eastAsia="宋体" w:cs="宋体"/>
          <w:b/>
          <w:bCs/>
          <w:color w:val="auto"/>
          <w:sz w:val="32"/>
          <w:szCs w:val="32"/>
          <w:lang w:eastAsia="zh-CN"/>
        </w:rPr>
        <w:t>六</w:t>
      </w:r>
      <w:r>
        <w:rPr>
          <w:rFonts w:hint="eastAsia" w:ascii="宋体" w:hAnsi="宋体" w:eastAsia="宋体" w:cs="宋体"/>
          <w:b/>
          <w:bCs/>
          <w:color w:val="auto"/>
          <w:sz w:val="32"/>
          <w:szCs w:val="32"/>
        </w:rPr>
        <w:t>月</w:t>
      </w:r>
    </w:p>
    <w:p>
      <w:pPr>
        <w:widowControl/>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第七章 拟签订合同文本</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widowControl/>
        <w:jc w:val="left"/>
        <w:rPr>
          <w:rFonts w:ascii="宋体" w:hAnsi="宋体" w:eastAsia="宋体" w:cs="宋体"/>
          <w:b/>
          <w:color w:val="auto"/>
          <w:sz w:val="36"/>
          <w:szCs w:val="36"/>
          <w:shd w:val="clear" w:color="auto" w:fill="FFFFFF"/>
        </w:rPr>
      </w:pPr>
      <w:r>
        <w:rPr>
          <w:rFonts w:ascii="宋体" w:hAnsi="宋体" w:cs="宋体"/>
          <w:b/>
          <w:color w:val="auto"/>
          <w:sz w:val="36"/>
          <w:szCs w:val="36"/>
          <w:shd w:val="clear" w:color="auto" w:fill="FFFFFF"/>
        </w:rPr>
        <w:br w:type="page"/>
      </w:r>
    </w:p>
    <w:p>
      <w:pPr>
        <w:jc w:val="center"/>
        <w:rPr>
          <w:color w:val="auto"/>
        </w:rPr>
      </w:pPr>
      <w:r>
        <w:rPr>
          <w:rFonts w:hint="eastAsia" w:cs="宋体" w:asciiTheme="majorEastAsia" w:hAnsiTheme="majorEastAsia" w:eastAsiaTheme="majorEastAsia"/>
          <w:b/>
          <w:color w:val="auto"/>
          <w:kern w:val="0"/>
          <w:sz w:val="32"/>
          <w:szCs w:val="32"/>
        </w:rPr>
        <w:t>第一章</w:t>
      </w:r>
      <w:r>
        <w:rPr>
          <w:rFonts w:hint="eastAsia" w:cs="宋体" w:asciiTheme="majorEastAsia" w:hAnsiTheme="majorEastAsia" w:eastAsiaTheme="majorEastAsia"/>
          <w:b/>
          <w:color w:val="auto"/>
          <w:kern w:val="0"/>
          <w:sz w:val="32"/>
          <w:szCs w:val="32"/>
          <w:lang w:val="en-US" w:eastAsia="zh-CN"/>
        </w:rPr>
        <w:t xml:space="preserve"> </w:t>
      </w:r>
      <w:r>
        <w:rPr>
          <w:rFonts w:hint="eastAsia" w:cs="宋体" w:asciiTheme="majorEastAsia" w:hAnsiTheme="majorEastAsia" w:eastAsiaTheme="majorEastAsia"/>
          <w:b/>
          <w:color w:val="auto"/>
          <w:kern w:val="0"/>
          <w:sz w:val="32"/>
          <w:szCs w:val="32"/>
        </w:rPr>
        <w:t>谈判邀请</w:t>
      </w:r>
    </w:p>
    <w:p>
      <w:pPr>
        <w:tabs>
          <w:tab w:val="left" w:pos="7095"/>
        </w:tabs>
        <w:spacing w:line="360" w:lineRule="auto"/>
        <w:contextualSpacing/>
        <w:rPr>
          <w:rFonts w:hAnsi="宋体"/>
          <w:b/>
          <w:bCs/>
          <w:color w:val="auto"/>
          <w:szCs w:val="21"/>
        </w:rPr>
      </w:pPr>
      <w:r>
        <w:rPr>
          <w:rFonts w:hint="eastAsia" w:hAnsi="宋体"/>
          <w:b/>
          <w:bCs/>
          <w:color w:val="auto"/>
          <w:szCs w:val="21"/>
        </w:rPr>
        <w:t>项目概况</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禹州市环境保护局大气环境执法能力提升项目</w:t>
      </w:r>
      <w:r>
        <w:rPr>
          <w:rFonts w:hint="eastAsia" w:hAnsi="宋体"/>
          <w:color w:val="auto"/>
          <w:szCs w:val="21"/>
        </w:rPr>
        <w:t>的潜在投标人应在谈判响应截止时间前登录《全国公共资源交易平台（河南省·许昌市）》“投标人/供应商登录”入口（http://ggzy.xuchang.gov.cn:8088/ggzy/）自行免费下</w:t>
      </w:r>
      <w:r>
        <w:rPr>
          <w:rFonts w:hint="eastAsia" w:hAnsi="宋体"/>
          <w:color w:val="auto"/>
          <w:szCs w:val="21"/>
        </w:rPr>
        <w:t>载获取招标文件，并于2</w:t>
      </w:r>
      <w:r>
        <w:rPr>
          <w:rFonts w:hint="eastAsia" w:hAnsi="宋体"/>
          <w:color w:val="auto"/>
          <w:szCs w:val="21"/>
        </w:rPr>
        <w:t>023年</w:t>
      </w:r>
      <w:r>
        <w:rPr>
          <w:rFonts w:hint="eastAsia" w:hAnsi="宋体"/>
          <w:color w:val="auto"/>
          <w:szCs w:val="21"/>
          <w:lang w:val="en-US" w:eastAsia="zh-CN"/>
        </w:rPr>
        <w:t>06</w:t>
      </w:r>
      <w:r>
        <w:rPr>
          <w:rFonts w:hint="eastAsia" w:hAnsi="宋体"/>
          <w:color w:val="auto"/>
          <w:szCs w:val="21"/>
        </w:rPr>
        <w:t>月</w:t>
      </w:r>
      <w:r>
        <w:rPr>
          <w:rFonts w:hint="eastAsia" w:hAnsi="宋体"/>
          <w:color w:val="auto"/>
          <w:szCs w:val="21"/>
          <w:lang w:val="en-US" w:eastAsia="zh-CN"/>
        </w:rPr>
        <w:t xml:space="preserve">14 </w:t>
      </w:r>
      <w:r>
        <w:rPr>
          <w:rFonts w:hint="eastAsia" w:hAnsi="宋体"/>
          <w:color w:val="auto"/>
          <w:szCs w:val="21"/>
        </w:rPr>
        <w:t>日</w:t>
      </w:r>
      <w:r>
        <w:rPr>
          <w:rFonts w:hint="eastAsia" w:hAnsi="宋体"/>
          <w:color w:val="auto"/>
          <w:szCs w:val="21"/>
          <w:lang w:val="en-US" w:eastAsia="zh-CN"/>
        </w:rPr>
        <w:t>08</w:t>
      </w:r>
      <w:r>
        <w:rPr>
          <w:rFonts w:hint="eastAsia" w:hAnsi="宋体"/>
          <w:color w:val="auto"/>
          <w:szCs w:val="21"/>
        </w:rPr>
        <w:t>时</w:t>
      </w:r>
      <w:r>
        <w:rPr>
          <w:rFonts w:hint="eastAsia" w:hAnsi="宋体"/>
          <w:color w:val="auto"/>
          <w:szCs w:val="21"/>
        </w:rPr>
        <w:t>30 分（北京时间）前递交响应文件。</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一、项目基本情况</w:t>
      </w:r>
    </w:p>
    <w:p>
      <w:pPr>
        <w:tabs>
          <w:tab w:val="left" w:pos="7095"/>
        </w:tabs>
        <w:spacing w:line="360" w:lineRule="auto"/>
        <w:ind w:firstLine="420" w:firstLineChars="200"/>
        <w:contextualSpacing/>
        <w:rPr>
          <w:rFonts w:hint="default" w:hAnsi="宋体" w:eastAsiaTheme="minorEastAsia"/>
          <w:color w:val="auto"/>
          <w:szCs w:val="21"/>
          <w:lang w:val="en-US" w:eastAsia="zh-CN"/>
        </w:rPr>
      </w:pPr>
      <w:r>
        <w:rPr>
          <w:rFonts w:hint="eastAsia" w:hAnsi="宋体"/>
          <w:color w:val="auto"/>
          <w:szCs w:val="21"/>
        </w:rPr>
        <w:t>1.项目编号：YZCG-</w:t>
      </w:r>
      <w:r>
        <w:rPr>
          <w:rFonts w:hint="eastAsia" w:hAnsi="宋体"/>
          <w:color w:val="auto"/>
          <w:szCs w:val="21"/>
        </w:rPr>
        <w:t>DLT2023</w:t>
      </w:r>
      <w:r>
        <w:rPr>
          <w:rFonts w:hint="eastAsia" w:hAnsi="宋体"/>
          <w:color w:val="auto"/>
          <w:szCs w:val="21"/>
          <w:lang w:val="en-US" w:eastAsia="zh-CN"/>
        </w:rPr>
        <w:t xml:space="preserve">039 </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2.项目名称：</w:t>
      </w:r>
      <w:r>
        <w:rPr>
          <w:rFonts w:hint="eastAsia" w:hAnsi="宋体"/>
          <w:color w:val="auto"/>
          <w:szCs w:val="21"/>
        </w:rPr>
        <w:t>禹州市环境保护局大气环境执法能力提升项目</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3.采购方式：竞争性谈判</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4.预算金额：</w:t>
      </w:r>
      <w:r>
        <w:rPr>
          <w:rFonts w:hint="eastAsia" w:hAnsi="宋体"/>
          <w:color w:val="auto"/>
          <w:szCs w:val="21"/>
          <w:lang w:val="en-US" w:eastAsia="zh-CN"/>
        </w:rPr>
        <w:t>4</w:t>
      </w:r>
      <w:r>
        <w:rPr>
          <w:rFonts w:hint="eastAsia" w:hAnsi="宋体"/>
          <w:color w:val="auto"/>
          <w:szCs w:val="21"/>
          <w:lang w:val="en-US" w:eastAsia="zh-CN"/>
        </w:rPr>
        <w:t>8</w:t>
      </w:r>
      <w:r>
        <w:rPr>
          <w:rFonts w:hint="eastAsia" w:hAnsi="宋体"/>
          <w:color w:val="auto"/>
          <w:szCs w:val="21"/>
        </w:rPr>
        <w:t>0000.00元</w:t>
      </w:r>
    </w:p>
    <w:p>
      <w:pPr>
        <w:tabs>
          <w:tab w:val="left" w:pos="7095"/>
        </w:tabs>
        <w:spacing w:line="360" w:lineRule="auto"/>
        <w:ind w:firstLine="525" w:firstLineChars="250"/>
        <w:contextualSpacing/>
        <w:rPr>
          <w:rFonts w:hAnsi="宋体"/>
          <w:color w:val="auto"/>
          <w:szCs w:val="21"/>
        </w:rPr>
      </w:pPr>
      <w:r>
        <w:rPr>
          <w:rFonts w:hint="eastAsia" w:hAnsi="宋体"/>
          <w:color w:val="auto"/>
          <w:szCs w:val="21"/>
        </w:rPr>
        <w:t>最高限价：</w:t>
      </w:r>
      <w:r>
        <w:rPr>
          <w:rFonts w:hint="eastAsia" w:hAnsi="宋体"/>
          <w:color w:val="auto"/>
          <w:szCs w:val="21"/>
          <w:lang w:val="en-US" w:eastAsia="zh-CN"/>
        </w:rPr>
        <w:t>48</w:t>
      </w:r>
      <w:r>
        <w:rPr>
          <w:rFonts w:hint="eastAsia" w:hAnsi="宋体"/>
          <w:color w:val="auto"/>
          <w:szCs w:val="21"/>
        </w:rPr>
        <w:t xml:space="preserve">0000.00元 </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5.采购需求（包括但不限于标的的名称、数量、简要技术需求或服务要求等）</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禹州市环境保护局大气环境执法能力提升项目</w:t>
      </w:r>
      <w:r>
        <w:rPr>
          <w:rFonts w:hint="eastAsia" w:hAnsi="宋体"/>
          <w:color w:val="auto"/>
          <w:szCs w:val="21"/>
        </w:rPr>
        <w:t>，采</w:t>
      </w:r>
      <w:r>
        <w:rPr>
          <w:rFonts w:hint="eastAsia" w:hAnsi="宋体"/>
          <w:color w:val="auto"/>
          <w:szCs w:val="21"/>
        </w:rPr>
        <w:t>购内容包括：购置3台粉尘快速测定仪、3台多参数气体检测仪、3台手持式光离子化检测仪（PID）和执法记录仪等有关执法设备</w:t>
      </w:r>
      <w:r>
        <w:rPr>
          <w:rFonts w:hint="eastAsia" w:hAnsi="宋体"/>
          <w:color w:val="auto"/>
          <w:szCs w:val="21"/>
        </w:rPr>
        <w:t>（详见谈判文件）。</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6.合同履行期限：合同签订后</w:t>
      </w:r>
      <w:r>
        <w:rPr>
          <w:rFonts w:hint="eastAsia" w:hAnsi="宋体"/>
          <w:color w:val="auto"/>
          <w:szCs w:val="21"/>
        </w:rPr>
        <w:t>15</w:t>
      </w:r>
      <w:r>
        <w:rPr>
          <w:rFonts w:hint="eastAsia" w:hAnsi="宋体"/>
          <w:color w:val="auto"/>
          <w:szCs w:val="21"/>
          <w:lang w:eastAsia="zh-CN"/>
        </w:rPr>
        <w:t>个工作</w:t>
      </w:r>
      <w:r>
        <w:rPr>
          <w:rFonts w:hint="eastAsia" w:hAnsi="宋体"/>
          <w:color w:val="auto"/>
          <w:szCs w:val="21"/>
        </w:rPr>
        <w:t>日</w:t>
      </w:r>
      <w:r>
        <w:rPr>
          <w:rFonts w:hint="eastAsia" w:hAnsi="宋体"/>
          <w:color w:val="auto"/>
          <w:szCs w:val="21"/>
        </w:rPr>
        <w:t>内</w:t>
      </w:r>
      <w:r>
        <w:rPr>
          <w:rFonts w:hint="eastAsia" w:ascii="宋体" w:hAnsi="宋体" w:eastAsia="宋体" w:cs="宋体"/>
          <w:color w:val="auto"/>
          <w:szCs w:val="21"/>
          <w:shd w:val="clear" w:color="auto" w:fill="FFFFFF"/>
        </w:rPr>
        <w:t>完成采购、安装、调试</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7.本项目是否接受联合体投标：否</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8.是否接受进口产品：否</w:t>
      </w:r>
    </w:p>
    <w:p>
      <w:pPr>
        <w:tabs>
          <w:tab w:val="left" w:pos="7095"/>
        </w:tabs>
        <w:spacing w:line="384" w:lineRule="auto"/>
        <w:ind w:firstLine="420" w:firstLineChars="200"/>
        <w:contextualSpacing/>
        <w:rPr>
          <w:rFonts w:hint="eastAsia" w:eastAsiaTheme="minorEastAsia"/>
          <w:color w:val="auto"/>
          <w:lang w:eastAsia="zh-CN"/>
        </w:rPr>
      </w:pPr>
      <w:r>
        <w:rPr>
          <w:rFonts w:hint="eastAsia" w:hAnsi="宋体"/>
          <w:color w:val="auto"/>
          <w:szCs w:val="21"/>
        </w:rPr>
        <w:t>9.是否专门面向中小企业：</w:t>
      </w:r>
      <w:r>
        <w:rPr>
          <w:rFonts w:hint="eastAsia" w:hAnsi="宋体"/>
          <w:color w:val="auto"/>
          <w:szCs w:val="21"/>
          <w:lang w:eastAsia="zh-CN"/>
        </w:rPr>
        <w:t>否</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二、供应商资格要求：</w:t>
      </w:r>
    </w:p>
    <w:p>
      <w:pPr>
        <w:tabs>
          <w:tab w:val="left" w:pos="7095"/>
        </w:tabs>
        <w:spacing w:line="384" w:lineRule="auto"/>
        <w:ind w:firstLine="420" w:firstLineChars="200"/>
        <w:contextualSpacing/>
        <w:rPr>
          <w:rFonts w:hint="eastAsia" w:hAnsi="宋体"/>
          <w:color w:val="auto"/>
          <w:szCs w:val="21"/>
        </w:rPr>
      </w:pPr>
      <w:r>
        <w:rPr>
          <w:rFonts w:hint="eastAsia" w:hAnsi="宋体"/>
          <w:color w:val="auto"/>
          <w:szCs w:val="21"/>
        </w:rPr>
        <w:t>1.满足《中华人民共和国政府采购法》第二十二条规定。</w:t>
      </w:r>
    </w:p>
    <w:p>
      <w:pPr>
        <w:tabs>
          <w:tab w:val="left" w:pos="7095"/>
        </w:tabs>
        <w:spacing w:line="384" w:lineRule="auto"/>
        <w:ind w:firstLine="420" w:firstLineChars="200"/>
        <w:contextualSpacing/>
        <w:rPr>
          <w:rFonts w:hint="eastAsia" w:hAnsi="宋体"/>
          <w:color w:val="auto"/>
          <w:szCs w:val="21"/>
        </w:rPr>
      </w:pPr>
      <w:r>
        <w:rPr>
          <w:rFonts w:hint="eastAsia" w:hAnsi="宋体"/>
          <w:color w:val="auto"/>
          <w:szCs w:val="21"/>
        </w:rPr>
        <w:t>2.落实政府采购政策满足的资格要求：本项目落实节约能源、保护环境、扶持不发达地区和少数民族地区、促进中小企业、监狱企业发展等政府采购政策。</w:t>
      </w:r>
    </w:p>
    <w:p>
      <w:pPr>
        <w:tabs>
          <w:tab w:val="left" w:pos="7095"/>
        </w:tabs>
        <w:spacing w:line="384" w:lineRule="auto"/>
        <w:ind w:firstLine="420" w:firstLineChars="200"/>
        <w:contextualSpacing/>
        <w:rPr>
          <w:rFonts w:hint="eastAsia" w:hAnsi="宋体"/>
          <w:color w:val="auto"/>
          <w:szCs w:val="21"/>
        </w:rPr>
      </w:pPr>
      <w:r>
        <w:rPr>
          <w:rFonts w:hint="eastAsia" w:hAnsi="宋体"/>
          <w:color w:val="auto"/>
          <w:szCs w:val="21"/>
        </w:rPr>
        <w:t>3.本项目的特定资格要求：被委托人须是本单位职工，须提供公司为本人缴纳社会保险证明。</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三、获取谈判文件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即日起至投标截止时间，登录《全国公共资源交易平台（河南省·许昌市）》“投标人/供应 商登录”入口（http://ggzy.xuchang.gov.cn:8088/ggzy/）自行免费下载竞争性谈判文件。</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 xml:space="preserve">四、响应文件的提交方式及注意事项 </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本项目为全流程电子化交易项目，供应商必须通过许昌公共资源交易系统下载“许昌投标文件制作系统 SEARUN 最新版本”制作并上传加密电子响应文件。截至投标截止时间，交易系统投标通道将关闭，供应商未完成电子投标文件上传的，投标将被拒绝。</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五、谈判截止时间、谈判时间及地点</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1、响应文件提交截止时间及谈判响应截止时间、谈判时间：20</w:t>
      </w:r>
      <w:r>
        <w:rPr>
          <w:rFonts w:hint="eastAsia" w:ascii="宋体" w:hAnsi="宋体" w:eastAsia="宋体" w:cs="宋体"/>
          <w:color w:val="auto"/>
          <w:szCs w:val="21"/>
          <w:shd w:val="clear" w:color="auto" w:fill="FFFFFF"/>
        </w:rPr>
        <w:t>23年</w:t>
      </w:r>
      <w:r>
        <w:rPr>
          <w:rFonts w:hint="eastAsia" w:ascii="宋体" w:hAnsi="宋体" w:eastAsia="宋体" w:cs="宋体"/>
          <w:color w:val="auto"/>
          <w:szCs w:val="21"/>
          <w:shd w:val="clear" w:color="auto" w:fill="FFFFFF"/>
          <w:lang w:val="en-US" w:eastAsia="zh-CN"/>
        </w:rPr>
        <w:t>06</w:t>
      </w:r>
      <w:r>
        <w:rPr>
          <w:rFonts w:hint="eastAsia" w:ascii="宋体" w:hAnsi="宋体" w:eastAsia="宋体" w:cs="宋体"/>
          <w:color w:val="auto"/>
          <w:szCs w:val="21"/>
          <w:shd w:val="clear" w:color="auto" w:fill="FFFFFF"/>
        </w:rPr>
        <w:t>月</w:t>
      </w:r>
      <w:r>
        <w:rPr>
          <w:rFonts w:hint="eastAsia" w:ascii="宋体" w:hAnsi="宋体" w:eastAsia="宋体" w:cs="宋体"/>
          <w:color w:val="auto"/>
          <w:szCs w:val="21"/>
          <w:shd w:val="clear" w:color="auto" w:fill="FFFFFF"/>
          <w:lang w:val="en-US" w:eastAsia="zh-CN"/>
        </w:rPr>
        <w:t>14</w:t>
      </w:r>
      <w:r>
        <w:rPr>
          <w:rFonts w:hint="eastAsia" w:ascii="宋体" w:hAnsi="宋体" w:eastAsia="宋体" w:cs="宋体"/>
          <w:color w:val="auto"/>
          <w:szCs w:val="21"/>
          <w:shd w:val="clear" w:color="auto" w:fill="FFFFFF"/>
        </w:rPr>
        <w:t>日</w:t>
      </w:r>
      <w:r>
        <w:rPr>
          <w:rFonts w:hint="eastAsia" w:ascii="宋体" w:hAnsi="宋体" w:eastAsia="宋体" w:cs="宋体"/>
          <w:color w:val="auto"/>
          <w:szCs w:val="21"/>
          <w:shd w:val="clear" w:color="auto" w:fill="FFFFFF"/>
          <w:lang w:val="en-US" w:eastAsia="zh-CN"/>
        </w:rPr>
        <w:t>08时</w:t>
      </w:r>
      <w:r>
        <w:rPr>
          <w:rFonts w:hint="eastAsia" w:ascii="宋体" w:hAnsi="宋体" w:eastAsia="宋体" w:cs="宋体"/>
          <w:color w:val="auto"/>
          <w:szCs w:val="21"/>
          <w:shd w:val="clear" w:color="auto" w:fill="FFFFFF"/>
        </w:rPr>
        <w:t>30</w:t>
      </w:r>
      <w:r>
        <w:rPr>
          <w:rFonts w:hint="eastAsia" w:ascii="宋体" w:hAnsi="宋体" w:eastAsia="宋体" w:cs="宋体"/>
          <w:color w:val="auto"/>
          <w:szCs w:val="21"/>
          <w:shd w:val="clear" w:color="auto" w:fill="FFFFFF"/>
          <w:lang w:eastAsia="zh-CN"/>
        </w:rPr>
        <w:t>分</w:t>
      </w:r>
      <w:r>
        <w:rPr>
          <w:rFonts w:hint="eastAsia" w:ascii="宋体" w:hAnsi="宋体" w:eastAsia="宋体" w:cs="宋体"/>
          <w:color w:val="auto"/>
          <w:szCs w:val="21"/>
          <w:shd w:val="clear" w:color="auto" w:fill="FFFFFF"/>
        </w:rPr>
        <w:t>（北京时间），逾期提交或不符合规定的响应文件恕不接受。</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2、响应文件开启时间：同响应文件提交截止时间。</w:t>
      </w:r>
    </w:p>
    <w:p>
      <w:pPr>
        <w:spacing w:line="440" w:lineRule="exact"/>
        <w:ind w:firstLine="420" w:firstLineChars="200"/>
        <w:rPr>
          <w:color w:val="auto"/>
        </w:rPr>
      </w:pPr>
      <w:r>
        <w:rPr>
          <w:rFonts w:hint="eastAsia" w:ascii="宋体" w:hAnsi="宋体" w:eastAsia="宋体" w:cs="宋体"/>
          <w:color w:val="auto"/>
          <w:szCs w:val="21"/>
          <w:shd w:val="clear" w:color="auto" w:fill="FFFFFF"/>
        </w:rPr>
        <w:t>3、谈判响应文件开启地点：禹州市公共资源交易中心九楼第开</w:t>
      </w:r>
      <w:r>
        <w:rPr>
          <w:rFonts w:hint="eastAsia" w:ascii="宋体" w:hAnsi="宋体" w:eastAsia="宋体" w:cs="宋体"/>
          <w:color w:val="auto"/>
          <w:szCs w:val="21"/>
          <w:shd w:val="clear" w:color="auto" w:fill="FFFFFF"/>
        </w:rPr>
        <w:t xml:space="preserve">标 </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 xml:space="preserve"> 室。</w:t>
      </w:r>
      <w:r>
        <w:rPr>
          <w:rFonts w:hint="eastAsia" w:ascii="宋体" w:hAnsi="宋体" w:eastAsia="宋体" w:cs="宋体"/>
          <w:color w:val="auto"/>
          <w:szCs w:val="21"/>
          <w:shd w:val="clear" w:color="auto" w:fill="FFFFFF"/>
        </w:rPr>
        <w:t>（本项目采用远程不见面谈判，供应商无须到达现场）。</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六、开标注意事项</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七、发布公告的媒介</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 xml:space="preserve">本次谈判公告同时在《河南省政府采购网》《许昌市政府采购网》《全国公共资源交易平台（河南省·许昌市）》上发布。 </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八、联系方式</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1.采购人信息</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名称：禹州市</w:t>
      </w:r>
      <w:r>
        <w:rPr>
          <w:rFonts w:hint="eastAsia" w:asciiTheme="majorEastAsia" w:hAnsiTheme="majorEastAsia" w:eastAsiaTheme="majorEastAsia" w:cstheme="majorEastAsia"/>
          <w:color w:val="auto"/>
          <w:szCs w:val="21"/>
          <w:lang w:eastAsia="zh-CN"/>
        </w:rPr>
        <w:t>环境保护</w:t>
      </w:r>
      <w:r>
        <w:rPr>
          <w:rFonts w:hint="eastAsia" w:asciiTheme="majorEastAsia" w:hAnsiTheme="majorEastAsia" w:eastAsiaTheme="majorEastAsia" w:cstheme="majorEastAsia"/>
          <w:color w:val="auto"/>
          <w:szCs w:val="21"/>
        </w:rPr>
        <w:t>局</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地址：禹州市行政北路2号创业大厦</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联系人：焦女士</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联系电话：0374-6066221</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2.采购代理机构信息</w:t>
      </w:r>
    </w:p>
    <w:p>
      <w:pPr>
        <w:pStyle w:val="13"/>
        <w:spacing w:line="348"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名称：</w:t>
      </w:r>
      <w:r>
        <w:rPr>
          <w:rFonts w:hint="eastAsia"/>
          <w:color w:val="auto"/>
        </w:rPr>
        <w:t>许昌丰元咨询管理有限公司</w:t>
      </w:r>
    </w:p>
    <w:p>
      <w:pPr>
        <w:spacing w:line="384" w:lineRule="auto"/>
        <w:ind w:firstLine="420" w:firstLineChars="200"/>
        <w:jc w:val="left"/>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地址：</w:t>
      </w:r>
      <w:r>
        <w:rPr>
          <w:rFonts w:hint="eastAsia"/>
          <w:color w:val="auto"/>
          <w:lang w:val="en-US" w:eastAsia="zh-CN"/>
        </w:rPr>
        <w:t>禹州市颍北大道6号</w:t>
      </w:r>
    </w:p>
    <w:p>
      <w:pPr>
        <w:spacing w:line="384" w:lineRule="auto"/>
        <w:ind w:firstLine="420" w:firstLineChars="200"/>
        <w:jc w:val="left"/>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联系人：</w:t>
      </w:r>
      <w:r>
        <w:rPr>
          <w:rFonts w:hint="eastAsia" w:asciiTheme="majorEastAsia" w:hAnsiTheme="majorEastAsia" w:eastAsiaTheme="majorEastAsia" w:cstheme="majorEastAsia"/>
          <w:color w:val="auto"/>
          <w:szCs w:val="21"/>
          <w:lang w:val="en-US" w:eastAsia="zh-CN"/>
        </w:rPr>
        <w:t>连女士</w:t>
      </w:r>
    </w:p>
    <w:p>
      <w:pPr>
        <w:spacing w:line="384" w:lineRule="auto"/>
        <w:ind w:firstLine="420" w:firstLineChars="200"/>
        <w:jc w:val="left"/>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联系电话：</w:t>
      </w:r>
      <w:r>
        <w:rPr>
          <w:rFonts w:hint="eastAsia" w:asciiTheme="majorEastAsia" w:hAnsiTheme="majorEastAsia" w:eastAsiaTheme="majorEastAsia" w:cstheme="majorEastAsia"/>
          <w:color w:val="auto"/>
          <w:szCs w:val="21"/>
          <w:lang w:val="en-US" w:eastAsia="zh-CN"/>
        </w:rPr>
        <w:t>0374-8281999</w:t>
      </w:r>
    </w:p>
    <w:p>
      <w:pPr>
        <w:spacing w:line="440" w:lineRule="exact"/>
        <w:ind w:firstLine="420" w:firstLineChars="200"/>
        <w:jc w:val="left"/>
        <w:rPr>
          <w:rFonts w:hAnsi="宋体"/>
          <w:b/>
          <w:color w:val="auto"/>
          <w:szCs w:val="21"/>
        </w:rPr>
      </w:pPr>
      <w:r>
        <w:rPr>
          <w:rFonts w:hint="eastAsia" w:hAnsi="宋体"/>
          <w:color w:val="auto"/>
          <w:szCs w:val="21"/>
        </w:rPr>
        <w:t>3.监督单位：禹州市政府采购监督管理办公室</w:t>
      </w:r>
    </w:p>
    <w:p>
      <w:pPr>
        <w:spacing w:line="360" w:lineRule="auto"/>
        <w:rPr>
          <w:rFonts w:hAnsi="宋体"/>
          <w:b/>
          <w:color w:val="auto"/>
          <w:szCs w:val="21"/>
        </w:rPr>
      </w:pPr>
      <w:r>
        <w:rPr>
          <w:rFonts w:hint="eastAsia" w:hAnsi="宋体"/>
          <w:b/>
          <w:color w:val="auto"/>
          <w:szCs w:val="21"/>
        </w:rPr>
        <w:t>温馨提示：</w:t>
      </w:r>
    </w:p>
    <w:p>
      <w:pPr>
        <w:tabs>
          <w:tab w:val="left" w:pos="7095"/>
        </w:tabs>
        <w:spacing w:line="360" w:lineRule="auto"/>
        <w:ind w:firstLine="422" w:firstLineChars="200"/>
        <w:contextualSpacing/>
        <w:rPr>
          <w:rFonts w:hAnsi="宋体"/>
          <w:b/>
          <w:color w:val="auto"/>
          <w:szCs w:val="21"/>
        </w:rPr>
      </w:pPr>
      <w:r>
        <w:rPr>
          <w:rFonts w:hint="eastAsia" w:hAnsi="宋体"/>
          <w:b/>
          <w:color w:val="auto"/>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供应商应按谈判文件规定编制、提交、解密电子响应文件。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电子文件下载、制作、提交期间和远程不见面谈判（</w:t>
      </w:r>
      <w:r>
        <w:rPr>
          <w:rFonts w:hint="eastAsia" w:hAnsi="宋体"/>
          <w:color w:val="auto"/>
          <w:szCs w:val="21"/>
        </w:rPr>
        <w:t>电子响应文件的解密</w:t>
      </w:r>
      <w:r>
        <w:rPr>
          <w:rFonts w:hint="eastAsia" w:hAnsi="宋体"/>
          <w:b/>
          <w:color w:val="auto"/>
          <w:szCs w:val="21"/>
        </w:rPr>
        <w:t>）环节，供应商须使用同一个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电子响应文件的制作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供应商登录《全国公共资源交易平台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2"/>
          <w:rFonts w:hAnsi="宋体"/>
          <w:color w:val="auto"/>
          <w:szCs w:val="21"/>
        </w:rPr>
        <w:t>http://221.14.6.70:8088/ggzy/</w:t>
      </w:r>
      <w:r>
        <w:rPr>
          <w:rStyle w:val="32"/>
          <w:rFonts w:hAnsi="宋体"/>
          <w:color w:val="auto"/>
          <w:szCs w:val="21"/>
        </w:rPr>
        <w:fldChar w:fldCharType="end"/>
      </w:r>
      <w:r>
        <w:rPr>
          <w:rFonts w:hint="eastAsia" w:hAnsi="宋体"/>
          <w:color w:val="auto"/>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电子响应文件的制作，参考《全国公共资源交易平台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供应商对同一项目多个标段进行响应的，应分别下载所投标段的谈判文件，按标段制作电子响应文件，并</w:t>
      </w:r>
      <w:r>
        <w:rPr>
          <w:rFonts w:hAnsi="宋体"/>
          <w:color w:val="auto"/>
          <w:szCs w:val="21"/>
        </w:rPr>
        <w:t>按</w:t>
      </w:r>
      <w:r>
        <w:rPr>
          <w:rFonts w:hint="eastAsia" w:hAnsi="宋体"/>
          <w:color w:val="auto"/>
          <w:szCs w:val="21"/>
        </w:rPr>
        <w:t>谈判</w:t>
      </w:r>
      <w:r>
        <w:rPr>
          <w:rFonts w:hAnsi="宋体"/>
          <w:color w:val="auto"/>
          <w:szCs w:val="21"/>
        </w:rPr>
        <w:t>文件要求在相应位置加盖</w:t>
      </w:r>
      <w:r>
        <w:rPr>
          <w:rFonts w:hint="eastAsia" w:hAnsi="宋体"/>
          <w:color w:val="auto"/>
          <w:szCs w:val="21"/>
        </w:rPr>
        <w:t>供应商</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电子响应文件的提交</w:t>
      </w:r>
    </w:p>
    <w:p>
      <w:pPr>
        <w:tabs>
          <w:tab w:val="left" w:pos="7095"/>
        </w:tabs>
        <w:spacing w:line="360" w:lineRule="auto"/>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电子响应文件应按规定在谈判响应截止时间（谈判时间）之前成功提交至《全国公共资源交易平台(河南省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2"/>
          <w:rFonts w:hAnsi="宋体"/>
          <w:color w:val="auto"/>
          <w:szCs w:val="21"/>
        </w:rPr>
        <w:t>http://221.14.6.70:8088/ggzy/</w:t>
      </w:r>
      <w:r>
        <w:rPr>
          <w:rStyle w:val="32"/>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供应商应充分考虑并预留技术处理和上传数据所需时间。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电子响应文件成功提交后，《全国公共资源交易平台(河南省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2"/>
          <w:rFonts w:hAnsi="宋体"/>
          <w:color w:val="auto"/>
          <w:szCs w:val="21"/>
        </w:rPr>
        <w:t>http://221.14.6.70:8088/ggzy/</w:t>
      </w:r>
      <w:r>
        <w:rPr>
          <w:rStyle w:val="32"/>
          <w:rFonts w:hAnsi="宋体"/>
          <w:color w:val="auto"/>
          <w:szCs w:val="21"/>
        </w:rPr>
        <w:fldChar w:fldCharType="end"/>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5.远程不见面谈判（</w:t>
      </w:r>
      <w:r>
        <w:rPr>
          <w:rFonts w:hint="eastAsia" w:hAnsi="宋体"/>
          <w:b/>
          <w:color w:val="auto"/>
          <w:szCs w:val="21"/>
        </w:rPr>
        <w:t>电子响应文件的解密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1</w:t>
      </w:r>
      <w:r>
        <w:rPr>
          <w:rFonts w:hint="eastAsia" w:hAnsi="宋体"/>
          <w:color w:val="auto"/>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 xml:space="preserve">5.2 </w:t>
      </w:r>
      <w:r>
        <w:rPr>
          <w:rFonts w:hint="eastAsia" w:hAnsi="宋体"/>
          <w:color w:val="auto"/>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3</w:t>
      </w:r>
      <w:r>
        <w:rPr>
          <w:rFonts w:hint="eastAsia" w:cs="仿宋_GB2312" w:asciiTheme="minorEastAsia" w:hAnsiTheme="minorEastAsia"/>
          <w:color w:val="auto"/>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5.4</w:t>
      </w:r>
      <w:r>
        <w:rPr>
          <w:rFonts w:hint="eastAsia" w:hAnsi="宋体"/>
          <w:color w:val="auto"/>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cs="宋体" w:asciiTheme="minorEastAsia" w:hAnsiTheme="minorEastAsia"/>
          <w:color w:val="auto"/>
          <w:kern w:val="0"/>
          <w:szCs w:val="21"/>
        </w:rPr>
        <w:t>因供应商原因解密失败的，其响应文件将被拒绝。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5.6项目远程</w:t>
      </w:r>
      <w:r>
        <w:rPr>
          <w:rFonts w:hint="eastAsia" w:hAnsi="宋体"/>
          <w:color w:val="auto"/>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auto"/>
          <w:szCs w:val="21"/>
        </w:rPr>
      </w:pPr>
      <w:r>
        <w:rPr>
          <w:rFonts w:hint="eastAsia" w:asciiTheme="minorEastAsia" w:hAnsiTheme="minorEastAsia"/>
          <w:b/>
          <w:color w:val="auto"/>
          <w:szCs w:val="21"/>
        </w:rPr>
        <w:t>6.评审依据</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（1）最后报价（加盖公章，或者由法定代表人或其授权的代表签字）；</w:t>
      </w:r>
    </w:p>
    <w:p>
      <w:pPr>
        <w:autoSpaceDE w:val="0"/>
        <w:autoSpaceDN w:val="0"/>
        <w:spacing w:line="360" w:lineRule="auto"/>
        <w:ind w:firstLine="420" w:firstLineChars="200"/>
        <w:contextualSpacing/>
        <w:rPr>
          <w:rFonts w:ascii="ˎ̥" w:hAnsi="ˎ̥"/>
          <w:color w:val="auto"/>
        </w:rPr>
      </w:pPr>
      <w:r>
        <w:rPr>
          <w:rFonts w:hint="eastAsia" w:ascii="ˎ̥" w:hAnsi="ˎ̥"/>
          <w:color w:val="auto"/>
        </w:rPr>
        <w:t>提交方式：供应商须使用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tabs>
          <w:tab w:val="left" w:pos="7095"/>
        </w:tabs>
        <w:spacing w:line="360" w:lineRule="auto"/>
        <w:ind w:firstLine="420"/>
        <w:contextualSpacing/>
        <w:rPr>
          <w:rFonts w:asciiTheme="minorEastAsia" w:hAnsiTheme="minorEastAsia"/>
          <w:color w:val="auto"/>
          <w:szCs w:val="21"/>
          <w:lang w:val="zh-CN"/>
        </w:rPr>
      </w:pPr>
      <w:r>
        <w:rPr>
          <w:rFonts w:hint="eastAsia" w:asciiTheme="minorEastAsia" w:hAnsiTheme="minorEastAsia"/>
          <w:color w:val="auto"/>
          <w:szCs w:val="21"/>
          <w:lang w:val="zh-CN"/>
        </w:rPr>
        <w:t>注：</w:t>
      </w:r>
      <w:r>
        <w:rPr>
          <w:rFonts w:hint="eastAsia" w:asciiTheme="minorEastAsia" w:hAnsiTheme="minorEastAsia"/>
          <w:color w:val="auto"/>
          <w:szCs w:val="21"/>
        </w:rPr>
        <w:t>①谈判小组要求供应商提交最后报价时，</w:t>
      </w:r>
      <w:r>
        <w:rPr>
          <w:rFonts w:hint="eastAsia" w:asciiTheme="minorEastAsia" w:hAnsiTheme="minorEastAsia"/>
          <w:color w:val="auto"/>
          <w:szCs w:val="21"/>
          <w:lang w:val="zh-CN"/>
        </w:rPr>
        <w:t>在谈判小组规定时间内，供应商未提交最后报价则以其初次提交响应文件报价为最后报价。</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②谈判文件第二章“采购需求”中“采购清单”以工程量清单提供的，供应商应以工程量清单方式提交最后报价。</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③请供应商根据项目情况，可提前准备分项报价。</w:t>
      </w:r>
    </w:p>
    <w:p>
      <w:pPr>
        <w:numPr>
          <w:ilvl w:val="0"/>
          <w:numId w:val="4"/>
        </w:num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谈判小组如要求供应商提供“澄清、说明或者更正”；“按照谈判文件的变动情况和谈判小组的要求重新提交响应文件”；“</w:t>
      </w:r>
      <w:r>
        <w:rPr>
          <w:rFonts w:asciiTheme="minorEastAsia" w:hAnsiTheme="minorEastAsia"/>
          <w:color w:val="auto"/>
          <w:szCs w:val="21"/>
        </w:rPr>
        <w:t>最终设计方案或解决方案</w:t>
      </w:r>
      <w:r>
        <w:rPr>
          <w:rFonts w:hint="eastAsia" w:asciiTheme="minorEastAsia" w:hAnsiTheme="minorEastAsia"/>
          <w:color w:val="auto"/>
          <w:szCs w:val="21"/>
        </w:rPr>
        <w:t>”的，供应商提供的书面材料应加盖公章，或者由法定代表人或其授权的代表签字后通过电子邮件形式提供。</w:t>
      </w:r>
    </w:p>
    <w:p>
      <w:pPr>
        <w:tabs>
          <w:tab w:val="left" w:pos="7095"/>
        </w:tabs>
        <w:spacing w:line="360" w:lineRule="auto"/>
        <w:ind w:firstLine="210" w:firstLineChars="100"/>
        <w:contextualSpacing/>
        <w:rPr>
          <w:rFonts w:cs="宋体" w:asciiTheme="majorEastAsia" w:hAnsiTheme="majorEastAsia" w:eastAsiaTheme="majorEastAsia"/>
          <w:b/>
          <w:color w:val="auto"/>
          <w:kern w:val="0"/>
          <w:sz w:val="32"/>
          <w:szCs w:val="32"/>
        </w:rPr>
      </w:pPr>
      <w:r>
        <w:rPr>
          <w:rFonts w:hint="eastAsia" w:asciiTheme="minorEastAsia" w:hAnsiTheme="minorEastAsia"/>
          <w:color w:val="auto"/>
          <w:szCs w:val="21"/>
        </w:rPr>
        <w:t>（3）如因供应商（参加谈判的法定代表人或其授权代表）未按照本项目谈判文件第八章“响应文件有关格式”要求，在响应文件中未预留手机号码或因供应商自身原因导致谈判小组无法联系供应商参加谈判《最后报价》的，其风险由供应商自行承担，采购人与代理机构不承担任何责任。</w:t>
      </w: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pPr>
        <w:tabs>
          <w:tab w:val="left" w:pos="1149"/>
        </w:tabs>
        <w:spacing w:line="360" w:lineRule="auto"/>
        <w:ind w:firstLine="422" w:firstLineChars="200"/>
        <w:jc w:val="left"/>
        <w:rPr>
          <w:rFonts w:hint="eastAsia" w:eastAsiaTheme="minorEastAsia"/>
          <w:color w:val="auto"/>
          <w:lang w:eastAsia="zh-CN"/>
        </w:rPr>
      </w:pPr>
      <w:r>
        <w:rPr>
          <w:rFonts w:hint="eastAsia" w:ascii="新宋体" w:hAnsi="新宋体" w:eastAsia="新宋体" w:cs="新宋体"/>
          <w:b/>
          <w:bCs/>
          <w:color w:val="auto"/>
          <w:szCs w:val="21"/>
          <w:lang w:val="zh-CN"/>
        </w:rPr>
        <w:t>一、采购需求及参数：</w:t>
      </w:r>
    </w:p>
    <w:tbl>
      <w:tblPr>
        <w:tblStyle w:val="27"/>
        <w:tblW w:w="8938" w:type="dxa"/>
        <w:jc w:val="center"/>
        <w:tblLayout w:type="autofit"/>
        <w:tblCellMar>
          <w:top w:w="0" w:type="dxa"/>
          <w:left w:w="108" w:type="dxa"/>
          <w:bottom w:w="0" w:type="dxa"/>
          <w:right w:w="108" w:type="dxa"/>
        </w:tblCellMar>
      </w:tblPr>
      <w:tblGrid>
        <w:gridCol w:w="1024"/>
        <w:gridCol w:w="5585"/>
        <w:gridCol w:w="2329"/>
      </w:tblGrid>
      <w:tr>
        <w:tblPrEx>
          <w:tblCellMar>
            <w:top w:w="0" w:type="dxa"/>
            <w:left w:w="108" w:type="dxa"/>
            <w:bottom w:w="0" w:type="dxa"/>
            <w:right w:w="108" w:type="dxa"/>
          </w:tblCellMar>
        </w:tblPrEx>
        <w:trPr>
          <w:trHeight w:val="163" w:hRule="atLeast"/>
          <w:jc w:val="center"/>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55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仪器名称</w:t>
            </w:r>
          </w:p>
        </w:tc>
        <w:tc>
          <w:tcPr>
            <w:tcW w:w="23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数量　　　</w:t>
            </w:r>
          </w:p>
        </w:tc>
      </w:tr>
      <w:tr>
        <w:tblPrEx>
          <w:tblCellMar>
            <w:top w:w="0" w:type="dxa"/>
            <w:left w:w="108" w:type="dxa"/>
            <w:bottom w:w="0" w:type="dxa"/>
            <w:right w:w="108" w:type="dxa"/>
          </w:tblCellMar>
        </w:tblPrEx>
        <w:trPr>
          <w:trHeight w:val="163" w:hRule="atLeast"/>
          <w:jc w:val="center"/>
        </w:trPr>
        <w:tc>
          <w:tcPr>
            <w:tcW w:w="10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558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多参数气体检测仪</w:t>
            </w:r>
          </w:p>
        </w:tc>
        <w:tc>
          <w:tcPr>
            <w:tcW w:w="232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r>
      <w:tr>
        <w:tblPrEx>
          <w:tblCellMar>
            <w:top w:w="0" w:type="dxa"/>
            <w:left w:w="108" w:type="dxa"/>
            <w:bottom w:w="0" w:type="dxa"/>
            <w:right w:w="108" w:type="dxa"/>
          </w:tblCellMar>
        </w:tblPrEx>
        <w:trPr>
          <w:trHeight w:val="163" w:hRule="atLeast"/>
          <w:jc w:val="center"/>
        </w:trPr>
        <w:tc>
          <w:tcPr>
            <w:tcW w:w="10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558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粉尘快速测定仪</w:t>
            </w:r>
          </w:p>
        </w:tc>
        <w:tc>
          <w:tcPr>
            <w:tcW w:w="232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r>
      <w:tr>
        <w:tblPrEx>
          <w:tblCellMar>
            <w:top w:w="0" w:type="dxa"/>
            <w:left w:w="108" w:type="dxa"/>
            <w:bottom w:w="0" w:type="dxa"/>
            <w:right w:w="108" w:type="dxa"/>
          </w:tblCellMar>
        </w:tblPrEx>
        <w:trPr>
          <w:trHeight w:val="306" w:hRule="atLeast"/>
          <w:jc w:val="center"/>
        </w:trPr>
        <w:tc>
          <w:tcPr>
            <w:tcW w:w="10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558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手持式光离子化检测仪（PID）</w:t>
            </w:r>
          </w:p>
        </w:tc>
        <w:tc>
          <w:tcPr>
            <w:tcW w:w="232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r>
      <w:tr>
        <w:tblPrEx>
          <w:tblCellMar>
            <w:top w:w="0" w:type="dxa"/>
            <w:left w:w="108" w:type="dxa"/>
            <w:bottom w:w="0" w:type="dxa"/>
            <w:right w:w="108" w:type="dxa"/>
          </w:tblCellMar>
        </w:tblPrEx>
        <w:trPr>
          <w:trHeight w:val="163" w:hRule="atLeast"/>
          <w:jc w:val="center"/>
        </w:trPr>
        <w:tc>
          <w:tcPr>
            <w:tcW w:w="10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558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风速仪</w:t>
            </w:r>
          </w:p>
        </w:tc>
        <w:tc>
          <w:tcPr>
            <w:tcW w:w="232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r>
      <w:tr>
        <w:tblPrEx>
          <w:tblCellMar>
            <w:top w:w="0" w:type="dxa"/>
            <w:left w:w="108" w:type="dxa"/>
            <w:bottom w:w="0" w:type="dxa"/>
            <w:right w:w="108" w:type="dxa"/>
          </w:tblCellMar>
        </w:tblPrEx>
        <w:trPr>
          <w:trHeight w:val="306" w:hRule="atLeast"/>
          <w:jc w:val="center"/>
        </w:trPr>
        <w:tc>
          <w:tcPr>
            <w:tcW w:w="10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558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手持式挥发性有机气体分析仪（FID+PID）</w:t>
            </w:r>
          </w:p>
        </w:tc>
        <w:tc>
          <w:tcPr>
            <w:tcW w:w="232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r>
      <w:tr>
        <w:tblPrEx>
          <w:tblCellMar>
            <w:top w:w="0" w:type="dxa"/>
            <w:left w:w="108" w:type="dxa"/>
            <w:bottom w:w="0" w:type="dxa"/>
            <w:right w:w="108" w:type="dxa"/>
          </w:tblCellMar>
        </w:tblPrEx>
        <w:trPr>
          <w:trHeight w:val="163" w:hRule="atLeast"/>
          <w:jc w:val="center"/>
        </w:trPr>
        <w:tc>
          <w:tcPr>
            <w:tcW w:w="10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p>
        </w:tc>
        <w:tc>
          <w:tcPr>
            <w:tcW w:w="558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智能手持式红外热成像仪</w:t>
            </w:r>
          </w:p>
        </w:tc>
        <w:tc>
          <w:tcPr>
            <w:tcW w:w="232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r>
      <w:tr>
        <w:tblPrEx>
          <w:tblCellMar>
            <w:top w:w="0" w:type="dxa"/>
            <w:left w:w="108" w:type="dxa"/>
            <w:bottom w:w="0" w:type="dxa"/>
            <w:right w:w="108" w:type="dxa"/>
          </w:tblCellMar>
        </w:tblPrEx>
        <w:trPr>
          <w:trHeight w:val="163" w:hRule="atLeast"/>
          <w:jc w:val="center"/>
        </w:trPr>
        <w:tc>
          <w:tcPr>
            <w:tcW w:w="10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w:t>
            </w:r>
          </w:p>
        </w:tc>
        <w:tc>
          <w:tcPr>
            <w:tcW w:w="558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执法记录仪</w:t>
            </w:r>
          </w:p>
        </w:tc>
        <w:tc>
          <w:tcPr>
            <w:tcW w:w="232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w:t>
            </w:r>
          </w:p>
        </w:tc>
      </w:tr>
      <w:tr>
        <w:tblPrEx>
          <w:tblCellMar>
            <w:top w:w="0" w:type="dxa"/>
            <w:left w:w="108" w:type="dxa"/>
            <w:bottom w:w="0" w:type="dxa"/>
            <w:right w:w="108" w:type="dxa"/>
          </w:tblCellMar>
        </w:tblPrEx>
        <w:trPr>
          <w:trHeight w:val="328" w:hRule="atLeast"/>
          <w:jc w:val="center"/>
        </w:trPr>
        <w:tc>
          <w:tcPr>
            <w:tcW w:w="10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w:t>
            </w:r>
          </w:p>
        </w:tc>
        <w:tc>
          <w:tcPr>
            <w:tcW w:w="558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涉气企业专项执法巡查用无人机</w:t>
            </w:r>
          </w:p>
        </w:tc>
        <w:tc>
          <w:tcPr>
            <w:tcW w:w="232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r>
    </w:tbl>
    <w:p>
      <w:pPr>
        <w:spacing w:after="240" w:line="360" w:lineRule="auto"/>
        <w:ind w:firstLine="420" w:firstLineChars="200"/>
        <w:rPr>
          <w:rFonts w:hint="eastAsia" w:ascii="新宋体" w:hAnsi="新宋体" w:eastAsia="新宋体" w:cs="新宋体"/>
          <w:b/>
          <w:color w:val="auto"/>
          <w:szCs w:val="21"/>
        </w:rPr>
      </w:pPr>
      <w:r>
        <w:rPr>
          <w:rFonts w:hint="eastAsia"/>
          <w:color w:val="auto"/>
          <w:lang w:eastAsia="zh-CN"/>
        </w:rPr>
        <w:t>参数要求详见参数附件。</w:t>
      </w:r>
    </w:p>
    <w:p>
      <w:pPr>
        <w:keepNext w:val="0"/>
        <w:keepLines w:val="0"/>
        <w:pageBreakBefore w:val="0"/>
        <w:widowControl w:val="0"/>
        <w:tabs>
          <w:tab w:val="left" w:pos="1149"/>
        </w:tabs>
        <w:kinsoku/>
        <w:overflowPunct/>
        <w:topLinePunct w:val="0"/>
        <w:autoSpaceDE/>
        <w:autoSpaceDN/>
        <w:bidi w:val="0"/>
        <w:spacing w:line="356" w:lineRule="auto"/>
        <w:ind w:firstLine="422" w:firstLineChars="200"/>
        <w:textAlignment w:val="auto"/>
        <w:rPr>
          <w:b/>
          <w:color w:val="auto"/>
        </w:rPr>
      </w:pPr>
      <w:r>
        <w:rPr>
          <w:rFonts w:hint="eastAsia" w:ascii="新宋体" w:hAnsi="新宋体" w:eastAsia="新宋体" w:cs="新宋体"/>
          <w:b/>
          <w:color w:val="auto"/>
          <w:szCs w:val="21"/>
        </w:rPr>
        <w:t>注： 参数不允许负偏离，否则为无效投标。</w:t>
      </w:r>
    </w:p>
    <w:p>
      <w:pPr>
        <w:keepNext w:val="0"/>
        <w:keepLines w:val="0"/>
        <w:pageBreakBefore w:val="0"/>
        <w:widowControl w:val="0"/>
        <w:kinsoku/>
        <w:overflowPunct/>
        <w:topLinePunct w:val="0"/>
        <w:autoSpaceDE/>
        <w:autoSpaceDN/>
        <w:bidi w:val="0"/>
        <w:spacing w:line="356" w:lineRule="auto"/>
        <w:ind w:firstLine="422" w:firstLineChars="200"/>
        <w:contextualSpacing/>
        <w:textAlignment w:val="auto"/>
        <w:rPr>
          <w:rFonts w:ascii="楷体" w:hAnsi="楷体" w:eastAsia="楷体" w:cs="宋体"/>
          <w:color w:val="auto"/>
          <w:kern w:val="0"/>
          <w:szCs w:val="21"/>
          <w:lang w:val="zh-CN"/>
        </w:rPr>
      </w:pPr>
      <w:r>
        <w:rPr>
          <w:rFonts w:hint="eastAsia" w:cs="宋体" w:asciiTheme="minorEastAsia" w:hAnsiTheme="minorEastAsia"/>
          <w:b/>
          <w:color w:val="auto"/>
          <w:kern w:val="0"/>
          <w:szCs w:val="21"/>
          <w:lang w:val="zh-CN"/>
        </w:rPr>
        <w:t>二、采购标的执行标准</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执行国家相关标准。</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1、强制性产品认证</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2、信息安全产品强制性认证</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如投标人所投产品被列入《信息安全产品强制性认证目录》，投标人不能提供出此目录范畴外的替代品并须在投标文件中提供：</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（1）中国信息安全认证中心官网(http://www.isccc.gov.cn/index.shtml)产品查询结果截图并加盖投标人公章；</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（2）中国信息安全认证中心颁发的《中国国家信息安全产品认证证书》的原件扫描件(或图片)并加盖投标人公章。</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注:仅需提供序号（1）~（2）其中之一即可。</w:t>
      </w:r>
    </w:p>
    <w:p>
      <w:pPr>
        <w:keepNext w:val="0"/>
        <w:keepLines w:val="0"/>
        <w:pageBreakBefore w:val="0"/>
        <w:widowControl w:val="0"/>
        <w:kinsoku/>
        <w:wordWrap w:val="0"/>
        <w:overflowPunct/>
        <w:topLinePunct w:val="0"/>
        <w:autoSpaceDE/>
        <w:autoSpaceDN/>
        <w:bidi w:val="0"/>
        <w:spacing w:line="356" w:lineRule="auto"/>
        <w:ind w:firstLine="422" w:firstLineChars="200"/>
        <w:contextualSpacing/>
        <w:textAlignment w:val="auto"/>
        <w:rPr>
          <w:rFonts w:cs="仿宋_GB2312" w:asciiTheme="minorEastAsia" w:hAnsiTheme="minorEastAsia"/>
          <w:b/>
          <w:bCs/>
          <w:color w:val="auto"/>
          <w:szCs w:val="21"/>
          <w:lang w:val="zh-CN"/>
        </w:rPr>
      </w:pPr>
      <w:r>
        <w:rPr>
          <w:rFonts w:hint="eastAsia" w:cs="仿宋_GB2312" w:asciiTheme="minorEastAsia" w:hAnsiTheme="minorEastAsia"/>
          <w:b/>
          <w:bCs/>
          <w:color w:val="auto"/>
          <w:szCs w:val="21"/>
          <w:lang w:val="zh-CN"/>
        </w:rPr>
        <w:t>三、采购标的的其他技术、服务等要求</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b/>
          <w:bCs/>
          <w:color w:val="auto"/>
          <w:szCs w:val="21"/>
          <w:lang w:val="zh-CN"/>
        </w:rPr>
      </w:pPr>
      <w:r>
        <w:rPr>
          <w:rFonts w:hint="eastAsia" w:cs="仿宋_GB2312" w:asciiTheme="minorEastAsia" w:hAnsiTheme="minorEastAsia"/>
          <w:color w:val="auto"/>
          <w:szCs w:val="21"/>
        </w:rPr>
        <w:t>1</w:t>
      </w:r>
      <w:r>
        <w:rPr>
          <w:rFonts w:hint="eastAsia" w:cs="仿宋_GB2312" w:asciiTheme="minorEastAsia" w:hAnsiTheme="minorEastAsia"/>
          <w:color w:val="auto"/>
          <w:szCs w:val="21"/>
          <w:lang w:val="zh-CN"/>
        </w:rPr>
        <w:t>、投标人应就本项目完整投标，报价含税费等综合费用，</w:t>
      </w:r>
      <w:r>
        <w:rPr>
          <w:rFonts w:hint="eastAsia" w:cs="仿宋_GB2312" w:asciiTheme="minorEastAsia" w:hAnsiTheme="minorEastAsia"/>
          <w:b/>
          <w:bCs/>
          <w:color w:val="auto"/>
          <w:szCs w:val="21"/>
          <w:lang w:val="zh-CN"/>
        </w:rPr>
        <w:t>否则为无效投标;</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rPr>
        <w:t>2</w:t>
      </w:r>
      <w:r>
        <w:rPr>
          <w:rFonts w:hint="eastAsia" w:cs="仿宋_GB2312" w:asciiTheme="minorEastAsia" w:hAnsiTheme="minorEastAsia"/>
          <w:color w:val="auto"/>
          <w:szCs w:val="21"/>
          <w:lang w:val="zh-CN"/>
        </w:rPr>
        <w:t>、所投产品必须符合招标文件规定标准的全新正品现货，</w:t>
      </w:r>
      <w:r>
        <w:rPr>
          <w:rFonts w:hint="eastAsia" w:cs="仿宋_GB2312" w:asciiTheme="minorEastAsia" w:hAnsiTheme="minorEastAsia"/>
          <w:b/>
          <w:bCs/>
          <w:color w:val="auto"/>
          <w:szCs w:val="21"/>
          <w:lang w:val="zh-CN"/>
        </w:rPr>
        <w:t>否则为无效投标;</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rPr>
        <w:t>3</w:t>
      </w:r>
      <w:r>
        <w:rPr>
          <w:rFonts w:hint="eastAsia" w:cs="仿宋_GB2312" w:asciiTheme="minorEastAsia" w:hAnsiTheme="minorEastAsia"/>
          <w:color w:val="auto"/>
          <w:szCs w:val="21"/>
          <w:lang w:val="zh-CN"/>
        </w:rPr>
        <w:t>、投标人须明确投标产品的厂家、产地、品牌、型号等参数，</w:t>
      </w:r>
      <w:r>
        <w:rPr>
          <w:rFonts w:hint="eastAsia" w:cs="仿宋_GB2312" w:asciiTheme="minorEastAsia" w:hAnsiTheme="minorEastAsia"/>
          <w:b/>
          <w:bCs/>
          <w:color w:val="auto"/>
          <w:szCs w:val="21"/>
          <w:lang w:val="zh-CN"/>
        </w:rPr>
        <w:t>否则为无效投标。</w:t>
      </w:r>
    </w:p>
    <w:p>
      <w:pPr>
        <w:keepNext w:val="0"/>
        <w:keepLines w:val="0"/>
        <w:pageBreakBefore w:val="0"/>
        <w:widowControl w:val="0"/>
        <w:kinsoku/>
        <w:overflowPunct/>
        <w:topLinePunct w:val="0"/>
        <w:autoSpaceDE/>
        <w:autoSpaceDN/>
        <w:bidi w:val="0"/>
        <w:spacing w:line="356" w:lineRule="auto"/>
        <w:ind w:firstLine="420" w:firstLineChars="200"/>
        <w:textAlignment w:val="auto"/>
        <w:rPr>
          <w:rFonts w:ascii="宋体" w:hAnsi="宋体"/>
          <w:color w:val="auto"/>
          <w:szCs w:val="21"/>
        </w:rPr>
      </w:pPr>
      <w:r>
        <w:rPr>
          <w:rFonts w:hint="eastAsia" w:ascii="宋体" w:hAnsi="宋体"/>
          <w:color w:val="auto"/>
          <w:szCs w:val="21"/>
        </w:rPr>
        <w:t>4、接到报修后8小时内响应，24小时内到场，除需更换配件外，48小时内解决故障。</w:t>
      </w:r>
    </w:p>
    <w:p>
      <w:pPr>
        <w:keepNext w:val="0"/>
        <w:keepLines w:val="0"/>
        <w:pageBreakBefore w:val="0"/>
        <w:widowControl w:val="0"/>
        <w:kinsoku/>
        <w:overflowPunct/>
        <w:topLinePunct w:val="0"/>
        <w:autoSpaceDE/>
        <w:autoSpaceDN/>
        <w:bidi w:val="0"/>
        <w:spacing w:line="356" w:lineRule="auto"/>
        <w:textAlignment w:val="auto"/>
        <w:rPr>
          <w:rFonts w:ascii="宋体" w:hAnsi="宋体"/>
          <w:color w:val="auto"/>
          <w:szCs w:val="21"/>
        </w:rPr>
      </w:pPr>
      <w:r>
        <w:rPr>
          <w:rFonts w:hint="eastAsia" w:ascii="宋体" w:hAnsi="宋体"/>
          <w:color w:val="auto"/>
          <w:szCs w:val="21"/>
        </w:rPr>
        <w:t xml:space="preserve">    5、设备整体免费</w:t>
      </w:r>
      <w:r>
        <w:rPr>
          <w:rFonts w:hint="eastAsia" w:ascii="宋体" w:hAnsi="宋体"/>
          <w:color w:val="auto"/>
          <w:szCs w:val="21"/>
        </w:rPr>
        <w:t>保修1年（包括所有</w:t>
      </w:r>
      <w:r>
        <w:rPr>
          <w:rFonts w:hint="eastAsia" w:ascii="宋体" w:hAnsi="宋体"/>
          <w:color w:val="auto"/>
          <w:szCs w:val="21"/>
        </w:rPr>
        <w:t>部件、耗材），终身维修，1年后免除人工费用只收取材料及耗材费。</w:t>
      </w:r>
    </w:p>
    <w:p>
      <w:pPr>
        <w:keepNext w:val="0"/>
        <w:keepLines w:val="0"/>
        <w:pageBreakBefore w:val="0"/>
        <w:widowControl w:val="0"/>
        <w:kinsoku/>
        <w:overflowPunct/>
        <w:topLinePunct w:val="0"/>
        <w:autoSpaceDE/>
        <w:autoSpaceDN/>
        <w:bidi w:val="0"/>
        <w:spacing w:line="356" w:lineRule="auto"/>
        <w:textAlignment w:val="auto"/>
        <w:rPr>
          <w:rFonts w:ascii="宋体" w:hAnsi="宋体"/>
          <w:color w:val="auto"/>
          <w:szCs w:val="21"/>
        </w:rPr>
      </w:pPr>
      <w:r>
        <w:rPr>
          <w:rFonts w:hint="eastAsia" w:ascii="宋体" w:hAnsi="宋体"/>
          <w:color w:val="auto"/>
          <w:szCs w:val="21"/>
        </w:rPr>
        <w:t xml:space="preserve">    6、设备的质量保证期，从设备安装调试验收合格之日起计。在保证期内因设备本身的质量问题发生故障，负责免费修理和更换零部件。对达不到使用要求者，经双方协商，可以更换设备，由中标单位承担所发生的全部费用。</w:t>
      </w:r>
    </w:p>
    <w:p>
      <w:pPr>
        <w:keepNext w:val="0"/>
        <w:keepLines w:val="0"/>
        <w:pageBreakBefore w:val="0"/>
        <w:widowControl w:val="0"/>
        <w:kinsoku/>
        <w:overflowPunct/>
        <w:topLinePunct w:val="0"/>
        <w:autoSpaceDE/>
        <w:autoSpaceDN/>
        <w:bidi w:val="0"/>
        <w:adjustRightInd w:val="0"/>
        <w:snapToGrid w:val="0"/>
        <w:spacing w:line="356" w:lineRule="auto"/>
        <w:ind w:firstLine="420" w:firstLineChars="200"/>
        <w:textAlignment w:val="auto"/>
        <w:rPr>
          <w:rFonts w:ascii="宋体" w:hAnsi="宋体"/>
          <w:color w:val="auto"/>
          <w:sz w:val="18"/>
          <w:szCs w:val="18"/>
        </w:rPr>
      </w:pPr>
      <w:r>
        <w:rPr>
          <w:rFonts w:hint="eastAsia" w:ascii="宋体" w:hAnsi="宋体"/>
          <w:color w:val="auto"/>
          <w:szCs w:val="21"/>
        </w:rPr>
        <w:t>7、在质保期内到设备使用寿命止，由中标单位对设备出现的质量问题负责处理解决。</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宋体" w:asciiTheme="minorEastAsia" w:hAnsiTheme="minorEastAsia"/>
          <w:color w:val="auto"/>
          <w:kern w:val="0"/>
          <w:szCs w:val="21"/>
          <w:lang w:val="zh-CN"/>
        </w:rPr>
      </w:pPr>
      <w:r>
        <w:rPr>
          <w:rFonts w:hint="eastAsia" w:cs="宋体" w:asciiTheme="minorEastAsia" w:hAnsiTheme="minorEastAsia"/>
          <w:color w:val="auto"/>
          <w:kern w:val="0"/>
          <w:szCs w:val="21"/>
        </w:rPr>
        <w:t>8</w:t>
      </w:r>
      <w:r>
        <w:rPr>
          <w:rFonts w:hint="eastAsia" w:cs="宋体" w:asciiTheme="minorEastAsia" w:hAnsiTheme="minorEastAsia"/>
          <w:color w:val="auto"/>
          <w:kern w:val="0"/>
          <w:szCs w:val="21"/>
          <w:lang w:val="zh-CN"/>
        </w:rPr>
        <w:t>、本项目为交钥匙工程（包括设备、材料、元件等购置、安装调试、验收、与其它施工单位协作所产生的费用等）</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9、交货地点：采购人指定地点，现场交货，中标人负责办理运输，保证运输到户，并提供免费安装调试，对此项作出承诺。为了确保项目按时按质完成，实施方案应由项目负责人签字，否则无效投标。</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10、投标人应具有完善的善后服务。投标人须明确质保期限，须明确维修地址、负责人、联系人和联系电话，维修点具备什么样的维修能力等详细资料。</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11、中标人需按合同约定时间供货，逾期1天扣除合同额的5%，中标人须现场提供技术指导，直至配合完成整个项目的竣工验收等工作。</w:t>
      </w:r>
    </w:p>
    <w:p>
      <w:pPr>
        <w:keepNext w:val="0"/>
        <w:keepLines w:val="0"/>
        <w:pageBreakBefore w:val="0"/>
        <w:widowControl w:val="0"/>
        <w:kinsoku/>
        <w:wordWrap w:val="0"/>
        <w:overflowPunct/>
        <w:topLinePunct w:val="0"/>
        <w:autoSpaceDE/>
        <w:autoSpaceDN/>
        <w:bidi w:val="0"/>
        <w:spacing w:line="356" w:lineRule="auto"/>
        <w:ind w:firstLine="422" w:firstLineChars="200"/>
        <w:contextualSpacing/>
        <w:textAlignment w:val="auto"/>
        <w:rPr>
          <w:rFonts w:cs="仿宋_GB2312" w:asciiTheme="minorEastAsia" w:hAnsiTheme="minorEastAsia"/>
          <w:b/>
          <w:bCs/>
          <w:color w:val="auto"/>
          <w:szCs w:val="21"/>
          <w:lang w:val="zh-CN"/>
        </w:rPr>
      </w:pPr>
      <w:r>
        <w:rPr>
          <w:rFonts w:hint="eastAsia" w:cs="仿宋_GB2312" w:asciiTheme="minorEastAsia" w:hAnsiTheme="minorEastAsia"/>
          <w:b/>
          <w:bCs/>
          <w:color w:val="auto"/>
          <w:szCs w:val="21"/>
          <w:lang w:val="zh-CN"/>
        </w:rPr>
        <w:t>四、验收标准</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1、按照国家相关标准、行业标准、地方标准或其他标准、规范验收。</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2、按照招标文件要求、投标文件响应和承诺验收。</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rPr>
        <w:t>3、本项目验收如需要第三方验收，中标方将承担所有产生的费用。</w:t>
      </w:r>
    </w:p>
    <w:p>
      <w:pPr>
        <w:keepNext w:val="0"/>
        <w:keepLines w:val="0"/>
        <w:pageBreakBefore w:val="0"/>
        <w:widowControl w:val="0"/>
        <w:kinsoku/>
        <w:wordWrap w:val="0"/>
        <w:overflowPunct/>
        <w:topLinePunct w:val="0"/>
        <w:autoSpaceDE/>
        <w:autoSpaceDN/>
        <w:bidi w:val="0"/>
        <w:spacing w:line="356" w:lineRule="auto"/>
        <w:ind w:firstLine="422" w:firstLineChars="200"/>
        <w:contextualSpacing/>
        <w:textAlignment w:val="auto"/>
        <w:rPr>
          <w:rFonts w:cs="仿宋_GB2312" w:asciiTheme="minorEastAsia" w:hAnsiTheme="minorEastAsia"/>
          <w:b/>
          <w:bCs/>
          <w:color w:val="auto"/>
          <w:szCs w:val="21"/>
          <w:lang w:val="zh-CN"/>
        </w:rPr>
      </w:pPr>
      <w:r>
        <w:rPr>
          <w:rFonts w:hint="eastAsia" w:cs="仿宋_GB2312" w:asciiTheme="minorEastAsia" w:hAnsiTheme="minorEastAsia"/>
          <w:b/>
          <w:bCs/>
          <w:color w:val="auto"/>
          <w:szCs w:val="21"/>
        </w:rPr>
        <w:t>五</w:t>
      </w:r>
      <w:r>
        <w:rPr>
          <w:rFonts w:hint="eastAsia" w:cs="仿宋_GB2312" w:asciiTheme="minorEastAsia" w:hAnsiTheme="minorEastAsia"/>
          <w:b/>
          <w:bCs/>
          <w:color w:val="auto"/>
          <w:szCs w:val="21"/>
          <w:lang w:val="zh-CN"/>
        </w:rPr>
        <w:t>、资金支付</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ascii="宋体" w:hAnsi="宋体" w:eastAsia="宋体"/>
          <w:color w:val="auto"/>
          <w:szCs w:val="21"/>
        </w:rPr>
      </w:pPr>
      <w:r>
        <w:rPr>
          <w:rFonts w:hint="eastAsia" w:ascii="宋体" w:hAnsi="宋体" w:eastAsia="宋体"/>
          <w:color w:val="auto"/>
          <w:szCs w:val="21"/>
          <w:lang w:val="zh-CN"/>
        </w:rPr>
        <w:t>采购单位采取设定“分批分次”付款方式的，首付款比例不低于合同金额的 50%；对于中小企业，首付款比例不低于合同金额的 70%；采购单位采购“货物类及需要供应商垫资”的项目，在合同履约前向中标成交供应商预付不低于合同金额 40%的启动资金；对于中小企业，预付不低于合同金额 60%的启动资金</w:t>
      </w:r>
      <w:r>
        <w:rPr>
          <w:rFonts w:hint="eastAsia" w:cs="仿宋_GB2312" w:asciiTheme="minorEastAsia" w:hAnsiTheme="minorEastAsia"/>
          <w:color w:val="auto"/>
          <w:szCs w:val="21"/>
          <w:lang w:val="zh-CN"/>
        </w:rPr>
        <w:t>。</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ascii="宋体" w:hAnsi="宋体" w:eastAsia="宋体"/>
          <w:color w:val="auto"/>
          <w:szCs w:val="21"/>
        </w:rPr>
      </w:pPr>
      <w:r>
        <w:rPr>
          <w:rFonts w:hint="eastAsia" w:ascii="宋体" w:hAnsi="宋体" w:eastAsia="宋体"/>
          <w:color w:val="auto"/>
          <w:szCs w:val="21"/>
        </w:rPr>
        <w:t>（一）支付方式：</w:t>
      </w:r>
      <w:r>
        <w:rPr>
          <w:rFonts w:hint="eastAsia" w:cs="仿宋_GB2312" w:asciiTheme="minorEastAsia" w:hAnsiTheme="minorEastAsia"/>
          <w:color w:val="auto"/>
          <w:szCs w:val="21"/>
          <w:lang w:val="zh-CN"/>
        </w:rPr>
        <w:t>双方签订合同约定。</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color w:val="auto"/>
        </w:rPr>
      </w:pPr>
      <w:r>
        <w:rPr>
          <w:rFonts w:hint="eastAsia" w:ascii="宋体" w:hAnsi="宋体"/>
          <w:color w:val="auto"/>
          <w:szCs w:val="21"/>
        </w:rPr>
        <w:t>（二）支付时间及条件：</w:t>
      </w:r>
      <w:r>
        <w:rPr>
          <w:rFonts w:hint="eastAsia" w:cs="仿宋_GB2312" w:asciiTheme="minorEastAsia" w:hAnsiTheme="minorEastAsia"/>
          <w:color w:val="auto"/>
          <w:szCs w:val="21"/>
          <w:lang w:val="zh-CN"/>
        </w:rPr>
        <w:t>双方签订合同约定。</w:t>
      </w: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pStyle w:val="2"/>
        <w:rPr>
          <w:rFonts w:hint="eastAsia" w:cs="宋体" w:asciiTheme="majorEastAsia" w:hAnsiTheme="majorEastAsia" w:eastAsiaTheme="majorEastAsia"/>
          <w:b/>
          <w:color w:val="auto"/>
          <w:kern w:val="0"/>
          <w:sz w:val="32"/>
          <w:szCs w:val="32"/>
        </w:rPr>
      </w:pPr>
    </w:p>
    <w:p>
      <w:pPr>
        <w:pStyle w:val="5"/>
        <w:rPr>
          <w:rFonts w:hint="eastAsia"/>
          <w:color w:val="auto"/>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谈判文件中凡标有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条款均为实质性要求条款，响应文件须完全响应，未实质响应的，按照无效响应处理。</w:t>
      </w:r>
    </w:p>
    <w:tbl>
      <w:tblPr>
        <w:tblStyle w:val="2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436"/>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43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436"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hint="eastAsia" w:cs="仿宋_GB2312" w:asciiTheme="minorEastAsia" w:hAnsiTheme="minorEastAsia"/>
                <w:color w:val="auto"/>
                <w:szCs w:val="21"/>
              </w:rPr>
              <w:t>项目名称：</w:t>
            </w:r>
            <w:r>
              <w:rPr>
                <w:rFonts w:hint="eastAsia" w:hAnsi="宋体"/>
                <w:color w:val="auto"/>
                <w:szCs w:val="21"/>
              </w:rPr>
              <w:t>禹州市环境保护局大气环境执法能力提升项目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638"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436"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spacing w:line="384" w:lineRule="auto"/>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名称：禹州市</w:t>
            </w:r>
            <w:r>
              <w:rPr>
                <w:rFonts w:hint="eastAsia" w:asciiTheme="majorEastAsia" w:hAnsiTheme="majorEastAsia" w:eastAsiaTheme="majorEastAsia" w:cstheme="majorEastAsia"/>
                <w:color w:val="auto"/>
                <w:szCs w:val="21"/>
                <w:lang w:eastAsia="zh-CN"/>
              </w:rPr>
              <w:t>环境保护</w:t>
            </w:r>
            <w:r>
              <w:rPr>
                <w:rFonts w:hint="eastAsia" w:asciiTheme="majorEastAsia" w:hAnsiTheme="majorEastAsia" w:eastAsiaTheme="majorEastAsia" w:cstheme="majorEastAsia"/>
                <w:color w:val="auto"/>
                <w:szCs w:val="21"/>
              </w:rPr>
              <w:t>局</w:t>
            </w:r>
          </w:p>
          <w:p>
            <w:pPr>
              <w:spacing w:line="384" w:lineRule="auto"/>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地址：禹州市行政北路2号创业大厦</w:t>
            </w:r>
          </w:p>
          <w:p>
            <w:pPr>
              <w:spacing w:line="384" w:lineRule="auto"/>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联系人：焦女士</w:t>
            </w:r>
          </w:p>
          <w:p>
            <w:pPr>
              <w:spacing w:line="384" w:lineRule="auto"/>
              <w:jc w:val="left"/>
              <w:rPr>
                <w:rFonts w:cs="仿宋_GB2312" w:asciiTheme="minorEastAsia" w:hAnsiTheme="minorEastAsia"/>
                <w:color w:val="auto"/>
                <w:szCs w:val="21"/>
              </w:rPr>
            </w:pPr>
            <w:r>
              <w:rPr>
                <w:rFonts w:hint="eastAsia" w:asciiTheme="majorEastAsia" w:hAnsiTheme="majorEastAsia" w:eastAsiaTheme="majorEastAsia" w:cstheme="majorEastAsia"/>
                <w:color w:val="auto"/>
                <w:szCs w:val="21"/>
              </w:rPr>
              <w:t>联系电话：0374-6066221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436"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813" w:type="dxa"/>
            <w:vAlign w:val="center"/>
          </w:tcPr>
          <w:p>
            <w:pPr>
              <w:pStyle w:val="13"/>
              <w:spacing w:line="348" w:lineRule="auto"/>
              <w:ind w:left="0" w:leftChars="0" w:firstLine="0" w:firstLineChars="0"/>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名称：</w:t>
            </w:r>
            <w:r>
              <w:rPr>
                <w:rFonts w:hint="eastAsia"/>
                <w:color w:val="auto"/>
              </w:rPr>
              <w:t>许昌丰元咨询管理有限公司</w:t>
            </w:r>
          </w:p>
          <w:p>
            <w:pPr>
              <w:spacing w:line="384" w:lineRule="auto"/>
              <w:jc w:val="left"/>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地址：</w:t>
            </w:r>
            <w:r>
              <w:rPr>
                <w:rFonts w:hint="eastAsia"/>
                <w:color w:val="auto"/>
                <w:lang w:val="en-US" w:eastAsia="zh-CN"/>
              </w:rPr>
              <w:t>禹州市颍北大道6号</w:t>
            </w:r>
          </w:p>
          <w:p>
            <w:pPr>
              <w:spacing w:line="384" w:lineRule="auto"/>
              <w:jc w:val="left"/>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联系人：</w:t>
            </w:r>
            <w:r>
              <w:rPr>
                <w:rFonts w:hint="eastAsia" w:asciiTheme="majorEastAsia" w:hAnsiTheme="majorEastAsia" w:eastAsiaTheme="majorEastAsia" w:cstheme="majorEastAsia"/>
                <w:color w:val="auto"/>
                <w:szCs w:val="21"/>
                <w:lang w:val="en-US" w:eastAsia="zh-CN"/>
              </w:rPr>
              <w:t>连女士</w:t>
            </w:r>
          </w:p>
          <w:p>
            <w:pPr>
              <w:spacing w:line="384" w:lineRule="auto"/>
              <w:jc w:val="left"/>
              <w:rPr>
                <w:rFonts w:cs="仿宋_GB2312" w:asciiTheme="minorEastAsia" w:hAnsiTheme="minorEastAsia"/>
                <w:color w:val="auto"/>
                <w:szCs w:val="21"/>
              </w:rPr>
            </w:pPr>
            <w:r>
              <w:rPr>
                <w:rFonts w:hint="eastAsia" w:asciiTheme="majorEastAsia" w:hAnsiTheme="majorEastAsia" w:eastAsiaTheme="majorEastAsia" w:cstheme="majorEastAsia"/>
                <w:bCs/>
                <w:color w:val="auto"/>
                <w:szCs w:val="21"/>
              </w:rPr>
              <w:t>联系电话：</w:t>
            </w:r>
            <w:r>
              <w:rPr>
                <w:rFonts w:hint="eastAsia" w:asciiTheme="majorEastAsia" w:hAnsiTheme="majorEastAsia" w:eastAsiaTheme="majorEastAsia" w:cstheme="majorEastAsia"/>
                <w:color w:val="auto"/>
                <w:szCs w:val="21"/>
                <w:lang w:val="en-US" w:eastAsia="zh-CN"/>
              </w:rPr>
              <w:t>0374-8281999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38" w:type="dxa"/>
            <w:vMerge w:val="restart"/>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436" w:type="dxa"/>
            <w:vMerge w:val="restart"/>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中小企业或者残疾人福利性单位声明函</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1、中小企业出具《中小企业声明函》</w:t>
            </w:r>
          </w:p>
          <w:p>
            <w:pPr>
              <w:autoSpaceDE w:val="0"/>
              <w:autoSpaceDN w:val="0"/>
              <w:adjustRightInd w:val="0"/>
              <w:spacing w:line="360" w:lineRule="auto"/>
              <w:jc w:val="left"/>
              <w:rPr>
                <w:rFonts w:cs="仿宋_GB2312" w:asciiTheme="minorEastAsia" w:hAnsiTheme="minorEastAsia"/>
                <w:b/>
                <w:color w:val="auto"/>
                <w:szCs w:val="21"/>
                <w:shd w:val="clear" w:color="auto" w:fill="FFFFFF"/>
              </w:rPr>
            </w:pPr>
            <w:r>
              <w:rPr>
                <w:rFonts w:hint="eastAsia" w:cs="宋体" w:asciiTheme="minorEastAsia" w:hAnsiTheme="minorEastAsia"/>
                <w:bCs/>
                <w:color w:val="auto"/>
                <w:szCs w:val="21"/>
                <w:lang w:val="zh-CN"/>
              </w:rPr>
              <w:t>2、残疾人福利性单位出具《残疾人福利企业声明函》</w:t>
            </w:r>
          </w:p>
          <w:p>
            <w:pPr>
              <w:autoSpaceDE w:val="0"/>
              <w:autoSpaceDN w:val="0"/>
              <w:adjustRightInd w:val="0"/>
              <w:spacing w:line="360" w:lineRule="auto"/>
              <w:jc w:val="left"/>
              <w:rPr>
                <w:rFonts w:cs="仿宋_GB2312" w:asciiTheme="minorEastAsia" w:hAnsiTheme="minorEastAsia"/>
                <w:b/>
                <w:color w:val="auto"/>
                <w:szCs w:val="21"/>
                <w:shd w:val="clear" w:color="auto" w:fill="FFFFFF"/>
              </w:rPr>
            </w:pPr>
            <w:r>
              <w:rPr>
                <w:rFonts w:hint="eastAsia" w:cs="仿宋_GB2312" w:asciiTheme="minorEastAsia" w:hAnsiTheme="minorEastAsia"/>
                <w:b/>
                <w:color w:val="auto"/>
                <w:szCs w:val="21"/>
                <w:shd w:val="clear" w:color="auto" w:fill="FFFFFF"/>
              </w:rPr>
              <w:t>符合《政府采购法》第二十二条规定</w:t>
            </w:r>
          </w:p>
          <w:p>
            <w:pPr>
              <w:pStyle w:val="5"/>
              <w:ind w:left="0" w:leftChars="0" w:firstLine="0" w:firstLineChars="0"/>
              <w:rPr>
                <w:color w:val="auto"/>
              </w:rPr>
            </w:pPr>
            <w:r>
              <w:rPr>
                <w:rFonts w:hint="eastAsia"/>
                <w:color w:val="auto"/>
              </w:rPr>
              <w:t>特定资格要求：详见谈判公告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vMerge w:val="continue"/>
            <w:vAlign w:val="center"/>
          </w:tcPr>
          <w:p>
            <w:pPr>
              <w:autoSpaceDE w:val="0"/>
              <w:autoSpaceDN w:val="0"/>
              <w:adjustRightInd w:val="0"/>
              <w:spacing w:line="276" w:lineRule="auto"/>
              <w:jc w:val="center"/>
              <w:rPr>
                <w:rFonts w:cs="黑体" w:asciiTheme="minorEastAsia" w:hAnsiTheme="minorEastAsia"/>
                <w:color w:val="auto"/>
                <w:szCs w:val="21"/>
              </w:rPr>
            </w:pPr>
          </w:p>
        </w:tc>
        <w:tc>
          <w:tcPr>
            <w:tcW w:w="2436" w:type="dxa"/>
            <w:vMerge w:val="continue"/>
            <w:vAlign w:val="center"/>
          </w:tcPr>
          <w:p>
            <w:pPr>
              <w:autoSpaceDE w:val="0"/>
              <w:autoSpaceDN w:val="0"/>
              <w:adjustRightInd w:val="0"/>
              <w:spacing w:line="276" w:lineRule="auto"/>
              <w:jc w:val="center"/>
              <w:rPr>
                <w:rFonts w:cs="仿宋_GB2312" w:asciiTheme="minorEastAsia" w:hAnsiTheme="minorEastAsia"/>
                <w:color w:val="auto"/>
                <w:szCs w:val="21"/>
              </w:rPr>
            </w:pPr>
          </w:p>
        </w:tc>
        <w:tc>
          <w:tcPr>
            <w:tcW w:w="6813" w:type="dxa"/>
            <w:vAlign w:val="center"/>
          </w:tcPr>
          <w:p>
            <w:pPr>
              <w:numPr>
                <w:ilvl w:val="0"/>
                <w:numId w:val="5"/>
              </w:numPr>
              <w:autoSpaceDE w:val="0"/>
              <w:autoSpaceDN w:val="0"/>
              <w:adjustRightInd w:val="0"/>
              <w:spacing w:line="360" w:lineRule="auto"/>
              <w:ind w:right="-11"/>
              <w:rPr>
                <w:color w:val="auto"/>
                <w:lang w:val="zh-CN"/>
              </w:rPr>
            </w:pPr>
            <w:r>
              <w:rPr>
                <w:color w:val="auto"/>
                <w:lang w:val="zh-CN"/>
              </w:rPr>
              <w:t>法人或者其他组织的营业执照等证明文件，自然人的身份证明</w:t>
            </w:r>
          </w:p>
          <w:p>
            <w:pPr>
              <w:autoSpaceDE w:val="0"/>
              <w:autoSpaceDN w:val="0"/>
              <w:adjustRightInd w:val="0"/>
              <w:spacing w:line="360" w:lineRule="auto"/>
              <w:ind w:right="-11"/>
              <w:rPr>
                <w:color w:val="auto"/>
                <w:lang w:val="zh-CN"/>
              </w:rPr>
            </w:pPr>
            <w:r>
              <w:rPr>
                <w:rFonts w:hint="eastAsia"/>
                <w:color w:val="auto"/>
                <w:lang w:val="zh-CN"/>
              </w:rPr>
              <w:t>1、企业法人营业执照或营业执照。（企业提供）</w:t>
            </w:r>
          </w:p>
          <w:p>
            <w:pPr>
              <w:autoSpaceDE w:val="0"/>
              <w:autoSpaceDN w:val="0"/>
              <w:adjustRightInd w:val="0"/>
              <w:spacing w:line="360" w:lineRule="auto"/>
              <w:ind w:right="-11"/>
              <w:rPr>
                <w:color w:val="auto"/>
                <w:lang w:val="zh-CN"/>
              </w:rPr>
            </w:pPr>
            <w:r>
              <w:rPr>
                <w:rFonts w:hint="eastAsia"/>
                <w:color w:val="auto"/>
                <w:lang w:val="zh-CN"/>
              </w:rPr>
              <w:t>2、事业单位法人证书。（事业单位提供）</w:t>
            </w:r>
          </w:p>
          <w:p>
            <w:pPr>
              <w:autoSpaceDE w:val="0"/>
              <w:autoSpaceDN w:val="0"/>
              <w:adjustRightInd w:val="0"/>
              <w:spacing w:line="360" w:lineRule="auto"/>
              <w:ind w:right="-11"/>
              <w:rPr>
                <w:color w:val="auto"/>
                <w:lang w:val="zh-CN"/>
              </w:rPr>
            </w:pPr>
            <w:r>
              <w:rPr>
                <w:rFonts w:hint="eastAsia"/>
                <w:color w:val="auto"/>
                <w:lang w:val="zh-CN"/>
              </w:rPr>
              <w:t>3、执业许可证。（非企业专业服务机构提供）</w:t>
            </w:r>
          </w:p>
          <w:p>
            <w:pPr>
              <w:autoSpaceDE w:val="0"/>
              <w:autoSpaceDN w:val="0"/>
              <w:adjustRightInd w:val="0"/>
              <w:spacing w:line="360" w:lineRule="auto"/>
              <w:ind w:right="-11"/>
              <w:rPr>
                <w:color w:val="auto"/>
                <w:lang w:val="zh-CN"/>
              </w:rPr>
            </w:pPr>
            <w:r>
              <w:rPr>
                <w:rFonts w:hint="eastAsia"/>
                <w:color w:val="auto"/>
                <w:lang w:val="zh-CN"/>
              </w:rPr>
              <w:t>4、个体工商户营业执照。（个体工商户提供）</w:t>
            </w:r>
          </w:p>
          <w:p>
            <w:pPr>
              <w:autoSpaceDE w:val="0"/>
              <w:autoSpaceDN w:val="0"/>
              <w:adjustRightInd w:val="0"/>
              <w:spacing w:line="360" w:lineRule="auto"/>
              <w:jc w:val="left"/>
              <w:rPr>
                <w:color w:val="auto"/>
                <w:lang w:val="zh-CN"/>
              </w:rPr>
            </w:pPr>
            <w:r>
              <w:rPr>
                <w:rFonts w:hint="eastAsia"/>
                <w:color w:val="auto"/>
                <w:lang w:val="zh-CN"/>
              </w:rPr>
              <w:t>5、自然人身份证明。（自然人提供）</w:t>
            </w:r>
          </w:p>
          <w:p>
            <w:pPr>
              <w:autoSpaceDE w:val="0"/>
              <w:autoSpaceDN w:val="0"/>
              <w:adjustRightInd w:val="0"/>
              <w:spacing w:line="360" w:lineRule="auto"/>
              <w:jc w:val="left"/>
              <w:rPr>
                <w:color w:val="auto"/>
                <w:lang w:val="zh-CN"/>
              </w:rPr>
            </w:pPr>
            <w:r>
              <w:rPr>
                <w:rFonts w:hint="eastAsia"/>
                <w:color w:val="auto"/>
                <w:lang w:val="zh-CN"/>
              </w:rPr>
              <w:t>6、民办非企业单位登记证书。（民办非企业单位提供）</w:t>
            </w:r>
          </w:p>
          <w:p>
            <w:pPr>
              <w:autoSpaceDE w:val="0"/>
              <w:autoSpaceDN w:val="0"/>
              <w:adjustRightInd w:val="0"/>
              <w:spacing w:line="360" w:lineRule="auto"/>
              <w:jc w:val="left"/>
              <w:rPr>
                <w:color w:val="auto"/>
              </w:rPr>
            </w:pPr>
            <w:r>
              <w:rPr>
                <w:rFonts w:hint="eastAsia"/>
                <w:color w:val="auto"/>
              </w:rPr>
              <w:t>二、财务状况报告相关材料</w:t>
            </w:r>
          </w:p>
          <w:p>
            <w:pPr>
              <w:spacing w:line="360" w:lineRule="auto"/>
              <w:rPr>
                <w:color w:val="auto"/>
              </w:rPr>
            </w:pPr>
            <w:r>
              <w:rPr>
                <w:rFonts w:hint="eastAsia"/>
                <w:color w:val="auto"/>
              </w:rPr>
              <w:t>（1）供应商是法人（法人包括企业法人、机关法人、事业单位法人和社会团体法人），提供本单位：</w:t>
            </w:r>
          </w:p>
          <w:p>
            <w:pPr>
              <w:spacing w:line="360" w:lineRule="auto"/>
              <w:rPr>
                <w:color w:val="auto"/>
              </w:rPr>
            </w:pPr>
            <w:r>
              <w:rPr>
                <w:rFonts w:hint="eastAsia"/>
                <w:color w:val="auto"/>
              </w:rPr>
              <w:t>①2021年度</w:t>
            </w:r>
            <w:r>
              <w:rPr>
                <w:rFonts w:hint="eastAsia"/>
                <w:color w:val="auto"/>
                <w:lang w:eastAsia="zh-CN"/>
              </w:rPr>
              <w:t>或</w:t>
            </w:r>
            <w:r>
              <w:rPr>
                <w:rFonts w:hint="eastAsia"/>
                <w:color w:val="auto"/>
                <w:lang w:val="en-US" w:eastAsia="zh-CN"/>
              </w:rPr>
              <w:t>2022年度</w:t>
            </w:r>
            <w:r>
              <w:rPr>
                <w:rFonts w:hint="eastAsia"/>
                <w:color w:val="auto"/>
              </w:rPr>
              <w:t>经审计的财务报告，包括资产负债表、利润表、现金流量表、所有者权益变动表及其附注；</w:t>
            </w:r>
          </w:p>
          <w:p>
            <w:pPr>
              <w:spacing w:line="360" w:lineRule="auto"/>
              <w:rPr>
                <w:color w:val="auto"/>
              </w:rPr>
            </w:pPr>
            <w:r>
              <w:rPr>
                <w:rFonts w:hint="eastAsia"/>
                <w:color w:val="auto"/>
              </w:rPr>
              <w:t>②基本开户银行出具的资信证明；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spacing w:line="360" w:lineRule="auto"/>
              <w:rPr>
                <w:color w:val="auto"/>
              </w:rPr>
            </w:pPr>
            <w:r>
              <w:rPr>
                <w:rFonts w:hint="eastAsia"/>
                <w:color w:val="auto"/>
                <w:lang w:val="zh-CN"/>
              </w:rPr>
              <w:t>注：仅需提供序号</w:t>
            </w:r>
            <w:r>
              <w:rPr>
                <w:rFonts w:hint="eastAsia"/>
                <w:color w:val="auto"/>
              </w:rPr>
              <w:t>①～③其中之一即可。</w:t>
            </w:r>
          </w:p>
          <w:p>
            <w:pPr>
              <w:spacing w:line="360" w:lineRule="auto"/>
              <w:rPr>
                <w:color w:val="auto"/>
              </w:rPr>
            </w:pPr>
            <w:r>
              <w:rPr>
                <w:rFonts w:hint="eastAsia"/>
                <w:color w:val="auto"/>
              </w:rPr>
              <w:t>（2）供应商（其他组织和自然人）提供本单位：</w:t>
            </w:r>
          </w:p>
          <w:p>
            <w:pPr>
              <w:spacing w:line="360" w:lineRule="auto"/>
              <w:rPr>
                <w:color w:val="auto"/>
              </w:rPr>
            </w:pPr>
            <w:r>
              <w:rPr>
                <w:rFonts w:hint="eastAsia"/>
                <w:color w:val="auto"/>
              </w:rPr>
              <w:t>①2021年度</w:t>
            </w:r>
            <w:r>
              <w:rPr>
                <w:rFonts w:hint="eastAsia"/>
                <w:color w:val="auto"/>
                <w:lang w:eastAsia="zh-CN"/>
              </w:rPr>
              <w:t>或</w:t>
            </w:r>
            <w:r>
              <w:rPr>
                <w:rFonts w:hint="eastAsia"/>
                <w:color w:val="auto"/>
                <w:lang w:val="en-US" w:eastAsia="zh-CN"/>
              </w:rPr>
              <w:t>2022年度</w:t>
            </w:r>
            <w:r>
              <w:rPr>
                <w:rFonts w:hint="eastAsia"/>
                <w:color w:val="auto"/>
              </w:rPr>
              <w:t>经审计的财务报告，包括资产负债表、利润表、现金流量表、所有者权益变动表及其附注；</w:t>
            </w:r>
          </w:p>
          <w:p>
            <w:pPr>
              <w:spacing w:line="360" w:lineRule="auto"/>
              <w:rPr>
                <w:color w:val="auto"/>
              </w:rPr>
            </w:pPr>
            <w:r>
              <w:rPr>
                <w:rFonts w:hint="eastAsia"/>
                <w:color w:val="auto"/>
              </w:rPr>
              <w:t>②银行出具的资信证明；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autoSpaceDE w:val="0"/>
              <w:autoSpaceDN w:val="0"/>
              <w:adjustRightInd w:val="0"/>
              <w:spacing w:line="360" w:lineRule="auto"/>
              <w:ind w:right="-11"/>
              <w:rPr>
                <w:color w:val="auto"/>
                <w:lang w:val="zh-CN"/>
              </w:rPr>
            </w:pPr>
            <w:r>
              <w:rPr>
                <w:rFonts w:hint="eastAsia"/>
                <w:color w:val="auto"/>
                <w:lang w:val="zh-CN"/>
              </w:rPr>
              <w:t>注：仅需提供序号</w:t>
            </w:r>
            <w:r>
              <w:rPr>
                <w:rFonts w:hint="eastAsia"/>
                <w:color w:val="auto"/>
              </w:rPr>
              <w:t>①～③其中之一即可。</w:t>
            </w:r>
          </w:p>
          <w:p>
            <w:pPr>
              <w:autoSpaceDE w:val="0"/>
              <w:autoSpaceDN w:val="0"/>
              <w:adjustRightInd w:val="0"/>
              <w:spacing w:line="360" w:lineRule="auto"/>
              <w:ind w:right="-11"/>
              <w:rPr>
                <w:color w:val="auto"/>
                <w:lang w:val="zh-CN"/>
              </w:rPr>
            </w:pPr>
            <w:r>
              <w:rPr>
                <w:rFonts w:hint="eastAsia"/>
                <w:color w:val="auto"/>
              </w:rPr>
              <w:t>三、依法缴纳税收相关材料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color w:val="auto"/>
                <w:lang w:val="zh-CN"/>
              </w:rPr>
            </w:pPr>
            <w:r>
              <w:rPr>
                <w:rFonts w:hint="eastAsia"/>
                <w:color w:val="auto"/>
                <w:lang w:val="zh-CN"/>
              </w:rPr>
              <w:t>四、依法缴纳社会保障资金的证明材料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color w:val="auto"/>
                <w:lang w:val="zh-CN"/>
              </w:rPr>
            </w:pPr>
            <w:r>
              <w:rPr>
                <w:rFonts w:hint="eastAsia"/>
                <w:color w:val="auto"/>
                <w:lang w:val="zh-CN"/>
              </w:rPr>
              <w:t>五、履行合同所必须的设备和专业技术能力的证明材料</w:t>
            </w:r>
          </w:p>
          <w:p>
            <w:pPr>
              <w:autoSpaceDE w:val="0"/>
              <w:autoSpaceDN w:val="0"/>
              <w:adjustRightInd w:val="0"/>
              <w:spacing w:line="360" w:lineRule="auto"/>
              <w:jc w:val="left"/>
              <w:rPr>
                <w:color w:val="auto"/>
                <w:lang w:val="zh-CN"/>
              </w:rPr>
            </w:pPr>
            <w:r>
              <w:rPr>
                <w:rFonts w:hint="eastAsia"/>
                <w:color w:val="auto"/>
                <w:lang w:val="zh-CN"/>
              </w:rPr>
              <w:t>①相关设备的购置发票、专业技术人员职称证书、用工合同等；</w:t>
            </w:r>
          </w:p>
          <w:p>
            <w:pPr>
              <w:spacing w:line="360" w:lineRule="auto"/>
              <w:rPr>
                <w:color w:val="auto"/>
              </w:rPr>
            </w:pPr>
            <w:r>
              <w:rPr>
                <w:rFonts w:hint="eastAsia"/>
                <w:color w:val="auto"/>
              </w:rPr>
              <w:t>②供应商具备履行合同所必须的设备和专业技术能力承诺函或声明（承诺函或声明格式自拟）。</w:t>
            </w:r>
          </w:p>
          <w:p>
            <w:pPr>
              <w:autoSpaceDE w:val="0"/>
              <w:autoSpaceDN w:val="0"/>
              <w:adjustRightInd w:val="0"/>
              <w:spacing w:line="360" w:lineRule="auto"/>
              <w:ind w:right="-11"/>
              <w:rPr>
                <w:color w:val="auto"/>
              </w:rPr>
            </w:pPr>
            <w:r>
              <w:rPr>
                <w:rFonts w:hint="eastAsia"/>
                <w:color w:val="auto"/>
                <w:lang w:val="zh-CN"/>
              </w:rPr>
              <w:t>注：仅需提供序号</w:t>
            </w:r>
            <w:r>
              <w:rPr>
                <w:rFonts w:hint="eastAsia"/>
                <w:color w:val="auto"/>
              </w:rPr>
              <w:t>①～②其中之一即可。</w:t>
            </w:r>
          </w:p>
          <w:p>
            <w:pPr>
              <w:autoSpaceDE w:val="0"/>
              <w:autoSpaceDN w:val="0"/>
              <w:adjustRightInd w:val="0"/>
              <w:spacing w:line="360" w:lineRule="auto"/>
              <w:ind w:right="-11"/>
              <w:rPr>
                <w:color w:val="auto"/>
                <w:lang w:val="zh-CN"/>
              </w:rPr>
            </w:pPr>
            <w:r>
              <w:rPr>
                <w:rFonts w:hint="eastAsia"/>
                <w:color w:val="auto"/>
              </w:rPr>
              <w:t>六、</w:t>
            </w:r>
            <w:r>
              <w:rPr>
                <w:color w:val="auto"/>
                <w:lang w:val="zh-CN"/>
              </w:rPr>
              <w:t>参加政府采购活动前3年内在经营活动中没有重大违法记录的声明</w:t>
            </w:r>
          </w:p>
          <w:p>
            <w:pPr>
              <w:autoSpaceDE w:val="0"/>
              <w:autoSpaceDN w:val="0"/>
              <w:spacing w:line="360" w:lineRule="auto"/>
              <w:contextualSpacing/>
              <w:jc w:val="left"/>
              <w:rPr>
                <w:color w:val="auto"/>
                <w:lang w:val="zh-CN"/>
              </w:rPr>
            </w:pPr>
            <w:r>
              <w:rPr>
                <w:rFonts w:hint="eastAsia"/>
                <w:color w:val="auto"/>
                <w:lang w:val="zh-CN"/>
              </w:rPr>
              <w:t>供应商“</w:t>
            </w:r>
            <w:r>
              <w:rPr>
                <w:color w:val="auto"/>
                <w:lang w:val="zh-CN"/>
              </w:rPr>
              <w:t>参加政府采购活动前3年内在经营活动中没有重大违法记录的书面声明</w:t>
            </w:r>
            <w:r>
              <w:rPr>
                <w:rFonts w:hint="eastAsia"/>
                <w:color w:val="auto"/>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color w:val="auto"/>
              </w:rPr>
            </w:pPr>
            <w:r>
              <w:rPr>
                <w:rFonts w:hint="eastAsia"/>
                <w:color w:val="auto"/>
                <w:lang w:val="zh-CN"/>
              </w:rPr>
              <w:t>七、</w:t>
            </w:r>
            <w:r>
              <w:rPr>
                <w:color w:val="auto"/>
              </w:rPr>
              <w:t>未被列入“信用中国”网站(www.creditchina.gov.cn)失信被执行人、</w:t>
            </w:r>
            <w:r>
              <w:rPr>
                <w:rFonts w:hint="eastAsia" w:cs="仿宋_GB2312" w:asciiTheme="minorEastAsia" w:hAnsiTheme="minorEastAsia"/>
                <w:b/>
                <w:color w:val="auto"/>
                <w:szCs w:val="21"/>
                <w:shd w:val="clear" w:color="auto" w:fill="FFFFFF"/>
              </w:rPr>
              <w:t>税收</w:t>
            </w:r>
            <w:r>
              <w:rPr>
                <w:rFonts w:cs="仿宋_GB2312" w:asciiTheme="minorEastAsia" w:hAnsiTheme="minorEastAsia"/>
                <w:b/>
                <w:color w:val="auto"/>
                <w:szCs w:val="21"/>
                <w:shd w:val="clear" w:color="auto" w:fill="FFFFFF"/>
              </w:rPr>
              <w:t>违法黑名单</w:t>
            </w:r>
            <w:r>
              <w:rPr>
                <w:color w:val="auto"/>
              </w:rPr>
              <w:t>的</w:t>
            </w:r>
            <w:r>
              <w:rPr>
                <w:rFonts w:hint="eastAsia"/>
                <w:color w:val="auto"/>
              </w:rPr>
              <w:t>供应商</w:t>
            </w:r>
            <w:r>
              <w:rPr>
                <w:color w:val="auto"/>
              </w:rPr>
              <w:t>；</w:t>
            </w:r>
            <w:r>
              <w:rPr>
                <w:rFonts w:hint="eastAsia"/>
                <w:color w:val="auto"/>
              </w:rPr>
              <w:t>“</w:t>
            </w:r>
            <w:r>
              <w:rPr>
                <w:color w:val="auto"/>
              </w:rPr>
              <w:t>中国政府采购网</w:t>
            </w:r>
            <w:r>
              <w:rPr>
                <w:rFonts w:hint="eastAsia"/>
                <w:color w:val="auto"/>
              </w:rPr>
              <w:t>”</w:t>
            </w:r>
            <w:r>
              <w:rPr>
                <w:color w:val="auto"/>
              </w:rPr>
              <w:t xml:space="preserve"> (www.ccgp.gov.cn)政府采购严重违法失信行为记录名单的</w:t>
            </w:r>
            <w:r>
              <w:rPr>
                <w:rFonts w:hint="eastAsia"/>
                <w:color w:val="auto"/>
              </w:rPr>
              <w:t>供应商</w:t>
            </w:r>
            <w:r>
              <w:rPr>
                <w:rFonts w:hint="eastAsia"/>
                <w:color w:val="auto"/>
                <w:lang w:val="zh-CN"/>
              </w:rPr>
              <w:t>；</w:t>
            </w:r>
            <w:r>
              <w:rPr>
                <w:rFonts w:hint="eastAsia" w:asciiTheme="majorEastAsia" w:hAnsiTheme="majorEastAsia" w:eastAsiaTheme="majorEastAsia" w:cstheme="majorEastAsia"/>
                <w:color w:val="auto"/>
                <w:szCs w:val="21"/>
              </w:rPr>
              <w:t>“中国社会组织政务服务平台”网站（</w:t>
            </w:r>
            <w:r>
              <w:rPr>
                <w:rFonts w:cs="宋体" w:asciiTheme="minorEastAsia" w:hAnsiTheme="minorEastAsia"/>
                <w:color w:val="auto"/>
                <w:kern w:val="0"/>
                <w:szCs w:val="21"/>
              </w:rPr>
              <w:t>https://chinanpo.mca.gov.cn</w:t>
            </w:r>
            <w:r>
              <w:rPr>
                <w:rFonts w:hint="eastAsia" w:asciiTheme="majorEastAsia" w:hAnsiTheme="majorEastAsia" w:eastAsiaTheme="majorEastAsia" w:cstheme="majorEastAsia"/>
                <w:color w:val="auto"/>
                <w:szCs w:val="21"/>
              </w:rPr>
              <w:t>）（仅查询社会组织）</w:t>
            </w:r>
            <w:r>
              <w:rPr>
                <w:rFonts w:hint="eastAsia"/>
                <w:color w:val="auto"/>
              </w:rPr>
              <w:t>严重违法失信社会组织名单的供应商（联合体形式投标的，联合体成员存在不良信用记录，视同联合体存在不良信用记录）。</w:t>
            </w:r>
          </w:p>
          <w:p>
            <w:pPr>
              <w:spacing w:line="360" w:lineRule="auto"/>
              <w:rPr>
                <w:color w:val="auto"/>
              </w:rPr>
            </w:pPr>
            <w:r>
              <w:rPr>
                <w:rFonts w:hint="eastAsia"/>
                <w:color w:val="auto"/>
              </w:rPr>
              <w:t>1、查询渠道：</w:t>
            </w:r>
          </w:p>
          <w:p>
            <w:pPr>
              <w:spacing w:line="360" w:lineRule="auto"/>
              <w:rPr>
                <w:color w:val="auto"/>
              </w:rPr>
            </w:pPr>
            <w:r>
              <w:rPr>
                <w:rFonts w:hint="eastAsia"/>
                <w:color w:val="auto"/>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w:t>
            </w:r>
          </w:p>
          <w:p>
            <w:pPr>
              <w:spacing w:line="360" w:lineRule="auto"/>
              <w:rPr>
                <w:color w:val="auto"/>
              </w:rPr>
            </w:pPr>
            <w:r>
              <w:rPr>
                <w:rFonts w:hint="eastAsia"/>
                <w:color w:val="auto"/>
              </w:rPr>
              <w:t>②“中国政府采购网”（www.ccgp.gov.cn）</w:t>
            </w:r>
          </w:p>
          <w:p>
            <w:pPr>
              <w:spacing w:line="360" w:lineRule="auto"/>
              <w:rPr>
                <w:color w:val="auto"/>
              </w:rPr>
            </w:pPr>
            <w:r>
              <w:rPr>
                <w:rFonts w:hint="eastAsia"/>
                <w:color w:val="auto"/>
              </w:rPr>
              <w:t>③“中国社会组织政务服务平台”网站（</w:t>
            </w:r>
            <w:r>
              <w:rPr>
                <w:rFonts w:cs="宋体" w:asciiTheme="minorEastAsia" w:hAnsiTheme="minorEastAsia"/>
                <w:color w:val="auto"/>
                <w:kern w:val="0"/>
                <w:szCs w:val="21"/>
              </w:rPr>
              <w:t>https://chinanpo.mca.gov.cn</w:t>
            </w:r>
            <w:r>
              <w:rPr>
                <w:rFonts w:hint="eastAsia"/>
                <w:color w:val="auto"/>
              </w:rPr>
              <w:t>）（仅查询社会组织）；</w:t>
            </w:r>
          </w:p>
          <w:p>
            <w:pPr>
              <w:autoSpaceDE w:val="0"/>
              <w:autoSpaceDN w:val="0"/>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注：</w:t>
            </w:r>
          </w:p>
          <w:p>
            <w:pPr>
              <w:autoSpaceDE w:val="0"/>
              <w:autoSpaceDN w:val="0"/>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1、</w:t>
            </w:r>
            <w:r>
              <w:rPr>
                <w:rFonts w:hint="eastAsia" w:ascii="宋体" w:hAnsi="宋体" w:eastAsia="宋体" w:cs="宋体"/>
                <w:b/>
                <w:bCs/>
                <w:color w:val="auto"/>
                <w:szCs w:val="21"/>
              </w:rPr>
              <w:tab/>
            </w:r>
            <w:r>
              <w:rPr>
                <w:rFonts w:hint="eastAsia" w:ascii="宋体" w:hAnsi="宋体" w:eastAsia="宋体" w:cs="宋体"/>
                <w:b/>
                <w:bCs/>
                <w:color w:val="auto"/>
                <w:szCs w:val="21"/>
              </w:rPr>
              <w:t>供应商在投标时，提供《禹州市政府采购供应商信用承诺函》（详见招标文件第八章格式），无需再提交上述第一至七项证明材料。</w:t>
            </w:r>
          </w:p>
          <w:p>
            <w:pPr>
              <w:autoSpaceDE w:val="0"/>
              <w:autoSpaceDN w:val="0"/>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2、</w:t>
            </w:r>
            <w:r>
              <w:rPr>
                <w:rFonts w:hint="eastAsia" w:ascii="宋体" w:hAnsi="宋体" w:eastAsia="宋体" w:cs="宋体"/>
                <w:b/>
                <w:bCs/>
                <w:color w:val="auto"/>
                <w:szCs w:val="21"/>
              </w:rPr>
              <w:tab/>
            </w:r>
            <w:r>
              <w:rPr>
                <w:rFonts w:hint="eastAsia" w:ascii="宋体" w:hAnsi="宋体" w:eastAsia="宋体" w:cs="宋体"/>
                <w:b/>
                <w:bCs/>
                <w:color w:val="auto"/>
                <w:szCs w:val="21"/>
              </w:rPr>
              <w:t>采购人有权在签订合同前要求中标供应商提供相关证明材料以核实中标供应商承诺事项的真实性。</w:t>
            </w:r>
          </w:p>
          <w:p>
            <w:pPr>
              <w:spacing w:line="360" w:lineRule="auto"/>
              <w:ind w:firstLine="422" w:firstLineChars="200"/>
              <w:rPr>
                <w:color w:val="auto"/>
              </w:rPr>
            </w:pPr>
            <w:r>
              <w:rPr>
                <w:rFonts w:hint="eastAsia" w:ascii="宋体" w:hAnsi="宋体" w:eastAsia="宋体" w:cs="宋体"/>
                <w:b/>
                <w:bCs/>
                <w:color w:val="auto"/>
                <w:szCs w:val="21"/>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436"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436"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Cs w:val="21"/>
              </w:rPr>
            </w:pPr>
            <w:r>
              <w:rPr>
                <w:rFonts w:hint="eastAsia" w:ascii="宋体" w:hAnsi="宋体" w:eastAsia="宋体" w:cs="宋体"/>
                <w:color w:val="auto"/>
                <w:szCs w:val="21"/>
                <w:shd w:val="clear" w:color="auto" w:fill="FFFFFF"/>
                <w:lang w:val="en-US" w:eastAsia="zh-CN"/>
              </w:rPr>
              <w:t>48</w:t>
            </w:r>
            <w:r>
              <w:rPr>
                <w:rFonts w:hint="eastAsia" w:ascii="宋体" w:hAnsi="宋体" w:eastAsia="宋体" w:cs="宋体"/>
                <w:color w:val="auto"/>
                <w:szCs w:val="21"/>
                <w:shd w:val="clear" w:color="auto" w:fill="FFFFFF"/>
              </w:rPr>
              <w:t>0000.0</w:t>
            </w:r>
            <w:r>
              <w:rPr>
                <w:rFonts w:hint="eastAsia" w:ascii="宋体" w:hAnsi="宋体" w:eastAsia="宋体" w:cs="宋体"/>
                <w:color w:val="auto"/>
                <w:szCs w:val="21"/>
                <w:shd w:val="clear" w:color="auto" w:fill="FFFFFF"/>
              </w:rPr>
              <w:t>0 元</w:t>
            </w:r>
            <w:r>
              <w:rPr>
                <w:rFonts w:hint="eastAsia" w:cs="宋体" w:asciiTheme="minorEastAsia" w:hAnsiTheme="minorEastAsia"/>
                <w:bCs/>
                <w:color w:val="auto"/>
                <w:szCs w:val="21"/>
                <w:lang w:val="zh-CN"/>
              </w:rPr>
              <w:t>，超出最高限价的响应无效</w:t>
            </w:r>
            <w:r>
              <w:rPr>
                <w:rFonts w:hint="eastAsia" w:cs="宋体" w:asciiTheme="minorEastAsia" w:hAnsiTheme="minorEastAsia"/>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436"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436"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w:t>
            </w:r>
            <w:r>
              <w:rPr>
                <w:rFonts w:cs="宋体" w:asciiTheme="minorEastAsia" w:hAnsiTheme="minorEastAsia"/>
                <w:bCs/>
                <w:color w:val="auto"/>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436"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 w:val="13"/>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sym w:font="Wingdings 2" w:char="00A3"/>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436"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zh-CN"/>
              </w:rPr>
              <w:t>成交供应商谈判</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436"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响应文件提交截止、</w:t>
            </w:r>
            <w:r>
              <w:rPr>
                <w:rFonts w:hint="eastAsia" w:cs="宋体" w:asciiTheme="minorEastAsia" w:hAnsiTheme="minorEastAsia"/>
                <w:bCs/>
                <w:color w:val="auto"/>
                <w:szCs w:val="21"/>
                <w:lang w:val="zh-CN"/>
              </w:rPr>
              <w:t>谈判响应截止及谈判时间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rPr>
              <w:t>2023</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en-US" w:eastAsia="zh-CN"/>
              </w:rPr>
              <w:t>06</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14</w:t>
            </w:r>
            <w:r>
              <w:rPr>
                <w:rFonts w:hint="eastAsia" w:cs="宋体" w:asciiTheme="minorEastAsia" w:hAnsiTheme="minorEastAsia"/>
                <w:bCs/>
                <w:color w:val="auto"/>
                <w:szCs w:val="21"/>
              </w:rPr>
              <w:t>日</w:t>
            </w:r>
            <w:r>
              <w:rPr>
                <w:rFonts w:hint="eastAsia" w:cs="宋体" w:asciiTheme="minorEastAsia" w:hAnsiTheme="minorEastAsia"/>
                <w:bCs/>
                <w:color w:val="auto"/>
                <w:szCs w:val="21"/>
                <w:lang w:val="en-US" w:eastAsia="zh-CN"/>
              </w:rPr>
              <w:t>08</w:t>
            </w:r>
            <w:r>
              <w:rPr>
                <w:rFonts w:hint="eastAsia" w:cs="宋体" w:asciiTheme="minorEastAsia" w:hAnsiTheme="minorEastAsia"/>
                <w:bCs/>
                <w:color w:val="auto"/>
                <w:szCs w:val="21"/>
              </w:rPr>
              <w:t xml:space="preserve"> 时30分</w:t>
            </w:r>
            <w:r>
              <w:rPr>
                <w:rFonts w:hint="eastAsia" w:cs="宋体" w:asciiTheme="minorEastAsia" w:hAnsiTheme="minorEastAsia"/>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436"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 xml:space="preserve">禹州市公共资源交易中心开标 </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 xml:space="preserve"> 室（地址：禹州市行政服务中心楼九楼）（</w:t>
            </w:r>
            <w:r>
              <w:rPr>
                <w:rFonts w:hint="eastAsia" w:cs="Arial" w:asciiTheme="minorEastAsia" w:hAnsiTheme="minorEastAsia"/>
                <w:b/>
                <w:color w:val="auto"/>
                <w:szCs w:val="21"/>
              </w:rPr>
              <w:t>本项目采用远程不见面谈判，供应商无须到达现场</w:t>
            </w:r>
            <w:r>
              <w:rPr>
                <w:rFonts w:hint="eastAsia" w:cs="Arial"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436"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436"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谈判文件费用</w:t>
            </w:r>
          </w:p>
        </w:tc>
        <w:tc>
          <w:tcPr>
            <w:tcW w:w="6813" w:type="dxa"/>
            <w:tcBorders>
              <w:top w:val="single" w:color="auto" w:sz="4" w:space="0"/>
            </w:tcBorders>
            <w:vAlign w:val="center"/>
          </w:tcPr>
          <w:p>
            <w:pPr>
              <w:pStyle w:val="3"/>
              <w:rPr>
                <w:color w:val="auto"/>
                <w:sz w:val="22"/>
              </w:rPr>
            </w:pPr>
            <w:r>
              <w:rPr>
                <w:rFonts w:hint="eastAsia"/>
                <w:color w:val="auto"/>
                <w:sz w:val="22"/>
              </w:rPr>
              <w:t>0元/份。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436"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谈判公告、成交公告、变更（更正）公告、现场勘察答复等相关信息同时在以下网站发布：《河南省政府采购网》、《许昌市政府采购网》、《全国公共资源交易平台（河南省·许昌市）》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436"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谈判响应截止时间3个工作日前（</w:t>
            </w:r>
            <w:r>
              <w:rPr>
                <w:rFonts w:hint="eastAsia" w:cs="仿宋_GB2312" w:asciiTheme="minorEastAsia" w:hAnsiTheme="minorEastAsia"/>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436"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谈判公告期满之日起</w:t>
            </w:r>
            <w:r>
              <w:rPr>
                <w:rFonts w:hint="eastAsia" w:cs="宋体" w:asciiTheme="minorEastAsia" w:hAnsiTheme="minorEastAsia"/>
                <w:bCs/>
                <w:color w:val="auto"/>
                <w:szCs w:val="21"/>
              </w:rPr>
              <w:t>7</w:t>
            </w:r>
            <w:r>
              <w:rPr>
                <w:rFonts w:hint="eastAsia" w:cs="宋体" w:asciiTheme="minorEastAsia" w:hAnsiTheme="minorEastAsia"/>
                <w:bCs/>
                <w:color w:val="auto"/>
                <w:szCs w:val="21"/>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19</w:t>
            </w:r>
          </w:p>
        </w:tc>
        <w:tc>
          <w:tcPr>
            <w:tcW w:w="2436"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电子响应文件：成功上传至《全国公共资源交易平台（河南省·许昌市）》公共资源交易系统加密电子响应文件1份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TimesNewRomanPSMT" w:asciiTheme="minorEastAsia" w:hAnsiTheme="minorEastAsia"/>
                <w:color w:val="auto"/>
                <w:szCs w:val="21"/>
              </w:rPr>
              <w:t>20</w:t>
            </w:r>
          </w:p>
        </w:tc>
        <w:tc>
          <w:tcPr>
            <w:tcW w:w="2436"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纸质响应文件：响应文件封面加盖供应商公章（响应文件是指供应商电子响应文件制作完成后生成的后缀名为</w:t>
            </w:r>
            <w:r>
              <w:rPr>
                <w:rFonts w:hint="eastAsia" w:hAnsi="宋体"/>
                <w:color w:val="auto"/>
                <w:szCs w:val="21"/>
              </w:rPr>
              <w:t>“.PDF”的文件</w:t>
            </w:r>
            <w:r>
              <w:rPr>
                <w:rFonts w:hint="eastAsia" w:ascii="新宋体" w:hAnsi="新宋体" w:eastAsia="新宋体"/>
                <w:color w:val="auto"/>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21</w:t>
            </w:r>
          </w:p>
        </w:tc>
        <w:tc>
          <w:tcPr>
            <w:tcW w:w="2436"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color w:val="auto"/>
                <w:szCs w:val="21"/>
              </w:rPr>
              <w:t>22</w:t>
            </w:r>
          </w:p>
        </w:tc>
        <w:tc>
          <w:tcPr>
            <w:tcW w:w="2436"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评审方法</w:t>
            </w:r>
          </w:p>
        </w:tc>
        <w:tc>
          <w:tcPr>
            <w:tcW w:w="6813" w:type="dxa"/>
            <w:vAlign w:val="center"/>
          </w:tcPr>
          <w:p>
            <w:pPr>
              <w:autoSpaceDE w:val="0"/>
              <w:autoSpaceDN w:val="0"/>
              <w:adjustRightInd w:val="0"/>
              <w:spacing w:line="360" w:lineRule="auto"/>
              <w:rPr>
                <w:rFonts w:ascii="新宋体" w:hAnsi="新宋体" w:eastAsia="新宋体"/>
                <w:color w:val="auto"/>
                <w:szCs w:val="21"/>
              </w:rPr>
            </w:pPr>
            <w:r>
              <w:rPr>
                <w:rFonts w:hint="eastAsia"/>
                <w:color w:val="auto"/>
              </w:rPr>
              <w:t>质量和服务均能满足谈判文件实质性响应要求且最后报价最低的原则确定成交供应商</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hint="eastAsia" w:ascii="ˎ̥" w:hAnsi="ˎ̥" w:eastAsiaTheme="minorEastAsia"/>
                <w:color w:val="auto"/>
                <w:lang w:val="en-US" w:eastAsia="zh-CN"/>
              </w:rPr>
            </w:pPr>
            <w:r>
              <w:rPr>
                <w:rFonts w:hint="eastAsia" w:ascii="ˎ̥" w:hAnsi="ˎ̥"/>
                <w:color w:val="auto"/>
              </w:rPr>
              <w:t>2、本次</w:t>
            </w:r>
            <w:r>
              <w:rPr>
                <w:color w:val="auto"/>
              </w:rPr>
              <w:t>采购标的对应的中小企业划分标准所属行业</w:t>
            </w:r>
            <w:r>
              <w:rPr>
                <w:rFonts w:hint="eastAsia"/>
                <w:color w:val="auto"/>
              </w:rPr>
              <w:t>：</w:t>
            </w:r>
            <w:r>
              <w:rPr>
                <w:rFonts w:hint="eastAsia"/>
                <w:color w:val="auto"/>
                <w:lang w:eastAsia="zh-CN"/>
              </w:rPr>
              <w:t>制造业。</w:t>
            </w:r>
          </w:p>
          <w:p>
            <w:pPr>
              <w:autoSpaceDE w:val="0"/>
              <w:autoSpaceDN w:val="0"/>
              <w:adjustRightInd w:val="0"/>
              <w:spacing w:line="360" w:lineRule="auto"/>
              <w:contextualSpacing/>
              <w:rPr>
                <w:rFonts w:ascii="ˎ̥" w:hAnsi="ˎ̥"/>
                <w:color w:val="auto"/>
              </w:rPr>
            </w:pPr>
            <w:r>
              <w:rPr>
                <w:rFonts w:hint="eastAsia" w:cs="仿宋_GB2312" w:asciiTheme="minorEastAsia" w:hAnsiTheme="minorEastAsia"/>
                <w:color w:val="auto"/>
                <w:szCs w:val="21"/>
              </w:rPr>
              <w:t>3、</w:t>
            </w:r>
            <w:r>
              <w:rPr>
                <w:rFonts w:hint="eastAsia" w:ascii="ˎ̥" w:hAnsi="ˎ̥"/>
                <w:color w:val="auto"/>
                <w:sz w:val="21"/>
                <w:szCs w:val="21"/>
              </w:rPr>
              <w:t>本项目非专门面向中小企业采购</w:t>
            </w:r>
            <w:r>
              <w:rPr>
                <w:rFonts w:hint="eastAsia" w:ascii="ˎ̥" w:hAnsi="ˎ̥"/>
                <w:color w:val="auto"/>
                <w:sz w:val="21"/>
                <w:szCs w:val="21"/>
                <w:lang w:eastAsia="zh-CN"/>
              </w:rPr>
              <w:t>，</w:t>
            </w:r>
            <w:r>
              <w:rPr>
                <w:rFonts w:hint="eastAsia" w:cs="仿宋_GB2312" w:asciiTheme="minorEastAsia" w:hAnsiTheme="minorEastAsia"/>
                <w:color w:val="auto"/>
                <w:szCs w:val="21"/>
              </w:rPr>
              <w:t>根据财政部、工业和信息化部发布的《政府采购促进中小企业发展管理办法》（财库〔2020〕46号）、《关于进一步加大政府采购支持中小企业力度的通知》（财库〔2022〕19号）规定，对小型和微型企业投标价格给予20%的扣除，用扣除后的价格参与评审</w:t>
            </w:r>
            <w:r>
              <w:rPr>
                <w:rFonts w:ascii="ˎ̥" w:hAnsi="ˎ̥"/>
                <w:color w:val="auto"/>
              </w:rPr>
              <w:t>。</w:t>
            </w:r>
          </w:p>
          <w:p>
            <w:pPr>
              <w:autoSpaceDE w:val="0"/>
              <w:autoSpaceDN w:val="0"/>
              <w:adjustRightInd w:val="0"/>
              <w:spacing w:line="360" w:lineRule="auto"/>
              <w:contextualSpacing/>
              <w:rPr>
                <w:rFonts w:ascii="ˎ̥" w:hAnsi="ˎ̥"/>
                <w:color w:val="auto"/>
              </w:rPr>
            </w:pPr>
            <w:r>
              <w:rPr>
                <w:rFonts w:hint="eastAsia" w:ascii="ˎ̥" w:hAnsi="ˎ̥"/>
                <w:color w:val="auto"/>
                <w:lang w:val="en-US" w:eastAsia="zh-CN"/>
              </w:rPr>
              <w:t>4</w:t>
            </w:r>
            <w:r>
              <w:rPr>
                <w:rFonts w:hint="eastAsia" w:ascii="ˎ̥" w:hAnsi="ˎ̥"/>
                <w:color w:val="auto"/>
              </w:rPr>
              <w:t>、提供由省级以上监狱管理局、戒毒管理局（含新疆生产建设兵团）出具的属于监狱企业证明文件的，视同为小型和微型企业。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auto"/>
                <w:kern w:val="0"/>
                <w:szCs w:val="21"/>
                <w:lang w:val="zh-CN"/>
              </w:rPr>
            </w:pPr>
            <w:r>
              <w:rPr>
                <w:rFonts w:hint="eastAsia" w:ascii="ˎ̥" w:hAnsi="ˎ̥"/>
                <w:color w:val="auto"/>
                <w:lang w:val="en-US" w:eastAsia="zh-CN"/>
              </w:rPr>
              <w:t>5</w:t>
            </w:r>
            <w:r>
              <w:rPr>
                <w:rFonts w:hint="eastAsia" w:ascii="ˎ̥" w:hAnsi="ˎ̥"/>
                <w:color w:val="auto"/>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节能环保要求</w:t>
            </w:r>
          </w:p>
        </w:tc>
        <w:tc>
          <w:tcPr>
            <w:tcW w:w="6813" w:type="dxa"/>
            <w:vAlign w:val="center"/>
          </w:tcPr>
          <w:p>
            <w:pPr>
              <w:autoSpaceDE w:val="0"/>
              <w:autoSpaceDN w:val="0"/>
              <w:adjustRightInd w:val="0"/>
              <w:spacing w:line="360" w:lineRule="auto"/>
              <w:rPr>
                <w:rFonts w:ascii="ˎ̥" w:hAnsi="ˎ̥"/>
                <w:color w:val="auto"/>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27</w:t>
            </w:r>
          </w:p>
        </w:tc>
        <w:tc>
          <w:tcPr>
            <w:tcW w:w="2436"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政府采购合同融资 </w:t>
            </w: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政策告知函</w:t>
            </w:r>
          </w:p>
        </w:tc>
        <w:tc>
          <w:tcPr>
            <w:tcW w:w="6813" w:type="dxa"/>
            <w:vAlign w:val="center"/>
          </w:tcPr>
          <w:p>
            <w:pPr>
              <w:autoSpaceDE w:val="0"/>
              <w:autoSpaceDN w:val="0"/>
              <w:adjustRightInd w:val="0"/>
              <w:spacing w:line="360" w:lineRule="auto"/>
              <w:rPr>
                <w:rFonts w:cs="宋体" w:asciiTheme="minorEastAsia" w:hAnsiTheme="minorEastAsia"/>
                <w:color w:val="auto"/>
                <w:szCs w:val="21"/>
                <w:lang w:val="zh-CN"/>
              </w:rPr>
            </w:pPr>
            <w:r>
              <w:rPr>
                <w:rFonts w:hint="eastAsia" w:cs="宋体" w:asciiTheme="minorEastAsia" w:hAnsiTheme="minorEastAsia"/>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28</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szCs w:val="21"/>
              </w:rPr>
              <w:t>要求提交。履约保证金的数额为合同金额</w:t>
            </w:r>
            <w:r>
              <w:rPr>
                <w:rFonts w:hint="eastAsia" w:ascii="新宋体" w:hAnsi="新宋体" w:eastAsia="新宋体"/>
                <w:color w:val="auto"/>
                <w:szCs w:val="21"/>
              </w:rPr>
              <w:t>的   %</w:t>
            </w:r>
            <w:r>
              <w:rPr>
                <w:rFonts w:hint="eastAsia" w:cs="宋体" w:asciiTheme="minorEastAsia" w:hAnsiTheme="minorEastAsia"/>
                <w:color w:val="auto"/>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29</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hint="eastAsia"/>
                <w:color w:val="auto"/>
                <w:lang w:eastAsia="zh-CN"/>
              </w:rPr>
            </w:pPr>
            <w:r>
              <w:rPr>
                <w:color w:val="auto"/>
                <w:lang w:val="zh-CN"/>
              </w:rPr>
              <w:fldChar w:fldCharType="begin"/>
            </w:r>
            <w:r>
              <w:rPr>
                <w:rFonts w:hint="eastAsia"/>
                <w:color w:val="auto"/>
                <w:lang w:val="zh-CN"/>
              </w:rPr>
              <w:instrText xml:space="preserve">eq \o\ac(□,√)</w:instrText>
            </w:r>
            <w:r>
              <w:rPr>
                <w:color w:val="auto"/>
                <w:lang w:val="zh-CN"/>
              </w:rPr>
              <w:fldChar w:fldCharType="end"/>
            </w:r>
            <w:r>
              <w:rPr>
                <w:rFonts w:hint="eastAsia"/>
                <w:color w:val="auto"/>
                <w:lang w:val="zh-CN"/>
              </w:rPr>
              <w:t>收取，</w:t>
            </w:r>
            <w:r>
              <w:rPr>
                <w:rFonts w:hint="eastAsia"/>
                <w:color w:val="auto"/>
              </w:rPr>
              <w:t>招标代理服务费由中标人支付，</w:t>
            </w:r>
            <w:r>
              <w:rPr>
                <w:rFonts w:hint="eastAsia"/>
                <w:color w:val="auto"/>
                <w:lang w:eastAsia="zh-CN"/>
              </w:rPr>
              <w:t>按照豫招协</w:t>
            </w:r>
            <w:r>
              <w:rPr>
                <w:rFonts w:hint="eastAsia"/>
                <w:color w:val="auto"/>
              </w:rPr>
              <w:t>〔</w:t>
            </w:r>
            <w:r>
              <w:rPr>
                <w:color w:val="auto"/>
              </w:rPr>
              <w:t>20</w:t>
            </w:r>
            <w:r>
              <w:rPr>
                <w:rFonts w:hint="eastAsia"/>
                <w:color w:val="auto"/>
                <w:lang w:val="en-US" w:eastAsia="zh-CN"/>
              </w:rPr>
              <w:t>23</w:t>
            </w:r>
            <w:r>
              <w:rPr>
                <w:rFonts w:hint="eastAsia"/>
                <w:color w:val="auto"/>
              </w:rPr>
              <w:t>〕</w:t>
            </w:r>
            <w:r>
              <w:rPr>
                <w:rFonts w:hint="eastAsia"/>
                <w:color w:val="auto"/>
                <w:lang w:val="en-US" w:eastAsia="zh-CN"/>
              </w:rPr>
              <w:t>002</w:t>
            </w:r>
            <w:r>
              <w:rPr>
                <w:rFonts w:hint="eastAsia"/>
                <w:color w:val="auto"/>
              </w:rPr>
              <w:t>《</w:t>
            </w:r>
            <w:r>
              <w:rPr>
                <w:rFonts w:hint="eastAsia"/>
                <w:color w:val="auto"/>
                <w:lang w:eastAsia="zh-CN"/>
              </w:rPr>
              <w:t>河南省招标代理服务收费指导意见</w:t>
            </w:r>
            <w:r>
              <w:rPr>
                <w:rFonts w:hint="eastAsia"/>
                <w:color w:val="auto"/>
              </w:rPr>
              <w:t>》</w:t>
            </w:r>
            <w:r>
              <w:rPr>
                <w:rFonts w:hint="eastAsia"/>
                <w:color w:val="auto"/>
                <w:lang w:eastAsia="zh-CN"/>
              </w:rPr>
              <w:t>收取，由中标单位在领取中标通知书时一次性支付给代理机构。</w:t>
            </w:r>
          </w:p>
          <w:p>
            <w:pPr>
              <w:autoSpaceDE w:val="0"/>
              <w:autoSpaceDN w:val="0"/>
              <w:spacing w:line="360" w:lineRule="auto"/>
              <w:contextualSpacing/>
              <w:rPr>
                <w:rFonts w:hint="eastAsia"/>
                <w:color w:val="auto"/>
                <w:sz w:val="21"/>
                <w:szCs w:val="21"/>
                <w:lang w:eastAsia="zh-CN"/>
              </w:rPr>
            </w:pPr>
            <w:r>
              <w:rPr>
                <w:rFonts w:hint="eastAsia"/>
                <w:color w:val="auto"/>
                <w:sz w:val="21"/>
                <w:szCs w:val="21"/>
                <w:lang w:eastAsia="zh-CN"/>
              </w:rPr>
              <w:t>招标代理服务收费按差额定率累计法计算：</w:t>
            </w:r>
          </w:p>
          <w:p>
            <w:pPr>
              <w:pStyle w:val="2"/>
              <w:ind w:firstLine="340" w:firstLineChars="100"/>
              <w:rPr>
                <w:rFonts w:cs="宋体" w:asciiTheme="minorEastAsia" w:hAnsiTheme="minorEastAsia"/>
                <w:bCs/>
                <w:color w:val="auto"/>
                <w:szCs w:val="21"/>
                <w:lang w:val="zh-CN"/>
              </w:rPr>
            </w:pPr>
            <w:r>
              <w:rPr>
                <w:rFonts w:hint="eastAsia"/>
                <w:color w:val="auto"/>
                <w:lang w:eastAsia="zh-CN"/>
              </w:rPr>
              <w:drawing>
                <wp:inline distT="0" distB="0" distL="114300" distR="114300">
                  <wp:extent cx="3945255" cy="2764790"/>
                  <wp:effectExtent l="0" t="0" r="17145" b="16510"/>
                  <wp:docPr id="1" name="图片 1"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b982d9b13b73535a8dfa2cb990fd7"/>
                          <pic:cNvPicPr>
                            <a:picLocks noChangeAspect="1"/>
                          </pic:cNvPicPr>
                        </pic:nvPicPr>
                        <pic:blipFill>
                          <a:blip r:embed="rId5"/>
                          <a:stretch>
                            <a:fillRect/>
                          </a:stretch>
                        </pic:blipFill>
                        <pic:spPr>
                          <a:xfrm>
                            <a:off x="0" y="0"/>
                            <a:ext cx="3945255" cy="27647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30</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spacing w:line="384" w:lineRule="auto"/>
              <w:ind w:firstLine="420" w:firstLineChars="200"/>
              <w:jc w:val="left"/>
              <w:rPr>
                <w:rFonts w:hint="eastAsia" w:cs="宋体" w:asciiTheme="minorEastAsia" w:hAnsiTheme="minorEastAsia" w:eastAsiaTheme="minorEastAsia"/>
                <w:bCs/>
                <w:color w:val="auto"/>
                <w:szCs w:val="21"/>
                <w:lang w:eastAsia="zh-CN"/>
              </w:rPr>
            </w:pPr>
            <w:r>
              <w:rPr>
                <w:rFonts w:hint="eastAsia" w:cs="宋体" w:asciiTheme="minorEastAsia" w:hAnsiTheme="minorEastAsia"/>
                <w:color w:val="auto"/>
                <w:szCs w:val="21"/>
                <w:lang w:val="zh-CN"/>
              </w:rPr>
              <w:t>中标人在接到中标通知时，须向代理机构发送投标报价及分项报价一览表（包含主要中标标的的名称、规格型号、数量、单价、服务要求等）电子文档，联系电话：</w:t>
            </w:r>
            <w:r>
              <w:rPr>
                <w:rFonts w:hint="eastAsia"/>
                <w:color w:val="auto"/>
              </w:rPr>
              <w:t>0374-8281999</w:t>
            </w:r>
            <w:r>
              <w:rPr>
                <w:rFonts w:hint="eastAsia" w:cs="宋体" w:asciiTheme="minorEastAsia" w:hAnsiTheme="minorEastAsia"/>
                <w:color w:val="auto"/>
                <w:szCs w:val="21"/>
                <w:lang w:val="zh-CN"/>
              </w:rPr>
              <w:t>，邮箱：</w:t>
            </w:r>
            <w:r>
              <w:rPr>
                <w:rFonts w:hint="eastAsia" w:cs="宋体" w:asciiTheme="minorEastAsia" w:hAnsiTheme="minorEastAsia"/>
                <w:color w:val="auto"/>
                <w:szCs w:val="21"/>
              </w:rPr>
              <w:t>xcfyzxgl@126.com</w:t>
            </w:r>
            <w:r>
              <w:rPr>
                <w:rFonts w:hint="eastAsia" w:ascii="宋体" w:hAnsi="宋体" w:cs="宋体"/>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31</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供应商响应时须成功上传、加密电子响应文件。供应商资质、业绩、荣誉及相关人员证明材料等资料原件谈判现场不再提供（本谈判文件第六章另有要求提供原件的除外）。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32</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color w:val="auto"/>
              </w:rPr>
            </w:pPr>
            <w:r>
              <w:rPr>
                <w:rFonts w:hint="eastAsia" w:ascii="ˎ̥" w:hAnsi="ˎ̥"/>
                <w:color w:val="auto"/>
              </w:rPr>
              <w:t>根据谈判小组要求，供应商须使用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autoSpaceDE w:val="0"/>
              <w:autoSpaceDN w:val="0"/>
              <w:adjustRightInd w:val="0"/>
              <w:spacing w:line="360" w:lineRule="auto"/>
              <w:contextualSpacing/>
              <w:rPr>
                <w:rFonts w:hAnsi="宋体" w:cs="宋体"/>
                <w:color w:val="auto"/>
                <w:szCs w:val="21"/>
                <w:lang w:val="zh-CN"/>
              </w:rPr>
            </w:pPr>
            <w:r>
              <w:rPr>
                <w:rFonts w:hint="eastAsia" w:hAnsi="宋体" w:cs="宋体"/>
                <w:color w:val="auto"/>
                <w:szCs w:val="21"/>
                <w:lang w:val="zh-CN"/>
              </w:rPr>
              <w:t>注：</w:t>
            </w:r>
          </w:p>
          <w:p>
            <w:pPr>
              <w:autoSpaceDE w:val="0"/>
              <w:autoSpaceDN w:val="0"/>
              <w:adjustRightInd w:val="0"/>
              <w:spacing w:line="360" w:lineRule="auto"/>
              <w:contextualSpacing/>
              <w:rPr>
                <w:rFonts w:hAnsi="宋体" w:cs="宋体"/>
                <w:color w:val="auto"/>
                <w:szCs w:val="21"/>
                <w:lang w:val="zh-CN"/>
              </w:rPr>
            </w:pPr>
            <w:r>
              <w:rPr>
                <w:rFonts w:hint="eastAsia" w:hAnsi="宋体" w:cs="宋体"/>
                <w:color w:val="auto"/>
                <w:szCs w:val="21"/>
                <w:lang w:val="zh-CN"/>
              </w:rPr>
              <w:t>①谈判小组要求供应商提交最后报价时，在谈判小组规定时间内，供应商未提交最后报价则以其初次提交响应文件报价为最后报价。</w:t>
            </w:r>
          </w:p>
          <w:p>
            <w:pPr>
              <w:autoSpaceDE w:val="0"/>
              <w:autoSpaceDN w:val="0"/>
              <w:adjustRightInd w:val="0"/>
              <w:spacing w:line="360" w:lineRule="auto"/>
              <w:contextualSpacing/>
              <w:rPr>
                <w:rFonts w:hAnsi="宋体" w:cs="宋体"/>
                <w:color w:val="auto"/>
                <w:szCs w:val="21"/>
                <w:lang w:val="zh-CN"/>
              </w:rPr>
            </w:pPr>
            <w:r>
              <w:rPr>
                <w:rFonts w:hint="eastAsia" w:hAnsi="宋体" w:cs="宋体"/>
                <w:color w:val="auto"/>
                <w:szCs w:val="21"/>
                <w:lang w:val="zh-CN"/>
              </w:rPr>
              <w:t>②采购文件第二章“采购需求”中“采购清单”以工程量清单提供的，供应商应以工程量清单方式提交最后报价。</w:t>
            </w:r>
          </w:p>
          <w:p>
            <w:pPr>
              <w:autoSpaceDE w:val="0"/>
              <w:autoSpaceDN w:val="0"/>
              <w:adjustRightInd w:val="0"/>
              <w:spacing w:line="360" w:lineRule="auto"/>
              <w:contextualSpacing/>
              <w:rPr>
                <w:rFonts w:ascii="ˎ̥" w:hAnsi="ˎ̥"/>
                <w:color w:val="auto"/>
              </w:rPr>
            </w:pPr>
            <w:r>
              <w:rPr>
                <w:rFonts w:hint="eastAsia" w:hAnsi="宋体" w:cs="宋体"/>
                <w:color w:val="auto"/>
                <w:szCs w:val="21"/>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33</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auto"/>
              </w:rPr>
            </w:pPr>
            <w:r>
              <w:rPr>
                <w:rFonts w:hint="eastAsia" w:ascii="ˎ̥" w:hAnsi="ˎ̥"/>
                <w:color w:val="auto"/>
              </w:rPr>
              <w:t>不同供应商电子投标文件制作硬件特征码（网卡MAC地址、CPU序号、硬盘序列号）均一致时，视为‘</w:t>
            </w:r>
            <w:r>
              <w:rPr>
                <w:rFonts w:ascii="ˎ̥" w:hAnsi="ˎ̥"/>
                <w:color w:val="auto"/>
              </w:rPr>
              <w:t>不同</w:t>
            </w:r>
            <w:r>
              <w:rPr>
                <w:rFonts w:hint="eastAsia" w:ascii="ˎ̥" w:hAnsi="ˎ̥"/>
                <w:color w:val="auto"/>
              </w:rPr>
              <w:t>投标人的投标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autoSpaceDE w:val="0"/>
              <w:autoSpaceDN w:val="0"/>
              <w:adjustRightInd w:val="0"/>
              <w:spacing w:line="360" w:lineRule="auto"/>
              <w:contextualSpacing/>
              <w:rPr>
                <w:rFonts w:ascii="ˎ̥" w:hAnsi="ˎ̥"/>
                <w:color w:val="auto"/>
              </w:rPr>
            </w:pPr>
            <w:r>
              <w:rPr>
                <w:rFonts w:hint="eastAsia" w:ascii="ˎ̥" w:hAnsi="ˎ̥"/>
                <w:color w:val="auto"/>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contextualSpacing/>
              <w:rPr>
                <w:color w:val="auto"/>
              </w:rPr>
            </w:pPr>
            <w:r>
              <w:rPr>
                <w:rFonts w:hint="eastAsia" w:ascii="ˎ̥" w:hAnsi="ˎ̥"/>
                <w:color w:val="auto"/>
              </w:rPr>
              <w:t>2、项目编号以本谈判文件中的采购编号为准。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34</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供应商资格核验</w:t>
            </w:r>
          </w:p>
        </w:tc>
        <w:tc>
          <w:tcPr>
            <w:tcW w:w="6813" w:type="dxa"/>
            <w:vAlign w:val="center"/>
          </w:tcPr>
          <w:p>
            <w:pPr>
              <w:autoSpaceDE w:val="0"/>
              <w:autoSpaceDN w:val="0"/>
              <w:adjustRightInd w:val="0"/>
              <w:spacing w:line="360" w:lineRule="auto"/>
              <w:ind w:right="-11"/>
              <w:rPr>
                <w:color w:val="auto"/>
                <w:lang w:val="zh-CN"/>
              </w:rPr>
            </w:pPr>
            <w:r>
              <w:rPr>
                <w:rFonts w:hint="eastAsia" w:ascii="ˎ̥" w:hAnsi="ˎ̥"/>
                <w:color w:val="auto"/>
              </w:rPr>
              <w:t>供应商在成交后，应将由《禹州市政府采购供应商信用承诺函》替代的证明材料提交采购人核验，经核验无误后，采购人发出成交通知书。</w:t>
            </w:r>
          </w:p>
          <w:p>
            <w:pPr>
              <w:autoSpaceDE w:val="0"/>
              <w:autoSpaceDN w:val="0"/>
              <w:adjustRightInd w:val="0"/>
              <w:spacing w:line="360" w:lineRule="auto"/>
              <w:ind w:right="-11"/>
              <w:rPr>
                <w:color w:val="auto"/>
                <w:lang w:val="zh-CN"/>
              </w:rPr>
            </w:pPr>
            <w:r>
              <w:rPr>
                <w:rFonts w:hint="eastAsia"/>
                <w:color w:val="auto"/>
                <w:lang w:val="zh-CN"/>
              </w:rPr>
              <w:t>一、</w:t>
            </w:r>
            <w:r>
              <w:rPr>
                <w:color w:val="auto"/>
                <w:lang w:val="zh-CN"/>
              </w:rPr>
              <w:t>法人或者其他组织的营业执照等证明文件，自然人的身份证明</w:t>
            </w:r>
          </w:p>
          <w:p>
            <w:pPr>
              <w:autoSpaceDE w:val="0"/>
              <w:autoSpaceDN w:val="0"/>
              <w:adjustRightInd w:val="0"/>
              <w:spacing w:line="360" w:lineRule="auto"/>
              <w:ind w:right="-11"/>
              <w:rPr>
                <w:color w:val="auto"/>
                <w:lang w:val="zh-CN"/>
              </w:rPr>
            </w:pPr>
            <w:r>
              <w:rPr>
                <w:rFonts w:hint="eastAsia"/>
                <w:color w:val="auto"/>
                <w:lang w:val="zh-CN"/>
              </w:rPr>
              <w:t>1、企业法人营业执照或营业执照。（企业提供）</w:t>
            </w:r>
          </w:p>
          <w:p>
            <w:pPr>
              <w:autoSpaceDE w:val="0"/>
              <w:autoSpaceDN w:val="0"/>
              <w:adjustRightInd w:val="0"/>
              <w:spacing w:line="360" w:lineRule="auto"/>
              <w:ind w:right="-11"/>
              <w:rPr>
                <w:color w:val="auto"/>
                <w:lang w:val="zh-CN"/>
              </w:rPr>
            </w:pPr>
            <w:r>
              <w:rPr>
                <w:rFonts w:hint="eastAsia"/>
                <w:color w:val="auto"/>
                <w:lang w:val="zh-CN"/>
              </w:rPr>
              <w:t>2、事业单位法人证书。（事业单位提供）</w:t>
            </w:r>
          </w:p>
          <w:p>
            <w:pPr>
              <w:autoSpaceDE w:val="0"/>
              <w:autoSpaceDN w:val="0"/>
              <w:adjustRightInd w:val="0"/>
              <w:spacing w:line="360" w:lineRule="auto"/>
              <w:ind w:right="-11"/>
              <w:rPr>
                <w:color w:val="auto"/>
                <w:lang w:val="zh-CN"/>
              </w:rPr>
            </w:pPr>
            <w:r>
              <w:rPr>
                <w:rFonts w:hint="eastAsia"/>
                <w:color w:val="auto"/>
                <w:lang w:val="zh-CN"/>
              </w:rPr>
              <w:t>3、执业许可证。（非企业专业服务机构提供）</w:t>
            </w:r>
          </w:p>
          <w:p>
            <w:pPr>
              <w:autoSpaceDE w:val="0"/>
              <w:autoSpaceDN w:val="0"/>
              <w:adjustRightInd w:val="0"/>
              <w:spacing w:line="360" w:lineRule="auto"/>
              <w:ind w:right="-11"/>
              <w:rPr>
                <w:color w:val="auto"/>
                <w:lang w:val="zh-CN"/>
              </w:rPr>
            </w:pPr>
            <w:r>
              <w:rPr>
                <w:rFonts w:hint="eastAsia"/>
                <w:color w:val="auto"/>
                <w:lang w:val="zh-CN"/>
              </w:rPr>
              <w:t>4、个体工商户营业执照。（个体工商户提供）</w:t>
            </w:r>
          </w:p>
          <w:p>
            <w:pPr>
              <w:autoSpaceDE w:val="0"/>
              <w:autoSpaceDN w:val="0"/>
              <w:adjustRightInd w:val="0"/>
              <w:spacing w:line="360" w:lineRule="auto"/>
              <w:jc w:val="left"/>
              <w:rPr>
                <w:color w:val="auto"/>
                <w:lang w:val="zh-CN"/>
              </w:rPr>
            </w:pPr>
            <w:r>
              <w:rPr>
                <w:rFonts w:hint="eastAsia"/>
                <w:color w:val="auto"/>
                <w:lang w:val="zh-CN"/>
              </w:rPr>
              <w:t>5、自然人身份证明。（自然人提供）</w:t>
            </w:r>
          </w:p>
          <w:p>
            <w:pPr>
              <w:autoSpaceDE w:val="0"/>
              <w:autoSpaceDN w:val="0"/>
              <w:adjustRightInd w:val="0"/>
              <w:spacing w:line="360" w:lineRule="auto"/>
              <w:jc w:val="left"/>
              <w:rPr>
                <w:color w:val="auto"/>
                <w:lang w:val="zh-CN"/>
              </w:rPr>
            </w:pPr>
            <w:r>
              <w:rPr>
                <w:rFonts w:hint="eastAsia"/>
                <w:color w:val="auto"/>
                <w:lang w:val="zh-CN"/>
              </w:rPr>
              <w:t>6、民办非企业单位登记证书。（民办非企业单位提供）</w:t>
            </w:r>
          </w:p>
          <w:p>
            <w:pPr>
              <w:autoSpaceDE w:val="0"/>
              <w:autoSpaceDN w:val="0"/>
              <w:adjustRightInd w:val="0"/>
              <w:spacing w:line="360" w:lineRule="auto"/>
              <w:jc w:val="left"/>
              <w:rPr>
                <w:color w:val="auto"/>
              </w:rPr>
            </w:pPr>
            <w:r>
              <w:rPr>
                <w:rFonts w:hint="eastAsia"/>
                <w:color w:val="auto"/>
              </w:rPr>
              <w:t>二、财务状况报告相关材料</w:t>
            </w:r>
          </w:p>
          <w:p>
            <w:pPr>
              <w:spacing w:line="360" w:lineRule="auto"/>
              <w:rPr>
                <w:color w:val="auto"/>
              </w:rPr>
            </w:pPr>
            <w:r>
              <w:rPr>
                <w:rFonts w:hint="eastAsia"/>
                <w:color w:val="auto"/>
              </w:rPr>
              <w:t>（1）供应商是法人（法人包括企业法人、机关法人、事业单位法人和社会团体法人），提供本单位：</w:t>
            </w:r>
          </w:p>
          <w:p>
            <w:pPr>
              <w:spacing w:line="360" w:lineRule="auto"/>
              <w:rPr>
                <w:color w:val="auto"/>
              </w:rPr>
            </w:pPr>
            <w:r>
              <w:rPr>
                <w:rFonts w:hint="eastAsia"/>
                <w:color w:val="auto"/>
              </w:rPr>
              <w:t>①2021年度</w:t>
            </w:r>
            <w:r>
              <w:rPr>
                <w:rFonts w:hint="eastAsia"/>
                <w:color w:val="auto"/>
                <w:lang w:eastAsia="zh-CN"/>
              </w:rPr>
              <w:t>或</w:t>
            </w:r>
            <w:r>
              <w:rPr>
                <w:rFonts w:hint="eastAsia"/>
                <w:color w:val="auto"/>
                <w:lang w:val="en-US" w:eastAsia="zh-CN"/>
              </w:rPr>
              <w:t>2022年度</w:t>
            </w:r>
            <w:r>
              <w:rPr>
                <w:rFonts w:hint="eastAsia"/>
                <w:color w:val="auto"/>
              </w:rPr>
              <w:t>经审计的财务报告，包括资产负债表、利润表、现金流量表、所有者权益变动表及其附注；</w:t>
            </w:r>
          </w:p>
          <w:p>
            <w:pPr>
              <w:spacing w:line="360" w:lineRule="auto"/>
              <w:rPr>
                <w:color w:val="auto"/>
              </w:rPr>
            </w:pPr>
            <w:r>
              <w:rPr>
                <w:rFonts w:hint="eastAsia"/>
                <w:color w:val="auto"/>
              </w:rPr>
              <w:t>②基本开户银行出具的资信证明；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spacing w:line="360" w:lineRule="auto"/>
              <w:rPr>
                <w:color w:val="auto"/>
              </w:rPr>
            </w:pPr>
            <w:r>
              <w:rPr>
                <w:rFonts w:hint="eastAsia"/>
                <w:color w:val="auto"/>
                <w:lang w:val="zh-CN"/>
              </w:rPr>
              <w:t>注：仅需提供序号</w:t>
            </w:r>
            <w:r>
              <w:rPr>
                <w:rFonts w:hint="eastAsia"/>
                <w:color w:val="auto"/>
              </w:rPr>
              <w:t>①～③其中之一即可。</w:t>
            </w:r>
          </w:p>
          <w:p>
            <w:pPr>
              <w:spacing w:line="360" w:lineRule="auto"/>
              <w:rPr>
                <w:color w:val="auto"/>
              </w:rPr>
            </w:pPr>
            <w:r>
              <w:rPr>
                <w:rFonts w:hint="eastAsia"/>
                <w:color w:val="auto"/>
              </w:rPr>
              <w:t>（2）供应商（其他组织和自然人）提供本单位：</w:t>
            </w:r>
          </w:p>
          <w:p>
            <w:pPr>
              <w:spacing w:line="360" w:lineRule="auto"/>
              <w:rPr>
                <w:color w:val="auto"/>
              </w:rPr>
            </w:pPr>
            <w:r>
              <w:rPr>
                <w:rFonts w:hint="eastAsia"/>
                <w:color w:val="auto"/>
              </w:rPr>
              <w:t>①2021年度</w:t>
            </w:r>
            <w:r>
              <w:rPr>
                <w:rFonts w:hint="eastAsia"/>
                <w:color w:val="auto"/>
                <w:lang w:eastAsia="zh-CN"/>
              </w:rPr>
              <w:t>或</w:t>
            </w:r>
            <w:r>
              <w:rPr>
                <w:rFonts w:hint="eastAsia"/>
                <w:color w:val="auto"/>
                <w:lang w:val="en-US" w:eastAsia="zh-CN"/>
              </w:rPr>
              <w:t>2022年度</w:t>
            </w:r>
            <w:r>
              <w:rPr>
                <w:rFonts w:hint="eastAsia"/>
                <w:color w:val="auto"/>
              </w:rPr>
              <w:t>经审计的财务报告，包括资产负债表、利润表、现金流量表、所有者权益变动表及其附注；</w:t>
            </w:r>
          </w:p>
          <w:p>
            <w:pPr>
              <w:spacing w:line="360" w:lineRule="auto"/>
              <w:rPr>
                <w:color w:val="auto"/>
              </w:rPr>
            </w:pPr>
            <w:r>
              <w:rPr>
                <w:rFonts w:hint="eastAsia"/>
                <w:color w:val="auto"/>
              </w:rPr>
              <w:t>②银行出具的资信证明；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autoSpaceDE w:val="0"/>
              <w:autoSpaceDN w:val="0"/>
              <w:adjustRightInd w:val="0"/>
              <w:spacing w:line="360" w:lineRule="auto"/>
              <w:ind w:right="-11"/>
              <w:rPr>
                <w:color w:val="auto"/>
                <w:lang w:val="zh-CN"/>
              </w:rPr>
            </w:pPr>
            <w:r>
              <w:rPr>
                <w:rFonts w:hint="eastAsia"/>
                <w:color w:val="auto"/>
                <w:lang w:val="zh-CN"/>
              </w:rPr>
              <w:t>注：仅需提供序号</w:t>
            </w:r>
            <w:r>
              <w:rPr>
                <w:rFonts w:hint="eastAsia"/>
                <w:color w:val="auto"/>
              </w:rPr>
              <w:t>①～③其中之一即可。</w:t>
            </w:r>
          </w:p>
          <w:p>
            <w:pPr>
              <w:autoSpaceDE w:val="0"/>
              <w:autoSpaceDN w:val="0"/>
              <w:adjustRightInd w:val="0"/>
              <w:spacing w:line="360" w:lineRule="auto"/>
              <w:ind w:right="-11"/>
              <w:rPr>
                <w:color w:val="auto"/>
                <w:lang w:val="zh-CN"/>
              </w:rPr>
            </w:pPr>
            <w:r>
              <w:rPr>
                <w:rFonts w:hint="eastAsia"/>
                <w:color w:val="auto"/>
              </w:rPr>
              <w:t>三、依法缴纳税收相关材料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color w:val="auto"/>
                <w:lang w:val="zh-CN"/>
              </w:rPr>
            </w:pPr>
            <w:r>
              <w:rPr>
                <w:rFonts w:hint="eastAsia"/>
                <w:color w:val="auto"/>
                <w:lang w:val="zh-CN"/>
              </w:rPr>
              <w:t>四、依法缴纳社会保障资金的证明材料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color w:val="auto"/>
                <w:lang w:val="zh-CN"/>
              </w:rPr>
            </w:pPr>
            <w:r>
              <w:rPr>
                <w:rFonts w:hint="eastAsia"/>
                <w:color w:val="auto"/>
                <w:lang w:val="zh-CN"/>
              </w:rPr>
              <w:t>五、履行合同所必须的设备和专业技术能力的证明材料</w:t>
            </w:r>
          </w:p>
          <w:p>
            <w:pPr>
              <w:autoSpaceDE w:val="0"/>
              <w:autoSpaceDN w:val="0"/>
              <w:adjustRightInd w:val="0"/>
              <w:spacing w:line="360" w:lineRule="auto"/>
              <w:jc w:val="left"/>
              <w:rPr>
                <w:color w:val="auto"/>
                <w:lang w:val="zh-CN"/>
              </w:rPr>
            </w:pPr>
            <w:r>
              <w:rPr>
                <w:rFonts w:hint="eastAsia"/>
                <w:color w:val="auto"/>
                <w:lang w:val="zh-CN"/>
              </w:rPr>
              <w:t>①相关设备的购置发票、专业技术人员职称证书、用工合同等；</w:t>
            </w:r>
          </w:p>
          <w:p>
            <w:pPr>
              <w:spacing w:line="360" w:lineRule="auto"/>
              <w:rPr>
                <w:color w:val="auto"/>
              </w:rPr>
            </w:pPr>
            <w:r>
              <w:rPr>
                <w:rFonts w:hint="eastAsia"/>
                <w:color w:val="auto"/>
              </w:rPr>
              <w:t>②供应商具备履行合同所必须的设备和专业技术能力承诺函或声明（承诺函或声明格式自拟）。</w:t>
            </w:r>
          </w:p>
          <w:p>
            <w:pPr>
              <w:autoSpaceDE w:val="0"/>
              <w:autoSpaceDN w:val="0"/>
              <w:adjustRightInd w:val="0"/>
              <w:spacing w:line="360" w:lineRule="auto"/>
              <w:ind w:right="-11"/>
              <w:rPr>
                <w:color w:val="auto"/>
              </w:rPr>
            </w:pPr>
            <w:r>
              <w:rPr>
                <w:rFonts w:hint="eastAsia"/>
                <w:color w:val="auto"/>
                <w:lang w:val="zh-CN"/>
              </w:rPr>
              <w:t>注：仅需提供序号</w:t>
            </w:r>
            <w:r>
              <w:rPr>
                <w:rFonts w:hint="eastAsia"/>
                <w:color w:val="auto"/>
              </w:rPr>
              <w:t>①～②其中之一即可。</w:t>
            </w:r>
          </w:p>
          <w:p>
            <w:pPr>
              <w:autoSpaceDE w:val="0"/>
              <w:autoSpaceDN w:val="0"/>
              <w:adjustRightInd w:val="0"/>
              <w:spacing w:line="360" w:lineRule="auto"/>
              <w:ind w:right="-11"/>
              <w:rPr>
                <w:color w:val="auto"/>
                <w:lang w:val="zh-CN"/>
              </w:rPr>
            </w:pPr>
            <w:r>
              <w:rPr>
                <w:rFonts w:hint="eastAsia"/>
                <w:color w:val="auto"/>
              </w:rPr>
              <w:t>六、</w:t>
            </w:r>
            <w:r>
              <w:rPr>
                <w:color w:val="auto"/>
                <w:lang w:val="zh-CN"/>
              </w:rPr>
              <w:t>参加政府采购活动前3年内在经营活动中没有重大违法记录的声明</w:t>
            </w:r>
          </w:p>
          <w:p>
            <w:pPr>
              <w:autoSpaceDE w:val="0"/>
              <w:autoSpaceDN w:val="0"/>
              <w:spacing w:line="360" w:lineRule="auto"/>
              <w:contextualSpacing/>
              <w:jc w:val="left"/>
              <w:rPr>
                <w:color w:val="auto"/>
                <w:lang w:val="zh-CN"/>
              </w:rPr>
            </w:pPr>
            <w:r>
              <w:rPr>
                <w:rFonts w:hint="eastAsia"/>
                <w:color w:val="auto"/>
                <w:lang w:val="zh-CN"/>
              </w:rPr>
              <w:t>供应商“</w:t>
            </w:r>
            <w:r>
              <w:rPr>
                <w:color w:val="auto"/>
                <w:lang w:val="zh-CN"/>
              </w:rPr>
              <w:t>参加政府采购活动前3年内在经营活动中没有重大违法记录的书面声明</w:t>
            </w:r>
            <w:r>
              <w:rPr>
                <w:rFonts w:hint="eastAsia"/>
                <w:color w:val="auto"/>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color w:val="auto"/>
              </w:rPr>
            </w:pPr>
            <w:r>
              <w:rPr>
                <w:rFonts w:hint="eastAsia"/>
                <w:color w:val="auto"/>
                <w:lang w:val="zh-CN"/>
              </w:rPr>
              <w:t>七、</w:t>
            </w:r>
            <w:r>
              <w:rPr>
                <w:color w:val="auto"/>
              </w:rPr>
              <w:t>未被列入“信用中国”网站(www.creditchina.gov.cn)失信被执行人、</w:t>
            </w:r>
            <w:r>
              <w:rPr>
                <w:rFonts w:hint="eastAsia" w:cs="仿宋_GB2312" w:asciiTheme="minorEastAsia" w:hAnsiTheme="minorEastAsia"/>
                <w:b/>
                <w:color w:val="auto"/>
                <w:szCs w:val="21"/>
                <w:shd w:val="clear" w:color="auto" w:fill="FFFFFF"/>
              </w:rPr>
              <w:t>税收</w:t>
            </w:r>
            <w:r>
              <w:rPr>
                <w:rFonts w:cs="仿宋_GB2312" w:asciiTheme="minorEastAsia" w:hAnsiTheme="minorEastAsia"/>
                <w:b/>
                <w:color w:val="auto"/>
                <w:szCs w:val="21"/>
                <w:shd w:val="clear" w:color="auto" w:fill="FFFFFF"/>
              </w:rPr>
              <w:t>违法黑名单</w:t>
            </w:r>
            <w:r>
              <w:rPr>
                <w:color w:val="auto"/>
              </w:rPr>
              <w:t>的</w:t>
            </w:r>
            <w:r>
              <w:rPr>
                <w:rFonts w:hint="eastAsia"/>
                <w:color w:val="auto"/>
              </w:rPr>
              <w:t>供应商</w:t>
            </w:r>
            <w:r>
              <w:rPr>
                <w:color w:val="auto"/>
              </w:rPr>
              <w:t>；</w:t>
            </w:r>
            <w:r>
              <w:rPr>
                <w:rFonts w:hint="eastAsia"/>
                <w:color w:val="auto"/>
              </w:rPr>
              <w:t>“</w:t>
            </w:r>
            <w:r>
              <w:rPr>
                <w:color w:val="auto"/>
              </w:rPr>
              <w:t>中国政府采购网</w:t>
            </w:r>
            <w:r>
              <w:rPr>
                <w:rFonts w:hint="eastAsia"/>
                <w:color w:val="auto"/>
              </w:rPr>
              <w:t>”</w:t>
            </w:r>
            <w:r>
              <w:rPr>
                <w:color w:val="auto"/>
              </w:rPr>
              <w:t xml:space="preserve"> (www.ccgp.gov.cn)政府采购严重违法失信行为记录名单的</w:t>
            </w:r>
            <w:r>
              <w:rPr>
                <w:rFonts w:hint="eastAsia"/>
                <w:color w:val="auto"/>
              </w:rPr>
              <w:t>供应商</w:t>
            </w:r>
            <w:r>
              <w:rPr>
                <w:rFonts w:hint="eastAsia"/>
                <w:color w:val="auto"/>
                <w:lang w:val="zh-CN"/>
              </w:rPr>
              <w:t>；</w:t>
            </w:r>
            <w:r>
              <w:rPr>
                <w:rFonts w:hint="eastAsia" w:asciiTheme="majorEastAsia" w:hAnsiTheme="majorEastAsia" w:eastAsiaTheme="majorEastAsia" w:cstheme="majorEastAsia"/>
                <w:color w:val="auto"/>
                <w:szCs w:val="21"/>
              </w:rPr>
              <w:t>“中国社会组织政务服务平台”网站（</w:t>
            </w:r>
            <w:r>
              <w:rPr>
                <w:rFonts w:cs="宋体" w:asciiTheme="minorEastAsia" w:hAnsiTheme="minorEastAsia"/>
                <w:color w:val="auto"/>
                <w:kern w:val="0"/>
                <w:szCs w:val="21"/>
              </w:rPr>
              <w:t>https://chinanpo.mca.gov.cn</w:t>
            </w:r>
            <w:r>
              <w:rPr>
                <w:rFonts w:hint="eastAsia" w:asciiTheme="majorEastAsia" w:hAnsiTheme="majorEastAsia" w:eastAsiaTheme="majorEastAsia" w:cstheme="majorEastAsia"/>
                <w:color w:val="auto"/>
                <w:szCs w:val="21"/>
              </w:rPr>
              <w:t>）（仅查询社会组织）</w:t>
            </w:r>
            <w:r>
              <w:rPr>
                <w:rFonts w:hint="eastAsia"/>
                <w:color w:val="auto"/>
              </w:rPr>
              <w:t>严重违法失信社会组织名单的供应商（联合体形式投标的，联合体成员存在不良信用记录，视同联合体存在不良信用记录）。</w:t>
            </w:r>
          </w:p>
          <w:p>
            <w:pPr>
              <w:spacing w:line="360" w:lineRule="auto"/>
              <w:rPr>
                <w:color w:val="auto"/>
              </w:rPr>
            </w:pPr>
            <w:r>
              <w:rPr>
                <w:rFonts w:hint="eastAsia"/>
                <w:color w:val="auto"/>
              </w:rPr>
              <w:t>1、查询渠道：</w:t>
            </w:r>
          </w:p>
          <w:p>
            <w:pPr>
              <w:spacing w:line="360" w:lineRule="auto"/>
              <w:rPr>
                <w:color w:val="auto"/>
              </w:rPr>
            </w:pPr>
            <w:r>
              <w:rPr>
                <w:rFonts w:hint="eastAsia"/>
                <w:color w:val="auto"/>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w:t>
            </w:r>
          </w:p>
          <w:p>
            <w:pPr>
              <w:spacing w:line="360" w:lineRule="auto"/>
              <w:rPr>
                <w:color w:val="auto"/>
              </w:rPr>
            </w:pPr>
            <w:r>
              <w:rPr>
                <w:rFonts w:hint="eastAsia"/>
                <w:color w:val="auto"/>
              </w:rPr>
              <w:t>②“中国政府采购网”（www.ccgp.gov.cn）</w:t>
            </w:r>
          </w:p>
          <w:p>
            <w:pPr>
              <w:spacing w:line="360" w:lineRule="auto"/>
              <w:rPr>
                <w:rFonts w:ascii="ˎ̥" w:hAnsi="ˎ̥"/>
                <w:color w:val="auto"/>
              </w:rPr>
            </w:pPr>
            <w:r>
              <w:rPr>
                <w:rFonts w:hint="eastAsia"/>
                <w:color w:val="auto"/>
              </w:rPr>
              <w:t>③“中国社会组织政务服务平台”网站（</w:t>
            </w:r>
            <w:r>
              <w:rPr>
                <w:rFonts w:cs="宋体" w:asciiTheme="minorEastAsia" w:hAnsiTheme="minorEastAsia"/>
                <w:color w:val="auto"/>
                <w:kern w:val="0"/>
                <w:szCs w:val="21"/>
              </w:rPr>
              <w:t>https://chinanpo.mca.gov.cn</w:t>
            </w:r>
            <w:r>
              <w:rPr>
                <w:rFonts w:hint="eastAsia"/>
                <w:color w:val="auto"/>
              </w:rPr>
              <w:t>）（仅查询社会组织）；</w:t>
            </w:r>
          </w:p>
        </w:tc>
      </w:tr>
    </w:tbl>
    <w:p>
      <w:pPr>
        <w:pStyle w:val="36"/>
        <w:ind w:firstLine="0" w:firstLineChars="0"/>
        <w:rPr>
          <w:rFonts w:cs="宋体" w:asciiTheme="majorEastAsia" w:hAnsiTheme="majorEastAsia" w:eastAsiaTheme="majorEastAsia"/>
          <w:b/>
          <w:color w:val="auto"/>
          <w:kern w:val="0"/>
          <w:sz w:val="36"/>
          <w:szCs w:val="36"/>
        </w:rPr>
      </w:pPr>
    </w:p>
    <w:p>
      <w:pPr>
        <w:pStyle w:val="36"/>
        <w:ind w:firstLine="0" w:firstLineChars="0"/>
        <w:rPr>
          <w:rFonts w:cs="宋体" w:asciiTheme="majorEastAsia" w:hAnsiTheme="majorEastAsia" w:eastAsiaTheme="majorEastAsia"/>
          <w:b/>
          <w:color w:val="auto"/>
          <w:kern w:val="0"/>
          <w:sz w:val="36"/>
          <w:szCs w:val="36"/>
        </w:rPr>
      </w:pPr>
    </w:p>
    <w:p>
      <w:pPr>
        <w:pStyle w:val="36"/>
        <w:ind w:firstLine="0" w:firstLineChars="0"/>
        <w:rPr>
          <w:rFonts w:cs="宋体" w:asciiTheme="majorEastAsia" w:hAnsiTheme="majorEastAsia" w:eastAsiaTheme="majorEastAsia"/>
          <w:b/>
          <w:color w:val="auto"/>
          <w:kern w:val="0"/>
          <w:sz w:val="36"/>
          <w:szCs w:val="36"/>
        </w:rPr>
      </w:pPr>
    </w:p>
    <w:p>
      <w:pPr>
        <w:pStyle w:val="36"/>
        <w:ind w:firstLine="0" w:firstLineChars="0"/>
        <w:rPr>
          <w:rFonts w:cs="宋体" w:asciiTheme="majorEastAsia" w:hAnsiTheme="majorEastAsia" w:eastAsiaTheme="majorEastAsia"/>
          <w:b/>
          <w:color w:val="auto"/>
          <w:kern w:val="0"/>
          <w:sz w:val="36"/>
          <w:szCs w:val="36"/>
        </w:rPr>
      </w:pPr>
    </w:p>
    <w:p>
      <w:pPr>
        <w:pStyle w:val="36"/>
        <w:ind w:firstLine="0" w:firstLineChars="0"/>
        <w:rPr>
          <w:rFonts w:cs="宋体" w:asciiTheme="majorEastAsia" w:hAnsiTheme="majorEastAsia" w:eastAsiaTheme="majorEastAsia"/>
          <w:b/>
          <w:color w:val="auto"/>
          <w:kern w:val="0"/>
          <w:sz w:val="36"/>
          <w:szCs w:val="36"/>
        </w:rPr>
      </w:pPr>
    </w:p>
    <w:p>
      <w:pPr>
        <w:pStyle w:val="36"/>
        <w:ind w:firstLine="0" w:firstLineChars="0"/>
        <w:rPr>
          <w:rFonts w:cs="宋体" w:asciiTheme="majorEastAsia" w:hAnsiTheme="majorEastAsia" w:eastAsiaTheme="majorEastAsia"/>
          <w:b/>
          <w:color w:val="auto"/>
          <w:kern w:val="0"/>
          <w:sz w:val="36"/>
          <w:szCs w:val="36"/>
        </w:rPr>
      </w:pPr>
    </w:p>
    <w:p>
      <w:pPr>
        <w:pStyle w:val="36"/>
        <w:ind w:firstLine="0" w:firstLineChars="0"/>
        <w:rPr>
          <w:rFonts w:cs="宋体" w:asciiTheme="majorEastAsia" w:hAnsiTheme="majorEastAsia" w:eastAsiaTheme="majorEastAsia"/>
          <w:b/>
          <w:color w:val="auto"/>
          <w:kern w:val="0"/>
          <w:sz w:val="36"/>
          <w:szCs w:val="36"/>
        </w:rPr>
      </w:pPr>
    </w:p>
    <w:p>
      <w:pPr>
        <w:pStyle w:val="36"/>
        <w:ind w:firstLine="0" w:firstLineChars="0"/>
        <w:rPr>
          <w:rFonts w:cs="宋体" w:asciiTheme="majorEastAsia" w:hAnsiTheme="majorEastAsia" w:eastAsiaTheme="majorEastAsia"/>
          <w:b/>
          <w:color w:val="auto"/>
          <w:kern w:val="0"/>
          <w:sz w:val="36"/>
          <w:szCs w:val="36"/>
        </w:rPr>
      </w:pPr>
    </w:p>
    <w:p>
      <w:pPr>
        <w:pStyle w:val="36"/>
        <w:ind w:firstLine="0" w:firstLineChars="0"/>
        <w:rPr>
          <w:rFonts w:cs="宋体" w:asciiTheme="majorEastAsia" w:hAnsiTheme="majorEastAsia" w:eastAsiaTheme="majorEastAsia"/>
          <w:b/>
          <w:color w:val="auto"/>
          <w:kern w:val="0"/>
          <w:sz w:val="36"/>
          <w:szCs w:val="36"/>
        </w:rPr>
      </w:pPr>
    </w:p>
    <w:p>
      <w:pPr>
        <w:pStyle w:val="36"/>
        <w:ind w:firstLine="0" w:firstLineChars="0"/>
        <w:rPr>
          <w:rFonts w:cs="宋体" w:asciiTheme="majorEastAsia" w:hAnsiTheme="majorEastAsia" w:eastAsiaTheme="majorEastAsia"/>
          <w:b/>
          <w:color w:val="auto"/>
          <w:kern w:val="0"/>
          <w:sz w:val="36"/>
          <w:szCs w:val="36"/>
        </w:rPr>
      </w:pPr>
    </w:p>
    <w:p>
      <w:pPr>
        <w:pStyle w:val="36"/>
        <w:ind w:firstLine="0" w:firstLineChars="0"/>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r>
        <w:rPr>
          <w:rFonts w:hint="eastAsia" w:cs="宋体" w:asciiTheme="majorEastAsia" w:hAnsiTheme="majorEastAsia" w:eastAsiaTheme="majorEastAsia"/>
          <w:b/>
          <w:color w:val="auto"/>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 适用范围</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 本谈判文件仅适用于本次“采购邀请”</w:t>
      </w:r>
      <w:r>
        <w:rPr>
          <w:rFonts w:hint="eastAsia" w:ascii="宋体" w:hAnsi="宋体"/>
          <w:color w:val="auto"/>
          <w:szCs w:val="21"/>
        </w:rPr>
        <w:t xml:space="preserve"> 和“供应商须知前附表”中所述采购项目的采购。</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 本谈判文件解释权属于“采购邀请”</w:t>
      </w:r>
      <w:r>
        <w:rPr>
          <w:rFonts w:hint="eastAsia" w:ascii="宋体" w:hAnsi="宋体"/>
          <w:color w:val="auto"/>
          <w:szCs w:val="21"/>
        </w:rPr>
        <w:t xml:space="preserve"> 和“供应商须知前附表”</w:t>
      </w:r>
      <w:r>
        <w:rPr>
          <w:rFonts w:hint="eastAsia" w:cs="宋体" w:asciiTheme="minorEastAsia" w:hAnsiTheme="minorEastAsia"/>
          <w:color w:val="auto"/>
          <w:kern w:val="0"/>
          <w:szCs w:val="21"/>
        </w:rPr>
        <w:t>所述的采购人、采购代理机构。</w:t>
      </w:r>
    </w:p>
    <w:p>
      <w:pPr>
        <w:pStyle w:val="56"/>
        <w:autoSpaceDE w:val="0"/>
        <w:autoSpaceDN w:val="0"/>
        <w:spacing w:line="360" w:lineRule="auto"/>
        <w:ind w:left="-424" w:leftChars="-202" w:firstLine="424" w:firstLineChars="201"/>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2.定义</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2.1“采购项目”：</w:t>
      </w:r>
      <w:r>
        <w:rPr>
          <w:rFonts w:hint="eastAsia" w:ascii="宋体" w:hAnsi="宋体"/>
          <w:color w:val="auto"/>
          <w:szCs w:val="21"/>
        </w:rPr>
        <w:t xml:space="preserve"> 系指</w:t>
      </w:r>
      <w:r>
        <w:rPr>
          <w:rFonts w:hint="eastAsia" w:cs="宋体" w:asciiTheme="minorEastAsia" w:hAnsiTheme="minorEastAsia"/>
          <w:color w:val="auto"/>
          <w:kern w:val="0"/>
          <w:szCs w:val="21"/>
        </w:rPr>
        <w:t>“供应商须知前附表”中所述的采购项目。</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2.2“采购人、采购代理机构”：</w:t>
      </w:r>
      <w:r>
        <w:rPr>
          <w:rFonts w:hint="eastAsia" w:ascii="宋体" w:hAnsi="宋体"/>
          <w:color w:val="auto"/>
          <w:szCs w:val="21"/>
        </w:rPr>
        <w:t>系指“供应商须知前附表”中所述的组织本次采购的采购招标代理机构和采购人。</w:t>
      </w:r>
    </w:p>
    <w:p>
      <w:pPr>
        <w:pStyle w:val="56"/>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2.3“供应商”系指从采购人、采购代理机构处按规定获取谈判文件，并按照谈判文件向采购人、采购代理机构提交响应文件的供应商。</w:t>
      </w:r>
    </w:p>
    <w:p>
      <w:pPr>
        <w:pStyle w:val="56"/>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2.4“成交供应商”系指成交的供应商。</w:t>
      </w:r>
    </w:p>
    <w:p>
      <w:pPr>
        <w:pStyle w:val="56"/>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2.5“甲方”系指采购人。</w:t>
      </w:r>
    </w:p>
    <w:p>
      <w:pPr>
        <w:pStyle w:val="56"/>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2.6“乙方”系指成交并向采购人提供服务的供应商。</w:t>
      </w:r>
    </w:p>
    <w:p>
      <w:pPr>
        <w:pStyle w:val="56"/>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2.7“服务”系指谈判文件规定的供应商为完成采购项目所需承担的全部义务。</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  “进口产品”：是指通过中国海关报关验放进入中国境内且产自关境外的产品，包括已经进入中国境内的进口产品。详见《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  谈判</w:t>
      </w:r>
      <w:r>
        <w:rPr>
          <w:rFonts w:cs="宋体" w:asciiTheme="minorEastAsia" w:hAnsiTheme="minorEastAsia"/>
          <w:color w:val="auto"/>
          <w:kern w:val="0"/>
          <w:szCs w:val="21"/>
        </w:rPr>
        <w:t>文件列明不允许或未列明允许进口产品参加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的，均视为拒绝进口产品参加</w:t>
      </w:r>
      <w:r>
        <w:rPr>
          <w:rFonts w:hint="eastAsia" w:cs="宋体" w:asciiTheme="minorEastAsia" w:hAnsiTheme="minorEastAsia"/>
          <w:color w:val="auto"/>
          <w:kern w:val="0"/>
          <w:szCs w:val="21"/>
        </w:rPr>
        <w:t>响</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应</w:t>
      </w:r>
      <w:r>
        <w:rPr>
          <w:rFonts w:cs="宋体" w:asciiTheme="minorEastAsia" w:hAnsiTheme="minorEastAsia"/>
          <w:color w:val="auto"/>
          <w:kern w:val="0"/>
          <w:szCs w:val="21"/>
        </w:rPr>
        <w:t>。</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2.8.2   </w:t>
      </w:r>
      <w:r>
        <w:rPr>
          <w:rFonts w:cs="宋体" w:asciiTheme="minorEastAsia" w:hAnsiTheme="minorEastAsia"/>
          <w:color w:val="auto"/>
          <w:kern w:val="0"/>
          <w:szCs w:val="21"/>
        </w:rPr>
        <w:t>如</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文件中已说明，经财政部门审核同意，允许部分或全部产品采购进口产品，</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w:t>
      </w:r>
      <w:r>
        <w:rPr>
          <w:rFonts w:cs="宋体" w:asciiTheme="minorEastAsia" w:hAnsiTheme="minorEastAsia"/>
          <w:color w:val="auto"/>
          <w:kern w:val="0"/>
          <w:szCs w:val="21"/>
        </w:rPr>
        <w:t>既可提供本国产品，也可以提供进口产品。</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 谈判文件中凡标有“★”的条款均系实质性要求条款。</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3.合格的供应商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3.1在中华人民共和国境内注册，具有本项目生产、制造、供应或实施能力，符合、承认并承诺履行本谈判文件各项规定的法人、其他组织或者自然人。</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3.2符合本项目“投标邀请”和“供应商须知前附表”中规定的合格供应商所必须具备的条件。</w:t>
      </w:r>
    </w:p>
    <w:p>
      <w:pPr>
        <w:pStyle w:val="56"/>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政府采购活动中查询及使用供应商信用记录的具体要求为：供应商未被列入失信被执行人、</w:t>
      </w:r>
      <w:r>
        <w:rPr>
          <w:rFonts w:hint="eastAsia" w:cs="仿宋_GB2312" w:asciiTheme="minorEastAsia" w:hAnsiTheme="minorEastAsia"/>
          <w:b/>
          <w:color w:val="auto"/>
          <w:szCs w:val="21"/>
          <w:shd w:val="clear" w:color="auto" w:fill="FFFFFF"/>
        </w:rPr>
        <w:t>税收</w:t>
      </w:r>
      <w:r>
        <w:rPr>
          <w:rFonts w:cs="仿宋_GB2312" w:asciiTheme="minorEastAsia" w:hAnsiTheme="minorEastAsia"/>
          <w:b/>
          <w:color w:val="auto"/>
          <w:szCs w:val="21"/>
          <w:shd w:val="clear" w:color="auto" w:fill="FFFFFF"/>
        </w:rPr>
        <w:t>违法黑名单</w:t>
      </w:r>
      <w:r>
        <w:rPr>
          <w:rFonts w:hint="eastAsia" w:cs="宋体" w:asciiTheme="minorEastAsia" w:hAnsiTheme="minorEastAsia"/>
          <w:color w:val="auto"/>
          <w:kern w:val="0"/>
          <w:szCs w:val="21"/>
        </w:rPr>
        <w:t>、</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严重违法失信社会组织名单（联合体形式投标的，联合体成员存在不良信用记录，视同联合体存在不良信用记录）。</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w:t>
      </w:r>
      <w:r>
        <w:rPr>
          <w:rFonts w:hint="eastAsia" w:asciiTheme="majorEastAsia" w:hAnsiTheme="majorEastAsia" w:eastAsiaTheme="majorEastAsia" w:cstheme="majorEastAsia"/>
          <w:color w:val="auto"/>
          <w:szCs w:val="21"/>
        </w:rPr>
        <w:t>“中国社会组织政务服务平台”网站（</w:t>
      </w:r>
      <w:r>
        <w:rPr>
          <w:rFonts w:hint="eastAsia" w:ascii="宋体" w:hAnsi="宋体" w:eastAsia="宋体" w:cs="宋体"/>
          <w:color w:val="auto"/>
          <w:szCs w:val="21"/>
        </w:rPr>
        <w:t>chinanpo.mca.gov.cn</w:t>
      </w:r>
      <w:r>
        <w:rPr>
          <w:rFonts w:hint="eastAsia" w:asciiTheme="majorEastAsia" w:hAnsiTheme="majorEastAsia" w:eastAsiaTheme="majorEastAsia" w:cstheme="majorEastAsia"/>
          <w:color w:val="auto"/>
          <w:szCs w:val="21"/>
        </w:rPr>
        <w:t>）</w:t>
      </w:r>
      <w:r>
        <w:rPr>
          <w:rFonts w:hint="eastAsia" w:cs="宋体" w:asciiTheme="minorEastAsia" w:hAnsiTheme="minorEastAsia"/>
          <w:color w:val="auto"/>
          <w:kern w:val="0"/>
          <w:szCs w:val="21"/>
        </w:rPr>
        <w:t>；</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3.4单位负责人为同一人或者存在直接控股、管理关系的不同供应商，不得同时参加本项目响应。违反规定的，相关响应均无效。</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3.5为采购项目提供整体设计、规范编制或者项目管理、监理、检测等服务的供应商，不得再参加该采购项目的其他采购活动。</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3.6“投标邀请”和“供应商须知前附表”规定接受联合体投标的，除应符合本章第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3.6.1在响应文件中向采购人提交联合体协议书，明确联合体各方承担的工作和义务；</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3.6.2联合体中有同类资质的供应商按联合体分工承担相同工作的，应当按照资质等级较低的供应商确定资质等级；</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3.6.3采购人根据采购项目的特殊要求规定供应商特定条件的，联合体各方中至少应当有一方符合采购规定的特定条件；</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3.6.4联合体各方不得再单独参加或者与其他供应商另外组成联合体参加同一合同项下的政府采购活动；</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hint="eastAsia"/>
          <w:color w:val="auto"/>
        </w:rPr>
        <w:t>。</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3.7法律、行政法规规定的其他条件。</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4 .合格的货物和服务</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4.2供应商所提供的服务应当没有侵犯任何第三方的知识产权、技术秘密等合法权利。</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4.4</w:t>
      </w:r>
      <w:r>
        <w:rPr>
          <w:rFonts w:hint="eastAsia"/>
          <w:color w:val="auto"/>
          <w:szCs w:val="21"/>
          <w:shd w:val="clear" w:color="auto" w:fill="FFFFFF"/>
        </w:rPr>
        <w:t>根据《强制性产品认证管理规定》（质检总局第117号令）要求，</w:t>
      </w:r>
      <w:r>
        <w:rPr>
          <w:rFonts w:hint="eastAsia" w:cs="宋体" w:asciiTheme="minorEastAsia" w:hAnsiTheme="minorEastAsia"/>
          <w:color w:val="auto"/>
          <w:kern w:val="0"/>
          <w:szCs w:val="21"/>
        </w:rPr>
        <w:t>如供应商所投产品被列入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4.5根据财政部、工业和信息化部、国家质检总局、国家认监委联合发布</w:t>
      </w:r>
      <w:bookmarkStart w:id="0" w:name="baidusnap0"/>
      <w:bookmarkEnd w:id="0"/>
      <w:r>
        <w:rPr>
          <w:rFonts w:hint="eastAsia" w:cs="宋体" w:asciiTheme="minorEastAsia" w:hAnsiTheme="minorEastAsia"/>
          <w:color w:val="auto"/>
          <w:kern w:val="0"/>
          <w:szCs w:val="21"/>
        </w:rPr>
        <w:t>《关于信息安全产品实施政府采购的通知》（财库[2010]48号）要求，供应商所投产品如被列入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5 .谈判费用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不论采购的结果如何，供应商均应自行承担所有与谈判有关的全部费用，采购人、采购代理机构在任何情况下均无义务和责任承担这些费用。</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6 .信息发布</w:t>
      </w:r>
    </w:p>
    <w:p>
      <w:pPr>
        <w:pStyle w:val="56"/>
        <w:autoSpaceDE w:val="0"/>
        <w:autoSpaceDN w:val="0"/>
        <w:spacing w:line="360" w:lineRule="auto"/>
        <w:contextualSpacing/>
        <w:rPr>
          <w:rFonts w:cs="宋体" w:asciiTheme="minorEastAsia" w:hAnsiTheme="minorEastAsia"/>
          <w:bCs/>
          <w:color w:val="auto"/>
          <w:kern w:val="0"/>
          <w:szCs w:val="21"/>
        </w:rPr>
      </w:pPr>
      <w:r>
        <w:rPr>
          <w:rFonts w:hint="eastAsia" w:cs="宋体" w:asciiTheme="minorEastAsia" w:hAnsiTheme="minorEastAsia"/>
          <w:bCs/>
          <w:color w:val="auto"/>
          <w:kern w:val="0"/>
          <w:szCs w:val="21"/>
        </w:rPr>
        <w:t>本采购项目需要公开的有关信息，包括谈判公告、谈判文件澄清或修改公告、成交公告以及延长响应文件提交截止时间等与采购活动有关的通知，采购人、采购代理机构均将通过在《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7.代理费用</w:t>
      </w:r>
    </w:p>
    <w:p>
      <w:pPr>
        <w:pStyle w:val="56"/>
        <w:autoSpaceDE w:val="0"/>
        <w:autoSpaceDN w:val="0"/>
        <w:spacing w:line="360" w:lineRule="auto"/>
        <w:contextualSpacing/>
        <w:rPr>
          <w:rFonts w:cs="宋体" w:asciiTheme="minorEastAsia" w:hAnsiTheme="minorEastAsia"/>
          <w:color w:val="auto"/>
          <w:kern w:val="0"/>
          <w:szCs w:val="21"/>
        </w:rPr>
      </w:pPr>
      <w:r>
        <w:rPr>
          <w:rFonts w:hint="eastAsia" w:ascii="宋体" w:hAnsi="宋体" w:cs="宋体"/>
          <w:color w:val="auto"/>
          <w:szCs w:val="21"/>
        </w:rPr>
        <w:t>招标代理服务费由中标人支付，招标代理服务费参考《国家计委〈计价格〔</w:t>
      </w:r>
      <w:r>
        <w:rPr>
          <w:rFonts w:ascii="宋体" w:hAnsi="宋体" w:cs="宋体"/>
          <w:color w:val="auto"/>
          <w:szCs w:val="21"/>
        </w:rPr>
        <w:t>2002</w:t>
      </w:r>
      <w:r>
        <w:rPr>
          <w:rFonts w:hint="eastAsia" w:ascii="宋体" w:hAnsi="宋体" w:cs="宋体"/>
          <w:color w:val="auto"/>
          <w:szCs w:val="21"/>
        </w:rPr>
        <w:t>〕</w:t>
      </w:r>
      <w:r>
        <w:rPr>
          <w:rFonts w:ascii="宋体" w:hAnsi="宋体" w:cs="宋体"/>
          <w:color w:val="auto"/>
          <w:szCs w:val="21"/>
        </w:rPr>
        <w:t>1980</w:t>
      </w:r>
      <w:r>
        <w:rPr>
          <w:rFonts w:hint="eastAsia" w:ascii="宋体" w:hAnsi="宋体" w:cs="宋体"/>
          <w:color w:val="auto"/>
          <w:szCs w:val="21"/>
        </w:rPr>
        <w:t>号〉》及《国家发展改革委办公厅〈发改办价格〔</w:t>
      </w:r>
      <w:r>
        <w:rPr>
          <w:rFonts w:ascii="宋体" w:hAnsi="宋体" w:cs="宋体"/>
          <w:color w:val="auto"/>
          <w:szCs w:val="21"/>
        </w:rPr>
        <w:t>2003</w:t>
      </w:r>
      <w:r>
        <w:rPr>
          <w:rFonts w:hint="eastAsia" w:ascii="宋体" w:hAnsi="宋体" w:cs="宋体"/>
          <w:color w:val="auto"/>
          <w:szCs w:val="21"/>
        </w:rPr>
        <w:t>〕</w:t>
      </w:r>
      <w:r>
        <w:rPr>
          <w:rFonts w:ascii="宋体" w:hAnsi="宋体" w:cs="宋体"/>
          <w:color w:val="auto"/>
          <w:szCs w:val="21"/>
        </w:rPr>
        <w:t>857</w:t>
      </w:r>
      <w:r>
        <w:rPr>
          <w:rFonts w:hint="eastAsia" w:ascii="宋体" w:hAnsi="宋体" w:cs="宋体"/>
          <w:color w:val="auto"/>
          <w:szCs w:val="21"/>
        </w:rPr>
        <w:t>号〉》之有关规定内容收取。</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8 .其他</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二、谈判文件说明</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9.谈判文件构成</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9.1谈判文件由以下部分组成：</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（1）采购邀请</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（2）采购需求</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（3）供应商须知前附表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（4）供应商须知</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（6）对响应文件审查与评审</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（7）合同书格式及合同条款</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（8）响应文件有关格式</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（9）本项目谈判文件的澄清、答复、修改、补充内容（如有的话）</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r>
        <w:rPr>
          <w:rFonts w:hint="eastAsia" w:cs="宋体" w:asciiTheme="minorEastAsia" w:hAnsiTheme="minorEastAsia"/>
          <w:color w:val="auto"/>
          <w:kern w:val="0"/>
          <w:szCs w:val="21"/>
        </w:rPr>
        <w:t>响应文件须单独提供廉政方案，并由单位法定代表人（单位负责人）签字，否则将否决其投标。</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10 .谈判文件的澄清或修改</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10.1在谈判响应截止期前，无论出于何种原因，采购人可主动地或在解答供应商提出的澄清问题时对谈判文件进行修改。</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10.3澄清或修改公告的内容为谈判文件的组成部分，并对供应商具有约束力。当谈判文件与澄清或修改公告就同一内容的表述不一致时，以最后发出的文件内容为准。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三、响应文件的编制</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11 .响应文件的语言及计量单位</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11.2响应文件计量单位，谈判文件已有明确规定的，使用谈判文件规定的计量单位；谈判文件没有规定的，一律采用中华人民共和国法定计量单位。</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12 .报价</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12.1本次谈判项目的报价均以人民币为计算单位。</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12.2采购人不得向供应商索要或者接受其给予的赠品、回扣或者与采购无关的其他商品、服务。</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12.3供应商应对项目要求的全部内容进行报价，少报漏报将导致其响应为非实质性响应予以拒绝。</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12.5本项目所涉及的运输、施工、安装、集成、调试、验收、备品和工具等费用均包含在响应报价中。</w:t>
      </w:r>
      <w:r>
        <w:rPr>
          <w:rFonts w:hint="eastAsia" w:cs="宋体" w:asciiTheme="minorEastAsia" w:hAnsiTheme="minorEastAsia"/>
          <w:color w:val="auto"/>
          <w:kern w:val="0"/>
          <w:szCs w:val="21"/>
        </w:rPr>
        <w:t>单独承诺响应报价包含对在一切产生的费用，以及对在运输安装过程中的一切安全问题负责，否则为无效投标。</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12.6报价不得高于本项目预算金额，且不低于成本价。供应商的响应报价高于预算金额（项目控制金额上限）的，该供应商的响应文件将被视为非实质性响应予以拒绝。</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12.7最低报价不能做为成交的保证。</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13 .响应文件有效期</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13.3成交供应商的响应文件作为项目合同的附件，其有效期至成交供应商全部合同义务履行完毕为止。</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14.响应文件构成</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14.1响应文件的构成应符合法律法规及谈判文件的要求。</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14.2供应商应当按照谈判文件的要求编制响应文件。响应文件应当对谈判文件提出的要求和条件作出明确响应</w:t>
      </w:r>
      <w:r>
        <w:rPr>
          <w:rFonts w:hint="eastAsia" w:cs="宋体" w:asciiTheme="minorEastAsia" w:hAnsiTheme="minorEastAsia"/>
          <w:color w:val="auto"/>
          <w:kern w:val="0"/>
          <w:szCs w:val="21"/>
        </w:rPr>
        <w:t>，且须承诺在合同履行期限内完成，并保证验收合格，否则为无效投标。</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14.3响应文件由资格证明材料、符合性证明材料、其它材料等组成。</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14.5供应商登录许昌公共资源交易系统下载“许昌投标文件制作系统SEARUN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”的文件用于电子响应使用。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电子响应文件制作技术咨询：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15.响应文件格式</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15.1响应文件应参照谈判文件第七部分（响应文件有关格式）的内容要求、编排顺序和格式要求，供应商应按照以上要求将响应文件以A4幅面编上唯一的连贯页码，并在响应文件封面上注明：所投项目名称、供应商名称等字样。</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15.2供应商应按谈判文件提供的格式编写响应文件。谈判文件未提供标准格式的供应商可自行拟定。</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16.谈判保证金</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16.1本项目不收取谈判保证金。</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16.2供应商应提供谈判承诺函。</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17.谈判文件的数量和签署盖章</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17.1供应商应提交响应文件份数见“供应商须知前附表”。</w:t>
      </w:r>
    </w:p>
    <w:p>
      <w:pPr>
        <w:pStyle w:val="56"/>
        <w:autoSpaceDE w:val="0"/>
        <w:autoSpaceDN w:val="0"/>
        <w:spacing w:line="360" w:lineRule="auto"/>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17.2在谈判文件中已明示需盖章及签名之处，电子响应文件应按谈判文件要求加盖供应商电子印章和法人电子印章或授权代表电子印章。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四、响应文件的提交</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18.谈判响应截止时间</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18.1供应商必须在“采购邀请”和“供应商须知前附表”中规定的响应截止时间前，将</w:t>
      </w:r>
      <w:r>
        <w:rPr>
          <w:rFonts w:hint="eastAsia" w:cs="仿宋_GB2312" w:asciiTheme="minorEastAsia" w:hAnsiTheme="minorEastAsia"/>
          <w:color w:val="auto"/>
          <w:szCs w:val="21"/>
        </w:rPr>
        <w:t>加密电子响应文件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r>
        <w:rPr>
          <w:rFonts w:hint="eastAsia" w:cs="宋体" w:asciiTheme="minorEastAsia" w:hAnsiTheme="minorEastAsia"/>
          <w:color w:val="auto"/>
          <w:kern w:val="0"/>
          <w:szCs w:val="21"/>
        </w:rPr>
        <w:t>。</w:t>
      </w:r>
      <w:r>
        <w:rPr>
          <w:rFonts w:hint="eastAsia" w:cs="微软雅黑"/>
          <w:color w:val="auto"/>
        </w:rPr>
        <w:t>在提交截止时间以后上传的响应文件，</w:t>
      </w:r>
      <w:r>
        <w:rPr>
          <w:rFonts w:hint="eastAsia" w:cs="宋体" w:asciiTheme="minorEastAsia" w:hAnsiTheme="minorEastAsia"/>
          <w:color w:val="auto"/>
          <w:kern w:val="0"/>
          <w:szCs w:val="21"/>
        </w:rPr>
        <w:t>采购人、采购代理机构</w:t>
      </w:r>
      <w:r>
        <w:rPr>
          <w:rFonts w:hint="eastAsia" w:cs="微软雅黑"/>
          <w:color w:val="auto"/>
        </w:rPr>
        <w:t>将予以拒绝。</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19.迟交的响应文件</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谈判响应文件截止时间之后上传的响应文件，采购人、采购代理机构将将拒绝接收。</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20.响应文件的修改和撤回</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20.1供应商在谈判响应截止时间前，对所提交的响应文件进行补充、修改或者撤回的，须书面通知采购人和采购代理机构。</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供应商应当在谈判响应截止时间前完成电子响应文件的提交，可以补充、修改或撤回。谈判响应截止时间前未完成电子响应文件提交的，视为撤回响应文件。</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20.2供应商补充、修改的内容并作为响应文件的组成部分。补充或修改应当按谈判文件要求签署、盖章、提交，并应注明“修改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20.3供应商不得在响应有效期内撤销响应文件，否则供应商将承担违背响应承诺函的责任追究。</w:t>
      </w:r>
    </w:p>
    <w:p>
      <w:pPr>
        <w:pStyle w:val="56"/>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21.除供应商须知前附表另有规定外，供应商所提交的电子响应文件不予退还。</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五、谈判和评审</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22.响应文件解密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22.1采购人将按谈判文件规定的</w:t>
      </w:r>
      <w:r>
        <w:rPr>
          <w:rFonts w:hint="eastAsia" w:cs="仿宋_GB2312" w:asciiTheme="minorEastAsia" w:hAnsiTheme="minorEastAsia"/>
          <w:color w:val="auto"/>
          <w:szCs w:val="21"/>
        </w:rPr>
        <w:t>谈判响应截止时间</w:t>
      </w:r>
      <w:r>
        <w:rPr>
          <w:rFonts w:hint="eastAsia" w:cs="宋体" w:asciiTheme="minorEastAsia" w:hAnsiTheme="minorEastAsia"/>
          <w:color w:val="auto"/>
          <w:kern w:val="0"/>
          <w:szCs w:val="21"/>
        </w:rPr>
        <w:t>和地点解密电子响应文件。由代理机构主持，供应商无须到现场。</w:t>
      </w:r>
    </w:p>
    <w:p>
      <w:pPr>
        <w:pStyle w:val="56"/>
        <w:autoSpaceDE w:val="0"/>
        <w:autoSpaceDN w:val="0"/>
        <w:spacing w:line="360" w:lineRule="auto"/>
        <w:contextualSpacing/>
        <w:rPr>
          <w:rFonts w:cs="宋体" w:asciiTheme="minorEastAsia" w:hAnsiTheme="minorEastAsia"/>
          <w:color w:val="auto"/>
          <w:kern w:val="0"/>
          <w:szCs w:val="21"/>
        </w:rPr>
      </w:pPr>
      <w:r>
        <w:rPr>
          <w:rFonts w:hint="eastAsia" w:cs="仿宋_GB2312" w:asciiTheme="minorEastAsia" w:hAnsiTheme="minorEastAsia"/>
          <w:color w:val="auto"/>
          <w:szCs w:val="21"/>
        </w:rPr>
        <w:t>22.2谈判响应截止时间</w:t>
      </w:r>
      <w:r>
        <w:rPr>
          <w:rFonts w:hint="eastAsia" w:cs="宋体" w:asciiTheme="minorEastAsia" w:hAnsiTheme="minorEastAsia"/>
          <w:color w:val="auto"/>
          <w:kern w:val="0"/>
          <w:szCs w:val="21"/>
        </w:rPr>
        <w:t>，由代理机构开通远程不见面开标大厅及开启“文字互动”等功能；供应商、代理机构进行电子响应文件的解密。解密后</w:t>
      </w:r>
      <w:r>
        <w:rPr>
          <w:rFonts w:hint="eastAsia" w:asciiTheme="minorEastAsia" w:hAnsiTheme="minorEastAsia"/>
          <w:color w:val="auto"/>
          <w:szCs w:val="21"/>
        </w:rPr>
        <w:t>供应商选择功能栏“开标记录”按钮可查看</w:t>
      </w:r>
      <w:r>
        <w:rPr>
          <w:rFonts w:hint="eastAsia" w:cs="宋体" w:asciiTheme="minorEastAsia" w:hAnsiTheme="minorEastAsia"/>
          <w:color w:val="auto"/>
          <w:kern w:val="0"/>
          <w:szCs w:val="21"/>
        </w:rPr>
        <w:t>供应商名称、修改和撤回投标的通知（如有的话）和谈判文件规定的需要宣布的其他内容。</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22.2.1电子响应文件的解密：全流程电子化交易项目电子响应文件采用双重加密。解密需分标段进行两次解密。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22.2.2供应商解密：供应商使用本单位CA数字证书进行远程解密。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22.2.3采购代理机构解密：</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电子响应文件到达交易系统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56"/>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22.2.4供应商未在规定时间内解密或</w:t>
      </w:r>
      <w:r>
        <w:rPr>
          <w:rFonts w:hint="eastAsia" w:cs="宋体" w:asciiTheme="minorEastAsia" w:hAnsiTheme="minorEastAsia"/>
          <w:color w:val="auto"/>
          <w:kern w:val="0"/>
          <w:szCs w:val="21"/>
        </w:rPr>
        <w:t>因供应商原因解密失败的，其响应文件将被拒绝。</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22.3供应商不足3家的，本项目谈判活动终止。（如符合《《政府采购非招标采购方式管理办法》》（财政部令第74号）第二十七条第二款中的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22.4响应文件解密过程由采购代理机构负责记录。</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6"/>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22.6响应文件</w:t>
      </w:r>
      <w:r>
        <w:rPr>
          <w:rFonts w:hint="eastAsia" w:hAnsi="宋体"/>
          <w:color w:val="auto"/>
          <w:szCs w:val="21"/>
        </w:rPr>
        <w:t>解密活动结束时，供应商应在《开标记录表》上进行电子签章。供应商未签章的，视同认可解密结果。</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23.谈判小组组成</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23.1采购人将依法组建谈判小组，谈判小组</w:t>
      </w:r>
      <w:r>
        <w:rPr>
          <w:rFonts w:ascii="ˎ̥" w:hAnsi="ˎ̥"/>
          <w:color w:val="auto"/>
        </w:rPr>
        <w:t>由采购人代表和评审专家共3人以上单数组成，其中评审专家人数不得少于竞争性谈判小组成员总数</w:t>
      </w:r>
      <w:r>
        <w:rPr>
          <w:rFonts w:hint="eastAsia" w:cs="宋体" w:asciiTheme="minorEastAsia" w:hAnsiTheme="minorEastAsia"/>
          <w:color w:val="auto"/>
          <w:kern w:val="0"/>
          <w:szCs w:val="21"/>
        </w:rPr>
        <w:t>的三分之二。评审专家依法从政府采购评审专家库中随机抽取。</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23.1.1采购人将依法组建谈判小组，谈判小组由评审专家组成，成员人数应当为</w:t>
      </w:r>
      <w:r>
        <w:rPr>
          <w:rFonts w:ascii="ˎ̥" w:hAnsi="ˎ̥"/>
          <w:color w:val="auto"/>
        </w:rPr>
        <w:t>3人以上单数组成</w:t>
      </w:r>
      <w:r>
        <w:rPr>
          <w:rFonts w:hint="eastAsia" w:cs="宋体" w:asciiTheme="minorEastAsia" w:hAnsiTheme="minorEastAsia"/>
          <w:color w:val="auto"/>
          <w:kern w:val="0"/>
          <w:szCs w:val="21"/>
        </w:rPr>
        <w:t>。评审专家依法从政府采购评审专家库中随机抽取。</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23.1.2达到公开</w:t>
      </w:r>
      <w:r>
        <w:rPr>
          <w:rFonts w:ascii="ˎ̥" w:hAnsi="ˎ̥"/>
          <w:color w:val="auto"/>
        </w:rPr>
        <w:t>招标数额标准的货物或者服务采购项目，或者达到招标规模标准的政府采购工程，竞争性谈判小组应当由5人以上单数组成</w:t>
      </w:r>
      <w:r>
        <w:rPr>
          <w:rFonts w:hint="eastAsia" w:ascii="ˎ̥" w:hAnsi="ˎ̥"/>
          <w:color w:val="auto"/>
        </w:rPr>
        <w:t>。</w:t>
      </w:r>
    </w:p>
    <w:p>
      <w:pPr>
        <w:pStyle w:val="56"/>
        <w:numPr>
          <w:ilvl w:val="1"/>
          <w:numId w:val="6"/>
        </w:numPr>
        <w:autoSpaceDE w:val="0"/>
        <w:autoSpaceDN w:val="0"/>
        <w:spacing w:line="360" w:lineRule="auto"/>
        <w:ind w:firstLineChars="0"/>
        <w:contextualSpacing/>
        <w:rPr>
          <w:rFonts w:ascii="ˎ̥" w:hAnsi="ˎ̥"/>
          <w:vanish/>
          <w:color w:val="auto"/>
        </w:rPr>
      </w:pP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23.2采购人</w:t>
      </w:r>
      <w:r>
        <w:rPr>
          <w:rFonts w:ascii="ˎ̥" w:hAnsi="ˎ̥"/>
          <w:color w:val="auto"/>
        </w:rPr>
        <w:t>不得以评审专家身份参加本部门或本单位采购项目的评审</w:t>
      </w:r>
      <w:r>
        <w:rPr>
          <w:rFonts w:hint="eastAsia" w:cs="宋体" w:asciiTheme="minorEastAsia" w:hAnsiTheme="minorEastAsia"/>
          <w:color w:val="auto"/>
          <w:kern w:val="0"/>
          <w:szCs w:val="21"/>
        </w:rPr>
        <w:t>。</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23.3谈判小组成员与供应商存在下列利害关系之一的,应当回避：</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23.3.1参加采购活动前三年内,与供应商存在劳动关系,或者担任过供应商的董事、监事,或者是供应商的控股股东或实际控制人；</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23.3.2与供应商的法定代表人或者负责人有夫妻、直系血亲、三代以内旁系血亲或者近姻亲关系；</w:t>
      </w:r>
    </w:p>
    <w:p>
      <w:pPr>
        <w:pStyle w:val="56"/>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23.3.3与供应</w:t>
      </w:r>
      <w:r>
        <w:rPr>
          <w:rFonts w:hint="eastAsia" w:ascii="ˎ̥" w:hAnsi="ˎ̥"/>
          <w:color w:val="auto"/>
        </w:rPr>
        <w:t>商有其他可能影响政府采购活动公平、公正进行的关系。</w:t>
      </w:r>
    </w:p>
    <w:p>
      <w:pPr>
        <w:pStyle w:val="56"/>
        <w:numPr>
          <w:ilvl w:val="0"/>
          <w:numId w:val="7"/>
        </w:numPr>
        <w:autoSpaceDE w:val="0"/>
        <w:autoSpaceDN w:val="0"/>
        <w:spacing w:line="360" w:lineRule="auto"/>
        <w:ind w:firstLineChars="0"/>
        <w:contextualSpacing/>
        <w:rPr>
          <w:rFonts w:cs="宋体" w:asciiTheme="minorEastAsia" w:hAnsiTheme="minorEastAsia"/>
          <w:vanish/>
          <w:color w:val="auto"/>
          <w:kern w:val="0"/>
          <w:szCs w:val="21"/>
        </w:rPr>
      </w:pP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23.4评审专家发现本人与参加采购活动的供应商有利害关系的,应当主动提出回避。采购人或者采购代理机构发现评审专家与参加采购活动的供应商有利害关系的,应当要求其回避。</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23.5采购人不得担任谈判小组组长。</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23.6谈判小组成员名单在成交结果公告前应当保密。</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24.资格审查和符合性审查</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24.1资格审查：谈判小组依据有关法律法规和谈判文件的规定对供应商的资格进行审查。</w:t>
      </w:r>
    </w:p>
    <w:p>
      <w:pPr>
        <w:pStyle w:val="56"/>
        <w:autoSpaceDE w:val="0"/>
        <w:autoSpaceDN w:val="0"/>
        <w:spacing w:line="360" w:lineRule="auto"/>
        <w:ind w:firstLine="422"/>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本项目具体资格审查详见（第六章 资格审查与评审）</w:t>
      </w:r>
      <w:r>
        <w:rPr>
          <w:rFonts w:hint="eastAsia" w:cs="宋体" w:asciiTheme="minorEastAsia" w:hAnsiTheme="minorEastAsia"/>
          <w:color w:val="auto"/>
          <w:kern w:val="0"/>
          <w:szCs w:val="21"/>
        </w:rPr>
        <w:t>。</w:t>
      </w:r>
    </w:p>
    <w:p>
      <w:pPr>
        <w:pStyle w:val="56"/>
        <w:numPr>
          <w:ilvl w:val="0"/>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6"/>
        <w:numPr>
          <w:ilvl w:val="0"/>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6"/>
        <w:numPr>
          <w:ilvl w:val="1"/>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24.2符合性审查：依据谈判文件的规定，从响应文件的有效性、完整性和对谈判文件的响应程度进行审查，以确定是否对谈判文件的全部实质性要求作出响应。</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25.响应文件的澄清</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25.1谈判小</w:t>
      </w:r>
      <w:r>
        <w:rPr>
          <w:rFonts w:ascii="ˎ̥" w:hAnsi="ˎ̥"/>
          <w:color w:val="auto"/>
        </w:rPr>
        <w:t>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rPr>
        <w:t>。</w:t>
      </w:r>
      <w:r>
        <w:rPr>
          <w:rFonts w:ascii="ˎ̥" w:hAnsi="ˎ̥"/>
          <w:color w:val="auto"/>
        </w:rPr>
        <w:t>供应商的澄清、说明或者更正不得超出响应文件的范围或者改变响应文件的实质性内容</w:t>
      </w:r>
      <w:r>
        <w:rPr>
          <w:rFonts w:hint="eastAsia" w:ascii="ˎ̥" w:hAnsi="ˎ̥"/>
          <w:color w:val="auto"/>
        </w:rPr>
        <w:t>。</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25.2供应商的澄清、说明或者更正应当采用书面</w:t>
      </w:r>
      <w:r>
        <w:rPr>
          <w:rFonts w:hint="eastAsia" w:ascii="ˎ̥" w:hAnsi="ˎ̥"/>
          <w:color w:val="auto"/>
        </w:rPr>
        <w:t>形式，</w:t>
      </w:r>
      <w:r>
        <w:rPr>
          <w:rFonts w:ascii="ˎ̥" w:hAnsi="ˎ̥"/>
          <w:color w:val="auto"/>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rPr>
        <w:t>。供应商的澄清、说明或者补正不得超出</w:t>
      </w:r>
      <w:r>
        <w:rPr>
          <w:rFonts w:hint="eastAsia" w:cs="宋体" w:asciiTheme="minorEastAsia" w:hAnsiTheme="minorEastAsia"/>
          <w:color w:val="auto"/>
          <w:kern w:val="0"/>
          <w:szCs w:val="21"/>
        </w:rPr>
        <w:t>投标文件的范围或者改变响应文件的实质性内容。</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25.3供应商的澄清文件是其响应文件的组成部分。</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26.响应文件报价出现前后不一致的修正</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26.1大写金额和小写金额不一致的，以大写金额为准；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26.2单价金额小数点或者百分比有明显错位的，以开标一览表的总价为准，并修改单价；</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27.响应无效情形</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27.1响应文件属下列情况之一的，按照无效响应处理：</w:t>
      </w: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27.1.1未按照谈判文件的规定提交谈判承诺函的；</w:t>
      </w:r>
    </w:p>
    <w:p>
      <w:pPr>
        <w:pStyle w:val="56"/>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27.1.2响应文件未按谈判文件要求签署、盖章的；</w:t>
      </w:r>
    </w:p>
    <w:p>
      <w:pPr>
        <w:pStyle w:val="56"/>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27.1.3不具备谈判文件中规定的资格要求的；</w:t>
      </w:r>
    </w:p>
    <w:p>
      <w:pPr>
        <w:pStyle w:val="56"/>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27.1.4报价超过谈判文件中规定的预算金额的；</w:t>
      </w:r>
    </w:p>
    <w:p>
      <w:pPr>
        <w:pStyle w:val="56"/>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27.1.5投标文件内容模糊清，无法辨认的；</w:t>
      </w:r>
    </w:p>
    <w:p>
      <w:pPr>
        <w:pStyle w:val="56"/>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27.1.6响应</w:t>
      </w:r>
      <w:r>
        <w:rPr>
          <w:rFonts w:cs="宋体" w:asciiTheme="minorEastAsia" w:hAnsiTheme="minorEastAsia"/>
          <w:color w:val="auto"/>
          <w:kern w:val="0"/>
          <w:szCs w:val="21"/>
        </w:rPr>
        <w:t>文件含有采购人不能接受的附加条件的</w:t>
      </w:r>
      <w:r>
        <w:rPr>
          <w:rFonts w:hint="eastAsia" w:cs="宋体" w:asciiTheme="minorEastAsia" w:hAnsiTheme="minorEastAsia"/>
          <w:color w:val="auto"/>
          <w:kern w:val="0"/>
          <w:szCs w:val="21"/>
        </w:rPr>
        <w:t>。</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27.2有下列情形之一的，视为供应商串通谈判，其响应无效：</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27.2.1不同供应商的响应文件由同一单位或者个人编制；</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27.2.2不同供应商委托同一单位或者个人办理响应事宜；</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27.2.3不同供应商的响应文件载明的项目管理成员或者联系人员为同一人；</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27.2.4不同供应商的响应文件异常一致或者投标报价呈规律性差异；</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27.2.5不同供应商的响应文件相互混装。</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27.3按照《关于推进全流程电子化交易和在线监管工作有关问题的通知》（许公管办[2019]3号）规定，不同供应商电子响应文件制作硬件特征码（网卡MAC地址、CPU序号、硬盘序列号）均一致时，视为‘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的</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文件由同一单位或者个人编制</w:t>
      </w:r>
      <w:r>
        <w:rPr>
          <w:rFonts w:hint="eastAsia" w:cs="宋体" w:asciiTheme="minorEastAsia" w:hAnsiTheme="minorEastAsia"/>
          <w:color w:val="auto"/>
          <w:kern w:val="0"/>
          <w:szCs w:val="21"/>
        </w:rPr>
        <w:t>’或‘</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委托同一单位或者个人办理</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事宜</w:t>
      </w:r>
      <w:r>
        <w:rPr>
          <w:rFonts w:hint="eastAsia" w:cs="宋体" w:asciiTheme="minorEastAsia" w:hAnsiTheme="minorEastAsia"/>
          <w:color w:val="auto"/>
          <w:kern w:val="0"/>
          <w:szCs w:val="21"/>
        </w:rPr>
        <w:t>’，其谈判响应无效。</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27.4</w:t>
      </w:r>
      <w:r>
        <w:rPr>
          <w:rFonts w:cs="宋体" w:asciiTheme="minorEastAsia" w:hAnsiTheme="minorEastAsia"/>
          <w:color w:val="auto"/>
          <w:kern w:val="0"/>
          <w:szCs w:val="21"/>
        </w:rPr>
        <w:t>法律、法规和</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文件规定的其他无效情形</w:t>
      </w:r>
      <w:r>
        <w:rPr>
          <w:rFonts w:hint="eastAsia" w:cs="宋体" w:asciiTheme="minorEastAsia" w:hAnsiTheme="minorEastAsia"/>
          <w:color w:val="auto"/>
          <w:kern w:val="0"/>
          <w:szCs w:val="21"/>
        </w:rPr>
        <w:t>。</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28.响应文件评审与谈判</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w:t>
      </w:r>
      <w:r>
        <w:rPr>
          <w:rFonts w:cs="宋体" w:asciiTheme="minorEastAsia" w:hAnsiTheme="minorEastAsia"/>
          <w:color w:val="auto"/>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rPr>
        <w:t>。</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28.2谈判小组所有成员应当集中与单一供应商分别进行谈判，并给予所有参加谈判的供应商平等的谈判机会。</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28.3在谈判中，谈判的任何一方不得透露与谈判有关的其他供应商的技术资料、价格和其他信息。</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28.7最后报价是供应商响应文件的有效组成部分。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28.8已提交响应文件的供应商，在提交最后报价之前，可以根据谈判情况退出谈判。</w:t>
      </w:r>
    </w:p>
    <w:p>
      <w:pPr>
        <w:pStyle w:val="56"/>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28.9按照《</w:t>
      </w:r>
      <w:r>
        <w:rPr>
          <w:rFonts w:hint="eastAsia" w:ascii="ˎ̥" w:hAnsi="ˎ̥"/>
          <w:color w:val="auto"/>
        </w:rPr>
        <w:t>关于推进全流程电子化交易和在线监管工作有关问题的通知》（许公管办[2019]3号）规定，评审专家应严格按照要求查看“硬件特征码相” 关信息并进行评审。</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29.评审方法与提出成交候选人</w:t>
      </w:r>
    </w:p>
    <w:p>
      <w:pPr>
        <w:pStyle w:val="56"/>
        <w:autoSpaceDE w:val="0"/>
        <w:autoSpaceDN w:val="0"/>
        <w:spacing w:line="360" w:lineRule="auto"/>
        <w:contextualSpacing/>
        <w:rPr>
          <w:rFonts w:cs="宋体" w:asciiTheme="minorEastAsia" w:hAnsiTheme="minorEastAsia"/>
          <w:b/>
          <w:color w:val="auto"/>
          <w:kern w:val="0"/>
          <w:szCs w:val="21"/>
        </w:rPr>
      </w:pPr>
      <w:r>
        <w:rPr>
          <w:rFonts w:ascii="ˎ̥" w:hAnsi="ˎ̥"/>
          <w:color w:val="auto"/>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六、确定成交供应商和授予合同</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30.确定成交供应商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30.1采购人应当在收到评审报告后5个工作日内，从评审报告提出的成交候选人中，根据质量和服务均能满足采购文件实质性响应要求且最后报价最低的原则确定成交供应商。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30.2采购人</w:t>
      </w:r>
      <w:r>
        <w:rPr>
          <w:rFonts w:ascii="ˎ̥" w:hAnsi="ˎ̥"/>
          <w:color w:val="auto"/>
        </w:rPr>
        <w:t>逾期未确定成交供应商且不提出异议的，视为确定评审报告提出的最后报价最低的供应商为成交供应商</w:t>
      </w:r>
      <w:r>
        <w:rPr>
          <w:rFonts w:hint="eastAsia" w:ascii="ˎ̥" w:hAnsi="ˎ̥"/>
          <w:color w:val="auto"/>
        </w:rPr>
        <w:t>。</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31.终止采购活动的情形</w:t>
      </w:r>
    </w:p>
    <w:p>
      <w:pPr>
        <w:pStyle w:val="56"/>
        <w:autoSpaceDE w:val="0"/>
        <w:autoSpaceDN w:val="0"/>
        <w:spacing w:line="360" w:lineRule="auto"/>
        <w:contextualSpacing/>
        <w:rPr>
          <w:rFonts w:cs="宋体" w:asciiTheme="minorEastAsia" w:hAnsiTheme="minorEastAsia"/>
          <w:b/>
          <w:color w:val="auto"/>
          <w:kern w:val="0"/>
          <w:szCs w:val="21"/>
        </w:rPr>
      </w:pPr>
      <w:r>
        <w:rPr>
          <w:rFonts w:hint="eastAsia" w:cs="微软雅黑"/>
          <w:color w:val="auto"/>
        </w:rPr>
        <w:t>在谈判采购中，出现下列情形之一的，采购人应当终止竞争性谈判采购活动，发布项目终止公告并说明原因，重新开展采购活动：</w:t>
      </w:r>
    </w:p>
    <w:p>
      <w:pPr>
        <w:pStyle w:val="56"/>
        <w:numPr>
          <w:ilvl w:val="0"/>
          <w:numId w:val="10"/>
        </w:numPr>
        <w:autoSpaceDE w:val="0"/>
        <w:autoSpaceDN w:val="0"/>
        <w:spacing w:line="360" w:lineRule="auto"/>
        <w:ind w:firstLineChars="0"/>
        <w:contextualSpacing/>
        <w:rPr>
          <w:rFonts w:cs="宋体" w:asciiTheme="minorEastAsia" w:hAnsiTheme="minorEastAsia"/>
          <w:vanish/>
          <w:color w:val="auto"/>
          <w:kern w:val="0"/>
          <w:szCs w:val="21"/>
        </w:rPr>
      </w:pPr>
    </w:p>
    <w:p>
      <w:pPr>
        <w:pStyle w:val="56"/>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31.1</w:t>
      </w:r>
      <w:r>
        <w:rPr>
          <w:rFonts w:asciiTheme="minorEastAsia" w:hAnsiTheme="minorEastAsia"/>
          <w:color w:val="auto"/>
        </w:rPr>
        <w:t>因情况变化，不再符合规定的竞争性谈判采购方式适用情形的；</w:t>
      </w:r>
    </w:p>
    <w:p>
      <w:pPr>
        <w:pStyle w:val="56"/>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31.2</w:t>
      </w:r>
      <w:r>
        <w:rPr>
          <w:rFonts w:asciiTheme="minorEastAsia" w:hAnsiTheme="minorEastAsia"/>
          <w:color w:val="auto"/>
        </w:rPr>
        <w:t>出现影响采购公正的违法、违规行为的</w:t>
      </w:r>
      <w:r>
        <w:rPr>
          <w:rFonts w:hint="eastAsia" w:asciiTheme="minorEastAsia" w:hAnsiTheme="minorEastAsia"/>
          <w:color w:val="auto"/>
        </w:rPr>
        <w:t>；</w:t>
      </w:r>
    </w:p>
    <w:p>
      <w:pPr>
        <w:pStyle w:val="56"/>
        <w:autoSpaceDE w:val="0"/>
        <w:autoSpaceDN w:val="0"/>
        <w:spacing w:line="360" w:lineRule="auto"/>
        <w:contextualSpacing/>
        <w:rPr>
          <w:rFonts w:ascii="ˎ̥" w:hAnsi="ˎ̥"/>
          <w:color w:val="auto"/>
        </w:rPr>
      </w:pPr>
      <w:r>
        <w:rPr>
          <w:rFonts w:hint="eastAsia" w:asciiTheme="minorEastAsia" w:hAnsiTheme="minorEastAsia"/>
          <w:color w:val="auto"/>
        </w:rPr>
        <w:t>31.3在采购过程中符合竞争要求的供应商或者报价未超过采购预算的供应商不足3家的，但《政府采购非招标采购方式管理办法》第二十七条第二款规定的情形除外。</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32.成交公告、发出成交通知书</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32.1采购人确认成交供应商后，采购人在公告成交结果的同时，向成交供应商发出成交通知书。</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32.2成交通知书发出后，采购人不得违法改变成交结果，成交供应商无正当理由不得放弃成交。</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33.质疑提出与答复</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33.1.1对谈判文件提出质疑的，供应商应</w:t>
      </w:r>
      <w:r>
        <w:rPr>
          <w:rFonts w:cs="宋体" w:asciiTheme="minorEastAsia" w:hAnsiTheme="minorEastAsia"/>
          <w:color w:val="auto"/>
          <w:kern w:val="0"/>
          <w:szCs w:val="21"/>
        </w:rPr>
        <w:t>已依法获取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文件或者</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文件公告期限届满之日起7个工作日内</w:t>
      </w:r>
      <w:r>
        <w:rPr>
          <w:rFonts w:hint="eastAsia" w:cs="宋体" w:asciiTheme="minorEastAsia" w:hAnsiTheme="minorEastAsia"/>
          <w:color w:val="auto"/>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33.1.2对采购过程提出质疑的，为各采购程序环节结束之日起七个工作日内，以书面形式向采购人和采购代理机构一次性提出；</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33.1.3对成交结果提出质疑的，为成交结果公告期限届满之日起七个工作日内，以书面形式向采购人和采购代理机构一次性提出。</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w:t>
      </w:r>
      <w:r>
        <w:rPr>
          <w:rFonts w:cs="宋体" w:asciiTheme="minorEastAsia" w:hAnsiTheme="minorEastAsia"/>
          <w:color w:val="auto"/>
          <w:kern w:val="0"/>
          <w:szCs w:val="21"/>
        </w:rPr>
        <w:t>采购人、采购代理机构认为供应商质疑不成立，或者成立但未对</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结果构成影响的，继续开展采购活动；认为供应商质疑成立且影响或者可能影响</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结果的，按照下列情况处理：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33.2.1</w:t>
      </w:r>
      <w:r>
        <w:rPr>
          <w:rFonts w:cs="宋体" w:asciiTheme="minorEastAsia" w:hAnsiTheme="minorEastAsia"/>
          <w:color w:val="auto"/>
          <w:kern w:val="0"/>
          <w:szCs w:val="21"/>
        </w:rPr>
        <w:t>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文件提出的质疑，依法通过澄清或者修改可以继续开展采购活动的，澄清或者修改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文件后继续开展采购活动；否则应当修改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文件后重新开展采购活动。</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33.2.2</w:t>
      </w:r>
      <w:r>
        <w:rPr>
          <w:rFonts w:cs="宋体" w:asciiTheme="minorEastAsia" w:hAnsiTheme="minorEastAsia"/>
          <w:color w:val="auto"/>
          <w:kern w:val="0"/>
          <w:szCs w:val="21"/>
        </w:rPr>
        <w:t>对采购过程、</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结果提出的质疑，合格供应商符合法定数量时，可以从合格的</w:t>
      </w:r>
      <w:r>
        <w:rPr>
          <w:rFonts w:hint="eastAsia" w:cs="宋体" w:asciiTheme="minorEastAsia" w:hAnsiTheme="minorEastAsia"/>
          <w:color w:val="auto"/>
          <w:kern w:val="0"/>
          <w:szCs w:val="21"/>
        </w:rPr>
        <w:t>成交候选人</w:t>
      </w:r>
      <w:r>
        <w:rPr>
          <w:rFonts w:cs="宋体" w:asciiTheme="minorEastAsia" w:hAnsiTheme="minorEastAsia"/>
          <w:color w:val="auto"/>
          <w:kern w:val="0"/>
          <w:szCs w:val="21"/>
        </w:rPr>
        <w:t>中另行确定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供应商的，应当依法另行确定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供应商；否则应当重新开展采购活动</w:t>
      </w:r>
      <w:r>
        <w:rPr>
          <w:rFonts w:hint="eastAsia" w:cs="宋体" w:asciiTheme="minorEastAsia" w:hAnsiTheme="minorEastAsia"/>
          <w:color w:val="auto"/>
          <w:kern w:val="0"/>
          <w:szCs w:val="21"/>
        </w:rPr>
        <w:t>。</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34.签订合同</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34.1</w:t>
      </w:r>
      <w:r>
        <w:rPr>
          <w:rFonts w:cs="宋体" w:asciiTheme="minorEastAsia" w:hAnsiTheme="minorEastAsia"/>
          <w:color w:val="auto"/>
          <w:kern w:val="0"/>
          <w:szCs w:val="21"/>
        </w:rPr>
        <w:t>采购人与成交供应商应当在成交通知书发出之日起30日内，按照</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文件确定的合同文本以及采购标的、规格型号、采购金额、采购数量、技术和服务要求等事项签订政府采购合同</w:t>
      </w:r>
      <w:r>
        <w:rPr>
          <w:rFonts w:hint="eastAsia" w:cs="宋体" w:asciiTheme="minorEastAsia" w:hAnsiTheme="minorEastAsia"/>
          <w:color w:val="auto"/>
          <w:kern w:val="0"/>
          <w:szCs w:val="21"/>
        </w:rPr>
        <w:t>。</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34.2</w:t>
      </w:r>
      <w:r>
        <w:rPr>
          <w:rFonts w:cs="宋体" w:asciiTheme="minorEastAsia" w:hAnsiTheme="minorEastAsia"/>
          <w:color w:val="auto"/>
          <w:kern w:val="0"/>
          <w:szCs w:val="21"/>
        </w:rPr>
        <w:t>采购人不得向成交供应商提出超出采购文件以外的任何要求作为签订合同的条件，不得与成交供应商订立背离</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文件确定的合同文本以及采购标的、规格型号、采购金额、采购数量、技术和服务要求等实质性内容的协议</w:t>
      </w:r>
      <w:r>
        <w:rPr>
          <w:rFonts w:hint="eastAsia" w:cs="宋体" w:asciiTheme="minorEastAsia" w:hAnsiTheme="minorEastAsia"/>
          <w:color w:val="auto"/>
          <w:kern w:val="0"/>
          <w:szCs w:val="21"/>
        </w:rPr>
        <w:t>。</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35.履约保证金</w:t>
      </w:r>
    </w:p>
    <w:p>
      <w:pPr>
        <w:autoSpaceDE w:val="0"/>
        <w:autoSpaceDN w:val="0"/>
        <w:spacing w:line="360" w:lineRule="auto"/>
        <w:ind w:firstLine="420" w:firstLineChars="200"/>
        <w:contextualSpacing/>
        <w:rPr>
          <w:color w:val="auto"/>
        </w:rPr>
      </w:pPr>
      <w:r>
        <w:rPr>
          <w:rFonts w:hint="eastAsia" w:cs="宋体" w:asciiTheme="minorEastAsia" w:hAnsiTheme="minorEastAsia"/>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56"/>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36.政府采购合同融资</w:t>
      </w:r>
    </w:p>
    <w:p>
      <w:pPr>
        <w:pStyle w:val="56"/>
        <w:wordWrap w:val="0"/>
        <w:topLinePunct/>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36.1缓解中小企业融资难题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36.2合作金融机构（排名不分先后）</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合作金融机构名称：交通银行许昌分行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合作金融机构名称：光大银行许昌分行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合作金融机构名称：招商银行许昌分行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合作金融机构名称：邮储银行许昌市分行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合作金融机构名称：中国银行许昌分行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合作金融机构名称：中信银行郑州红专路支行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36.3 “许昌市政府采购合同融资金融产品推介名录”链接</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http://xuchang.hngp.gov.cn/xuchang/content?infoId=1606365368231095&amp;channelCode=H711001</w:t>
      </w:r>
    </w:p>
    <w:p>
      <w:pPr>
        <w:autoSpaceDE w:val="0"/>
        <w:autoSpaceDN w:val="0"/>
        <w:spacing w:line="360" w:lineRule="auto"/>
        <w:ind w:left="964"/>
        <w:contextualSpacing/>
        <w:rPr>
          <w:color w:val="auto"/>
        </w:rPr>
      </w:pPr>
    </w:p>
    <w:p>
      <w:pPr>
        <w:pStyle w:val="5"/>
        <w:rPr>
          <w:color w:val="auto"/>
        </w:rPr>
      </w:pPr>
    </w:p>
    <w:p>
      <w:pPr>
        <w:rPr>
          <w:color w:val="auto"/>
        </w:rPr>
      </w:pPr>
    </w:p>
    <w:p>
      <w:pPr>
        <w:pStyle w:val="5"/>
        <w:rPr>
          <w:color w:val="auto"/>
        </w:rPr>
      </w:pPr>
    </w:p>
    <w:p>
      <w:pPr>
        <w:rPr>
          <w:color w:val="auto"/>
        </w:rPr>
      </w:pPr>
    </w:p>
    <w:p>
      <w:pPr>
        <w:pStyle w:val="5"/>
        <w:rPr>
          <w:color w:val="auto"/>
        </w:rPr>
      </w:pPr>
    </w:p>
    <w:p>
      <w:pPr>
        <w:rPr>
          <w:color w:val="auto"/>
        </w:rPr>
      </w:pPr>
    </w:p>
    <w:p>
      <w:pPr>
        <w:pStyle w:val="5"/>
        <w:rPr>
          <w:color w:val="auto"/>
        </w:rPr>
      </w:pPr>
    </w:p>
    <w:p>
      <w:pPr>
        <w:rPr>
          <w:color w:val="auto"/>
        </w:rPr>
      </w:pPr>
    </w:p>
    <w:p>
      <w:pPr>
        <w:pStyle w:val="5"/>
        <w:rPr>
          <w:color w:val="auto"/>
        </w:rPr>
      </w:pPr>
    </w:p>
    <w:p>
      <w:pPr>
        <w:rPr>
          <w:color w:val="auto"/>
        </w:rPr>
      </w:pPr>
    </w:p>
    <w:p>
      <w:pPr>
        <w:pStyle w:val="5"/>
        <w:rPr>
          <w:color w:val="auto"/>
        </w:rPr>
      </w:pPr>
    </w:p>
    <w:p>
      <w:pPr>
        <w:rPr>
          <w:color w:val="auto"/>
        </w:rPr>
      </w:pPr>
    </w:p>
    <w:p>
      <w:pPr>
        <w:rPr>
          <w:color w:val="auto"/>
        </w:rPr>
      </w:pPr>
    </w:p>
    <w:p>
      <w:pPr>
        <w:pStyle w:val="11"/>
        <w:numPr>
          <w:ilvl w:val="3"/>
          <w:numId w:val="0"/>
        </w:numPr>
        <w:rPr>
          <w:color w:val="auto"/>
        </w:rPr>
      </w:pPr>
    </w:p>
    <w:p>
      <w:pPr>
        <w:rPr>
          <w:color w:val="auto"/>
        </w:rPr>
      </w:pPr>
    </w:p>
    <w:p>
      <w:pPr>
        <w:pStyle w:val="5"/>
        <w:rPr>
          <w:color w:val="auto"/>
        </w:rPr>
      </w:pPr>
    </w:p>
    <w:p>
      <w:pPr>
        <w:rPr>
          <w:color w:val="auto"/>
        </w:rPr>
      </w:pPr>
    </w:p>
    <w:p>
      <w:pPr>
        <w:pStyle w:val="5"/>
        <w:rPr>
          <w:color w:val="auto"/>
        </w:rPr>
      </w:pPr>
    </w:p>
    <w:p>
      <w:pPr>
        <w:rPr>
          <w:color w:val="auto"/>
        </w:rPr>
      </w:pPr>
    </w:p>
    <w:p>
      <w:pPr>
        <w:autoSpaceDE w:val="0"/>
        <w:autoSpaceDN w:val="0"/>
        <w:spacing w:line="360" w:lineRule="auto"/>
        <w:ind w:left="964" w:firstLine="1446" w:firstLineChars="450"/>
        <w:contextualSpacing/>
        <w:jc w:val="left"/>
        <w:rPr>
          <w:color w:val="auto"/>
        </w:rPr>
      </w:pPr>
      <w:r>
        <w:rPr>
          <w:rFonts w:hint="eastAsia" w:cs="宋体" w:asciiTheme="majorEastAsia" w:hAnsiTheme="majorEastAsia" w:eastAsiaTheme="majorEastAsia"/>
          <w:b/>
          <w:color w:val="auto"/>
          <w:kern w:val="0"/>
          <w:sz w:val="32"/>
          <w:szCs w:val="32"/>
        </w:rPr>
        <w:t>第五章 政府采购政策功能</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8"/>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hint="default" w:cs="仿宋_GB2312" w:asciiTheme="minorEastAsia" w:hAnsiTheme="minorEastAsia" w:eastAsiaTheme="minorEastAsia"/>
          <w:color w:val="auto"/>
          <w:szCs w:val="21"/>
          <w:lang w:val="en-US" w:eastAsia="zh-CN"/>
        </w:rPr>
      </w:pPr>
      <w:r>
        <w:rPr>
          <w:rFonts w:hint="eastAsia" w:ascii="ˎ̥" w:hAnsi="ˎ̥"/>
          <w:color w:val="auto"/>
        </w:rPr>
        <w:t>1、</w:t>
      </w:r>
      <w:r>
        <w:rPr>
          <w:rFonts w:hint="eastAsia" w:cs="仿宋_GB2312" w:asciiTheme="minorEastAsia" w:hAnsiTheme="minorEastAsia"/>
          <w:color w:val="auto"/>
          <w:szCs w:val="21"/>
        </w:rPr>
        <w:t>如</w:t>
      </w:r>
      <w:r>
        <w:rPr>
          <w:rFonts w:hint="eastAsia" w:cs="仿宋_GB2312" w:asciiTheme="minorEastAsia" w:hAnsiTheme="minorEastAsia"/>
          <w:color w:val="auto"/>
          <w:szCs w:val="21"/>
          <w:lang w:val="zh-CN"/>
        </w:rPr>
        <w:t>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20" w:firstLineChars="200"/>
        <w:contextualSpacing/>
        <w:rPr>
          <w:rFonts w:ascii="ˎ̥" w:hAnsi="ˎ̥"/>
          <w:color w:val="auto"/>
        </w:rPr>
      </w:pPr>
      <w:r>
        <w:rPr>
          <w:rFonts w:hint="eastAsia" w:ascii="ˎ̥" w:hAnsi="ˎ̥"/>
          <w:color w:val="auto"/>
        </w:rPr>
        <w:t>2、</w:t>
      </w:r>
      <w:r>
        <w:rPr>
          <w:rFonts w:ascii="ˎ̥" w:hAnsi="ˎ̥"/>
          <w:color w:val="auto"/>
        </w:rPr>
        <w:t>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ascii="ˎ̥" w:hAnsi="ˎ̥"/>
          <w:color w:val="auto"/>
        </w:rPr>
        <w:t>规定的中小企业扶持政策。</w:t>
      </w:r>
    </w:p>
    <w:p>
      <w:pPr>
        <w:spacing w:line="360" w:lineRule="auto"/>
        <w:ind w:firstLine="420" w:firstLineChars="200"/>
        <w:contextualSpacing/>
        <w:rPr>
          <w:rFonts w:ascii="ˎ̥" w:hAnsi="ˎ̥"/>
          <w:color w:val="auto"/>
        </w:rPr>
      </w:pPr>
      <w:r>
        <w:rPr>
          <w:rFonts w:hint="eastAsia" w:ascii="ˎ̥" w:hAnsi="ˎ̥"/>
          <w:color w:val="auto"/>
        </w:rPr>
        <w:t>3、</w:t>
      </w:r>
      <w:r>
        <w:rPr>
          <w:rFonts w:ascii="ˎ̥" w:hAnsi="ˎ̥"/>
          <w:color w:val="auto"/>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auto"/>
        </w:rPr>
      </w:pPr>
      <w:r>
        <w:rPr>
          <w:rFonts w:hint="eastAsia" w:ascii="ˎ̥" w:hAnsi="ˎ̥"/>
          <w:color w:val="auto"/>
        </w:rPr>
        <w:t>4、</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rPr>
        <w:t>4</w:t>
      </w:r>
      <w:r>
        <w:rPr>
          <w:rFonts w:ascii="ˎ̥" w:hAnsi="ˎ̥"/>
          <w:color w:val="auto"/>
        </w:rPr>
        <w:t>—</w:t>
      </w:r>
      <w:r>
        <w:rPr>
          <w:rFonts w:hint="eastAsia" w:ascii="ˎ̥" w:hAnsi="ˎ̥"/>
          <w:color w:val="auto"/>
        </w:rPr>
        <w:t>6</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auto"/>
        </w:rPr>
      </w:pPr>
      <w:r>
        <w:rPr>
          <w:rFonts w:hint="eastAsia" w:ascii="ˎ̥" w:hAnsi="ˎ̥"/>
          <w:color w:val="auto"/>
        </w:rPr>
        <w:t>5、按照本次采购标的所属行业的划型标准，符合条件的中小企业应按照招标文件格式要求提供《中小企业声明函》，</w:t>
      </w:r>
      <w:r>
        <w:rPr>
          <w:rFonts w:ascii="ˎ̥" w:hAnsi="ˎ̥"/>
          <w:color w:val="auto"/>
        </w:rPr>
        <w:t>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lang w:val="zh-CN"/>
        </w:rPr>
        <w:t>财库[2014]68号</w:t>
      </w:r>
      <w:bookmarkEnd w:id="1"/>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8"/>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宋体" w:asciiTheme="majorEastAsia" w:hAnsiTheme="majorEastAsia" w:eastAsiaTheme="majorEastAsia"/>
          <w:b/>
          <w:color w:val="auto"/>
          <w:kern w:val="0"/>
          <w:sz w:val="36"/>
          <w:szCs w:val="36"/>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cs="仿宋_GB2312" w:asciiTheme="minorEastAsia" w:hAnsiTheme="minorEastAsia"/>
          <w:color w:val="auto"/>
          <w:lang w:val="zh-CN"/>
        </w:rPr>
      </w:pPr>
      <w:r>
        <w:rPr>
          <w:rFonts w:hint="eastAsia" w:cs="宋体" w:asciiTheme="majorEastAsia" w:hAnsiTheme="majorEastAsia" w:eastAsiaTheme="majorEastAsia"/>
          <w:b/>
          <w:color w:val="auto"/>
          <w:kern w:val="0"/>
          <w:sz w:val="32"/>
          <w:szCs w:val="32"/>
        </w:rPr>
        <w:t>第六章 对响应文件审查与评审</w:t>
      </w:r>
    </w:p>
    <w:p>
      <w:pPr>
        <w:pStyle w:val="18"/>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asciiTheme="minorEastAsia" w:hAnsiTheme="minorEastAsia"/>
          <w:bCs/>
          <w:color w:val="auto"/>
          <w:szCs w:val="21"/>
        </w:rPr>
        <w:t>谈判小组依法对供应商资格进行审查</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确定符合资格的供应商不少于3家，将</w:t>
      </w:r>
      <w:r>
        <w:rPr>
          <w:rFonts w:ascii="ˎ̥" w:hAnsi="ˎ̥"/>
          <w:color w:val="auto"/>
        </w:rPr>
        <w:t>对响应文件的有效性、完整性和响应程度进行审查</w:t>
      </w:r>
      <w:r>
        <w:rPr>
          <w:rFonts w:hint="eastAsia" w:ascii="ˎ̥" w:hAnsi="ˎ̥"/>
          <w:color w:val="auto"/>
        </w:rPr>
        <w:t>并对响应文件进行评审</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spacing w:line="360" w:lineRule="auto"/>
        <w:ind w:right="420" w:rightChars="200" w:firstLine="420" w:firstLineChars="200"/>
        <w:contextualSpacing/>
        <w:rPr>
          <w:rFonts w:asciiTheme="minorEastAsia" w:hAnsiTheme="minorEastAsia"/>
          <w:bCs/>
          <w:color w:val="auto"/>
          <w:szCs w:val="21"/>
          <w:lang w:val="zh-CN"/>
        </w:rPr>
      </w:pPr>
      <w:r>
        <w:rPr>
          <w:rFonts w:hint="eastAsia" w:asciiTheme="minorEastAsia" w:hAnsiTheme="minorEastAsia"/>
          <w:bCs/>
          <w:color w:val="auto"/>
          <w:szCs w:val="21"/>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asciiTheme="minorEastAsia" w:hAnsiTheme="minorEastAsia"/>
          <w:bCs/>
          <w:color w:val="auto"/>
          <w:szCs w:val="21"/>
          <w:lang w:val="zh-CN"/>
        </w:rPr>
      </w:pPr>
      <w:r>
        <w:rPr>
          <w:rFonts w:hint="eastAsia" w:asciiTheme="minorEastAsia" w:hAnsiTheme="minorEastAsia"/>
          <w:bCs/>
          <w:color w:val="auto"/>
          <w:szCs w:val="21"/>
          <w:lang w:val="zh-CN"/>
        </w:rPr>
        <w:t>（2）资格审查中所涉及到的证书及材料，均须在电子投标文件中提供原件扫描件（或图片）。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报价函</w:t>
            </w:r>
          </w:p>
        </w:tc>
        <w:tc>
          <w:tcPr>
            <w:tcW w:w="5954" w:type="dxa"/>
            <w:vAlign w:val="center"/>
          </w:tcPr>
          <w:p>
            <w:pPr>
              <w:spacing w:line="360" w:lineRule="auto"/>
              <w:rPr>
                <w:rFonts w:asciiTheme="minorEastAsia" w:hAnsiTheme="minorEastAsia"/>
                <w:b/>
                <w:color w:val="auto"/>
                <w:szCs w:val="21"/>
              </w:rPr>
            </w:pPr>
            <w:r>
              <w:rPr>
                <w:rFonts w:hint="eastAsia" w:ascii="宋体" w:hAnsi="宋体" w:cs="微软雅黑"/>
                <w:bCs/>
                <w:color w:val="auto"/>
                <w:szCs w:val="21"/>
              </w:rPr>
              <w:t>按照谈判文件第八章3.1格式填写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2</w:t>
            </w:r>
          </w:p>
        </w:tc>
        <w:tc>
          <w:tcPr>
            <w:tcW w:w="2410" w:type="dxa"/>
            <w:vAlign w:val="center"/>
          </w:tcPr>
          <w:p>
            <w:pPr>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禹州</w:t>
            </w:r>
            <w:r>
              <w:rPr>
                <w:rFonts w:cs="宋体" w:asciiTheme="minorEastAsia" w:hAnsiTheme="minorEastAsia"/>
                <w:b/>
                <w:color w:val="auto"/>
                <w:szCs w:val="21"/>
                <w:lang w:val="zh-CN"/>
              </w:rPr>
              <w:t>市政府采购</w:t>
            </w:r>
          </w:p>
          <w:p>
            <w:pPr>
              <w:spacing w:line="360" w:lineRule="auto"/>
              <w:jc w:val="center"/>
              <w:rPr>
                <w:rFonts w:cs="宋体" w:asciiTheme="minorEastAsia" w:hAnsiTheme="minorEastAsia"/>
                <w:bCs/>
                <w:color w:val="auto"/>
                <w:szCs w:val="21"/>
                <w:lang w:val="zh-CN"/>
              </w:rPr>
            </w:pPr>
            <w:r>
              <w:rPr>
                <w:rFonts w:cs="宋体" w:asciiTheme="minorEastAsia" w:hAnsiTheme="minorEastAsia"/>
                <w:b/>
                <w:color w:val="auto"/>
                <w:szCs w:val="21"/>
                <w:lang w:val="zh-CN"/>
              </w:rPr>
              <w:t>供应商信用承诺函</w:t>
            </w:r>
          </w:p>
        </w:tc>
        <w:tc>
          <w:tcPr>
            <w:tcW w:w="5954" w:type="dxa"/>
            <w:vAlign w:val="center"/>
          </w:tcPr>
          <w:p>
            <w:pPr>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按照</w:t>
            </w:r>
            <w:r>
              <w:rPr>
                <w:rFonts w:hint="eastAsia" w:ascii="宋体" w:hAnsi="宋体" w:cs="微软雅黑"/>
                <w:bCs/>
                <w:color w:val="auto"/>
                <w:szCs w:val="21"/>
              </w:rPr>
              <w:t>谈判文件</w:t>
            </w:r>
            <w:r>
              <w:rPr>
                <w:rFonts w:hint="eastAsia" w:cs="宋体" w:asciiTheme="minorEastAsia" w:hAnsiTheme="minorEastAsia"/>
                <w:bCs/>
                <w:color w:val="auto"/>
                <w:szCs w:val="21"/>
                <w:lang w:val="zh-CN"/>
              </w:rPr>
              <w:t>第八章3.</w:t>
            </w:r>
            <w:r>
              <w:rPr>
                <w:rFonts w:hint="eastAsia" w:cs="宋体" w:asciiTheme="minorEastAsia" w:hAnsiTheme="minorEastAsia"/>
                <w:bCs/>
                <w:color w:val="auto"/>
                <w:szCs w:val="21"/>
              </w:rPr>
              <w:t>4</w:t>
            </w:r>
            <w:r>
              <w:rPr>
                <w:rFonts w:hint="eastAsia" w:cs="宋体" w:asciiTheme="minorEastAsia" w:hAnsiTheme="minorEastAsia"/>
                <w:bCs/>
                <w:color w:val="auto"/>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3</w:t>
            </w:r>
          </w:p>
        </w:tc>
        <w:tc>
          <w:tcPr>
            <w:tcW w:w="2410" w:type="dxa"/>
            <w:vAlign w:val="center"/>
          </w:tcPr>
          <w:p>
            <w:pPr>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中小企业声明函</w:t>
            </w:r>
          </w:p>
        </w:tc>
        <w:tc>
          <w:tcPr>
            <w:tcW w:w="5954" w:type="dxa"/>
            <w:vAlign w:val="center"/>
          </w:tcPr>
          <w:p>
            <w:pPr>
              <w:spacing w:line="360" w:lineRule="auto"/>
              <w:jc w:val="left"/>
              <w:rPr>
                <w:rFonts w:cs="宋体" w:asciiTheme="minorEastAsia" w:hAnsiTheme="minorEastAsia"/>
                <w:bCs/>
                <w:color w:val="auto"/>
                <w:szCs w:val="21"/>
                <w:lang w:val="zh-CN"/>
              </w:rPr>
            </w:pPr>
            <w:r>
              <w:rPr>
                <w:rFonts w:hint="eastAsia" w:ascii="宋体" w:hAnsi="宋体" w:cs="微软雅黑"/>
                <w:bCs/>
                <w:color w:val="auto"/>
                <w:szCs w:val="21"/>
              </w:rPr>
              <w:t>按照谈判文件第八章</w:t>
            </w:r>
            <w:r>
              <w:rPr>
                <w:rFonts w:hint="eastAsia" w:ascii="宋体" w:hAnsi="宋体" w:cs="微软雅黑"/>
                <w:bCs/>
                <w:color w:val="auto"/>
                <w:szCs w:val="21"/>
                <w:lang w:val="en-US" w:eastAsia="zh-CN"/>
              </w:rPr>
              <w:t>3.6</w:t>
            </w:r>
            <w:r>
              <w:rPr>
                <w:rFonts w:hint="eastAsia" w:ascii="宋体" w:hAnsi="宋体" w:cs="微软雅黑"/>
                <w:bCs/>
                <w:color w:val="auto"/>
                <w:szCs w:val="21"/>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4</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供应商须具备的特殊</w:t>
            </w:r>
          </w:p>
          <w:p>
            <w:pPr>
              <w:spacing w:line="360" w:lineRule="auto"/>
              <w:jc w:val="center"/>
              <w:rPr>
                <w:rFonts w:asciiTheme="minorEastAsia" w:hAnsiTheme="minorEastAsia"/>
                <w:b/>
                <w:bCs/>
                <w:color w:val="auto"/>
                <w:szCs w:val="21"/>
              </w:rPr>
            </w:pPr>
            <w:r>
              <w:rPr>
                <w:rFonts w:hint="eastAsia" w:asciiTheme="minorEastAsia" w:hAnsiTheme="minorEastAsia"/>
                <w:b/>
                <w:color w:val="auto"/>
                <w:szCs w:val="21"/>
              </w:rPr>
              <w:t>资质证书</w:t>
            </w:r>
          </w:p>
        </w:tc>
        <w:tc>
          <w:tcPr>
            <w:tcW w:w="5954" w:type="dxa"/>
            <w:vAlign w:val="center"/>
          </w:tcPr>
          <w:p>
            <w:pPr>
              <w:spacing w:line="360" w:lineRule="auto"/>
              <w:rPr>
                <w:rFonts w:asciiTheme="minorEastAsia" w:hAnsiTheme="minorEastAsia"/>
                <w:b/>
                <w:bCs/>
                <w:color w:val="auto"/>
                <w:szCs w:val="21"/>
              </w:rPr>
            </w:pPr>
            <w:r>
              <w:rPr>
                <w:rFonts w:hint="eastAsia" w:asciiTheme="minorEastAsia" w:hAnsiTheme="minorEastAsia"/>
                <w:bCs/>
                <w:color w:val="auto"/>
                <w:szCs w:val="21"/>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5</w:t>
            </w:r>
          </w:p>
        </w:tc>
        <w:tc>
          <w:tcPr>
            <w:tcW w:w="2410"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谈判</w:t>
            </w:r>
            <w:r>
              <w:rPr>
                <w:rFonts w:hint="eastAsia" w:cs="仿宋_GB2312" w:asciiTheme="minorEastAsia" w:hAnsiTheme="minorEastAsia"/>
                <w:b/>
                <w:color w:val="auto"/>
                <w:szCs w:val="21"/>
                <w:lang w:val="zh-CN"/>
              </w:rPr>
              <w:t>报价</w:t>
            </w:r>
          </w:p>
        </w:tc>
        <w:tc>
          <w:tcPr>
            <w:tcW w:w="5954"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6</w:t>
            </w:r>
          </w:p>
        </w:tc>
        <w:tc>
          <w:tcPr>
            <w:tcW w:w="2410" w:type="dxa"/>
            <w:vAlign w:val="center"/>
          </w:tcPr>
          <w:p>
            <w:pPr>
              <w:spacing w:line="360" w:lineRule="auto"/>
              <w:jc w:val="center"/>
              <w:rPr>
                <w:rFonts w:asciiTheme="minorEastAsia" w:hAnsiTheme="minorEastAsia"/>
                <w:color w:val="auto"/>
                <w:szCs w:val="21"/>
              </w:rPr>
            </w:pPr>
            <w:r>
              <w:rPr>
                <w:rFonts w:hint="eastAsia" w:asciiTheme="minorEastAsia" w:hAnsiTheme="minorEastAsia"/>
                <w:b/>
                <w:color w:val="auto"/>
                <w:szCs w:val="21"/>
              </w:rPr>
              <w:t>响应承诺函</w:t>
            </w:r>
          </w:p>
        </w:tc>
        <w:tc>
          <w:tcPr>
            <w:tcW w:w="5954" w:type="dxa"/>
            <w:vAlign w:val="center"/>
          </w:tcPr>
          <w:p>
            <w:pPr>
              <w:spacing w:line="360" w:lineRule="auto"/>
              <w:rPr>
                <w:rFonts w:asciiTheme="minorEastAsia" w:hAnsiTheme="minorEastAsia"/>
                <w:b/>
                <w:color w:val="auto"/>
                <w:szCs w:val="21"/>
              </w:rPr>
            </w:pPr>
            <w:r>
              <w:rPr>
                <w:rFonts w:hint="eastAsia" w:asciiTheme="minorEastAsia" w:hAnsiTheme="minorEastAsia"/>
                <w:color w:val="auto"/>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7</w:t>
            </w:r>
          </w:p>
        </w:tc>
        <w:tc>
          <w:tcPr>
            <w:tcW w:w="2410"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联合体协议</w:t>
            </w:r>
          </w:p>
        </w:tc>
        <w:tc>
          <w:tcPr>
            <w:tcW w:w="5954" w:type="dxa"/>
          </w:tcPr>
          <w:p>
            <w:pPr>
              <w:spacing w:line="360" w:lineRule="auto"/>
              <w:rPr>
                <w:rFonts w:asciiTheme="minorEastAsia" w:hAnsiTheme="minorEastAsia"/>
                <w:b/>
                <w:bCs/>
                <w:color w:val="auto"/>
                <w:szCs w:val="21"/>
              </w:rPr>
            </w:pPr>
            <w:r>
              <w:rPr>
                <w:rFonts w:hint="eastAsia" w:asciiTheme="minorEastAsia" w:hAnsiTheme="minorEastAsia"/>
                <w:bCs/>
                <w:color w:val="auto"/>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8</w:t>
            </w:r>
          </w:p>
        </w:tc>
        <w:tc>
          <w:tcPr>
            <w:tcW w:w="2410"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供应商身份证明及授权</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pPr>
              <w:spacing w:line="360" w:lineRule="auto"/>
              <w:rPr>
                <w:rFonts w:cs="仿宋_GB2312" w:asciiTheme="minorEastAsia" w:hAnsiTheme="minorEastAsia"/>
                <w:b/>
                <w:bCs/>
                <w:color w:val="auto"/>
                <w:szCs w:val="21"/>
                <w:lang w:val="zh-CN"/>
              </w:rPr>
            </w:pPr>
            <w:r>
              <w:rPr>
                <w:rFonts w:hint="eastAsia" w:cs="仿宋_GB2312" w:asciiTheme="minorEastAsia" w:hAnsiTheme="minorEastAsia"/>
                <w:b/>
                <w:bCs/>
                <w:color w:val="auto"/>
                <w:szCs w:val="21"/>
                <w:lang w:val="zh-CN"/>
              </w:rPr>
              <w:t>注：</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Theme="minorEastAsia" w:hAnsiTheme="minorEastAsia"/>
                <w:b/>
                <w:color w:val="auto"/>
                <w:szCs w:val="21"/>
              </w:rPr>
            </w:pPr>
            <w:r>
              <w:rPr>
                <w:rFonts w:hint="eastAsia" w:cs="仿宋_GB2312" w:asciiTheme="minorEastAsia" w:hAnsiTheme="minorEastAsia"/>
                <w:color w:val="auto"/>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9</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10</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color w:val="auto"/>
                <w:szCs w:val="21"/>
              </w:rPr>
            </w:pPr>
          </w:p>
        </w:tc>
      </w:tr>
    </w:tbl>
    <w:p>
      <w:pPr>
        <w:pStyle w:val="18"/>
        <w:spacing w:line="360" w:lineRule="auto"/>
        <w:ind w:firstLine="482" w:firstLineChars="200"/>
        <w:contextualSpacing/>
        <w:rPr>
          <w:rFonts w:cs="仿宋_GB2312" w:asciiTheme="minorEastAsia" w:hAnsiTheme="minorEastAsia" w:eastAsiaTheme="minorEastAsia"/>
          <w:b/>
          <w:color w:val="auto"/>
          <w:szCs w:val="24"/>
          <w:lang w:val="zh-CN"/>
        </w:rPr>
      </w:pP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二、对响应文件评审</w:t>
      </w:r>
    </w:p>
    <w:p>
      <w:pPr>
        <w:pStyle w:val="18"/>
        <w:spacing w:line="360" w:lineRule="auto"/>
        <w:ind w:firstLine="422" w:firstLineChars="200"/>
        <w:contextualSpacing/>
        <w:rPr>
          <w:rFonts w:asciiTheme="minorEastAsia" w:hAnsiTheme="minorEastAsia" w:eastAsiaTheme="minorEastAsia"/>
          <w:bCs/>
          <w:color w:val="auto"/>
          <w:sz w:val="21"/>
          <w:szCs w:val="21"/>
        </w:rPr>
      </w:pPr>
      <w:r>
        <w:rPr>
          <w:rFonts w:hint="eastAsia" w:cs="仿宋_GB2312" w:asciiTheme="minorEastAsia" w:hAnsiTheme="minorEastAsia" w:eastAsiaTheme="minorEastAsia"/>
          <w:b/>
          <w:color w:val="auto"/>
          <w:sz w:val="21"/>
          <w:szCs w:val="21"/>
          <w:lang w:val="zh-CN"/>
        </w:rPr>
        <w:t>（一）审查响应文件</w:t>
      </w:r>
    </w:p>
    <w:p>
      <w:pPr>
        <w:pStyle w:val="18"/>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文件是否符合</w:t>
      </w:r>
      <w:r>
        <w:rPr>
          <w:rFonts w:hint="eastAsia" w:cs="仿宋_GB2312" w:asciiTheme="minorEastAsia" w:hAnsiTheme="minorEastAsia" w:eastAsiaTheme="minorEastAsia"/>
          <w:b/>
          <w:color w:val="auto"/>
          <w:sz w:val="21"/>
          <w:szCs w:val="21"/>
          <w:lang w:val="zh-CN"/>
        </w:rPr>
        <w:t>谈判</w:t>
      </w:r>
      <w:r>
        <w:rPr>
          <w:rFonts w:cs="仿宋_GB2312" w:asciiTheme="minorEastAsia" w:hAnsiTheme="minorEastAsia" w:eastAsiaTheme="minorEastAsia"/>
          <w:b/>
          <w:color w:val="auto"/>
          <w:sz w:val="21"/>
          <w:szCs w:val="21"/>
          <w:lang w:val="zh-CN"/>
        </w:rPr>
        <w:t>文件的商务、技术等实质性要求；</w:t>
      </w:r>
    </w:p>
    <w:p>
      <w:pPr>
        <w:pStyle w:val="18"/>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谈判小组对符合资格的投标人的响应文件进行审查，以确定其是否满足谈判文件的商务、技术等实质性要求。</w:t>
      </w:r>
    </w:p>
    <w:p>
      <w:pPr>
        <w:pStyle w:val="18"/>
        <w:spacing w:line="360" w:lineRule="auto"/>
        <w:ind w:firstLine="420" w:firstLineChars="200"/>
        <w:contextualSpacing/>
        <w:jc w:val="left"/>
        <w:rPr>
          <w:rFonts w:hint="eastAsia"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注：审查中所涉及到的证书及材料，均应在电子响应文件中提供原件扫描件（或图片）。</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w:t>
      </w:r>
      <w:r>
        <w:rPr>
          <w:rFonts w:hint="eastAsia" w:cs="仿宋_GB2312" w:asciiTheme="minorEastAsia" w:hAnsiTheme="minorEastAsia" w:eastAsiaTheme="minorEastAsia"/>
          <w:b/>
          <w:color w:val="auto"/>
          <w:sz w:val="21"/>
          <w:szCs w:val="21"/>
          <w:lang w:val="zh-CN"/>
        </w:rPr>
        <w:t>供应商</w:t>
      </w:r>
      <w:r>
        <w:rPr>
          <w:rFonts w:cs="仿宋_GB2312" w:asciiTheme="minorEastAsia" w:hAnsiTheme="minorEastAsia" w:eastAsiaTheme="minorEastAsia"/>
          <w:b/>
          <w:color w:val="auto"/>
          <w:sz w:val="21"/>
          <w:szCs w:val="21"/>
          <w:lang w:val="zh-CN"/>
        </w:rPr>
        <w:t>对</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文件有关事项作出澄清或者说明；</w:t>
      </w:r>
    </w:p>
    <w:p>
      <w:pPr>
        <w:pStyle w:val="18"/>
        <w:spacing w:line="360" w:lineRule="auto"/>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8"/>
        <w:spacing w:line="360" w:lineRule="auto"/>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（二）落实政府采购政策及强制性认证</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1</w:t>
      </w:r>
      <w:r>
        <w:rPr>
          <w:rFonts w:hint="eastAsia" w:cs="仿宋_GB2312" w:asciiTheme="minorEastAsia" w:hAnsiTheme="minorEastAsia"/>
          <w:color w:val="auto"/>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2</w:t>
      </w:r>
      <w:r>
        <w:rPr>
          <w:rFonts w:hint="eastAsia" w:cs="仿宋_GB2312" w:asciiTheme="minorEastAsia" w:hAnsiTheme="minorEastAsia"/>
          <w:color w:val="auto"/>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3</w:t>
      </w:r>
      <w:r>
        <w:rPr>
          <w:rFonts w:hint="eastAsia" w:cs="仿宋_GB2312" w:asciiTheme="minorEastAsia" w:hAnsiTheme="minorEastAsia"/>
          <w:color w:val="auto"/>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w:t>
      </w:r>
      <w:r>
        <w:rPr>
          <w:rFonts w:hint="eastAsia" w:cs="仿宋_GB2312" w:asciiTheme="minorEastAsia" w:hAnsiTheme="minorEastAsia" w:eastAsiaTheme="minorEastAsia"/>
          <w:b/>
          <w:color w:val="auto"/>
          <w:sz w:val="21"/>
          <w:szCs w:val="21"/>
          <w:lang w:val="zh-CN"/>
        </w:rPr>
        <w:t>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（1）如供应商所响应产品属于“中国强制性产品认证”（3C认证）范围内,则必须承诺采用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（2）供应商所响应产品如被列入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则响应文件中应根据本项目谈判文件“第二章 采购需求”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①中国信息安全认证中心官网（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②中国信息安全认证中心</w:t>
      </w:r>
      <w:r>
        <w:rPr>
          <w:rFonts w:hint="eastAsia" w:cs="仿宋_GB2312" w:asciiTheme="minorEastAsia" w:hAnsiTheme="minorEastAsia"/>
          <w:color w:val="auto"/>
          <w:szCs w:val="21"/>
          <w:lang w:val="zh-CN"/>
        </w:rPr>
        <w:t>颁发的《中国国家信息安全产品认证证书》加盖供应商公章的原件扫描件（或图片）。</w:t>
      </w:r>
    </w:p>
    <w:p>
      <w:pPr>
        <w:wordWrap w:val="0"/>
        <w:autoSpaceDE w:val="0"/>
        <w:autoSpaceDN w:val="0"/>
        <w:spacing w:line="360" w:lineRule="auto"/>
        <w:ind w:firstLine="420" w:firstLineChars="200"/>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zh-CN"/>
        </w:rPr>
        <w:t>注：仅需提供序号</w:t>
      </w:r>
      <w:r>
        <w:rPr>
          <w:rFonts w:hint="eastAsia" w:cs="宋体" w:asciiTheme="minorEastAsia" w:hAnsiTheme="minorEastAsia"/>
          <w:color w:val="auto"/>
          <w:kern w:val="0"/>
          <w:szCs w:val="21"/>
        </w:rPr>
        <w:t>①～②其中之一即可。</w:t>
      </w:r>
    </w:p>
    <w:p>
      <w:pPr>
        <w:pStyle w:val="18"/>
        <w:spacing w:line="360" w:lineRule="auto"/>
        <w:ind w:firstLine="422" w:firstLineChars="200"/>
        <w:contextualSpacing/>
        <w:jc w:val="left"/>
        <w:rPr>
          <w:rFonts w:cs="仿宋_GB2312" w:asciiTheme="minorEastAsia" w:hAnsiTheme="minorEastAsia"/>
          <w:color w:val="auto"/>
          <w:sz w:val="21"/>
          <w:szCs w:val="21"/>
          <w:lang w:val="zh-CN"/>
        </w:rPr>
      </w:pPr>
      <w:r>
        <w:rPr>
          <w:rFonts w:hint="eastAsia" w:cs="仿宋_GB2312" w:asciiTheme="minorEastAsia" w:hAnsiTheme="minorEastAsia" w:eastAsiaTheme="minorEastAsia"/>
          <w:b/>
          <w:color w:val="auto"/>
          <w:sz w:val="21"/>
          <w:szCs w:val="21"/>
          <w:lang w:val="zh-CN"/>
        </w:rPr>
        <w:t>（三）</w:t>
      </w:r>
      <w:r>
        <w:rPr>
          <w:rFonts w:cs="仿宋_GB2312" w:asciiTheme="minorEastAsia" w:hAnsiTheme="minorEastAsia" w:eastAsiaTheme="minorEastAsia"/>
          <w:b/>
          <w:color w:val="auto"/>
          <w:sz w:val="21"/>
          <w:szCs w:val="21"/>
          <w:lang w:val="zh-CN"/>
        </w:rPr>
        <w:t>因落实政府采购政策进行价格调整的，以调整后的价格计算报价。</w:t>
      </w:r>
    </w:p>
    <w:p>
      <w:pPr>
        <w:pStyle w:val="18"/>
        <w:spacing w:line="360" w:lineRule="auto"/>
        <w:ind w:firstLine="420" w:firstLineChars="200"/>
        <w:contextualSpacing/>
        <w:rPr>
          <w:rFonts w:ascii="ˎ̥" w:hAnsi="ˎ̥"/>
          <w:color w:val="auto"/>
        </w:rPr>
      </w:pPr>
      <w:r>
        <w:rPr>
          <w:rFonts w:hint="eastAsia" w:cs="仿宋_GB2312" w:asciiTheme="minorEastAsia" w:hAnsiTheme="minorEastAsia" w:eastAsiaTheme="minorEastAsia"/>
          <w:color w:val="auto"/>
          <w:sz w:val="21"/>
          <w:szCs w:val="21"/>
          <w:lang w:val="zh-CN"/>
        </w:rPr>
        <w:t>（1）</w:t>
      </w:r>
      <w:r>
        <w:rPr>
          <w:rFonts w:hint="eastAsia" w:ascii="ˎ̥" w:hAnsi="ˎ̥"/>
          <w:color w:val="auto"/>
          <w:sz w:val="21"/>
          <w:szCs w:val="21"/>
        </w:rPr>
        <w:t>如果本项目非专门面向中小企业采购，对</w:t>
      </w:r>
      <w:r>
        <w:rPr>
          <w:rFonts w:ascii="ˎ̥" w:hAnsi="ˎ̥"/>
          <w:color w:val="auto"/>
          <w:sz w:val="21"/>
          <w:szCs w:val="21"/>
        </w:rPr>
        <w:t>符合</w:t>
      </w:r>
      <w:r>
        <w:rPr>
          <w:rFonts w:hint="eastAsia" w:ascii="ˎ̥" w:hAnsi="ˎ̥"/>
          <w:color w:val="auto"/>
          <w:sz w:val="21"/>
          <w:szCs w:val="21"/>
        </w:rPr>
        <w:t>《政府采购促进中小企业发展管理办法》(财库〔2020〕46号、《关于进一步加大政府采购支持中小企业力度的通知》（财库〔2022〕19号）</w:t>
      </w:r>
      <w:r>
        <w:rPr>
          <w:rFonts w:ascii="ˎ̥" w:hAnsi="ˎ̥"/>
          <w:color w:val="auto"/>
          <w:sz w:val="21"/>
          <w:szCs w:val="21"/>
        </w:rPr>
        <w:t>规定的小微企业报价</w:t>
      </w:r>
      <w:r>
        <w:rPr>
          <w:rFonts w:hint="eastAsia" w:ascii="ˎ̥" w:hAnsi="ˎ̥"/>
          <w:color w:val="auto"/>
          <w:sz w:val="21"/>
          <w:szCs w:val="21"/>
        </w:rPr>
        <w:t>给予20%的扣除，用扣除后的价格参与评审。</w:t>
      </w:r>
      <w:r>
        <w:rPr>
          <w:rFonts w:ascii="ˎ̥" w:hAnsi="ˎ̥"/>
          <w:color w:val="auto"/>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ˎ̥" w:hAnsi="ˎ̥"/>
          <w:color w:val="auto"/>
          <w:sz w:val="21"/>
          <w:szCs w:val="21"/>
        </w:rPr>
        <w:t>6</w:t>
      </w:r>
      <w:r>
        <w:rPr>
          <w:rFonts w:ascii="ˎ̥" w:hAnsi="ˎ̥"/>
          <w:color w:val="auto"/>
          <w:sz w:val="21"/>
          <w:szCs w:val="21"/>
        </w:rPr>
        <w:t>%的扣除，用扣除后的价格参加评审。组成联合体或者接受分包的小微企业与联合体内其他企业、分包企业之间存在直接控股、管理关系的，不享受价格扣除优惠政策。</w:t>
      </w:r>
      <w:r>
        <w:rPr>
          <w:rFonts w:hint="eastAsia" w:ascii="ˎ̥" w:hAnsi="ˎ̥"/>
          <w:color w:val="auto"/>
          <w:sz w:val="21"/>
          <w:szCs w:val="21"/>
        </w:rPr>
        <w:t>按照本次采购标的所属行业的划型标准，符合条件的中小企业应按照招标文件格式要求提供《中小企业声明函》，</w:t>
      </w:r>
      <w:r>
        <w:rPr>
          <w:rFonts w:ascii="ˎ̥" w:hAnsi="ˎ̥"/>
          <w:color w:val="auto"/>
          <w:sz w:val="21"/>
          <w:szCs w:val="21"/>
        </w:rPr>
        <w:t>否则不得享受相关中小企业扶持政策。</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（2）对监狱企业价格给予</w:t>
      </w:r>
      <w:r>
        <w:rPr>
          <w:rFonts w:hint="eastAsia" w:cs="仿宋_GB2312" w:asciiTheme="minorEastAsia" w:hAnsiTheme="minorEastAsia"/>
          <w:color w:val="auto"/>
          <w:szCs w:val="21"/>
          <w:lang w:val="en-US" w:eastAsia="zh-CN"/>
        </w:rPr>
        <w:t>20</w:t>
      </w:r>
      <w:r>
        <w:rPr>
          <w:rFonts w:hint="eastAsia" w:cs="仿宋_GB2312" w:asciiTheme="minorEastAsia" w:hAnsiTheme="minorEastAsia"/>
          <w:color w:val="auto"/>
          <w:szCs w:val="21"/>
          <w:lang w:val="zh-CN"/>
        </w:rPr>
        <w:t>%的扣除，用扣除后的价格参与评审。监狱企业应当提供由省级以上监狱管理局、戒毒管理局(含新疆生产建设兵团)出具的属于监狱企业的证明文件。</w:t>
      </w:r>
    </w:p>
    <w:p>
      <w:pPr>
        <w:pStyle w:val="18"/>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color w:val="auto"/>
          <w:sz w:val="21"/>
          <w:szCs w:val="21"/>
          <w:lang w:val="en-US" w:eastAsia="zh-CN"/>
        </w:rPr>
        <w:t>20</w:t>
      </w:r>
      <w:r>
        <w:rPr>
          <w:rFonts w:hint="eastAsia" w:cs="仿宋_GB2312" w:asciiTheme="minorEastAsia" w:hAnsiTheme="minorEastAsia" w:eastAsiaTheme="minorEastAsia"/>
          <w:color w:val="auto"/>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spacing w:line="360" w:lineRule="auto"/>
        <w:ind w:firstLine="422" w:firstLineChars="200"/>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落实政府采购政策计算报价</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序号</w:t>
            </w:r>
          </w:p>
        </w:tc>
        <w:tc>
          <w:tcPr>
            <w:tcW w:w="2540" w:type="dxa"/>
            <w:vAlign w:val="center"/>
          </w:tcPr>
          <w:p>
            <w:pPr>
              <w:jc w:val="center"/>
              <w:rPr>
                <w:rFonts w:ascii="宋体" w:hAnsi="宋体"/>
                <w:b/>
                <w:color w:val="auto"/>
                <w:szCs w:val="21"/>
                <w:lang w:val="en-GB"/>
              </w:rPr>
            </w:pPr>
            <w:r>
              <w:rPr>
                <w:rFonts w:hint="eastAsia" w:ascii="宋体" w:hAnsi="宋体"/>
                <w:b/>
                <w:color w:val="auto"/>
                <w:szCs w:val="21"/>
                <w:lang w:val="en-GB"/>
              </w:rPr>
              <w:t>情形</w:t>
            </w:r>
          </w:p>
        </w:tc>
        <w:tc>
          <w:tcPr>
            <w:tcW w:w="2693" w:type="dxa"/>
            <w:vAlign w:val="center"/>
          </w:tcPr>
          <w:p>
            <w:pPr>
              <w:jc w:val="center"/>
              <w:rPr>
                <w:rFonts w:ascii="宋体" w:hAnsi="宋体"/>
                <w:b/>
                <w:color w:val="auto"/>
                <w:szCs w:val="21"/>
                <w:lang w:val="en-GB"/>
              </w:rPr>
            </w:pPr>
            <w:r>
              <w:rPr>
                <w:rFonts w:hint="eastAsia" w:ascii="宋体" w:hAnsi="宋体"/>
                <w:b/>
                <w:color w:val="auto"/>
                <w:szCs w:val="21"/>
              </w:rPr>
              <w:t>价格扣除</w:t>
            </w:r>
            <w:r>
              <w:rPr>
                <w:rFonts w:hint="eastAsia" w:ascii="宋体" w:hAnsi="宋体"/>
                <w:b/>
                <w:color w:val="auto"/>
                <w:szCs w:val="21"/>
                <w:lang w:val="en-GB"/>
              </w:rPr>
              <w:t>比例</w:t>
            </w:r>
          </w:p>
        </w:tc>
        <w:tc>
          <w:tcPr>
            <w:tcW w:w="2977" w:type="dxa"/>
            <w:vAlign w:val="center"/>
          </w:tcPr>
          <w:p>
            <w:pPr>
              <w:jc w:val="center"/>
              <w:rPr>
                <w:rFonts w:ascii="宋体" w:hAnsi="宋体"/>
                <w:b/>
                <w:color w:val="auto"/>
                <w:szCs w:val="21"/>
                <w:lang w:val="en-GB"/>
              </w:rPr>
            </w:pPr>
            <w:r>
              <w:rPr>
                <w:rFonts w:hint="eastAsia" w:ascii="宋体" w:hAnsi="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1</w:t>
            </w:r>
          </w:p>
        </w:tc>
        <w:tc>
          <w:tcPr>
            <w:tcW w:w="2540" w:type="dxa"/>
            <w:vAlign w:val="center"/>
          </w:tcPr>
          <w:p>
            <w:pPr>
              <w:jc w:val="center"/>
              <w:rPr>
                <w:rFonts w:ascii="宋体" w:hAnsi="宋体"/>
                <w:b/>
                <w:color w:val="auto"/>
                <w:szCs w:val="21"/>
                <w:lang w:val="en-GB"/>
              </w:rPr>
            </w:pPr>
            <w:r>
              <w:rPr>
                <w:rFonts w:hint="eastAsia" w:ascii="宋体" w:hAnsi="宋体"/>
                <w:color w:val="auto"/>
                <w:szCs w:val="21"/>
                <w:lang w:val="en-GB"/>
              </w:rPr>
              <w:t>非联合体投标人</w:t>
            </w:r>
          </w:p>
        </w:tc>
        <w:tc>
          <w:tcPr>
            <w:tcW w:w="2693" w:type="dxa"/>
            <w:vAlign w:val="center"/>
          </w:tcPr>
          <w:p>
            <w:pPr>
              <w:jc w:val="center"/>
              <w:rPr>
                <w:rFonts w:ascii="ˎ̥" w:hAnsi="ˎ̥" w:eastAsia="宋体"/>
                <w:color w:val="auto"/>
                <w:szCs w:val="21"/>
              </w:rPr>
            </w:pPr>
            <w:r>
              <w:rPr>
                <w:rFonts w:hint="eastAsia" w:ascii="ˎ̥" w:hAnsi="ˎ̥" w:eastAsia="宋体"/>
                <w:color w:val="auto"/>
                <w:szCs w:val="21"/>
              </w:rPr>
              <w:t>对小型和微型企业报价</w:t>
            </w:r>
          </w:p>
          <w:p>
            <w:pPr>
              <w:jc w:val="center"/>
              <w:rPr>
                <w:rFonts w:ascii="宋体" w:hAnsi="宋体"/>
                <w:b/>
                <w:color w:val="auto"/>
                <w:szCs w:val="21"/>
                <w:lang w:val="en-GB"/>
              </w:rPr>
            </w:pPr>
            <w:r>
              <w:rPr>
                <w:rFonts w:hint="eastAsia" w:ascii="ˎ̥" w:hAnsi="ˎ̥" w:eastAsia="宋体"/>
                <w:color w:val="auto"/>
                <w:szCs w:val="21"/>
              </w:rPr>
              <w:t>扣除</w:t>
            </w:r>
            <w:r>
              <w:rPr>
                <w:rFonts w:hint="eastAsia" w:ascii="ˎ̥" w:hAnsi="ˎ̥" w:eastAsia="宋体"/>
                <w:color w:val="auto"/>
                <w:szCs w:val="21"/>
                <w:lang w:val="en-US" w:eastAsia="zh-CN"/>
              </w:rPr>
              <w:t>20</w:t>
            </w:r>
            <w:r>
              <w:rPr>
                <w:rFonts w:hint="eastAsia" w:ascii="ˎ̥" w:hAnsi="ˎ̥" w:eastAsia="宋体"/>
                <w:color w:val="auto"/>
                <w:szCs w:val="21"/>
              </w:rPr>
              <w:t>%</w:t>
            </w:r>
          </w:p>
        </w:tc>
        <w:tc>
          <w:tcPr>
            <w:tcW w:w="2977" w:type="dxa"/>
            <w:vMerge w:val="restart"/>
            <w:shd w:val="clear" w:color="auto" w:fill="auto"/>
            <w:vAlign w:val="center"/>
          </w:tcPr>
          <w:p>
            <w:pPr>
              <w:jc w:val="center"/>
              <w:rPr>
                <w:color w:val="auto"/>
                <w:szCs w:val="21"/>
                <w:lang w:val="en-GB"/>
              </w:rPr>
            </w:pPr>
            <w:r>
              <w:rPr>
                <w:rFonts w:hint="eastAsia"/>
                <w:color w:val="auto"/>
                <w:szCs w:val="21"/>
                <w:lang w:val="en-GB"/>
              </w:rPr>
              <w:t>评标价格＝</w:t>
            </w:r>
            <w:r>
              <w:rPr>
                <w:rFonts w:hint="eastAsia" w:ascii="ˎ̥" w:hAnsi="ˎ̥" w:eastAsia="宋体"/>
                <w:color w:val="auto"/>
                <w:szCs w:val="21"/>
              </w:rPr>
              <w:t>小型和微型企业报价</w:t>
            </w:r>
            <w:r>
              <w:rPr>
                <w:rFonts w:hint="eastAsia" w:ascii="宋体" w:hAnsi="宋体"/>
                <w:color w:val="auto"/>
                <w:szCs w:val="21"/>
                <w:lang w:val="en-GB"/>
              </w:rPr>
              <w:t>×（1-</w:t>
            </w:r>
            <w:r>
              <w:rPr>
                <w:rFonts w:hint="eastAsia"/>
                <w:color w:val="auto"/>
                <w:szCs w:val="21"/>
                <w:lang w:val="en-US" w:eastAsia="zh-CN"/>
              </w:rPr>
              <w:t xml:space="preserve">20 </w:t>
            </w:r>
            <w:r>
              <w:rPr>
                <w:rFonts w:hint="eastAsia"/>
                <w:color w:val="auto"/>
                <w:szCs w:val="21"/>
                <w:lang w:val="en-GB"/>
              </w:rPr>
              <w:t>%</w:t>
            </w:r>
            <w:r>
              <w:rPr>
                <w:rFonts w:hint="eastAsia" w:ascii="宋体" w:hAnsi="宋体"/>
                <w:color w:val="auto"/>
                <w:szCs w:val="21"/>
                <w:lang w:val="en-GB"/>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2</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联合体各方均为</w:t>
            </w:r>
          </w:p>
          <w:p>
            <w:pPr>
              <w:jc w:val="center"/>
              <w:rPr>
                <w:rFonts w:ascii="宋体" w:hAnsi="宋体"/>
                <w:b/>
                <w:color w:val="auto"/>
                <w:szCs w:val="21"/>
              </w:rPr>
            </w:pPr>
            <w:r>
              <w:rPr>
                <w:rFonts w:hint="eastAsia" w:ascii="宋体" w:hAnsi="宋体"/>
                <w:color w:val="auto"/>
                <w:szCs w:val="21"/>
                <w:lang w:val="en-GB"/>
              </w:rPr>
              <w:t>小型、微型企业</w:t>
            </w:r>
          </w:p>
        </w:tc>
        <w:tc>
          <w:tcPr>
            <w:tcW w:w="2693" w:type="dxa"/>
            <w:vAlign w:val="center"/>
          </w:tcPr>
          <w:p>
            <w:pPr>
              <w:jc w:val="center"/>
              <w:rPr>
                <w:rFonts w:ascii="宋体" w:hAnsi="宋体"/>
                <w:color w:val="auto"/>
                <w:szCs w:val="21"/>
              </w:rPr>
            </w:pPr>
            <w:r>
              <w:rPr>
                <w:rFonts w:hint="eastAsia" w:ascii="ˎ̥" w:hAnsi="ˎ̥" w:eastAsia="宋体"/>
                <w:color w:val="auto"/>
                <w:szCs w:val="21"/>
              </w:rPr>
              <w:t>对小型和微型企业报价</w:t>
            </w:r>
          </w:p>
          <w:p>
            <w:pPr>
              <w:jc w:val="center"/>
              <w:rPr>
                <w:rFonts w:ascii="宋体" w:hAnsi="宋体"/>
                <w:color w:val="auto"/>
                <w:szCs w:val="21"/>
              </w:rPr>
            </w:pPr>
            <w:r>
              <w:rPr>
                <w:rFonts w:hint="eastAsia" w:ascii="宋体" w:hAnsi="宋体"/>
                <w:color w:val="auto"/>
                <w:szCs w:val="21"/>
              </w:rPr>
              <w:t>扣除</w:t>
            </w:r>
            <w:r>
              <w:rPr>
                <w:rFonts w:hint="eastAsia" w:ascii="宋体" w:hAnsi="宋体"/>
                <w:color w:val="auto"/>
                <w:szCs w:val="21"/>
                <w:lang w:val="en-US" w:eastAsia="zh-CN"/>
              </w:rPr>
              <w:t>20</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977"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3</w:t>
            </w:r>
          </w:p>
        </w:tc>
        <w:tc>
          <w:tcPr>
            <w:tcW w:w="2540" w:type="dxa"/>
            <w:vAlign w:val="center"/>
          </w:tcPr>
          <w:p>
            <w:pPr>
              <w:jc w:val="center"/>
              <w:rPr>
                <w:rFonts w:ascii="宋体" w:hAnsi="宋体"/>
                <w:b/>
                <w:color w:val="auto"/>
                <w:szCs w:val="21"/>
                <w:lang w:val="en-GB"/>
              </w:rPr>
            </w:pPr>
            <w:r>
              <w:rPr>
                <w:rFonts w:ascii="ˎ̥" w:hAnsi="ˎ̥" w:eastAsia="宋体"/>
                <w:color w:val="auto"/>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pPr>
              <w:jc w:val="center"/>
              <w:rPr>
                <w:rFonts w:ascii="宋体" w:hAnsi="宋体"/>
                <w:b/>
                <w:color w:val="auto"/>
                <w:szCs w:val="21"/>
                <w:lang w:val="en-GB"/>
              </w:rPr>
            </w:pPr>
            <w:r>
              <w:rPr>
                <w:rFonts w:ascii="ˎ̥" w:hAnsi="ˎ̥" w:eastAsia="宋体"/>
                <w:color w:val="auto"/>
                <w:szCs w:val="21"/>
              </w:rPr>
              <w:t>对联合体或者大中型企业的报价</w:t>
            </w:r>
            <w:r>
              <w:rPr>
                <w:rFonts w:hint="eastAsia" w:ascii="宋体" w:hAnsi="宋体"/>
                <w:color w:val="auto"/>
                <w:szCs w:val="21"/>
                <w:lang w:val="en-GB"/>
              </w:rPr>
              <w:t>扣除</w:t>
            </w:r>
            <w:r>
              <w:rPr>
                <w:rFonts w:hint="eastAsia" w:ascii="宋体" w:hAnsi="宋体"/>
                <w:color w:val="auto"/>
                <w:szCs w:val="21"/>
                <w:lang w:val="en-US" w:eastAsia="zh-CN"/>
              </w:rPr>
              <w:t xml:space="preserve">6 </w:t>
            </w:r>
            <w:r>
              <w:rPr>
                <w:rFonts w:hint="eastAsia" w:ascii="宋体" w:hAnsi="宋体"/>
                <w:color w:val="auto"/>
                <w:szCs w:val="21"/>
              </w:rPr>
              <w:t>%</w:t>
            </w:r>
          </w:p>
        </w:tc>
        <w:tc>
          <w:tcPr>
            <w:tcW w:w="2977"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评审价格＝响应报价×</w:t>
            </w:r>
            <w:r>
              <w:rPr>
                <w:rFonts w:hint="eastAsia" w:ascii="宋体" w:hAnsi="宋体"/>
                <w:color w:val="auto"/>
                <w:szCs w:val="21"/>
              </w:rPr>
              <w:t>(1-</w:t>
            </w:r>
            <w:r>
              <w:rPr>
                <w:rFonts w:hint="eastAsia" w:ascii="宋体" w:hAnsi="宋体"/>
                <w:color w:val="auto"/>
                <w:szCs w:val="21"/>
                <w:u w:val="single"/>
                <w:lang w:val="en-US" w:eastAsia="zh-CN"/>
              </w:rPr>
              <w:t xml:space="preserve"> 6 </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4</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监狱企业</w:t>
            </w:r>
          </w:p>
        </w:tc>
        <w:tc>
          <w:tcPr>
            <w:tcW w:w="2693" w:type="dxa"/>
            <w:vAlign w:val="center"/>
          </w:tcPr>
          <w:p>
            <w:pPr>
              <w:jc w:val="center"/>
              <w:rPr>
                <w:rFonts w:ascii="宋体" w:hAnsi="宋体"/>
                <w:color w:val="auto"/>
                <w:szCs w:val="21"/>
                <w:lang w:val="en-GB"/>
              </w:rPr>
            </w:pPr>
            <w:r>
              <w:rPr>
                <w:rFonts w:hint="eastAsia" w:ascii="宋体" w:hAnsi="宋体"/>
                <w:color w:val="auto"/>
                <w:szCs w:val="21"/>
                <w:lang w:val="en-GB"/>
              </w:rPr>
              <w:t>对监狱企业产品价格扣除</w:t>
            </w:r>
            <w:r>
              <w:rPr>
                <w:rFonts w:hint="eastAsia" w:ascii="宋体" w:hAnsi="宋体"/>
                <w:color w:val="auto"/>
                <w:szCs w:val="21"/>
                <w:u w:val="single"/>
                <w:lang w:val="en-US" w:eastAsia="zh-CN"/>
              </w:rPr>
              <w:t xml:space="preserve"> 20 </w:t>
            </w:r>
            <w:r>
              <w:rPr>
                <w:rFonts w:hint="eastAsia" w:ascii="宋体" w:hAnsi="宋体"/>
                <w:color w:val="auto"/>
                <w:szCs w:val="21"/>
              </w:rPr>
              <w:t>%</w:t>
            </w:r>
          </w:p>
        </w:tc>
        <w:tc>
          <w:tcPr>
            <w:tcW w:w="2977" w:type="dxa"/>
            <w:shd w:val="clear" w:color="auto" w:fill="auto"/>
            <w:vAlign w:val="center"/>
          </w:tcPr>
          <w:p>
            <w:pPr>
              <w:jc w:val="center"/>
              <w:rPr>
                <w:rFonts w:ascii="宋体" w:hAnsi="宋体"/>
                <w:color w:val="auto"/>
                <w:szCs w:val="21"/>
                <w:lang w:val="en-GB"/>
              </w:rPr>
            </w:pPr>
            <w:r>
              <w:rPr>
                <w:rFonts w:hint="eastAsia"/>
                <w:color w:val="auto"/>
                <w:szCs w:val="21"/>
                <w:lang w:val="en-GB"/>
              </w:rPr>
              <w:t>评审价格＝响应报价—</w:t>
            </w:r>
            <w:r>
              <w:rPr>
                <w:rFonts w:hint="eastAsia"/>
                <w:color w:val="auto"/>
                <w:szCs w:val="21"/>
              </w:rPr>
              <w:t>监狱企业产品的价格</w:t>
            </w:r>
            <w:r>
              <w:rPr>
                <w:rFonts w:hint="eastAsia" w:ascii="宋体" w:hAnsi="宋体"/>
                <w:color w:val="auto"/>
                <w:szCs w:val="21"/>
                <w:lang w:val="en-GB"/>
              </w:rPr>
              <w:t>×</w:t>
            </w:r>
            <w:r>
              <w:rPr>
                <w:rFonts w:hint="eastAsia"/>
                <w:color w:val="auto"/>
                <w:szCs w:val="21"/>
                <w:lang w:val="en-US" w:eastAsia="zh-CN"/>
              </w:rPr>
              <w:t xml:space="preserve"> 20 </w:t>
            </w:r>
            <w:r>
              <w:rPr>
                <w:rFonts w:hint="eastAsia"/>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5</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残疾人福利性单位</w:t>
            </w:r>
          </w:p>
        </w:tc>
        <w:tc>
          <w:tcPr>
            <w:tcW w:w="2693" w:type="dxa"/>
            <w:vAlign w:val="center"/>
          </w:tcPr>
          <w:p>
            <w:pPr>
              <w:jc w:val="center"/>
              <w:rPr>
                <w:rFonts w:ascii="宋体" w:hAnsi="宋体"/>
                <w:color w:val="auto"/>
                <w:szCs w:val="21"/>
                <w:lang w:val="en-GB"/>
              </w:rPr>
            </w:pPr>
            <w:r>
              <w:rPr>
                <w:rFonts w:hint="eastAsia" w:ascii="宋体" w:hAnsi="宋体"/>
                <w:color w:val="auto"/>
                <w:szCs w:val="21"/>
                <w:lang w:val="en-GB"/>
              </w:rPr>
              <w:t>对残疾人福利性单位产品价格扣除</w:t>
            </w:r>
            <w:r>
              <w:rPr>
                <w:rFonts w:hint="eastAsia" w:ascii="宋体" w:hAnsi="宋体"/>
                <w:color w:val="auto"/>
                <w:szCs w:val="21"/>
                <w:u w:val="single"/>
                <w:lang w:val="en-US" w:eastAsia="zh-CN"/>
              </w:rPr>
              <w:t xml:space="preserve"> 20 </w:t>
            </w:r>
            <w:r>
              <w:rPr>
                <w:rFonts w:hint="eastAsia" w:ascii="宋体" w:hAnsi="宋体"/>
                <w:color w:val="auto"/>
                <w:szCs w:val="21"/>
              </w:rPr>
              <w:t>%</w:t>
            </w:r>
          </w:p>
        </w:tc>
        <w:tc>
          <w:tcPr>
            <w:tcW w:w="2977" w:type="dxa"/>
            <w:shd w:val="clear" w:color="auto" w:fill="auto"/>
            <w:vAlign w:val="center"/>
          </w:tcPr>
          <w:p>
            <w:pPr>
              <w:jc w:val="center"/>
              <w:rPr>
                <w:color w:val="auto"/>
                <w:szCs w:val="21"/>
                <w:lang w:val="en-GB"/>
              </w:rPr>
            </w:pPr>
            <w:r>
              <w:rPr>
                <w:rFonts w:hint="eastAsia"/>
                <w:color w:val="auto"/>
                <w:szCs w:val="21"/>
                <w:lang w:val="en-GB"/>
              </w:rPr>
              <w:t>评审价格＝响应报价—</w:t>
            </w:r>
            <w:r>
              <w:rPr>
                <w:rFonts w:hint="eastAsia"/>
                <w:color w:val="auto"/>
                <w:szCs w:val="21"/>
              </w:rPr>
              <w:t>残疾人福利性单位产品的价格</w:t>
            </w:r>
            <w:r>
              <w:rPr>
                <w:rFonts w:hint="eastAsia" w:ascii="宋体" w:hAnsi="宋体"/>
                <w:color w:val="auto"/>
                <w:szCs w:val="21"/>
                <w:lang w:val="en-GB"/>
              </w:rPr>
              <w:t>×</w:t>
            </w:r>
            <w:r>
              <w:rPr>
                <w:rFonts w:hint="eastAsia"/>
                <w:color w:val="auto"/>
                <w:szCs w:val="21"/>
                <w:lang w:val="en-US" w:eastAsia="zh-CN"/>
              </w:rPr>
              <w:t xml:space="preserve">20 </w:t>
            </w:r>
            <w:r>
              <w:rPr>
                <w:rFonts w:hint="eastAsia"/>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color w:val="auto"/>
                <w:lang w:val="zh-CN"/>
              </w:rPr>
            </w:pPr>
            <w:r>
              <w:rPr>
                <w:rFonts w:hint="eastAsia"/>
                <w:color w:val="auto"/>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color w:val="auto"/>
                <w:lang w:val="en-US"/>
              </w:rPr>
            </w:pPr>
            <w:r>
              <w:rPr>
                <w:rFonts w:hint="eastAsia"/>
                <w:color w:val="auto"/>
                <w:lang w:val="zh-CN"/>
              </w:rPr>
              <w:t>2、</w:t>
            </w:r>
            <w:r>
              <w:rPr>
                <w:color w:val="auto"/>
                <w:lang w:val="zh-CN"/>
              </w:rPr>
              <w:t>经</w:t>
            </w:r>
            <w:r>
              <w:rPr>
                <w:rFonts w:hint="eastAsia"/>
                <w:color w:val="auto"/>
                <w:lang w:val="zh-CN"/>
              </w:rPr>
              <w:t>谈判小组审查、评价</w:t>
            </w:r>
            <w:r>
              <w:rPr>
                <w:color w:val="auto"/>
                <w:lang w:val="zh-CN"/>
              </w:rPr>
              <w:t>，</w:t>
            </w:r>
            <w:r>
              <w:rPr>
                <w:rFonts w:hint="eastAsia"/>
                <w:color w:val="auto"/>
                <w:lang w:val="zh-CN"/>
              </w:rPr>
              <w:t>响应文件符合谈判文件实质性</w:t>
            </w:r>
            <w:r>
              <w:rPr>
                <w:color w:val="auto"/>
                <w:lang w:val="zh-CN"/>
              </w:rPr>
              <w:t>要求且</w:t>
            </w:r>
            <w:r>
              <w:rPr>
                <w:rFonts w:hint="eastAsia"/>
                <w:color w:val="auto"/>
                <w:lang w:val="zh-CN"/>
              </w:rPr>
              <w:t>进行了政策性价格扣除后，</w:t>
            </w:r>
            <w:r>
              <w:rPr>
                <w:color w:val="auto"/>
                <w:lang w:val="zh-CN"/>
              </w:rPr>
              <w:t>以</w:t>
            </w:r>
            <w:r>
              <w:rPr>
                <w:rFonts w:hint="eastAsia"/>
                <w:color w:val="auto"/>
                <w:lang w:val="zh-CN"/>
              </w:rPr>
              <w:t>评审价格由低到高的顺序提出</w:t>
            </w:r>
            <w:r>
              <w:rPr>
                <w:color w:val="auto"/>
                <w:lang w:val="zh-CN"/>
              </w:rPr>
              <w:t>3</w:t>
            </w:r>
            <w:r>
              <w:rPr>
                <w:rFonts w:hint="eastAsia"/>
                <w:color w:val="auto"/>
                <w:lang w:val="zh-CN"/>
              </w:rPr>
              <w:t>名成交候选人。</w:t>
            </w:r>
          </w:p>
        </w:tc>
      </w:tr>
    </w:tbl>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auto"/>
          <w:szCs w:val="21"/>
          <w:lang w:val="en-GB"/>
        </w:rPr>
      </w:pPr>
      <w:r>
        <w:rPr>
          <w:rFonts w:hint="eastAsia" w:cs="仿宋_GB2312" w:asciiTheme="minorEastAsia" w:hAnsiTheme="minorEastAsia"/>
          <w:color w:val="auto"/>
          <w:szCs w:val="21"/>
          <w:lang w:val="zh-CN"/>
        </w:rPr>
        <w:t>d、残疾人福利性单位属于小型、微型企业的，不重复享受政策。</w:t>
      </w:r>
    </w:p>
    <w:p>
      <w:pPr>
        <w:spacing w:line="360" w:lineRule="auto"/>
        <w:ind w:firstLine="420" w:firstLineChars="200"/>
        <w:rPr>
          <w:rFonts w:cs="仿宋_GB2312" w:asciiTheme="minorEastAsia" w:hAnsiTheme="minorEastAsia"/>
          <w:color w:val="auto"/>
          <w:szCs w:val="21"/>
          <w:lang w:val="zh-CN"/>
        </w:rPr>
      </w:pPr>
      <w:r>
        <w:rPr>
          <w:rFonts w:hint="eastAsia" w:cs="仿宋_GB2312" w:asciiTheme="minorEastAsia" w:hAnsiTheme="minorEastAsia"/>
          <w:color w:val="auto"/>
          <w:szCs w:val="21"/>
          <w:lang w:val="en-US" w:eastAsia="zh-CN"/>
        </w:rPr>
        <w:t>e</w:t>
      </w:r>
      <w:r>
        <w:rPr>
          <w:rFonts w:hint="eastAsia" w:cs="仿宋_GB2312" w:asciiTheme="minorEastAsia" w:hAnsiTheme="minorEastAsia"/>
          <w:color w:val="auto"/>
          <w:szCs w:val="21"/>
          <w:lang w:val="zh-CN"/>
        </w:rPr>
        <w:t>、小型和微型企业不包括民办非企业单位。</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四、评审方法</w:t>
      </w:r>
    </w:p>
    <w:p>
      <w:pPr>
        <w:pStyle w:val="18"/>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color w:val="auto"/>
          <w:sz w:val="21"/>
          <w:szCs w:val="21"/>
          <w:lang w:val="zh-CN"/>
        </w:rPr>
        <w:t>3</w:t>
      </w:r>
      <w:r>
        <w:rPr>
          <w:rFonts w:hint="eastAsia" w:cs="仿宋_GB2312" w:asciiTheme="minorEastAsia" w:hAnsiTheme="minorEastAsia" w:eastAsiaTheme="minorEastAsia"/>
          <w:color w:val="auto"/>
          <w:sz w:val="21"/>
          <w:szCs w:val="21"/>
          <w:lang w:val="zh-CN"/>
        </w:rPr>
        <w:t>名成交候选人。根据规定</w:t>
      </w:r>
      <w:r>
        <w:rPr>
          <w:rFonts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lang w:val="zh-CN"/>
        </w:rPr>
        <w:t>采购人按照成交候选人排名顺序确定成交供应商。</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五、谈判小组编写评审报告。</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contextualSpacing/>
        <w:rPr>
          <w:rFonts w:hint="eastAsia" w:cs="仿宋_GB2312" w:asciiTheme="minorEastAsia" w:hAnsiTheme="minorEastAsia" w:eastAsiaTheme="minorEastAsia"/>
          <w:color w:val="auto"/>
          <w:kern w:val="2"/>
          <w:sz w:val="21"/>
          <w:szCs w:val="21"/>
          <w:lang w:val="zh-CN" w:eastAsia="zh-CN" w:bidi="ar-SA"/>
        </w:rPr>
      </w:pPr>
      <w:r>
        <w:rPr>
          <w:rFonts w:hint="eastAsia" w:cs="仿宋_GB2312" w:asciiTheme="minorEastAsia" w:hAnsiTheme="minorEastAsia" w:eastAsiaTheme="minorEastAsia"/>
          <w:color w:val="auto"/>
          <w:kern w:val="2"/>
          <w:sz w:val="21"/>
          <w:szCs w:val="21"/>
          <w:lang w:val="zh-CN" w:eastAsia="zh-CN" w:bidi="ar-SA"/>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8"/>
        <w:spacing w:line="360" w:lineRule="auto"/>
        <w:contextualSpacing/>
        <w:rPr>
          <w:rFonts w:cs="仿宋_GB2312" w:asciiTheme="minorEastAsia" w:hAnsiTheme="minorEastAsia" w:eastAsiaTheme="minorEastAsia"/>
          <w:b/>
          <w:color w:val="auto"/>
          <w:sz w:val="21"/>
          <w:szCs w:val="21"/>
          <w:lang w:val="zh-CN"/>
        </w:rPr>
      </w:pPr>
    </w:p>
    <w:p>
      <w:pPr>
        <w:pStyle w:val="18"/>
        <w:spacing w:line="360" w:lineRule="auto"/>
        <w:contextualSpacing/>
        <w:rPr>
          <w:rFonts w:cs="仿宋_GB2312" w:asciiTheme="minorEastAsia" w:hAnsiTheme="minorEastAsia" w:eastAsiaTheme="minorEastAsia"/>
          <w:b/>
          <w:color w:val="auto"/>
          <w:sz w:val="21"/>
          <w:szCs w:val="21"/>
          <w:lang w:val="zh-CN"/>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pStyle w:val="2"/>
        <w:rPr>
          <w:rFonts w:ascii="宋体" w:hAnsi="宋体" w:cs="Courier New"/>
          <w:color w:val="auto"/>
          <w:szCs w:val="21"/>
        </w:rPr>
      </w:pPr>
    </w:p>
    <w:p>
      <w:pPr>
        <w:pStyle w:val="5"/>
        <w:rPr>
          <w:rFonts w:ascii="宋体" w:hAnsi="宋体" w:cs="Courier New"/>
          <w:color w:val="auto"/>
          <w:szCs w:val="21"/>
        </w:rPr>
      </w:pPr>
    </w:p>
    <w:p>
      <w:pPr>
        <w:rPr>
          <w:rFonts w:ascii="宋体" w:hAnsi="宋体" w:cs="Courier New"/>
          <w:color w:val="auto"/>
          <w:szCs w:val="21"/>
        </w:rPr>
      </w:pPr>
    </w:p>
    <w:p>
      <w:pPr>
        <w:pStyle w:val="2"/>
        <w:rPr>
          <w:rFonts w:ascii="宋体" w:hAnsi="宋体" w:cs="Courier New"/>
          <w:color w:val="auto"/>
          <w:szCs w:val="21"/>
        </w:rPr>
      </w:pPr>
    </w:p>
    <w:p>
      <w:pPr>
        <w:pStyle w:val="5"/>
        <w:rPr>
          <w:rFonts w:ascii="宋体" w:hAnsi="宋体" w:cs="Courier New"/>
          <w:color w:val="auto"/>
          <w:szCs w:val="21"/>
        </w:rPr>
      </w:pPr>
    </w:p>
    <w:p>
      <w:pPr>
        <w:rPr>
          <w:rFonts w:ascii="宋体" w:hAnsi="宋体" w:cs="Courier New"/>
          <w:color w:val="auto"/>
          <w:szCs w:val="21"/>
        </w:rPr>
      </w:pPr>
    </w:p>
    <w:p>
      <w:pPr>
        <w:pStyle w:val="2"/>
        <w:rPr>
          <w:color w:val="auto"/>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rPr>
          <w:rFonts w:ascii="宋体" w:hAnsi="宋体" w:cs="Courier New"/>
          <w:color w:val="auto"/>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第七章 拟签订的合同文本</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微软雅黑" w:hAnsi="微软雅黑" w:eastAsia="微软雅黑"/>
          <w:color w:val="auto"/>
          <w:sz w:val="27"/>
          <w:szCs w:val="27"/>
        </w:rPr>
      </w:pPr>
      <w:r>
        <w:rPr>
          <w:rFonts w:hint="eastAsia" w:ascii="宋体" w:hAnsi="宋体" w:cs="微软雅黑"/>
          <w:b/>
          <w:bCs/>
          <w:color w:val="auto"/>
          <w:szCs w:val="21"/>
        </w:rPr>
        <w:t>最终签定合同的主要条款不能与招标文件有冲突）</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w:t>
      </w:r>
      <w:r>
        <w:rPr>
          <w:rFonts w:asciiTheme="minorEastAsia" w:hAnsiTheme="minorEastAsia" w:eastAsiaTheme="minorEastAsia"/>
          <w:color w:val="auto"/>
          <w:sz w:val="21"/>
          <w:szCs w:val="21"/>
          <w:u w:val="single"/>
        </w:rPr>
        <w:t>（采购人全称）</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乙方：</w:t>
      </w:r>
      <w:r>
        <w:rPr>
          <w:rFonts w:asciiTheme="minorEastAsia" w:hAnsiTheme="minorEastAsia" w:eastAsiaTheme="minorEastAsia"/>
          <w:color w:val="auto"/>
          <w:sz w:val="21"/>
          <w:szCs w:val="21"/>
          <w:u w:val="single"/>
        </w:rPr>
        <w:t>（中标人全称）</w:t>
      </w:r>
    </w:p>
    <w:p>
      <w:pPr>
        <w:pStyle w:val="26"/>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根据招标编号为</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的</w:t>
      </w:r>
      <w:r>
        <w:rPr>
          <w:rFonts w:asciiTheme="minorEastAsia" w:hAnsiTheme="minorEastAsia" w:eastAsiaTheme="minorEastAsia"/>
          <w:color w:val="auto"/>
          <w:sz w:val="21"/>
          <w:szCs w:val="21"/>
          <w:u w:val="single"/>
        </w:rPr>
        <w:t>（填写“项目名称”）</w:t>
      </w:r>
      <w:r>
        <w:rPr>
          <w:rFonts w:asciiTheme="minorEastAsia" w:hAnsiTheme="minorEastAsia" w:eastAsiaTheme="minorEastAsia"/>
          <w:color w:val="auto"/>
          <w:sz w:val="21"/>
          <w:szCs w:val="21"/>
        </w:rPr>
        <w:t>项目（以下简称：“本项目”）的招标结果，乙方为中标人。现经甲乙双方友好协商，就以下事项达成一致并签订本合同：</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1、下列合同文件是构成本合同不可分割的部分：</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1.1合同条款；</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1.2招标文件、乙方的投标文件；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1.3其他文件或材料：□无。□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2、合同标的</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3、合同总金额</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3.1合同总金额为人民币大写：</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元（￥</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4、合同标的交付时间、地点和条件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4.1交付时间：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4.2交付地点：</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4.3交付条件：</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5、合同标的应符合招标文件、乙方投标文件的规定或约定，具体如下：</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6、验收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6.1验收应按照招标文件、乙方投标文件的规定或约定进行，具体如下：</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6.2本项目是否邀请其他投标人参与验收：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□不邀请。□邀请，具体如下：</w:t>
      </w:r>
      <w:r>
        <w:rPr>
          <w:rFonts w:asciiTheme="minorEastAsia" w:hAnsiTheme="minorEastAsia" w:eastAsiaTheme="minorEastAsia"/>
          <w:color w:val="auto"/>
          <w:sz w:val="21"/>
          <w:szCs w:val="21"/>
          <w:u w:val="single"/>
        </w:rPr>
        <w:t>（按照招标文件规定填写）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7、合同款项的支付应按照招标文件的规定进行，具体如下：</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（按照实际情况编制填写，可以是表格或文字描述，包括一次性支付或分期支付等）</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8、履约保证金</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□无。□有，具体如下：</w:t>
      </w:r>
      <w:r>
        <w:rPr>
          <w:rFonts w:asciiTheme="minorEastAsia" w:hAnsiTheme="minorEastAsia" w:eastAsiaTheme="minorEastAsia"/>
          <w:color w:val="auto"/>
          <w:sz w:val="21"/>
          <w:szCs w:val="21"/>
          <w:u w:val="single"/>
        </w:rPr>
        <w:t>（按照招标文件规定填写）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9、合同有效期</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10、违约责任</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11、知识产权</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12、解决争议的方法</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12.1甲、乙双方协商解决。</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12.2若协商解决不成，则通过下列途径之一解决：</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□提交仲裁委员会仲裁，具体如下：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□向人民法院提起诉讼，具体如下：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13、不可抗力</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14、合同条款</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15、其他约定</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15.1合同文件与本合同具有同等法律效力。</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15.2本合同未尽事宜，双方可另行补充。</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15.3合同生效：自签订之日起生效。</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15.4本合同一式</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份，经双方授权代表签字并盖章后生效。甲方、乙方各执</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份，送</w:t>
      </w:r>
      <w:r>
        <w:rPr>
          <w:rFonts w:asciiTheme="minorEastAsia" w:hAnsiTheme="minorEastAsia" w:eastAsiaTheme="minorEastAsia"/>
          <w:color w:val="auto"/>
          <w:sz w:val="21"/>
          <w:szCs w:val="21"/>
          <w:u w:val="single"/>
        </w:rPr>
        <w:t>（填写需要备案的监管部门的全称）</w:t>
      </w:r>
      <w:r>
        <w:rPr>
          <w:rFonts w:asciiTheme="minorEastAsia" w:hAnsiTheme="minorEastAsia" w:eastAsiaTheme="minorEastAsia"/>
          <w:color w:val="auto"/>
          <w:sz w:val="21"/>
          <w:szCs w:val="21"/>
        </w:rPr>
        <w:t>备案</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份，具有同等效力。</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15.5其他：□无。□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6"/>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6"/>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                        乙方：</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住所：                        住所：</w:t>
      </w:r>
    </w:p>
    <w:p>
      <w:pPr>
        <w:pStyle w:val="26"/>
        <w:spacing w:before="75" w:after="75"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            </w:t>
      </w:r>
      <w:r>
        <w:rPr>
          <w:rFonts w:hint="eastAsia" w:asciiTheme="minorEastAsia" w:hAnsiTheme="minorEastAsia" w:eastAsiaTheme="minorEastAsia"/>
          <w:color w:val="auto"/>
          <w:sz w:val="21"/>
          <w:szCs w:val="21"/>
        </w:rPr>
        <w:t xml:space="preserve">     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联系方法：                      联系方法：</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开户银行：                      开户银行：</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账号：                        账号：</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6"/>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签订地点：</w:t>
      </w:r>
      <w:r>
        <w:rPr>
          <w:rFonts w:asciiTheme="minorEastAsia" w:hAnsiTheme="minorEastAsia" w:eastAsiaTheme="minorEastAsia"/>
          <w:color w:val="auto"/>
          <w:sz w:val="21"/>
          <w:szCs w:val="21"/>
          <w:u w:val="single"/>
        </w:rPr>
        <w:t>                </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签订日期：</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月</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日</w:t>
      </w: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ind w:firstLine="723"/>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color w:val="auto"/>
          <w:sz w:val="44"/>
          <w:szCs w:val="44"/>
          <w:lang w:val="zh-CN"/>
        </w:rPr>
      </w:pPr>
      <w:r>
        <w:rPr>
          <w:rFonts w:hint="eastAsia" w:cs="宋体" w:asciiTheme="majorEastAsia" w:hAnsiTheme="majorEastAsia" w:eastAsiaTheme="majorEastAsia"/>
          <w:b/>
          <w:color w:val="auto"/>
          <w:kern w:val="0"/>
          <w:sz w:val="32"/>
          <w:szCs w:val="32"/>
        </w:rPr>
        <w:t>第八章 响应文件有关格式</w:t>
      </w:r>
    </w:p>
    <w:p>
      <w:pPr>
        <w:pStyle w:val="66"/>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1058"/>
        <w:gridCol w:w="2693"/>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2"/>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2"/>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2"/>
            <w:vAlign w:val="center"/>
          </w:tcPr>
          <w:p>
            <w:pPr>
              <w:pStyle w:val="18"/>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2"/>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禹州市政府采购供应商信用承诺函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gridSpan w:val="2"/>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供应商须具备的特殊资质证书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谈判承诺函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2"/>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10</w:t>
            </w:r>
          </w:p>
        </w:tc>
        <w:tc>
          <w:tcPr>
            <w:tcW w:w="3751" w:type="dxa"/>
            <w:gridSpan w:val="2"/>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rPr>
              <w:t>11</w:t>
            </w:r>
          </w:p>
        </w:tc>
        <w:tc>
          <w:tcPr>
            <w:tcW w:w="3751" w:type="dxa"/>
            <w:gridSpan w:val="2"/>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lang w:val="zh-CN"/>
              </w:rPr>
              <w:t>1</w:t>
            </w:r>
            <w:r>
              <w:rPr>
                <w:rFonts w:hint="eastAsia" w:asciiTheme="majorEastAsia" w:hAnsiTheme="majorEastAsia" w:eastAsiaTheme="majorEastAsia" w:cstheme="majorEastAsia"/>
                <w:bCs/>
                <w:color w:val="auto"/>
                <w:szCs w:val="21"/>
              </w:rPr>
              <w:t>2</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分项报价表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14</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政府强制采购节能产品品目清单情况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优先采购环境标志产品政府采购品目清单情况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1058" w:type="dxa"/>
            <w:tcBorders>
              <w:right w:val="single" w:color="auto" w:sz="4" w:space="0"/>
            </w:tcBorders>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693" w:type="dxa"/>
            <w:tcBorders>
              <w:left w:val="single" w:color="auto" w:sz="4" w:space="0"/>
            </w:tcBorders>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8"/>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1058" w:type="dxa"/>
            <w:vMerge w:val="restart"/>
            <w:tcBorders>
              <w:right w:val="single" w:color="auto" w:sz="4" w:space="0"/>
            </w:tcBorders>
            <w:vAlign w:val="center"/>
          </w:tcPr>
          <w:p>
            <w:pPr>
              <w:pStyle w:val="18"/>
              <w:kinsoku w:val="0"/>
              <w:overflowPunct w:val="0"/>
              <w:autoSpaceDE w:val="0"/>
              <w:autoSpaceDN w:val="0"/>
              <w:spacing w:line="320" w:lineRule="exact"/>
              <w:rPr>
                <w:rFonts w:cs="宋体" w:asciiTheme="minorEastAsia" w:hAnsiTheme="minorEastAsia"/>
                <w:color w:val="auto"/>
                <w:kern w:val="0"/>
                <w:sz w:val="21"/>
                <w:szCs w:val="21"/>
              </w:rPr>
            </w:pPr>
            <w:r>
              <w:rPr>
                <w:rFonts w:cs="宋体" w:asciiTheme="minorEastAsia" w:hAnsiTheme="minorEastAsia"/>
                <w:color w:val="auto"/>
                <w:kern w:val="0"/>
                <w:sz w:val="21"/>
                <w:szCs w:val="21"/>
              </w:rPr>
              <w:t>信息安全产品强制性认证</w:t>
            </w:r>
          </w:p>
        </w:tc>
        <w:tc>
          <w:tcPr>
            <w:tcW w:w="2693" w:type="dxa"/>
            <w:tcBorders>
              <w:lef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认证机构颁发的认证证书</w:t>
            </w:r>
          </w:p>
        </w:tc>
        <w:tc>
          <w:tcPr>
            <w:tcW w:w="1559" w:type="dxa"/>
            <w:vAlign w:val="center"/>
          </w:tcPr>
          <w:p>
            <w:pPr>
              <w:pStyle w:val="18"/>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vMerge w:val="continue"/>
            <w:tcBorders>
              <w:righ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p>
        </w:tc>
        <w:tc>
          <w:tcPr>
            <w:tcW w:w="2693" w:type="dxa"/>
            <w:tcBorders>
              <w:lef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中国信息安全认证中心官网产品查询结果截图</w:t>
            </w:r>
          </w:p>
        </w:tc>
        <w:tc>
          <w:tcPr>
            <w:tcW w:w="1559" w:type="dxa"/>
            <w:vAlign w:val="center"/>
          </w:tcPr>
          <w:p>
            <w:pPr>
              <w:pStyle w:val="18"/>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rPr>
          <w:rFonts w:asciiTheme="majorEastAsia" w:hAnsiTheme="majorEastAsia" w:eastAsiaTheme="majorEastAsia"/>
          <w:b/>
          <w:snapToGrid w:val="0"/>
          <w:color w:val="auto"/>
          <w:kern w:val="0"/>
          <w:sz w:val="28"/>
          <w:szCs w:val="28"/>
        </w:rPr>
      </w:pPr>
    </w:p>
    <w:p>
      <w:pPr>
        <w:pStyle w:val="18"/>
        <w:numPr>
          <w:ilvl w:val="0"/>
          <w:numId w:val="11"/>
        </w:numPr>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报价一览表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2、如谈判公告明确项目交付日期以年为单位，本表应填写完成该项目的年限。</w:t>
      </w: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pStyle w:val="11"/>
        <w:numPr>
          <w:ilvl w:val="3"/>
          <w:numId w:val="0"/>
        </w:numPr>
        <w:rPr>
          <w:color w:val="auto"/>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rPr>
      </w:pPr>
      <w:r>
        <w:rPr>
          <w:rFonts w:hint="eastAsia" w:cs="黑体" w:asciiTheme="minorEastAsia" w:hAnsiTheme="minorEastAsia"/>
          <w:b/>
          <w:bCs/>
          <w:color w:val="auto"/>
          <w:sz w:val="28"/>
          <w:szCs w:val="28"/>
          <w:lang w:val="zh-CN"/>
        </w:rPr>
        <w:t>三、资格审查相关材料</w:t>
      </w:r>
    </w:p>
    <w:p>
      <w:pPr>
        <w:pStyle w:val="18"/>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Cs w:val="24"/>
        </w:rPr>
        <w:t>3.1 报 价 函</w:t>
      </w:r>
    </w:p>
    <w:p>
      <w:pPr>
        <w:adjustRightInd w:val="0"/>
        <w:spacing w:line="360" w:lineRule="auto"/>
        <w:contextualSpacing/>
        <w:rPr>
          <w:rFonts w:asciiTheme="minorEastAsia" w:hAnsiTheme="minorEastAsia"/>
          <w:b/>
          <w:snapToGrid w:val="0"/>
          <w:color w:val="auto"/>
          <w:kern w:val="0"/>
          <w:szCs w:val="21"/>
          <w:u w:val="single"/>
        </w:rPr>
      </w:pPr>
      <w:r>
        <w:rPr>
          <w:rFonts w:hint="eastAsia" w:asciiTheme="minorEastAsia" w:hAnsiTheme="minorEastAsia"/>
          <w:snapToGrid w:val="0"/>
          <w:color w:val="auto"/>
          <w:kern w:val="0"/>
          <w:szCs w:val="21"/>
        </w:rPr>
        <w:t>致：</w:t>
      </w:r>
      <w:r>
        <w:rPr>
          <w:rFonts w:hint="eastAsia" w:asciiTheme="minorEastAsia" w:hAnsiTheme="minorEastAsia"/>
          <w:snapToGrid w:val="0"/>
          <w:color w:val="auto"/>
          <w:kern w:val="0"/>
          <w:szCs w:val="21"/>
          <w:u w:val="single"/>
        </w:rPr>
        <w:t xml:space="preserve">              （采购人名称）</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（项目名称、项目编号）采购的竞争性谈判公告及谈判邀请，_______（姓名和职务）被正式授权并代表供应商</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（供应商名称、地址）提交。</w:t>
      </w:r>
    </w:p>
    <w:p>
      <w:pPr>
        <w:pStyle w:val="18"/>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hint="eastAsia" w:asciiTheme="minorEastAsia" w:hAnsiTheme="minorEastAsia" w:eastAsiaTheme="minorEastAsia"/>
          <w:snapToGrid w:val="0"/>
          <w:color w:val="auto"/>
          <w:kern w:val="0"/>
          <w:sz w:val="21"/>
          <w:szCs w:val="21"/>
          <w:u w:val="single"/>
          <w:lang w:val="en-US" w:eastAsia="zh-CN"/>
        </w:rPr>
        <w:t xml:space="preserve">     </w:t>
      </w:r>
      <w:r>
        <w:rPr>
          <w:rFonts w:hint="eastAsia" w:asciiTheme="minorEastAsia" w:hAnsiTheme="minorEastAsia" w:eastAsiaTheme="minorEastAsia"/>
          <w:snapToGrid w:val="0"/>
          <w:color w:val="auto"/>
          <w:kern w:val="0"/>
          <w:sz w:val="21"/>
          <w:szCs w:val="21"/>
        </w:rPr>
        <w:t>（项目名称、项目编号）谈判文件的全部内容。</w:t>
      </w:r>
    </w:p>
    <w:p>
      <w:pPr>
        <w:pStyle w:val="18"/>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三、我方明白并同意，在规定的谈判响应时间截止之后，响应有效期之内撤销谈判响应的，则我方承担违背响应承诺的责任追究。</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四、我方同意按照贵方可能提出的要求而提供与谈判响应有关的任何其它数据、信息或资料。</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五、我方理解贵方不一定接受最低响应报价。</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六、我方如果成交，将保证履行谈判文件及其澄清、修改文件（如果有）中的全部责任和义务，按质、按量、按期完成《采购需求》及《合同书》中的全部任务。</w:t>
      </w:r>
    </w:p>
    <w:p>
      <w:pPr>
        <w:pStyle w:val="26"/>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8"/>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8"/>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8"/>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以上内容如有虚假或与事实不符的，谈判小组可将</w:t>
      </w:r>
      <w:r>
        <w:rPr>
          <w:rFonts w:hint="eastAsia" w:cs="Arial" w:asciiTheme="minorEastAsia" w:hAnsiTheme="minorEastAsia"/>
          <w:color w:val="auto"/>
          <w:szCs w:val="21"/>
        </w:rPr>
        <w:t>我方做无效投标处理，我方愿意承担相应的法律责任。</w:t>
      </w:r>
    </w:p>
    <w:p>
      <w:pPr>
        <w:pStyle w:val="18"/>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8"/>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我方对在本函及响应文件中所作的所有承诺承担法律责任。</w:t>
      </w:r>
    </w:p>
    <w:p>
      <w:pPr>
        <w:pStyle w:val="18"/>
        <w:adjustRightInd w:val="0"/>
        <w:snapToGrid w:val="0"/>
        <w:spacing w:line="360" w:lineRule="auto"/>
        <w:rPr>
          <w:rFonts w:asciiTheme="minorEastAsia" w:hAnsiTheme="minorEastAsia" w:eastAsiaTheme="minorEastAsia"/>
          <w:color w:val="auto"/>
          <w:sz w:val="21"/>
          <w:szCs w:val="21"/>
        </w:rPr>
      </w:pPr>
    </w:p>
    <w:p>
      <w:pPr>
        <w:pStyle w:val="18"/>
        <w:adjustRightInd w:val="0"/>
        <w:snapToGrid w:val="0"/>
        <w:spacing w:line="360" w:lineRule="auto"/>
        <w:rPr>
          <w:rFonts w:asciiTheme="minorEastAsia" w:hAnsiTheme="minorEastAsia" w:eastAsiaTheme="minorEastAsia"/>
          <w:color w:val="auto"/>
          <w:sz w:val="21"/>
          <w:szCs w:val="21"/>
        </w:rPr>
      </w:pPr>
    </w:p>
    <w:p>
      <w:pPr>
        <w:pStyle w:val="18"/>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所有与本项目谈判有关的一切正式往来请寄：</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地    址：. 邮政编码：.</w:t>
      </w:r>
    </w:p>
    <w:p>
      <w:pPr>
        <w:adjustRightInd w:val="0"/>
        <w:snapToGrid w:val="0"/>
        <w:spacing w:line="360" w:lineRule="auto"/>
        <w:ind w:firstLine="420" w:firstLineChars="200"/>
        <w:rPr>
          <w:rFonts w:cs="宋体" w:asciiTheme="minorEastAsia" w:hAnsiTheme="minorEastAsia"/>
          <w:color w:val="auto"/>
          <w:szCs w:val="21"/>
        </w:rPr>
      </w:pPr>
      <w:r>
        <w:rPr>
          <w:rFonts w:hint="eastAsia" w:cs="宋体" w:asciiTheme="minorEastAsia" w:hAnsiTheme="minorEastAsia"/>
          <w:color w:val="auto"/>
          <w:szCs w:val="21"/>
        </w:rPr>
        <w:t>电    话：. 传    真：.</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供应商代表姓名：. 职    务：.</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adjustRightInd w:val="0"/>
        <w:snapToGrid w:val="0"/>
        <w:spacing w:line="360" w:lineRule="auto"/>
        <w:ind w:firstLine="4305" w:firstLineChars="2050"/>
        <w:rPr>
          <w:rFonts w:cs="宋体" w:asciiTheme="minorEastAsia" w:hAnsiTheme="minorEastAsia"/>
          <w:color w:val="auto"/>
          <w:szCs w:val="21"/>
        </w:rPr>
      </w:pPr>
    </w:p>
    <w:p>
      <w:pPr>
        <w:pStyle w:val="11"/>
        <w:numPr>
          <w:ilvl w:val="3"/>
          <w:numId w:val="0"/>
        </w:numPr>
        <w:rPr>
          <w:color w:val="auto"/>
        </w:rPr>
      </w:pPr>
    </w:p>
    <w:p>
      <w:pPr>
        <w:adjustRightInd w:val="0"/>
        <w:snapToGrid w:val="0"/>
        <w:spacing w:line="360" w:lineRule="auto"/>
        <w:ind w:firstLine="4305" w:firstLineChars="2050"/>
        <w:rPr>
          <w:rFonts w:cs="宋体" w:asciiTheme="minorEastAsia" w:hAnsiTheme="minorEastAsia"/>
          <w:color w:val="auto"/>
          <w:szCs w:val="21"/>
        </w:rPr>
      </w:pP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58"/>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58"/>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58"/>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58"/>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供应商名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加贵方项目</w:t>
      </w:r>
      <w:r>
        <w:rPr>
          <w:rFonts w:asciiTheme="minorEastAsia" w:hAnsiTheme="minorEastAsia"/>
          <w:color w:val="auto"/>
          <w:sz w:val="21"/>
          <w:szCs w:val="21"/>
        </w:rPr>
        <w:t>编号为</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color w:val="auto"/>
          <w:sz w:val="21"/>
          <w:szCs w:val="21"/>
        </w:rPr>
        <w:t>竞争性谈判</w:t>
      </w:r>
      <w:r>
        <w:rPr>
          <w:rFonts w:asciiTheme="minorEastAsia" w:hAnsiTheme="minorEastAsia"/>
          <w:color w:val="auto"/>
          <w:sz w:val="21"/>
          <w:szCs w:val="21"/>
        </w:rPr>
        <w:t>项目</w:t>
      </w:r>
      <w:r>
        <w:rPr>
          <w:rFonts w:hint="eastAsia" w:asciiTheme="minorEastAsia" w:hAnsiTheme="minorEastAsia"/>
          <w:color w:val="auto"/>
          <w:sz w:val="21"/>
          <w:szCs w:val="21"/>
        </w:rPr>
        <w:t>的响应</w:t>
      </w:r>
      <w:r>
        <w:rPr>
          <w:rFonts w:asciiTheme="minorEastAsia" w:hAnsiTheme="minorEastAsia"/>
          <w:color w:val="auto"/>
          <w:sz w:val="21"/>
          <w:szCs w:val="21"/>
        </w:rPr>
        <w:t>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的响应文件及合同的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58"/>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58"/>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法定代表人（单位负责人）</w:t>
      </w:r>
      <w:r>
        <w:rPr>
          <w:rFonts w:hint="eastAsia" w:asciiTheme="minorEastAsia" w:hAnsiTheme="minorEastAsia"/>
          <w:color w:val="auto"/>
          <w:sz w:val="21"/>
          <w:szCs w:val="21"/>
          <w:lang w:eastAsia="zh-CN"/>
        </w:rPr>
        <w:t>签字：</w:t>
      </w:r>
      <w:r>
        <w:rPr>
          <w:rFonts w:hint="eastAsia" w:asciiTheme="minorEastAsia" w:hAnsiTheme="minorEastAsia"/>
          <w:color w:val="auto"/>
          <w:sz w:val="21"/>
          <w:szCs w:val="21"/>
          <w:lang w:val="en-US" w:eastAsia="zh-CN"/>
        </w:rPr>
        <w:t xml:space="preserve">          </w:t>
      </w:r>
      <w:r>
        <w:rPr>
          <w:rFonts w:hint="eastAsia" w:asciiTheme="minorEastAsia" w:hAnsiTheme="minorEastAsia"/>
          <w:color w:val="auto"/>
          <w:sz w:val="21"/>
          <w:szCs w:val="21"/>
        </w:rPr>
        <w:t>联系电话（手机）：</w:t>
      </w:r>
    </w:p>
    <w:p>
      <w:pPr>
        <w:pStyle w:val="58"/>
        <w:spacing w:line="480" w:lineRule="auto"/>
        <w:ind w:firstLine="472" w:firstLineChars="225"/>
        <w:jc w:val="left"/>
        <w:rPr>
          <w:rFonts w:asciiTheme="minorEastAsia" w:hAnsiTheme="minorEastAsia"/>
          <w:color w:val="auto"/>
          <w:sz w:val="21"/>
          <w:szCs w:val="21"/>
        </w:rPr>
      </w:pPr>
    </w:p>
    <w:p>
      <w:pPr>
        <w:pStyle w:val="58"/>
        <w:spacing w:line="480" w:lineRule="auto"/>
        <w:ind w:firstLine="472" w:firstLineChars="225"/>
        <w:jc w:val="left"/>
        <w:rPr>
          <w:rFonts w:asciiTheme="minorEastAsia" w:hAnsiTheme="minorEastAsia"/>
          <w:color w:val="auto"/>
          <w:sz w:val="21"/>
          <w:szCs w:val="21"/>
        </w:rPr>
      </w:pPr>
    </w:p>
    <w:p>
      <w:pPr>
        <w:pStyle w:val="58"/>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58"/>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pStyle w:val="61"/>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60"/>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加本竞争性谈判</w:t>
      </w:r>
      <w:r>
        <w:rPr>
          <w:rFonts w:asciiTheme="minorEastAsia" w:hAnsiTheme="minorEastAsia"/>
          <w:bCs/>
          <w:color w:val="auto"/>
          <w:kern w:val="12"/>
          <w:szCs w:val="21"/>
        </w:rPr>
        <w:t>项目</w:t>
      </w:r>
      <w:r>
        <w:rPr>
          <w:rFonts w:hint="eastAsia" w:asciiTheme="minorEastAsia" w:hAnsiTheme="minorEastAsia"/>
          <w:bCs/>
          <w:color w:val="auto"/>
          <w:kern w:val="12"/>
          <w:szCs w:val="21"/>
        </w:rPr>
        <w:t>响应的，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供应商名称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（并加盖单位公章）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法定代表人（单位负责人）：（签字</w:t>
      </w:r>
      <w:r>
        <w:rPr>
          <w:rFonts w:hint="eastAsia" w:cs="Arial" w:asciiTheme="minorEastAsia" w:hAnsiTheme="minorEastAsia"/>
          <w:color w:val="auto"/>
          <w:szCs w:val="21"/>
          <w:lang w:val="en-US" w:eastAsia="zh-CN"/>
        </w:rPr>
        <w:t>和</w:t>
      </w:r>
      <w:r>
        <w:rPr>
          <w:rFonts w:hint="eastAsia" w:cs="Arial" w:asciiTheme="minorEastAsia" w:hAnsiTheme="minorEastAsia"/>
          <w:color w:val="auto"/>
          <w:szCs w:val="21"/>
        </w:rPr>
        <w:t>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授权代表：（签字</w:t>
      </w:r>
      <w:r>
        <w:rPr>
          <w:rFonts w:hint="eastAsia" w:asciiTheme="minorEastAsia" w:hAnsiTheme="minorEastAsia"/>
          <w:color w:val="auto"/>
          <w:szCs w:val="21"/>
          <w:lang w:eastAsia="zh-CN"/>
        </w:rPr>
        <w:t>和</w:t>
      </w:r>
      <w:r>
        <w:rPr>
          <w:rFonts w:hint="eastAsia" w:asciiTheme="minorEastAsia" w:hAnsiTheme="minorEastAsia"/>
          <w:color w:val="auto"/>
          <w:szCs w:val="21"/>
        </w:rPr>
        <w:t>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p>
    <w:tbl>
      <w:tblPr>
        <w:tblStyle w:val="27"/>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2"/>
        <w:gridCol w:w="7"/>
        <w:gridCol w:w="448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98" w:hRule="atLeast"/>
        </w:trPr>
        <w:tc>
          <w:tcPr>
            <w:tcW w:w="4492"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c>
          <w:tcPr>
            <w:tcW w:w="4493"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w:t>
            </w:r>
            <w:r>
              <w:rPr>
                <w:rFonts w:hint="eastAsia" w:asciiTheme="minorEastAsia" w:hAnsiTheme="minorEastAsia"/>
                <w:color w:val="auto"/>
                <w:szCs w:val="21"/>
                <w:lang w:eastAsia="zh-CN"/>
              </w:rPr>
              <w:t>反</w:t>
            </w:r>
            <w:r>
              <w:rPr>
                <w:rFonts w:hint="eastAsia" w:asciiTheme="minorEastAsia" w:hAnsiTheme="minorEastAsia"/>
                <w:color w:val="auto"/>
                <w:szCs w:val="21"/>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4499"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p>
        </w:tc>
        <w:tc>
          <w:tcPr>
            <w:tcW w:w="4500"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w:t>
            </w:r>
            <w:r>
              <w:rPr>
                <w:rFonts w:hint="eastAsia" w:asciiTheme="minorEastAsia" w:hAnsiTheme="minorEastAsia"/>
                <w:color w:val="auto"/>
                <w:szCs w:val="21"/>
                <w:lang w:eastAsia="zh-CN"/>
              </w:rPr>
              <w:t>反</w:t>
            </w:r>
            <w:r>
              <w:rPr>
                <w:rFonts w:hint="eastAsia" w:asciiTheme="minorEastAsia" w:hAnsiTheme="minorEastAsia"/>
                <w:color w:val="auto"/>
                <w:szCs w:val="21"/>
              </w:rPr>
              <w:t>面）</w:t>
            </w:r>
          </w:p>
        </w:tc>
      </w:tr>
    </w:tbl>
    <w:p>
      <w:pPr>
        <w:spacing w:beforeLines="50" w:afterLines="50" w:line="360" w:lineRule="auto"/>
        <w:ind w:right="420"/>
        <w:rPr>
          <w:rFonts w:cs="宋体" w:asciiTheme="minorEastAsia" w:hAnsiTheme="minorEastAsia"/>
          <w:color w:val="auto"/>
          <w:sz w:val="24"/>
          <w:szCs w:val="24"/>
          <w:lang w:val="zh-CN"/>
        </w:rPr>
      </w:pPr>
    </w:p>
    <w:p>
      <w:pPr>
        <w:pStyle w:val="5"/>
        <w:rPr>
          <w:color w:val="auto"/>
          <w:lang w:val="zh-CN"/>
        </w:rPr>
      </w:pPr>
    </w:p>
    <w:p>
      <w:pPr>
        <w:spacing w:line="360" w:lineRule="auto"/>
        <w:jc w:val="center"/>
        <w:rPr>
          <w:rFonts w:ascii="宋体" w:hAnsi="宋体"/>
          <w:b/>
          <w:bCs/>
          <w:color w:val="auto"/>
          <w:sz w:val="24"/>
          <w:szCs w:val="24"/>
        </w:rPr>
      </w:pPr>
      <w:r>
        <w:rPr>
          <w:rFonts w:hint="eastAsia" w:ascii="宋体" w:hAnsi="宋体"/>
          <w:b/>
          <w:bCs/>
          <w:color w:val="auto"/>
          <w:sz w:val="24"/>
          <w:szCs w:val="24"/>
        </w:rPr>
        <w:t>3.4禹州市政府采购供应商信用承诺函</w:t>
      </w:r>
    </w:p>
    <w:p>
      <w:pPr>
        <w:rPr>
          <w:rFonts w:cs="宋体" w:asciiTheme="minorEastAsia" w:hAnsiTheme="minorEastAsia"/>
          <w:color w:val="auto"/>
          <w:szCs w:val="21"/>
          <w:lang w:val="zh-CN"/>
        </w:rPr>
      </w:pPr>
    </w:p>
    <w:p>
      <w:pPr>
        <w:spacing w:line="600" w:lineRule="exact"/>
        <w:rPr>
          <w:rFonts w:cs="宋体" w:asciiTheme="minorEastAsia" w:hAnsiTheme="minorEastAsia"/>
          <w:color w:val="auto"/>
          <w:szCs w:val="21"/>
          <w:lang w:val="zh-CN"/>
        </w:rPr>
      </w:pPr>
      <w:r>
        <w:rPr>
          <w:rFonts w:cs="宋体" w:asciiTheme="minorEastAsia" w:hAnsiTheme="minorEastAsia"/>
          <w:color w:val="auto"/>
          <w:szCs w:val="21"/>
          <w:lang w:val="zh-CN"/>
        </w:rPr>
        <w:t>致（采购人或采购代理机构）：</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单位名称（自然人姓名）:</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统一社会信用代码（身份证号码）:</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法定代表人（负责人）: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联系地址和电话：</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（一）具有独立承担民事责任的能力；</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（二）具有良好的商业信誉和健全的财务会计制度；</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（三）具有履行合同所必需的设备和专业技术能力；</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（四）有依法缴纳税收和社会保障资金的良好记录；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（五）参加政府采购活动前三年内，在经营活动中没有重大违法记录；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（七）未被相关监管部门作出行政处罚且尚在处罚有效期的；</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（八）未曾作出虚假采购承诺；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（九）符合法律、行政法规规定的其他条件。</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供应商（电子章）:</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法定代表人、负责人、本人、或授权代表（签字或电子印章）:</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日期：年月日</w:t>
      </w:r>
    </w:p>
    <w:p>
      <w:pPr>
        <w:rPr>
          <w:rFonts w:cs="宋体" w:asciiTheme="minorEastAsia" w:hAnsiTheme="minorEastAsia"/>
          <w:color w:val="auto"/>
          <w:szCs w:val="21"/>
          <w:lang w:val="zh-CN"/>
        </w:rPr>
      </w:pPr>
    </w:p>
    <w:p>
      <w:pPr>
        <w:rPr>
          <w:rFonts w:ascii="仿宋" w:hAnsi="仿宋" w:eastAsia="仿宋" w:cs="华文仿宋"/>
          <w:color w:val="auto"/>
          <w:szCs w:val="21"/>
        </w:rPr>
      </w:pPr>
    </w:p>
    <w:p>
      <w:pPr>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rPr>
        <w:t>谈判</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rPr>
        <w:t>谈判</w:t>
      </w:r>
      <w:r>
        <w:rPr>
          <w:rFonts w:ascii="仿宋" w:hAnsi="仿宋" w:eastAsia="仿宋" w:cs="华文仿宋"/>
          <w:color w:val="auto"/>
          <w:szCs w:val="21"/>
        </w:rPr>
        <w:t>文件要求，按无效投标处理。</w:t>
      </w:r>
    </w:p>
    <w:p>
      <w:pPr>
        <w:rPr>
          <w:rFonts w:ascii="仿宋" w:hAnsi="仿宋" w:eastAsia="仿宋"/>
          <w:color w:val="auto"/>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pPr>
        <w:rPr>
          <w:rFonts w:ascii="仿宋" w:hAnsi="仿宋" w:eastAsia="仿宋"/>
          <w:color w:val="auto"/>
          <w:sz w:val="32"/>
          <w:szCs w:val="32"/>
        </w:rPr>
      </w:pPr>
    </w:p>
    <w:p>
      <w:pPr>
        <w:spacing w:beforeLines="50" w:afterLines="50" w:line="360" w:lineRule="auto"/>
        <w:ind w:right="420"/>
        <w:rPr>
          <w:rFonts w:cs="宋体" w:asciiTheme="minorEastAsia" w:hAnsiTheme="minorEastAsia"/>
          <w:color w:val="auto"/>
          <w:sz w:val="24"/>
          <w:szCs w:val="24"/>
          <w:lang w:val="zh-CN"/>
        </w:rPr>
      </w:pPr>
    </w:p>
    <w:p>
      <w:pPr>
        <w:pStyle w:val="11"/>
        <w:numPr>
          <w:ilvl w:val="3"/>
          <w:numId w:val="0"/>
        </w:numPr>
        <w:rPr>
          <w:color w:val="auto"/>
          <w:lang w:val="zh-CN"/>
        </w:rPr>
      </w:pPr>
    </w:p>
    <w:p>
      <w:pPr>
        <w:rPr>
          <w:color w:val="auto"/>
          <w:lang w:val="zh-CN"/>
        </w:rPr>
      </w:pPr>
    </w:p>
    <w:p>
      <w:pPr>
        <w:pStyle w:val="11"/>
        <w:numPr>
          <w:ilvl w:val="3"/>
          <w:numId w:val="0"/>
        </w:numPr>
        <w:rPr>
          <w:color w:val="auto"/>
          <w:lang w:val="zh-CN"/>
        </w:rPr>
      </w:pPr>
    </w:p>
    <w:p>
      <w:pPr>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谈判承诺函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lang w:val="zh-CN"/>
        </w:rPr>
      </w:pPr>
      <w:r>
        <w:rPr>
          <w:rFonts w:hint="eastAsia" w:asciiTheme="minorEastAsia" w:hAnsiTheme="minorEastAsia"/>
          <w:snapToGrid w:val="0"/>
          <w:color w:val="auto"/>
          <w:kern w:val="0"/>
          <w:szCs w:val="21"/>
          <w:u w:val="single"/>
        </w:rPr>
        <w:t>（采购人名称）</w:t>
      </w:r>
      <w:r>
        <w:rPr>
          <w:rFonts w:ascii="宋体" w:hAnsi="宋体" w:eastAsia="宋体" w:cs="宋体"/>
          <w:color w:val="auto"/>
          <w:szCs w:val="21"/>
          <w:lang w:val="zh-CN"/>
        </w:rPr>
        <w:t>：</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ascii="宋体" w:hAnsi="宋体" w:eastAsia="宋体" w:cs="宋体"/>
          <w:color w:val="auto"/>
          <w:szCs w:val="21"/>
          <w:lang w:val="zh-CN"/>
        </w:rPr>
        <w:t>____年____月____日</w:t>
      </w:r>
      <w:r>
        <w:rPr>
          <w:rFonts w:hint="eastAsia" w:ascii="宋体" w:hAnsi="宋体" w:eastAsia="宋体" w:cs="宋体"/>
          <w:color w:val="auto"/>
          <w:szCs w:val="21"/>
          <w:u w:val="single"/>
          <w:lang w:val="en-US" w:eastAsia="zh-CN"/>
        </w:rPr>
        <w:t xml:space="preserve">     </w:t>
      </w:r>
      <w:r>
        <w:rPr>
          <w:rFonts w:hint="eastAsia" w:cs="宋体" w:asciiTheme="minorEastAsia" w:hAnsiTheme="minorEastAsia"/>
          <w:color w:val="auto"/>
          <w:szCs w:val="21"/>
          <w:lang w:val="zh-CN"/>
        </w:rPr>
        <w:t>（项目编号、项目名称）的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响应</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五、法律法规及本谈判文件规定的其他严重违法行为。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Arial" w:asciiTheme="minorEastAsia" w:hAnsiTheme="minorEastAsia"/>
          <w:color w:val="auto"/>
          <w:szCs w:val="21"/>
        </w:rPr>
        <w:t>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pStyle w:val="3"/>
        <w:rPr>
          <w:color w:val="auto"/>
          <w:lang w:val="zh-CN"/>
        </w:rPr>
      </w:pPr>
    </w:p>
    <w:p>
      <w:pPr>
        <w:pStyle w:val="34"/>
        <w:rPr>
          <w:color w:val="auto"/>
          <w:lang w:val="zh-CN"/>
        </w:rPr>
      </w:pPr>
    </w:p>
    <w:p>
      <w:pPr>
        <w:pStyle w:val="35"/>
        <w:rPr>
          <w:color w:val="auto"/>
          <w:lang w:val="zh-CN"/>
        </w:rPr>
      </w:pPr>
    </w:p>
    <w:p>
      <w:pPr>
        <w:rPr>
          <w:color w:val="auto"/>
          <w:lang w:val="zh-CN"/>
        </w:rPr>
      </w:pPr>
    </w:p>
    <w:p>
      <w:pPr>
        <w:pStyle w:val="5"/>
        <w:rPr>
          <w:color w:val="auto"/>
          <w:lang w:val="zh-CN"/>
        </w:rPr>
      </w:pPr>
    </w:p>
    <w:p>
      <w:pPr>
        <w:rPr>
          <w:color w:val="auto"/>
          <w:lang w:val="zh-CN"/>
        </w:rPr>
      </w:pPr>
    </w:p>
    <w:p>
      <w:pPr>
        <w:pStyle w:val="5"/>
        <w:rPr>
          <w:color w:val="auto"/>
          <w:lang w:val="zh-CN"/>
        </w:rPr>
      </w:pPr>
    </w:p>
    <w:p>
      <w:pPr>
        <w:rPr>
          <w:color w:val="auto"/>
          <w:lang w:val="zh-CN"/>
        </w:rPr>
      </w:pPr>
    </w:p>
    <w:p>
      <w:pPr>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lang w:val="en-US" w:eastAsia="zh-CN"/>
        </w:rPr>
        <w:t xml:space="preserve">3.6 </w:t>
      </w:r>
      <w:r>
        <w:rPr>
          <w:rFonts w:ascii="宋体" w:hAnsi="宋体"/>
          <w:b/>
          <w:bCs/>
          <w:color w:val="auto"/>
          <w:sz w:val="24"/>
          <w:szCs w:val="24"/>
        </w:rPr>
        <w:t>中小企业声明函</w:t>
      </w:r>
    </w:p>
    <w:p>
      <w:pPr>
        <w:spacing w:line="360" w:lineRule="auto"/>
        <w:jc w:val="center"/>
        <w:rPr>
          <w:rFonts w:ascii="宋体" w:hAnsi="宋体"/>
          <w:b/>
          <w:bCs/>
          <w:color w:val="auto"/>
          <w:szCs w:val="21"/>
        </w:rPr>
      </w:pPr>
    </w:p>
    <w:p>
      <w:pPr>
        <w:spacing w:line="360" w:lineRule="auto"/>
        <w:ind w:firstLine="707" w:firstLineChars="337"/>
        <w:jc w:val="left"/>
        <w:rPr>
          <w:color w:val="auto"/>
        </w:rPr>
      </w:pPr>
      <w:r>
        <w:rPr>
          <w:color w:val="auto"/>
        </w:rPr>
        <w:t>本公司（联合体）郑重声明，根据《政府采购促进中小企业发展管理办法》（财库﹝2020﹞46 号）的规定，本公司（联合体）参加</w:t>
      </w:r>
      <w:r>
        <w:rPr>
          <w:i/>
          <w:color w:val="auto"/>
          <w:u w:val="single"/>
        </w:rPr>
        <w:t>（单位名称）</w:t>
      </w:r>
      <w:r>
        <w:rPr>
          <w:color w:val="auto"/>
        </w:rPr>
        <w:t>的</w:t>
      </w:r>
      <w:r>
        <w:rPr>
          <w:i/>
          <w:color w:val="auto"/>
          <w:u w:val="single"/>
        </w:rPr>
        <w:t>（项目名称）</w:t>
      </w:r>
      <w:r>
        <w:rPr>
          <w:color w:val="auto"/>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color w:val="auto"/>
        </w:rPr>
      </w:pPr>
      <w:r>
        <w:rPr>
          <w:color w:val="auto"/>
        </w:rPr>
        <w:t xml:space="preserve">1.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2.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 </w:t>
      </w:r>
    </w:p>
    <w:p>
      <w:pPr>
        <w:spacing w:line="360" w:lineRule="auto"/>
        <w:ind w:firstLine="707" w:firstLineChars="337"/>
        <w:jc w:val="left"/>
        <w:rPr>
          <w:color w:val="auto"/>
        </w:rPr>
      </w:pPr>
      <w:r>
        <w:rPr>
          <w:color w:val="auto"/>
        </w:rPr>
        <w:t>以上企业，不属于大企业的分支机构，不存在控股股东为大企业的情形，也不存在与大企业的负责人为同一人的情形。</w:t>
      </w:r>
    </w:p>
    <w:p>
      <w:pPr>
        <w:spacing w:line="360" w:lineRule="auto"/>
        <w:ind w:firstLine="707" w:firstLineChars="337"/>
        <w:jc w:val="left"/>
        <w:rPr>
          <w:color w:val="auto"/>
        </w:rPr>
      </w:pPr>
      <w:r>
        <w:rPr>
          <w:color w:val="auto"/>
        </w:rPr>
        <w:t>本企业对上述声明内容的真实性负责。如有虚假，将依法承担相应责任。</w:t>
      </w:r>
    </w:p>
    <w:p>
      <w:pPr>
        <w:spacing w:line="360" w:lineRule="auto"/>
        <w:ind w:firstLine="707" w:firstLineChars="337"/>
        <w:jc w:val="left"/>
        <w:rPr>
          <w:color w:val="auto"/>
        </w:rPr>
      </w:pPr>
    </w:p>
    <w:p>
      <w:pPr>
        <w:spacing w:line="360" w:lineRule="auto"/>
        <w:ind w:firstLine="707" w:firstLineChars="337"/>
        <w:jc w:val="left"/>
        <w:rPr>
          <w:color w:val="auto"/>
        </w:rPr>
      </w:pPr>
    </w:p>
    <w:p>
      <w:pPr>
        <w:spacing w:line="480" w:lineRule="auto"/>
        <w:jc w:val="left"/>
        <w:rPr>
          <w:color w:val="auto"/>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color w:val="auto"/>
        </w:rPr>
        <w:t>：</w:t>
      </w:r>
    </w:p>
    <w:p>
      <w:pPr>
        <w:spacing w:line="480" w:lineRule="auto"/>
        <w:jc w:val="left"/>
        <w:rPr>
          <w:rFonts w:cs="Arial" w:asciiTheme="minorEastAsia" w:hAnsiTheme="minorEastAsia"/>
          <w:color w:val="auto"/>
          <w:szCs w:val="21"/>
        </w:rPr>
      </w:pPr>
      <w:r>
        <w:rPr>
          <w:color w:val="auto"/>
        </w:rPr>
        <w:t>日期：</w:t>
      </w:r>
    </w:p>
    <w:p>
      <w:pPr>
        <w:spacing w:line="480" w:lineRule="auto"/>
        <w:ind w:left="4358" w:leftChars="2075"/>
        <w:rPr>
          <w:rFonts w:cs="Arial" w:asciiTheme="minorEastAsia" w:hAnsiTheme="minorEastAsia"/>
          <w:color w:val="auto"/>
          <w:szCs w:val="21"/>
        </w:rPr>
      </w:pP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pPr>
        <w:rPr>
          <w:color w:val="auto"/>
        </w:rPr>
      </w:pPr>
    </w:p>
    <w:p>
      <w:pPr>
        <w:autoSpaceDE w:val="0"/>
        <w:autoSpaceDN w:val="0"/>
        <w:adjustRightInd w:val="0"/>
        <w:spacing w:line="360" w:lineRule="auto"/>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pStyle w:val="36"/>
        <w:ind w:left="0" w:leftChars="0" w:firstLine="0" w:firstLineChars="0"/>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lang w:val="en-US" w:eastAsia="zh-CN"/>
        </w:rPr>
        <w:t xml:space="preserve">3.7 </w:t>
      </w:r>
      <w:r>
        <w:rPr>
          <w:rFonts w:hint="eastAsia" w:ascii="宋体" w:hAnsi="宋体"/>
          <w:b/>
          <w:bCs/>
          <w:color w:val="auto"/>
          <w:sz w:val="24"/>
          <w:szCs w:val="24"/>
        </w:rPr>
        <w:t>残疾人福利性单位声明函</w:t>
      </w:r>
    </w:p>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contextualSpacing/>
        <w:rPr>
          <w:rFonts w:ascii="宋体" w:hAnsi="宋体"/>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pacing w:line="360" w:lineRule="auto"/>
        <w:contextualSpacing/>
        <w:rPr>
          <w:rFonts w:ascii="宋体" w:hAnsi="宋体"/>
          <w:color w:val="auto"/>
          <w:szCs w:val="21"/>
        </w:rPr>
      </w:pPr>
      <w:r>
        <w:rPr>
          <w:rFonts w:hint="eastAsia" w:ascii="宋体" w:hAnsi="宋体"/>
          <w:color w:val="auto"/>
          <w:szCs w:val="21"/>
        </w:rPr>
        <w:t xml:space="preserve">                                    日    期：      </w:t>
      </w:r>
      <w:r>
        <w:rPr>
          <w:rFonts w:hint="eastAsia" w:cs="宋体" w:asciiTheme="minorEastAsia" w:hAnsiTheme="minorEastAsia"/>
          <w:color w:val="auto"/>
          <w:szCs w:val="21"/>
        </w:rPr>
        <w:t>年    月    日</w:t>
      </w:r>
    </w:p>
    <w:p>
      <w:pPr>
        <w:pStyle w:val="3"/>
        <w:rPr>
          <w:color w:val="auto"/>
          <w:lang w:val="zh-CN"/>
        </w:rPr>
      </w:pPr>
    </w:p>
    <w:p>
      <w:pPr>
        <w:pStyle w:val="34"/>
        <w:rPr>
          <w:color w:val="auto"/>
          <w:lang w:val="zh-CN"/>
        </w:rPr>
      </w:pPr>
    </w:p>
    <w:p>
      <w:pPr>
        <w:pStyle w:val="35"/>
        <w:rPr>
          <w:color w:val="auto"/>
          <w:lang w:val="zh-CN"/>
        </w:rPr>
      </w:pPr>
    </w:p>
    <w:p>
      <w:pPr>
        <w:rPr>
          <w:color w:val="auto"/>
          <w:lang w:val="zh-CN"/>
        </w:rPr>
      </w:pPr>
    </w:p>
    <w:p>
      <w:pPr>
        <w:pStyle w:val="5"/>
        <w:rPr>
          <w:color w:val="auto"/>
          <w:lang w:val="zh-CN"/>
        </w:rPr>
      </w:pPr>
    </w:p>
    <w:p>
      <w:pPr>
        <w:rPr>
          <w:color w:val="auto"/>
          <w:lang w:val="zh-CN"/>
        </w:rPr>
      </w:pPr>
    </w:p>
    <w:p>
      <w:pPr>
        <w:pStyle w:val="5"/>
        <w:rPr>
          <w:color w:val="auto"/>
          <w:lang w:val="zh-CN"/>
        </w:rPr>
      </w:pPr>
    </w:p>
    <w:p>
      <w:pPr>
        <w:rPr>
          <w:color w:val="auto"/>
          <w:lang w:val="zh-CN"/>
        </w:rPr>
      </w:pPr>
    </w:p>
    <w:p>
      <w:pPr>
        <w:rPr>
          <w:color w:val="auto"/>
          <w:lang w:val="zh-CN"/>
        </w:rPr>
      </w:pPr>
    </w:p>
    <w:p>
      <w:pPr>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w:t>
      </w:r>
      <w:r>
        <w:rPr>
          <w:rFonts w:hint="eastAsia" w:ascii="宋体" w:hAnsi="宋体"/>
          <w:b/>
          <w:bCs/>
          <w:color w:val="auto"/>
          <w:sz w:val="24"/>
          <w:szCs w:val="24"/>
          <w:lang w:val="en-US" w:eastAsia="zh-CN"/>
        </w:rPr>
        <w:t>8</w:t>
      </w:r>
      <w:r>
        <w:rPr>
          <w:rFonts w:hint="eastAsia" w:ascii="宋体" w:hAnsi="宋体"/>
          <w:b/>
          <w:bCs/>
          <w:color w:val="auto"/>
          <w:sz w:val="24"/>
          <w:szCs w:val="24"/>
        </w:rPr>
        <w:t xml:space="preserve">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rPr>
          <w:color w:val="auto"/>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cs="黑体" w:asciiTheme="minorEastAsia" w:hAnsiTheme="minorEastAsia"/>
          <w:b/>
          <w:bCs/>
          <w:color w:val="auto"/>
          <w:sz w:val="28"/>
          <w:szCs w:val="28"/>
          <w:lang w:val="zh-CN"/>
        </w:rPr>
        <w:t>四、符合性审查相关材料</w:t>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4.1分项报价表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采购编号：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ind w:firstLine="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品牌</w:t>
            </w:r>
          </w:p>
          <w:p>
            <w:pPr>
              <w:autoSpaceDE w:val="0"/>
              <w:autoSpaceDN w:val="0"/>
              <w:adjustRightInd w:val="0"/>
              <w:spacing w:line="360" w:lineRule="auto"/>
              <w:ind w:firstLine="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技术</w:t>
            </w:r>
          </w:p>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ind w:firstLine="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Cs w:val="21"/>
              </w:rPr>
            </w:pPr>
            <w:r>
              <w:rPr>
                <w:rFonts w:hint="eastAsia" w:cs="宋体" w:asciiTheme="minorEastAsia" w:hAnsiTheme="minorEastAsia"/>
                <w:color w:val="auto"/>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hAnsi="宋体"/>
          <w:b/>
          <w:bCs/>
          <w:color w:val="auto"/>
          <w:sz w:val="24"/>
          <w:szCs w:val="24"/>
        </w:rPr>
      </w:pPr>
    </w:p>
    <w:p>
      <w:pPr>
        <w:autoSpaceDE w:val="0"/>
        <w:autoSpaceDN w:val="0"/>
        <w:adjustRightInd w:val="0"/>
        <w:spacing w:line="360" w:lineRule="auto"/>
        <w:outlineLvl w:val="0"/>
        <w:rPr>
          <w:rFonts w:ascii="宋体" w:hAnsi="宋体"/>
          <w:b/>
          <w:bCs/>
          <w:color w:val="auto"/>
          <w:sz w:val="24"/>
          <w:szCs w:val="24"/>
        </w:rPr>
      </w:pPr>
    </w:p>
    <w:p>
      <w:pPr>
        <w:pStyle w:val="5"/>
        <w:ind w:firstLine="482"/>
        <w:rPr>
          <w:rFonts w:ascii="宋体" w:hAnsi="宋体"/>
          <w:b/>
          <w:bCs/>
          <w:color w:val="auto"/>
          <w:sz w:val="24"/>
          <w:szCs w:val="24"/>
        </w:rPr>
      </w:pPr>
    </w:p>
    <w:p>
      <w:pPr>
        <w:rPr>
          <w:rFonts w:ascii="宋体" w:hAnsi="宋体"/>
          <w:b/>
          <w:bCs/>
          <w:color w:val="auto"/>
          <w:sz w:val="24"/>
          <w:szCs w:val="24"/>
        </w:rPr>
      </w:pPr>
    </w:p>
    <w:p>
      <w:pPr>
        <w:pStyle w:val="5"/>
        <w:ind w:firstLine="482"/>
        <w:rPr>
          <w:rFonts w:ascii="宋体" w:hAnsi="宋体"/>
          <w:b/>
          <w:bCs/>
          <w:color w:val="auto"/>
          <w:sz w:val="24"/>
          <w:szCs w:val="24"/>
        </w:rPr>
      </w:pPr>
    </w:p>
    <w:p>
      <w:pPr>
        <w:rPr>
          <w:rFonts w:ascii="宋体" w:hAnsi="宋体"/>
          <w:b/>
          <w:bCs/>
          <w:color w:val="auto"/>
          <w:sz w:val="24"/>
          <w:szCs w:val="24"/>
        </w:rPr>
      </w:pPr>
    </w:p>
    <w:p>
      <w:pPr>
        <w:pStyle w:val="5"/>
        <w:ind w:firstLine="482"/>
        <w:rPr>
          <w:rFonts w:ascii="宋体" w:hAnsi="宋体"/>
          <w:b/>
          <w:bCs/>
          <w:color w:val="auto"/>
          <w:sz w:val="24"/>
          <w:szCs w:val="24"/>
        </w:rPr>
      </w:pPr>
    </w:p>
    <w:p>
      <w:pPr>
        <w:rPr>
          <w:color w:val="auto"/>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（供应商根据谈判文件要求自行编制）</w:t>
      </w:r>
    </w:p>
    <w:p>
      <w:pPr>
        <w:pStyle w:val="5"/>
        <w:rPr>
          <w:rFonts w:cs="宋体" w:asciiTheme="minorEastAsia" w:hAnsiTheme="minorEastAsia"/>
          <w:color w:val="auto"/>
          <w:szCs w:val="21"/>
          <w:lang w:val="zh-CN"/>
        </w:rPr>
      </w:pPr>
    </w:p>
    <w:p>
      <w:pPr>
        <w:rPr>
          <w:rFonts w:cs="宋体" w:asciiTheme="minorEastAsia" w:hAnsiTheme="minorEastAsia"/>
          <w:color w:val="auto"/>
          <w:szCs w:val="21"/>
          <w:lang w:val="zh-CN"/>
        </w:rPr>
      </w:pPr>
    </w:p>
    <w:p>
      <w:pPr>
        <w:pStyle w:val="5"/>
        <w:rPr>
          <w:rFonts w:cs="宋体" w:asciiTheme="minorEastAsia" w:hAnsiTheme="minorEastAsia"/>
          <w:color w:val="auto"/>
          <w:szCs w:val="21"/>
          <w:lang w:val="zh-CN"/>
        </w:rPr>
      </w:pPr>
    </w:p>
    <w:p>
      <w:pPr>
        <w:rPr>
          <w:rFonts w:cs="宋体" w:asciiTheme="minorEastAsia" w:hAnsiTheme="minorEastAsia"/>
          <w:color w:val="auto"/>
          <w:szCs w:val="21"/>
          <w:lang w:val="zh-CN"/>
        </w:rPr>
      </w:pPr>
    </w:p>
    <w:p>
      <w:pPr>
        <w:pStyle w:val="5"/>
        <w:rPr>
          <w:rFonts w:cs="宋体" w:asciiTheme="minorEastAsia" w:hAnsiTheme="minorEastAsia"/>
          <w:color w:val="auto"/>
          <w:szCs w:val="21"/>
          <w:lang w:val="zh-CN"/>
        </w:rPr>
      </w:pPr>
    </w:p>
    <w:p>
      <w:pPr>
        <w:rPr>
          <w:rFonts w:cs="宋体" w:asciiTheme="minorEastAsia" w:hAnsiTheme="minorEastAsia"/>
          <w:color w:val="auto"/>
          <w:szCs w:val="21"/>
          <w:lang w:val="zh-CN"/>
        </w:rPr>
      </w:pPr>
    </w:p>
    <w:p>
      <w:pPr>
        <w:pStyle w:val="5"/>
        <w:rPr>
          <w:color w:val="auto"/>
        </w:rPr>
      </w:pPr>
    </w:p>
    <w:p>
      <w:pPr>
        <w:autoSpaceDE w:val="0"/>
        <w:autoSpaceDN w:val="0"/>
        <w:adjustRightInd w:val="0"/>
        <w:spacing w:line="360" w:lineRule="auto"/>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pPr>
              <w:pStyle w:val="14"/>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auto"/>
            <w:vAlign w:val="center"/>
          </w:tcPr>
          <w:p>
            <w:pPr>
              <w:pStyle w:val="14"/>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auto"/>
            <w:vAlign w:val="center"/>
          </w:tcPr>
          <w:p>
            <w:pPr>
              <w:pStyle w:val="14"/>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4"/>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auto"/>
            <w:vAlign w:val="center"/>
          </w:tcPr>
          <w:p>
            <w:pPr>
              <w:pStyle w:val="14"/>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14"/>
              <w:spacing w:line="360" w:lineRule="auto"/>
              <w:rPr>
                <w:rFonts w:ascii="宋体" w:hAnsi="宋体" w:eastAsia="宋体" w:cs="Times New Roman"/>
                <w:color w:val="auto"/>
                <w:sz w:val="21"/>
                <w:szCs w:val="21"/>
              </w:rPr>
            </w:pPr>
          </w:p>
        </w:tc>
        <w:tc>
          <w:tcPr>
            <w:tcW w:w="3579" w:type="dxa"/>
            <w:vAlign w:val="center"/>
          </w:tcPr>
          <w:p>
            <w:pPr>
              <w:pStyle w:val="14"/>
              <w:spacing w:line="360" w:lineRule="auto"/>
              <w:rPr>
                <w:rFonts w:ascii="宋体" w:hAnsi="宋体" w:eastAsia="宋体" w:cs="Times New Roman"/>
                <w:color w:val="auto"/>
                <w:sz w:val="21"/>
                <w:szCs w:val="21"/>
              </w:rPr>
            </w:pPr>
          </w:p>
        </w:tc>
        <w:tc>
          <w:tcPr>
            <w:tcW w:w="1440" w:type="dxa"/>
            <w:vAlign w:val="center"/>
          </w:tcPr>
          <w:p>
            <w:pPr>
              <w:pStyle w:val="14"/>
              <w:spacing w:line="360" w:lineRule="auto"/>
              <w:rPr>
                <w:rFonts w:ascii="宋体" w:hAnsi="宋体" w:eastAsia="宋体" w:cs="Times New Roman"/>
                <w:color w:val="auto"/>
                <w:sz w:val="21"/>
                <w:szCs w:val="21"/>
              </w:rPr>
            </w:pPr>
          </w:p>
        </w:tc>
        <w:tc>
          <w:tcPr>
            <w:tcW w:w="1706" w:type="dxa"/>
            <w:vAlign w:val="center"/>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14"/>
              <w:spacing w:line="360" w:lineRule="auto"/>
              <w:rPr>
                <w:rFonts w:ascii="宋体" w:hAnsi="宋体" w:eastAsia="宋体" w:cs="Times New Roman"/>
                <w:color w:val="auto"/>
                <w:sz w:val="21"/>
                <w:szCs w:val="21"/>
              </w:rPr>
            </w:pPr>
          </w:p>
        </w:tc>
        <w:tc>
          <w:tcPr>
            <w:tcW w:w="3579" w:type="dxa"/>
            <w:vAlign w:val="center"/>
          </w:tcPr>
          <w:p>
            <w:pPr>
              <w:pStyle w:val="14"/>
              <w:spacing w:line="360" w:lineRule="auto"/>
              <w:rPr>
                <w:rFonts w:ascii="宋体" w:hAnsi="宋体" w:eastAsia="宋体" w:cs="Times New Roman"/>
                <w:color w:val="auto"/>
                <w:sz w:val="21"/>
                <w:szCs w:val="21"/>
              </w:rPr>
            </w:pPr>
          </w:p>
        </w:tc>
        <w:tc>
          <w:tcPr>
            <w:tcW w:w="1440" w:type="dxa"/>
            <w:vAlign w:val="center"/>
          </w:tcPr>
          <w:p>
            <w:pPr>
              <w:pStyle w:val="14"/>
              <w:spacing w:line="360" w:lineRule="auto"/>
              <w:rPr>
                <w:rFonts w:ascii="宋体" w:hAnsi="宋体" w:eastAsia="宋体" w:cs="Times New Roman"/>
                <w:color w:val="auto"/>
                <w:sz w:val="21"/>
                <w:szCs w:val="21"/>
              </w:rPr>
            </w:pPr>
          </w:p>
        </w:tc>
        <w:tc>
          <w:tcPr>
            <w:tcW w:w="1706" w:type="dxa"/>
            <w:vAlign w:val="center"/>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14"/>
              <w:spacing w:line="360" w:lineRule="auto"/>
              <w:rPr>
                <w:rFonts w:ascii="宋体" w:hAnsi="宋体" w:eastAsia="宋体" w:cs="Times New Roman"/>
                <w:color w:val="auto"/>
                <w:sz w:val="21"/>
                <w:szCs w:val="21"/>
              </w:rPr>
            </w:pPr>
          </w:p>
        </w:tc>
        <w:tc>
          <w:tcPr>
            <w:tcW w:w="3579" w:type="dxa"/>
            <w:vAlign w:val="center"/>
          </w:tcPr>
          <w:p>
            <w:pPr>
              <w:pStyle w:val="14"/>
              <w:spacing w:line="360" w:lineRule="auto"/>
              <w:rPr>
                <w:rFonts w:ascii="宋体" w:hAnsi="宋体" w:eastAsia="宋体" w:cs="Times New Roman"/>
                <w:color w:val="auto"/>
                <w:sz w:val="21"/>
                <w:szCs w:val="21"/>
              </w:rPr>
            </w:pPr>
          </w:p>
        </w:tc>
        <w:tc>
          <w:tcPr>
            <w:tcW w:w="1440" w:type="dxa"/>
            <w:vAlign w:val="center"/>
          </w:tcPr>
          <w:p>
            <w:pPr>
              <w:pStyle w:val="14"/>
              <w:spacing w:line="360" w:lineRule="auto"/>
              <w:rPr>
                <w:rFonts w:ascii="宋体" w:hAnsi="宋体" w:eastAsia="宋体" w:cs="Times New Roman"/>
                <w:color w:val="auto"/>
                <w:sz w:val="21"/>
                <w:szCs w:val="21"/>
              </w:rPr>
            </w:pPr>
          </w:p>
        </w:tc>
        <w:tc>
          <w:tcPr>
            <w:tcW w:w="1706" w:type="dxa"/>
            <w:vAlign w:val="center"/>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（供应商根据谈判文件要求自行编制）</w:t>
      </w:r>
    </w:p>
    <w:p>
      <w:pPr>
        <w:pStyle w:val="11"/>
        <w:numPr>
          <w:ilvl w:val="3"/>
          <w:numId w:val="0"/>
        </w:numPr>
        <w:rPr>
          <w:color w:val="auto"/>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pStyle w:val="5"/>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宋体" w:hAnsi="宋体"/>
          <w:color w:val="auto"/>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14"/>
              <w:spacing w:line="360" w:lineRule="auto"/>
              <w:rPr>
                <w:rFonts w:ascii="宋体" w:hAnsi="宋体" w:eastAsia="宋体" w:cs="Times New Roman"/>
                <w:color w:val="auto"/>
                <w:sz w:val="21"/>
                <w:szCs w:val="21"/>
              </w:rPr>
            </w:pPr>
          </w:p>
        </w:tc>
        <w:tc>
          <w:tcPr>
            <w:tcW w:w="1518" w:type="dxa"/>
            <w:vAlign w:val="center"/>
          </w:tcPr>
          <w:p>
            <w:pPr>
              <w:pStyle w:val="14"/>
              <w:spacing w:line="360" w:lineRule="auto"/>
              <w:rPr>
                <w:rFonts w:ascii="宋体" w:hAnsi="宋体" w:eastAsia="宋体" w:cs="Times New Roman"/>
                <w:color w:val="auto"/>
                <w:sz w:val="21"/>
                <w:szCs w:val="21"/>
              </w:rPr>
            </w:pPr>
          </w:p>
        </w:tc>
        <w:tc>
          <w:tcPr>
            <w:tcW w:w="1240" w:type="dxa"/>
          </w:tcPr>
          <w:p>
            <w:pPr>
              <w:pStyle w:val="14"/>
              <w:spacing w:line="360" w:lineRule="auto"/>
              <w:rPr>
                <w:rFonts w:ascii="宋体" w:hAnsi="宋体" w:eastAsia="宋体" w:cs="Times New Roman"/>
                <w:color w:val="auto"/>
                <w:sz w:val="21"/>
                <w:szCs w:val="21"/>
              </w:rPr>
            </w:pPr>
          </w:p>
        </w:tc>
        <w:tc>
          <w:tcPr>
            <w:tcW w:w="1648" w:type="dxa"/>
          </w:tcPr>
          <w:p>
            <w:pPr>
              <w:pStyle w:val="14"/>
              <w:spacing w:line="360" w:lineRule="auto"/>
              <w:rPr>
                <w:rFonts w:ascii="宋体" w:hAnsi="宋体" w:eastAsia="宋体" w:cs="Times New Roman"/>
                <w:color w:val="auto"/>
                <w:sz w:val="21"/>
                <w:szCs w:val="21"/>
              </w:rPr>
            </w:pPr>
          </w:p>
        </w:tc>
        <w:tc>
          <w:tcPr>
            <w:tcW w:w="1600" w:type="dxa"/>
          </w:tcPr>
          <w:p>
            <w:pPr>
              <w:pStyle w:val="14"/>
              <w:spacing w:line="360" w:lineRule="auto"/>
              <w:rPr>
                <w:rFonts w:ascii="宋体" w:hAnsi="宋体" w:eastAsia="宋体" w:cs="Times New Roman"/>
                <w:color w:val="auto"/>
                <w:sz w:val="21"/>
                <w:szCs w:val="21"/>
              </w:rPr>
            </w:pPr>
          </w:p>
        </w:tc>
        <w:tc>
          <w:tcPr>
            <w:tcW w:w="1417" w:type="dxa"/>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14"/>
              <w:spacing w:line="360" w:lineRule="auto"/>
              <w:rPr>
                <w:rFonts w:ascii="宋体" w:hAnsi="宋体" w:eastAsia="宋体" w:cs="Times New Roman"/>
                <w:color w:val="auto"/>
                <w:sz w:val="21"/>
                <w:szCs w:val="21"/>
              </w:rPr>
            </w:pPr>
          </w:p>
        </w:tc>
        <w:tc>
          <w:tcPr>
            <w:tcW w:w="1518" w:type="dxa"/>
            <w:vAlign w:val="center"/>
          </w:tcPr>
          <w:p>
            <w:pPr>
              <w:pStyle w:val="14"/>
              <w:spacing w:line="360" w:lineRule="auto"/>
              <w:rPr>
                <w:rFonts w:ascii="宋体" w:hAnsi="宋体" w:eastAsia="宋体" w:cs="Times New Roman"/>
                <w:color w:val="auto"/>
                <w:sz w:val="21"/>
                <w:szCs w:val="21"/>
              </w:rPr>
            </w:pPr>
          </w:p>
        </w:tc>
        <w:tc>
          <w:tcPr>
            <w:tcW w:w="1240" w:type="dxa"/>
          </w:tcPr>
          <w:p>
            <w:pPr>
              <w:pStyle w:val="14"/>
              <w:spacing w:line="360" w:lineRule="auto"/>
              <w:rPr>
                <w:rFonts w:ascii="宋体" w:hAnsi="宋体" w:eastAsia="宋体" w:cs="Times New Roman"/>
                <w:color w:val="auto"/>
                <w:sz w:val="21"/>
                <w:szCs w:val="21"/>
              </w:rPr>
            </w:pPr>
          </w:p>
        </w:tc>
        <w:tc>
          <w:tcPr>
            <w:tcW w:w="1648" w:type="dxa"/>
          </w:tcPr>
          <w:p>
            <w:pPr>
              <w:pStyle w:val="14"/>
              <w:spacing w:line="360" w:lineRule="auto"/>
              <w:rPr>
                <w:rFonts w:ascii="宋体" w:hAnsi="宋体" w:eastAsia="宋体" w:cs="Times New Roman"/>
                <w:color w:val="auto"/>
                <w:sz w:val="21"/>
                <w:szCs w:val="21"/>
              </w:rPr>
            </w:pPr>
          </w:p>
        </w:tc>
        <w:tc>
          <w:tcPr>
            <w:tcW w:w="1600" w:type="dxa"/>
          </w:tcPr>
          <w:p>
            <w:pPr>
              <w:pStyle w:val="14"/>
              <w:spacing w:line="360" w:lineRule="auto"/>
              <w:rPr>
                <w:rFonts w:ascii="宋体" w:hAnsi="宋体" w:eastAsia="宋体" w:cs="Times New Roman"/>
                <w:color w:val="auto"/>
                <w:sz w:val="21"/>
                <w:szCs w:val="21"/>
              </w:rPr>
            </w:pPr>
          </w:p>
        </w:tc>
        <w:tc>
          <w:tcPr>
            <w:tcW w:w="1417" w:type="dxa"/>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14"/>
              <w:spacing w:line="360" w:lineRule="auto"/>
              <w:rPr>
                <w:rFonts w:ascii="宋体" w:hAnsi="宋体" w:eastAsia="宋体" w:cs="Times New Roman"/>
                <w:color w:val="auto"/>
                <w:sz w:val="21"/>
                <w:szCs w:val="21"/>
              </w:rPr>
            </w:pPr>
          </w:p>
        </w:tc>
        <w:tc>
          <w:tcPr>
            <w:tcW w:w="1518" w:type="dxa"/>
            <w:vAlign w:val="center"/>
          </w:tcPr>
          <w:p>
            <w:pPr>
              <w:pStyle w:val="14"/>
              <w:spacing w:line="360" w:lineRule="auto"/>
              <w:rPr>
                <w:rFonts w:ascii="宋体" w:hAnsi="宋体" w:eastAsia="宋体" w:cs="Times New Roman"/>
                <w:color w:val="auto"/>
                <w:sz w:val="21"/>
                <w:szCs w:val="21"/>
              </w:rPr>
            </w:pPr>
          </w:p>
        </w:tc>
        <w:tc>
          <w:tcPr>
            <w:tcW w:w="1240" w:type="dxa"/>
          </w:tcPr>
          <w:p>
            <w:pPr>
              <w:pStyle w:val="14"/>
              <w:spacing w:line="360" w:lineRule="auto"/>
              <w:rPr>
                <w:rFonts w:ascii="宋体" w:hAnsi="宋体" w:eastAsia="宋体" w:cs="Times New Roman"/>
                <w:color w:val="auto"/>
                <w:sz w:val="21"/>
                <w:szCs w:val="21"/>
              </w:rPr>
            </w:pPr>
          </w:p>
        </w:tc>
        <w:tc>
          <w:tcPr>
            <w:tcW w:w="1648" w:type="dxa"/>
          </w:tcPr>
          <w:p>
            <w:pPr>
              <w:pStyle w:val="14"/>
              <w:spacing w:line="360" w:lineRule="auto"/>
              <w:rPr>
                <w:rFonts w:ascii="宋体" w:hAnsi="宋体" w:eastAsia="宋体" w:cs="Times New Roman"/>
                <w:color w:val="auto"/>
                <w:sz w:val="21"/>
                <w:szCs w:val="21"/>
              </w:rPr>
            </w:pPr>
          </w:p>
        </w:tc>
        <w:tc>
          <w:tcPr>
            <w:tcW w:w="1600" w:type="dxa"/>
          </w:tcPr>
          <w:p>
            <w:pPr>
              <w:pStyle w:val="14"/>
              <w:spacing w:line="360" w:lineRule="auto"/>
              <w:rPr>
                <w:rFonts w:ascii="宋体" w:hAnsi="宋体" w:eastAsia="宋体" w:cs="Times New Roman"/>
                <w:color w:val="auto"/>
                <w:sz w:val="21"/>
                <w:szCs w:val="21"/>
              </w:rPr>
            </w:pPr>
          </w:p>
        </w:tc>
        <w:tc>
          <w:tcPr>
            <w:tcW w:w="1417" w:type="dxa"/>
          </w:tcPr>
          <w:p>
            <w:pPr>
              <w:pStyle w:val="14"/>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pStyle w:val="11"/>
        <w:numPr>
          <w:ilvl w:val="3"/>
          <w:numId w:val="0"/>
        </w:numPr>
        <w:rPr>
          <w:color w:val="auto"/>
        </w:rPr>
      </w:pPr>
    </w:p>
    <w:p>
      <w:pPr>
        <w:rPr>
          <w:color w:val="auto"/>
        </w:rPr>
      </w:pPr>
    </w:p>
    <w:p>
      <w:pPr>
        <w:autoSpaceDE w:val="0"/>
        <w:autoSpaceDN w:val="0"/>
        <w:adjustRightInd w:val="0"/>
        <w:spacing w:line="360" w:lineRule="auto"/>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宋体" w:hAnsi="宋体"/>
          <w:color w:val="auto"/>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blHeader/>
        </w:trPr>
        <w:tc>
          <w:tcPr>
            <w:tcW w:w="526"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14"/>
              <w:spacing w:line="360" w:lineRule="auto"/>
              <w:rPr>
                <w:rFonts w:ascii="宋体" w:hAnsi="宋体" w:eastAsia="宋体" w:cs="Times New Roman"/>
                <w:color w:val="auto"/>
                <w:sz w:val="21"/>
                <w:szCs w:val="21"/>
              </w:rPr>
            </w:pPr>
          </w:p>
        </w:tc>
        <w:tc>
          <w:tcPr>
            <w:tcW w:w="1518" w:type="dxa"/>
            <w:vAlign w:val="center"/>
          </w:tcPr>
          <w:p>
            <w:pPr>
              <w:pStyle w:val="14"/>
              <w:spacing w:line="360" w:lineRule="auto"/>
              <w:rPr>
                <w:rFonts w:ascii="宋体" w:hAnsi="宋体" w:eastAsia="宋体" w:cs="Times New Roman"/>
                <w:color w:val="auto"/>
                <w:sz w:val="21"/>
                <w:szCs w:val="21"/>
              </w:rPr>
            </w:pPr>
          </w:p>
        </w:tc>
        <w:tc>
          <w:tcPr>
            <w:tcW w:w="1240" w:type="dxa"/>
          </w:tcPr>
          <w:p>
            <w:pPr>
              <w:pStyle w:val="14"/>
              <w:spacing w:line="360" w:lineRule="auto"/>
              <w:rPr>
                <w:rFonts w:ascii="宋体" w:hAnsi="宋体" w:eastAsia="宋体" w:cs="Times New Roman"/>
                <w:color w:val="auto"/>
                <w:sz w:val="21"/>
                <w:szCs w:val="21"/>
              </w:rPr>
            </w:pPr>
          </w:p>
        </w:tc>
        <w:tc>
          <w:tcPr>
            <w:tcW w:w="1648" w:type="dxa"/>
          </w:tcPr>
          <w:p>
            <w:pPr>
              <w:pStyle w:val="14"/>
              <w:spacing w:line="360" w:lineRule="auto"/>
              <w:rPr>
                <w:rFonts w:ascii="宋体" w:hAnsi="宋体" w:eastAsia="宋体" w:cs="Times New Roman"/>
                <w:color w:val="auto"/>
                <w:sz w:val="21"/>
                <w:szCs w:val="21"/>
              </w:rPr>
            </w:pPr>
          </w:p>
        </w:tc>
        <w:tc>
          <w:tcPr>
            <w:tcW w:w="1600" w:type="dxa"/>
          </w:tcPr>
          <w:p>
            <w:pPr>
              <w:pStyle w:val="14"/>
              <w:spacing w:line="360" w:lineRule="auto"/>
              <w:rPr>
                <w:rFonts w:ascii="宋体" w:hAnsi="宋体" w:eastAsia="宋体" w:cs="Times New Roman"/>
                <w:color w:val="auto"/>
                <w:sz w:val="21"/>
                <w:szCs w:val="21"/>
              </w:rPr>
            </w:pPr>
          </w:p>
        </w:tc>
        <w:tc>
          <w:tcPr>
            <w:tcW w:w="1417" w:type="dxa"/>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14"/>
              <w:spacing w:line="360" w:lineRule="auto"/>
              <w:rPr>
                <w:rFonts w:ascii="宋体" w:hAnsi="宋体" w:eastAsia="宋体" w:cs="Times New Roman"/>
                <w:color w:val="auto"/>
                <w:sz w:val="21"/>
                <w:szCs w:val="21"/>
              </w:rPr>
            </w:pPr>
          </w:p>
        </w:tc>
        <w:tc>
          <w:tcPr>
            <w:tcW w:w="1518" w:type="dxa"/>
            <w:vAlign w:val="center"/>
          </w:tcPr>
          <w:p>
            <w:pPr>
              <w:pStyle w:val="14"/>
              <w:spacing w:line="360" w:lineRule="auto"/>
              <w:rPr>
                <w:rFonts w:ascii="宋体" w:hAnsi="宋体" w:eastAsia="宋体" w:cs="Times New Roman"/>
                <w:color w:val="auto"/>
                <w:sz w:val="21"/>
                <w:szCs w:val="21"/>
              </w:rPr>
            </w:pPr>
          </w:p>
        </w:tc>
        <w:tc>
          <w:tcPr>
            <w:tcW w:w="1240" w:type="dxa"/>
          </w:tcPr>
          <w:p>
            <w:pPr>
              <w:pStyle w:val="14"/>
              <w:spacing w:line="360" w:lineRule="auto"/>
              <w:rPr>
                <w:rFonts w:ascii="宋体" w:hAnsi="宋体" w:eastAsia="宋体" w:cs="Times New Roman"/>
                <w:color w:val="auto"/>
                <w:sz w:val="21"/>
                <w:szCs w:val="21"/>
              </w:rPr>
            </w:pPr>
          </w:p>
        </w:tc>
        <w:tc>
          <w:tcPr>
            <w:tcW w:w="1648" w:type="dxa"/>
          </w:tcPr>
          <w:p>
            <w:pPr>
              <w:pStyle w:val="14"/>
              <w:spacing w:line="360" w:lineRule="auto"/>
              <w:rPr>
                <w:rFonts w:ascii="宋体" w:hAnsi="宋体" w:eastAsia="宋体" w:cs="Times New Roman"/>
                <w:color w:val="auto"/>
                <w:sz w:val="21"/>
                <w:szCs w:val="21"/>
              </w:rPr>
            </w:pPr>
          </w:p>
        </w:tc>
        <w:tc>
          <w:tcPr>
            <w:tcW w:w="1600" w:type="dxa"/>
          </w:tcPr>
          <w:p>
            <w:pPr>
              <w:pStyle w:val="14"/>
              <w:spacing w:line="360" w:lineRule="auto"/>
              <w:rPr>
                <w:rFonts w:ascii="宋体" w:hAnsi="宋体" w:eastAsia="宋体" w:cs="Times New Roman"/>
                <w:color w:val="auto"/>
                <w:sz w:val="21"/>
                <w:szCs w:val="21"/>
              </w:rPr>
            </w:pPr>
          </w:p>
        </w:tc>
        <w:tc>
          <w:tcPr>
            <w:tcW w:w="1417" w:type="dxa"/>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14"/>
              <w:spacing w:line="360" w:lineRule="auto"/>
              <w:rPr>
                <w:rFonts w:ascii="宋体" w:hAnsi="宋体" w:eastAsia="宋体" w:cs="Times New Roman"/>
                <w:color w:val="auto"/>
                <w:sz w:val="21"/>
                <w:szCs w:val="21"/>
              </w:rPr>
            </w:pPr>
          </w:p>
        </w:tc>
        <w:tc>
          <w:tcPr>
            <w:tcW w:w="1518" w:type="dxa"/>
            <w:vAlign w:val="center"/>
          </w:tcPr>
          <w:p>
            <w:pPr>
              <w:pStyle w:val="14"/>
              <w:spacing w:line="360" w:lineRule="auto"/>
              <w:rPr>
                <w:rFonts w:ascii="宋体" w:hAnsi="宋体" w:eastAsia="宋体" w:cs="Times New Roman"/>
                <w:color w:val="auto"/>
                <w:sz w:val="21"/>
                <w:szCs w:val="21"/>
              </w:rPr>
            </w:pPr>
          </w:p>
        </w:tc>
        <w:tc>
          <w:tcPr>
            <w:tcW w:w="1240" w:type="dxa"/>
          </w:tcPr>
          <w:p>
            <w:pPr>
              <w:pStyle w:val="14"/>
              <w:spacing w:line="360" w:lineRule="auto"/>
              <w:rPr>
                <w:rFonts w:ascii="宋体" w:hAnsi="宋体" w:eastAsia="宋体" w:cs="Times New Roman"/>
                <w:color w:val="auto"/>
                <w:sz w:val="21"/>
                <w:szCs w:val="21"/>
              </w:rPr>
            </w:pPr>
          </w:p>
        </w:tc>
        <w:tc>
          <w:tcPr>
            <w:tcW w:w="1648" w:type="dxa"/>
          </w:tcPr>
          <w:p>
            <w:pPr>
              <w:pStyle w:val="14"/>
              <w:spacing w:line="360" w:lineRule="auto"/>
              <w:rPr>
                <w:rFonts w:ascii="宋体" w:hAnsi="宋体" w:eastAsia="宋体" w:cs="Times New Roman"/>
                <w:color w:val="auto"/>
                <w:sz w:val="21"/>
                <w:szCs w:val="21"/>
              </w:rPr>
            </w:pPr>
          </w:p>
        </w:tc>
        <w:tc>
          <w:tcPr>
            <w:tcW w:w="1600" w:type="dxa"/>
          </w:tcPr>
          <w:p>
            <w:pPr>
              <w:pStyle w:val="14"/>
              <w:spacing w:line="360" w:lineRule="auto"/>
              <w:rPr>
                <w:rFonts w:ascii="宋体" w:hAnsi="宋体" w:eastAsia="宋体" w:cs="Times New Roman"/>
                <w:color w:val="auto"/>
                <w:sz w:val="21"/>
                <w:szCs w:val="21"/>
              </w:rPr>
            </w:pPr>
          </w:p>
        </w:tc>
        <w:tc>
          <w:tcPr>
            <w:tcW w:w="1417" w:type="dxa"/>
          </w:tcPr>
          <w:p>
            <w:pPr>
              <w:pStyle w:val="14"/>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Theme="minorEastAsia" w:hAnsiTheme="minorEastAsia"/>
          <w:color w:val="auto"/>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blHeader/>
        </w:trPr>
        <w:tc>
          <w:tcPr>
            <w:tcW w:w="526"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14"/>
              <w:spacing w:line="360" w:lineRule="auto"/>
              <w:rPr>
                <w:rFonts w:ascii="宋体" w:hAnsi="宋体" w:eastAsia="宋体" w:cs="Times New Roman"/>
                <w:color w:val="auto"/>
                <w:sz w:val="21"/>
                <w:szCs w:val="21"/>
              </w:rPr>
            </w:pPr>
          </w:p>
        </w:tc>
        <w:tc>
          <w:tcPr>
            <w:tcW w:w="1518" w:type="dxa"/>
            <w:vAlign w:val="center"/>
          </w:tcPr>
          <w:p>
            <w:pPr>
              <w:pStyle w:val="14"/>
              <w:spacing w:line="360" w:lineRule="auto"/>
              <w:rPr>
                <w:rFonts w:ascii="宋体" w:hAnsi="宋体" w:eastAsia="宋体" w:cs="Times New Roman"/>
                <w:color w:val="auto"/>
                <w:sz w:val="21"/>
                <w:szCs w:val="21"/>
              </w:rPr>
            </w:pPr>
          </w:p>
        </w:tc>
        <w:tc>
          <w:tcPr>
            <w:tcW w:w="1240" w:type="dxa"/>
          </w:tcPr>
          <w:p>
            <w:pPr>
              <w:pStyle w:val="14"/>
              <w:spacing w:line="360" w:lineRule="auto"/>
              <w:rPr>
                <w:rFonts w:ascii="宋体" w:hAnsi="宋体" w:eastAsia="宋体" w:cs="Times New Roman"/>
                <w:color w:val="auto"/>
                <w:sz w:val="21"/>
                <w:szCs w:val="21"/>
              </w:rPr>
            </w:pPr>
          </w:p>
        </w:tc>
        <w:tc>
          <w:tcPr>
            <w:tcW w:w="1648" w:type="dxa"/>
          </w:tcPr>
          <w:p>
            <w:pPr>
              <w:pStyle w:val="14"/>
              <w:spacing w:line="360" w:lineRule="auto"/>
              <w:rPr>
                <w:rFonts w:ascii="宋体" w:hAnsi="宋体" w:eastAsia="宋体" w:cs="Times New Roman"/>
                <w:color w:val="auto"/>
                <w:sz w:val="21"/>
                <w:szCs w:val="21"/>
              </w:rPr>
            </w:pPr>
          </w:p>
        </w:tc>
        <w:tc>
          <w:tcPr>
            <w:tcW w:w="1600" w:type="dxa"/>
          </w:tcPr>
          <w:p>
            <w:pPr>
              <w:pStyle w:val="14"/>
              <w:spacing w:line="360" w:lineRule="auto"/>
              <w:rPr>
                <w:rFonts w:ascii="宋体" w:hAnsi="宋体" w:eastAsia="宋体" w:cs="Times New Roman"/>
                <w:color w:val="auto"/>
                <w:sz w:val="21"/>
                <w:szCs w:val="21"/>
              </w:rPr>
            </w:pPr>
          </w:p>
        </w:tc>
        <w:tc>
          <w:tcPr>
            <w:tcW w:w="1417" w:type="dxa"/>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14"/>
              <w:spacing w:line="360" w:lineRule="auto"/>
              <w:rPr>
                <w:rFonts w:ascii="宋体" w:hAnsi="宋体" w:eastAsia="宋体" w:cs="Times New Roman"/>
                <w:color w:val="auto"/>
                <w:sz w:val="21"/>
                <w:szCs w:val="21"/>
              </w:rPr>
            </w:pPr>
          </w:p>
        </w:tc>
        <w:tc>
          <w:tcPr>
            <w:tcW w:w="1518" w:type="dxa"/>
            <w:vAlign w:val="center"/>
          </w:tcPr>
          <w:p>
            <w:pPr>
              <w:pStyle w:val="14"/>
              <w:spacing w:line="360" w:lineRule="auto"/>
              <w:rPr>
                <w:rFonts w:ascii="宋体" w:hAnsi="宋体" w:eastAsia="宋体" w:cs="Times New Roman"/>
                <w:color w:val="auto"/>
                <w:sz w:val="21"/>
                <w:szCs w:val="21"/>
              </w:rPr>
            </w:pPr>
          </w:p>
        </w:tc>
        <w:tc>
          <w:tcPr>
            <w:tcW w:w="1240" w:type="dxa"/>
          </w:tcPr>
          <w:p>
            <w:pPr>
              <w:pStyle w:val="14"/>
              <w:spacing w:line="360" w:lineRule="auto"/>
              <w:rPr>
                <w:rFonts w:ascii="宋体" w:hAnsi="宋体" w:eastAsia="宋体" w:cs="Times New Roman"/>
                <w:color w:val="auto"/>
                <w:sz w:val="21"/>
                <w:szCs w:val="21"/>
              </w:rPr>
            </w:pPr>
          </w:p>
        </w:tc>
        <w:tc>
          <w:tcPr>
            <w:tcW w:w="1648" w:type="dxa"/>
          </w:tcPr>
          <w:p>
            <w:pPr>
              <w:pStyle w:val="14"/>
              <w:spacing w:line="360" w:lineRule="auto"/>
              <w:rPr>
                <w:rFonts w:ascii="宋体" w:hAnsi="宋体" w:eastAsia="宋体" w:cs="Times New Roman"/>
                <w:color w:val="auto"/>
                <w:sz w:val="21"/>
                <w:szCs w:val="21"/>
              </w:rPr>
            </w:pPr>
          </w:p>
        </w:tc>
        <w:tc>
          <w:tcPr>
            <w:tcW w:w="1600" w:type="dxa"/>
          </w:tcPr>
          <w:p>
            <w:pPr>
              <w:pStyle w:val="14"/>
              <w:spacing w:line="360" w:lineRule="auto"/>
              <w:rPr>
                <w:rFonts w:ascii="宋体" w:hAnsi="宋体" w:eastAsia="宋体" w:cs="Times New Roman"/>
                <w:color w:val="auto"/>
                <w:sz w:val="21"/>
                <w:szCs w:val="21"/>
              </w:rPr>
            </w:pPr>
          </w:p>
        </w:tc>
        <w:tc>
          <w:tcPr>
            <w:tcW w:w="1417" w:type="dxa"/>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14"/>
              <w:spacing w:line="360" w:lineRule="auto"/>
              <w:rPr>
                <w:rFonts w:ascii="宋体" w:hAnsi="宋体" w:eastAsia="宋体" w:cs="Times New Roman"/>
                <w:color w:val="auto"/>
                <w:sz w:val="21"/>
                <w:szCs w:val="21"/>
              </w:rPr>
            </w:pPr>
          </w:p>
        </w:tc>
        <w:tc>
          <w:tcPr>
            <w:tcW w:w="1518" w:type="dxa"/>
            <w:vAlign w:val="center"/>
          </w:tcPr>
          <w:p>
            <w:pPr>
              <w:pStyle w:val="14"/>
              <w:spacing w:line="360" w:lineRule="auto"/>
              <w:rPr>
                <w:rFonts w:ascii="宋体" w:hAnsi="宋体" w:eastAsia="宋体" w:cs="Times New Roman"/>
                <w:color w:val="auto"/>
                <w:sz w:val="21"/>
                <w:szCs w:val="21"/>
              </w:rPr>
            </w:pPr>
          </w:p>
        </w:tc>
        <w:tc>
          <w:tcPr>
            <w:tcW w:w="1240" w:type="dxa"/>
          </w:tcPr>
          <w:p>
            <w:pPr>
              <w:pStyle w:val="14"/>
              <w:spacing w:line="360" w:lineRule="auto"/>
              <w:rPr>
                <w:rFonts w:ascii="宋体" w:hAnsi="宋体" w:eastAsia="宋体" w:cs="Times New Roman"/>
                <w:color w:val="auto"/>
                <w:sz w:val="21"/>
                <w:szCs w:val="21"/>
              </w:rPr>
            </w:pPr>
          </w:p>
        </w:tc>
        <w:tc>
          <w:tcPr>
            <w:tcW w:w="1648" w:type="dxa"/>
          </w:tcPr>
          <w:p>
            <w:pPr>
              <w:pStyle w:val="14"/>
              <w:spacing w:line="360" w:lineRule="auto"/>
              <w:rPr>
                <w:rFonts w:ascii="宋体" w:hAnsi="宋体" w:eastAsia="宋体" w:cs="Times New Roman"/>
                <w:color w:val="auto"/>
                <w:sz w:val="21"/>
                <w:szCs w:val="21"/>
              </w:rPr>
            </w:pPr>
          </w:p>
        </w:tc>
        <w:tc>
          <w:tcPr>
            <w:tcW w:w="1600" w:type="dxa"/>
          </w:tcPr>
          <w:p>
            <w:pPr>
              <w:pStyle w:val="14"/>
              <w:spacing w:line="360" w:lineRule="auto"/>
              <w:rPr>
                <w:rFonts w:ascii="宋体" w:hAnsi="宋体" w:eastAsia="宋体" w:cs="Times New Roman"/>
                <w:color w:val="auto"/>
                <w:sz w:val="21"/>
                <w:szCs w:val="21"/>
              </w:rPr>
            </w:pPr>
          </w:p>
        </w:tc>
        <w:tc>
          <w:tcPr>
            <w:tcW w:w="1417" w:type="dxa"/>
          </w:tcPr>
          <w:p>
            <w:pPr>
              <w:pStyle w:val="14"/>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ind w:left="630" w:hanging="630" w:hangingChars="300"/>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9</w:t>
      </w:r>
      <w:r>
        <w:rPr>
          <w:rFonts w:hint="eastAsia" w:ascii="宋体" w:hAnsi="宋体"/>
          <w:b/>
          <w:bCs/>
          <w:color w:val="auto"/>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auto"/>
          <w:sz w:val="28"/>
          <w:szCs w:val="28"/>
        </w:rPr>
      </w:pPr>
    </w:p>
    <w:p>
      <w:pPr>
        <w:spacing w:line="360" w:lineRule="auto"/>
        <w:jc w:val="center"/>
        <w:rPr>
          <w:rFonts w:cs="黑体" w:asciiTheme="minorEastAsia" w:hAnsiTheme="minorEastAsia"/>
          <w:b/>
          <w:bCs/>
          <w:color w:val="auto"/>
          <w:sz w:val="44"/>
          <w:szCs w:val="44"/>
          <w:lang w:val="zh-CN"/>
        </w:rPr>
      </w:pPr>
      <w:r>
        <w:rPr>
          <w:rFonts w:hint="eastAsia" w:ascii="宋体" w:hAnsi="宋体" w:cs="Arial"/>
          <w:color w:val="auto"/>
          <w:kern w:val="0"/>
          <w:szCs w:val="21"/>
        </w:rPr>
        <w:t>供应商所投产品涉及国家有属强制性规定的，须承诺其所投产品符合国家强制性要求（如CCC认证，格式自拟）</w:t>
      </w:r>
    </w:p>
    <w:p>
      <w:pPr>
        <w:pStyle w:val="11"/>
        <w:numPr>
          <w:ilvl w:val="3"/>
          <w:numId w:val="0"/>
        </w:numPr>
        <w:rPr>
          <w:color w:val="auto"/>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val="0"/>
          <w:bCs w:val="0"/>
          <w:color w:val="auto"/>
          <w:sz w:val="21"/>
          <w:szCs w:val="21"/>
        </w:rPr>
      </w:pPr>
      <w:r>
        <w:rPr>
          <w:rFonts w:ascii="宋体" w:hAnsi="宋体"/>
          <w:b w:val="0"/>
          <w:bCs w:val="0"/>
          <w:color w:val="auto"/>
          <w:sz w:val="21"/>
          <w:szCs w:val="21"/>
        </w:rPr>
        <w:t>除</w:t>
      </w:r>
      <w:r>
        <w:rPr>
          <w:rFonts w:hint="eastAsia" w:ascii="宋体" w:hAnsi="宋体"/>
          <w:b w:val="0"/>
          <w:bCs w:val="0"/>
          <w:color w:val="auto"/>
          <w:sz w:val="21"/>
          <w:szCs w:val="21"/>
        </w:rPr>
        <w:t>谈判</w:t>
      </w:r>
      <w:r>
        <w:rPr>
          <w:rFonts w:ascii="宋体" w:hAnsi="宋体"/>
          <w:b w:val="0"/>
          <w:bCs w:val="0"/>
          <w:color w:val="auto"/>
          <w:sz w:val="21"/>
          <w:szCs w:val="21"/>
        </w:rPr>
        <w:t>文件另有规定外，</w:t>
      </w:r>
      <w:r>
        <w:rPr>
          <w:rFonts w:hint="eastAsia" w:ascii="宋体" w:hAnsi="宋体"/>
          <w:b w:val="0"/>
          <w:bCs w:val="0"/>
          <w:color w:val="auto"/>
          <w:sz w:val="21"/>
          <w:szCs w:val="21"/>
        </w:rPr>
        <w:t>供应商</w:t>
      </w:r>
      <w:r>
        <w:rPr>
          <w:rFonts w:ascii="宋体" w:hAnsi="宋体"/>
          <w:b w:val="0"/>
          <w:bCs w:val="0"/>
          <w:color w:val="auto"/>
          <w:sz w:val="21"/>
          <w:szCs w:val="21"/>
        </w:rPr>
        <w:t>认为需要提交的其他证明材料或资料加盖</w:t>
      </w:r>
      <w:r>
        <w:rPr>
          <w:rFonts w:hint="eastAsia" w:ascii="宋体" w:hAnsi="宋体"/>
          <w:b w:val="0"/>
          <w:bCs w:val="0"/>
          <w:color w:val="auto"/>
          <w:sz w:val="21"/>
          <w:szCs w:val="21"/>
        </w:rPr>
        <w:t>供应商</w:t>
      </w:r>
      <w:r>
        <w:rPr>
          <w:rFonts w:ascii="宋体" w:hAnsi="宋体"/>
          <w:b w:val="0"/>
          <w:bCs w:val="0"/>
          <w:color w:val="auto"/>
          <w:sz w:val="21"/>
          <w:szCs w:val="21"/>
        </w:rPr>
        <w:t>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bookmarkEnd w:id="2"/>
    <w:sectPr>
      <w:footerReference r:id="rId3"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Courier New"/>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文本框 1"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v:path/>
          <v:fill on="f" focussize="0,0"/>
          <v:stroke on="f" joinstyle="miter"/>
          <v:imagedata o:title=""/>
          <o:lock v:ext="edit"/>
          <v:textbox inset="0mm,0mm,0mm,0mm" style="mso-fit-shape-to-text:t;">
            <w:txbxContent>
              <w:p>
                <w:pPr>
                  <w:pStyle w:val="21"/>
                </w:pPr>
                <w:r>
                  <w:fldChar w:fldCharType="begin"/>
                </w:r>
                <w:r>
                  <w:instrText xml:space="preserve"> PAGE  \* MERGEFORMAT </w:instrText>
                </w:r>
                <w:r>
                  <w:fldChar w:fldCharType="separate"/>
                </w:r>
                <w:r>
                  <w:t>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493672"/>
    <w:multiLevelType w:val="singleLevel"/>
    <w:tmpl w:val="EF493672"/>
    <w:lvl w:ilvl="0" w:tentative="0">
      <w:start w:val="2"/>
      <w:numFmt w:val="decimal"/>
      <w:suff w:val="nothing"/>
      <w:lvlText w:val="（%1）"/>
      <w:lvlJc w:val="left"/>
    </w:lvl>
  </w:abstractNum>
  <w:abstractNum w:abstractNumId="1">
    <w:nsid w:val="00000006"/>
    <w:multiLevelType w:val="multilevel"/>
    <w:tmpl w:val="00000006"/>
    <w:lvl w:ilvl="0" w:tentative="0">
      <w:start w:val="1"/>
      <w:numFmt w:val="chineseCountingThousand"/>
      <w:pStyle w:val="8"/>
      <w:suff w:val="nothing"/>
      <w:lvlText w:val="第%1部分"/>
      <w:lvlJc w:val="center"/>
      <w:pPr>
        <w:ind w:left="-288" w:firstLine="288"/>
      </w:pPr>
      <w:rPr>
        <w:rFonts w:hint="eastAsia"/>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6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428C85BE"/>
    <w:multiLevelType w:val="singleLevel"/>
    <w:tmpl w:val="428C85BE"/>
    <w:lvl w:ilvl="0" w:tentative="0">
      <w:start w:val="2"/>
      <w:numFmt w:val="chineseCounting"/>
      <w:suff w:val="space"/>
      <w:lvlText w:val="%1、"/>
      <w:lvlJc w:val="left"/>
      <w:rPr>
        <w:rFonts w:hint="eastAsia"/>
      </w:rPr>
    </w:lvl>
  </w:abstractNum>
  <w:abstractNum w:abstractNumId="6">
    <w:nsid w:val="59F817E8"/>
    <w:multiLevelType w:val="singleLevel"/>
    <w:tmpl w:val="59F817E8"/>
    <w:lvl w:ilvl="0" w:tentative="0">
      <w:start w:val="1"/>
      <w:numFmt w:val="chineseCounting"/>
      <w:pStyle w:val="66"/>
      <w:suff w:val="nothing"/>
      <w:lvlText w:val="%1、"/>
      <w:lvlJc w:val="left"/>
    </w:lvl>
  </w:abstractNum>
  <w:abstractNum w:abstractNumId="7">
    <w:nsid w:val="630FA47E"/>
    <w:multiLevelType w:val="singleLevel"/>
    <w:tmpl w:val="630FA47E"/>
    <w:lvl w:ilvl="0" w:tentative="0">
      <w:start w:val="1"/>
      <w:numFmt w:val="chineseCounting"/>
      <w:suff w:val="nothing"/>
      <w:lvlText w:val="%1、"/>
      <w:lvlJc w:val="left"/>
      <w:rPr>
        <w:rFonts w:hint="eastAsia"/>
      </w:rPr>
    </w:lvl>
  </w:abstractNum>
  <w:abstractNum w:abstractNumId="8">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num w:numId="1">
    <w:abstractNumId w:val="1"/>
  </w:num>
  <w:num w:numId="2">
    <w:abstractNumId w:val="2"/>
  </w:num>
  <w:num w:numId="3">
    <w:abstractNumId w:val="6"/>
  </w:num>
  <w:num w:numId="4">
    <w:abstractNumId w:val="0"/>
  </w:num>
  <w:num w:numId="5">
    <w:abstractNumId w:val="7"/>
  </w:num>
  <w:num w:numId="6">
    <w:abstractNumId w:val="10"/>
  </w:num>
  <w:num w:numId="7">
    <w:abstractNumId w:val="3"/>
  </w:num>
  <w:num w:numId="8">
    <w:abstractNumId w:val="8"/>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JhZmZmNzIzN2U0NDdjNGYyMDVjOWE5NTljYjJhNDkifQ=="/>
  </w:docVars>
  <w:rsids>
    <w:rsidRoot w:val="00D51569"/>
    <w:rsid w:val="000069EC"/>
    <w:rsid w:val="00007470"/>
    <w:rsid w:val="000112AC"/>
    <w:rsid w:val="0001195E"/>
    <w:rsid w:val="0001598A"/>
    <w:rsid w:val="000173D4"/>
    <w:rsid w:val="000227BF"/>
    <w:rsid w:val="00023076"/>
    <w:rsid w:val="00030B34"/>
    <w:rsid w:val="00031CF4"/>
    <w:rsid w:val="000418F9"/>
    <w:rsid w:val="00046E42"/>
    <w:rsid w:val="0005454B"/>
    <w:rsid w:val="0007027E"/>
    <w:rsid w:val="00072339"/>
    <w:rsid w:val="00074D05"/>
    <w:rsid w:val="000800D2"/>
    <w:rsid w:val="00080389"/>
    <w:rsid w:val="00083387"/>
    <w:rsid w:val="0008414A"/>
    <w:rsid w:val="00090009"/>
    <w:rsid w:val="00091C9C"/>
    <w:rsid w:val="00095387"/>
    <w:rsid w:val="00096224"/>
    <w:rsid w:val="0009640F"/>
    <w:rsid w:val="000A02BB"/>
    <w:rsid w:val="000A73BC"/>
    <w:rsid w:val="000B3383"/>
    <w:rsid w:val="000B36D7"/>
    <w:rsid w:val="000B4057"/>
    <w:rsid w:val="000B44D3"/>
    <w:rsid w:val="000B4BAC"/>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25A07"/>
    <w:rsid w:val="00134A7E"/>
    <w:rsid w:val="001415B4"/>
    <w:rsid w:val="00147BC4"/>
    <w:rsid w:val="00152541"/>
    <w:rsid w:val="00154EA8"/>
    <w:rsid w:val="001618ED"/>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B0E59"/>
    <w:rsid w:val="001C04D2"/>
    <w:rsid w:val="001C0A13"/>
    <w:rsid w:val="001C26CD"/>
    <w:rsid w:val="001C2B6A"/>
    <w:rsid w:val="001C761E"/>
    <w:rsid w:val="001D06FF"/>
    <w:rsid w:val="001D1CBB"/>
    <w:rsid w:val="001D33AD"/>
    <w:rsid w:val="001D33DA"/>
    <w:rsid w:val="001D4C00"/>
    <w:rsid w:val="001E0524"/>
    <w:rsid w:val="001E25D9"/>
    <w:rsid w:val="001E592F"/>
    <w:rsid w:val="001E76C9"/>
    <w:rsid w:val="001F7199"/>
    <w:rsid w:val="00206982"/>
    <w:rsid w:val="002078AE"/>
    <w:rsid w:val="00210B90"/>
    <w:rsid w:val="00213F11"/>
    <w:rsid w:val="00214892"/>
    <w:rsid w:val="00224D01"/>
    <w:rsid w:val="00231307"/>
    <w:rsid w:val="00234627"/>
    <w:rsid w:val="00241A41"/>
    <w:rsid w:val="002426C4"/>
    <w:rsid w:val="002436B4"/>
    <w:rsid w:val="00246A17"/>
    <w:rsid w:val="00252623"/>
    <w:rsid w:val="00255732"/>
    <w:rsid w:val="002559C0"/>
    <w:rsid w:val="00257206"/>
    <w:rsid w:val="002615C0"/>
    <w:rsid w:val="00262B6F"/>
    <w:rsid w:val="00264014"/>
    <w:rsid w:val="002659C7"/>
    <w:rsid w:val="00266F45"/>
    <w:rsid w:val="00267EE6"/>
    <w:rsid w:val="002709BD"/>
    <w:rsid w:val="002732E0"/>
    <w:rsid w:val="00276150"/>
    <w:rsid w:val="002847E1"/>
    <w:rsid w:val="002871DE"/>
    <w:rsid w:val="002872FE"/>
    <w:rsid w:val="002908DD"/>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D7C23"/>
    <w:rsid w:val="002E0D3B"/>
    <w:rsid w:val="002E18BD"/>
    <w:rsid w:val="002E3D0E"/>
    <w:rsid w:val="002E4CED"/>
    <w:rsid w:val="002E58B7"/>
    <w:rsid w:val="002E6378"/>
    <w:rsid w:val="002F11CE"/>
    <w:rsid w:val="002F23BC"/>
    <w:rsid w:val="002F2D13"/>
    <w:rsid w:val="002F3BDA"/>
    <w:rsid w:val="002F4580"/>
    <w:rsid w:val="003011BE"/>
    <w:rsid w:val="00303972"/>
    <w:rsid w:val="00303F10"/>
    <w:rsid w:val="0030443F"/>
    <w:rsid w:val="00307D84"/>
    <w:rsid w:val="0031002E"/>
    <w:rsid w:val="003155E9"/>
    <w:rsid w:val="003158D3"/>
    <w:rsid w:val="003169BF"/>
    <w:rsid w:val="00320D6C"/>
    <w:rsid w:val="00324B7E"/>
    <w:rsid w:val="0032784A"/>
    <w:rsid w:val="00330D3D"/>
    <w:rsid w:val="0033421C"/>
    <w:rsid w:val="003347F9"/>
    <w:rsid w:val="00336F5A"/>
    <w:rsid w:val="00337A0F"/>
    <w:rsid w:val="00346744"/>
    <w:rsid w:val="003509A7"/>
    <w:rsid w:val="003518EF"/>
    <w:rsid w:val="0037221E"/>
    <w:rsid w:val="00375394"/>
    <w:rsid w:val="003812AE"/>
    <w:rsid w:val="00382E5B"/>
    <w:rsid w:val="00386F17"/>
    <w:rsid w:val="003916C5"/>
    <w:rsid w:val="0039230E"/>
    <w:rsid w:val="003929E8"/>
    <w:rsid w:val="003A05BE"/>
    <w:rsid w:val="003A1280"/>
    <w:rsid w:val="003B103B"/>
    <w:rsid w:val="003B1D5B"/>
    <w:rsid w:val="003B34F7"/>
    <w:rsid w:val="003C0C24"/>
    <w:rsid w:val="003C481F"/>
    <w:rsid w:val="003C6D19"/>
    <w:rsid w:val="003D2645"/>
    <w:rsid w:val="003D2DF6"/>
    <w:rsid w:val="003D4E8A"/>
    <w:rsid w:val="003E5ADF"/>
    <w:rsid w:val="003E7C66"/>
    <w:rsid w:val="003F4D82"/>
    <w:rsid w:val="003F6A90"/>
    <w:rsid w:val="00410B19"/>
    <w:rsid w:val="00416591"/>
    <w:rsid w:val="00421F3E"/>
    <w:rsid w:val="00425386"/>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2FF5"/>
    <w:rsid w:val="00496BD4"/>
    <w:rsid w:val="0049794D"/>
    <w:rsid w:val="004A4441"/>
    <w:rsid w:val="004A698D"/>
    <w:rsid w:val="004A713D"/>
    <w:rsid w:val="004B3CF2"/>
    <w:rsid w:val="004B620B"/>
    <w:rsid w:val="004B6F24"/>
    <w:rsid w:val="004C1117"/>
    <w:rsid w:val="004C2A4D"/>
    <w:rsid w:val="004D0712"/>
    <w:rsid w:val="004D3082"/>
    <w:rsid w:val="004D7BED"/>
    <w:rsid w:val="004E0DFB"/>
    <w:rsid w:val="004E450C"/>
    <w:rsid w:val="004E547A"/>
    <w:rsid w:val="004E5E79"/>
    <w:rsid w:val="004F1683"/>
    <w:rsid w:val="004F1700"/>
    <w:rsid w:val="00501F13"/>
    <w:rsid w:val="0050326F"/>
    <w:rsid w:val="00504A26"/>
    <w:rsid w:val="00506193"/>
    <w:rsid w:val="0051114C"/>
    <w:rsid w:val="00513C0A"/>
    <w:rsid w:val="00520164"/>
    <w:rsid w:val="005222C3"/>
    <w:rsid w:val="005254AD"/>
    <w:rsid w:val="00527604"/>
    <w:rsid w:val="00532D1B"/>
    <w:rsid w:val="00535B8D"/>
    <w:rsid w:val="00536DD2"/>
    <w:rsid w:val="00540B2F"/>
    <w:rsid w:val="005411DE"/>
    <w:rsid w:val="00546251"/>
    <w:rsid w:val="005462AC"/>
    <w:rsid w:val="0055332A"/>
    <w:rsid w:val="00555EDE"/>
    <w:rsid w:val="0056657E"/>
    <w:rsid w:val="00567C1C"/>
    <w:rsid w:val="005701A3"/>
    <w:rsid w:val="005711DE"/>
    <w:rsid w:val="00571763"/>
    <w:rsid w:val="00573241"/>
    <w:rsid w:val="00575C9D"/>
    <w:rsid w:val="005779B2"/>
    <w:rsid w:val="00581F58"/>
    <w:rsid w:val="00586CD2"/>
    <w:rsid w:val="00592785"/>
    <w:rsid w:val="005940FF"/>
    <w:rsid w:val="00596914"/>
    <w:rsid w:val="005A0C27"/>
    <w:rsid w:val="005A19A9"/>
    <w:rsid w:val="005A225E"/>
    <w:rsid w:val="005A33DA"/>
    <w:rsid w:val="005A49BE"/>
    <w:rsid w:val="005A7E7E"/>
    <w:rsid w:val="005B1144"/>
    <w:rsid w:val="005B14F6"/>
    <w:rsid w:val="005B180E"/>
    <w:rsid w:val="005B39AC"/>
    <w:rsid w:val="005B4048"/>
    <w:rsid w:val="005B511E"/>
    <w:rsid w:val="005B7E03"/>
    <w:rsid w:val="005C09F8"/>
    <w:rsid w:val="005C21AE"/>
    <w:rsid w:val="005C4642"/>
    <w:rsid w:val="005D1597"/>
    <w:rsid w:val="005D4EBE"/>
    <w:rsid w:val="005D51C3"/>
    <w:rsid w:val="005D6674"/>
    <w:rsid w:val="005F4274"/>
    <w:rsid w:val="00600324"/>
    <w:rsid w:val="00603ED5"/>
    <w:rsid w:val="00605FD5"/>
    <w:rsid w:val="00612130"/>
    <w:rsid w:val="00614C74"/>
    <w:rsid w:val="00622142"/>
    <w:rsid w:val="006230E7"/>
    <w:rsid w:val="00630932"/>
    <w:rsid w:val="00631795"/>
    <w:rsid w:val="0063252A"/>
    <w:rsid w:val="00636AAD"/>
    <w:rsid w:val="00637A19"/>
    <w:rsid w:val="0064175E"/>
    <w:rsid w:val="00642E4D"/>
    <w:rsid w:val="00645105"/>
    <w:rsid w:val="00650176"/>
    <w:rsid w:val="00651710"/>
    <w:rsid w:val="00652F79"/>
    <w:rsid w:val="0065322E"/>
    <w:rsid w:val="006533B0"/>
    <w:rsid w:val="00654154"/>
    <w:rsid w:val="0065447A"/>
    <w:rsid w:val="006560E7"/>
    <w:rsid w:val="0065614C"/>
    <w:rsid w:val="006616D3"/>
    <w:rsid w:val="0066238D"/>
    <w:rsid w:val="0066706E"/>
    <w:rsid w:val="00667D06"/>
    <w:rsid w:val="0067327E"/>
    <w:rsid w:val="00675A3C"/>
    <w:rsid w:val="006778F4"/>
    <w:rsid w:val="00690150"/>
    <w:rsid w:val="0069574E"/>
    <w:rsid w:val="00695B12"/>
    <w:rsid w:val="006A1483"/>
    <w:rsid w:val="006A3953"/>
    <w:rsid w:val="006A4956"/>
    <w:rsid w:val="006A6187"/>
    <w:rsid w:val="006A6E3E"/>
    <w:rsid w:val="006B1138"/>
    <w:rsid w:val="006B25F5"/>
    <w:rsid w:val="006B34C4"/>
    <w:rsid w:val="006C4E06"/>
    <w:rsid w:val="006C6F1B"/>
    <w:rsid w:val="006D0369"/>
    <w:rsid w:val="006D2CF0"/>
    <w:rsid w:val="006D2D95"/>
    <w:rsid w:val="006D71B0"/>
    <w:rsid w:val="006D71DF"/>
    <w:rsid w:val="006E21C6"/>
    <w:rsid w:val="006F1019"/>
    <w:rsid w:val="006F15D2"/>
    <w:rsid w:val="006F7C4F"/>
    <w:rsid w:val="007050C8"/>
    <w:rsid w:val="00714D78"/>
    <w:rsid w:val="00724498"/>
    <w:rsid w:val="007303E5"/>
    <w:rsid w:val="00733E11"/>
    <w:rsid w:val="00736C7C"/>
    <w:rsid w:val="0075258E"/>
    <w:rsid w:val="00752DA3"/>
    <w:rsid w:val="007622D4"/>
    <w:rsid w:val="00763CD2"/>
    <w:rsid w:val="0076522A"/>
    <w:rsid w:val="007707E3"/>
    <w:rsid w:val="00772353"/>
    <w:rsid w:val="0077399E"/>
    <w:rsid w:val="00775E81"/>
    <w:rsid w:val="0078097A"/>
    <w:rsid w:val="00783715"/>
    <w:rsid w:val="007873DE"/>
    <w:rsid w:val="0078746E"/>
    <w:rsid w:val="0078798E"/>
    <w:rsid w:val="00791B7A"/>
    <w:rsid w:val="007A1051"/>
    <w:rsid w:val="007A5A56"/>
    <w:rsid w:val="007A7C26"/>
    <w:rsid w:val="007B2B51"/>
    <w:rsid w:val="007B7FCE"/>
    <w:rsid w:val="007C0625"/>
    <w:rsid w:val="007C1E03"/>
    <w:rsid w:val="007C74CE"/>
    <w:rsid w:val="007E5B97"/>
    <w:rsid w:val="007E6BFA"/>
    <w:rsid w:val="007E6FAA"/>
    <w:rsid w:val="007F042C"/>
    <w:rsid w:val="007F216A"/>
    <w:rsid w:val="007F22FC"/>
    <w:rsid w:val="007F4688"/>
    <w:rsid w:val="008040FC"/>
    <w:rsid w:val="00813D6C"/>
    <w:rsid w:val="00814BC6"/>
    <w:rsid w:val="00815958"/>
    <w:rsid w:val="0081674C"/>
    <w:rsid w:val="008167A4"/>
    <w:rsid w:val="008169E7"/>
    <w:rsid w:val="0081722A"/>
    <w:rsid w:val="008235E7"/>
    <w:rsid w:val="00824331"/>
    <w:rsid w:val="00826F27"/>
    <w:rsid w:val="008305FE"/>
    <w:rsid w:val="00833A9C"/>
    <w:rsid w:val="008358AC"/>
    <w:rsid w:val="00841FEE"/>
    <w:rsid w:val="00845294"/>
    <w:rsid w:val="00845E76"/>
    <w:rsid w:val="00846366"/>
    <w:rsid w:val="00847EB4"/>
    <w:rsid w:val="0085561E"/>
    <w:rsid w:val="0085589E"/>
    <w:rsid w:val="00867743"/>
    <w:rsid w:val="0087084F"/>
    <w:rsid w:val="0087132C"/>
    <w:rsid w:val="00874EE6"/>
    <w:rsid w:val="00877984"/>
    <w:rsid w:val="008814AB"/>
    <w:rsid w:val="00883016"/>
    <w:rsid w:val="00887377"/>
    <w:rsid w:val="00890942"/>
    <w:rsid w:val="008953C5"/>
    <w:rsid w:val="008A6416"/>
    <w:rsid w:val="008B110D"/>
    <w:rsid w:val="008B4548"/>
    <w:rsid w:val="008B618F"/>
    <w:rsid w:val="008C64CC"/>
    <w:rsid w:val="008D05C1"/>
    <w:rsid w:val="008D2E1A"/>
    <w:rsid w:val="008E16F1"/>
    <w:rsid w:val="008E5B73"/>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99D"/>
    <w:rsid w:val="00946F0D"/>
    <w:rsid w:val="00951D5E"/>
    <w:rsid w:val="009564F5"/>
    <w:rsid w:val="0096341B"/>
    <w:rsid w:val="00965EE4"/>
    <w:rsid w:val="009703B2"/>
    <w:rsid w:val="00971959"/>
    <w:rsid w:val="00971CF1"/>
    <w:rsid w:val="00971DF8"/>
    <w:rsid w:val="009739C3"/>
    <w:rsid w:val="009748D7"/>
    <w:rsid w:val="009757E6"/>
    <w:rsid w:val="00983B30"/>
    <w:rsid w:val="009853BF"/>
    <w:rsid w:val="0098663F"/>
    <w:rsid w:val="00992786"/>
    <w:rsid w:val="00992A2E"/>
    <w:rsid w:val="00992AB2"/>
    <w:rsid w:val="00996D87"/>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4FA2"/>
    <w:rsid w:val="009D63BC"/>
    <w:rsid w:val="009E135A"/>
    <w:rsid w:val="009E2327"/>
    <w:rsid w:val="009E2A41"/>
    <w:rsid w:val="009E3AD6"/>
    <w:rsid w:val="009E53E2"/>
    <w:rsid w:val="009F2898"/>
    <w:rsid w:val="009F3688"/>
    <w:rsid w:val="00A0082D"/>
    <w:rsid w:val="00A02881"/>
    <w:rsid w:val="00A04DD5"/>
    <w:rsid w:val="00A10F0B"/>
    <w:rsid w:val="00A1438F"/>
    <w:rsid w:val="00A153DA"/>
    <w:rsid w:val="00A2333F"/>
    <w:rsid w:val="00A256F1"/>
    <w:rsid w:val="00A306ED"/>
    <w:rsid w:val="00A31F71"/>
    <w:rsid w:val="00A33A18"/>
    <w:rsid w:val="00A37751"/>
    <w:rsid w:val="00A46EDA"/>
    <w:rsid w:val="00A52E66"/>
    <w:rsid w:val="00A541CC"/>
    <w:rsid w:val="00A54462"/>
    <w:rsid w:val="00A60670"/>
    <w:rsid w:val="00A62928"/>
    <w:rsid w:val="00A641CD"/>
    <w:rsid w:val="00A6586D"/>
    <w:rsid w:val="00A706A0"/>
    <w:rsid w:val="00A74B92"/>
    <w:rsid w:val="00A74F81"/>
    <w:rsid w:val="00A80516"/>
    <w:rsid w:val="00A84578"/>
    <w:rsid w:val="00A94D7E"/>
    <w:rsid w:val="00A95B6C"/>
    <w:rsid w:val="00A95C8D"/>
    <w:rsid w:val="00A95EA0"/>
    <w:rsid w:val="00A96F5A"/>
    <w:rsid w:val="00AA0B3A"/>
    <w:rsid w:val="00AA23BA"/>
    <w:rsid w:val="00AA6F4A"/>
    <w:rsid w:val="00AB15FD"/>
    <w:rsid w:val="00AB37ED"/>
    <w:rsid w:val="00AC081D"/>
    <w:rsid w:val="00AC5A33"/>
    <w:rsid w:val="00AC766D"/>
    <w:rsid w:val="00AC7F46"/>
    <w:rsid w:val="00AD442D"/>
    <w:rsid w:val="00AD77A9"/>
    <w:rsid w:val="00AE142E"/>
    <w:rsid w:val="00AE3026"/>
    <w:rsid w:val="00AE3F48"/>
    <w:rsid w:val="00AE585D"/>
    <w:rsid w:val="00AF6E1F"/>
    <w:rsid w:val="00B007A9"/>
    <w:rsid w:val="00B010D9"/>
    <w:rsid w:val="00B01786"/>
    <w:rsid w:val="00B02D99"/>
    <w:rsid w:val="00B03A96"/>
    <w:rsid w:val="00B03AE3"/>
    <w:rsid w:val="00B05B6E"/>
    <w:rsid w:val="00B060ED"/>
    <w:rsid w:val="00B06B6D"/>
    <w:rsid w:val="00B12972"/>
    <w:rsid w:val="00B17A0C"/>
    <w:rsid w:val="00B22360"/>
    <w:rsid w:val="00B22DAC"/>
    <w:rsid w:val="00B2470B"/>
    <w:rsid w:val="00B26927"/>
    <w:rsid w:val="00B3585D"/>
    <w:rsid w:val="00B35F15"/>
    <w:rsid w:val="00B3774D"/>
    <w:rsid w:val="00B40CD0"/>
    <w:rsid w:val="00B44C64"/>
    <w:rsid w:val="00B44FF5"/>
    <w:rsid w:val="00B51CBD"/>
    <w:rsid w:val="00B52793"/>
    <w:rsid w:val="00B5412E"/>
    <w:rsid w:val="00B6230B"/>
    <w:rsid w:val="00B62649"/>
    <w:rsid w:val="00B62715"/>
    <w:rsid w:val="00B723D2"/>
    <w:rsid w:val="00B72ABF"/>
    <w:rsid w:val="00B734DD"/>
    <w:rsid w:val="00B7472A"/>
    <w:rsid w:val="00B80BDE"/>
    <w:rsid w:val="00B81DDB"/>
    <w:rsid w:val="00B87403"/>
    <w:rsid w:val="00B94DFB"/>
    <w:rsid w:val="00BA59A5"/>
    <w:rsid w:val="00BA6F2D"/>
    <w:rsid w:val="00BA703E"/>
    <w:rsid w:val="00BB0837"/>
    <w:rsid w:val="00BB0BAC"/>
    <w:rsid w:val="00BB1626"/>
    <w:rsid w:val="00BB60EF"/>
    <w:rsid w:val="00BB6478"/>
    <w:rsid w:val="00BB6D0A"/>
    <w:rsid w:val="00BC4519"/>
    <w:rsid w:val="00BC6C68"/>
    <w:rsid w:val="00BD35E0"/>
    <w:rsid w:val="00BE0803"/>
    <w:rsid w:val="00BF4562"/>
    <w:rsid w:val="00BF49BB"/>
    <w:rsid w:val="00BF6206"/>
    <w:rsid w:val="00BF6B3B"/>
    <w:rsid w:val="00C02173"/>
    <w:rsid w:val="00C0537F"/>
    <w:rsid w:val="00C13A29"/>
    <w:rsid w:val="00C14BFB"/>
    <w:rsid w:val="00C21F92"/>
    <w:rsid w:val="00C24F01"/>
    <w:rsid w:val="00C25F2B"/>
    <w:rsid w:val="00C27457"/>
    <w:rsid w:val="00C318AC"/>
    <w:rsid w:val="00C32265"/>
    <w:rsid w:val="00C32DA0"/>
    <w:rsid w:val="00C3589C"/>
    <w:rsid w:val="00C35F7B"/>
    <w:rsid w:val="00C43592"/>
    <w:rsid w:val="00C44F98"/>
    <w:rsid w:val="00C46F35"/>
    <w:rsid w:val="00C513E0"/>
    <w:rsid w:val="00C51450"/>
    <w:rsid w:val="00C52D91"/>
    <w:rsid w:val="00C53C71"/>
    <w:rsid w:val="00C54034"/>
    <w:rsid w:val="00C54556"/>
    <w:rsid w:val="00C56D2B"/>
    <w:rsid w:val="00C57617"/>
    <w:rsid w:val="00C60B8E"/>
    <w:rsid w:val="00C67918"/>
    <w:rsid w:val="00C73C00"/>
    <w:rsid w:val="00C73DB4"/>
    <w:rsid w:val="00C75839"/>
    <w:rsid w:val="00C80C5C"/>
    <w:rsid w:val="00C81686"/>
    <w:rsid w:val="00C83353"/>
    <w:rsid w:val="00C8359A"/>
    <w:rsid w:val="00C84321"/>
    <w:rsid w:val="00C87D15"/>
    <w:rsid w:val="00C958B7"/>
    <w:rsid w:val="00C968BF"/>
    <w:rsid w:val="00CA3DC9"/>
    <w:rsid w:val="00CB1679"/>
    <w:rsid w:val="00CC1F2F"/>
    <w:rsid w:val="00CD4B44"/>
    <w:rsid w:val="00CE47BA"/>
    <w:rsid w:val="00CE67CF"/>
    <w:rsid w:val="00CF1B6F"/>
    <w:rsid w:val="00CF35E8"/>
    <w:rsid w:val="00D02114"/>
    <w:rsid w:val="00D03A94"/>
    <w:rsid w:val="00D16DEC"/>
    <w:rsid w:val="00D17F85"/>
    <w:rsid w:val="00D2175A"/>
    <w:rsid w:val="00D23C5E"/>
    <w:rsid w:val="00D26DE5"/>
    <w:rsid w:val="00D30AC2"/>
    <w:rsid w:val="00D30CA6"/>
    <w:rsid w:val="00D31AF4"/>
    <w:rsid w:val="00D47B48"/>
    <w:rsid w:val="00D51569"/>
    <w:rsid w:val="00D51C46"/>
    <w:rsid w:val="00D62770"/>
    <w:rsid w:val="00D70A72"/>
    <w:rsid w:val="00D75B1F"/>
    <w:rsid w:val="00D75FD1"/>
    <w:rsid w:val="00D821B0"/>
    <w:rsid w:val="00D82300"/>
    <w:rsid w:val="00D82E65"/>
    <w:rsid w:val="00D955CB"/>
    <w:rsid w:val="00D96B66"/>
    <w:rsid w:val="00DA2DBB"/>
    <w:rsid w:val="00DB0E94"/>
    <w:rsid w:val="00DB3D3C"/>
    <w:rsid w:val="00DB4EAC"/>
    <w:rsid w:val="00DB6873"/>
    <w:rsid w:val="00DC1A17"/>
    <w:rsid w:val="00DC2D6F"/>
    <w:rsid w:val="00DD192C"/>
    <w:rsid w:val="00DD2316"/>
    <w:rsid w:val="00DD3761"/>
    <w:rsid w:val="00DD3EB1"/>
    <w:rsid w:val="00DD4CFA"/>
    <w:rsid w:val="00DD5E68"/>
    <w:rsid w:val="00DE3D5A"/>
    <w:rsid w:val="00DE4081"/>
    <w:rsid w:val="00DE518C"/>
    <w:rsid w:val="00DE5717"/>
    <w:rsid w:val="00DE7EB2"/>
    <w:rsid w:val="00DF0659"/>
    <w:rsid w:val="00E07755"/>
    <w:rsid w:val="00E13097"/>
    <w:rsid w:val="00E218F5"/>
    <w:rsid w:val="00E225D8"/>
    <w:rsid w:val="00E33652"/>
    <w:rsid w:val="00E338C7"/>
    <w:rsid w:val="00E34CB3"/>
    <w:rsid w:val="00E410FF"/>
    <w:rsid w:val="00E47083"/>
    <w:rsid w:val="00E52555"/>
    <w:rsid w:val="00E52CC2"/>
    <w:rsid w:val="00E5529D"/>
    <w:rsid w:val="00E60BAE"/>
    <w:rsid w:val="00E635CF"/>
    <w:rsid w:val="00E7064E"/>
    <w:rsid w:val="00E7195A"/>
    <w:rsid w:val="00E722B7"/>
    <w:rsid w:val="00E73C1D"/>
    <w:rsid w:val="00E77ABE"/>
    <w:rsid w:val="00E8777D"/>
    <w:rsid w:val="00E909DB"/>
    <w:rsid w:val="00E923D8"/>
    <w:rsid w:val="00E971A0"/>
    <w:rsid w:val="00EA0AC6"/>
    <w:rsid w:val="00EA2482"/>
    <w:rsid w:val="00EA2C50"/>
    <w:rsid w:val="00EA7A5F"/>
    <w:rsid w:val="00EB129D"/>
    <w:rsid w:val="00EB28B0"/>
    <w:rsid w:val="00EC484B"/>
    <w:rsid w:val="00EC4B87"/>
    <w:rsid w:val="00EC5194"/>
    <w:rsid w:val="00EC600B"/>
    <w:rsid w:val="00ED390E"/>
    <w:rsid w:val="00ED5C44"/>
    <w:rsid w:val="00ED72AF"/>
    <w:rsid w:val="00ED7B22"/>
    <w:rsid w:val="00EE03C4"/>
    <w:rsid w:val="00EE07D8"/>
    <w:rsid w:val="00EE2C71"/>
    <w:rsid w:val="00EE74E8"/>
    <w:rsid w:val="00EF0221"/>
    <w:rsid w:val="00EF7F8C"/>
    <w:rsid w:val="00F02D15"/>
    <w:rsid w:val="00F03E1C"/>
    <w:rsid w:val="00F16292"/>
    <w:rsid w:val="00F25F89"/>
    <w:rsid w:val="00F262A0"/>
    <w:rsid w:val="00F266A9"/>
    <w:rsid w:val="00F2770F"/>
    <w:rsid w:val="00F363B0"/>
    <w:rsid w:val="00F37ED1"/>
    <w:rsid w:val="00F42763"/>
    <w:rsid w:val="00F445E6"/>
    <w:rsid w:val="00F44C16"/>
    <w:rsid w:val="00F44CDC"/>
    <w:rsid w:val="00F45E08"/>
    <w:rsid w:val="00F509A1"/>
    <w:rsid w:val="00F544D0"/>
    <w:rsid w:val="00F546D3"/>
    <w:rsid w:val="00F55770"/>
    <w:rsid w:val="00F64655"/>
    <w:rsid w:val="00F64A3F"/>
    <w:rsid w:val="00F66AF5"/>
    <w:rsid w:val="00F67C47"/>
    <w:rsid w:val="00F77BE2"/>
    <w:rsid w:val="00F80181"/>
    <w:rsid w:val="00F80C67"/>
    <w:rsid w:val="00F82BA2"/>
    <w:rsid w:val="00F92BFB"/>
    <w:rsid w:val="00F9441A"/>
    <w:rsid w:val="00FA0047"/>
    <w:rsid w:val="00FA44E8"/>
    <w:rsid w:val="00FA6EDD"/>
    <w:rsid w:val="00FB2E22"/>
    <w:rsid w:val="00FB5348"/>
    <w:rsid w:val="00FB5796"/>
    <w:rsid w:val="00FB6F1A"/>
    <w:rsid w:val="00FC04EC"/>
    <w:rsid w:val="00FC302B"/>
    <w:rsid w:val="00FC5DCD"/>
    <w:rsid w:val="00FD14EE"/>
    <w:rsid w:val="00FD2FCB"/>
    <w:rsid w:val="00FD37A3"/>
    <w:rsid w:val="00FE5AD6"/>
    <w:rsid w:val="00FF04A6"/>
    <w:rsid w:val="011D2710"/>
    <w:rsid w:val="015E675E"/>
    <w:rsid w:val="01AC6CD8"/>
    <w:rsid w:val="01CD2E9D"/>
    <w:rsid w:val="020E02AA"/>
    <w:rsid w:val="02257485"/>
    <w:rsid w:val="023B7AFE"/>
    <w:rsid w:val="02EA4E80"/>
    <w:rsid w:val="033321E5"/>
    <w:rsid w:val="036412FD"/>
    <w:rsid w:val="03642F3A"/>
    <w:rsid w:val="050C464D"/>
    <w:rsid w:val="05251973"/>
    <w:rsid w:val="05B54F34"/>
    <w:rsid w:val="05D102A2"/>
    <w:rsid w:val="0652201E"/>
    <w:rsid w:val="065C4178"/>
    <w:rsid w:val="066C351A"/>
    <w:rsid w:val="067D3496"/>
    <w:rsid w:val="06E371F8"/>
    <w:rsid w:val="070E3765"/>
    <w:rsid w:val="07733ED3"/>
    <w:rsid w:val="07777916"/>
    <w:rsid w:val="079A26F9"/>
    <w:rsid w:val="079A689E"/>
    <w:rsid w:val="0804293C"/>
    <w:rsid w:val="082C4FE6"/>
    <w:rsid w:val="088E2DA9"/>
    <w:rsid w:val="09C37472"/>
    <w:rsid w:val="0A2D0C1C"/>
    <w:rsid w:val="0A473E93"/>
    <w:rsid w:val="0A746776"/>
    <w:rsid w:val="0A927DA2"/>
    <w:rsid w:val="0AD32B7F"/>
    <w:rsid w:val="0AFF60DE"/>
    <w:rsid w:val="0B8C6B1D"/>
    <w:rsid w:val="0C904259"/>
    <w:rsid w:val="0C981A08"/>
    <w:rsid w:val="0C9B273A"/>
    <w:rsid w:val="0CDC0459"/>
    <w:rsid w:val="0CE85A8D"/>
    <w:rsid w:val="0D185B61"/>
    <w:rsid w:val="0D2622BF"/>
    <w:rsid w:val="0D6026F2"/>
    <w:rsid w:val="0D6975D2"/>
    <w:rsid w:val="0DD3723A"/>
    <w:rsid w:val="0E14442A"/>
    <w:rsid w:val="0EAA0890"/>
    <w:rsid w:val="0EDC43A3"/>
    <w:rsid w:val="0EE9262B"/>
    <w:rsid w:val="0EE97B8E"/>
    <w:rsid w:val="0EED42F1"/>
    <w:rsid w:val="0EF80A44"/>
    <w:rsid w:val="0F0F0F63"/>
    <w:rsid w:val="0F292F65"/>
    <w:rsid w:val="0F3B3D47"/>
    <w:rsid w:val="0F961F0A"/>
    <w:rsid w:val="0FDD7B3F"/>
    <w:rsid w:val="109630D4"/>
    <w:rsid w:val="10D5709A"/>
    <w:rsid w:val="11213053"/>
    <w:rsid w:val="11A93813"/>
    <w:rsid w:val="1215360D"/>
    <w:rsid w:val="123E4294"/>
    <w:rsid w:val="12EC456E"/>
    <w:rsid w:val="12F9459F"/>
    <w:rsid w:val="13557D81"/>
    <w:rsid w:val="13706DBD"/>
    <w:rsid w:val="13C72FDB"/>
    <w:rsid w:val="13F255EB"/>
    <w:rsid w:val="13FF1FA1"/>
    <w:rsid w:val="144362BE"/>
    <w:rsid w:val="14737324"/>
    <w:rsid w:val="148D6DCE"/>
    <w:rsid w:val="14A37090"/>
    <w:rsid w:val="14D86122"/>
    <w:rsid w:val="14EA3CF5"/>
    <w:rsid w:val="150C4F0B"/>
    <w:rsid w:val="155F3801"/>
    <w:rsid w:val="159F7737"/>
    <w:rsid w:val="15C72F70"/>
    <w:rsid w:val="1644527A"/>
    <w:rsid w:val="16884EA2"/>
    <w:rsid w:val="16F60120"/>
    <w:rsid w:val="17636C96"/>
    <w:rsid w:val="176C0575"/>
    <w:rsid w:val="177E15D6"/>
    <w:rsid w:val="17B30CC5"/>
    <w:rsid w:val="17C42EFF"/>
    <w:rsid w:val="17CD65DD"/>
    <w:rsid w:val="17EA51A2"/>
    <w:rsid w:val="185B5194"/>
    <w:rsid w:val="18856BD6"/>
    <w:rsid w:val="18BA00F9"/>
    <w:rsid w:val="194D2A56"/>
    <w:rsid w:val="1A181462"/>
    <w:rsid w:val="1A393593"/>
    <w:rsid w:val="1A464258"/>
    <w:rsid w:val="1AB634E7"/>
    <w:rsid w:val="1BAC3676"/>
    <w:rsid w:val="1BD03EF1"/>
    <w:rsid w:val="1BFD3750"/>
    <w:rsid w:val="1C0D0E22"/>
    <w:rsid w:val="1C3C6048"/>
    <w:rsid w:val="1CA75985"/>
    <w:rsid w:val="1CCF1ADD"/>
    <w:rsid w:val="1CD8278F"/>
    <w:rsid w:val="1D3D2567"/>
    <w:rsid w:val="1D9A4838"/>
    <w:rsid w:val="1DD64980"/>
    <w:rsid w:val="1DE978C4"/>
    <w:rsid w:val="1DEF574F"/>
    <w:rsid w:val="1E2051B0"/>
    <w:rsid w:val="1E521E5C"/>
    <w:rsid w:val="1ED878F4"/>
    <w:rsid w:val="1F1675B1"/>
    <w:rsid w:val="1F9A2354"/>
    <w:rsid w:val="1FDB1308"/>
    <w:rsid w:val="201B693E"/>
    <w:rsid w:val="20AB5326"/>
    <w:rsid w:val="21200178"/>
    <w:rsid w:val="2137422A"/>
    <w:rsid w:val="219F0AC7"/>
    <w:rsid w:val="226513C9"/>
    <w:rsid w:val="23F32A04"/>
    <w:rsid w:val="245F1FE8"/>
    <w:rsid w:val="24844ADB"/>
    <w:rsid w:val="24B72FF5"/>
    <w:rsid w:val="24E915BF"/>
    <w:rsid w:val="251534E7"/>
    <w:rsid w:val="254D4EA0"/>
    <w:rsid w:val="26217A03"/>
    <w:rsid w:val="262640BE"/>
    <w:rsid w:val="27187E25"/>
    <w:rsid w:val="271E248E"/>
    <w:rsid w:val="27821D05"/>
    <w:rsid w:val="27E7184E"/>
    <w:rsid w:val="27FE437C"/>
    <w:rsid w:val="280110F2"/>
    <w:rsid w:val="284941DC"/>
    <w:rsid w:val="28F633C2"/>
    <w:rsid w:val="292F32B9"/>
    <w:rsid w:val="29A97796"/>
    <w:rsid w:val="2A1F45FB"/>
    <w:rsid w:val="2A5C4C80"/>
    <w:rsid w:val="2A9B65A1"/>
    <w:rsid w:val="2AA71F8F"/>
    <w:rsid w:val="2AC228C2"/>
    <w:rsid w:val="2AC33130"/>
    <w:rsid w:val="2AEB1F08"/>
    <w:rsid w:val="2B8A2452"/>
    <w:rsid w:val="2BB232BD"/>
    <w:rsid w:val="2BBB0CAB"/>
    <w:rsid w:val="2BF73FF5"/>
    <w:rsid w:val="2C12402E"/>
    <w:rsid w:val="2C2B746F"/>
    <w:rsid w:val="2C8B3664"/>
    <w:rsid w:val="2CB55A9D"/>
    <w:rsid w:val="2E5B51FD"/>
    <w:rsid w:val="2E5C09FD"/>
    <w:rsid w:val="2EA75B0A"/>
    <w:rsid w:val="2EC8588E"/>
    <w:rsid w:val="2ECF07BC"/>
    <w:rsid w:val="2ED955F4"/>
    <w:rsid w:val="2F0F4330"/>
    <w:rsid w:val="2F9D4845"/>
    <w:rsid w:val="30033BF1"/>
    <w:rsid w:val="301A7EDF"/>
    <w:rsid w:val="310B75DF"/>
    <w:rsid w:val="3163741B"/>
    <w:rsid w:val="316A69FC"/>
    <w:rsid w:val="318B7228"/>
    <w:rsid w:val="32493792"/>
    <w:rsid w:val="32733DFC"/>
    <w:rsid w:val="32A366B2"/>
    <w:rsid w:val="32BA2D96"/>
    <w:rsid w:val="32C20171"/>
    <w:rsid w:val="3348062E"/>
    <w:rsid w:val="3363327C"/>
    <w:rsid w:val="34AE374B"/>
    <w:rsid w:val="3560378B"/>
    <w:rsid w:val="35827561"/>
    <w:rsid w:val="35AD3EF5"/>
    <w:rsid w:val="35B07A97"/>
    <w:rsid w:val="35B53B02"/>
    <w:rsid w:val="35E717ED"/>
    <w:rsid w:val="36A04C6E"/>
    <w:rsid w:val="36AC44ED"/>
    <w:rsid w:val="36DC44A4"/>
    <w:rsid w:val="371619FA"/>
    <w:rsid w:val="37256657"/>
    <w:rsid w:val="373607C6"/>
    <w:rsid w:val="375C57D8"/>
    <w:rsid w:val="37C170DA"/>
    <w:rsid w:val="38BA74E9"/>
    <w:rsid w:val="38DF726B"/>
    <w:rsid w:val="38FB618B"/>
    <w:rsid w:val="396963F9"/>
    <w:rsid w:val="398F18A7"/>
    <w:rsid w:val="3A4B28EC"/>
    <w:rsid w:val="3A6A2923"/>
    <w:rsid w:val="3A860534"/>
    <w:rsid w:val="3AB0548E"/>
    <w:rsid w:val="3B1F0857"/>
    <w:rsid w:val="3B1F636E"/>
    <w:rsid w:val="3B2A07E1"/>
    <w:rsid w:val="3B5B4B17"/>
    <w:rsid w:val="3BA20695"/>
    <w:rsid w:val="3C047A4D"/>
    <w:rsid w:val="3C3257B6"/>
    <w:rsid w:val="3C3E7500"/>
    <w:rsid w:val="3C575DCE"/>
    <w:rsid w:val="3C99413F"/>
    <w:rsid w:val="3CA62872"/>
    <w:rsid w:val="3CF133C8"/>
    <w:rsid w:val="3CFC65CB"/>
    <w:rsid w:val="3D2C725B"/>
    <w:rsid w:val="3E0D4F54"/>
    <w:rsid w:val="3EFE4198"/>
    <w:rsid w:val="3FB66E29"/>
    <w:rsid w:val="4057096D"/>
    <w:rsid w:val="40E9662B"/>
    <w:rsid w:val="40F12E27"/>
    <w:rsid w:val="417325FA"/>
    <w:rsid w:val="41E424CB"/>
    <w:rsid w:val="42042EE5"/>
    <w:rsid w:val="42745016"/>
    <w:rsid w:val="42747AC2"/>
    <w:rsid w:val="43963680"/>
    <w:rsid w:val="43F565F9"/>
    <w:rsid w:val="4427077C"/>
    <w:rsid w:val="45107DD5"/>
    <w:rsid w:val="454D157F"/>
    <w:rsid w:val="459C04E5"/>
    <w:rsid w:val="45AF2DEC"/>
    <w:rsid w:val="45E43B02"/>
    <w:rsid w:val="467847B1"/>
    <w:rsid w:val="4685446D"/>
    <w:rsid w:val="4748383D"/>
    <w:rsid w:val="476D64A6"/>
    <w:rsid w:val="47D81C67"/>
    <w:rsid w:val="480C2163"/>
    <w:rsid w:val="483327C3"/>
    <w:rsid w:val="484A2A04"/>
    <w:rsid w:val="48623B31"/>
    <w:rsid w:val="487B1FD3"/>
    <w:rsid w:val="487F52F6"/>
    <w:rsid w:val="48DD1682"/>
    <w:rsid w:val="48FE1123"/>
    <w:rsid w:val="4918629F"/>
    <w:rsid w:val="493E22E0"/>
    <w:rsid w:val="497D28F0"/>
    <w:rsid w:val="4A895B10"/>
    <w:rsid w:val="4B4635F5"/>
    <w:rsid w:val="4B49722A"/>
    <w:rsid w:val="4BA17E79"/>
    <w:rsid w:val="4C130973"/>
    <w:rsid w:val="4C952604"/>
    <w:rsid w:val="4CB44E0F"/>
    <w:rsid w:val="4CD07AB6"/>
    <w:rsid w:val="4CEE64C1"/>
    <w:rsid w:val="4D6F2CBC"/>
    <w:rsid w:val="4DA218C8"/>
    <w:rsid w:val="4E6F2656"/>
    <w:rsid w:val="4EAA4484"/>
    <w:rsid w:val="4EC04089"/>
    <w:rsid w:val="4EC512BE"/>
    <w:rsid w:val="4ECB4EC5"/>
    <w:rsid w:val="4F22226C"/>
    <w:rsid w:val="4F4541AF"/>
    <w:rsid w:val="4F492AE7"/>
    <w:rsid w:val="4FFF435B"/>
    <w:rsid w:val="505E73A8"/>
    <w:rsid w:val="50777382"/>
    <w:rsid w:val="50C40376"/>
    <w:rsid w:val="51363D96"/>
    <w:rsid w:val="518365E9"/>
    <w:rsid w:val="522A5218"/>
    <w:rsid w:val="5441470B"/>
    <w:rsid w:val="551D69F3"/>
    <w:rsid w:val="55213467"/>
    <w:rsid w:val="552C60AE"/>
    <w:rsid w:val="55423AE9"/>
    <w:rsid w:val="557003EF"/>
    <w:rsid w:val="55765394"/>
    <w:rsid w:val="559346D9"/>
    <w:rsid w:val="55CD5ACF"/>
    <w:rsid w:val="55D41375"/>
    <w:rsid w:val="561E2226"/>
    <w:rsid w:val="567177FF"/>
    <w:rsid w:val="56E10C5F"/>
    <w:rsid w:val="570D2635"/>
    <w:rsid w:val="571E77BD"/>
    <w:rsid w:val="572801D7"/>
    <w:rsid w:val="57321D93"/>
    <w:rsid w:val="575A15AB"/>
    <w:rsid w:val="575D02CE"/>
    <w:rsid w:val="5785131D"/>
    <w:rsid w:val="57D83E10"/>
    <w:rsid w:val="589954DC"/>
    <w:rsid w:val="58E77692"/>
    <w:rsid w:val="59115A9D"/>
    <w:rsid w:val="5927426C"/>
    <w:rsid w:val="59B06C06"/>
    <w:rsid w:val="5A482C64"/>
    <w:rsid w:val="5AAC31FA"/>
    <w:rsid w:val="5AB00F9E"/>
    <w:rsid w:val="5AD3266C"/>
    <w:rsid w:val="5BA0191B"/>
    <w:rsid w:val="5BAB69DB"/>
    <w:rsid w:val="5C4442F2"/>
    <w:rsid w:val="5C727A2A"/>
    <w:rsid w:val="5CCF49AE"/>
    <w:rsid w:val="5CD214C7"/>
    <w:rsid w:val="5CD379FF"/>
    <w:rsid w:val="5CDF79EE"/>
    <w:rsid w:val="5D0F245D"/>
    <w:rsid w:val="5D520EA4"/>
    <w:rsid w:val="5D9728C7"/>
    <w:rsid w:val="5DB53F06"/>
    <w:rsid w:val="5DBC5230"/>
    <w:rsid w:val="5DFB2CE6"/>
    <w:rsid w:val="5E2574B5"/>
    <w:rsid w:val="5E613959"/>
    <w:rsid w:val="5E6C1665"/>
    <w:rsid w:val="5F3B723E"/>
    <w:rsid w:val="5FCA2E7D"/>
    <w:rsid w:val="5FCD53E2"/>
    <w:rsid w:val="5FEB7EAE"/>
    <w:rsid w:val="60755A9B"/>
    <w:rsid w:val="607C7F63"/>
    <w:rsid w:val="608821DD"/>
    <w:rsid w:val="60F77E3E"/>
    <w:rsid w:val="614A4B79"/>
    <w:rsid w:val="616A214F"/>
    <w:rsid w:val="61B41E84"/>
    <w:rsid w:val="621D6EE4"/>
    <w:rsid w:val="62256567"/>
    <w:rsid w:val="6243006B"/>
    <w:rsid w:val="624B4636"/>
    <w:rsid w:val="625247BE"/>
    <w:rsid w:val="6292525E"/>
    <w:rsid w:val="62CD7249"/>
    <w:rsid w:val="640038EE"/>
    <w:rsid w:val="644A174B"/>
    <w:rsid w:val="644B413F"/>
    <w:rsid w:val="64680489"/>
    <w:rsid w:val="64DF582C"/>
    <w:rsid w:val="64EA2CC0"/>
    <w:rsid w:val="654B64F1"/>
    <w:rsid w:val="656D5A41"/>
    <w:rsid w:val="65A83B86"/>
    <w:rsid w:val="662C3C0B"/>
    <w:rsid w:val="6666518A"/>
    <w:rsid w:val="66A36C22"/>
    <w:rsid w:val="67140EB3"/>
    <w:rsid w:val="6765707C"/>
    <w:rsid w:val="67F95D09"/>
    <w:rsid w:val="68080DC2"/>
    <w:rsid w:val="68133FA1"/>
    <w:rsid w:val="68853B44"/>
    <w:rsid w:val="68B92688"/>
    <w:rsid w:val="69983BC4"/>
    <w:rsid w:val="69C2222A"/>
    <w:rsid w:val="69DB7ED9"/>
    <w:rsid w:val="6AFF61FD"/>
    <w:rsid w:val="6B1322D3"/>
    <w:rsid w:val="6BC54C0A"/>
    <w:rsid w:val="6C187E23"/>
    <w:rsid w:val="6C225202"/>
    <w:rsid w:val="6C331F42"/>
    <w:rsid w:val="6D003FEE"/>
    <w:rsid w:val="6D7F41B1"/>
    <w:rsid w:val="6DA76189"/>
    <w:rsid w:val="6DCC1A87"/>
    <w:rsid w:val="6DEA209F"/>
    <w:rsid w:val="6E371B75"/>
    <w:rsid w:val="6E3D3992"/>
    <w:rsid w:val="6E8F3771"/>
    <w:rsid w:val="6FCF56A0"/>
    <w:rsid w:val="708E3211"/>
    <w:rsid w:val="70A46938"/>
    <w:rsid w:val="70B346F0"/>
    <w:rsid w:val="70FC66ED"/>
    <w:rsid w:val="713779A1"/>
    <w:rsid w:val="71570483"/>
    <w:rsid w:val="718E5927"/>
    <w:rsid w:val="719B1FB7"/>
    <w:rsid w:val="71EB4281"/>
    <w:rsid w:val="71ED2F81"/>
    <w:rsid w:val="725310CC"/>
    <w:rsid w:val="72827E86"/>
    <w:rsid w:val="72BC4BA5"/>
    <w:rsid w:val="73B04761"/>
    <w:rsid w:val="742E153F"/>
    <w:rsid w:val="748B1FFA"/>
    <w:rsid w:val="74F31E31"/>
    <w:rsid w:val="75082170"/>
    <w:rsid w:val="75535311"/>
    <w:rsid w:val="755440B2"/>
    <w:rsid w:val="75BC2C57"/>
    <w:rsid w:val="76173278"/>
    <w:rsid w:val="768E15B5"/>
    <w:rsid w:val="76DA1652"/>
    <w:rsid w:val="76FC7A2C"/>
    <w:rsid w:val="770D75B6"/>
    <w:rsid w:val="77374253"/>
    <w:rsid w:val="776412E5"/>
    <w:rsid w:val="776E4D1A"/>
    <w:rsid w:val="77765373"/>
    <w:rsid w:val="77C720FB"/>
    <w:rsid w:val="78535399"/>
    <w:rsid w:val="79703A50"/>
    <w:rsid w:val="79C40BAA"/>
    <w:rsid w:val="7A3A3C5D"/>
    <w:rsid w:val="7A4C3D6B"/>
    <w:rsid w:val="7A5423D9"/>
    <w:rsid w:val="7A9343F5"/>
    <w:rsid w:val="7B40242B"/>
    <w:rsid w:val="7B63605C"/>
    <w:rsid w:val="7B7E6E23"/>
    <w:rsid w:val="7B7F0BFB"/>
    <w:rsid w:val="7BA54B1B"/>
    <w:rsid w:val="7BA57168"/>
    <w:rsid w:val="7C314A06"/>
    <w:rsid w:val="7C433F8A"/>
    <w:rsid w:val="7C5B3AC3"/>
    <w:rsid w:val="7C9A726F"/>
    <w:rsid w:val="7CDF1A1D"/>
    <w:rsid w:val="7D6A2E66"/>
    <w:rsid w:val="7DCC1688"/>
    <w:rsid w:val="7DE36F48"/>
    <w:rsid w:val="7DED0700"/>
    <w:rsid w:val="7E76666C"/>
    <w:rsid w:val="7EC84FDE"/>
    <w:rsid w:val="7F0005FE"/>
    <w:rsid w:val="7F075501"/>
    <w:rsid w:val="7F255404"/>
    <w:rsid w:val="7F743B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3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3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4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4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12">
    <w:name w:val="heading 5"/>
    <w:basedOn w:val="1"/>
    <w:next w:val="1"/>
    <w:semiHidden/>
    <w:unhideWhenUsed/>
    <w:qFormat/>
    <w:uiPriority w:val="9"/>
    <w:pPr>
      <w:keepNext/>
      <w:keepLines/>
      <w:spacing w:before="280" w:after="290"/>
      <w:jc w:val="center"/>
      <w:outlineLvl w:val="4"/>
    </w:pPr>
    <w:rPr>
      <w:rFonts w:ascii="Calibri" w:hAnsi="Calibri"/>
      <w:b/>
      <w:bCs/>
      <w:szCs w:val="28"/>
    </w:rPr>
  </w:style>
  <w:style w:type="character" w:default="1" w:styleId="29">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54"/>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43"/>
    <w:semiHidden/>
    <w:unhideWhenUsed/>
    <w:qFormat/>
    <w:uiPriority w:val="99"/>
    <w:pPr>
      <w:spacing w:after="120"/>
    </w:pPr>
  </w:style>
  <w:style w:type="paragraph" w:customStyle="1" w:styleId="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
    <w:name w:val="Body Text First Indent 2"/>
    <w:basedOn w:val="6"/>
    <w:next w:val="1"/>
    <w:link w:val="67"/>
    <w:semiHidden/>
    <w:unhideWhenUsed/>
    <w:qFormat/>
    <w:uiPriority w:val="99"/>
    <w:pPr>
      <w:adjustRightInd/>
      <w:spacing w:line="240" w:lineRule="auto"/>
      <w:ind w:firstLine="420" w:firstLineChars="200"/>
      <w:jc w:val="both"/>
      <w:textAlignment w:val="auto"/>
    </w:pPr>
    <w:rPr>
      <w:kern w:val="2"/>
      <w:sz w:val="21"/>
      <w:szCs w:val="22"/>
    </w:rPr>
  </w:style>
  <w:style w:type="paragraph" w:styleId="6">
    <w:name w:val="Body Text Indent"/>
    <w:basedOn w:val="1"/>
    <w:next w:val="7"/>
    <w:link w:val="45"/>
    <w:qFormat/>
    <w:uiPriority w:val="0"/>
    <w:pPr>
      <w:adjustRightInd w:val="0"/>
      <w:spacing w:after="120" w:line="360" w:lineRule="atLeast"/>
      <w:ind w:left="420" w:leftChars="200"/>
      <w:jc w:val="left"/>
      <w:textAlignment w:val="baseline"/>
    </w:pPr>
    <w:rPr>
      <w:kern w:val="0"/>
      <w:sz w:val="24"/>
      <w:szCs w:val="20"/>
    </w:rPr>
  </w:style>
  <w:style w:type="paragraph" w:styleId="7">
    <w:name w:val="envelope return"/>
    <w:basedOn w:val="1"/>
    <w:unhideWhenUsed/>
    <w:qFormat/>
    <w:uiPriority w:val="99"/>
    <w:pPr>
      <w:snapToGrid w:val="0"/>
    </w:pPr>
    <w:rPr>
      <w:rFonts w:ascii="Arial" w:hAnsi="Arial"/>
    </w:rPr>
  </w:style>
  <w:style w:type="paragraph" w:styleId="13">
    <w:name w:val="Normal Indent"/>
    <w:basedOn w:val="1"/>
    <w:qFormat/>
    <w:uiPriority w:val="0"/>
    <w:pPr>
      <w:ind w:firstLine="425"/>
    </w:pPr>
    <w:rPr>
      <w:rFonts w:ascii="Times New Roman" w:hAnsi="Times New Roman" w:eastAsia="宋体" w:cs="Times New Roman"/>
      <w:szCs w:val="20"/>
    </w:rPr>
  </w:style>
  <w:style w:type="paragraph" w:styleId="14">
    <w:name w:val="caption"/>
    <w:basedOn w:val="1"/>
    <w:next w:val="1"/>
    <w:qFormat/>
    <w:uiPriority w:val="0"/>
    <w:rPr>
      <w:rFonts w:ascii="Arial" w:hAnsi="Arial" w:eastAsia="黑体" w:cs="Arial"/>
      <w:sz w:val="20"/>
      <w:szCs w:val="20"/>
    </w:rPr>
  </w:style>
  <w:style w:type="paragraph" w:styleId="15">
    <w:name w:val="Body Text 3"/>
    <w:basedOn w:val="1"/>
    <w:link w:val="42"/>
    <w:qFormat/>
    <w:uiPriority w:val="0"/>
    <w:rPr>
      <w:rFonts w:ascii="Times New Roman" w:hAnsi="Times New Roman" w:eastAsia="宋体" w:cs="Times New Roman"/>
      <w:color w:val="FF0000"/>
      <w:sz w:val="24"/>
      <w:szCs w:val="24"/>
    </w:rPr>
  </w:style>
  <w:style w:type="paragraph" w:styleId="16">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link w:val="46"/>
    <w:qFormat/>
    <w:uiPriority w:val="0"/>
    <w:rPr>
      <w:rFonts w:eastAsia="宋体"/>
      <w:sz w:val="24"/>
    </w:rPr>
  </w:style>
  <w:style w:type="paragraph" w:styleId="19">
    <w:name w:val="Date"/>
    <w:basedOn w:val="1"/>
    <w:next w:val="1"/>
    <w:link w:val="47"/>
    <w:unhideWhenUsed/>
    <w:qFormat/>
    <w:uiPriority w:val="99"/>
    <w:pPr>
      <w:ind w:left="100" w:leftChars="2500"/>
    </w:pPr>
  </w:style>
  <w:style w:type="paragraph" w:styleId="20">
    <w:name w:val="Balloon Text"/>
    <w:basedOn w:val="1"/>
    <w:link w:val="49"/>
    <w:semiHidden/>
    <w:unhideWhenUsed/>
    <w:qFormat/>
    <w:uiPriority w:val="99"/>
    <w:rPr>
      <w:sz w:val="18"/>
      <w:szCs w:val="18"/>
    </w:rPr>
  </w:style>
  <w:style w:type="paragraph" w:styleId="21">
    <w:name w:val="footer"/>
    <w:basedOn w:val="1"/>
    <w:link w:val="50"/>
    <w:unhideWhenUsed/>
    <w:qFormat/>
    <w:uiPriority w:val="99"/>
    <w:pPr>
      <w:tabs>
        <w:tab w:val="center" w:pos="4153"/>
        <w:tab w:val="right" w:pos="8306"/>
      </w:tabs>
      <w:snapToGrid w:val="0"/>
      <w:jc w:val="left"/>
    </w:pPr>
    <w:rPr>
      <w:sz w:val="18"/>
      <w:szCs w:val="18"/>
    </w:rPr>
  </w:style>
  <w:style w:type="paragraph" w:styleId="22">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Body Text 2"/>
    <w:basedOn w:val="1"/>
    <w:qFormat/>
    <w:uiPriority w:val="0"/>
    <w:pPr>
      <w:spacing w:after="120" w:line="480" w:lineRule="auto"/>
    </w:pPr>
  </w:style>
  <w:style w:type="paragraph" w:styleId="25">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qFormat/>
    <w:uiPriority w:val="99"/>
    <w:rPr>
      <w:rFonts w:ascii="Calibri" w:hAnsi="Calibri" w:eastAsia="宋体" w:cs="Times New Roman"/>
      <w:sz w:val="24"/>
      <w:szCs w:val="24"/>
    </w:r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Emphasis"/>
    <w:basedOn w:val="29"/>
    <w:qFormat/>
    <w:uiPriority w:val="20"/>
    <w:rPr>
      <w:i/>
      <w:iCs/>
    </w:rPr>
  </w:style>
  <w:style w:type="character" w:styleId="32">
    <w:name w:val="Hyperlink"/>
    <w:basedOn w:val="29"/>
    <w:unhideWhenUsed/>
    <w:qFormat/>
    <w:uiPriority w:val="0"/>
    <w:rPr>
      <w:color w:val="0000FF"/>
      <w:u w:val="single"/>
    </w:rPr>
  </w:style>
  <w:style w:type="paragraph" w:customStyle="1" w:styleId="33">
    <w:name w:val="List Paragraph1"/>
    <w:basedOn w:val="1"/>
    <w:next w:val="1"/>
    <w:qFormat/>
    <w:uiPriority w:val="0"/>
    <w:pPr>
      <w:ind w:firstLine="420" w:firstLineChars="200"/>
    </w:pPr>
    <w:rPr>
      <w:rFonts w:ascii="Calibri" w:hAnsi="Calibri" w:cs="宋体"/>
    </w:rPr>
  </w:style>
  <w:style w:type="paragraph" w:customStyle="1" w:styleId="34">
    <w:name w:val="style4"/>
    <w:basedOn w:val="1"/>
    <w:next w:val="35"/>
    <w:qFormat/>
    <w:uiPriority w:val="0"/>
    <w:pPr>
      <w:widowControl/>
      <w:spacing w:before="280" w:after="280"/>
    </w:pPr>
    <w:rPr>
      <w:rFonts w:ascii="宋体" w:hAnsi="Times New Roman" w:eastAsia="宋体" w:cs="Times New Roman"/>
      <w:sz w:val="18"/>
    </w:rPr>
  </w:style>
  <w:style w:type="paragraph" w:customStyle="1" w:styleId="3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6">
    <w:name w:val="列出段落1"/>
    <w:basedOn w:val="1"/>
    <w:qFormat/>
    <w:uiPriority w:val="0"/>
    <w:pPr>
      <w:ind w:firstLine="420" w:firstLineChars="200"/>
    </w:pPr>
  </w:style>
  <w:style w:type="paragraph" w:customStyle="1" w:styleId="37">
    <w:name w:val="*正文"/>
    <w:basedOn w:val="1"/>
    <w:qFormat/>
    <w:uiPriority w:val="0"/>
    <w:pPr>
      <w:keepNext/>
      <w:keepLines/>
      <w:spacing w:line="360" w:lineRule="auto"/>
      <w:ind w:firstLine="200" w:firstLineChars="200"/>
    </w:pPr>
    <w:rPr>
      <w:rFonts w:ascii="宋体" w:hAnsi="宋体"/>
    </w:rPr>
  </w:style>
  <w:style w:type="character" w:customStyle="1" w:styleId="38">
    <w:name w:val="标题 1 Char"/>
    <w:basedOn w:val="29"/>
    <w:link w:val="8"/>
    <w:qFormat/>
    <w:uiPriority w:val="0"/>
    <w:rPr>
      <w:rFonts w:ascii="Calibri" w:hAnsi="Calibri" w:eastAsia="宋体" w:cs="Times New Roman"/>
      <w:b/>
      <w:bCs/>
      <w:kern w:val="44"/>
      <w:sz w:val="44"/>
      <w:szCs w:val="44"/>
    </w:rPr>
  </w:style>
  <w:style w:type="character" w:customStyle="1" w:styleId="39">
    <w:name w:val="标题 2 Char"/>
    <w:basedOn w:val="29"/>
    <w:link w:val="9"/>
    <w:qFormat/>
    <w:uiPriority w:val="0"/>
    <w:rPr>
      <w:rFonts w:ascii="Arial" w:hAnsi="Arial" w:eastAsia="黑体" w:cs="Times New Roman"/>
      <w:b/>
      <w:bCs/>
      <w:kern w:val="0"/>
      <w:sz w:val="32"/>
      <w:szCs w:val="32"/>
    </w:rPr>
  </w:style>
  <w:style w:type="character" w:customStyle="1" w:styleId="40">
    <w:name w:val="标题 3 Char"/>
    <w:basedOn w:val="29"/>
    <w:link w:val="10"/>
    <w:qFormat/>
    <w:uiPriority w:val="0"/>
    <w:rPr>
      <w:rFonts w:ascii="宋体" w:hAnsi="宋体" w:eastAsia="宋体" w:cs="Times New Roman"/>
      <w:b/>
      <w:color w:val="000000"/>
      <w:kern w:val="0"/>
      <w:sz w:val="24"/>
      <w:szCs w:val="20"/>
      <w:lang w:val="en-GB"/>
    </w:rPr>
  </w:style>
  <w:style w:type="character" w:customStyle="1" w:styleId="41">
    <w:name w:val="标题 4 Char"/>
    <w:basedOn w:val="29"/>
    <w:link w:val="11"/>
    <w:qFormat/>
    <w:uiPriority w:val="0"/>
    <w:rPr>
      <w:rFonts w:ascii="Arial" w:hAnsi="Arial" w:eastAsia="黑体" w:cs="Times New Roman"/>
      <w:b/>
      <w:bCs/>
      <w:kern w:val="0"/>
      <w:sz w:val="28"/>
      <w:szCs w:val="28"/>
    </w:rPr>
  </w:style>
  <w:style w:type="character" w:customStyle="1" w:styleId="42">
    <w:name w:val="正文文本 3 Char"/>
    <w:basedOn w:val="29"/>
    <w:link w:val="15"/>
    <w:qFormat/>
    <w:uiPriority w:val="0"/>
    <w:rPr>
      <w:rFonts w:ascii="Times New Roman" w:hAnsi="Times New Roman" w:eastAsia="宋体" w:cs="Times New Roman"/>
      <w:color w:val="FF0000"/>
      <w:sz w:val="24"/>
      <w:szCs w:val="24"/>
    </w:rPr>
  </w:style>
  <w:style w:type="character" w:customStyle="1" w:styleId="43">
    <w:name w:val="正文文本 Char"/>
    <w:basedOn w:val="29"/>
    <w:link w:val="3"/>
    <w:semiHidden/>
    <w:qFormat/>
    <w:uiPriority w:val="99"/>
  </w:style>
  <w:style w:type="character" w:customStyle="1" w:styleId="44">
    <w:name w:val="正文文本缩进 Char"/>
    <w:basedOn w:val="29"/>
    <w:link w:val="6"/>
    <w:qFormat/>
    <w:uiPriority w:val="0"/>
  </w:style>
  <w:style w:type="character" w:customStyle="1" w:styleId="45">
    <w:name w:val="正文文本缩进 Char1"/>
    <w:basedOn w:val="29"/>
    <w:link w:val="6"/>
    <w:qFormat/>
    <w:uiPriority w:val="0"/>
    <w:rPr>
      <w:kern w:val="0"/>
      <w:sz w:val="24"/>
      <w:szCs w:val="20"/>
    </w:rPr>
  </w:style>
  <w:style w:type="character" w:customStyle="1" w:styleId="46">
    <w:name w:val="纯文本 Char"/>
    <w:basedOn w:val="29"/>
    <w:link w:val="18"/>
    <w:qFormat/>
    <w:uiPriority w:val="0"/>
    <w:rPr>
      <w:rFonts w:eastAsia="宋体"/>
      <w:sz w:val="24"/>
    </w:rPr>
  </w:style>
  <w:style w:type="character" w:customStyle="1" w:styleId="47">
    <w:name w:val="日期 Char"/>
    <w:basedOn w:val="29"/>
    <w:link w:val="19"/>
    <w:qFormat/>
    <w:uiPriority w:val="99"/>
  </w:style>
  <w:style w:type="character" w:customStyle="1" w:styleId="48">
    <w:name w:val="批注框文本 Char"/>
    <w:basedOn w:val="29"/>
    <w:link w:val="20"/>
    <w:semiHidden/>
    <w:qFormat/>
    <w:uiPriority w:val="99"/>
    <w:rPr>
      <w:sz w:val="18"/>
      <w:szCs w:val="18"/>
    </w:rPr>
  </w:style>
  <w:style w:type="character" w:customStyle="1" w:styleId="49">
    <w:name w:val="批注框文本 Char1"/>
    <w:basedOn w:val="29"/>
    <w:link w:val="20"/>
    <w:semiHidden/>
    <w:qFormat/>
    <w:uiPriority w:val="99"/>
    <w:rPr>
      <w:sz w:val="18"/>
      <w:szCs w:val="18"/>
    </w:rPr>
  </w:style>
  <w:style w:type="character" w:customStyle="1" w:styleId="50">
    <w:name w:val="页脚 Char"/>
    <w:basedOn w:val="29"/>
    <w:link w:val="21"/>
    <w:qFormat/>
    <w:uiPriority w:val="99"/>
    <w:rPr>
      <w:sz w:val="18"/>
      <w:szCs w:val="18"/>
    </w:rPr>
  </w:style>
  <w:style w:type="character" w:customStyle="1" w:styleId="51">
    <w:name w:val="页眉 Char"/>
    <w:basedOn w:val="29"/>
    <w:link w:val="22"/>
    <w:qFormat/>
    <w:uiPriority w:val="99"/>
    <w:rPr>
      <w:sz w:val="18"/>
      <w:szCs w:val="18"/>
    </w:rPr>
  </w:style>
  <w:style w:type="character" w:customStyle="1" w:styleId="52">
    <w:name w:val="HTML 预设格式 Char"/>
    <w:basedOn w:val="29"/>
    <w:link w:val="25"/>
    <w:semiHidden/>
    <w:qFormat/>
    <w:uiPriority w:val="99"/>
    <w:rPr>
      <w:rFonts w:ascii="宋体" w:hAnsi="宋体" w:eastAsia="宋体" w:cs="宋体"/>
      <w:kern w:val="0"/>
      <w:sz w:val="24"/>
      <w:szCs w:val="24"/>
    </w:rPr>
  </w:style>
  <w:style w:type="character" w:customStyle="1" w:styleId="53">
    <w:name w:val="HTML 预设格式 Char1"/>
    <w:basedOn w:val="29"/>
    <w:link w:val="25"/>
    <w:semiHidden/>
    <w:qFormat/>
    <w:uiPriority w:val="99"/>
    <w:rPr>
      <w:rFonts w:ascii="Courier New" w:hAnsi="Courier New" w:cs="Courier New"/>
      <w:sz w:val="20"/>
      <w:szCs w:val="20"/>
    </w:rPr>
  </w:style>
  <w:style w:type="character" w:customStyle="1" w:styleId="54">
    <w:name w:val="正文首行缩进 Char"/>
    <w:basedOn w:val="43"/>
    <w:link w:val="2"/>
    <w:qFormat/>
    <w:uiPriority w:val="0"/>
    <w:rPr>
      <w:rFonts w:ascii="宋体" w:hAnsi="Times New Roman" w:eastAsia="宋体" w:cs="Times New Roman"/>
      <w:kern w:val="0"/>
      <w:sz w:val="34"/>
      <w:szCs w:val="20"/>
    </w:rPr>
  </w:style>
  <w:style w:type="character" w:customStyle="1" w:styleId="55">
    <w:name w:val="纯文本 Char1"/>
    <w:qFormat/>
    <w:uiPriority w:val="0"/>
    <w:rPr>
      <w:rFonts w:eastAsia="宋体"/>
      <w:sz w:val="24"/>
    </w:rPr>
  </w:style>
  <w:style w:type="paragraph" w:styleId="56">
    <w:name w:val="List Paragraph"/>
    <w:basedOn w:val="1"/>
    <w:unhideWhenUsed/>
    <w:qFormat/>
    <w:uiPriority w:val="34"/>
    <w:pPr>
      <w:ind w:firstLine="420" w:firstLineChars="200"/>
    </w:pPr>
  </w:style>
  <w:style w:type="character" w:customStyle="1" w:styleId="57">
    <w:name w:val="正文文本缩进 Char Char"/>
    <w:link w:val="58"/>
    <w:qFormat/>
    <w:uiPriority w:val="0"/>
    <w:rPr>
      <w:rFonts w:ascii="宋体"/>
      <w:sz w:val="24"/>
    </w:rPr>
  </w:style>
  <w:style w:type="paragraph" w:customStyle="1" w:styleId="58">
    <w:name w:val="正文文本缩进1"/>
    <w:basedOn w:val="1"/>
    <w:link w:val="57"/>
    <w:qFormat/>
    <w:uiPriority w:val="0"/>
    <w:pPr>
      <w:spacing w:line="360" w:lineRule="auto"/>
      <w:ind w:firstLine="480" w:firstLineChars="200"/>
    </w:pPr>
    <w:rPr>
      <w:rFonts w:ascii="宋体"/>
      <w:sz w:val="24"/>
    </w:rPr>
  </w:style>
  <w:style w:type="character" w:customStyle="1" w:styleId="59">
    <w:name w:val="日期 Char Char"/>
    <w:link w:val="60"/>
    <w:qFormat/>
    <w:uiPriority w:val="0"/>
    <w:rPr>
      <w:sz w:val="24"/>
    </w:rPr>
  </w:style>
  <w:style w:type="paragraph" w:customStyle="1" w:styleId="60">
    <w:name w:val="日期1"/>
    <w:basedOn w:val="1"/>
    <w:next w:val="1"/>
    <w:link w:val="59"/>
    <w:qFormat/>
    <w:uiPriority w:val="0"/>
    <w:rPr>
      <w:sz w:val="24"/>
    </w:rPr>
  </w:style>
  <w:style w:type="paragraph" w:customStyle="1" w:styleId="6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4">
    <w:name w:val="edittexttarea"/>
    <w:basedOn w:val="29"/>
    <w:qFormat/>
    <w:uiPriority w:val="0"/>
  </w:style>
  <w:style w:type="paragraph" w:customStyle="1" w:styleId="65">
    <w:name w:val="样式 标题 1 + 四号 居中 段前: 12 磅 段后: 12 磅 行距: 单倍行距"/>
    <w:basedOn w:val="8"/>
    <w:qFormat/>
    <w:uiPriority w:val="0"/>
    <w:pPr>
      <w:spacing w:before="240" w:after="240" w:line="240" w:lineRule="auto"/>
      <w:ind w:left="-288"/>
      <w:jc w:val="center"/>
    </w:pPr>
    <w:rPr>
      <w:rFonts w:cs="宋体"/>
      <w:sz w:val="28"/>
      <w:szCs w:val="20"/>
    </w:rPr>
  </w:style>
  <w:style w:type="paragraph" w:customStyle="1" w:styleId="6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7">
    <w:name w:val="正文首行缩进 2 Char"/>
    <w:basedOn w:val="45"/>
    <w:link w:val="5"/>
    <w:semiHidden/>
    <w:qFormat/>
    <w:uiPriority w:val="99"/>
    <w:rPr>
      <w:kern w:val="2"/>
      <w:sz w:val="21"/>
      <w:szCs w:val="22"/>
    </w:rPr>
  </w:style>
  <w:style w:type="character" w:customStyle="1" w:styleId="68">
    <w:name w:val="font01"/>
    <w:basedOn w:val="29"/>
    <w:qFormat/>
    <w:uiPriority w:val="0"/>
    <w:rPr>
      <w:rFonts w:hint="eastAsia" w:ascii="宋体" w:hAnsi="宋体" w:eastAsia="宋体" w:cs="宋体"/>
      <w:color w:val="000000"/>
      <w:sz w:val="22"/>
      <w:szCs w:val="22"/>
      <w:u w:val="none"/>
    </w:rPr>
  </w:style>
  <w:style w:type="character" w:customStyle="1" w:styleId="69">
    <w:name w:val="font31"/>
    <w:basedOn w:val="29"/>
    <w:qFormat/>
    <w:uiPriority w:val="0"/>
    <w:rPr>
      <w:rFonts w:ascii="Calibri" w:hAnsi="Calibri" w:cs="Calibri"/>
      <w:b/>
      <w:color w:val="000000"/>
      <w:sz w:val="18"/>
      <w:szCs w:val="18"/>
      <w:u w:val="none"/>
    </w:rPr>
  </w:style>
  <w:style w:type="character" w:customStyle="1" w:styleId="70">
    <w:name w:val="font121"/>
    <w:basedOn w:val="29"/>
    <w:qFormat/>
    <w:uiPriority w:val="0"/>
    <w:rPr>
      <w:rFonts w:hint="eastAsia" w:ascii="宋体" w:hAnsi="宋体" w:eastAsia="宋体" w:cs="宋体"/>
      <w:color w:val="000000"/>
      <w:sz w:val="18"/>
      <w:szCs w:val="18"/>
      <w:u w:val="none"/>
    </w:rPr>
  </w:style>
  <w:style w:type="character" w:customStyle="1" w:styleId="71">
    <w:name w:val="font91"/>
    <w:basedOn w:val="29"/>
    <w:qFormat/>
    <w:uiPriority w:val="0"/>
    <w:rPr>
      <w:rFonts w:hint="eastAsia" w:ascii="宋体" w:hAnsi="宋体" w:eastAsia="宋体" w:cs="宋体"/>
      <w:color w:val="000000"/>
      <w:sz w:val="18"/>
      <w:szCs w:val="18"/>
      <w:u w:val="none"/>
    </w:rPr>
  </w:style>
  <w:style w:type="character" w:customStyle="1" w:styleId="72">
    <w:name w:val="font112"/>
    <w:basedOn w:val="29"/>
    <w:qFormat/>
    <w:uiPriority w:val="0"/>
    <w:rPr>
      <w:rFonts w:hint="eastAsia" w:ascii="宋体" w:hAnsi="宋体" w:eastAsia="宋体" w:cs="宋体"/>
      <w:color w:val="FF0000"/>
      <w:sz w:val="18"/>
      <w:szCs w:val="18"/>
      <w:u w:val="none"/>
    </w:rPr>
  </w:style>
  <w:style w:type="character" w:customStyle="1" w:styleId="73">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74">
    <w:name w:val="UserStyle_1"/>
    <w:basedOn w:val="73"/>
    <w:qFormat/>
    <w:uiPriority w:val="0"/>
    <w:rPr>
      <w:rFonts w:ascii="宋体" w:hAnsi="宋体" w:eastAsia="宋体"/>
      <w:color w:val="000000"/>
      <w:sz w:val="24"/>
      <w:szCs w:val="24"/>
    </w:rPr>
  </w:style>
  <w:style w:type="character" w:customStyle="1" w:styleId="75">
    <w:name w:val="UserStyle_0"/>
    <w:basedOn w:val="73"/>
    <w:qFormat/>
    <w:uiPriority w:val="0"/>
    <w:rPr>
      <w:rFonts w:ascii="MS Gothic" w:hAnsi="MS Gothic" w:eastAsia="MS Gothic"/>
      <w:color w:val="000000"/>
      <w:sz w:val="24"/>
      <w:szCs w:val="24"/>
    </w:rPr>
  </w:style>
  <w:style w:type="paragraph" w:customStyle="1" w:styleId="76">
    <w:name w:val="1.正文"/>
    <w:qFormat/>
    <w:uiPriority w:val="0"/>
    <w:pPr>
      <w:widowControl w:val="0"/>
      <w:adjustRightInd w:val="0"/>
      <w:spacing w:line="360" w:lineRule="auto"/>
      <w:ind w:firstLine="397"/>
      <w:jc w:val="both"/>
      <w:textAlignment w:val="baseline"/>
    </w:pPr>
    <w:rPr>
      <w:rFonts w:ascii="Times New Roman" w:hAnsi="Times New Roman" w:eastAsia="宋体" w:cs="Times New Roman"/>
      <w:spacing w:val="20"/>
      <w:sz w:val="24"/>
      <w:szCs w:val="22"/>
      <w:lang w:val="en-US" w:eastAsia="zh-CN" w:bidi="ar-SA"/>
    </w:rPr>
  </w:style>
  <w:style w:type="paragraph" w:customStyle="1" w:styleId="77">
    <w:name w:val="p0"/>
    <w:basedOn w:val="1"/>
    <w:qFormat/>
    <w:uiPriority w:val="0"/>
    <w:pPr>
      <w:widowControl/>
    </w:pPr>
    <w:rPr>
      <w:rFonts w:ascii="Times New Roman" w:hAnsi="Times New Roman" w:eastAsia="宋体" w:cs="Times New Roman"/>
      <w:kern w:val="0"/>
      <w:szCs w:val="21"/>
    </w:rPr>
  </w:style>
  <w:style w:type="paragraph" w:customStyle="1" w:styleId="78">
    <w:name w:val="179"/>
    <w:basedOn w:val="1"/>
    <w:qFormat/>
    <w:uiPriority w:val="0"/>
    <w:pPr>
      <w:ind w:firstLine="420" w:firstLineChars="200"/>
    </w:pPr>
    <w:rPr>
      <w:rFonts w:ascii="Calibri" w:hAnsi="Calibri" w:eastAsia="宋体" w:cs="Times New Roman"/>
    </w:rPr>
  </w:style>
  <w:style w:type="character" w:customStyle="1" w:styleId="79">
    <w:name w:val="font51"/>
    <w:basedOn w:val="29"/>
    <w:qFormat/>
    <w:uiPriority w:val="0"/>
    <w:rPr>
      <w:rFonts w:hint="eastAsia" w:ascii="宋体" w:hAnsi="宋体" w:eastAsia="宋体" w:cs="宋体"/>
      <w:color w:val="000000"/>
      <w:sz w:val="18"/>
      <w:szCs w:val="18"/>
      <w:u w:val="none"/>
    </w:rPr>
  </w:style>
  <w:style w:type="paragraph" w:customStyle="1" w:styleId="8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784E3-8471-4A88-856B-70894EBDB99B}">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66</Pages>
  <Words>32482</Words>
  <Characters>34639</Characters>
  <Lines>275</Lines>
  <Paragraphs>77</Paragraphs>
  <TotalTime>16</TotalTime>
  <ScaleCrop>false</ScaleCrop>
  <LinksUpToDate>false</LinksUpToDate>
  <CharactersWithSpaces>35410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2021-03-25T01:14:00Z</dcterms:created>
  <dc:creator>许昌市公共资源交易中心:孟莉</dc:creator>
  <cp:lastModifiedBy>河南省立源工程管理有限公司:雷甜甜</cp:lastModifiedBy>
  <cp:lastPrinted>2023-02-03T02:25:00Z</cp:lastPrinted>
  <dcterms:modified xsi:type="dcterms:W3CDTF">2023-06-07T05:01:36Z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051091EB99A4474ABD99145219203627</vt:lpwstr>
  </property>
</Properties>
</file>