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1"/>
        <w:ind w:right="-512" w:rightChars="-244"/>
      </w:pPr>
    </w:p>
    <w:p>
      <w:pPr>
        <w:pStyle w:val="11"/>
        <w:ind w:right="-512" w:rightChars="-244"/>
      </w:pPr>
    </w:p>
    <w:p>
      <w:pPr>
        <w:pStyle w:val="11"/>
        <w:ind w:right="-512" w:rightChars="-244"/>
      </w:pPr>
    </w:p>
    <w:p>
      <w:pPr>
        <w:pStyle w:val="11"/>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建安政采竞磋商字〔2023〕19号</w:t>
      </w:r>
    </w:p>
    <w:p>
      <w:pPr>
        <w:spacing w:line="600" w:lineRule="exact"/>
        <w:ind w:right="-512" w:rightChars="-244" w:firstLine="1080" w:firstLineChars="300"/>
        <w:jc w:val="both"/>
        <w:rPr>
          <w:rFonts w:hint="eastAsia" w:ascii="宋体" w:hAnsi="宋体" w:cs="宋体"/>
          <w:bCs/>
          <w:sz w:val="36"/>
          <w:szCs w:val="36"/>
          <w:lang w:eastAsia="zh-CN"/>
        </w:rPr>
      </w:pPr>
      <w:r>
        <w:rPr>
          <w:rFonts w:hint="eastAsia" w:ascii="宋体" w:hAnsi="宋体" w:cs="宋体"/>
          <w:bCs/>
          <w:sz w:val="36"/>
          <w:szCs w:val="36"/>
          <w:lang w:eastAsia="zh-CN"/>
        </w:rPr>
        <w:t>项目名称：许昌市建安区发制品产业园基建配电工程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许昌纤顺产业园区建设有限公司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许昌安信工程管理服务有限公司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w:t>
      </w:r>
      <w:r>
        <w:rPr>
          <w:rFonts w:hint="eastAsia" w:ascii="宋体" w:hAnsi="宋体" w:cs="宋体"/>
          <w:bCs/>
          <w:sz w:val="36"/>
          <w:szCs w:val="36"/>
        </w:rPr>
        <w:t>年</w:t>
      </w:r>
      <w:r>
        <w:rPr>
          <w:rFonts w:hint="eastAsia" w:ascii="宋体" w:hAnsi="宋体" w:cs="宋体"/>
          <w:bCs/>
          <w:sz w:val="36"/>
          <w:szCs w:val="36"/>
          <w:lang w:eastAsia="zh-CN"/>
        </w:rPr>
        <w:t>六</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19"/>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11"/>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建安政采竞磋商字〔2023〕19号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许昌纤顺产业园区建设有限公司</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许昌市建安区发制品产业园基建配电工程</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0"/>
          <w:rFonts w:ascii="宋体" w:hAnsi="宋体"/>
          <w:sz w:val="24"/>
          <w:szCs w:val="24"/>
        </w:rPr>
      </w:pPr>
      <w:bookmarkStart w:id="0" w:name="_Toc35393621"/>
      <w:bookmarkStart w:id="1" w:name="_Toc28359002"/>
      <w:bookmarkStart w:id="2" w:name="_Toc28359079"/>
      <w:bookmarkStart w:id="3" w:name="_Toc35393790"/>
      <w:bookmarkStart w:id="4" w:name="_Hlk24379207"/>
      <w:r>
        <w:rPr>
          <w:rStyle w:val="2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0"/>
          <w:rFonts w:ascii="宋体" w:hAnsi="宋体"/>
          <w:sz w:val="24"/>
          <w:szCs w:val="24"/>
        </w:rPr>
      </w:pPr>
      <w:r>
        <w:rPr>
          <w:rStyle w:val="20"/>
          <w:rFonts w:hint="eastAsia" w:ascii="宋体" w:hAnsi="宋体"/>
          <w:sz w:val="24"/>
          <w:szCs w:val="24"/>
          <w:lang w:eastAsia="zh-CN"/>
        </w:rPr>
        <w:t>许昌市建安区发制品产业园基建配电工程</w:t>
      </w:r>
      <w:r>
        <w:rPr>
          <w:rStyle w:val="20"/>
          <w:rFonts w:hint="eastAsia" w:ascii="宋体" w:hAnsi="宋体"/>
          <w:sz w:val="24"/>
          <w:szCs w:val="24"/>
        </w:rPr>
        <w:t>招标项目的潜在</w:t>
      </w:r>
      <w:r>
        <w:rPr>
          <w:rStyle w:val="20"/>
          <w:rFonts w:hint="eastAsia" w:ascii="宋体" w:hAnsi="宋体"/>
          <w:sz w:val="24"/>
          <w:szCs w:val="24"/>
          <w:lang w:eastAsia="zh-CN"/>
        </w:rPr>
        <w:t>供应商</w:t>
      </w:r>
      <w:r>
        <w:rPr>
          <w:rStyle w:val="20"/>
          <w:rFonts w:hint="eastAsia" w:ascii="宋体" w:hAnsi="宋体"/>
          <w:sz w:val="24"/>
          <w:szCs w:val="24"/>
        </w:rPr>
        <w:t>应在《全国公共资源交易平台（河南省·许昌市）》（http://ggzy.xuchang.gov.cn/）获取</w:t>
      </w:r>
      <w:r>
        <w:rPr>
          <w:rStyle w:val="20"/>
          <w:rFonts w:hint="eastAsia" w:ascii="宋体" w:hAnsi="宋体"/>
          <w:sz w:val="24"/>
          <w:szCs w:val="24"/>
          <w:lang w:eastAsia="zh-CN"/>
        </w:rPr>
        <w:t>磋商文件</w:t>
      </w:r>
      <w:r>
        <w:rPr>
          <w:rStyle w:val="20"/>
          <w:rFonts w:hint="eastAsia" w:ascii="宋体" w:hAnsi="宋体"/>
          <w:sz w:val="24"/>
          <w:szCs w:val="24"/>
        </w:rPr>
        <w:t>，并于</w:t>
      </w:r>
      <w:r>
        <w:rPr>
          <w:rStyle w:val="20"/>
          <w:rFonts w:hint="eastAsia" w:ascii="宋体" w:hAnsi="宋体"/>
          <w:sz w:val="24"/>
          <w:szCs w:val="24"/>
          <w:lang w:eastAsia="zh-CN"/>
        </w:rPr>
        <w:t>2023年6月19日09点30分</w:t>
      </w:r>
      <w:r>
        <w:rPr>
          <w:rStyle w:val="20"/>
          <w:rFonts w:hint="eastAsia" w:ascii="宋体" w:hAnsi="宋体"/>
          <w:sz w:val="24"/>
          <w:szCs w:val="24"/>
        </w:rPr>
        <w:t>（北京时间）前提交（上传）</w:t>
      </w:r>
      <w:r>
        <w:rPr>
          <w:rStyle w:val="20"/>
          <w:rFonts w:hint="eastAsia" w:ascii="宋体" w:hAnsi="宋体"/>
          <w:sz w:val="24"/>
          <w:szCs w:val="24"/>
          <w:lang w:eastAsia="zh-CN"/>
        </w:rPr>
        <w:t>响应文件</w:t>
      </w:r>
      <w:r>
        <w:rPr>
          <w:rStyle w:val="20"/>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建安政采竞磋商字〔2023〕19号。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：许昌市建安区发制品产业园基建配电工程。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891465.71元（自筹资金）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891465.71</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p>
    <w:tbl>
      <w:tblPr>
        <w:tblStyle w:val="14"/>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19</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891465.71</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891465.71</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891465.71</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自合同签订之日起30日历天</w:t>
      </w:r>
      <w:r>
        <w:rPr>
          <w:rFonts w:hint="eastAsia" w:asciiTheme="minorEastAsia" w:hAnsiTheme="minorEastAsia" w:eastAsiaTheme="minorEastAsia"/>
          <w:sz w:val="24"/>
          <w:szCs w:val="24"/>
          <w:highlight w:val="none"/>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35393791"/>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623"/>
      <w:bookmarkStart w:id="11" w:name="_Toc35393792"/>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479" w:leftChars="228" w:right="-512" w:rightChars="-244" w:firstLine="0" w:firstLineChars="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具备建设行政主管部门颁发的电力工程施工总承包叁级及以上资质</w:t>
      </w:r>
      <w:r>
        <w:rPr>
          <w:rFonts w:hint="eastAsia" w:ascii="宋体" w:hAnsi="宋体"/>
          <w:sz w:val="24"/>
          <w:szCs w:val="28"/>
        </w:rPr>
        <w:t>且具有有效的安全生产许可证</w:t>
      </w:r>
      <w:r>
        <w:rPr>
          <w:rFonts w:hint="eastAsia" w:ascii="宋体" w:hAnsi="宋体"/>
          <w:sz w:val="24"/>
          <w:szCs w:val="28"/>
          <w:lang w:eastAsia="zh-CN"/>
        </w:rPr>
        <w:t>；</w:t>
      </w:r>
      <w:r>
        <w:rPr>
          <w:rFonts w:hint="eastAsia" w:ascii="宋体" w:hAnsi="宋体"/>
          <w:sz w:val="24"/>
          <w:szCs w:val="28"/>
          <w:lang w:val="en-US" w:eastAsia="zh-CN"/>
        </w:rPr>
        <w:t>拟派项目负责人须具有机电工程专业二级及以上注册建造师资格且具有有效的安全生产考核合格证，并未担任其他在建工程的项目负责人。</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6</w:t>
      </w:r>
      <w:r>
        <w:rPr>
          <w:rFonts w:hint="eastAsia" w:ascii="宋体" w:hAnsi="宋体" w:cs="Cambria"/>
          <w:sz w:val="24"/>
          <w:szCs w:val="28"/>
          <w:lang w:eastAsia="zh-CN"/>
        </w:rPr>
        <w:t>月</w:t>
      </w:r>
      <w:r>
        <w:rPr>
          <w:rFonts w:hint="eastAsia" w:ascii="宋体" w:hAnsi="宋体" w:cs="Cambria"/>
          <w:sz w:val="24"/>
          <w:szCs w:val="28"/>
          <w:lang w:val="en-US" w:eastAsia="zh-CN"/>
        </w:rPr>
        <w:t>7</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w:t>
      </w:r>
      <w:r>
        <w:rPr>
          <w:rFonts w:hint="eastAsia" w:ascii="宋体" w:hAnsi="宋体" w:cs="Cambria"/>
          <w:sz w:val="24"/>
          <w:szCs w:val="28"/>
          <w:lang w:val="en-US" w:eastAsia="zh-CN"/>
        </w:rPr>
        <w:t>6</w:t>
      </w:r>
      <w:r>
        <w:rPr>
          <w:rFonts w:hint="eastAsia" w:ascii="宋体" w:hAnsi="宋体" w:cs="Cambria"/>
          <w:sz w:val="24"/>
          <w:szCs w:val="28"/>
          <w:lang w:eastAsia="zh-CN"/>
        </w:rPr>
        <w:t>月</w:t>
      </w:r>
      <w:r>
        <w:rPr>
          <w:rFonts w:hint="eastAsia" w:ascii="宋体" w:hAnsi="宋体" w:cs="Cambria"/>
          <w:sz w:val="24"/>
          <w:szCs w:val="28"/>
          <w:lang w:val="en-US" w:eastAsia="zh-CN"/>
        </w:rPr>
        <w:t>19</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28359082"/>
      <w:bookmarkStart w:id="14" w:name="_Toc28359005"/>
      <w:bookmarkStart w:id="15" w:name="_Toc35393793"/>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2023年6月19日09点30分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2023年6月19日09点30分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许昌纤顺产业园区建设有限公司</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许昌市建安区兴业大厦</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lang w:eastAsia="zh-CN"/>
        </w:rPr>
        <w:t>联 系 人：</w:t>
      </w:r>
      <w:r>
        <w:rPr>
          <w:rFonts w:hint="eastAsia" w:ascii="宋体" w:hAnsi="宋体"/>
          <w:sz w:val="24"/>
          <w:szCs w:val="28"/>
          <w:lang w:val="en-US" w:eastAsia="zh-CN"/>
        </w:rPr>
        <w:t>张弼华</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eastAsia="zh-CN"/>
        </w:rPr>
        <w:t>联系方式：</w:t>
      </w:r>
      <w:bookmarkStart w:id="19" w:name="_Toc28359009"/>
      <w:bookmarkStart w:id="20" w:name="_Toc28359086"/>
      <w:r>
        <w:rPr>
          <w:rFonts w:hint="eastAsia" w:ascii="宋体" w:hAnsi="宋体"/>
          <w:sz w:val="24"/>
          <w:szCs w:val="28"/>
          <w:lang w:eastAsia="zh-CN"/>
        </w:rPr>
        <w:t>13733677709</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10"/>
      <w:bookmarkStart w:id="22" w:name="_Toc28359087"/>
      <w:r>
        <w:rPr>
          <w:rFonts w:hint="eastAsia" w:ascii="宋体" w:hAnsi="宋体"/>
          <w:sz w:val="24"/>
          <w:szCs w:val="28"/>
        </w:rPr>
        <w:t>名    称：</w:t>
      </w:r>
      <w:r>
        <w:rPr>
          <w:rFonts w:hint="eastAsia" w:ascii="宋体" w:hAnsi="宋体"/>
          <w:sz w:val="24"/>
          <w:szCs w:val="28"/>
          <w:lang w:eastAsia="zh-CN"/>
        </w:rPr>
        <w:t>许昌安信工程管理服务有限公司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w:t>
      </w:r>
      <w:r>
        <w:rPr>
          <w:rStyle w:val="20"/>
          <w:rFonts w:hint="eastAsia" w:hAnsi="宋体"/>
          <w:color w:val="000000"/>
          <w:sz w:val="24"/>
          <w:szCs w:val="24"/>
        </w:rPr>
        <w:t>罗扬</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r>
        <w:rPr>
          <w:rFonts w:hint="eastAsia" w:ascii="宋体" w:hAnsi="宋体"/>
          <w:bCs/>
          <w:sz w:val="24"/>
          <w:szCs w:val="24"/>
          <w:lang w:eastAsia="zh-CN"/>
        </w:rPr>
        <w:t>18603747565</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10"/>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eastAsia="zh-CN"/>
        </w:rPr>
        <w:t>罗扬</w:t>
      </w:r>
    </w:p>
    <w:p>
      <w:pPr>
        <w:pStyle w:val="10"/>
        <w:adjustRightInd w:val="0"/>
        <w:snapToGrid w:val="0"/>
        <w:spacing w:line="360" w:lineRule="auto"/>
        <w:ind w:right="-512" w:rightChars="-244" w:firstLine="480" w:firstLineChars="200"/>
        <w:jc w:val="left"/>
        <w:rPr>
          <w:rFonts w:hint="eastAsia" w:ascii="宋体" w:hAnsi="宋体" w:eastAsia="宋体" w:cs="仿宋_GB2312"/>
          <w:sz w:val="24"/>
          <w:szCs w:val="28"/>
          <w:lang w:val="zh-CN" w:eastAsia="zh-CN"/>
        </w:rPr>
      </w:pPr>
      <w:r>
        <w:rPr>
          <w:rFonts w:hint="eastAsia" w:ascii="宋体" w:hAnsi="宋体"/>
          <w:sz w:val="24"/>
          <w:szCs w:val="28"/>
        </w:rPr>
        <w:t>联系方式：</w:t>
      </w:r>
      <w:r>
        <w:rPr>
          <w:rFonts w:hint="eastAsia" w:ascii="宋体" w:hAnsi="宋体"/>
          <w:sz w:val="24"/>
          <w:szCs w:val="28"/>
          <w:lang w:eastAsia="zh-CN"/>
        </w:rPr>
        <w:t>18603747565</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许昌纤顺产业园区建设有限公司</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6</w:t>
      </w:r>
      <w:r>
        <w:rPr>
          <w:rFonts w:hint="eastAsia" w:ascii="宋体" w:hAnsi="宋体" w:cs="仿宋_GB2312"/>
          <w:sz w:val="24"/>
          <w:szCs w:val="28"/>
          <w:lang w:eastAsia="zh-CN"/>
        </w:rPr>
        <w:t>月</w:t>
      </w:r>
      <w:r>
        <w:rPr>
          <w:rFonts w:hint="eastAsia" w:ascii="宋体" w:hAnsi="宋体" w:cs="仿宋_GB2312"/>
          <w:sz w:val="24"/>
          <w:szCs w:val="28"/>
          <w:lang w:val="en-US" w:eastAsia="zh-CN"/>
        </w:rPr>
        <w:t>7</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2"/>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一、项目概况</w:t>
      </w:r>
    </w:p>
    <w:p>
      <w:pPr>
        <w:pStyle w:val="26"/>
        <w:spacing w:line="500" w:lineRule="exact"/>
        <w:ind w:firstLine="480"/>
        <w:rPr>
          <w:rFonts w:ascii="宋体" w:hAnsi="宋体" w:cs="宋体"/>
          <w:b/>
          <w:sz w:val="28"/>
          <w:szCs w:val="28"/>
        </w:rPr>
      </w:pPr>
      <w:r>
        <w:rPr>
          <w:rFonts w:hint="eastAsia" w:ascii="宋体" w:hAnsi="宋体" w:cs="Times New Roman"/>
          <w:kern w:val="2"/>
          <w:sz w:val="24"/>
          <w:szCs w:val="28"/>
          <w:lang w:val="en-US" w:eastAsia="zh-CN" w:bidi="ar-SA"/>
        </w:rPr>
        <w:t>该项目位于许昌市建安区中航路以北、北航路以南、西航路以东、欧文西侧规划道路以西。主要建设内容为</w:t>
      </w:r>
      <w:r>
        <w:rPr>
          <w:rFonts w:hint="eastAsia" w:ascii="宋体" w:hAnsi="宋体" w:eastAsia="宋体" w:cs="Times New Roman"/>
          <w:kern w:val="2"/>
          <w:sz w:val="24"/>
          <w:szCs w:val="28"/>
          <w:lang w:val="en-US" w:eastAsia="zh-CN" w:bidi="ar-SA"/>
        </w:rPr>
        <w:t>新建400KVA箱变2台，10KV曹岗线至柱上断路器，架空敷设15米，采用JKLYJ-10-185导线50米；柱上断路器至400KVA 箱变（环网型），直埋铺砂盖砖敷设路径30米，采用ZRYJLV22-8.7/15-3×240电线45米：400KWA 箱变（环网型）至400KVA箱变(终端型)，顶MPP管φ200管敷设470米,选用ZRYJLV22-8.7/15-3×185电缆480米。</w:t>
      </w:r>
      <w:r>
        <w:rPr>
          <w:rFonts w:hint="eastAsia" w:ascii="宋体" w:hAnsi="宋体" w:cs="宋体"/>
          <w:b/>
          <w:sz w:val="28"/>
          <w:szCs w:val="28"/>
        </w:rPr>
        <w:t xml:space="preserve">  </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b/>
          <w:bCs/>
          <w:lang w:val="en-US" w:eastAsia="zh-CN"/>
        </w:rPr>
      </w:pPr>
      <w:r>
        <w:rPr>
          <w:rFonts w:ascii="宋体" w:hAnsi="宋体" w:eastAsia="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1、《河南省通用安装工程预算定额》(HA</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02-31-2016)</w:t>
      </w:r>
      <w:r>
        <w:rPr>
          <w:rFonts w:hint="eastAsia" w:ascii="宋体" w:hAnsi="宋体" w:cs="Times New Roman"/>
          <w:sz w:val="24"/>
          <w:szCs w:val="24"/>
          <w:lang w:val="en-US" w:eastAsia="zh-CN"/>
        </w:rPr>
        <w:t>、《河南省市政工程预算定额》（</w:t>
      </w:r>
      <w:r>
        <w:rPr>
          <w:rFonts w:hint="eastAsia" w:ascii="宋体" w:hAnsi="宋体" w:eastAsia="宋体" w:cs="Times New Roman"/>
          <w:sz w:val="24"/>
          <w:szCs w:val="24"/>
          <w:lang w:val="en-US" w:eastAsia="zh-CN"/>
        </w:rPr>
        <w:t>HA</w:t>
      </w:r>
      <w:r>
        <w:rPr>
          <w:rFonts w:hint="eastAsia" w:ascii="宋体" w:hAnsi="宋体" w:cs="Times New Roman"/>
          <w:sz w:val="24"/>
          <w:szCs w:val="24"/>
          <w:lang w:val="en-US" w:eastAsia="zh-CN"/>
        </w:rPr>
        <w:t xml:space="preserve"> 03</w:t>
      </w:r>
      <w:r>
        <w:rPr>
          <w:rFonts w:hint="eastAsia" w:ascii="宋体" w:hAnsi="宋体" w:eastAsia="宋体" w:cs="Times New Roman"/>
          <w:sz w:val="24"/>
          <w:szCs w:val="24"/>
          <w:lang w:val="en-US" w:eastAsia="zh-CN"/>
        </w:rPr>
        <w:t>-31-2016</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《河南省房屋建筑与装饰工程预算定额》(HA</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01-31-2016)、</w:t>
      </w:r>
      <w:r>
        <w:rPr>
          <w:rFonts w:hint="eastAsia" w:ascii="宋体" w:hAnsi="宋体" w:cs="Times New Roman"/>
          <w:sz w:val="24"/>
          <w:szCs w:val="24"/>
          <w:lang w:val="en-US" w:eastAsia="zh-CN"/>
        </w:rPr>
        <w:t>《建设工程工程量清单计价规范》（GB50500-2013）及相关计价文件等</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、材料价格</w:t>
      </w:r>
      <w:r>
        <w:rPr>
          <w:rFonts w:hint="eastAsia" w:ascii="宋体" w:hAnsi="宋体" w:cs="Times New Roman"/>
          <w:sz w:val="24"/>
          <w:szCs w:val="24"/>
          <w:lang w:val="en-US" w:eastAsia="zh-CN"/>
        </w:rPr>
        <w:t>依据2022年第6期</w:t>
      </w:r>
      <w:r>
        <w:rPr>
          <w:rFonts w:hint="eastAsia" w:ascii="宋体" w:hAnsi="宋体" w:eastAsia="宋体" w:cs="Times New Roman"/>
          <w:sz w:val="24"/>
          <w:szCs w:val="24"/>
          <w:lang w:val="en-US" w:eastAsia="zh-CN"/>
        </w:rPr>
        <w:t>《许昌工程造价信息》</w:t>
      </w:r>
      <w:r>
        <w:rPr>
          <w:rFonts w:hint="eastAsia" w:ascii="宋体" w:hAnsi="宋体" w:cs="Times New Roman"/>
          <w:sz w:val="24"/>
          <w:szCs w:val="24"/>
          <w:lang w:val="en-US" w:eastAsia="zh-CN"/>
        </w:rPr>
        <w:t>，12月份主材价及市场调查价调整；</w:t>
      </w:r>
    </w:p>
    <w:p>
      <w:pPr>
        <w:spacing w:line="440" w:lineRule="exact"/>
        <w:ind w:right="-512" w:rightChars="-244" w:firstLine="480" w:firstLineChars="200"/>
        <w:jc w:val="lef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价格指数按照豫建标定【2016】40号文的规定，依据豫建消技【2022】2号文发布的2022年1-6月份价格指数调整；</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、税金根据建办标函【2019】193号文9%执行；</w:t>
      </w:r>
    </w:p>
    <w:p>
      <w:pPr>
        <w:spacing w:line="440" w:lineRule="exact"/>
        <w:ind w:right="-512" w:rightChars="-244" w:firstLine="480" w:firstLineChars="200"/>
        <w:jc w:val="lef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、夜间施工增加费、二次搬运费、冬雨季施工增加费根据豫建设标【2017】99号文按定额足额计取。</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w:t>
      </w:r>
      <w:r>
        <w:rPr>
          <w:rFonts w:hint="eastAsia" w:ascii="宋体" w:hAnsi="宋体"/>
          <w:color w:val="000000"/>
          <w:sz w:val="24"/>
          <w:szCs w:val="24"/>
          <w:highlight w:val="none"/>
          <w:lang w:eastAsia="zh-CN"/>
        </w:rPr>
        <w:t>自合同签订之日起30日历天</w:t>
      </w:r>
      <w:r>
        <w:rPr>
          <w:rFonts w:hint="eastAsia" w:ascii="宋体" w:hAnsi="宋体"/>
          <w:color w:val="000000"/>
          <w:sz w:val="24"/>
          <w:szCs w:val="24"/>
          <w:highlight w:val="none"/>
        </w:rPr>
        <w:t>。</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、投标文件中须有详细的实施（技术）方案及清单报价，否则为无效投标。</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、投标人应就本项目（每包或者标段）完整投标，否则为无效投标。</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891465.71元（自筹资金）</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超出预算金额的磋商响应无效。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4"/>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许昌市建安区发制品产业园基建配电工程</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建安政采竞磋商字〔2023〕19号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该项目位于许昌市建安区中航路以北、北航路以南、西航路以东、欧文西侧规划道路以西。主要建设内容为新建400KVA箱变2台，10KV曹岗线至柱上断路器，架空敷设15米，采用JKLYJ-10-185导线50米；柱上断路器至400KVA 箱变（环网型），直埋铺砂盖砖敷设路径30米，采用ZRYJLV22-8.7/15-3×240电线45米：400KWA 箱变（环网型）至400KVA箱变(终端型)，顶MPP管φ200管敷设470米,选用ZRYJLV22-8.7/15-3×185电缆480米。</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rPr>
              <w:t>名    称：许昌纤顺产业园区建设有限公司</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rPr>
              <w:t>地    址：许昌市建安区兴业大厦</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w:t>
            </w:r>
            <w:r>
              <w:rPr>
                <w:rFonts w:hint="eastAsia" w:ascii="宋体" w:hAnsi="宋体" w:cs="仿宋_GB2312"/>
                <w:sz w:val="24"/>
                <w:szCs w:val="24"/>
                <w:lang w:val="zh-CN" w:eastAsia="zh-CN"/>
              </w:rPr>
              <w:t>张弼华</w:t>
            </w:r>
          </w:p>
          <w:p>
            <w:pPr>
              <w:autoSpaceDE w:val="0"/>
              <w:autoSpaceDN w:val="0"/>
              <w:adjustRightInd w:val="0"/>
              <w:spacing w:line="360" w:lineRule="auto"/>
              <w:jc w:val="left"/>
              <w:rPr>
                <w:rFonts w:ascii="宋体" w:hAnsi="宋体" w:cs="宋体"/>
                <w:bCs/>
                <w:sz w:val="24"/>
                <w:szCs w:val="24"/>
                <w:highlight w:val="yellow"/>
                <w:lang w:val="zh-CN"/>
              </w:rPr>
            </w:pPr>
            <w:r>
              <w:rPr>
                <w:rFonts w:hint="eastAsia" w:ascii="宋体" w:hAnsi="宋体" w:cs="仿宋_GB2312"/>
                <w:sz w:val="24"/>
                <w:szCs w:val="24"/>
                <w:lang w:val="zh-CN"/>
              </w:rPr>
              <w:t>联系方式：</w:t>
            </w:r>
            <w:r>
              <w:rPr>
                <w:rFonts w:hint="eastAsia" w:ascii="宋体" w:hAnsi="宋体" w:cs="仿宋_GB2312"/>
                <w:sz w:val="24"/>
                <w:szCs w:val="24"/>
                <w:lang w:val="zh-CN" w:eastAsia="zh-CN"/>
              </w:rPr>
              <w:t>13733677709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称：许昌安信工程管理服务有限公司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人：罗扬</w:t>
            </w:r>
          </w:p>
          <w:p>
            <w:pPr>
              <w:autoSpaceDE w:val="0"/>
              <w:autoSpaceDN w:val="0"/>
              <w:adjustRightInd w:val="0"/>
              <w:spacing w:line="360" w:lineRule="auto"/>
              <w:ind w:right="-11" w:rightChars="0"/>
              <w:jc w:val="left"/>
              <w:rPr>
                <w:rFonts w:ascii="宋体" w:hAnsi="宋体" w:cs="宋体"/>
                <w:bCs/>
                <w:sz w:val="24"/>
                <w:szCs w:val="24"/>
                <w:highlight w:val="yellow"/>
              </w:rPr>
            </w:pPr>
            <w:r>
              <w:rPr>
                <w:rFonts w:hint="eastAsia" w:ascii="宋体" w:hAnsi="宋体" w:cs="宋体"/>
                <w:bCs/>
                <w:sz w:val="24"/>
                <w:szCs w:val="24"/>
                <w:lang w:val="zh-CN"/>
              </w:rPr>
              <w:t>联系方式：18603747565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891465.71元（自筹资金）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6</w:t>
            </w:r>
            <w:r>
              <w:rPr>
                <w:rFonts w:hint="eastAsia" w:ascii="宋体" w:hAnsi="宋体" w:cs="宋体"/>
                <w:b/>
                <w:sz w:val="24"/>
                <w:szCs w:val="24"/>
                <w:lang w:eastAsia="zh-CN"/>
              </w:rPr>
              <w:t>月</w:t>
            </w:r>
            <w:r>
              <w:rPr>
                <w:rFonts w:hint="eastAsia" w:ascii="宋体" w:hAnsi="宋体" w:cs="宋体"/>
                <w:b/>
                <w:sz w:val="24"/>
                <w:szCs w:val="24"/>
                <w:lang w:val="en-US" w:eastAsia="zh-CN"/>
              </w:rPr>
              <w:t>19</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发送投标报价及分项报价一览表（包含主要中标标的的名称、规格型号、数量、单价、服务要求等）电子文档，并同时通知代理机构联系人，代理机构邮箱：1103239683@qq.com。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①2021年度或</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①2021年度或</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18"/>
                <w:rFonts w:ascii="宋体" w:hAnsi="宋体" w:cs="宋体"/>
                <w:bCs/>
                <w:color w:val="auto"/>
                <w:sz w:val="24"/>
                <w:szCs w:val="24"/>
                <w:lang w:val="zh-CN"/>
              </w:rPr>
              <w:t>www.creditchina.gov.cn</w:t>
            </w:r>
            <w:r>
              <w:rPr>
                <w:rStyle w:val="18"/>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8"/>
                <w:rFonts w:ascii="宋体" w:hAnsi="宋体" w:cs="宋体"/>
                <w:bCs/>
                <w:color w:val="auto"/>
                <w:sz w:val="24"/>
                <w:szCs w:val="24"/>
                <w:lang w:val="zh-CN"/>
              </w:rPr>
              <w:t>www.ccgp.gov.cn</w:t>
            </w:r>
            <w:r>
              <w:rPr>
                <w:rStyle w:val="18"/>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3.3.1查询渠道：“信用中国”网站（www.creditchina.gov.cn）、“中国政府采购网”（www.ccgp.gov.cn）、“中国社会组织政务服务平台”网站（</w:t>
      </w:r>
      <w:r>
        <w:rPr>
          <w:rFonts w:ascii="宋体" w:hAnsi="宋体" w:cs="宋体"/>
          <w:bCs/>
          <w:color w:val="auto"/>
          <w:sz w:val="24"/>
          <w:szCs w:val="24"/>
          <w:lang w:val="zh-CN"/>
        </w:rPr>
        <w:t>chinanpo.mca.gov.cn</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3"/>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3"/>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13.报价</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21"/>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21"/>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21"/>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21"/>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21"/>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21"/>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29.7法律、法规和磋</w:t>
      </w:r>
      <w:r>
        <w:rPr>
          <w:rFonts w:hint="eastAsia" w:ascii="宋体" w:hAnsi="宋体" w:cs="宋体"/>
          <w:kern w:val="0"/>
          <w:sz w:val="24"/>
          <w:szCs w:val="24"/>
          <w:lang w:eastAsia="zh-CN"/>
        </w:rPr>
        <w:t>商文件</w:t>
      </w:r>
      <w:r>
        <w:rPr>
          <w:rFonts w:hint="eastAsia" w:ascii="宋体" w:hAnsi="宋体" w:cs="宋体"/>
          <w:kern w:val="0"/>
          <w:sz w:val="24"/>
          <w:szCs w:val="24"/>
        </w:rPr>
        <w:t>规定的其他无效情形。</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21"/>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21"/>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1"/>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21"/>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21"/>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19"/>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19"/>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10"/>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10"/>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ascii="宋体" w:hAnsi="宋体"/>
                <w:b/>
                <w:bCs/>
                <w:szCs w:val="21"/>
              </w:rPr>
            </w:pPr>
            <w:r>
              <w:rPr>
                <w:rFonts w:hint="eastAsia" w:ascii="等线" w:hAnsi="等线" w:cs="仿宋_GB2312"/>
                <w:szCs w:val="21"/>
                <w:lang w:val="zh-CN"/>
              </w:rPr>
              <w:t>供应商须具</w:t>
            </w:r>
            <w:r>
              <w:rPr>
                <w:rFonts w:hint="eastAsia" w:ascii="等线" w:hAnsi="等线" w:cs="仿宋_GB2312"/>
                <w:szCs w:val="21"/>
                <w:lang w:val="zh-CN" w:eastAsia="zh-CN"/>
              </w:rPr>
              <w:t>有</w:t>
            </w:r>
            <w:r>
              <w:rPr>
                <w:rFonts w:hint="eastAsia" w:ascii="等线" w:hAnsi="等线" w:cs="仿宋_GB2312"/>
                <w:szCs w:val="21"/>
                <w:lang w:val="zh-CN"/>
              </w:rPr>
              <w:t>独立法人资格，</w:t>
            </w:r>
            <w:r>
              <w:rPr>
                <w:rFonts w:hint="eastAsia" w:ascii="等线" w:hAnsi="等线" w:cs="仿宋_GB2312"/>
                <w:szCs w:val="21"/>
                <w:lang w:val="zh-CN" w:eastAsia="zh-CN"/>
              </w:rPr>
              <w:t>具备建设行政主管部门颁发的电力工程施工总承包叁级及以上资质</w:t>
            </w:r>
            <w:r>
              <w:rPr>
                <w:rFonts w:hint="eastAsia" w:ascii="等线" w:hAnsi="等线" w:cs="仿宋_GB2312"/>
                <w:szCs w:val="21"/>
                <w:lang w:val="zh-CN"/>
              </w:rPr>
              <w:t>且具有有效的安全生产许可证</w:t>
            </w:r>
            <w:r>
              <w:rPr>
                <w:rFonts w:hint="eastAsia" w:ascii="等线" w:hAnsi="等线" w:cs="仿宋_GB2312"/>
                <w:szCs w:val="21"/>
                <w:lang w:val="zh-CN" w:eastAsia="zh-CN"/>
              </w:rPr>
              <w:t>；</w:t>
            </w:r>
            <w:r>
              <w:rPr>
                <w:rFonts w:hint="eastAsia" w:ascii="等线" w:hAnsi="等线" w:cs="仿宋_GB2312"/>
                <w:szCs w:val="21"/>
                <w:lang w:val="en-US" w:eastAsia="zh-CN"/>
              </w:rPr>
              <w:t>拟派项目负责人须具有机电工程专业二级及以上注册建造师资格且具有有效的安全生产考核合格证，并未担任其他在建工程的项目负责人；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10"/>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10"/>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1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10"/>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10"/>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10"/>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10"/>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10"/>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1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1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10"/>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1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10"/>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10"/>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0"/>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10"/>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10"/>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10"/>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10"/>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分值构成</w:t>
            </w:r>
          </w:p>
          <w:p>
            <w:pPr>
              <w:spacing w:line="360" w:lineRule="auto"/>
              <w:ind w:right="-512" w:rightChars="-244"/>
              <w:jc w:val="lef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23"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37" w:type="dxa"/>
            <w:noWrap/>
            <w:vAlign w:val="center"/>
          </w:tcPr>
          <w:p>
            <w:pPr>
              <w:pStyle w:val="2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1186"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left"/>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w:t>
            </w:r>
            <w:r>
              <w:rPr>
                <w:rFonts w:hint="eastAsia" w:ascii="宋体" w:hAnsi="宋体"/>
                <w:sz w:val="24"/>
                <w:szCs w:val="24"/>
                <w:lang w:val="en-US" w:eastAsia="zh-CN"/>
              </w:rPr>
              <w:t>2020</w:t>
            </w:r>
            <w:r>
              <w:rPr>
                <w:rFonts w:hint="eastAsia" w:ascii="宋体" w:hAnsi="宋体"/>
                <w:sz w:val="24"/>
                <w:szCs w:val="24"/>
              </w:rPr>
              <w:t>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3</w:t>
            </w:r>
            <w:r>
              <w:rPr>
                <w:rFonts w:hint="eastAsia" w:ascii="宋体" w:hAnsi="宋体"/>
                <w:sz w:val="24"/>
                <w:szCs w:val="24"/>
              </w:rPr>
              <w:t>分，本项最高得</w:t>
            </w:r>
            <w:r>
              <w:rPr>
                <w:rFonts w:hint="eastAsia" w:ascii="宋体" w:hAnsi="宋体"/>
                <w:sz w:val="24"/>
                <w:szCs w:val="24"/>
                <w:lang w:val="en-US" w:eastAsia="zh-CN"/>
              </w:rPr>
              <w:t>6</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或成交通知书或合同，附原件扫描件）</w:t>
            </w:r>
          </w:p>
        </w:tc>
        <w:tc>
          <w:tcPr>
            <w:tcW w:w="1186" w:type="dxa"/>
            <w:noWrap/>
            <w:vAlign w:val="center"/>
          </w:tcPr>
          <w:p>
            <w:pPr>
              <w:ind w:right="-512" w:rightChars="-244" w:firstLine="240" w:firstLineChars="100"/>
              <w:jc w:val="left"/>
              <w:rPr>
                <w:rFonts w:ascii="宋体"/>
                <w:sz w:val="24"/>
                <w:szCs w:val="24"/>
                <w:lang w:val="en-GB"/>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项目组人员有施工员、质量员、安全员、材料员、资料员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1186" w:type="dxa"/>
            <w:noWrap/>
            <w:vAlign w:val="center"/>
          </w:tcPr>
          <w:p>
            <w:pPr>
              <w:ind w:right="-512" w:rightChars="-244" w:firstLine="240" w:firstLineChars="100"/>
              <w:jc w:val="left"/>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37" w:type="dxa"/>
            <w:noWrap/>
            <w:vAlign w:val="center"/>
          </w:tcPr>
          <w:p>
            <w:pPr>
              <w:numPr>
                <w:ilvl w:val="0"/>
                <w:numId w:val="4"/>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提供企业所在地税务主管部门出具的纳税情况证明不存</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在不良信息者得3分，未提供或有不良信息者不得分。</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证书、职业健康安全管理体系认证证书的得5分，缺一不</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得分。（提供证书原件扫描件或全国认证认可信息公共服</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tc>
        <w:tc>
          <w:tcPr>
            <w:tcW w:w="1186"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根据承诺内容及针对采购人排忧解难情况及其他承诺情况</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等进行对比。优于其他供应商承诺的得5-6分；比较优秀</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1186"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2" w:type="dxa"/>
            <w:noWrap/>
            <w:vAlign w:val="center"/>
          </w:tcPr>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sz w:val="24"/>
                <w:szCs w:val="24"/>
                <w:lang w:eastAsia="zh-CN"/>
              </w:rPr>
            </w:pPr>
          </w:p>
          <w:p>
            <w:pPr>
              <w:tabs>
                <w:tab w:val="left" w:pos="525"/>
                <w:tab w:val="left" w:pos="1050"/>
              </w:tabs>
              <w:spacing w:line="360" w:lineRule="auto"/>
              <w:jc w:val="center"/>
              <w:rPr>
                <w:rFonts w:hint="eastAsia" w:ascii="宋体" w:eastAsia="宋体"/>
                <w:sz w:val="24"/>
                <w:szCs w:val="24"/>
                <w:lang w:eastAsia="zh-CN"/>
              </w:rPr>
            </w:pPr>
            <w:r>
              <w:rPr>
                <w:rFonts w:hint="eastAsia" w:ascii="宋体"/>
                <w:sz w:val="24"/>
                <w:szCs w:val="24"/>
                <w:lang w:eastAsia="zh-CN"/>
              </w:rPr>
              <w:t>技术方案</w:t>
            </w:r>
          </w:p>
        </w:tc>
        <w:tc>
          <w:tcPr>
            <w:tcW w:w="6237" w:type="dxa"/>
            <w:noWrap/>
            <w:vAlign w:val="center"/>
          </w:tcPr>
          <w:p>
            <w:pPr>
              <w:numPr>
                <w:ilvl w:val="0"/>
                <w:numId w:val="5"/>
              </w:numPr>
              <w:spacing w:line="360" w:lineRule="auto"/>
              <w:jc w:val="left"/>
              <w:rPr>
                <w:rFonts w:ascii="宋体" w:hAnsi="宋体" w:eastAsia="宋体" w:cs="宋体"/>
                <w:sz w:val="24"/>
                <w:szCs w:val="24"/>
              </w:rPr>
            </w:pPr>
            <w:r>
              <w:rPr>
                <w:rFonts w:ascii="宋体" w:hAnsi="宋体" w:eastAsia="宋体" w:cs="宋体"/>
                <w:sz w:val="24"/>
                <w:szCs w:val="24"/>
              </w:rPr>
              <w:t>主要施工方法和施工方案：编制规范，方案内施工工序、人材机投入等内容详实的得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质量保证措施：有质量管理目标、质量管理体系和职责，质量控制体系及措施等内容详实的得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工期保证措施：有工期目标和工期保证体系，进度控制和管理措施，内容详实的得</w:t>
            </w:r>
            <w:r>
              <w:rPr>
                <w:rFonts w:hint="eastAsia" w:ascii="宋体" w:hAnsi="宋体" w:eastAsia="宋体" w:cs="宋体"/>
                <w:sz w:val="24"/>
                <w:szCs w:val="24"/>
                <w:lang w:val="en-US" w:eastAsia="zh-CN"/>
              </w:rPr>
              <w:t>5</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2</w:t>
            </w:r>
            <w:r>
              <w:rPr>
                <w:rFonts w:ascii="宋体" w:hAnsi="宋体" w:eastAsia="宋体" w:cs="宋体"/>
                <w:sz w:val="24"/>
                <w:szCs w:val="24"/>
              </w:rPr>
              <w:t xml:space="preserve">分，不提供不得分。 </w:t>
            </w:r>
          </w:p>
          <w:p>
            <w:pPr>
              <w:numPr>
                <w:ilvl w:val="0"/>
                <w:numId w:val="5"/>
              </w:numPr>
              <w:spacing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安全保证措施：有安全生产管理目标，有安全生产管理体系、责任体系，有安全生产管理制度和措施，内容详实的得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分，不提供不得分。5、环境保护体系和保证措施：有如防尘措施、防噪措施、危废物品处置、建筑垃圾处理等，内容详实的得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w:t>
            </w:r>
          </w:p>
          <w:p>
            <w:pPr>
              <w:numPr>
                <w:numId w:val="0"/>
              </w:numPr>
              <w:spacing w:line="360" w:lineRule="auto"/>
              <w:ind w:leftChars="0"/>
              <w:jc w:val="left"/>
              <w:rPr>
                <w:rFonts w:ascii="宋体" w:hAnsi="宋体" w:eastAsia="宋体" w:cs="宋体"/>
                <w:sz w:val="24"/>
                <w:szCs w:val="24"/>
              </w:rPr>
            </w:pPr>
            <w:r>
              <w:rPr>
                <w:rFonts w:hint="eastAsia" w:ascii="宋体" w:hAnsi="宋体" w:cs="宋体"/>
                <w:sz w:val="24"/>
                <w:szCs w:val="24"/>
                <w:lang w:val="en-US" w:eastAsia="zh-CN"/>
              </w:rPr>
              <w:t>6、</w:t>
            </w:r>
            <w:r>
              <w:rPr>
                <w:rFonts w:ascii="宋体" w:hAnsi="宋体" w:eastAsia="宋体" w:cs="宋体"/>
                <w:sz w:val="24"/>
                <w:szCs w:val="24"/>
              </w:rPr>
              <w:t>施工管理：组织科学合理，有组织架构图和岗位职责，内容详实的得</w:t>
            </w:r>
            <w:r>
              <w:rPr>
                <w:rFonts w:hint="eastAsia" w:ascii="宋体" w:hAnsi="宋体" w:eastAsia="宋体" w:cs="宋体"/>
                <w:sz w:val="24"/>
                <w:szCs w:val="24"/>
                <w:lang w:val="en-US" w:eastAsia="zh-CN"/>
              </w:rPr>
              <w:t>5</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2</w:t>
            </w:r>
            <w:r>
              <w:rPr>
                <w:rFonts w:ascii="宋体" w:hAnsi="宋体" w:eastAsia="宋体" w:cs="宋体"/>
                <w:sz w:val="24"/>
                <w:szCs w:val="24"/>
              </w:rPr>
              <w:t xml:space="preserve">分，不提供不得分。 </w:t>
            </w:r>
            <w:bookmarkStart w:id="31" w:name="_GoBack"/>
            <w:bookmarkEnd w:id="31"/>
          </w:p>
          <w:p>
            <w:pPr>
              <w:numPr>
                <w:ilvl w:val="0"/>
                <w:numId w:val="0"/>
              </w:numPr>
              <w:spacing w:line="360" w:lineRule="auto"/>
              <w:ind w:leftChars="0"/>
              <w:jc w:val="left"/>
              <w:rPr>
                <w:rFonts w:ascii="宋体" w:hAnsi="宋体"/>
                <w:sz w:val="24"/>
                <w:szCs w:val="24"/>
              </w:rPr>
            </w:pPr>
            <w:r>
              <w:rPr>
                <w:rFonts w:ascii="宋体" w:hAnsi="宋体" w:eastAsia="宋体" w:cs="宋体"/>
                <w:sz w:val="24"/>
                <w:szCs w:val="24"/>
              </w:rPr>
              <w:t>7、资源配备计划：施工管理组织完善，任务明确，职责清晰，有施工机械配备计划，有物资、人员配备计划和资金使用计划，内容详实的得</w:t>
            </w:r>
            <w:r>
              <w:rPr>
                <w:rFonts w:hint="eastAsia" w:ascii="宋体" w:hAnsi="宋体" w:eastAsia="宋体" w:cs="宋体"/>
                <w:sz w:val="24"/>
                <w:szCs w:val="24"/>
                <w:lang w:val="en-US" w:eastAsia="zh-CN"/>
              </w:rPr>
              <w:t>6</w:t>
            </w:r>
            <w:r>
              <w:rPr>
                <w:rFonts w:ascii="宋体" w:hAnsi="宋体" w:eastAsia="宋体" w:cs="宋体"/>
                <w:sz w:val="24"/>
                <w:szCs w:val="24"/>
              </w:rPr>
              <w:t>分，不缺项且有简单描述的得</w:t>
            </w:r>
            <w:r>
              <w:rPr>
                <w:rFonts w:hint="eastAsia" w:ascii="宋体" w:hAnsi="宋体" w:eastAsia="宋体" w:cs="宋体"/>
                <w:sz w:val="24"/>
                <w:szCs w:val="24"/>
                <w:lang w:val="en-US" w:eastAsia="zh-CN"/>
              </w:rPr>
              <w:t>3</w:t>
            </w:r>
            <w:r>
              <w:rPr>
                <w:rFonts w:ascii="宋体" w:hAnsi="宋体" w:eastAsia="宋体" w:cs="宋体"/>
                <w:sz w:val="24"/>
                <w:szCs w:val="24"/>
              </w:rPr>
              <w:t>分，不提供不得分。</w:t>
            </w:r>
          </w:p>
        </w:tc>
        <w:tc>
          <w:tcPr>
            <w:tcW w:w="1186" w:type="dxa"/>
            <w:noWrap/>
            <w:vAlign w:val="center"/>
          </w:tcPr>
          <w:p>
            <w:pPr>
              <w:spacing w:line="360" w:lineRule="auto"/>
              <w:jc w:val="center"/>
            </w:pPr>
          </w:p>
          <w:p>
            <w:pPr>
              <w:pStyle w:val="2"/>
            </w:pPr>
          </w:p>
          <w:p>
            <w:pPr>
              <w:pStyle w:val="5"/>
              <w:rPr>
                <w:rFonts w:ascii="宋体" w:hAnsi="宋体"/>
                <w:sz w:val="24"/>
                <w:szCs w:val="24"/>
              </w:rPr>
            </w:pPr>
          </w:p>
          <w:p>
            <w:pPr>
              <w:pStyle w:val="5"/>
              <w:rPr>
                <w:rFonts w:ascii="宋体" w:hAnsi="宋体"/>
                <w:sz w:val="24"/>
                <w:szCs w:val="24"/>
              </w:rPr>
            </w:pPr>
          </w:p>
          <w:p>
            <w:pPr>
              <w:pStyle w:val="5"/>
              <w:rPr>
                <w:rFonts w:ascii="宋体" w:hAnsi="宋体"/>
                <w:sz w:val="24"/>
                <w:szCs w:val="24"/>
              </w:rPr>
            </w:pPr>
          </w:p>
          <w:p>
            <w:pPr>
              <w:pStyle w:val="5"/>
              <w:ind w:left="0" w:leftChars="0" w:firstLine="240" w:firstLineChars="100"/>
              <w:rPr>
                <w:rFonts w:hint="default" w:ascii="宋体" w:hAnsi="宋体" w:eastAsia="宋体"/>
                <w:sz w:val="24"/>
                <w:szCs w:val="24"/>
                <w:lang w:val="en-US" w:eastAsia="zh-CN"/>
              </w:rPr>
            </w:pPr>
            <w:r>
              <w:rPr>
                <w:rFonts w:hint="eastAsia" w:ascii="宋体" w:hAnsi="宋体"/>
                <w:sz w:val="24"/>
                <w:szCs w:val="24"/>
                <w:lang w:val="en-US" w:eastAsia="zh-CN"/>
              </w:rPr>
              <w:t>40分</w:t>
            </w:r>
          </w:p>
          <w:p>
            <w:pPr>
              <w:pStyle w:val="5"/>
              <w:rPr>
                <w:rFonts w:ascii="宋体" w:hAnsi="宋体"/>
                <w:sz w:val="24"/>
                <w:szCs w:val="24"/>
              </w:rPr>
            </w:pPr>
          </w:p>
        </w:tc>
      </w:tr>
    </w:tbl>
    <w:p>
      <w:pPr>
        <w:pStyle w:val="10"/>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19"/>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15640_WPSOffice_Level1"/>
      <w:bookmarkStart w:id="30"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1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0"/>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10"/>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lang w:eastAsia="zh-CN"/>
        </w:rPr>
        <w:t>磋商文件</w:t>
      </w:r>
      <w:r>
        <w:rPr>
          <w:rFonts w:hint="eastAsia" w:ascii="宋体" w:hAnsi="宋体"/>
          <w:snapToGrid w:val="0"/>
          <w:szCs w:val="24"/>
        </w:rPr>
        <w:t>的全部内容。</w:t>
      </w:r>
    </w:p>
    <w:p>
      <w:pPr>
        <w:pStyle w:val="10"/>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我方在参与投标前已详细研究了</w:t>
      </w:r>
      <w:r>
        <w:rPr>
          <w:rFonts w:hint="eastAsia" w:ascii="宋体" w:hAnsi="宋体"/>
          <w:snapToGrid w:val="0"/>
          <w:szCs w:val="24"/>
          <w:lang w:eastAsia="zh-CN"/>
        </w:rPr>
        <w:t>磋商文件</w:t>
      </w:r>
      <w:r>
        <w:rPr>
          <w:rFonts w:hint="eastAsia" w:ascii="宋体" w:hAnsi="宋体"/>
          <w:snapToGrid w:val="0"/>
          <w:szCs w:val="24"/>
        </w:rPr>
        <w:t>的所有内容，包括澄清、修改文件（如果有）和所有已提供的参考资料以及有关附件，我方完全明白并认为此</w:t>
      </w:r>
      <w:r>
        <w:rPr>
          <w:rFonts w:hint="eastAsia" w:ascii="宋体" w:hAnsi="宋体"/>
          <w:snapToGrid w:val="0"/>
          <w:szCs w:val="24"/>
          <w:lang w:eastAsia="zh-CN"/>
        </w:rPr>
        <w:t>磋商文件</w:t>
      </w:r>
      <w:r>
        <w:rPr>
          <w:rFonts w:hint="eastAsia" w:ascii="宋体" w:hAnsi="宋体"/>
          <w:snapToGrid w:val="0"/>
          <w:szCs w:val="24"/>
        </w:rPr>
        <w:t>没有倾向性，也不存在排斥潜在投标供应商的内容，我方同意</w:t>
      </w:r>
      <w:r>
        <w:rPr>
          <w:rFonts w:hint="eastAsia" w:ascii="宋体" w:hAnsi="宋体"/>
          <w:snapToGrid w:val="0"/>
          <w:szCs w:val="24"/>
          <w:lang w:eastAsia="zh-CN"/>
        </w:rPr>
        <w:t>磋商文件</w:t>
      </w:r>
      <w:r>
        <w:rPr>
          <w:rFonts w:hint="eastAsia" w:ascii="宋体" w:hAnsi="宋体"/>
          <w:snapToGrid w:val="0"/>
          <w:szCs w:val="24"/>
        </w:rPr>
        <w:t>的相关条款和</w:t>
      </w:r>
      <w:r>
        <w:rPr>
          <w:rFonts w:hint="eastAsia" w:ascii="宋体" w:hAnsi="宋体"/>
          <w:szCs w:val="24"/>
        </w:rPr>
        <w:t>已完全理解并接受</w:t>
      </w:r>
      <w:r>
        <w:rPr>
          <w:rFonts w:hint="eastAsia" w:ascii="宋体" w:hAnsi="宋体"/>
          <w:szCs w:val="24"/>
          <w:lang w:eastAsia="zh-CN"/>
        </w:rPr>
        <w:t>磋商文件</w:t>
      </w:r>
      <w:r>
        <w:rPr>
          <w:rFonts w:hint="eastAsia" w:ascii="宋体" w:hAnsi="宋体"/>
          <w:szCs w:val="24"/>
        </w:rPr>
        <w:t>的各项规定和要求及资金支付规定，对</w:t>
      </w:r>
      <w:r>
        <w:rPr>
          <w:rFonts w:hint="eastAsia" w:ascii="宋体" w:hAnsi="宋体"/>
          <w:szCs w:val="24"/>
          <w:lang w:eastAsia="zh-CN"/>
        </w:rPr>
        <w:t>磋商文件</w:t>
      </w:r>
      <w:r>
        <w:rPr>
          <w:rFonts w:hint="eastAsia" w:ascii="宋体" w:hAnsi="宋体"/>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w:t>
      </w:r>
      <w:r>
        <w:rPr>
          <w:rFonts w:hint="eastAsia" w:ascii="宋体" w:hAnsi="宋体"/>
          <w:i/>
          <w:snapToGrid w:val="0"/>
          <w:kern w:val="0"/>
          <w:sz w:val="24"/>
          <w:szCs w:val="24"/>
          <w:u w:val="single"/>
          <w:lang w:eastAsia="zh-CN"/>
        </w:rPr>
        <w:t>供应商</w:t>
      </w:r>
      <w:r>
        <w:rPr>
          <w:rFonts w:hint="eastAsia" w:ascii="宋体" w:hAnsi="宋体"/>
          <w:i/>
          <w:snapToGrid w:val="0"/>
          <w:kern w:val="0"/>
          <w:sz w:val="24"/>
          <w:szCs w:val="24"/>
          <w:u w:val="single"/>
        </w:rPr>
        <w:t xml:space="preserve">名称)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3"/>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10"/>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10"/>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10"/>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0"/>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10"/>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10"/>
        <w:adjustRightInd w:val="0"/>
        <w:snapToGrid w:val="0"/>
        <w:spacing w:line="360" w:lineRule="auto"/>
        <w:ind w:right="-512" w:rightChars="-244"/>
        <w:rPr>
          <w:rFonts w:ascii="宋体" w:hAnsi="宋体"/>
          <w:szCs w:val="24"/>
        </w:rPr>
      </w:pPr>
    </w:p>
    <w:p>
      <w:pPr>
        <w:pStyle w:val="10"/>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3"/>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3"/>
        <w:spacing w:line="480" w:lineRule="auto"/>
        <w:ind w:right="-512" w:rightChars="-244" w:firstLine="540" w:firstLineChars="225"/>
        <w:jc w:val="left"/>
        <w:rPr>
          <w:rFonts w:hAnsi="宋体"/>
          <w:szCs w:val="24"/>
        </w:rPr>
      </w:pPr>
      <w:r>
        <w:rPr>
          <w:rFonts w:hint="eastAsia" w:hAnsi="宋体"/>
          <w:szCs w:val="24"/>
        </w:rPr>
        <w:t>地址：</w:t>
      </w:r>
    </w:p>
    <w:p>
      <w:pPr>
        <w:pStyle w:val="23"/>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3"/>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3"/>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3"/>
        <w:spacing w:line="480" w:lineRule="auto"/>
        <w:ind w:right="-512" w:rightChars="-244" w:firstLine="540" w:firstLineChars="225"/>
        <w:jc w:val="left"/>
        <w:rPr>
          <w:rFonts w:hAnsi="宋体"/>
          <w:szCs w:val="24"/>
        </w:rPr>
      </w:pPr>
    </w:p>
    <w:p>
      <w:pPr>
        <w:pStyle w:val="23"/>
        <w:spacing w:line="480" w:lineRule="auto"/>
        <w:ind w:right="-512" w:rightChars="-244" w:firstLine="540" w:firstLineChars="225"/>
        <w:jc w:val="left"/>
        <w:rPr>
          <w:rFonts w:hAnsi="宋体"/>
          <w:szCs w:val="24"/>
        </w:rPr>
      </w:pPr>
    </w:p>
    <w:p>
      <w:pPr>
        <w:pStyle w:val="23"/>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3"/>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4"/>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5"/>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（供应商根据已发布的工程量清单进行编制）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8"/>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9"/>
              <w:spacing w:line="360" w:lineRule="auto"/>
              <w:rPr>
                <w:rFonts w:ascii="宋体" w:hAnsi="宋体" w:eastAsia="宋体" w:cs="宋体"/>
                <w:sz w:val="21"/>
                <w:szCs w:val="21"/>
              </w:rPr>
            </w:pPr>
          </w:p>
        </w:tc>
        <w:tc>
          <w:tcPr>
            <w:tcW w:w="3579" w:type="dxa"/>
            <w:noWrap w:val="0"/>
            <w:vAlign w:val="center"/>
          </w:tcPr>
          <w:p>
            <w:pPr>
              <w:pStyle w:val="9"/>
              <w:spacing w:line="360" w:lineRule="auto"/>
              <w:rPr>
                <w:rFonts w:ascii="宋体" w:hAnsi="宋体" w:eastAsia="宋体" w:cs="宋体"/>
                <w:sz w:val="21"/>
                <w:szCs w:val="21"/>
              </w:rPr>
            </w:pPr>
          </w:p>
        </w:tc>
        <w:tc>
          <w:tcPr>
            <w:tcW w:w="1440" w:type="dxa"/>
            <w:noWrap w:val="0"/>
            <w:vAlign w:val="center"/>
          </w:tcPr>
          <w:p>
            <w:pPr>
              <w:pStyle w:val="9"/>
              <w:spacing w:line="360" w:lineRule="auto"/>
              <w:rPr>
                <w:rFonts w:ascii="宋体" w:hAnsi="宋体" w:eastAsia="宋体" w:cs="宋体"/>
                <w:sz w:val="21"/>
                <w:szCs w:val="21"/>
              </w:rPr>
            </w:pPr>
          </w:p>
        </w:tc>
        <w:tc>
          <w:tcPr>
            <w:tcW w:w="1706" w:type="dxa"/>
            <w:noWrap w:val="0"/>
            <w:vAlign w:val="center"/>
          </w:tcPr>
          <w:p>
            <w:pPr>
              <w:pStyle w:val="9"/>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9"/>
              <w:spacing w:line="360" w:lineRule="auto"/>
              <w:rPr>
                <w:rFonts w:ascii="宋体" w:hAnsi="宋体" w:eastAsia="宋体" w:cs="宋体"/>
                <w:sz w:val="21"/>
                <w:szCs w:val="21"/>
              </w:rPr>
            </w:pPr>
          </w:p>
        </w:tc>
        <w:tc>
          <w:tcPr>
            <w:tcW w:w="3579" w:type="dxa"/>
            <w:noWrap w:val="0"/>
            <w:vAlign w:val="center"/>
          </w:tcPr>
          <w:p>
            <w:pPr>
              <w:pStyle w:val="9"/>
              <w:spacing w:line="360" w:lineRule="auto"/>
              <w:rPr>
                <w:rFonts w:ascii="宋体" w:hAnsi="宋体" w:eastAsia="宋体" w:cs="宋体"/>
                <w:sz w:val="21"/>
                <w:szCs w:val="21"/>
              </w:rPr>
            </w:pPr>
          </w:p>
        </w:tc>
        <w:tc>
          <w:tcPr>
            <w:tcW w:w="1440" w:type="dxa"/>
            <w:noWrap w:val="0"/>
            <w:vAlign w:val="center"/>
          </w:tcPr>
          <w:p>
            <w:pPr>
              <w:pStyle w:val="9"/>
              <w:spacing w:line="360" w:lineRule="auto"/>
              <w:rPr>
                <w:rFonts w:ascii="宋体" w:hAnsi="宋体" w:eastAsia="宋体" w:cs="宋体"/>
                <w:sz w:val="21"/>
                <w:szCs w:val="21"/>
              </w:rPr>
            </w:pPr>
          </w:p>
        </w:tc>
        <w:tc>
          <w:tcPr>
            <w:tcW w:w="1706" w:type="dxa"/>
            <w:noWrap w:val="0"/>
            <w:vAlign w:val="center"/>
          </w:tcPr>
          <w:p>
            <w:pPr>
              <w:pStyle w:val="9"/>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9"/>
              <w:spacing w:line="360" w:lineRule="auto"/>
              <w:rPr>
                <w:rFonts w:ascii="宋体" w:hAnsi="宋体" w:eastAsia="宋体" w:cs="宋体"/>
                <w:sz w:val="21"/>
                <w:szCs w:val="21"/>
              </w:rPr>
            </w:pPr>
          </w:p>
        </w:tc>
        <w:tc>
          <w:tcPr>
            <w:tcW w:w="3579" w:type="dxa"/>
            <w:noWrap w:val="0"/>
            <w:vAlign w:val="center"/>
          </w:tcPr>
          <w:p>
            <w:pPr>
              <w:pStyle w:val="9"/>
              <w:spacing w:line="360" w:lineRule="auto"/>
              <w:rPr>
                <w:rFonts w:ascii="宋体" w:hAnsi="宋体" w:eastAsia="宋体" w:cs="宋体"/>
                <w:sz w:val="21"/>
                <w:szCs w:val="21"/>
              </w:rPr>
            </w:pPr>
          </w:p>
        </w:tc>
        <w:tc>
          <w:tcPr>
            <w:tcW w:w="1440" w:type="dxa"/>
            <w:noWrap w:val="0"/>
            <w:vAlign w:val="center"/>
          </w:tcPr>
          <w:p>
            <w:pPr>
              <w:pStyle w:val="9"/>
              <w:spacing w:line="360" w:lineRule="auto"/>
              <w:rPr>
                <w:rFonts w:ascii="宋体" w:hAnsi="宋体" w:eastAsia="宋体" w:cs="宋体"/>
                <w:sz w:val="21"/>
                <w:szCs w:val="21"/>
              </w:rPr>
            </w:pPr>
          </w:p>
        </w:tc>
        <w:tc>
          <w:tcPr>
            <w:tcW w:w="1706" w:type="dxa"/>
            <w:noWrap w:val="0"/>
            <w:vAlign w:val="center"/>
          </w:tcPr>
          <w:p>
            <w:pPr>
              <w:pStyle w:val="9"/>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1">
    <w:nsid w:val="2C6A7CBA"/>
    <w:multiLevelType w:val="singleLevel"/>
    <w:tmpl w:val="2C6A7CBA"/>
    <w:lvl w:ilvl="0" w:tentative="0">
      <w:start w:val="8"/>
      <w:numFmt w:val="decimal"/>
      <w:suff w:val="nothing"/>
      <w:lvlText w:val="（%1）"/>
      <w:lvlJc w:val="left"/>
    </w:lvl>
  </w:abstractNum>
  <w:abstractNum w:abstractNumId="2">
    <w:nsid w:val="34832512"/>
    <w:multiLevelType w:val="singleLevel"/>
    <w:tmpl w:val="34832512"/>
    <w:lvl w:ilvl="0" w:tentative="0">
      <w:start w:val="1"/>
      <w:numFmt w:val="decimal"/>
      <w:suff w:val="nothing"/>
      <w:lvlText w:val="%1、"/>
      <w:lvlJc w:val="left"/>
    </w:lvl>
  </w:abstractNum>
  <w:abstractNum w:abstractNumId="3">
    <w:nsid w:val="356B4717"/>
    <w:multiLevelType w:val="singleLevel"/>
    <w:tmpl w:val="356B4717"/>
    <w:lvl w:ilvl="0" w:tentative="0">
      <w:start w:val="1"/>
      <w:numFmt w:val="decimal"/>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17AD0D3B"/>
    <w:rsid w:val="1FBA64F8"/>
    <w:rsid w:val="3FFC44B1"/>
    <w:rsid w:val="405F5A31"/>
    <w:rsid w:val="43EE6514"/>
    <w:rsid w:val="44F76D3C"/>
    <w:rsid w:val="48D94587"/>
    <w:rsid w:val="4BFF0B99"/>
    <w:rsid w:val="53590166"/>
    <w:rsid w:val="58D116D7"/>
    <w:rsid w:val="5EE148F6"/>
    <w:rsid w:val="6CDF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99"/>
    <w:pPr>
      <w:spacing w:after="120"/>
    </w:pPr>
    <w:rPr>
      <w:rFonts w:hint="eastAsia" w:hAnsi="宋体" w:cs="宋体"/>
      <w:szCs w:val="34"/>
    </w:rPr>
  </w:style>
  <w:style w:type="paragraph" w:styleId="4">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7"/>
    <w:qFormat/>
    <w:uiPriority w:val="99"/>
    <w:pPr>
      <w:spacing w:after="120"/>
      <w:ind w:left="420" w:leftChars="200"/>
    </w:pPr>
  </w:style>
  <w:style w:type="paragraph" w:customStyle="1" w:styleId="7">
    <w:name w:val="Blockquote"/>
    <w:basedOn w:val="1"/>
    <w:next w:val="1"/>
    <w:qFormat/>
    <w:uiPriority w:val="0"/>
    <w:pPr>
      <w:autoSpaceDE w:val="0"/>
      <w:autoSpaceDN w:val="0"/>
      <w:adjustRightInd w:val="0"/>
      <w:ind w:left="360" w:right="360"/>
      <w:jc w:val="left"/>
    </w:pPr>
    <w:rPr>
      <w:kern w:val="0"/>
      <w:sz w:val="24"/>
      <w:szCs w:val="20"/>
    </w:rPr>
  </w:style>
  <w:style w:type="paragraph" w:styleId="9">
    <w:name w:val="caption"/>
    <w:basedOn w:val="1"/>
    <w:next w:val="1"/>
    <w:qFormat/>
    <w:uiPriority w:val="0"/>
    <w:rPr>
      <w:rFonts w:ascii="Arial" w:hAnsi="Arial" w:eastAsia="黑体" w:cs="Arial"/>
      <w:sz w:val="20"/>
      <w:szCs w:val="20"/>
    </w:rPr>
  </w:style>
  <w:style w:type="paragraph" w:styleId="10">
    <w:name w:val="Plain Text"/>
    <w:basedOn w:val="1"/>
    <w:qFormat/>
    <w:uiPriority w:val="0"/>
    <w:rPr>
      <w:rFonts w:hAnsi="Courier New" w:cs="Courier New"/>
      <w:szCs w:val="21"/>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Normal (Web)"/>
    <w:basedOn w:val="1"/>
    <w:qFormat/>
    <w:uiPriority w:val="99"/>
    <w:pPr>
      <w:widowControl/>
      <w:spacing w:before="100" w:beforeAutospacing="1" w:after="100" w:afterAutospacing="1"/>
      <w:jc w:val="left"/>
    </w:pPr>
    <w:rPr>
      <w:rFonts w:hAnsi="宋体" w:cs="宋体"/>
      <w:sz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99"/>
    <w:rPr>
      <w:color w:val="000000"/>
      <w:u w:val="none"/>
    </w:rPr>
  </w:style>
  <w:style w:type="paragraph" w:customStyle="1" w:styleId="19">
    <w:name w:val="_Style 2"/>
    <w:basedOn w:val="1"/>
    <w:next w:val="1"/>
    <w:qFormat/>
    <w:uiPriority w:val="0"/>
    <w:pPr>
      <w:ind w:firstLine="420" w:firstLineChars="200"/>
    </w:pPr>
  </w:style>
  <w:style w:type="character" w:customStyle="1" w:styleId="20">
    <w:name w:val="NormalCharacter"/>
    <w:qFormat/>
    <w:uiPriority w:val="0"/>
  </w:style>
  <w:style w:type="paragraph" w:styleId="21">
    <w:name w:val="List Paragraph"/>
    <w:basedOn w:val="1"/>
    <w:qFormat/>
    <w:uiPriority w:val="99"/>
    <w:pPr>
      <w:ind w:firstLine="420" w:firstLineChars="200"/>
    </w:pPr>
  </w:style>
  <w:style w:type="paragraph" w:customStyle="1" w:styleId="22">
    <w:name w:val="Table Paragraph"/>
    <w:basedOn w:val="1"/>
    <w:qFormat/>
    <w:uiPriority w:val="1"/>
    <w:rPr>
      <w:rFonts w:ascii="宋体" w:hAnsi="宋体" w:cs="宋体"/>
      <w:szCs w:val="20"/>
      <w:lang w:val="zh-CN" w:bidi="zh-CN"/>
    </w:rPr>
  </w:style>
  <w:style w:type="paragraph" w:customStyle="1" w:styleId="23">
    <w:name w:val="正文文本缩进1"/>
    <w:basedOn w:val="1"/>
    <w:qFormat/>
    <w:uiPriority w:val="0"/>
    <w:pPr>
      <w:spacing w:line="360" w:lineRule="auto"/>
      <w:ind w:firstLine="480" w:firstLineChars="200"/>
    </w:pPr>
    <w:rPr>
      <w:rFonts w:ascii="宋体"/>
      <w:kern w:val="0"/>
      <w:sz w:val="24"/>
      <w:szCs w:val="20"/>
    </w:rPr>
  </w:style>
  <w:style w:type="paragraph" w:customStyle="1" w:styleId="24">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5">
    <w:name w:val="日期1"/>
    <w:basedOn w:val="1"/>
    <w:next w:val="1"/>
    <w:qFormat/>
    <w:uiPriority w:val="0"/>
    <w:rPr>
      <w:kern w:val="0"/>
      <w:sz w:val="24"/>
      <w:szCs w:val="20"/>
    </w:rPr>
  </w:style>
  <w:style w:type="paragraph" w:customStyle="1" w:styleId="26">
    <w:name w:val="_Style 7"/>
    <w:basedOn w:val="1"/>
    <w:next w:val="21"/>
    <w:qFormat/>
    <w:uiPriority w:val="99"/>
    <w:pPr>
      <w:ind w:firstLine="420" w:firstLineChars="200"/>
    </w:p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FF0000"/>
    </w:rPr>
  </w:style>
  <w:style w:type="character" w:customStyle="1" w:styleId="30">
    <w:name w:val="red3"/>
    <w:basedOn w:val="15"/>
    <w:qFormat/>
    <w:uiPriority w:val="0"/>
    <w:rPr>
      <w:color w:val="CC0000"/>
    </w:rPr>
  </w:style>
  <w:style w:type="character" w:customStyle="1" w:styleId="31">
    <w:name w:val="right"/>
    <w:basedOn w:val="15"/>
    <w:qFormat/>
    <w:uiPriority w:val="0"/>
    <w:rPr>
      <w:color w:val="999999"/>
      <w:sz w:val="18"/>
      <w:szCs w:val="18"/>
    </w:rPr>
  </w:style>
  <w:style w:type="character" w:customStyle="1" w:styleId="32">
    <w:name w:val="hover"/>
    <w:basedOn w:val="15"/>
    <w:qFormat/>
    <w:uiPriority w:val="0"/>
  </w:style>
  <w:style w:type="character" w:customStyle="1" w:styleId="33">
    <w:name w:val="blue"/>
    <w:basedOn w:val="15"/>
    <w:qFormat/>
    <w:uiPriority w:val="0"/>
    <w:rPr>
      <w:color w:val="0371C6"/>
      <w:sz w:val="21"/>
      <w:szCs w:val="21"/>
    </w:rPr>
  </w:style>
  <w:style w:type="character" w:customStyle="1" w:styleId="34">
    <w:name w:val="green"/>
    <w:basedOn w:val="15"/>
    <w:qFormat/>
    <w:uiPriority w:val="0"/>
    <w:rPr>
      <w:color w:val="66AE00"/>
      <w:sz w:val="18"/>
      <w:szCs w:val="18"/>
    </w:rPr>
  </w:style>
  <w:style w:type="character" w:customStyle="1" w:styleId="35">
    <w:name w:val="green1"/>
    <w:basedOn w:val="15"/>
    <w:qFormat/>
    <w:uiPriority w:val="0"/>
    <w:rPr>
      <w:color w:val="66AE00"/>
      <w:sz w:val="18"/>
      <w:szCs w:val="18"/>
    </w:rPr>
  </w:style>
  <w:style w:type="character" w:customStyle="1" w:styleId="36">
    <w:name w:val="gb-jt"/>
    <w:basedOn w:val="15"/>
    <w:qFormat/>
    <w:uiPriority w:val="0"/>
  </w:style>
  <w:style w:type="character" w:customStyle="1" w:styleId="37">
    <w:name w:val="active4"/>
    <w:basedOn w:val="15"/>
    <w:qFormat/>
    <w:uiPriority w:val="0"/>
    <w:rPr>
      <w:color w:val="FFFFFF"/>
      <w:shd w:val="clear" w:fill="2B7AFC"/>
    </w:rPr>
  </w:style>
  <w:style w:type="character" w:customStyle="1" w:styleId="38">
    <w:name w:val="hover25"/>
    <w:basedOn w:val="15"/>
    <w:qFormat/>
    <w:uiPriority w:val="0"/>
  </w:style>
  <w:style w:type="character" w:customStyle="1" w:styleId="39">
    <w:name w:val="hover24"/>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32892</Words>
  <Characters>35188</Characters>
  <Lines>0</Lines>
  <Paragraphs>0</Paragraphs>
  <TotalTime>21</TotalTime>
  <ScaleCrop>false</ScaleCrop>
  <LinksUpToDate>false</LinksUpToDate>
  <CharactersWithSpaces>36001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八色花</cp:lastModifiedBy>
  <cp:lastPrinted>2023-06-06T04:46:00Z</cp:lastPrinted>
  <dcterms:modified xsi:type="dcterms:W3CDTF">2023-06-07T02:25:40Z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B67547A1224F44DC8581212C460054C6</vt:lpwstr>
  </property>
</Properties>
</file>