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禹州市自然资源和规划局</w:t>
      </w:r>
    </w:p>
    <w:p>
      <w:p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禹州市增减挂钩项目清理检查及节余指标建库工作项目</w:t>
      </w:r>
    </w:p>
    <w:p>
      <w:pPr>
        <w:jc w:val="center"/>
        <w:rPr>
          <w:sz w:val="28"/>
          <w:szCs w:val="28"/>
        </w:rPr>
      </w:pPr>
      <w:r>
        <w:rPr>
          <w:rFonts w:hint="eastAsia" w:ascii="宋体" w:hAnsi="宋体" w:cs="宋体"/>
          <w:b/>
          <w:bCs/>
          <w:sz w:val="28"/>
          <w:szCs w:val="28"/>
        </w:rPr>
        <w:t>（不见面开标）成交公告</w:t>
      </w:r>
    </w:p>
    <w:p>
      <w:pPr>
        <w:spacing w:line="480" w:lineRule="exact"/>
      </w:pPr>
      <w:r>
        <w:rPr>
          <w:rFonts w:hint="eastAsia"/>
        </w:rPr>
        <w:t>一、项目基本情况</w:t>
      </w:r>
    </w:p>
    <w:p>
      <w:pPr>
        <w:keepNext w:val="0"/>
        <w:keepLines w:val="0"/>
        <w:pageBreakBefore w:val="0"/>
        <w:widowControl w:val="0"/>
        <w:kinsoku/>
        <w:wordWrap/>
        <w:overflowPunct/>
        <w:topLinePunct w:val="0"/>
        <w:bidi w:val="0"/>
        <w:snapToGrid/>
        <w:spacing w:line="460" w:lineRule="exact"/>
        <w:ind w:firstLine="420" w:firstLineChars="200"/>
        <w:textAlignment w:val="auto"/>
        <w:rPr>
          <w:rFonts w:hint="eastAsia" w:eastAsiaTheme="minorEastAsia"/>
          <w:lang w:eastAsia="zh-CN"/>
        </w:rPr>
      </w:pPr>
      <w:r>
        <w:rPr>
          <w:rFonts w:hint="eastAsia"/>
        </w:rPr>
        <w:t>1、采购项目编号：禹财磋商-2023-</w:t>
      </w:r>
      <w:r>
        <w:rPr>
          <w:rFonts w:hint="eastAsia"/>
          <w:lang w:val="en-US" w:eastAsia="zh-CN"/>
        </w:rPr>
        <w:t>5</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hint="eastAsia" w:ascii="宋体" w:hAnsi="宋体" w:eastAsia="宋体" w:cs="宋体"/>
          <w:bCs/>
          <w:sz w:val="21"/>
          <w:szCs w:val="21"/>
          <w:lang w:val="en-US" w:eastAsia="zh-CN"/>
        </w:rPr>
      </w:pPr>
      <w:r>
        <w:rPr>
          <w:rFonts w:hint="eastAsia"/>
        </w:rPr>
        <w:t>2、采购项目名称：</w:t>
      </w:r>
      <w:r>
        <w:rPr>
          <w:rFonts w:hint="eastAsia" w:ascii="宋体" w:hAnsi="宋体" w:eastAsia="宋体" w:cs="宋体"/>
          <w:lang w:val="en-US" w:eastAsia="zh-CN"/>
        </w:rPr>
        <w:t>禹州市自然资源和规划局禹州市增减挂钩项目清理检查及节余指标建库工作项目</w:t>
      </w:r>
    </w:p>
    <w:p>
      <w:pPr>
        <w:keepNext w:val="0"/>
        <w:keepLines w:val="0"/>
        <w:pageBreakBefore w:val="0"/>
        <w:widowControl w:val="0"/>
        <w:kinsoku/>
        <w:wordWrap/>
        <w:overflowPunct/>
        <w:topLinePunct w:val="0"/>
        <w:bidi w:val="0"/>
        <w:snapToGrid/>
        <w:spacing w:line="460" w:lineRule="exact"/>
        <w:ind w:firstLine="420" w:firstLineChars="200"/>
        <w:textAlignment w:val="auto"/>
      </w:pPr>
      <w:r>
        <w:rPr>
          <w:rFonts w:hint="eastAsia"/>
        </w:rPr>
        <w:t>3、采购方式：竞争性磋商</w:t>
      </w:r>
    </w:p>
    <w:p>
      <w:pPr>
        <w:keepNext w:val="0"/>
        <w:keepLines w:val="0"/>
        <w:pageBreakBefore w:val="0"/>
        <w:widowControl w:val="0"/>
        <w:kinsoku/>
        <w:wordWrap/>
        <w:overflowPunct/>
        <w:topLinePunct w:val="0"/>
        <w:bidi w:val="0"/>
        <w:snapToGrid/>
        <w:spacing w:line="460" w:lineRule="exact"/>
        <w:ind w:firstLine="420" w:firstLineChars="200"/>
        <w:textAlignment w:val="auto"/>
      </w:pPr>
      <w:r>
        <w:rPr>
          <w:rFonts w:hint="eastAsia"/>
        </w:rPr>
        <w:t>4、招标公告发布日期： 202</w:t>
      </w:r>
      <w:r>
        <w:t>3</w:t>
      </w:r>
      <w:r>
        <w:rPr>
          <w:rFonts w:hint="eastAsia"/>
        </w:rPr>
        <w:t>年</w:t>
      </w:r>
      <w:r>
        <w:rPr>
          <w:rFonts w:hint="eastAsia"/>
          <w:lang w:val="en-US" w:eastAsia="zh-CN"/>
        </w:rPr>
        <w:t>05</w:t>
      </w:r>
      <w:r>
        <w:rPr>
          <w:rFonts w:hint="eastAsia"/>
        </w:rPr>
        <w:t>月</w:t>
      </w:r>
      <w:r>
        <w:rPr>
          <w:rFonts w:hint="eastAsia"/>
          <w:color w:val="auto"/>
          <w:lang w:val="en-US" w:eastAsia="zh-CN"/>
        </w:rPr>
        <w:t>22</w:t>
      </w:r>
      <w:r>
        <w:rPr>
          <w:rFonts w:hint="eastAsia"/>
          <w:color w:val="auto"/>
        </w:rPr>
        <w:t>日</w:t>
      </w:r>
      <w:bookmarkStart w:id="0" w:name="_GoBack"/>
      <w:bookmarkEnd w:id="0"/>
    </w:p>
    <w:p>
      <w:pPr>
        <w:keepNext w:val="0"/>
        <w:keepLines w:val="0"/>
        <w:pageBreakBefore w:val="0"/>
        <w:widowControl w:val="0"/>
        <w:kinsoku/>
        <w:wordWrap/>
        <w:overflowPunct/>
        <w:topLinePunct w:val="0"/>
        <w:bidi w:val="0"/>
        <w:snapToGrid/>
        <w:spacing w:line="460" w:lineRule="exact"/>
        <w:ind w:firstLine="420" w:firstLineChars="200"/>
        <w:textAlignment w:val="auto"/>
      </w:pPr>
      <w:r>
        <w:rPr>
          <w:rFonts w:hint="eastAsia"/>
          <w:lang w:val="en-US" w:eastAsia="zh-CN"/>
        </w:rPr>
        <w:t>5</w:t>
      </w:r>
      <w:r>
        <w:rPr>
          <w:rFonts w:hint="eastAsia"/>
        </w:rPr>
        <w:t>、评审日期：202</w:t>
      </w:r>
      <w:r>
        <w:t>3</w:t>
      </w:r>
      <w:r>
        <w:rPr>
          <w:rFonts w:hint="eastAsia"/>
        </w:rPr>
        <w:t>年</w:t>
      </w:r>
      <w:r>
        <w:rPr>
          <w:rFonts w:hint="eastAsia"/>
          <w:lang w:val="en-US" w:eastAsia="zh-CN"/>
        </w:rPr>
        <w:t>06</w:t>
      </w:r>
      <w:r>
        <w:rPr>
          <w:rFonts w:hint="eastAsia"/>
        </w:rPr>
        <w:t>月</w:t>
      </w:r>
      <w:r>
        <w:rPr>
          <w:rFonts w:hint="eastAsia"/>
          <w:lang w:val="en-US" w:eastAsia="zh-CN"/>
        </w:rPr>
        <w:t>02</w:t>
      </w:r>
      <w:r>
        <w:rPr>
          <w:rFonts w:hint="eastAsia"/>
        </w:rPr>
        <w:t>日</w:t>
      </w:r>
      <w:r>
        <w:rPr>
          <w:rFonts w:hint="eastAsia"/>
          <w:lang w:val="en-US" w:eastAsia="zh-CN"/>
        </w:rPr>
        <w:t>8</w:t>
      </w:r>
      <w:r>
        <w:rPr>
          <w:rFonts w:hint="eastAsia"/>
        </w:rPr>
        <w:t>点30分</w:t>
      </w:r>
    </w:p>
    <w:p>
      <w:pPr>
        <w:spacing w:line="480" w:lineRule="exact"/>
      </w:pPr>
      <w:r>
        <w:rPr>
          <w:rFonts w:hint="eastAsia"/>
        </w:rPr>
        <w:t xml:space="preserve">二、成交情况   </w:t>
      </w:r>
    </w:p>
    <w:tbl>
      <w:tblPr>
        <w:tblStyle w:val="14"/>
        <w:tblW w:w="4998" w:type="pct"/>
        <w:tblInd w:w="0" w:type="dxa"/>
        <w:tblLayout w:type="autofit"/>
        <w:tblCellMar>
          <w:top w:w="0" w:type="dxa"/>
          <w:left w:w="108" w:type="dxa"/>
          <w:bottom w:w="0" w:type="dxa"/>
          <w:right w:w="108" w:type="dxa"/>
        </w:tblCellMar>
      </w:tblPr>
      <w:tblGrid>
        <w:gridCol w:w="2107"/>
        <w:gridCol w:w="816"/>
        <w:gridCol w:w="1533"/>
        <w:gridCol w:w="1406"/>
        <w:gridCol w:w="1535"/>
        <w:gridCol w:w="1287"/>
        <w:gridCol w:w="1274"/>
      </w:tblGrid>
      <w:tr>
        <w:tblPrEx>
          <w:tblCellMar>
            <w:top w:w="0" w:type="dxa"/>
            <w:left w:w="108" w:type="dxa"/>
            <w:bottom w:w="0" w:type="dxa"/>
            <w:right w:w="108" w:type="dxa"/>
          </w:tblCellMar>
        </w:tblPrEx>
        <w:trPr>
          <w:trHeight w:val="57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szCs w:val="21"/>
              </w:rPr>
            </w:pPr>
            <w:r>
              <w:rPr>
                <w:rFonts w:ascii="Arial" w:hAnsi="Arial" w:eastAsia="宋体" w:cs="Arial"/>
                <w:kern w:val="0"/>
                <w:szCs w:val="21"/>
              </w:rPr>
              <w:t>包号</w:t>
            </w:r>
          </w:p>
        </w:tc>
        <w:tc>
          <w:tcPr>
            <w:tcW w:w="12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szCs w:val="21"/>
              </w:rPr>
            </w:pPr>
            <w:r>
              <w:rPr>
                <w:rFonts w:ascii="Arial" w:hAnsi="Arial" w:eastAsia="宋体" w:cs="Arial"/>
                <w:kern w:val="0"/>
                <w:szCs w:val="21"/>
              </w:rPr>
              <w:t>采购内容</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szCs w:val="21"/>
              </w:rPr>
            </w:pPr>
            <w:r>
              <w:rPr>
                <w:rFonts w:ascii="Arial" w:hAnsi="Arial" w:eastAsia="宋体" w:cs="Arial"/>
                <w:kern w:val="0"/>
                <w:szCs w:val="21"/>
              </w:rPr>
              <w:t>供应商名称</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szCs w:val="21"/>
              </w:rPr>
            </w:pPr>
            <w:r>
              <w:rPr>
                <w:rFonts w:ascii="Arial" w:hAnsi="Arial" w:eastAsia="宋体" w:cs="Arial"/>
                <w:kern w:val="0"/>
                <w:szCs w:val="21"/>
              </w:rPr>
              <w:t>地 址</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szCs w:val="21"/>
              </w:rPr>
            </w:pPr>
            <w:r>
              <w:rPr>
                <w:rFonts w:ascii="Arial" w:hAnsi="Arial" w:eastAsia="宋体" w:cs="Arial"/>
                <w:kern w:val="0"/>
                <w:szCs w:val="21"/>
              </w:rPr>
              <w:t>中标金额</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szCs w:val="21"/>
              </w:rPr>
            </w:pPr>
            <w:r>
              <w:rPr>
                <w:rFonts w:ascii="Arial" w:hAnsi="Arial" w:eastAsia="宋体" w:cs="Arial"/>
                <w:kern w:val="0"/>
                <w:szCs w:val="21"/>
              </w:rPr>
              <w:t>单位</w:t>
            </w:r>
          </w:p>
        </w:tc>
      </w:tr>
      <w:tr>
        <w:tblPrEx>
          <w:tblCellMar>
            <w:top w:w="0" w:type="dxa"/>
            <w:left w:w="108" w:type="dxa"/>
            <w:bottom w:w="0" w:type="dxa"/>
            <w:right w:w="108" w:type="dxa"/>
          </w:tblCellMar>
        </w:tblPrEx>
        <w:trPr>
          <w:trHeight w:val="758" w:hRule="atLeast"/>
        </w:trPr>
        <w:tc>
          <w:tcPr>
            <w:tcW w:w="986"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themeColor="text1"/>
                <w:szCs w:val="21"/>
                <w:lang w:val="en-US" w:eastAsia="zh-CN"/>
                <w14:textFill>
                  <w14:solidFill>
                    <w14:schemeClr w14:val="tx1"/>
                  </w14:solidFill>
                </w14:textFill>
              </w:rPr>
            </w:pPr>
            <w:r>
              <w:rPr>
                <w:rFonts w:hint="eastAsia" w:ascii="Arial" w:hAnsi="Arial" w:eastAsia="宋体" w:cs="Arial"/>
                <w:color w:val="000000" w:themeColor="text1"/>
                <w:szCs w:val="21"/>
                <w14:textFill>
                  <w14:solidFill>
                    <w14:schemeClr w14:val="tx1"/>
                  </w14:solidFill>
                </w14:textFill>
              </w:rPr>
              <w:t>YZCG-DLC20230</w:t>
            </w:r>
            <w:r>
              <w:rPr>
                <w:rFonts w:hint="eastAsia" w:ascii="Arial" w:hAnsi="Arial" w:eastAsia="宋体" w:cs="Arial"/>
                <w:color w:val="000000" w:themeColor="text1"/>
                <w:szCs w:val="21"/>
                <w:lang w:val="en-US" w:eastAsia="zh-CN"/>
                <w14:textFill>
                  <w14:solidFill>
                    <w14:schemeClr w14:val="tx1"/>
                  </w14:solidFill>
                </w14:textFill>
              </w:rPr>
              <w:t>33</w:t>
            </w:r>
          </w:p>
        </w:tc>
        <w:tc>
          <w:tcPr>
            <w:tcW w:w="1204"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Arial" w:hAnsi="Arial" w:eastAsia="宋体" w:cs="Arial"/>
                <w:kern w:val="0"/>
                <w:szCs w:val="21"/>
              </w:rPr>
            </w:pPr>
            <w:r>
              <w:rPr>
                <w:rFonts w:hint="eastAsia" w:ascii="宋体" w:hAnsi="宋体" w:eastAsia="宋体" w:cs="宋体"/>
                <w:lang w:val="en-US" w:eastAsia="zh-CN"/>
              </w:rPr>
              <w:t>禹州市自然资源和规划局禹州市增减挂钩项目清理检查及节余指标建库工作项目</w:t>
            </w:r>
          </w:p>
        </w:tc>
        <w:tc>
          <w:tcPr>
            <w:tcW w:w="71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Arial" w:hAnsi="Arial" w:eastAsia="宋体" w:cs="Arial"/>
                <w:kern w:val="0"/>
                <w:szCs w:val="21"/>
              </w:rPr>
            </w:pPr>
            <w:r>
              <w:rPr>
                <w:rFonts w:hint="eastAsia" w:ascii="宋体" w:hAnsi="宋体" w:eastAsia="宋体" w:cs="宋体"/>
                <w:sz w:val="21"/>
                <w:szCs w:val="21"/>
                <w:lang w:val="en-US" w:eastAsia="zh-CN"/>
              </w:rPr>
              <w:t>河南宏图空间地理信息系统工程有限公司</w:t>
            </w:r>
            <w:r>
              <w:rPr>
                <w:rFonts w:hint="eastAsia" w:ascii="宋体" w:hAnsi="宋体"/>
                <w:b/>
                <w:bCs/>
                <w:sz w:val="21"/>
                <w:szCs w:val="21"/>
                <w:lang w:val="en-US" w:eastAsia="zh-CN"/>
              </w:rPr>
              <w:t xml:space="preserve"> </w:t>
            </w:r>
          </w:p>
        </w:tc>
        <w:tc>
          <w:tcPr>
            <w:tcW w:w="783"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rPr>
            </w:pPr>
            <w:r>
              <w:rPr>
                <w:rFonts w:hint="eastAsia" w:ascii="宋体" w:hAnsi="宋体" w:eastAsia="宋体" w:cs="宋体"/>
                <w:lang w:val="en-US" w:eastAsia="zh-CN"/>
              </w:rPr>
              <w:t>郑州市二七区郑航街 21 号 8 号楼 1 单元 1203 号</w:t>
            </w:r>
          </w:p>
          <w:p>
            <w:pPr>
              <w:widowControl/>
              <w:jc w:val="center"/>
              <w:textAlignment w:val="center"/>
              <w:rPr>
                <w:rFonts w:ascii="Arial" w:hAnsi="Arial" w:eastAsia="宋体" w:cs="Arial"/>
                <w:kern w:val="0"/>
                <w:szCs w:val="21"/>
              </w:rPr>
            </w:pPr>
          </w:p>
        </w:tc>
        <w:tc>
          <w:tcPr>
            <w:tcW w:w="65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Arial" w:hAnsi="Arial" w:eastAsia="宋体" w:cs="Arial"/>
                <w:kern w:val="0"/>
                <w:szCs w:val="21"/>
              </w:rPr>
            </w:pPr>
            <w:r>
              <w:rPr>
                <w:rFonts w:hint="eastAsia" w:ascii="宋体" w:hAnsi="宋体" w:eastAsia="宋体" w:cs="Times New Roman"/>
                <w:b w:val="0"/>
                <w:bCs w:val="0"/>
                <w:sz w:val="21"/>
                <w:szCs w:val="21"/>
                <w:lang w:val="en-US" w:eastAsia="zh-CN"/>
              </w:rPr>
              <w:t>1035000.00</w:t>
            </w:r>
          </w:p>
        </w:tc>
        <w:tc>
          <w:tcPr>
            <w:tcW w:w="65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Arial" w:hAnsi="Arial" w:eastAsia="宋体" w:cs="Arial"/>
                <w:kern w:val="0"/>
                <w:szCs w:val="21"/>
              </w:rPr>
            </w:pPr>
            <w:r>
              <w:rPr>
                <w:rFonts w:ascii="Arial" w:hAnsi="Arial" w:eastAsia="宋体" w:cs="Arial"/>
                <w:kern w:val="0"/>
                <w:szCs w:val="21"/>
              </w:rPr>
              <w:t>元</w:t>
            </w:r>
          </w:p>
        </w:tc>
      </w:tr>
      <w:tr>
        <w:tblPrEx>
          <w:tblCellMar>
            <w:top w:w="0" w:type="dxa"/>
            <w:left w:w="108" w:type="dxa"/>
            <w:bottom w:w="0" w:type="dxa"/>
            <w:right w:w="108" w:type="dxa"/>
          </w:tblCellMar>
        </w:tblPrEx>
        <w:trPr>
          <w:trHeight w:val="289" w:hRule="atLeast"/>
        </w:trPr>
        <w:tc>
          <w:tcPr>
            <w:tcW w:w="986"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shd w:val="clear" w:color="auto" w:fill="FFFFFF"/>
                <w14:textFill>
                  <w14:solidFill>
                    <w14:schemeClr w14:val="tx1"/>
                  </w14:solidFill>
                </w14:textFill>
              </w:rPr>
            </w:pPr>
          </w:p>
        </w:tc>
        <w:tc>
          <w:tcPr>
            <w:tcW w:w="422"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Arial" w:hAnsi="Arial" w:eastAsia="宋体" w:cs="Arial"/>
                <w:color w:val="000000" w:themeColor="text1"/>
                <w:kern w:val="0"/>
                <w:szCs w:val="21"/>
                <w14:textFill>
                  <w14:solidFill>
                    <w14:schemeClr w14:val="tx1"/>
                  </w14:solidFill>
                </w14:textFill>
              </w:rPr>
            </w:pPr>
            <w:r>
              <w:rPr>
                <w:rFonts w:hint="eastAsia" w:ascii="Arial" w:hAnsi="Arial" w:eastAsia="宋体" w:cs="Arial"/>
                <w:color w:val="000000" w:themeColor="text1"/>
                <w:kern w:val="0"/>
                <w:szCs w:val="21"/>
                <w14:textFill>
                  <w14:solidFill>
                    <w14:schemeClr w14:val="tx1"/>
                  </w14:solidFill>
                </w14:textFill>
              </w:rPr>
              <w:t>序号</w:t>
            </w:r>
          </w:p>
        </w:tc>
        <w:tc>
          <w:tcPr>
            <w:tcW w:w="782"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Arial" w:hAnsi="Arial" w:eastAsia="宋体" w:cs="Arial"/>
                <w:color w:val="000000" w:themeColor="text1"/>
                <w:kern w:val="0"/>
                <w:szCs w:val="21"/>
                <w14:textFill>
                  <w14:solidFill>
                    <w14:schemeClr w14:val="tx1"/>
                  </w14:solidFill>
                </w14:textFill>
              </w:rPr>
            </w:pPr>
            <w:r>
              <w:rPr>
                <w:rFonts w:hint="eastAsia" w:ascii="Arial" w:hAnsi="Arial" w:eastAsia="宋体" w:cs="Arial"/>
                <w:color w:val="000000" w:themeColor="text1"/>
                <w:kern w:val="0"/>
                <w:szCs w:val="21"/>
                <w14:textFill>
                  <w14:solidFill>
                    <w14:schemeClr w14:val="tx1"/>
                  </w14:solidFill>
                </w14:textFill>
              </w:rPr>
              <w:t>名称</w:t>
            </w:r>
          </w:p>
        </w:tc>
        <w:tc>
          <w:tcPr>
            <w:tcW w:w="141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pPr>
            <w:r>
              <w:rPr>
                <w:rFonts w:hint="default" w:ascii="宋体" w:hAnsi="宋体" w:eastAsia="宋体" w:cs="宋体"/>
                <w:color w:val="000000" w:themeColor="text1"/>
                <w:sz w:val="21"/>
                <w:szCs w:val="21"/>
                <w:lang w:val="en-US" w:eastAsia="zh-CN"/>
                <w14:textFill>
                  <w14:solidFill>
                    <w14:schemeClr w14:val="tx1"/>
                  </w14:solidFill>
                </w14:textFill>
              </w:rPr>
              <w:t>品牌（如有）</w:t>
            </w:r>
          </w:p>
        </w:tc>
        <w:tc>
          <w:tcPr>
            <w:tcW w:w="15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pPr>
            <w:r>
              <w:rPr>
                <w:rFonts w:hint="default" w:ascii="宋体" w:hAnsi="宋体" w:eastAsia="宋体" w:cs="宋体"/>
                <w:color w:val="000000" w:themeColor="text1"/>
                <w:sz w:val="21"/>
                <w:szCs w:val="21"/>
                <w:lang w:val="en-US" w:eastAsia="zh-CN"/>
                <w14:textFill>
                  <w14:solidFill>
                    <w14:schemeClr w14:val="tx1"/>
                  </w14:solidFill>
                </w14:textFill>
              </w:rPr>
              <w:t>规格型号</w:t>
            </w:r>
          </w:p>
        </w:tc>
        <w:tc>
          <w:tcPr>
            <w:tcW w:w="129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pPr>
            <w:r>
              <w:rPr>
                <w:rFonts w:hint="default" w:ascii="宋体" w:hAnsi="宋体" w:eastAsia="宋体" w:cs="宋体"/>
                <w:color w:val="000000" w:themeColor="text1"/>
                <w:sz w:val="21"/>
                <w:szCs w:val="21"/>
                <w:lang w:val="en-US" w:eastAsia="zh-CN"/>
                <w14:textFill>
                  <w14:solidFill>
                    <w14:schemeClr w14:val="tx1"/>
                  </w14:solidFill>
                </w14:textFill>
              </w:rPr>
              <w:t>数量</w:t>
            </w:r>
          </w:p>
        </w:tc>
        <w:tc>
          <w:tcPr>
            <w:tcW w:w="128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pPr>
            <w:r>
              <w:rPr>
                <w:rFonts w:hint="default" w:ascii="宋体" w:hAnsi="宋体" w:eastAsia="宋体" w:cs="宋体"/>
                <w:color w:val="000000" w:themeColor="text1"/>
                <w:sz w:val="21"/>
                <w:szCs w:val="21"/>
                <w:lang w:val="en-US" w:eastAsia="zh-CN"/>
                <w14:textFill>
                  <w14:solidFill>
                    <w14:schemeClr w14:val="tx1"/>
                  </w14:solidFill>
                </w14:textFill>
              </w:rPr>
              <w:t>单价</w:t>
            </w:r>
          </w:p>
        </w:tc>
      </w:tr>
      <w:tr>
        <w:tblPrEx>
          <w:tblCellMar>
            <w:top w:w="0" w:type="dxa"/>
            <w:left w:w="108" w:type="dxa"/>
            <w:bottom w:w="0" w:type="dxa"/>
            <w:right w:w="108" w:type="dxa"/>
          </w:tblCellMar>
        </w:tblPrEx>
        <w:trPr>
          <w:trHeight w:val="524" w:hRule="atLeast"/>
        </w:trPr>
        <w:tc>
          <w:tcPr>
            <w:tcW w:w="986"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shd w:val="clear" w:color="auto" w:fill="FFFFFF"/>
                <w14:textFill>
                  <w14:solidFill>
                    <w14:schemeClr w14:val="tx1"/>
                  </w14:solidFill>
                </w14:textFill>
              </w:rPr>
            </w:pPr>
          </w:p>
        </w:tc>
        <w:tc>
          <w:tcPr>
            <w:tcW w:w="422" w:type="pct"/>
            <w:tcBorders>
              <w:top w:val="single" w:color="auto" w:sz="4" w:space="0"/>
              <w:left w:val="single" w:color="000000" w:sz="4" w:space="0"/>
              <w:bottom w:val="single" w:color="000000" w:sz="4" w:space="0"/>
              <w:right w:val="single" w:color="auto" w:sz="4" w:space="0"/>
            </w:tcBorders>
            <w:shd w:val="clear" w:color="auto" w:fill="auto"/>
            <w:vAlign w:val="center"/>
          </w:tcPr>
          <w:p>
            <w:pPr>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82" w:type="pct"/>
            <w:tcBorders>
              <w:top w:val="single" w:color="auto" w:sz="4" w:space="0"/>
              <w:left w:val="single" w:color="auto" w:sz="4" w:space="0"/>
              <w:bottom w:val="single" w:color="000000" w:sz="4" w:space="0"/>
              <w:right w:val="single" w:color="000000" w:sz="4" w:space="0"/>
            </w:tcBorders>
            <w:shd w:val="clear" w:color="auto" w:fill="auto"/>
            <w:vAlign w:val="center"/>
          </w:tcPr>
          <w:p>
            <w:pPr>
              <w:jc w:val="center"/>
              <w:textAlignment w:val="center"/>
              <w:rPr>
                <w:color w:val="000000" w:themeColor="text1"/>
                <w14:textFill>
                  <w14:solidFill>
                    <w14:schemeClr w14:val="tx1"/>
                  </w14:solidFill>
                </w14:textFill>
              </w:rPr>
            </w:pPr>
            <w:r>
              <w:rPr>
                <w:rFonts w:hint="eastAsia" w:ascii="宋体" w:hAnsi="宋体" w:eastAsia="宋体" w:cs="宋体"/>
                <w:lang w:val="en-US" w:eastAsia="zh-CN"/>
              </w:rPr>
              <w:t>禹州市自然资源和规划局禹州市增减挂钩项目清理检查及节余指标建库工作项目</w:t>
            </w:r>
          </w:p>
        </w:tc>
        <w:tc>
          <w:tcPr>
            <w:tcW w:w="718"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详见附件</w:t>
            </w:r>
          </w:p>
        </w:tc>
        <w:tc>
          <w:tcPr>
            <w:tcW w:w="78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详见附件</w:t>
            </w:r>
          </w:p>
        </w:tc>
        <w:tc>
          <w:tcPr>
            <w:tcW w:w="658"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详见附件</w:t>
            </w:r>
          </w:p>
        </w:tc>
        <w:tc>
          <w:tcPr>
            <w:tcW w:w="65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详见附件</w:t>
            </w:r>
          </w:p>
        </w:tc>
      </w:tr>
    </w:tbl>
    <w:p>
      <w:pPr>
        <w:tabs>
          <w:tab w:val="left" w:pos="3983"/>
        </w:tabs>
        <w:spacing w:line="360" w:lineRule="auto"/>
      </w:pPr>
      <w:r>
        <w:rPr>
          <w:rFonts w:hint="eastAsia"/>
        </w:rPr>
        <w:t>三、评审专家</w:t>
      </w:r>
      <w:r>
        <w:tab/>
      </w:r>
    </w:p>
    <w:p>
      <w:pPr>
        <w:spacing w:line="360" w:lineRule="auto"/>
        <w:rPr>
          <w:rFonts w:hint="default" w:eastAsiaTheme="minorEastAsia"/>
          <w:lang w:val="en-US" w:eastAsia="zh-CN"/>
        </w:rPr>
      </w:pPr>
      <w:r>
        <w:rPr>
          <w:rFonts w:hint="eastAsia"/>
          <w:lang w:val="en-US" w:eastAsia="zh-CN"/>
        </w:rPr>
        <w:t xml:space="preserve">      李艳    郑晓娜    郭丽鸽</w:t>
      </w:r>
    </w:p>
    <w:p>
      <w:pPr>
        <w:spacing w:line="360" w:lineRule="auto"/>
      </w:pPr>
      <w:r>
        <w:rPr>
          <w:rFonts w:hint="eastAsia"/>
        </w:rPr>
        <w:t>四、代理服务收费标准及金额</w:t>
      </w:r>
    </w:p>
    <w:p>
      <w:pPr>
        <w:spacing w:line="360" w:lineRule="auto"/>
        <w:ind w:firstLine="420" w:firstLineChars="200"/>
        <w:rPr>
          <w:u w:val="single"/>
        </w:rPr>
      </w:pPr>
      <w:r>
        <w:rPr>
          <w:rFonts w:hint="eastAsia"/>
        </w:rPr>
        <w:t>收费标准：</w:t>
      </w:r>
      <w:r>
        <w:rPr>
          <w:rFonts w:hint="eastAsia" w:ascii="宋体" w:hAnsi="宋体" w:cs="宋体"/>
          <w:color w:val="000000"/>
          <w:kern w:val="0"/>
          <w:szCs w:val="21"/>
        </w:rPr>
        <w:t>招标代理服务费由中标人支付，按照豫招协[2023]002&lt;河南省招标代理服务收费指导意见》收取</w:t>
      </w:r>
      <w:r>
        <w:rPr>
          <w:rFonts w:hint="eastAsia" w:cs="宋体" w:asciiTheme="minorEastAsia" w:hAnsiTheme="minorEastAsia"/>
          <w:szCs w:val="21"/>
        </w:rPr>
        <w:t>。</w:t>
      </w:r>
    </w:p>
    <w:p>
      <w:pPr>
        <w:spacing w:line="360" w:lineRule="auto"/>
        <w:ind w:firstLine="420" w:firstLineChars="200"/>
        <w:rPr>
          <w:rFonts w:hint="eastAsia" w:ascii="宋体" w:hAnsi="宋体" w:cs="宋体"/>
          <w:color w:val="000000"/>
          <w:kern w:val="0"/>
          <w:szCs w:val="21"/>
        </w:rPr>
      </w:pPr>
      <w:r>
        <w:rPr>
          <w:rFonts w:hint="eastAsia"/>
        </w:rPr>
        <w:t>收费金额：</w:t>
      </w:r>
      <w:r>
        <w:rPr>
          <w:rFonts w:hint="eastAsia" w:asciiTheme="majorEastAsia" w:hAnsiTheme="majorEastAsia" w:eastAsiaTheme="majorEastAsia" w:cstheme="majorEastAsia"/>
          <w:b/>
          <w:bCs/>
          <w:lang w:val="en-US" w:eastAsia="zh-CN"/>
        </w:rPr>
        <w:t>17420.00</w:t>
      </w:r>
      <w:r>
        <w:rPr>
          <w:rFonts w:hint="eastAsia" w:asciiTheme="majorEastAsia" w:hAnsiTheme="majorEastAsia" w:eastAsiaTheme="majorEastAsia" w:cstheme="majorEastAsia"/>
          <w:b/>
          <w:bCs/>
          <w:color w:val="000000"/>
          <w:kern w:val="0"/>
          <w:szCs w:val="21"/>
          <w:lang w:val="en-US" w:eastAsia="zh-CN"/>
        </w:rPr>
        <w:t xml:space="preserve"> </w:t>
      </w:r>
      <w:r>
        <w:rPr>
          <w:rFonts w:hint="eastAsia" w:asciiTheme="majorEastAsia" w:hAnsiTheme="majorEastAsia" w:eastAsiaTheme="majorEastAsia" w:cstheme="majorEastAsia"/>
          <w:b/>
          <w:bCs/>
          <w:color w:val="000000"/>
          <w:kern w:val="0"/>
          <w:szCs w:val="21"/>
        </w:rPr>
        <w:t>元</w:t>
      </w:r>
    </w:p>
    <w:p>
      <w:pPr>
        <w:spacing w:line="360" w:lineRule="auto"/>
      </w:pPr>
      <w:r>
        <w:rPr>
          <w:rFonts w:hint="eastAsia"/>
        </w:rPr>
        <w:t>五、成交公告发布的媒介及成交公告期限</w:t>
      </w:r>
    </w:p>
    <w:p>
      <w:pPr>
        <w:spacing w:line="360" w:lineRule="auto"/>
        <w:ind w:firstLine="420" w:firstLineChars="200"/>
      </w:pPr>
      <w:r>
        <w:rPr>
          <w:rFonts w:hint="eastAsia"/>
        </w:rPr>
        <w:t>本次中标公告在《河南省政府采购网》《全国公共资源交易平台（河南省·许昌市）》上发布。成交公告期限为1个工作日。</w:t>
      </w:r>
    </w:p>
    <w:p>
      <w:pPr>
        <w:spacing w:line="360" w:lineRule="auto"/>
      </w:pPr>
      <w:r>
        <w:rPr>
          <w:rFonts w:hint="eastAsia"/>
        </w:rPr>
        <w:t>六、其它补充事宜</w:t>
      </w:r>
    </w:p>
    <w:p>
      <w:pPr>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供应商在结果公告期间，按照《政府采购质疑和投诉办法》的有关规定，已质疑的供应商可以依法向财政部门提起书面投诉。</w:t>
      </w:r>
    </w:p>
    <w:p>
      <w:pPr>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受理部门：禹州市财政局政府采购监督管理办公室</w:t>
      </w:r>
    </w:p>
    <w:p>
      <w:pPr>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受理电话：0374-8112523   </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电子邮箱：yzscgb8112523@163.com</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地址：禹州市行政北路2号禹州市财政局1305房间</w:t>
      </w:r>
    </w:p>
    <w:p>
      <w:pPr>
        <w:numPr>
          <w:ilvl w:val="0"/>
          <w:numId w:val="1"/>
        </w:numPr>
        <w:spacing w:line="480" w:lineRule="exact"/>
      </w:pPr>
      <w:r>
        <w:t>凡对本次公告内容提出询问，请按以下方式联系</w:t>
      </w:r>
    </w:p>
    <w:p>
      <w:pPr>
        <w:spacing w:line="480" w:lineRule="exact"/>
        <w:ind w:firstLine="420" w:firstLineChars="200"/>
        <w:rPr>
          <w:rFonts w:hint="eastAsia"/>
        </w:rPr>
      </w:pPr>
      <w:r>
        <w:rPr>
          <w:rFonts w:hint="eastAsia"/>
        </w:rPr>
        <w:t>采购单位：禹州市自然资源和规划局</w:t>
      </w:r>
    </w:p>
    <w:p>
      <w:pPr>
        <w:spacing w:line="480" w:lineRule="exact"/>
        <w:ind w:firstLine="420" w:firstLineChars="200"/>
        <w:rPr>
          <w:rFonts w:hint="eastAsia"/>
        </w:rPr>
      </w:pPr>
      <w:r>
        <w:rPr>
          <w:rFonts w:hint="eastAsia"/>
        </w:rPr>
        <w:t>地址：禹州市禹王大道</w:t>
      </w:r>
    </w:p>
    <w:p>
      <w:pPr>
        <w:spacing w:line="480" w:lineRule="exact"/>
        <w:ind w:firstLine="420" w:firstLineChars="200"/>
        <w:rPr>
          <w:rFonts w:hint="eastAsia"/>
        </w:rPr>
      </w:pPr>
      <w:r>
        <w:rPr>
          <w:rFonts w:hint="eastAsia"/>
        </w:rPr>
        <w:t>联系人：郭女士         联系电话：13837427928</w:t>
      </w:r>
    </w:p>
    <w:p>
      <w:pPr>
        <w:spacing w:line="480" w:lineRule="exact"/>
        <w:ind w:firstLine="420" w:firstLineChars="200"/>
        <w:rPr>
          <w:rFonts w:hint="eastAsia"/>
        </w:rPr>
      </w:pPr>
      <w:r>
        <w:rPr>
          <w:rFonts w:hint="eastAsia"/>
        </w:rPr>
        <w:t>代理机构：河南建标工程管理有限公司</w:t>
      </w:r>
    </w:p>
    <w:p>
      <w:pPr>
        <w:spacing w:line="480" w:lineRule="exact"/>
        <w:ind w:firstLine="420" w:firstLineChars="200"/>
        <w:rPr>
          <w:rFonts w:hint="eastAsia"/>
        </w:rPr>
      </w:pPr>
      <w:r>
        <w:rPr>
          <w:rFonts w:hint="eastAsia"/>
        </w:rPr>
        <w:t>联系人：张女士         联系电话：17630325131</w:t>
      </w:r>
    </w:p>
    <w:p>
      <w:pPr>
        <w:spacing w:line="480" w:lineRule="exact"/>
        <w:ind w:firstLine="420" w:firstLineChars="200"/>
      </w:pPr>
      <w:r>
        <w:rPr>
          <w:rFonts w:hint="eastAsia"/>
        </w:rPr>
        <w:t>行政监督部门：禹州市政府采购监督管理办公室</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E54CA"/>
    <w:multiLevelType w:val="singleLevel"/>
    <w:tmpl w:val="4D7E54C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2YxNzJlNDE1ZTYxYjQ0ZTI3N2VjYmM5MTBmNGYifQ=="/>
  </w:docVars>
  <w:rsids>
    <w:rsidRoot w:val="2D9C7600"/>
    <w:rsid w:val="00050DFE"/>
    <w:rsid w:val="00063A2E"/>
    <w:rsid w:val="0012578D"/>
    <w:rsid w:val="00126C1F"/>
    <w:rsid w:val="005C2983"/>
    <w:rsid w:val="005C5C61"/>
    <w:rsid w:val="005F150F"/>
    <w:rsid w:val="006A4F32"/>
    <w:rsid w:val="006D5810"/>
    <w:rsid w:val="007076F6"/>
    <w:rsid w:val="0077464E"/>
    <w:rsid w:val="008635FB"/>
    <w:rsid w:val="00871B8A"/>
    <w:rsid w:val="0088604E"/>
    <w:rsid w:val="00B90127"/>
    <w:rsid w:val="00C7338A"/>
    <w:rsid w:val="00CC24DA"/>
    <w:rsid w:val="00DE0D99"/>
    <w:rsid w:val="00E266F5"/>
    <w:rsid w:val="00E468F6"/>
    <w:rsid w:val="00FC7D65"/>
    <w:rsid w:val="033168CC"/>
    <w:rsid w:val="05B727A5"/>
    <w:rsid w:val="095F0BC7"/>
    <w:rsid w:val="096A51DD"/>
    <w:rsid w:val="096D2D05"/>
    <w:rsid w:val="09BB0D18"/>
    <w:rsid w:val="0A7D59D2"/>
    <w:rsid w:val="0D081DE0"/>
    <w:rsid w:val="0F4C001D"/>
    <w:rsid w:val="0F7F6E00"/>
    <w:rsid w:val="1279748D"/>
    <w:rsid w:val="141F7105"/>
    <w:rsid w:val="14B354EC"/>
    <w:rsid w:val="16366B13"/>
    <w:rsid w:val="16F03942"/>
    <w:rsid w:val="19C013D1"/>
    <w:rsid w:val="1F3233D2"/>
    <w:rsid w:val="23443FCE"/>
    <w:rsid w:val="236A5949"/>
    <w:rsid w:val="23DA7B95"/>
    <w:rsid w:val="25F30EB4"/>
    <w:rsid w:val="26B446CD"/>
    <w:rsid w:val="298D42FE"/>
    <w:rsid w:val="2D9C7600"/>
    <w:rsid w:val="2EE56853"/>
    <w:rsid w:val="2EF63F6F"/>
    <w:rsid w:val="2F205362"/>
    <w:rsid w:val="31992107"/>
    <w:rsid w:val="31FC4012"/>
    <w:rsid w:val="32A97E26"/>
    <w:rsid w:val="33490467"/>
    <w:rsid w:val="347E456C"/>
    <w:rsid w:val="34E34213"/>
    <w:rsid w:val="35852745"/>
    <w:rsid w:val="3D3B18DD"/>
    <w:rsid w:val="3D5F1FC8"/>
    <w:rsid w:val="3F724CCD"/>
    <w:rsid w:val="3F952657"/>
    <w:rsid w:val="3FF62135"/>
    <w:rsid w:val="40A1724E"/>
    <w:rsid w:val="44BD15A4"/>
    <w:rsid w:val="45356CB8"/>
    <w:rsid w:val="458E5671"/>
    <w:rsid w:val="47FB6FC1"/>
    <w:rsid w:val="48B13A68"/>
    <w:rsid w:val="4B1C4B8C"/>
    <w:rsid w:val="4DC813D8"/>
    <w:rsid w:val="50F90AAD"/>
    <w:rsid w:val="51861ACE"/>
    <w:rsid w:val="55817685"/>
    <w:rsid w:val="575B74ED"/>
    <w:rsid w:val="594D3DC8"/>
    <w:rsid w:val="59C94EF3"/>
    <w:rsid w:val="5CC76201"/>
    <w:rsid w:val="5DA03565"/>
    <w:rsid w:val="5F530220"/>
    <w:rsid w:val="62EE3135"/>
    <w:rsid w:val="66856E25"/>
    <w:rsid w:val="69CA434C"/>
    <w:rsid w:val="6ACF058B"/>
    <w:rsid w:val="6BF54F73"/>
    <w:rsid w:val="6CB06CB1"/>
    <w:rsid w:val="6D5338E5"/>
    <w:rsid w:val="6D9F6078"/>
    <w:rsid w:val="6E623FDB"/>
    <w:rsid w:val="70BC6AB9"/>
    <w:rsid w:val="740D49E9"/>
    <w:rsid w:val="74412AB4"/>
    <w:rsid w:val="745D0C66"/>
    <w:rsid w:val="78626662"/>
    <w:rsid w:val="78C149FA"/>
    <w:rsid w:val="793F7BCE"/>
    <w:rsid w:val="799B1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3">
    <w:name w:val="Body Text"/>
    <w:basedOn w:val="1"/>
    <w:next w:val="4"/>
    <w:qFormat/>
    <w:uiPriority w:val="0"/>
  </w:style>
  <w:style w:type="paragraph" w:styleId="4">
    <w:name w:val="toc 2"/>
    <w:basedOn w:val="1"/>
    <w:next w:val="1"/>
    <w:unhideWhenUsed/>
    <w:qFormat/>
    <w:uiPriority w:val="39"/>
    <w:pPr>
      <w:ind w:left="420" w:leftChars="200"/>
    </w:p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envelope return"/>
    <w:basedOn w:val="1"/>
    <w:unhideWhenUsed/>
    <w:qFormat/>
    <w:uiPriority w:val="99"/>
    <w:pPr>
      <w:snapToGrid w:val="0"/>
    </w:pPr>
    <w:rPr>
      <w:rFonts w:ascii="Arial" w:hAnsi="Arial"/>
    </w:rPr>
  </w:style>
  <w:style w:type="paragraph" w:styleId="7">
    <w:name w:val="Date"/>
    <w:basedOn w:val="1"/>
    <w:next w:val="1"/>
    <w:qFormat/>
    <w:uiPriority w:val="99"/>
    <w:pPr>
      <w:ind w:left="100" w:leftChars="2500"/>
    </w:pPr>
    <w:rPr>
      <w:rFonts w:ascii="Times New Roman" w:hAnsi="Times New Roman"/>
      <w:kern w:val="0"/>
      <w:sz w:val="20"/>
      <w:szCs w:val="20"/>
    </w:rPr>
  </w:style>
  <w:style w:type="paragraph" w:styleId="8">
    <w:name w:val="footer"/>
    <w:basedOn w:val="1"/>
    <w:link w:val="41"/>
    <w:qFormat/>
    <w:uiPriority w:val="0"/>
    <w:pPr>
      <w:tabs>
        <w:tab w:val="center" w:pos="4153"/>
        <w:tab w:val="right" w:pos="8306"/>
      </w:tabs>
      <w:snapToGrid w:val="0"/>
      <w:jc w:val="left"/>
    </w:pPr>
    <w:rPr>
      <w:sz w:val="18"/>
      <w:szCs w:val="18"/>
    </w:rPr>
  </w:style>
  <w:style w:type="paragraph" w:styleId="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Body Text First Indent"/>
    <w:basedOn w:val="3"/>
    <w:next w:val="13"/>
    <w:qFormat/>
    <w:uiPriority w:val="0"/>
    <w:pPr>
      <w:ind w:firstLine="420" w:firstLineChars="100"/>
    </w:pPr>
  </w:style>
  <w:style w:type="paragraph" w:styleId="13">
    <w:name w:val="Body Text First Indent 2"/>
    <w:basedOn w:val="5"/>
    <w:next w:val="7"/>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basedOn w:val="16"/>
    <w:qFormat/>
    <w:uiPriority w:val="0"/>
    <w:rPr>
      <w:color w:val="000000"/>
      <w:u w:val="none"/>
    </w:rPr>
  </w:style>
  <w:style w:type="paragraph" w:customStyle="1" w:styleId="2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2">
    <w:name w:val="blue"/>
    <w:basedOn w:val="16"/>
    <w:qFormat/>
    <w:uiPriority w:val="0"/>
    <w:rPr>
      <w:color w:val="0371C6"/>
      <w:sz w:val="21"/>
      <w:szCs w:val="21"/>
    </w:rPr>
  </w:style>
  <w:style w:type="character" w:customStyle="1" w:styleId="23">
    <w:name w:val="hover"/>
    <w:basedOn w:val="16"/>
    <w:qFormat/>
    <w:uiPriority w:val="0"/>
  </w:style>
  <w:style w:type="character" w:customStyle="1" w:styleId="24">
    <w:name w:val="active"/>
    <w:basedOn w:val="16"/>
    <w:qFormat/>
    <w:uiPriority w:val="0"/>
    <w:rPr>
      <w:color w:val="FFFFFF"/>
      <w:shd w:val="clear" w:color="auto" w:fill="2B7AFC"/>
    </w:rPr>
  </w:style>
  <w:style w:type="character" w:customStyle="1" w:styleId="25">
    <w:name w:val="red"/>
    <w:basedOn w:val="16"/>
    <w:qFormat/>
    <w:uiPriority w:val="0"/>
    <w:rPr>
      <w:color w:val="FF0000"/>
      <w:sz w:val="18"/>
      <w:szCs w:val="18"/>
    </w:rPr>
  </w:style>
  <w:style w:type="character" w:customStyle="1" w:styleId="26">
    <w:name w:val="red1"/>
    <w:basedOn w:val="16"/>
    <w:qFormat/>
    <w:uiPriority w:val="0"/>
    <w:rPr>
      <w:color w:val="FF0000"/>
      <w:sz w:val="18"/>
      <w:szCs w:val="18"/>
    </w:rPr>
  </w:style>
  <w:style w:type="character" w:customStyle="1" w:styleId="27">
    <w:name w:val="red2"/>
    <w:basedOn w:val="16"/>
    <w:qFormat/>
    <w:uiPriority w:val="0"/>
    <w:rPr>
      <w:color w:val="CC0000"/>
    </w:rPr>
  </w:style>
  <w:style w:type="character" w:customStyle="1" w:styleId="28">
    <w:name w:val="red3"/>
    <w:basedOn w:val="16"/>
    <w:qFormat/>
    <w:uiPriority w:val="0"/>
    <w:rPr>
      <w:color w:val="FF0000"/>
    </w:rPr>
  </w:style>
  <w:style w:type="character" w:customStyle="1" w:styleId="29">
    <w:name w:val="green"/>
    <w:basedOn w:val="16"/>
    <w:qFormat/>
    <w:uiPriority w:val="0"/>
    <w:rPr>
      <w:color w:val="66AE00"/>
      <w:sz w:val="18"/>
      <w:szCs w:val="18"/>
    </w:rPr>
  </w:style>
  <w:style w:type="character" w:customStyle="1" w:styleId="30">
    <w:name w:val="green1"/>
    <w:basedOn w:val="16"/>
    <w:qFormat/>
    <w:uiPriority w:val="0"/>
    <w:rPr>
      <w:color w:val="66AE00"/>
      <w:sz w:val="18"/>
      <w:szCs w:val="18"/>
    </w:rPr>
  </w:style>
  <w:style w:type="character" w:customStyle="1" w:styleId="31">
    <w:name w:val="gb-jt"/>
    <w:basedOn w:val="16"/>
    <w:qFormat/>
    <w:uiPriority w:val="0"/>
  </w:style>
  <w:style w:type="character" w:customStyle="1" w:styleId="32">
    <w:name w:val="right"/>
    <w:basedOn w:val="16"/>
    <w:qFormat/>
    <w:uiPriority w:val="0"/>
    <w:rPr>
      <w:color w:val="999999"/>
      <w:sz w:val="18"/>
      <w:szCs w:val="18"/>
    </w:rPr>
  </w:style>
  <w:style w:type="character" w:customStyle="1" w:styleId="33">
    <w:name w:val="red4"/>
    <w:basedOn w:val="16"/>
    <w:qFormat/>
    <w:uiPriority w:val="0"/>
    <w:rPr>
      <w:color w:val="FF0000"/>
      <w:sz w:val="18"/>
      <w:szCs w:val="18"/>
    </w:rPr>
  </w:style>
  <w:style w:type="character" w:customStyle="1" w:styleId="34">
    <w:name w:val="red5"/>
    <w:basedOn w:val="16"/>
    <w:qFormat/>
    <w:uiPriority w:val="0"/>
    <w:rPr>
      <w:color w:val="FF0000"/>
      <w:sz w:val="18"/>
      <w:szCs w:val="18"/>
    </w:rPr>
  </w:style>
  <w:style w:type="character" w:customStyle="1" w:styleId="35">
    <w:name w:val="red6"/>
    <w:basedOn w:val="16"/>
    <w:qFormat/>
    <w:uiPriority w:val="0"/>
    <w:rPr>
      <w:color w:val="CC0000"/>
    </w:rPr>
  </w:style>
  <w:style w:type="character" w:customStyle="1" w:styleId="36">
    <w:name w:val="red7"/>
    <w:basedOn w:val="16"/>
    <w:qFormat/>
    <w:uiPriority w:val="0"/>
    <w:rPr>
      <w:color w:val="FF0000"/>
    </w:rPr>
  </w:style>
  <w:style w:type="character" w:customStyle="1" w:styleId="37">
    <w:name w:val="hover25"/>
    <w:basedOn w:val="16"/>
    <w:qFormat/>
    <w:uiPriority w:val="0"/>
  </w:style>
  <w:style w:type="character" w:customStyle="1" w:styleId="38">
    <w:name w:val="active4"/>
    <w:basedOn w:val="16"/>
    <w:qFormat/>
    <w:uiPriority w:val="0"/>
    <w:rPr>
      <w:color w:val="FFFFFF"/>
      <w:shd w:val="clear" w:color="auto" w:fill="2B7AFC"/>
    </w:rPr>
  </w:style>
  <w:style w:type="character" w:customStyle="1" w:styleId="39">
    <w:name w:val="font31"/>
    <w:basedOn w:val="16"/>
    <w:qFormat/>
    <w:uiPriority w:val="0"/>
    <w:rPr>
      <w:rFonts w:ascii="Calibri" w:hAnsi="Calibri" w:cs="Calibri"/>
      <w:color w:val="000000"/>
      <w:sz w:val="21"/>
      <w:szCs w:val="21"/>
      <w:u w:val="none"/>
    </w:rPr>
  </w:style>
  <w:style w:type="character" w:customStyle="1" w:styleId="40">
    <w:name w:val="页眉 字符"/>
    <w:basedOn w:val="16"/>
    <w:link w:val="9"/>
    <w:qFormat/>
    <w:uiPriority w:val="0"/>
    <w:rPr>
      <w:rFonts w:asciiTheme="minorHAnsi" w:hAnsiTheme="minorHAnsi" w:eastAsiaTheme="minorEastAsia" w:cstheme="minorBidi"/>
      <w:kern w:val="2"/>
      <w:sz w:val="18"/>
      <w:szCs w:val="18"/>
    </w:rPr>
  </w:style>
  <w:style w:type="character" w:customStyle="1" w:styleId="41">
    <w:name w:val="页脚 字符"/>
    <w:basedOn w:val="16"/>
    <w:link w:val="8"/>
    <w:qFormat/>
    <w:uiPriority w:val="0"/>
    <w:rPr>
      <w:rFonts w:asciiTheme="minorHAnsi" w:hAnsiTheme="minorHAnsi" w:eastAsiaTheme="minorEastAsia" w:cstheme="minorBidi"/>
      <w:kern w:val="2"/>
      <w:sz w:val="18"/>
      <w:szCs w:val="18"/>
    </w:rPr>
  </w:style>
  <w:style w:type="paragraph" w:customStyle="1" w:styleId="42">
    <w:name w:val="hkys"/>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43">
    <w:name w:val="hover24"/>
    <w:basedOn w:val="1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2</Pages>
  <Words>708</Words>
  <Characters>822</Characters>
  <Lines>1</Lines>
  <Paragraphs>1</Paragraphs>
  <TotalTime>6</TotalTime>
  <ScaleCrop>false</ScaleCrop>
  <LinksUpToDate>false</LinksUpToDate>
  <CharactersWithSpaces>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2021-05-10T01:46:00Z</dcterms:created>
  <dc:creator>WPS_1591240706</dc:creator>
  <cp:lastModifiedBy>Administrator</cp:lastModifiedBy>
  <cp:lastPrinted>2022-09-18T23:19:00Z</cp:lastPrinted>
  <dcterms:modified xsi:type="dcterms:W3CDTF">2023-06-02T05:41:04Z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9E82F0D9ED7044C79B51D92F6872CD56</vt:lpwstr>
  </property>
</Properties>
</file>