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禹州市高级中学国家标准化考点</w:t>
      </w:r>
      <w:r>
        <w:rPr>
          <w:rFonts w:hint="eastAsia" w:ascii="微软雅黑" w:hAnsi="微软雅黑" w:eastAsia="微软雅黑" w:cs="微软雅黑"/>
          <w:b/>
          <w:bCs/>
          <w:sz w:val="36"/>
          <w:szCs w:val="36"/>
          <w:lang w:val="en-US" w:eastAsia="zh-CN"/>
        </w:rPr>
        <w:t>升级维护</w:t>
      </w:r>
      <w:r>
        <w:rPr>
          <w:rFonts w:hint="eastAsia" w:ascii="微软雅黑" w:hAnsi="微软雅黑" w:eastAsia="微软雅黑" w:cs="微软雅黑"/>
          <w:b/>
          <w:bCs/>
          <w:sz w:val="36"/>
          <w:szCs w:val="36"/>
        </w:rPr>
        <w:t xml:space="preserve">项目 </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15</w:t>
      </w:r>
      <w:r>
        <w:rPr>
          <w:rFonts w:asciiTheme="majorEastAsia" w:hAnsiTheme="majorEastAsia" w:eastAsiaTheme="majorEastAsia" w:cstheme="majorEastAsia"/>
          <w:b/>
          <w:bCs/>
          <w:sz w:val="36"/>
          <w:szCs w:val="36"/>
        </w:rPr>
        <w:t xml:space="preserve"> </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  禹州市高级中学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磋商邀请</w:t>
      </w:r>
    </w:p>
    <w:p>
      <w:pPr>
        <w:spacing w:line="60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禹州市政府采购中心受禹州市高级中学的委托，就“</w:t>
      </w:r>
      <w:r>
        <w:rPr>
          <w:rFonts w:hint="eastAsia" w:asciiTheme="majorEastAsia" w:hAnsiTheme="majorEastAsia" w:eastAsiaTheme="majorEastAsia" w:cstheme="majorEastAsia"/>
          <w:szCs w:val="21"/>
          <w:lang w:val="zh-CN"/>
        </w:rPr>
        <w:t>禹州市高级中学国家标准化考点</w:t>
      </w:r>
      <w:r>
        <w:rPr>
          <w:rFonts w:hint="eastAsia" w:asciiTheme="majorEastAsia" w:hAnsiTheme="majorEastAsia" w:eastAsiaTheme="majorEastAsia" w:cstheme="majorEastAsia"/>
          <w:szCs w:val="21"/>
          <w:lang w:val="en-US" w:eastAsia="zh-CN"/>
        </w:rPr>
        <w:t>升级维护</w:t>
      </w:r>
      <w:r>
        <w:rPr>
          <w:rFonts w:hint="eastAsia" w:asciiTheme="majorEastAsia" w:hAnsiTheme="majorEastAsia" w:eastAsiaTheme="majorEastAsia" w:cstheme="majorEastAsia"/>
          <w:szCs w:val="21"/>
          <w:lang w:val="zh-CN"/>
        </w:rPr>
        <w:t>项目 （不见面开标）</w:t>
      </w:r>
      <w:r>
        <w:rPr>
          <w:rFonts w:hint="eastAsia" w:asciiTheme="majorEastAsia" w:hAnsiTheme="majorEastAsia" w:eastAsiaTheme="majorEastAsia" w:cstheme="majorEastAsia"/>
          <w:szCs w:val="21"/>
        </w:rPr>
        <w:t>”进行竞争性磋商采购，欢迎合格的投标人前来投标。</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1、采购人：禹州市高级中学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val="zh-CN"/>
        </w:rPr>
        <w:t>禹州市高级中学国家标准化考点</w:t>
      </w:r>
      <w:r>
        <w:rPr>
          <w:rFonts w:hint="eastAsia" w:asciiTheme="majorEastAsia" w:hAnsiTheme="majorEastAsia" w:eastAsiaTheme="majorEastAsia" w:cstheme="majorEastAsia"/>
          <w:szCs w:val="21"/>
          <w:lang w:val="en-US" w:eastAsia="zh-CN"/>
        </w:rPr>
        <w:t>升级维护</w:t>
      </w:r>
      <w:r>
        <w:rPr>
          <w:rFonts w:hint="eastAsia" w:asciiTheme="majorEastAsia" w:hAnsiTheme="majorEastAsia" w:eastAsiaTheme="majorEastAsia" w:cstheme="majorEastAsia"/>
          <w:szCs w:val="21"/>
          <w:lang w:val="zh-CN"/>
        </w:rPr>
        <w:t>项目 （不见面开标）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3015</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4、项目需求：标准化考场设备及室外扩声系统一批（详见磋商文件）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98</w:t>
      </w:r>
      <w:r>
        <w:rPr>
          <w:rFonts w:hint="eastAsia" w:asciiTheme="majorEastAsia" w:hAnsiTheme="majorEastAsia" w:eastAsiaTheme="majorEastAsia" w:cstheme="majorEastAsia"/>
          <w:szCs w:val="21"/>
        </w:rPr>
        <w:t>0000元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0"/>
          <w:rFonts w:hint="eastAsia" w:cs="仿宋_GB2312" w:asciiTheme="minorEastAsia" w:hAnsiTheme="minorEastAsia" w:eastAsiaTheme="minorEastAsia"/>
          <w:color w:val="000000"/>
          <w:sz w:val="21"/>
          <w:szCs w:val="21"/>
          <w:shd w:val="clear" w:color="auto" w:fill="FFFFFF"/>
        </w:rPr>
        <w:t>http://</w:t>
      </w:r>
      <w:r>
        <w:rPr>
          <w:rStyle w:val="10"/>
          <w:rFonts w:cs="仿宋_GB2312" w:asciiTheme="minorEastAsia" w:hAnsiTheme="minorEastAsia" w:eastAsiaTheme="minorEastAsia"/>
          <w:color w:val="000000"/>
          <w:sz w:val="21"/>
          <w:szCs w:val="21"/>
          <w:shd w:val="clear" w:color="auto" w:fill="FFFFFF"/>
        </w:rPr>
        <w:t>ggzy.xuchang.gov.cn:8088/ggzy/eps/public/RegistAllJcxx.html</w:t>
      </w:r>
      <w:r>
        <w:rPr>
          <w:rStyle w:val="10"/>
          <w:rFonts w:hint="eastAsia" w:cs="仿宋_GB2312" w:asciiTheme="minorEastAsia" w:hAnsiTheme="minorEastAsia" w:eastAsiaTheme="minorEastAsia"/>
          <w:color w:val="000000"/>
          <w:sz w:val="21"/>
          <w:szCs w:val="21"/>
          <w:shd w:val="clear" w:color="auto" w:fill="FFFFFF"/>
        </w:rPr>
        <w:t>）</w:t>
      </w:r>
      <w:r>
        <w:rPr>
          <w:rStyle w:val="1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0"/>
          <w:rFonts w:hint="eastAsia" w:cs="仿宋_GB2312" w:asciiTheme="minorEastAsia" w:hAnsiTheme="minorEastAsia" w:eastAsiaTheme="minorEastAsia"/>
          <w:color w:val="000000"/>
          <w:sz w:val="21"/>
          <w:szCs w:val="21"/>
          <w:shd w:val="clear" w:color="auto" w:fill="FFFFFF"/>
        </w:rPr>
        <w:t>（http://</w:t>
      </w:r>
      <w:r>
        <w:rPr>
          <w:rStyle w:val="10"/>
          <w:rFonts w:cs="仿宋_GB2312" w:asciiTheme="minorEastAsia" w:hAnsiTheme="minorEastAsia" w:eastAsiaTheme="minorEastAsia"/>
          <w:color w:val="000000"/>
          <w:sz w:val="21"/>
          <w:szCs w:val="21"/>
          <w:shd w:val="clear" w:color="auto" w:fill="FFFFFF"/>
        </w:rPr>
        <w:t>ggzy.xuchang.gov.cn:8088/ggzy/</w:t>
      </w:r>
      <w:r>
        <w:rPr>
          <w:rStyle w:val="10"/>
          <w:rFonts w:hint="eastAsia" w:cs="仿宋_GB2312" w:asciiTheme="minorEastAsia" w:hAnsiTheme="minorEastAsia" w:eastAsiaTheme="minorEastAsia"/>
          <w:color w:val="000000"/>
          <w:sz w:val="21"/>
          <w:szCs w:val="21"/>
          <w:shd w:val="clear" w:color="auto" w:fill="FFFFFF"/>
        </w:rPr>
        <w:t>）</w:t>
      </w:r>
      <w:r>
        <w:rPr>
          <w:rStyle w:val="1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7"/>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7"/>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eastAsiaTheme="minorEastAsia"/>
          <w:sz w:val="21"/>
          <w:szCs w:val="21"/>
          <w:shd w:val="clear" w:color="auto" w:fill="FFFFFF"/>
        </w:rPr>
        <w:t>202</w:t>
      </w:r>
      <w:r>
        <w:rPr>
          <w:rFonts w:hint="eastAsia" w:cs="仿宋_GB2312" w:asciiTheme="minorEastAsia" w:hAnsiTheme="minorEastAsia" w:eastAsiaTheme="minorEastAsia"/>
          <w:sz w:val="21"/>
          <w:szCs w:val="21"/>
          <w:shd w:val="clear" w:color="auto" w:fill="FFFFFF"/>
          <w:lang w:val="en-US" w:eastAsia="zh-CN"/>
        </w:rPr>
        <w:t>3</w:t>
      </w:r>
      <w:r>
        <w:rPr>
          <w:rFonts w:hint="eastAsia" w:cs="仿宋_GB2312" w:asciiTheme="minorEastAsia" w:hAnsiTheme="minorEastAsia" w:eastAsiaTheme="minorEastAsia"/>
          <w:sz w:val="21"/>
          <w:szCs w:val="21"/>
          <w:shd w:val="clear" w:color="auto" w:fill="FFFFFF"/>
        </w:rPr>
        <w:t>年</w:t>
      </w:r>
      <w:r>
        <w:rPr>
          <w:rFonts w:hint="eastAsia" w:cs="仿宋_GB2312" w:asciiTheme="minorEastAsia" w:hAnsiTheme="minorEastAsia" w:eastAsiaTheme="minorEastAsia"/>
          <w:sz w:val="21"/>
          <w:szCs w:val="21"/>
          <w:shd w:val="clear" w:color="auto" w:fill="FFFFFF"/>
          <w:lang w:val="en-US" w:eastAsia="zh-CN"/>
        </w:rPr>
        <w:t>5</w:t>
      </w:r>
      <w:r>
        <w:rPr>
          <w:rFonts w:hint="eastAsia" w:cs="仿宋_GB2312" w:asciiTheme="minorEastAsia" w:hAnsiTheme="minorEastAsia" w:eastAsiaTheme="minorEastAsia"/>
          <w:sz w:val="21"/>
          <w:szCs w:val="21"/>
          <w:shd w:val="clear" w:color="auto" w:fill="FFFFFF"/>
        </w:rPr>
        <w:t>月</w:t>
      </w:r>
      <w:r>
        <w:rPr>
          <w:rFonts w:hint="eastAsia" w:cs="仿宋_GB2312" w:asciiTheme="minorEastAsia" w:hAnsiTheme="minorEastAsia" w:eastAsiaTheme="minorEastAsia"/>
          <w:sz w:val="21"/>
          <w:szCs w:val="21"/>
          <w:shd w:val="clear" w:color="auto" w:fill="FFFFFF"/>
          <w:lang w:val="en-US" w:eastAsia="zh-CN"/>
        </w:rPr>
        <w:t>30</w:t>
      </w:r>
      <w:r>
        <w:rPr>
          <w:rFonts w:hint="eastAsia" w:cs="仿宋_GB2312" w:asciiTheme="minorEastAsia" w:hAnsiTheme="minorEastAsia" w:eastAsiaTheme="minorEastAsia"/>
          <w:sz w:val="21"/>
          <w:szCs w:val="21"/>
          <w:shd w:val="clear" w:color="auto" w:fill="FFFFFF"/>
        </w:rPr>
        <w:t xml:space="preserve"> 日 8：30  </w:t>
      </w:r>
      <w:r>
        <w:rPr>
          <w:rFonts w:hint="eastAsia" w:cs="仿宋_GB2312" w:asciiTheme="minorEastAsia" w:hAnsiTheme="minorEastAsia"/>
          <w:color w:val="000000"/>
          <w:szCs w:val="21"/>
          <w:shd w:val="clear" w:color="auto" w:fill="FFFFFF"/>
        </w:rPr>
        <w:t>（北京时间），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2、磋商地点：禹州市公共资源交易中心九楼第二开标室。（本项目采用远程不见面竞争性磋商，供应商无须到达现场）。</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（二）采购单位：禹州市高级中学</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地址：禹州市学府南路1号</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联系人：刘先生  联系电话：0374-8081266</w:t>
      </w:r>
    </w:p>
    <w:p>
      <w:pPr>
        <w:spacing w:line="440" w:lineRule="exact"/>
        <w:ind w:firstLine="6615" w:firstLineChars="3150"/>
        <w:rPr>
          <w:rFonts w:cs="仿宋_GB2312" w:asciiTheme="minorEastAsia" w:hAnsiTheme="minorEastAsia"/>
          <w:color w:val="000000"/>
          <w:szCs w:val="21"/>
          <w:shd w:val="clear" w:color="auto" w:fill="FFFFFF"/>
        </w:rPr>
      </w:pPr>
    </w:p>
    <w:p>
      <w:pPr>
        <w:snapToGrid w:val="0"/>
        <w:spacing w:line="400" w:lineRule="exact"/>
        <w:ind w:firstLine="420" w:firstLineChars="200"/>
        <w:rPr>
          <w:rFonts w:cs="仿宋_GB2312" w:asciiTheme="minorEastAsia" w:hAnsiTheme="minorEastAsia"/>
          <w:szCs w:val="21"/>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3"/>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3"/>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4"/>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7"/>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2"/>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3"/>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cs="黑体" w:asciiTheme="minorEastAsia" w:hAnsiTheme="minorEastAsia"/>
          <w:b/>
          <w:bCs/>
          <w:color w:val="000000"/>
          <w:sz w:val="24"/>
          <w:szCs w:val="24"/>
          <w:shd w:val="clear" w:color="auto" w:fill="FFFFFF"/>
        </w:rPr>
        <w:t>：</w:t>
      </w:r>
      <w:r>
        <w:rPr>
          <w:rFonts w:hint="eastAsia" w:ascii="新宋体" w:hAnsi="新宋体" w:eastAsia="新宋体" w:cs="新宋体"/>
          <w:kern w:val="2"/>
          <w:sz w:val="21"/>
          <w:szCs w:val="21"/>
          <w:lang w:val="zh-CN" w:eastAsia="zh-CN" w:bidi="ar-SA"/>
        </w:rPr>
        <w:t>根据河南省招生办公室关于国家教育考试标准化考点建设的要求，满足2023高招、中招需求。</w:t>
      </w:r>
    </w:p>
    <w:p>
      <w:pPr>
        <w:spacing w:line="360" w:lineRule="auto"/>
        <w:rPr>
          <w:rFonts w:hint="eastAsia" w:ascii="新宋体" w:hAnsi="新宋体" w:eastAsia="新宋体" w:cs="新宋体"/>
          <w:b/>
          <w:szCs w:val="21"/>
          <w:lang w:val="zh-CN"/>
        </w:rPr>
      </w:pPr>
      <w:r>
        <w:rPr>
          <w:rFonts w:hint="eastAsia" w:cs="黑体" w:asciiTheme="minorEastAsia" w:hAnsiTheme="minorEastAsia"/>
          <w:b/>
          <w:bCs/>
          <w:color w:val="000000"/>
          <w:sz w:val="24"/>
          <w:szCs w:val="24"/>
          <w:shd w:val="clear" w:color="auto" w:fill="FFFFFF"/>
        </w:rPr>
        <w:t>二、</w:t>
      </w:r>
      <w:r>
        <w:rPr>
          <w:rFonts w:hint="eastAsia" w:ascii="新宋体" w:hAnsi="新宋体" w:eastAsia="新宋体" w:cs="新宋体"/>
          <w:b/>
          <w:szCs w:val="21"/>
          <w:lang w:val="zh-CN"/>
        </w:rPr>
        <w:t>采购清单：</w:t>
      </w:r>
    </w:p>
    <w:tbl>
      <w:tblPr>
        <w:tblStyle w:val="8"/>
        <w:tblW w:w="1003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33"/>
        <w:gridCol w:w="5459"/>
        <w:gridCol w:w="735"/>
        <w:gridCol w:w="465"/>
        <w:gridCol w:w="73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037" w:type="dxa"/>
            <w:gridSpan w:val="7"/>
            <w:shd w:val="clear" w:color="000000" w:fill="FFFFFF"/>
            <w:noWrap w:val="0"/>
            <w:vAlign w:val="center"/>
          </w:tcPr>
          <w:p>
            <w:pPr>
              <w:widowControl/>
              <w:shd w:val="clear" w:color="auto" w:fill="FFFFFF"/>
              <w:spacing w:line="360" w:lineRule="auto"/>
              <w:ind w:firstLine="2530" w:firstLineChars="1200"/>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b/>
                <w:bCs/>
                <w:kern w:val="2"/>
                <w:sz w:val="21"/>
                <w:szCs w:val="21"/>
                <w:lang w:val="zh-CN" w:eastAsia="zh-CN" w:bidi="ar-SA"/>
              </w:rPr>
              <w:t>禹州市高级中学国家标准化考点</w:t>
            </w:r>
            <w:r>
              <w:rPr>
                <w:rFonts w:hint="eastAsia" w:ascii="新宋体" w:hAnsi="新宋体" w:eastAsia="新宋体" w:cs="新宋体"/>
                <w:b/>
                <w:bCs/>
                <w:kern w:val="2"/>
                <w:sz w:val="21"/>
                <w:szCs w:val="21"/>
                <w:lang w:val="en-US" w:eastAsia="zh-CN" w:bidi="ar-SA"/>
              </w:rPr>
              <w:t>升级维护项目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序号</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设备名称</w:t>
            </w:r>
          </w:p>
        </w:tc>
        <w:tc>
          <w:tcPr>
            <w:tcW w:w="5459" w:type="dxa"/>
            <w:shd w:val="clear" w:color="000000" w:fill="FFFFFF"/>
            <w:noWrap w:val="0"/>
            <w:vAlign w:val="center"/>
          </w:tcPr>
          <w:p>
            <w:pPr>
              <w:widowControl/>
              <w:shd w:val="clear" w:color="auto" w:fill="FFFFFF"/>
              <w:spacing w:line="360" w:lineRule="auto"/>
              <w:ind w:firstLine="1687" w:firstLineChars="800"/>
              <w:contextualSpacing/>
              <w:jc w:val="left"/>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技术参数</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数量</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单位</w:t>
            </w:r>
          </w:p>
        </w:tc>
        <w:tc>
          <w:tcPr>
            <w:tcW w:w="737" w:type="dxa"/>
            <w:shd w:val="clear" w:color="000000" w:fill="FFFFFF"/>
            <w:noWrap w:val="0"/>
            <w:vAlign w:val="center"/>
          </w:tcPr>
          <w:p>
            <w:pPr>
              <w:widowControl/>
              <w:shd w:val="clear" w:color="auto" w:fill="FFFFFF"/>
              <w:spacing w:line="360" w:lineRule="auto"/>
              <w:contextualSpacing/>
              <w:jc w:val="left"/>
              <w:rPr>
                <w:rFonts w:hint="default" w:ascii="新宋体" w:hAnsi="新宋体" w:eastAsia="新宋体" w:cs="新宋体"/>
                <w:b/>
                <w:bCs/>
                <w:kern w:val="2"/>
                <w:sz w:val="21"/>
                <w:szCs w:val="21"/>
                <w:lang w:val="en-US" w:eastAsia="zh-CN" w:bidi="ar-SA"/>
              </w:rPr>
            </w:pPr>
            <w:r>
              <w:rPr>
                <w:rFonts w:hint="eastAsia" w:ascii="新宋体" w:hAnsi="新宋体" w:eastAsia="新宋体" w:cs="新宋体"/>
                <w:b/>
                <w:bCs/>
                <w:kern w:val="2"/>
                <w:sz w:val="21"/>
                <w:szCs w:val="21"/>
                <w:lang w:val="zh-CN" w:eastAsia="zh-CN" w:bidi="ar-SA"/>
              </w:rPr>
              <w:t>是否核心</w:t>
            </w:r>
            <w:r>
              <w:rPr>
                <w:rFonts w:hint="eastAsia" w:ascii="新宋体" w:hAnsi="新宋体" w:eastAsia="新宋体" w:cs="新宋体"/>
                <w:b/>
                <w:bCs/>
                <w:kern w:val="2"/>
                <w:sz w:val="21"/>
                <w:szCs w:val="21"/>
                <w:lang w:val="en-US" w:eastAsia="zh-CN" w:bidi="ar-SA"/>
              </w:rPr>
              <w:t>产</w:t>
            </w:r>
            <w:bookmarkStart w:id="2" w:name="_GoBack"/>
            <w:bookmarkEnd w:id="2"/>
            <w:r>
              <w:rPr>
                <w:rFonts w:hint="eastAsia" w:ascii="新宋体" w:hAnsi="新宋体" w:eastAsia="新宋体" w:cs="新宋体"/>
                <w:b/>
                <w:bCs/>
                <w:kern w:val="2"/>
                <w:sz w:val="21"/>
                <w:szCs w:val="21"/>
                <w:lang w:val="en-US" w:eastAsia="zh-CN" w:bidi="ar-SA"/>
              </w:rPr>
              <w:t>品</w:t>
            </w:r>
          </w:p>
        </w:tc>
        <w:tc>
          <w:tcPr>
            <w:tcW w:w="698" w:type="dxa"/>
            <w:shd w:val="clear" w:color="000000" w:fill="FFFFFF"/>
            <w:noWrap w:val="0"/>
            <w:vAlign w:val="center"/>
          </w:tcPr>
          <w:p>
            <w:pPr>
              <w:widowControl/>
              <w:shd w:val="clear" w:color="auto" w:fill="FFFFFF"/>
              <w:spacing w:line="360" w:lineRule="auto"/>
              <w:contextualSpacing/>
              <w:jc w:val="left"/>
              <w:rPr>
                <w:rFonts w:hint="default" w:ascii="新宋体" w:hAnsi="新宋体" w:eastAsia="新宋体" w:cs="新宋体"/>
                <w:b/>
                <w:bCs/>
                <w:kern w:val="2"/>
                <w:sz w:val="21"/>
                <w:szCs w:val="21"/>
                <w:lang w:val="en-US" w:eastAsia="zh-CN" w:bidi="ar-SA"/>
              </w:rPr>
            </w:pPr>
            <w:r>
              <w:rPr>
                <w:rFonts w:hint="eastAsia" w:ascii="新宋体" w:hAnsi="新宋体" w:eastAsia="新宋体" w:cs="新宋体"/>
                <w:b/>
                <w:bCs/>
                <w:kern w:val="2"/>
                <w:sz w:val="21"/>
                <w:szCs w:val="21"/>
                <w:lang w:val="en-US" w:eastAsia="zh-CN" w:bidi="ar-SA"/>
              </w:rPr>
              <w:t>采购标的对应的行业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网络流媒体存储平台</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符合《国家教育考试网上巡查系统视频标准技术规范（2017版）》相关技术规范；</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集成视音频编解码技术、嵌入式系统技术、存储技术、网络技术和智能技术等，部署简单，功能齐全；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专业的嵌入式软硬件设计，系统运行稳定可靠；</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 支持嵌入式ARM系统，工业级嵌入式微控制器；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 冗余电源、全插拔模块化设计，充分保障系统运行、维护的便捷可靠；</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 支持硬盘热插拔，支持RAID0、RAID1、RAID5，RAID6，RAID10，支持全局热备盘；</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 支持网络摄像机断网智能补录(ANR)和热备功能，提升数字通道存储的可靠性；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 支持1200W像素高清网络视频的预览、存储与回放；</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9) 支持768Mbps输入带宽，可接入256路高清网络视频；</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10) 支持多个HDMI、VGA口同时输出，可分别预览或回放不同通道的图像；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11) 支持24个SATA接口，1个eSATA接口，可选配miniSAS高速扩展接口，充分满足高清存储所需硬盘空间；</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12) 支持4个千兆光口，8个RS-485串行接口，32进16出报警接口扩展。</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13) 支持SMART IPC越界、进入区域、离开区域、区域入侵、徘徊、人员聚集、快速移动、非法停车、物品遗留、物品拿取、音频输入异常、声强突变、虚焦，以及场景变更等多种智能侦测接入与联动；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14) 支持智能搜索、回放及备份功能，有效提高录像检索与回放效率；</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15) 支持IPC集中管理，包括IPC参数配置、信息的导入/导出、信息的实时获取和升级等功能；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16) 支持USB3.0接口，充分满足高速备份需求。</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17）★为保护已建设的标准化考场建设投资、复用原有设备，新增设备必须实现与已有摄像机、sip转发服务器设备兼容、无缝对接。</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18）★必须实现与学校平台、禹州市平台、许昌市平台、河南省省市级考务管理平台互联互通。</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服务器硬盘</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硬盘尺寸 3.5英寸。</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 硬盘容量 ≥16T。</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 转速≥7200rpm。</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 缓存≥256MB。</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18</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块</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　</w:t>
            </w: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w:t>
            </w:r>
          </w:p>
        </w:tc>
        <w:tc>
          <w:tcPr>
            <w:tcW w:w="1233" w:type="dxa"/>
            <w:shd w:val="clear" w:color="auto" w:fill="auto"/>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立杆</w:t>
            </w:r>
          </w:p>
        </w:tc>
        <w:tc>
          <w:tcPr>
            <w:tcW w:w="5459" w:type="dxa"/>
            <w:shd w:val="clear" w:color="auto" w:fill="auto"/>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立杆：由直径140mm镀锌钢管焊接而成（整体热镀锌），高度：不低于4m。立杆厚度≥2mm。</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杆子底部设有检修口，可放置器材电源及避雷器等设备，外形美观，防水实用。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双支架是用60的方钢定制，支架承重80公斤以上</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 组成部分及主要配件：立杆主体、法兰地板、支臂、地笼。</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全彩摄像机</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1、支持绊线入侵，区域入侵</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2、采用星光级低照400万像素1/3英寸CMOS图像传感器，低照度效果好，图像清晰度高，最大可输出400万(2560×1440)@25fps和400万(2688×1520)@20fps</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支持H.265编码，压缩比高，实现超低码流传输。</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3、内置高效暖光和红外补光灯，最大红外监控距离80米，最大暖光监控距离30米</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4、支持走廊模式，宽动态，3D降噪，强光抑制，背光补偿，数字水印，适用不同监控环境</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5、支持ROI，SMARTH.264/H.265，灵活编码，适用不同带宽和存储环境</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6、支持内置MIC</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7、支持DC12V/POE供电方式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8、支持IP67防护等级</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74</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5</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8芯光纤</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国标单模8芯，室内外专用。</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1900</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米</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6</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网线</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具有高品质电气及机械性能的国标六类的水平双绞线电缆。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2、 Ø阻抗： (f=1-250MHz)100±15%Ω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3、 工作电容：5.0nF/100米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4、 延迟偏差：45ns/100m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5、 额定传输速率(NVP):68%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6、 电缆直径 ：0.56±0.2mm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 绝缘电阻 ： 5000MΩ/km (+20℃ DC (100-500)</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10</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箱</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7</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电源线</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国标，RVV2*1.5平方</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额定温度：70℃</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额定电压：300/300V，300/500V</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 执行国家标准：GB5023-2008,JB/T8734-2013</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2000</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米</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　</w:t>
            </w: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线管线槽</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国标，阻燃，附接头配件,安装敷设调试。</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项</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9</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高科技屏蔽终端</w:t>
            </w:r>
          </w:p>
        </w:tc>
        <w:tc>
          <w:tcPr>
            <w:tcW w:w="5459" w:type="dxa"/>
            <w:shd w:val="clear" w:color="auto" w:fill="auto"/>
            <w:noWrap w:val="0"/>
            <w:vAlign w:val="top"/>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1、★阻断工作频率范围：30MHz-5850MHz；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2、侦测引导阻断频率范围：无缝覆盖30MHz-3000MHz（支持扩展）；</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3、手机信号屏蔽：能够屏蔽电信、移动、联通的2G/3G/4G/5G手机信号(视当地环境手机基站＞300米时，可有效屏蔽)；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4、蓝牙/WIFI信号屏蔽：能够屏蔽2400MHz-2483.5MHz（2.4G）蓝牙信号以及2400MHz-2483.5MHz（2.4G）、5725MHz-5850MHz（5.8G）WIFI信号；</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5、阻断方式：对侦测引导阻断频率范围内的专业作弊信号，采用侦测引导阻断方式，对专业作弊信号实现点对点的精准阻断；对2G/3G/4G/5G各种制式的手机信号和蓝牙/WIFI信号采用直接阻断方式；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7、★并发阻断：专业作弊信号（手机信号/WIFI/蓝牙信号通道除外）支持不少于22路并发阻断；</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8、点频阻断：支持对专业作弊信号采用瞄准式点频精准阻断方式，阻断信号；</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9、★阻断信号带宽：0.7倍作弊信号带宽≤阻断信号带宽≤3倍作弊信号带宽，且不超过200KHz（3db）；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10、★预设频点模式：无需侦测引导，可预置至少22路专业作弊干扰频点（手机信号/WIFI/蓝牙信号除外）进行实时阻断；</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11、★欺骗式干扰：具备数传作弊设备接收答案的远程清除功能；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12、批量升级：支持通过考点级管理平台对高科技屏蔽终端软件进行一键式集中批量升级；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14、温度监控：支持远程对设备的工作温度进行监控；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15、远程管理：支持通过考点级管理平台实现远程集中控制，可根据需要实现分组、单台设备的远程开关控制；可远程对工作模块进行开关控制；</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16、状态上报：可向考点级管理平台上报设备工作状态、故障状态等信息；</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17、★扩展机制：设备具备扩展模块插槽，通过扩展模块可对系统功能和性能进行扩展升级；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18、★安全设计：绝缘外壳，无金属部件裸露，避免触电、烫伤等风险；</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19、★一体化设计：天线和电源内置，避免触电、烫伤等风险；</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20、★状态显示：前面板有工作指示灯，可直观指示设备上电、模块开关、网络连通等状态；</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21、隐藏式接口设计：设备开关、电源接口、网络接口均采用隐蔽式设计，设备安装完成后可视表面无任何接口、开关，避免学生误动设备对系统造成影响；</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22、数据接口：RJ-45接口，支持与考点级管理平台及侦测服务器组网；</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23、★可靠性：MTBF≥3000小时；</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24、★符合国家《电磁环境控制限值(GB8702-2014)》标准；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25、★符合国家《声环境质量标准（GB3096-2008）》中的零类标准。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26、含定制专用滑道支架。</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27、★必须实现与市级考务管理平台互联互通，</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20</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10</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12频段无线信号屏蔽器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外壳ABS防火材料，环保安全。内置散热铝合金和风扇，工作温度低。</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内置高增益全向天线，屏蔽效果迅速。</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产品有显示屏显示产品工作状态，电源，电流，温度以及12个频率工作指示灯。阻断手机通讯2G,3G,4G,5G和WiFi、2.4G,5.2G,5.8G三频的大功率产品。</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 ★阻断频率技术参数：</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  屏蔽参数GSM：925-960MHZ；CDMA870-885MHZ；DCS/PHS：1800-1920MHZ；3G：2010-2025MHZ；2110-2170MHZ：4G：2300-2390MHZ：5G：2515-2675MHZ；3400-3600MHZ；4800MHZ-4900MHZ;WIFI：2400MHZ-2485MHZ;5.8G:5725-5850MHZ;广电5G:750MHZ-790MHZ;</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xml:space="preserve"> 5.电源 电源输入：AC110V-240V。</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 ★天线发射功率：手机频段发射功率平均功率应≥36dBm。内置高增益全向天线，屏蔽范围5-25米（视现场基站距离和信号强度），电源输入AC110V-240V。</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 ★产品工作时，在0.5m距离，声压检测应＜30DBA。</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 ★产品应符合GB16796-2009规定的45HZ-65HZ交流电压的抗强度试验。以及绝缘电阻试验和漏电电流试验。</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9. ★产品需符合国家标准GB/T9254-2008+AMD.1-2013《信息技术设备的无线电骚扰限值和测量方法》的限值要求。</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10.产品的安装方式需符合以下三种安装方式，1壁挂，2桌面摆放3三角支架。</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160</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　</w:t>
            </w: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11</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播控器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★标准1U机箱高度，支持多功能水晶按键，按键指示灯一体化设计，仅通过一个按键就可实现节目切换、遥控器配对、显示下载二维码及版本等信息。</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★一体化集成设备，集成播放器、处理器功能；标配6核Cortex CPU,主频≥ 2.0 GHz，4G内存，板载64GB存储，安卓7.1操作系统。输入：3.5mm*1音频输入接口；USB3.0接口*1；USB2.0接口*2；千兆网口RJ45* 1；HDMI1.3*2信号输入接口。</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输出：3.5mm*1音频输出接口；HDMI2.0a*1。</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★双WIFI天线设计，支持WIFI6。</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xml:space="preserve"> 5.</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★设备受控方式多样化，包含TCP或UDP或RS-TTL或RS-485指令控制。</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6.</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断电重启后自动播放。</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7.</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支持手机、电脑、平板多平台控制实现编辑以及播放控制。操作编辑简单。</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可视化窗口组件添加，如视频、图片、轨迹图片、文本、滚动字幕、轨迹文字、时钟、天气、背景音乐、LOOG、背景色、无线投屏、网页、流媒体、输入信号等。</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9.</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支持U盘即插即播/素材导入，自动循环播放。支持手机或平板移动端实时拍照上传视频/图片资料，并快速播放。</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10.</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强大的图形处理引擎，支持10个及以下窗口叠加，支持视频/图片/输入信号/文本/网页/流媒体窗口的混合播放模式，窗口位置大小任意调整。</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11.</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支持多视频窗口同步解码播放，支持mp4、mov、3gp、mkv、avi、wmv、mpg、mpeg视频格式硬件解码，4K超清画质。视频解码支持4KVP9 and 4K 10bits H265/H264视频解码，图片格式支持jpg、bmp、gif、jpeg、png。</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12.</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支持滚动字幕，速度可调，字体颜色可调，字体大小缩放，支持任意位置组合输出。支持LOGO叠加，可以任意根据需要进行叠加固定LOGO。</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13.</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 xml:space="preserve">★支持点播，视频、图片即点即播。 </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14.</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支持LED屏幕测试画面输出，支持各种基色原色输出，对屏幕进行测试。</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15.</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★支持节目预约，采用手势拖放设定预约播放内容以及播放计划，实现预约节目和日常节目自动切换。</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★支持两路HDMI输入信号，最大分辨率1920x1080@60HZ。</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17.</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★支持预设节目任意自定义,投屏、视频、图片、字幕、时钟、LOGO、输入信号、流媒体、网页任意组合叠加，满足各种显示场景需求。</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18.</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★支持开关屏设置两种模式可选：待机模式、开关电源模式。</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19.</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★支持播放亮度一键调节，亮度可按计划控制，让画面和场景亮度更加融合。</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20.</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★支持PLC电源一键开关，电源可按计划控制，电源集中管控，可实现电源接入管控，一键开关屏幕断送电。</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21.</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自带路由功能，控制端直接连接播控器热点可实现登陆连接和控制。</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22.</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具有PAD和IPAD平板及手机、电脑无线投屏显示功能。</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23.</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★支持LED分辨率设置，通过手势拖放，即可将画面锁定在LED显示区域，即使没有处理器也能够实现画面点对点播放。</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24.</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★支持预装第三方应用，如奇异果，腾讯视频，全民K歌等，通过遥控器直接第三方应用播控。</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25.</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★支持U盘中的视频、图片、PPT/PDF无需上传，直接可通过遥控器切换。</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27.</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★简洁首页设计，可触摸、可遥控。</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28.</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★支持屏幕自定义排序，命名。支持屏幕播放器状态在线或离线显示。支持离线屏幕解绑删除。</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29.</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★支持通过平板中控快速定位屏幕，可实现多屏在局域网集中管控。</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30.</w:t>
            </w:r>
            <w:r>
              <w:rPr>
                <w:rFonts w:hint="eastAsia" w:ascii="新宋体" w:hAnsi="新宋体" w:eastAsia="新宋体" w:cs="新宋体"/>
                <w:kern w:val="2"/>
                <w:sz w:val="21"/>
                <w:szCs w:val="21"/>
                <w:lang w:val="zh-CN" w:eastAsia="zh-CN" w:bidi="ar-SA"/>
              </w:rPr>
              <w:tab/>
            </w:r>
            <w:r>
              <w:rPr>
                <w:rFonts w:hint="eastAsia" w:ascii="新宋体" w:hAnsi="新宋体" w:eastAsia="新宋体" w:cs="新宋体"/>
                <w:kern w:val="2"/>
                <w:sz w:val="21"/>
                <w:szCs w:val="21"/>
                <w:lang w:val="zh-CN" w:eastAsia="zh-CN" w:bidi="ar-SA"/>
              </w:rPr>
              <w:t>★支持素材快速拖拽上屏播放，画面拖曳上屏播放。</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12</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左声道高清线源阵列扬声器（外分频高性能扬声器带声透镜模块）</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xml:space="preserve">系统类型：主动二分频,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可用带宽（-10）: 60Hz-20kHz(预设)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灵敏度(1W@1M)LF:98dB /HF:108dB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最大声压级: ≥132 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阻抗LF:8Ω /HF:8Ω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输入功率LF:400W/1600 W  HF:250W/1000W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覆盖角度(-6dB)²:  90°x20°(H x V)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换能器LF:1x15"低音反射</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HF: 高灵敏度压缩波导x1</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输入连接坐: 2个NL4MP</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只</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13</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右声道高清线源阵列扬声器（外分频高性能扬声器带声透镜模块）</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xml:space="preserve">系统类型：主动二分频,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可用带宽（-10）: 60Hz-20kHz(预设)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灵敏度(1W@1M)LF:98dB /HF:108dB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最大声压级: ≥132 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阻抗LF:8Ω /HF:8Ω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输入功率LF:400W/1600 W  HF:250W/1000W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覆盖角度(-6dB)²:  90°x20°(H x V)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换能器LF:1x15"低音反射</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HF: 高灵敏度压缩波导x1</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输入连接坐: 2个NL4MP</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只</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14</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双18寸超低频扬声器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有效频率范围 28Hz-300Hz(-10dB)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灵敏度 ( 1W/1m ) 105dB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标称阻抗 4 Ohm</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额定功率 1400W(AES)</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低音单元 2×18〞单元</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最大声压级 136dB连续/142dB峰值</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只</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15</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线阵列功率放大器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8Ω立体声功率：2X1300W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4Ω立体声功率：2X2000W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2Ω立体声功率：2X2600W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8Ω桥接功率：2X4000W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4Ω桥接功率：2X5000W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频率响应(+0/-0.3dB,1W/8Ω)：20Hz-34KHz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总谐波失真 20 Hz-20 kHz 1W：&lt;0.1%</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信噪比：&gt;112dB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通道分离度(串音)1 kHz：&gt;70dB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输入连接器：XLR母</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输出连接器：Speakon座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输入阻抗：20KΩ平衡</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电平调节：前板电位器, 从负无穷到0dB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冷却方式：无级调速风扇，气流由前到后</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功放保护方式：短路、断路、直流电压、过热、射频、超低频保护。</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6</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超低音功率放大器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8Ω立体声功率：2X1600W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4Ω立体声功率：2X2400W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2Ω立体声功率：2X3200W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8Ω桥接功率：2X4200W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4Ω桥接功率：2X5000W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频率响应(+0/-0.3dB,1W/8Ω)：20Hz-34KHz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总谐波失真 20 Hz-20 kHz 1W：&lt;0.1%</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信噪比：&gt;112dB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通道分离度(串音)1 kHz：&gt;70dB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输入连接器：XLR母</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输出连接器：Speakon座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输入阻抗：20KΩ平衡</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电平调节：前板电位器, 从负无穷到0dB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冷却方式：无级调速风扇，气流由前到后</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功放保护方式：短路、断路、直流电压、过热、射频、超低频保护。</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17</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调音台（可机架式上机柜）</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1，12路输入通道，8个话筒输入，2组立体声线路输入,其中一组立体声输入可切换蓝牙输入。</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2，1-8通道带压缩功能，1-8通道设三段式中段扫频均衡，9/10、11/12通道设三段均衡器。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3，6组母线(立体声+4编组)，4辅助发送/立体声辅助返回</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4，3段通道均衡（中频段扫频）和高通滤波器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 高精度三色精确电平柱，准确显示输出电平</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6，2TK录音输入，输出莲花接</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7，内置24种模式数字效果器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8，MP3播放器带USB电脑声卡输入，手机蓝牙连接，MP3录播功能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9，主输出双9段图示均衡器，EQ直通按键选择</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10，60MM行程高分析度推子</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11，外置式静噪电源器,使用方便灵活</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12，机身耐用轻巧，可以安装19英寸机架</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18</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数字音箱处理器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1、4进8出，每信道输出/入信号道有10段参量均衡PEQ、延时Delays，每个输入信道更有压缩器Compressors、输出分频设置Crossovers、限幅器Limiters、输入信号选择及电平调节Mixer等功能、48KHz采样频率，32-bit DSP处理器，24-bit A/D及D/A转换；每路输入还有31段均衡和调节。</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并配有USB及RS232接口连接电脑，让调试更方便和简洁；</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2、输入和输出每路均设有10段独立参量均衡，每路均有延时、极性及静音设置；</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3、输出通道的均衡调节设有Lo-shelf、Hi-shelf两种模式，还可控制增益、压限及输入通道信号的选择功能；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4、可变高/低通虑波器的斜率可设置为12dB,18dB,24dB或48dB每倍频程，并可选择其响应为：贝塞尔(Bessel)、巴特沃斯(Butterworth)或宁克(Linkwitz-Riley)；</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特设通道参数拷贝功能；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5、可存储20组用户程序，支持中控协议。</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　</w:t>
            </w: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19</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真分集一拖二无线话筒</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1、主机</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工作范围：100m；音频响应：20Hz-18KHz；谐波失真：＜1%（@AF1KHz，RF46dBu）；态范围：＞100dB A-加权；噪比：＞90dB；导频：32.768KHz                     3、接收机；</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音频输出电平：不平衡+9dBu/平衡+9dBu</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音频输出阻抗：不平衡810 Ohms/平衡240 Ohms</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灵敏度：-100dBm/30dB sinad </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20</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无线一拖四方管会议话筒</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一拖四方管麦克风类型：采用高端技术阵列咪芯，可拾音100CM范围，超心型指向性驻极体；</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频率响应：80Hz～16KHz；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麦克风输入阻抗：1KΩ；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灵敏度：-46 dBV/Pa；</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最大SPL：100dB(THD&gt;3%)；</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信噪比：&gt;80dB(A)；</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串扰：&gt;70dB；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动态范围:&gt;80dB；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THD：&lt;0.1%；</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最大功耗：4 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耳机负载：&gt;16Ω；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耳机音量：最大40mW；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耳机接口：3.5mm单声道插口；</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遵循规范：IEC60914；</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供电方式 ：电池供电，充电口直供电；</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显示屏：2英寸彩屏；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安装方式：桌面式；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无线频率范围：5GHz</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　</w:t>
            </w: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21</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天线放大器（含两个天线板）</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频率范围：600-900MHz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输入截断点：+22dBm</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噪声比：4.0dB Type(Center Band)</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增益：+6-9dB(Center Band)</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输出阻抗：15dB min</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阻抗：50Ω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频宽：300MHz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插座：TNC female</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电源供应：100-240V/50/60Hz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电源消耗：170mA</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最远距离：400m</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22</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4路反馈抑制器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技术参数：</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 供电方式：AC~220V，50Hz </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消耗功率：30W</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频率响应：20Hz~20KHz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采样率：32KHz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THD:&lt;0.1%@1KHz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信噪比：&gt;90dB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信号延时：11ms</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CMRR：&gt;25dB（50Hz~20KHz）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输入阻抗： 话筒输入:47KΩ，线路输入:10KΩ，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音乐输入:10KΩ，远程输入:10KΩ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输出阻抗： 主输出:220Ω，线路输出:1KΩ，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录音输出:1KΩ，远程输出:1KΩ；</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•设备具备 1路线路输入莲花接口、• 1路线路输出莲花接口、• 面板有系统信号音量大小调节。</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面板有线路输入信号音量大小调节</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2吋TFT彩屏显示屏。</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23</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大振膜电容演讲话筒</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采用大振膜电容咪芯、拾音能力强、频响丰富细腻，低噪声、低失真、超心型指向性，平衡输出。</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换能方式:电容式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指向特性:心型指向或超心型指向</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频率响应:50-18000Hz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信噪比:&gt;70.5dB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输出阻扰:200Ω平衡</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灵敏度:-38dB</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参考拾音距离:10-60cm</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供电电压:9V~52V</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消耗电流:2mA</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内置低切滤波器：110Hz </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只</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　</w:t>
            </w: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24</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演讲话筒支架</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超重，订制</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个</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25</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机柜</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42U国标，尺寸：600*900*2000MM</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26</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16路时序控制器</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电力输入条件(单相3线)：AC200-240 50-60HZ两相（三线：零，火，地）</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通道数量：16路万用插座继电器受控与2路万用插座直通</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继电器受控输出最大承受单路功率/总功率(无功功率）：1000W/6000W最大承受无功功率；</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4.16路顺序开启逆序关闭，每路开关间隔时间/定时时间：默认1秒.PASS键可全通道同时打开，可级联叠机；精准电压显示；.漏电保护与过流保护            面板通道独立关闭，.带232中控连接</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 主电缆线规格：3*4平方电缆线，总长度为2米（配电源输入插头）</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 开启类型：按键式轻触开关</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7、单路独立开关功能：支持面板独立控制。</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27</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线阵列吊挂件</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定制吊挂件（每只扬声器一套2件）</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10</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28</w:t>
            </w:r>
          </w:p>
        </w:tc>
        <w:tc>
          <w:tcPr>
            <w:tcW w:w="1233"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线材辅料</w:t>
            </w:r>
          </w:p>
        </w:tc>
        <w:tc>
          <w:tcPr>
            <w:tcW w:w="5459"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4*2.0²护套线,4*2.5音频线，国标音频连接线、0X头等，阻燃线管，安装调试培训。</w:t>
            </w:r>
          </w:p>
        </w:tc>
        <w:tc>
          <w:tcPr>
            <w:tcW w:w="73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465"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项</w:t>
            </w:r>
          </w:p>
        </w:tc>
        <w:tc>
          <w:tcPr>
            <w:tcW w:w="737"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698" w:type="dxa"/>
            <w:shd w:val="clear" w:color="000000" w:fill="FFFFFF"/>
            <w:noWrap w:val="0"/>
            <w:vAlign w:val="center"/>
          </w:tcPr>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制</w:t>
            </w:r>
          </w:p>
          <w:p>
            <w:pPr>
              <w:widowControl/>
              <w:shd w:val="clear" w:color="auto" w:fill="FFFFFF"/>
              <w:spacing w:line="360" w:lineRule="auto"/>
              <w:contextualSpacing/>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造</w:t>
            </w: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en-US" w:eastAsia="zh-CN" w:bidi="ar-SA"/>
              </w:rPr>
              <w:t>业</w:t>
            </w:r>
            <w:r>
              <w:rPr>
                <w:rFonts w:hint="eastAsia" w:ascii="新宋体" w:hAnsi="新宋体" w:eastAsia="新宋体" w:cs="新宋体"/>
                <w:kern w:val="2"/>
                <w:sz w:val="21"/>
                <w:szCs w:val="21"/>
                <w:lang w:val="zh-CN" w:eastAsia="zh-CN" w:bidi="ar-SA"/>
              </w:rPr>
              <w:t>　</w:t>
            </w:r>
          </w:p>
        </w:tc>
      </w:tr>
    </w:tbl>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p>
    <w:p>
      <w:pPr>
        <w:widowControl/>
        <w:numPr>
          <w:ilvl w:val="0"/>
          <w:numId w:val="15"/>
        </w:numPr>
        <w:shd w:val="clear" w:color="auto" w:fill="FFFFFF"/>
        <w:spacing w:line="360" w:lineRule="auto"/>
        <w:ind w:firstLine="354" w:firstLineChars="147"/>
        <w:contextualSpacing/>
        <w:jc w:val="left"/>
        <w:rPr>
          <w:rFonts w:hint="eastAsia" w:cs="仿宋" w:asciiTheme="minorEastAsia" w:hAnsiTheme="minorEastAsia"/>
          <w:sz w:val="24"/>
          <w:szCs w:val="24"/>
          <w:lang w:eastAsia="zh-CN"/>
        </w:rPr>
      </w:pPr>
      <w:r>
        <w:rPr>
          <w:rFonts w:hint="eastAsia" w:cs="仿宋" w:asciiTheme="minorEastAsia" w:hAnsiTheme="minorEastAsia"/>
          <w:b/>
          <w:sz w:val="24"/>
          <w:szCs w:val="24"/>
        </w:rPr>
        <w:t>采购标的执行标准：</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1、国家标准：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（1）强制性产品认证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（2）信息安全产品强制性认证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如供应商所投产品属于《信息安全产品强制性认证目录》，供应商不能提供超出此目录范畴外的替代品并须在响应文件中提供：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①中国信息安全认证中心官网（http://www.isccc.gov.cn/index.shtml）产品查询结果截图并加盖供应商公章；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②中国信息安全认证中心颁发的《</w:t>
      </w:r>
      <w:r>
        <w:rPr>
          <w:rFonts w:hint="eastAsia" w:ascii="新宋体" w:hAnsi="新宋体" w:eastAsia="新宋体" w:cs="新宋体"/>
          <w:kern w:val="2"/>
          <w:sz w:val="21"/>
          <w:szCs w:val="21"/>
          <w:lang w:val="zh-CN" w:eastAsia="zh-CN" w:bidi="ar-SA"/>
        </w:rPr>
        <w:fldChar w:fldCharType="begin"/>
      </w:r>
      <w:r>
        <w:rPr>
          <w:rFonts w:hint="eastAsia" w:ascii="新宋体" w:hAnsi="新宋体" w:eastAsia="新宋体" w:cs="新宋体"/>
          <w:kern w:val="2"/>
          <w:sz w:val="21"/>
          <w:szCs w:val="21"/>
          <w:lang w:val="zh-CN" w:eastAsia="zh-CN" w:bidi="ar-SA"/>
        </w:rPr>
        <w:instrText xml:space="preserve"> HYPERLINK "http://www.cnca.gov.cn/cnca/zwxx/ggxx/images/2010/07/19/A6C32D2A507AC2A38326896013A67542.doc" \t "_blank"</w:instrText>
      </w:r>
      <w:r>
        <w:rPr>
          <w:rFonts w:hint="eastAsia" w:ascii="新宋体" w:hAnsi="新宋体" w:eastAsia="新宋体" w:cs="新宋体"/>
          <w:kern w:val="2"/>
          <w:sz w:val="21"/>
          <w:szCs w:val="21"/>
          <w:lang w:val="zh-CN" w:eastAsia="zh-CN" w:bidi="ar-SA"/>
        </w:rPr>
        <w:fldChar w:fldCharType="separate"/>
      </w:r>
      <w:r>
        <w:rPr>
          <w:rFonts w:hint="eastAsia" w:ascii="新宋体" w:hAnsi="新宋体" w:eastAsia="新宋体" w:cs="新宋体"/>
          <w:kern w:val="2"/>
          <w:sz w:val="21"/>
          <w:szCs w:val="21"/>
          <w:lang w:val="zh-CN" w:eastAsia="zh-CN" w:bidi="ar-SA"/>
        </w:rPr>
        <w:t>中国国家信息安全产品认证证书</w:t>
      </w:r>
      <w:r>
        <w:rPr>
          <w:rFonts w:hint="eastAsia" w:ascii="新宋体" w:hAnsi="新宋体" w:eastAsia="新宋体" w:cs="新宋体"/>
          <w:kern w:val="2"/>
          <w:sz w:val="21"/>
          <w:szCs w:val="21"/>
          <w:lang w:val="zh-CN" w:eastAsia="zh-CN" w:bidi="ar-SA"/>
        </w:rPr>
        <w:fldChar w:fldCharType="end"/>
      </w:r>
      <w:r>
        <w:rPr>
          <w:rFonts w:hint="eastAsia" w:ascii="新宋体" w:hAnsi="新宋体" w:eastAsia="新宋体" w:cs="新宋体"/>
          <w:kern w:val="2"/>
          <w:sz w:val="21"/>
          <w:szCs w:val="21"/>
          <w:lang w:val="zh-CN" w:eastAsia="zh-CN" w:bidi="ar-SA"/>
        </w:rPr>
        <w:t>》的原件扫描件（或图片）并加盖供应商公章。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注：仅需提供序号①～②其中之一即可。</w:t>
      </w:r>
    </w:p>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1、质保期为设备安装调试验收合格后1年，质保期内发生故障或质量问题，卖方在接到通知后2小时进行响应，4小时到达，24小时内处理问题，否则需提供备用机直至原设备修好为止。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2、所投产品必须符合国家质量检测标准和本招标文件规定的全新正品现货；本项目为交钥匙工程，采购方不再承当费用。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3、投标商所投产品须符合国家环保要求。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4、投标商应负责对买方操作人员进行使用培训，使其能够独立操作，并可以简单的维护和保养。</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pStyle w:val="11"/>
        <w:spacing w:line="360" w:lineRule="auto"/>
        <w:ind w:left="420" w:firstLine="0" w:firstLineChars="0"/>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1、投标人须明确投标产品的厂家、产地、品牌、型号（线缆及辅助材料除外）等参数，否则为无效投标。</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spacing w:line="360" w:lineRule="auto"/>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zh-CN"/>
        </w:rPr>
        <w:t>3、投标人须有完整的技术方案，</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widowControl/>
        <w:shd w:val="clear" w:color="auto" w:fill="FFFFFF"/>
        <w:spacing w:line="360" w:lineRule="auto"/>
        <w:ind w:firstLine="482" w:firstLineChars="200"/>
        <w:contextualSpacing/>
        <w:jc w:val="left"/>
        <w:rPr>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人后，中标人须向禹州市政府采购中心发送投标报价及分项报价（如果货物需求中有分项的话）一览表电子档，并同时通知采购中心。邮箱：YZGGZY2076770@163.com。</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2、按照磋商文件要求、投标文件响应和承诺验收；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3、符合磋商文件要求和投标文件承诺。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both"/>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zh-CN"/>
              </w:rPr>
              <w:t>禹州市高级中学国家标准化考点</w:t>
            </w:r>
            <w:r>
              <w:rPr>
                <w:rFonts w:hint="eastAsia" w:asciiTheme="majorEastAsia" w:hAnsiTheme="majorEastAsia" w:eastAsiaTheme="majorEastAsia" w:cstheme="majorEastAsia"/>
                <w:szCs w:val="21"/>
                <w:lang w:val="en-US" w:eastAsia="zh-CN"/>
              </w:rPr>
              <w:t>升级维护</w:t>
            </w:r>
            <w:r>
              <w:rPr>
                <w:rFonts w:hint="eastAsia" w:asciiTheme="majorEastAsia" w:hAnsiTheme="majorEastAsia" w:eastAsiaTheme="majorEastAsia" w:cstheme="majorEastAsia"/>
                <w:szCs w:val="21"/>
                <w:lang w:val="zh-CN"/>
              </w:rPr>
              <w:t xml:space="preserve">项目 </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3015</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7</w:t>
            </w:r>
            <w:r>
              <w:rPr>
                <w:rFonts w:hint="eastAsia" w:cs="仿宋_GB2312" w:asciiTheme="minorEastAsia" w:hAnsiTheme="minorEastAsia"/>
                <w:szCs w:val="21"/>
              </w:rPr>
              <w:t>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采购单位：禹州市高级中学</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地址：禹州市学府南路1号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联系人：刘先生         联系电话：0374-8081266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1"/>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1"/>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1"/>
              <w:numPr>
                <w:ilvl w:val="0"/>
                <w:numId w:val="1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98</w:t>
            </w:r>
            <w:r>
              <w:rPr>
                <w:rFonts w:hint="eastAsia" w:cs="宋体" w:asciiTheme="minorEastAsia" w:hAnsiTheme="minorEastAsia"/>
                <w:bCs/>
                <w:szCs w:val="21"/>
                <w:lang w:val="zh-CN"/>
              </w:rPr>
              <w:t>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1"/>
        <w:numPr>
          <w:ilvl w:val="0"/>
          <w:numId w:val="17"/>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1"/>
        <w:autoSpaceDE w:val="0"/>
        <w:autoSpaceDN w:val="0"/>
        <w:spacing w:line="360" w:lineRule="auto"/>
        <w:ind w:left="780" w:firstLine="0" w:firstLineChars="0"/>
        <w:contextualSpacing/>
        <w:rPr>
          <w:rFonts w:cs="宋体" w:asciiTheme="minorEastAsia" w:hAnsiTheme="minorEastAsia"/>
          <w:kern w:val="0"/>
          <w:szCs w:val="21"/>
        </w:rPr>
      </w:pPr>
    </w:p>
    <w:p>
      <w:pPr>
        <w:pStyle w:val="11"/>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1"/>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1"/>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1"/>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0"/>
          <w:rFonts w:cs="宋体" w:asciiTheme="minorEastAsia" w:hAnsiTheme="minorEastAsia"/>
          <w:color w:val="auto"/>
          <w:szCs w:val="21"/>
        </w:rPr>
        <w:t>https://chinanpo.mca.gov.cn</w:t>
      </w:r>
      <w:r>
        <w:rPr>
          <w:rStyle w:val="1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1"/>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1"/>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1"/>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1"/>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1"/>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1"/>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1"/>
          <w:numId w:val="30"/>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1"/>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1"/>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1"/>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1"/>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1"/>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1"/>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1"/>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1"/>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1"/>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1"/>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1"/>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1"/>
        <w:autoSpaceDE w:val="0"/>
        <w:autoSpaceDN w:val="0"/>
        <w:spacing w:line="360" w:lineRule="auto"/>
        <w:ind w:left="420" w:firstLine="0" w:firstLineChars="0"/>
        <w:contextualSpacing/>
        <w:rPr>
          <w:rFonts w:cs="宋体" w:asciiTheme="minorEastAsia" w:hAnsiTheme="minorEastAsia"/>
          <w:kern w:val="0"/>
          <w:szCs w:val="21"/>
        </w:rPr>
      </w:pP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1"/>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1"/>
        <w:numPr>
          <w:ilvl w:val="1"/>
          <w:numId w:val="46"/>
        </w:numPr>
        <w:autoSpaceDE w:val="0"/>
        <w:autoSpaceDN w:val="0"/>
        <w:spacing w:line="360" w:lineRule="auto"/>
        <w:ind w:firstLineChars="0"/>
        <w:contextualSpacing/>
        <w:rPr>
          <w:rFonts w:ascii="ˎ̥" w:hAnsi="ˎ̥"/>
          <w:vanish/>
        </w:rPr>
      </w:pP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1"/>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1"/>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1"/>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1"/>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1"/>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1"/>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1"/>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1"/>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1"/>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1"/>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1"/>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1"/>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1"/>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1"/>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1"/>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1"/>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1"/>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1"/>
        <w:numPr>
          <w:ilvl w:val="0"/>
          <w:numId w:val="65"/>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1"/>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1"/>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1"/>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1"/>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1"/>
        <w:numPr>
          <w:ilvl w:val="0"/>
          <w:numId w:val="64"/>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1"/>
        <w:numPr>
          <w:ilvl w:val="0"/>
          <w:numId w:val="64"/>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1"/>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1"/>
        <w:numPr>
          <w:ilvl w:val="0"/>
          <w:numId w:val="6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1"/>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1"/>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1"/>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1"/>
        <w:numPr>
          <w:ilvl w:val="0"/>
          <w:numId w:val="7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1"/>
        <w:numPr>
          <w:ilvl w:val="0"/>
          <w:numId w:val="7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1"/>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1"/>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1"/>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1"/>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1"/>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1"/>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1"/>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1"/>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1"/>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1"/>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1"/>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1"/>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1"/>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1"/>
        <w:numPr>
          <w:ilvl w:val="0"/>
          <w:numId w:val="8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1"/>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4"/>
        <w:spacing w:line="360" w:lineRule="auto"/>
        <w:contextualSpacing/>
        <w:rPr>
          <w:rFonts w:cs="仿宋_GB2312" w:asciiTheme="minorEastAsia" w:hAnsiTheme="minorEastAsia"/>
        </w:rPr>
      </w:pPr>
    </w:p>
    <w:p>
      <w:pPr>
        <w:pStyle w:val="4"/>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4"/>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8"/>
        <w:tblW w:w="9933"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8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050" w:firstLineChars="500"/>
              <w:contextualSpacing/>
              <w:rPr>
                <w:rFonts w:hint="eastAsia"/>
                <w:lang w:val="zh-CN"/>
              </w:rPr>
            </w:pPr>
            <w:r>
              <w:rPr>
                <w:rFonts w:hint="eastAsia"/>
                <w:lang w:val="zh-CN"/>
              </w:rPr>
              <w:t>价格分值：30分</w:t>
            </w:r>
          </w:p>
          <w:p>
            <w:pPr>
              <w:spacing w:line="360" w:lineRule="auto"/>
              <w:ind w:firstLine="1050" w:firstLineChars="500"/>
              <w:contextualSpacing/>
              <w:rPr>
                <w:rFonts w:hint="eastAsia"/>
                <w:lang w:val="zh-CN"/>
              </w:rPr>
            </w:pPr>
            <w:r>
              <w:rPr>
                <w:rFonts w:hint="eastAsia"/>
                <w:lang w:val="zh-CN"/>
              </w:rPr>
              <w:t>商务部分：</w:t>
            </w:r>
            <w:r>
              <w:rPr>
                <w:rFonts w:hint="eastAsia"/>
                <w:lang w:val="en-US" w:eastAsia="zh-CN"/>
              </w:rPr>
              <w:t>19</w:t>
            </w:r>
            <w:r>
              <w:rPr>
                <w:rFonts w:hint="eastAsia"/>
                <w:lang w:val="zh-CN"/>
              </w:rPr>
              <w:t>分</w:t>
            </w:r>
          </w:p>
          <w:p>
            <w:pPr>
              <w:spacing w:line="360" w:lineRule="auto"/>
              <w:ind w:firstLine="1050" w:firstLineChars="5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51</w:t>
            </w:r>
            <w:r>
              <w:rPr>
                <w:rFonts w:hint="eastAsia" w:cs="仿宋_GB2312" w:asciiTheme="minorEastAsia" w:hAnsiTheme="minorEastAsia"/>
                <w:szCs w:val="21"/>
                <w:lang w:val="zh-CN"/>
              </w:rPr>
              <w:t>分</w:t>
            </w:r>
          </w:p>
          <w:p>
            <w:pPr>
              <w:pStyle w:val="2"/>
              <w:rPr>
                <w:rFonts w:hint="eastAsia"/>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4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33"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c>
          <w:tcPr>
            <w:tcW w:w="845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报价得分=（评审基准价/投标报价）×30</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9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360" w:firstLineChars="16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二</w:t>
            </w:r>
            <w:r>
              <w:rPr>
                <w:rFonts w:hint="eastAsia" w:cs="仿宋_GB2312" w:asciiTheme="minorEastAsia" w:hAnsiTheme="minorEastAsia"/>
                <w:szCs w:val="21"/>
                <w:lang w:val="zh-CN"/>
              </w:rPr>
              <w:t>、商务部分（满分</w:t>
            </w:r>
            <w:r>
              <w:rPr>
                <w:rFonts w:hint="eastAsia" w:cs="仿宋_GB2312" w:asciiTheme="minorEastAsia" w:hAnsiTheme="minorEastAsia"/>
                <w:szCs w:val="21"/>
                <w:lang w:val="en-US" w:eastAsia="zh-CN"/>
              </w:rPr>
              <w:t>19</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480" w:type="dxa"/>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w:t>
            </w:r>
          </w:p>
        </w:tc>
        <w:tc>
          <w:tcPr>
            <w:tcW w:w="8453" w:type="dxa"/>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投标人提供2019年1月1日以来类似项目业绩，每有一份加2分，最多得4分。（须提供中标通知书及合同书扫描件）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厂商实力</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（15分）</w:t>
            </w:r>
          </w:p>
        </w:tc>
        <w:tc>
          <w:tcPr>
            <w:tcW w:w="845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1、投标人所投网络流媒体存储平台厂商具有标准化考点管理平台软件、考务基础信息管理平台软件、巡考专用网络摄像机管理软件的计算机软件著作权登记证书的，提供一项得2分，最多得4分。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2、投标人所投网络流媒体存储平台厂商具有软件能力成熟度模型CMMI5级认证证书的得4分，CMMI4级认证证书的得2分，否则不得分。（提供厂商相关证明材料）</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3、投标人所投12频段无线信号屏蔽器厂商具有 ISO9001质量管理体系认证、 . GB/T45001-2020职业健康安全管理体系认证、GB/T24001-2016环境管理体系认证，提供相关证书得3分，提供不全或者不提供者不得分。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4、投标人所投扬声器生产厂家同时具有声频工程企业综合技术等级一级和音视频集成工程企业一级资质得2分，没有不得分。 </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5、投标人所投扬声器生产厂家需进入EASE中国官方数据库，并提供官网截图和EASE声学模拟分析得2分，提供不全或者不提供者不得分。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933" w:type="dxa"/>
            <w:gridSpan w:val="2"/>
            <w:tcBorders>
              <w:top w:val="single" w:color="000000" w:sz="4" w:space="0"/>
              <w:left w:val="single" w:color="000000" w:sz="4" w:space="0"/>
              <w:right w:val="single" w:color="000000" w:sz="4" w:space="0"/>
            </w:tcBorders>
            <w:noWrap w:val="0"/>
            <w:vAlign w:val="center"/>
          </w:tcPr>
          <w:p>
            <w:pPr>
              <w:spacing w:line="360" w:lineRule="auto"/>
              <w:ind w:firstLine="3990" w:firstLineChars="1900"/>
              <w:contextualSpacing/>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三、技术部分（满分51分）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420" w:leftChars="200" w:firstLine="0" w:firstLineChars="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（36分）</w:t>
            </w:r>
          </w:p>
        </w:tc>
        <w:tc>
          <w:tcPr>
            <w:tcW w:w="8453" w:type="dxa"/>
            <w:noWrap w:val="0"/>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文件参数要求的得满分36分。</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文件中★部分为主要技术参数，投标人所投产品响应主要技术参数低于</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文件规定的，每有一项减2分；不加★的为一般技术参数，投标人所投产品响应一般技术参数低于</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文件要求的，每有一项减 1 分。在36分的基础上扣完为止。</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注：加★项需提供第三方检测报告或证书等相关证明材料证明，不提供不得分。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整体设计</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培训方案</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（5分）</w:t>
            </w:r>
          </w:p>
        </w:tc>
        <w:tc>
          <w:tcPr>
            <w:tcW w:w="8453" w:type="dxa"/>
            <w:noWrap w:val="0"/>
            <w:vAlign w:val="top"/>
          </w:tcPr>
          <w:p>
            <w:pPr>
              <w:spacing w:line="360" w:lineRule="auto"/>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根据</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文件需求，针对本项目提供实施建设方案，从实施目标、实施计划、实施管理、质量管理、实施方案等方面进行阐述。内容完善得5分，一般得3分，不提供不得分。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right w:val="single" w:color="000000" w:sz="4" w:space="0"/>
            </w:tcBorders>
            <w:noWrap w:val="0"/>
            <w:vAlign w:val="center"/>
          </w:tcPr>
          <w:p>
            <w:pPr>
              <w:spacing w:line="360" w:lineRule="auto"/>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售后服务（10）</w:t>
            </w:r>
          </w:p>
        </w:tc>
        <w:tc>
          <w:tcPr>
            <w:tcW w:w="8453" w:type="dxa"/>
            <w:noWrap w:val="0"/>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1、投标人提供的质保期内服务承诺内容、形式、响应时间等内容进行横向比较打分，质保时长、内容、形式、响应时间且满足用户实际采购需求承诺较好得5分、承诺一般得2分。</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2、售后服务承诺详细、具体，满足业主要求，服务承诺周到、内容完善得5分，一般得2分，不提供不得分。</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en-US" w:eastAsia="zh-CN"/>
              </w:rPr>
              <w:t>磋商小级</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eastAsia" w:cs="仿宋_GB2312" w:asciiTheme="minorEastAsia" w:hAnsiTheme="minorEastAsia"/>
                <w:szCs w:val="21"/>
                <w:lang w:val="en-US" w:eastAsia="zh-CN"/>
              </w:rPr>
              <w:t>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4"/>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7"/>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7"/>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ind w:left="5250"/>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2"/>
        <w:rPr>
          <w:lang w:val="zh-CN"/>
        </w:rPr>
      </w:pPr>
    </w:p>
    <w:p>
      <w:pPr>
        <w:pStyle w:val="22"/>
        <w:rPr>
          <w:lang w:val="zh-CN"/>
        </w:rPr>
      </w:pPr>
    </w:p>
    <w:p>
      <w:pPr>
        <w:pStyle w:val="2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7"/>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4"/>
        <w:adjustRightInd w:val="0"/>
        <w:snapToGrid w:val="0"/>
        <w:spacing w:line="360" w:lineRule="auto"/>
        <w:rPr>
          <w:rFonts w:asciiTheme="minorEastAsia" w:hAnsiTheme="minorEastAsia" w:eastAsiaTheme="minorEastAsia"/>
          <w:sz w:val="21"/>
          <w:szCs w:val="21"/>
        </w:rPr>
      </w:pPr>
    </w:p>
    <w:p>
      <w:pPr>
        <w:pStyle w:val="4"/>
        <w:adjustRightInd w:val="0"/>
        <w:snapToGrid w:val="0"/>
        <w:spacing w:line="360" w:lineRule="auto"/>
        <w:rPr>
          <w:rFonts w:asciiTheme="minorEastAsia" w:hAnsiTheme="minorEastAsia" w:eastAsiaTheme="minorEastAsia"/>
          <w:sz w:val="21"/>
          <w:szCs w:val="21"/>
        </w:rPr>
      </w:pPr>
    </w:p>
    <w:p>
      <w:pPr>
        <w:pStyle w:val="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3"/>
        <w:spacing w:line="480" w:lineRule="auto"/>
        <w:ind w:firstLine="0" w:firstLineChars="0"/>
        <w:jc w:val="left"/>
        <w:rPr>
          <w:rFonts w:asciiTheme="minorEastAsia" w:hAnsiTheme="minorEastAsia"/>
          <w:sz w:val="21"/>
          <w:szCs w:val="21"/>
        </w:rPr>
      </w:pPr>
    </w:p>
    <w:p>
      <w:pPr>
        <w:pStyle w:val="13"/>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3"/>
        <w:spacing w:line="480" w:lineRule="auto"/>
        <w:ind w:firstLine="472" w:firstLineChars="225"/>
        <w:jc w:val="left"/>
        <w:rPr>
          <w:rFonts w:asciiTheme="minorEastAsia" w:hAnsiTheme="minorEastAsia"/>
          <w:sz w:val="21"/>
          <w:szCs w:val="21"/>
        </w:rPr>
      </w:pPr>
    </w:p>
    <w:p>
      <w:pPr>
        <w:pStyle w:val="13"/>
        <w:spacing w:line="480" w:lineRule="auto"/>
        <w:ind w:firstLine="472" w:firstLineChars="225"/>
        <w:jc w:val="left"/>
        <w:rPr>
          <w:rFonts w:asciiTheme="minorEastAsia" w:hAnsiTheme="minorEastAsia"/>
          <w:sz w:val="21"/>
          <w:szCs w:val="21"/>
        </w:rPr>
      </w:pPr>
    </w:p>
    <w:p>
      <w:pPr>
        <w:pStyle w:val="13"/>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3"/>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15"/>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5">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3">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C2"/>
    <w:multiLevelType w:val="singleLevel"/>
    <w:tmpl w:val="59F817C2"/>
    <w:lvl w:ilvl="0" w:tentative="0">
      <w:start w:val="2"/>
      <w:numFmt w:val="chineseCounting"/>
      <w:suff w:val="space"/>
      <w:lvlText w:val="第%1章"/>
      <w:lvlJc w:val="left"/>
    </w:lvl>
  </w:abstractNum>
  <w:abstractNum w:abstractNumId="48">
    <w:nsid w:val="59F817E8"/>
    <w:multiLevelType w:val="singleLevel"/>
    <w:tmpl w:val="59F817E8"/>
    <w:lvl w:ilvl="0" w:tentative="0">
      <w:start w:val="1"/>
      <w:numFmt w:val="chineseCounting"/>
      <w:pStyle w:val="12"/>
      <w:suff w:val="nothing"/>
      <w:lvlText w:val="%1、"/>
      <w:lvlJc w:val="left"/>
    </w:lvl>
  </w:abstractNum>
  <w:abstractNum w:abstractNumId="49">
    <w:nsid w:val="5A748523"/>
    <w:multiLevelType w:val="singleLevel"/>
    <w:tmpl w:val="5A748523"/>
    <w:lvl w:ilvl="0" w:tentative="0">
      <w:start w:val="3"/>
      <w:numFmt w:val="chineseCounting"/>
      <w:suff w:val="nothing"/>
      <w:lvlText w:val="%1、"/>
      <w:lvlJc w:val="left"/>
      <w:rPr>
        <w:rFonts w:hint="eastAsia"/>
      </w:rPr>
    </w:lvl>
  </w:abstractNum>
  <w:abstractNum w:abstractNumId="50">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2">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0">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8"/>
  </w:num>
  <w:num w:numId="2">
    <w:abstractNumId w:val="57"/>
  </w:num>
  <w:num w:numId="3">
    <w:abstractNumId w:val="10"/>
  </w:num>
  <w:num w:numId="4">
    <w:abstractNumId w:val="8"/>
  </w:num>
  <w:num w:numId="5">
    <w:abstractNumId w:val="39"/>
  </w:num>
  <w:num w:numId="6">
    <w:abstractNumId w:val="52"/>
  </w:num>
  <w:num w:numId="7">
    <w:abstractNumId w:val="73"/>
  </w:num>
  <w:num w:numId="8">
    <w:abstractNumId w:val="78"/>
  </w:num>
  <w:num w:numId="9">
    <w:abstractNumId w:val="37"/>
  </w:num>
  <w:num w:numId="10">
    <w:abstractNumId w:val="43"/>
  </w:num>
  <w:num w:numId="11">
    <w:abstractNumId w:val="45"/>
  </w:num>
  <w:num w:numId="12">
    <w:abstractNumId w:val="67"/>
  </w:num>
  <w:num w:numId="13">
    <w:abstractNumId w:val="31"/>
  </w:num>
  <w:num w:numId="14">
    <w:abstractNumId w:val="47"/>
  </w:num>
  <w:num w:numId="15">
    <w:abstractNumId w:val="49"/>
  </w:num>
  <w:num w:numId="16">
    <w:abstractNumId w:val="79"/>
  </w:num>
  <w:num w:numId="17">
    <w:abstractNumId w:val="9"/>
  </w:num>
  <w:num w:numId="18">
    <w:abstractNumId w:val="18"/>
  </w:num>
  <w:num w:numId="19">
    <w:abstractNumId w:val="62"/>
  </w:num>
  <w:num w:numId="20">
    <w:abstractNumId w:val="76"/>
  </w:num>
  <w:num w:numId="21">
    <w:abstractNumId w:val="75"/>
  </w:num>
  <w:num w:numId="22">
    <w:abstractNumId w:val="61"/>
  </w:num>
  <w:num w:numId="23">
    <w:abstractNumId w:val="26"/>
  </w:num>
  <w:num w:numId="24">
    <w:abstractNumId w:val="20"/>
  </w:num>
  <w:num w:numId="25">
    <w:abstractNumId w:val="64"/>
  </w:num>
  <w:num w:numId="26">
    <w:abstractNumId w:val="54"/>
  </w:num>
  <w:num w:numId="27">
    <w:abstractNumId w:val="74"/>
  </w:num>
  <w:num w:numId="28">
    <w:abstractNumId w:val="41"/>
  </w:num>
  <w:num w:numId="29">
    <w:abstractNumId w:val="13"/>
  </w:num>
  <w:num w:numId="30">
    <w:abstractNumId w:val="17"/>
  </w:num>
  <w:num w:numId="31">
    <w:abstractNumId w:val="44"/>
  </w:num>
  <w:num w:numId="32">
    <w:abstractNumId w:val="6"/>
  </w:num>
  <w:num w:numId="33">
    <w:abstractNumId w:val="24"/>
  </w:num>
  <w:num w:numId="34">
    <w:abstractNumId w:val="56"/>
  </w:num>
  <w:num w:numId="35">
    <w:abstractNumId w:val="2"/>
  </w:num>
  <w:num w:numId="36">
    <w:abstractNumId w:val="70"/>
  </w:num>
  <w:num w:numId="37">
    <w:abstractNumId w:val="12"/>
  </w:num>
  <w:num w:numId="38">
    <w:abstractNumId w:val="29"/>
  </w:num>
  <w:num w:numId="39">
    <w:abstractNumId w:val="14"/>
  </w:num>
  <w:num w:numId="40">
    <w:abstractNumId w:val="34"/>
  </w:num>
  <w:num w:numId="41">
    <w:abstractNumId w:val="22"/>
  </w:num>
  <w:num w:numId="42">
    <w:abstractNumId w:val="50"/>
  </w:num>
  <w:num w:numId="43">
    <w:abstractNumId w:val="55"/>
  </w:num>
  <w:num w:numId="44">
    <w:abstractNumId w:val="36"/>
  </w:num>
  <w:num w:numId="45">
    <w:abstractNumId w:val="72"/>
  </w:num>
  <w:num w:numId="46">
    <w:abstractNumId w:val="68"/>
  </w:num>
  <w:num w:numId="47">
    <w:abstractNumId w:val="25"/>
  </w:num>
  <w:num w:numId="48">
    <w:abstractNumId w:val="1"/>
  </w:num>
  <w:num w:numId="49">
    <w:abstractNumId w:val="15"/>
  </w:num>
  <w:num w:numId="50">
    <w:abstractNumId w:val="11"/>
  </w:num>
  <w:num w:numId="51">
    <w:abstractNumId w:val="16"/>
  </w:num>
  <w:num w:numId="52">
    <w:abstractNumId w:val="46"/>
  </w:num>
  <w:num w:numId="53">
    <w:abstractNumId w:val="63"/>
  </w:num>
  <w:num w:numId="54">
    <w:abstractNumId w:val="33"/>
  </w:num>
  <w:num w:numId="55">
    <w:abstractNumId w:val="58"/>
  </w:num>
  <w:num w:numId="56">
    <w:abstractNumId w:val="30"/>
  </w:num>
  <w:num w:numId="57">
    <w:abstractNumId w:val="42"/>
  </w:num>
  <w:num w:numId="58">
    <w:abstractNumId w:val="66"/>
  </w:num>
  <w:num w:numId="59">
    <w:abstractNumId w:val="51"/>
  </w:num>
  <w:num w:numId="60">
    <w:abstractNumId w:val="32"/>
  </w:num>
  <w:num w:numId="61">
    <w:abstractNumId w:val="19"/>
  </w:num>
  <w:num w:numId="62">
    <w:abstractNumId w:val="23"/>
  </w:num>
  <w:num w:numId="63">
    <w:abstractNumId w:val="71"/>
  </w:num>
  <w:num w:numId="64">
    <w:abstractNumId w:val="53"/>
  </w:num>
  <w:num w:numId="65">
    <w:abstractNumId w:val="69"/>
  </w:num>
  <w:num w:numId="66">
    <w:abstractNumId w:val="28"/>
  </w:num>
  <w:num w:numId="67">
    <w:abstractNumId w:val="40"/>
  </w:num>
  <w:num w:numId="68">
    <w:abstractNumId w:val="65"/>
  </w:num>
  <w:num w:numId="69">
    <w:abstractNumId w:val="4"/>
  </w:num>
  <w:num w:numId="70">
    <w:abstractNumId w:val="77"/>
  </w:num>
  <w:num w:numId="71">
    <w:abstractNumId w:val="80"/>
  </w:num>
  <w:num w:numId="72">
    <w:abstractNumId w:val="35"/>
  </w:num>
  <w:num w:numId="73">
    <w:abstractNumId w:val="5"/>
  </w:num>
  <w:num w:numId="74">
    <w:abstractNumId w:val="0"/>
  </w:num>
  <w:num w:numId="75">
    <w:abstractNumId w:val="60"/>
  </w:num>
  <w:num w:numId="76">
    <w:abstractNumId w:val="3"/>
  </w:num>
  <w:num w:numId="77">
    <w:abstractNumId w:val="21"/>
  </w:num>
  <w:num w:numId="78">
    <w:abstractNumId w:val="7"/>
  </w:num>
  <w:num w:numId="79">
    <w:abstractNumId w:val="59"/>
  </w:num>
  <w:num w:numId="80">
    <w:abstractNumId w:val="27"/>
  </w:num>
  <w:num w:numId="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80250B1"/>
    <w:rsid w:val="09CB6DEC"/>
    <w:rsid w:val="18910ECB"/>
    <w:rsid w:val="1A363459"/>
    <w:rsid w:val="1FE65F6B"/>
    <w:rsid w:val="1FF468DA"/>
    <w:rsid w:val="21521EA2"/>
    <w:rsid w:val="22A97407"/>
    <w:rsid w:val="333A2A19"/>
    <w:rsid w:val="335A2D4A"/>
    <w:rsid w:val="343F2879"/>
    <w:rsid w:val="376F37AA"/>
    <w:rsid w:val="3ACD5BB8"/>
    <w:rsid w:val="3ECA2E0C"/>
    <w:rsid w:val="445831BC"/>
    <w:rsid w:val="47A65E5C"/>
    <w:rsid w:val="47EB1BDC"/>
    <w:rsid w:val="484D48AF"/>
    <w:rsid w:val="4F4C64C5"/>
    <w:rsid w:val="52AF42B2"/>
    <w:rsid w:val="543C792C"/>
    <w:rsid w:val="5BAF4E87"/>
    <w:rsid w:val="63B02BAB"/>
    <w:rsid w:val="63F77A34"/>
    <w:rsid w:val="64601ED7"/>
    <w:rsid w:val="67B81568"/>
    <w:rsid w:val="6CEB6D83"/>
    <w:rsid w:val="753164B5"/>
    <w:rsid w:val="761A74FF"/>
    <w:rsid w:val="77334767"/>
    <w:rsid w:val="7A28251C"/>
    <w:rsid w:val="7CA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after="120"/>
    </w:pPr>
  </w:style>
  <w:style w:type="paragraph" w:styleId="3">
    <w:name w:val="caption"/>
    <w:basedOn w:val="1"/>
    <w:next w:val="1"/>
    <w:qFormat/>
    <w:uiPriority w:val="0"/>
    <w:rPr>
      <w:rFonts w:ascii="Arial" w:hAnsi="Arial" w:eastAsia="黑体" w:cs="Arial"/>
      <w:sz w:val="20"/>
      <w:szCs w:val="20"/>
    </w:rPr>
  </w:style>
  <w:style w:type="paragraph" w:styleId="4">
    <w:name w:val="Plain Text"/>
    <w:basedOn w:val="1"/>
    <w:link w:val="17"/>
    <w:qFormat/>
    <w:uiPriority w:val="0"/>
    <w:rPr>
      <w:rFonts w:eastAsia="宋体"/>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character" w:styleId="10">
    <w:name w:val="Hyperlink"/>
    <w:basedOn w:val="9"/>
    <w:unhideWhenUsed/>
    <w:qFormat/>
    <w:uiPriority w:val="0"/>
    <w:rPr>
      <w:color w:val="0000FF"/>
      <w:u w:val="single"/>
    </w:rPr>
  </w:style>
  <w:style w:type="paragraph" w:styleId="11">
    <w:name w:val="List Paragraph"/>
    <w:basedOn w:val="1"/>
    <w:unhideWhenUsed/>
    <w:qFormat/>
    <w:uiPriority w:val="99"/>
    <w:pPr>
      <w:ind w:firstLine="420" w:firstLineChars="200"/>
    </w:pPr>
  </w:style>
  <w:style w:type="paragraph" w:customStyle="1" w:styleId="12">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3">
    <w:name w:val="正文文本缩进1"/>
    <w:basedOn w:val="1"/>
    <w:link w:val="23"/>
    <w:qFormat/>
    <w:uiPriority w:val="0"/>
    <w:pPr>
      <w:spacing w:line="360" w:lineRule="auto"/>
      <w:ind w:firstLine="480" w:firstLineChars="200"/>
    </w:pPr>
    <w:rPr>
      <w:rFonts w:ascii="宋体"/>
      <w:sz w:val="24"/>
    </w:rPr>
  </w:style>
  <w:style w:type="paragraph" w:customStyle="1" w:styleId="1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5">
    <w:name w:val="日期1"/>
    <w:basedOn w:val="1"/>
    <w:next w:val="1"/>
    <w:link w:val="24"/>
    <w:qFormat/>
    <w:uiPriority w:val="0"/>
    <w:rPr>
      <w:sz w:val="24"/>
    </w:rPr>
  </w:style>
  <w:style w:type="character" w:customStyle="1" w:styleId="16">
    <w:name w:val="页眉 Char"/>
    <w:basedOn w:val="9"/>
    <w:link w:val="6"/>
    <w:qFormat/>
    <w:uiPriority w:val="0"/>
    <w:rPr>
      <w:kern w:val="2"/>
      <w:sz w:val="18"/>
      <w:szCs w:val="18"/>
    </w:rPr>
  </w:style>
  <w:style w:type="character" w:customStyle="1" w:styleId="17">
    <w:name w:val="纯文本 Char"/>
    <w:basedOn w:val="9"/>
    <w:link w:val="4"/>
    <w:qFormat/>
    <w:uiPriority w:val="0"/>
    <w:rPr>
      <w:rFonts w:eastAsia="宋体"/>
      <w:kern w:val="2"/>
      <w:sz w:val="24"/>
      <w:szCs w:val="22"/>
    </w:rPr>
  </w:style>
  <w:style w:type="character" w:customStyle="1" w:styleId="18">
    <w:name w:val="正文文本 Char"/>
    <w:basedOn w:val="9"/>
    <w:link w:val="2"/>
    <w:qFormat/>
    <w:uiPriority w:val="99"/>
    <w:rPr>
      <w:kern w:val="2"/>
      <w:sz w:val="21"/>
      <w:szCs w:val="22"/>
    </w:rPr>
  </w:style>
  <w:style w:type="character" w:customStyle="1" w:styleId="19">
    <w:name w:val="NormalCharacter"/>
    <w:qFormat/>
    <w:uiPriority w:val="0"/>
  </w:style>
  <w:style w:type="paragraph" w:customStyle="1" w:styleId="20">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1">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2">
    <w:name w:val="列出段落1"/>
    <w:basedOn w:val="1"/>
    <w:qFormat/>
    <w:uiPriority w:val="99"/>
    <w:pPr>
      <w:ind w:firstLine="420" w:firstLineChars="200"/>
    </w:pPr>
  </w:style>
  <w:style w:type="character" w:customStyle="1" w:styleId="23">
    <w:name w:val="正文文本缩进 Char Char"/>
    <w:link w:val="13"/>
    <w:qFormat/>
    <w:uiPriority w:val="0"/>
    <w:rPr>
      <w:rFonts w:ascii="宋体"/>
      <w:kern w:val="2"/>
      <w:sz w:val="24"/>
      <w:szCs w:val="22"/>
    </w:rPr>
  </w:style>
  <w:style w:type="character" w:customStyle="1" w:styleId="24">
    <w:name w:val="日期 Char Char"/>
    <w:link w:val="15"/>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38471</Words>
  <Characters>41821</Characters>
  <Lines>313</Lines>
  <Paragraphs>88</Paragraphs>
  <TotalTime>5</TotalTime>
  <ScaleCrop>false</ScaleCrop>
  <LinksUpToDate>false</LinksUpToDate>
  <CharactersWithSpaces>42811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dell</cp:lastModifiedBy>
  <dcterms:modified xsi:type="dcterms:W3CDTF">2023-05-17T03:20:13Z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80E25840D5904C01879BA0A2081FA760</vt:lpwstr>
  </property>
</Properties>
</file>