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黑体" w:hAnsi="黑体" w:eastAsia="黑体" w:cs="黑体"/>
          <w:b/>
          <w:bCs/>
          <w:sz w:val="36"/>
          <w:szCs w:val="36"/>
          <w:lang w:val="en-US"/>
        </w:rPr>
      </w:pPr>
      <w:r>
        <w:rPr>
          <w:rFonts w:hint="eastAsia" w:ascii="黑体" w:hAnsi="黑体" w:eastAsia="黑体" w:cs="黑体"/>
          <w:b/>
          <w:bCs/>
          <w:sz w:val="36"/>
          <w:szCs w:val="36"/>
          <w:lang w:val="en-US" w:eastAsia="zh-CN"/>
        </w:rPr>
        <w:t>禹州市政务服务中心办公楼物业服务合同项目</w:t>
      </w:r>
    </w:p>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宋体" w:hAnsi="宋体" w:cs="宋体"/>
          <w:bCs/>
          <w:color w:val="000000"/>
          <w:w w:val="90"/>
          <w:sz w:val="120"/>
          <w:szCs w:val="12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采购编号： YZCG-G20230</w:t>
      </w:r>
      <w:r>
        <w:rPr>
          <w:rFonts w:hint="eastAsia" w:ascii="宋体" w:hAnsi="宋体" w:cs="宋体"/>
          <w:b/>
          <w:bCs/>
          <w:color w:val="000000"/>
          <w:sz w:val="36"/>
          <w:szCs w:val="36"/>
          <w:lang w:val="en-US" w:eastAsia="zh-CN"/>
        </w:rPr>
        <w:t>13</w:t>
      </w:r>
    </w:p>
    <w:p>
      <w:pPr>
        <w:keepNext w:val="0"/>
        <w:keepLines w:val="0"/>
        <w:pageBreakBefore w:val="0"/>
        <w:kinsoku/>
        <w:wordWrap/>
        <w:overflowPunct/>
        <w:topLinePunct w:val="0"/>
        <w:autoSpaceDE/>
        <w:autoSpaceDN/>
        <w:bidi w:val="0"/>
        <w:adjustRightInd/>
        <w:snapToGrid/>
        <w:spacing w:line="240" w:lineRule="auto"/>
        <w:ind w:firstLine="1084" w:firstLineChars="300"/>
        <w:textAlignment w:val="auto"/>
        <w:rPr>
          <w:rFonts w:hint="eastAsia" w:ascii="宋体" w:hAnsi="宋体" w:eastAsia="宋体" w:cs="宋体"/>
          <w:b/>
          <w:bCs/>
          <w:color w:val="000000"/>
          <w:sz w:val="36"/>
          <w:szCs w:val="36"/>
          <w:shd w:val="clear" w:color="auto" w:fill="FFFFFF"/>
          <w:lang w:val="en-US" w:eastAsia="zh-CN"/>
        </w:rPr>
      </w:pPr>
      <w:r>
        <w:rPr>
          <w:rFonts w:hint="eastAsia" w:ascii="宋体" w:hAnsi="宋体" w:cs="宋体"/>
          <w:b/>
          <w:bCs/>
          <w:color w:val="000000"/>
          <w:sz w:val="36"/>
          <w:szCs w:val="36"/>
        </w:rPr>
        <w:t>采购单位：</w:t>
      </w:r>
      <w:r>
        <w:rPr>
          <w:rFonts w:hint="eastAsia" w:ascii="宋体" w:hAnsi="宋体" w:eastAsia="宋体" w:cs="宋体"/>
          <w:b/>
          <w:bCs/>
          <w:color w:val="000000"/>
          <w:sz w:val="36"/>
          <w:szCs w:val="36"/>
          <w:shd w:val="clear" w:color="auto" w:fill="FFFFFF"/>
        </w:rPr>
        <w:t>禹州市</w:t>
      </w:r>
      <w:r>
        <w:rPr>
          <w:rFonts w:hint="eastAsia" w:ascii="宋体" w:hAnsi="宋体" w:eastAsia="宋体" w:cs="宋体"/>
          <w:b/>
          <w:bCs/>
          <w:color w:val="000000"/>
          <w:sz w:val="36"/>
          <w:szCs w:val="36"/>
          <w:shd w:val="clear" w:color="auto" w:fill="FFFFFF"/>
          <w:lang w:val="en-US" w:eastAsia="zh-CN"/>
        </w:rPr>
        <w:t>政务和大数据服务中心</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pPr>
        <w:rPr>
          <w:rFonts w:ascii="宋体" w:hAnsi="宋体" w:cs="宋体"/>
          <w:b/>
          <w:bCs/>
          <w:color w:val="000000"/>
          <w:sz w:val="36"/>
          <w:szCs w:val="36"/>
        </w:rPr>
      </w:pPr>
    </w:p>
    <w:p>
      <w:pPr>
        <w:jc w:val="center"/>
        <w:rPr>
          <w:rFonts w:ascii="宋体" w:hAnsi="宋体" w:cs="宋体"/>
          <w:b/>
          <w:bCs/>
          <w:color w:val="000000"/>
          <w:sz w:val="36"/>
          <w:szCs w:val="36"/>
        </w:rPr>
      </w:pPr>
    </w:p>
    <w:p>
      <w:pPr>
        <w:jc w:val="center"/>
        <w:rPr>
          <w:rFonts w:ascii="宋体" w:hAnsi="宋体" w:cs="宋体"/>
          <w:b/>
          <w:bCs/>
          <w:color w:val="000000"/>
          <w:sz w:val="36"/>
          <w:szCs w:val="36"/>
        </w:rPr>
      </w:pPr>
      <w:r>
        <w:rPr>
          <w:rFonts w:hint="eastAsia" w:ascii="宋体" w:hAnsi="宋体" w:cs="宋体"/>
          <w:b/>
          <w:bCs/>
          <w:color w:val="000000"/>
          <w:sz w:val="36"/>
          <w:szCs w:val="36"/>
        </w:rPr>
        <w:t>二〇二三年</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月</w:t>
      </w:r>
    </w:p>
    <w:p>
      <w:pPr>
        <w:rPr>
          <w:rFonts w:ascii="微软简隶书" w:eastAsia="微软简隶书"/>
          <w:u w:val="single"/>
        </w:rPr>
      </w:pPr>
    </w:p>
    <w:p>
      <w:pPr>
        <w:rPr>
          <w:rFonts w:ascii="微软简隶书" w:eastAsia="微软简隶书"/>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pStyle w:val="22"/>
        <w:widowControl/>
        <w:numPr>
          <w:ilvl w:val="0"/>
          <w:numId w:val="4"/>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2"/>
        <w:widowControl/>
        <w:shd w:val="clear" w:color="auto" w:fill="FFFFFF"/>
        <w:spacing w:line="360" w:lineRule="auto"/>
        <w:ind w:left="2715"/>
        <w:contextualSpacing/>
        <w:jc w:val="left"/>
        <w:rPr>
          <w:rFonts w:cs="Helvetica" w:asciiTheme="minorHAnsi" w:hAnsiTheme="minorHAnsi" w:eastAsiaTheme="minorEastAsia"/>
          <w:sz w:val="21"/>
          <w:szCs w:val="22"/>
        </w:rPr>
      </w:pPr>
    </w:p>
    <w:p>
      <w:pPr>
        <w:widowControl/>
        <w:shd w:val="clear" w:color="auto" w:fill="FFFFFF"/>
        <w:spacing w:line="440" w:lineRule="exact"/>
        <w:ind w:firstLine="420" w:firstLineChars="200"/>
        <w:jc w:val="left"/>
        <w:rPr>
          <w:rFonts w:cs="Helvetica"/>
        </w:rPr>
      </w:pPr>
      <w:r>
        <w:rPr>
          <w:rFonts w:hint="eastAsia" w:cs="Helvetica"/>
        </w:rPr>
        <w:t>禹州市政府采购中心受</w:t>
      </w:r>
      <w:r>
        <w:rPr>
          <w:rFonts w:hint="eastAsia" w:ascii="宋体" w:hAnsi="宋体" w:eastAsia="宋体" w:cs="宋体"/>
          <w:color w:val="000000"/>
          <w:sz w:val="21"/>
          <w:szCs w:val="21"/>
          <w:shd w:val="clear" w:color="auto" w:fill="FFFFFF"/>
        </w:rPr>
        <w:t>禹州市</w:t>
      </w:r>
      <w:r>
        <w:rPr>
          <w:rFonts w:hint="eastAsia" w:ascii="宋体" w:hAnsi="宋体" w:eastAsia="宋体" w:cs="宋体"/>
          <w:color w:val="000000"/>
          <w:sz w:val="21"/>
          <w:szCs w:val="21"/>
          <w:shd w:val="clear" w:color="auto" w:fill="FFFFFF"/>
          <w:lang w:val="en-US" w:eastAsia="zh-CN"/>
        </w:rPr>
        <w:t>政务和大数据服务中心</w:t>
      </w:r>
      <w:r>
        <w:rPr>
          <w:rFonts w:hint="eastAsia" w:cs="Helvetica"/>
        </w:rPr>
        <w:t>的委托，就“</w:t>
      </w:r>
      <w:r>
        <w:rPr>
          <w:rFonts w:hint="eastAsia" w:ascii="宋体" w:hAnsi="宋体" w:eastAsia="宋体" w:cs="宋体"/>
          <w:color w:val="000000"/>
          <w:sz w:val="21"/>
          <w:szCs w:val="21"/>
          <w:shd w:val="clear" w:color="auto" w:fill="FFFFFF"/>
        </w:rPr>
        <w:t>禹州市</w:t>
      </w:r>
      <w:r>
        <w:rPr>
          <w:rFonts w:hint="eastAsia" w:ascii="宋体" w:hAnsi="宋体" w:eastAsia="宋体" w:cs="宋体"/>
          <w:color w:val="000000"/>
          <w:sz w:val="21"/>
          <w:szCs w:val="21"/>
          <w:shd w:val="clear" w:color="auto" w:fill="FFFFFF"/>
          <w:lang w:val="en-US" w:eastAsia="zh-CN"/>
        </w:rPr>
        <w:t>政务服务中心办公楼物业服务合同项目</w:t>
      </w:r>
      <w:r>
        <w:rPr>
          <w:rFonts w:hint="eastAsia" w:ascii="宋体" w:hAnsi="宋体" w:eastAsia="宋体" w:cs="宋体"/>
          <w:color w:val="000000"/>
          <w:sz w:val="21"/>
          <w:szCs w:val="21"/>
          <w:shd w:val="clear" w:color="auto" w:fill="FFFFFF"/>
        </w:rPr>
        <w:t>（不见面开标</w:t>
      </w:r>
      <w:r>
        <w:rPr>
          <w:rFonts w:hint="eastAsia" w:ascii="宋体" w:hAnsi="宋体" w:eastAsia="宋体" w:cs="宋体"/>
          <w:sz w:val="21"/>
          <w:szCs w:val="21"/>
        </w:rPr>
        <w:t>）</w:t>
      </w:r>
      <w:r>
        <w:rPr>
          <w:rFonts w:hint="eastAsia" w:cs="Helvetica"/>
        </w:rPr>
        <w:t>”进行公开招标，欢迎合格的投标人前来投标。</w:t>
      </w:r>
    </w:p>
    <w:p>
      <w:pPr>
        <w:widowControl/>
        <w:numPr>
          <w:ilvl w:val="0"/>
          <w:numId w:val="5"/>
        </w:numPr>
        <w:shd w:val="clear" w:color="auto" w:fill="FFFFFF"/>
        <w:spacing w:line="440" w:lineRule="exact"/>
        <w:ind w:firstLine="482"/>
        <w:jc w:val="left"/>
        <w:rPr>
          <w:rFonts w:cs="Helvetica"/>
          <w:b/>
        </w:rPr>
      </w:pPr>
      <w:r>
        <w:rPr>
          <w:rFonts w:hint="eastAsia" w:cs="Helvetica"/>
          <w:b/>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Helvetica"/>
        </w:rPr>
      </w:pPr>
      <w:r>
        <w:rPr>
          <w:rFonts w:hint="eastAsia" w:cs="Helvetica"/>
          <w:lang w:val="en-US" w:eastAsia="zh-CN"/>
        </w:rPr>
        <w:t>1、</w:t>
      </w:r>
      <w:r>
        <w:rPr>
          <w:rFonts w:hint="eastAsia" w:cs="Helvetica"/>
        </w:rPr>
        <w:t>采购人：</w:t>
      </w:r>
      <w:r>
        <w:rPr>
          <w:rFonts w:hint="eastAsia" w:ascii="宋体" w:hAnsi="宋体" w:eastAsia="宋体" w:cs="宋体"/>
          <w:color w:val="000000"/>
          <w:sz w:val="21"/>
          <w:szCs w:val="21"/>
          <w:shd w:val="clear" w:color="auto" w:fill="FFFFFF"/>
        </w:rPr>
        <w:t>禹州市</w:t>
      </w:r>
      <w:r>
        <w:rPr>
          <w:rFonts w:hint="eastAsia" w:ascii="宋体" w:hAnsi="宋体" w:eastAsia="宋体" w:cs="宋体"/>
          <w:color w:val="000000"/>
          <w:sz w:val="21"/>
          <w:szCs w:val="21"/>
          <w:shd w:val="clear" w:color="auto" w:fill="FFFFFF"/>
          <w:lang w:val="en-US" w:eastAsia="zh-CN"/>
        </w:rPr>
        <w:t>政务和大数据服务中心</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shd w:val="clear" w:color="auto" w:fill="FFFFFF"/>
        </w:rPr>
      </w:pPr>
      <w:r>
        <w:rPr>
          <w:rFonts w:hint="eastAsia" w:cs="Helvetica"/>
          <w:lang w:val="en-US" w:eastAsia="zh-CN"/>
        </w:rPr>
        <w:t>2、</w:t>
      </w:r>
      <w:r>
        <w:rPr>
          <w:rFonts w:hint="eastAsia" w:cs="Helvetica"/>
        </w:rPr>
        <w:t>项目名称：</w:t>
      </w:r>
      <w:r>
        <w:rPr>
          <w:rFonts w:hint="eastAsia" w:ascii="宋体" w:hAnsi="宋体" w:eastAsia="宋体" w:cs="宋体"/>
          <w:color w:val="000000"/>
          <w:sz w:val="21"/>
          <w:szCs w:val="21"/>
          <w:shd w:val="clear" w:color="auto" w:fill="FFFFFF"/>
        </w:rPr>
        <w:t>禹州市</w:t>
      </w:r>
      <w:r>
        <w:rPr>
          <w:rFonts w:hint="eastAsia" w:ascii="宋体" w:hAnsi="宋体" w:eastAsia="宋体" w:cs="宋体"/>
          <w:color w:val="000000"/>
          <w:sz w:val="21"/>
          <w:szCs w:val="21"/>
          <w:shd w:val="clear" w:color="auto" w:fill="FFFFFF"/>
          <w:lang w:val="en-US" w:eastAsia="zh-CN"/>
        </w:rPr>
        <w:t>政务服务中心办公楼物业服务合同项目</w:t>
      </w:r>
      <w:r>
        <w:rPr>
          <w:rFonts w:hint="eastAsia" w:ascii="宋体" w:hAnsi="宋体" w:eastAsia="宋体" w:cs="宋体"/>
          <w:color w:val="000000"/>
          <w:sz w:val="21"/>
          <w:szCs w:val="21"/>
          <w:shd w:val="clear" w:color="auto" w:fill="FFFFFF"/>
        </w:rPr>
        <w:t>（不见面开标）</w:t>
      </w:r>
    </w:p>
    <w:p>
      <w:pPr>
        <w:pStyle w:val="40"/>
        <w:keepNext w:val="0"/>
        <w:keepLines w:val="0"/>
        <w:pageBreakBefore w:val="0"/>
        <w:widowControl/>
        <w:shd w:val="clear" w:color="auto" w:fill="FFFFFF"/>
        <w:kinsoku/>
        <w:wordWrap/>
        <w:overflowPunct/>
        <w:topLinePunct w:val="0"/>
        <w:autoSpaceDE/>
        <w:autoSpaceDN/>
        <w:bidi w:val="0"/>
        <w:adjustRightInd/>
        <w:snapToGrid/>
        <w:spacing w:line="440" w:lineRule="exact"/>
        <w:ind w:left="120" w:leftChars="57" w:firstLine="315" w:firstLineChars="150"/>
        <w:jc w:val="left"/>
        <w:textAlignment w:val="auto"/>
        <w:rPr>
          <w:rFonts w:hint="default" w:cs="Helvetica" w:eastAsiaTheme="minorEastAsia"/>
          <w:lang w:val="en-US" w:eastAsia="zh-CN"/>
        </w:rPr>
      </w:pPr>
      <w:r>
        <w:rPr>
          <w:rFonts w:hint="eastAsia" w:cs="Helvetica"/>
        </w:rPr>
        <w:t>3、采购编号：YZCG-G20230</w:t>
      </w:r>
      <w:r>
        <w:rPr>
          <w:rFonts w:hint="eastAsia" w:cs="Helvetica"/>
          <w:lang w:val="en-US" w:eastAsia="zh-CN"/>
        </w:rPr>
        <w:t>13</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00000"/>
          <w:sz w:val="28"/>
          <w:szCs w:val="28"/>
          <w:shd w:val="clear" w:color="auto" w:fill="FFFFFF"/>
          <w:lang w:eastAsia="zh-CN"/>
        </w:rPr>
      </w:pPr>
      <w:r>
        <w:rPr>
          <w:rFonts w:hint="eastAsia" w:cs="Helvetica"/>
        </w:rPr>
        <w:t>4、项目需求：</w:t>
      </w:r>
      <w:r>
        <w:rPr>
          <w:rFonts w:hint="eastAsia" w:ascii="宋体" w:hAnsi="宋体" w:eastAsia="宋体" w:cs="宋体"/>
          <w:color w:val="000000"/>
          <w:sz w:val="21"/>
          <w:szCs w:val="21"/>
          <w:shd w:val="clear" w:color="auto" w:fill="FFFFFF"/>
          <w:lang w:val="en-US" w:eastAsia="zh-CN"/>
        </w:rPr>
        <w:t>物业管理及保安保洁服务</w:t>
      </w:r>
      <w:r>
        <w:rPr>
          <w:rFonts w:hint="eastAsia" w:ascii="宋体" w:hAnsi="宋体" w:eastAsia="宋体" w:cs="宋体"/>
          <w:color w:val="000000"/>
          <w:sz w:val="21"/>
          <w:szCs w:val="21"/>
          <w:shd w:val="clear" w:color="auto" w:fill="FFFFFF"/>
        </w:rPr>
        <w:t>（详见</w:t>
      </w:r>
      <w:r>
        <w:rPr>
          <w:rFonts w:hint="eastAsia" w:ascii="宋体" w:hAnsi="宋体" w:eastAsia="宋体" w:cs="宋体"/>
          <w:color w:val="000000"/>
          <w:sz w:val="21"/>
          <w:szCs w:val="21"/>
          <w:shd w:val="clear" w:color="auto" w:fill="FFFFFF"/>
          <w:lang w:val="en-US" w:eastAsia="zh-CN"/>
        </w:rPr>
        <w:t>招标</w:t>
      </w:r>
      <w:r>
        <w:rPr>
          <w:rFonts w:hint="eastAsia" w:ascii="宋体" w:hAnsi="宋体" w:eastAsia="宋体" w:cs="宋体"/>
          <w:color w:val="000000"/>
          <w:sz w:val="21"/>
          <w:szCs w:val="21"/>
          <w:shd w:val="clear" w:color="auto" w:fill="FFFFFF"/>
        </w:rPr>
        <w:t>文件</w:t>
      </w:r>
      <w:r>
        <w:rPr>
          <w:rFonts w:hint="eastAsia" w:ascii="宋体" w:hAnsi="宋体" w:eastAsia="宋体" w:cs="宋体"/>
          <w:color w:val="000000"/>
          <w:sz w:val="21"/>
          <w:szCs w:val="21"/>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Helvetica"/>
        </w:rPr>
      </w:pPr>
      <w:r>
        <w:rPr>
          <w:rFonts w:hint="eastAsia" w:cs="Helvetica"/>
        </w:rPr>
        <w:t>5、合同履行期限：合同签订后</w:t>
      </w:r>
      <w:r>
        <w:rPr>
          <w:rFonts w:hint="eastAsia" w:cs="Helvetica"/>
          <w:lang w:val="en-US" w:eastAsia="zh-CN"/>
        </w:rPr>
        <w:t>二</w:t>
      </w:r>
      <w:r>
        <w:rPr>
          <w:rFonts w:hint="eastAsia" w:cs="Helvetica"/>
        </w:rPr>
        <w:t>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Helvetica"/>
        </w:rPr>
      </w:pPr>
      <w:r>
        <w:rPr>
          <w:rFonts w:hint="eastAsia" w:cs="Helvetica"/>
        </w:rPr>
        <w:t>6、采购预算：</w:t>
      </w:r>
      <w:r>
        <w:rPr>
          <w:rFonts w:hint="eastAsia" w:cs="Helvetica"/>
          <w:lang w:val="en-US" w:eastAsia="zh-CN"/>
        </w:rPr>
        <w:t>232.02万元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315" w:firstLineChars="150"/>
        <w:jc w:val="left"/>
        <w:textAlignment w:val="auto"/>
        <w:rPr>
          <w:rFonts w:cs="Helvetica"/>
        </w:rPr>
      </w:pPr>
      <w:r>
        <w:rPr>
          <w:rFonts w:hint="eastAsia" w:cs="Helvetica"/>
        </w:rPr>
        <w:t xml:space="preserve"> 7、最高限价：</w:t>
      </w:r>
      <w:r>
        <w:rPr>
          <w:rFonts w:hint="eastAsia" w:cs="Helvetica"/>
          <w:lang w:val="en-US" w:eastAsia="zh-CN"/>
        </w:rPr>
        <w:t>232.02万</w:t>
      </w:r>
      <w:r>
        <w:rPr>
          <w:rFonts w:hint="eastAsia" w:cs="Helvetica"/>
        </w:rPr>
        <w:t>元</w:t>
      </w:r>
    </w:p>
    <w:p>
      <w:pPr>
        <w:widowControl/>
        <w:shd w:val="clear" w:color="auto" w:fill="FFFFFF"/>
        <w:spacing w:line="440" w:lineRule="exact"/>
        <w:ind w:firstLine="310" w:firstLineChars="147"/>
        <w:jc w:val="left"/>
        <w:rPr>
          <w:rFonts w:cs="Helvetica"/>
          <w:b/>
        </w:rPr>
      </w:pPr>
      <w:r>
        <w:rPr>
          <w:rFonts w:hint="eastAsia" w:cs="Helvetica"/>
          <w:b/>
        </w:rPr>
        <w:t>二、需要落实的政府采购政策</w:t>
      </w:r>
    </w:p>
    <w:p>
      <w:pPr>
        <w:widowControl/>
        <w:shd w:val="clear" w:color="auto" w:fill="FFFFFF"/>
        <w:spacing w:line="440" w:lineRule="exact"/>
        <w:ind w:firstLine="420" w:firstLineChars="200"/>
        <w:jc w:val="left"/>
        <w:rPr>
          <w:rFonts w:cs="Helvetica"/>
        </w:rPr>
      </w:pPr>
      <w:r>
        <w:rPr>
          <w:rFonts w:hint="eastAsia" w:cs="Helvetica"/>
        </w:rPr>
        <w:t>本项目落实节约能源、保护环境、扶持不发达地区和少数民族地区、促进中小企业、监狱企业发展等政府采购政策。（根据财政部、工业和信息化部《政府采购促进中小企业发展管理办法》（财库[2020]46号）,本项目属于专门面向小微企业采购项目。）</w:t>
      </w:r>
    </w:p>
    <w:p>
      <w:pPr>
        <w:widowControl/>
        <w:shd w:val="clear" w:color="auto" w:fill="FFFFFF"/>
        <w:spacing w:line="440" w:lineRule="exact"/>
        <w:ind w:firstLine="211" w:firstLineChars="100"/>
        <w:jc w:val="left"/>
        <w:rPr>
          <w:rFonts w:cs="Helvetica"/>
          <w:b/>
        </w:rPr>
      </w:pPr>
      <w:r>
        <w:rPr>
          <w:rFonts w:hint="eastAsia" w:cs="Helvetica"/>
          <w:b/>
        </w:rPr>
        <w:t>三、供应商资格要求</w:t>
      </w:r>
    </w:p>
    <w:p>
      <w:pPr>
        <w:pStyle w:val="40"/>
        <w:widowControl/>
        <w:shd w:val="clear" w:color="auto" w:fill="FFFFFF"/>
        <w:spacing w:line="440" w:lineRule="exact"/>
        <w:jc w:val="left"/>
        <w:rPr>
          <w:rFonts w:cs="Helvetica"/>
        </w:rPr>
      </w:pPr>
      <w:r>
        <w:rPr>
          <w:rFonts w:hint="eastAsia" w:cs="Helvetica"/>
        </w:rPr>
        <w:t>1、符合《政府采购法》第二十二条之规定；</w:t>
      </w:r>
    </w:p>
    <w:p>
      <w:pPr>
        <w:widowControl/>
        <w:shd w:val="clear" w:color="auto" w:fill="FFFFFF"/>
        <w:spacing w:line="440" w:lineRule="exact"/>
        <w:ind w:firstLine="420" w:firstLineChars="200"/>
        <w:jc w:val="left"/>
        <w:rPr>
          <w:rFonts w:cs="Helvetica"/>
        </w:rPr>
      </w:pPr>
      <w:r>
        <w:rPr>
          <w:rFonts w:hint="eastAsia" w:cs="Helvetica"/>
        </w:rPr>
        <w:t>2、本项目不接受联合体投标。</w:t>
      </w:r>
    </w:p>
    <w:p>
      <w:pPr>
        <w:widowControl/>
        <w:shd w:val="clear" w:color="auto" w:fill="FFFFFF"/>
        <w:spacing w:line="440" w:lineRule="exact"/>
        <w:ind w:firstLine="482"/>
        <w:jc w:val="left"/>
        <w:rPr>
          <w:rFonts w:cs="Helvetica"/>
          <w:b/>
        </w:rPr>
      </w:pPr>
      <w:r>
        <w:rPr>
          <w:rFonts w:hint="eastAsia" w:cs="Helvetica"/>
          <w:b/>
        </w:rPr>
        <w:t>四、获取招标文件的方式</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http://ggzy.xuchang.gov.cn:8088/ggzy/eps/public/RegistAllJcxx.html）</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进行免费注册登记（详见“常见问题解答-诚信库网上注册相关资料下载”）；</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自行下载招标文件（详见“常见问题解答-交易系统操作手册”）。</w:t>
      </w:r>
    </w:p>
    <w:p>
      <w:pPr>
        <w:widowControl/>
        <w:shd w:val="clear" w:color="auto" w:fill="FFFFFF"/>
        <w:spacing w:line="440" w:lineRule="exact"/>
        <w:ind w:firstLine="422" w:firstLineChars="200"/>
        <w:jc w:val="left"/>
        <w:rPr>
          <w:rFonts w:cs="Helvetica"/>
          <w:b/>
        </w:rPr>
      </w:pPr>
      <w:r>
        <w:rPr>
          <w:rFonts w:hint="eastAsia" w:cs="Helvetica"/>
          <w:b/>
        </w:rPr>
        <w:t>五、投标文件提交截止时间及开标时间</w:t>
      </w:r>
    </w:p>
    <w:p>
      <w:pPr>
        <w:spacing w:line="440" w:lineRule="exact"/>
        <w:ind w:firstLine="640"/>
        <w:rPr>
          <w:rFonts w:cs="Helvetica"/>
        </w:rPr>
      </w:pPr>
      <w:r>
        <w:rPr>
          <w:rFonts w:hint="eastAsia" w:cs="Helvetica"/>
        </w:rPr>
        <w:t>1、投标文件提交截止时间及开标时间：2023年</w:t>
      </w:r>
      <w:r>
        <w:rPr>
          <w:rFonts w:hint="eastAsia" w:cs="Helvetica"/>
          <w:lang w:val="en-US" w:eastAsia="zh-CN"/>
        </w:rPr>
        <w:t>6</w:t>
      </w:r>
      <w:r>
        <w:rPr>
          <w:rFonts w:hint="eastAsia" w:cs="Helvetica"/>
        </w:rPr>
        <w:t>月</w:t>
      </w:r>
      <w:r>
        <w:rPr>
          <w:rFonts w:hint="eastAsia" w:cs="Helvetica"/>
          <w:lang w:val="en-US" w:eastAsia="zh-CN"/>
        </w:rPr>
        <w:t>7</w:t>
      </w:r>
      <w:r>
        <w:rPr>
          <w:rFonts w:hint="eastAsia" w:cs="Helvetica"/>
        </w:rPr>
        <w:t xml:space="preserve">日8：30  （北京时间），逾期送达或不符合规定的响应文件恕不接受。 </w:t>
      </w:r>
    </w:p>
    <w:p>
      <w:pPr>
        <w:spacing w:line="440" w:lineRule="exact"/>
        <w:ind w:firstLine="640"/>
        <w:rPr>
          <w:rFonts w:cs="Helvetica"/>
        </w:rPr>
      </w:pPr>
      <w:r>
        <w:rPr>
          <w:rFonts w:hint="eastAsia" w:cs="Helvetica"/>
        </w:rPr>
        <w:t>2、投标文件开启时间：同投标文件提交截止时间。</w:t>
      </w:r>
    </w:p>
    <w:p>
      <w:pPr>
        <w:pStyle w:val="22"/>
        <w:widowControl/>
        <w:shd w:val="clear" w:color="auto" w:fill="FFFFFF"/>
        <w:spacing w:line="440" w:lineRule="exact"/>
        <w:ind w:firstLine="420"/>
        <w:contextualSpacing/>
        <w:jc w:val="left"/>
        <w:rPr>
          <w:rFonts w:cs="Helvetica" w:asciiTheme="minorHAnsi" w:hAnsiTheme="minorHAnsi" w:eastAsiaTheme="minorEastAsia"/>
          <w:b/>
          <w:sz w:val="21"/>
          <w:szCs w:val="22"/>
        </w:rPr>
      </w:pPr>
      <w:r>
        <w:rPr>
          <w:rFonts w:hint="eastAsia" w:cs="Helvetica" w:asciiTheme="minorHAnsi" w:hAnsiTheme="minorHAnsi" w:eastAsiaTheme="minorEastAsia"/>
          <w:b/>
          <w:sz w:val="21"/>
          <w:szCs w:val="22"/>
        </w:rPr>
        <w:t>六、投标响应文件开启</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（一）投标文件开启地点：禹州市公共资源交易中心九楼第二开标室。（本项目采用远程不见面开标，供应商无须到达现场）。</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（二）本项目为全流程电子化交易项目，供应商须提交电子投标文件。</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1、加密电子投标文件（.file格式）须在投标文件提交截止时间（投标截止时间）前通过《全国公共资源交易平台(河南省▪许昌市)》公共资源交易系统成功上传。</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2"/>
        <w:widowControl/>
        <w:shd w:val="clear" w:color="auto" w:fill="FFFFFF"/>
        <w:spacing w:line="440" w:lineRule="exact"/>
        <w:ind w:firstLine="420"/>
        <w:contextualSpacing/>
        <w:jc w:val="left"/>
        <w:rPr>
          <w:rFonts w:cs="Helvetica" w:asciiTheme="minorHAnsi" w:hAnsiTheme="minorHAnsi" w:eastAsiaTheme="minorEastAsia"/>
          <w:sz w:val="21"/>
          <w:szCs w:val="22"/>
        </w:rPr>
      </w:pPr>
      <w:r>
        <w:rPr>
          <w:rFonts w:hint="eastAsia" w:cs="Helvetica" w:asciiTheme="minorHAnsi" w:hAnsiTheme="minorHAnsi" w:eastAsiaTheme="minorEastAsia"/>
          <w:sz w:val="21"/>
          <w:szCs w:val="22"/>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Helvetica" w:asciiTheme="minorHAnsi" w:hAnsiTheme="minorHAnsi" w:eastAsiaTheme="minorEastAsia"/>
          <w:sz w:val="21"/>
          <w:szCs w:val="22"/>
        </w:rPr>
        <w:t>（http://ggzy.xuchang.gov.cn:8088/ggzy/）</w:t>
      </w:r>
      <w:r>
        <w:rPr>
          <w:rFonts w:hint="eastAsia" w:cs="Helvetica" w:asciiTheme="minorHAnsi" w:hAnsiTheme="minorHAnsi" w:eastAsiaTheme="minorEastAsia"/>
          <w:sz w:val="21"/>
          <w:szCs w:val="22"/>
        </w:rPr>
        <w:fldChar w:fldCharType="end"/>
      </w:r>
      <w:r>
        <w:rPr>
          <w:rFonts w:hint="eastAsia" w:cs="Helvetica" w:asciiTheme="minorHAnsi" w:hAnsiTheme="minorHAnsi" w:eastAsiaTheme="minorEastAsia"/>
          <w:sz w:val="21"/>
          <w:szCs w:val="22"/>
        </w:rPr>
        <w:t>——点击“项目信息——项目名称”——在系统操作导航栏点击“开标——不见面开标大厅”。</w:t>
      </w:r>
    </w:p>
    <w:p>
      <w:pPr>
        <w:widowControl/>
        <w:shd w:val="clear" w:color="auto" w:fill="FFFFFF"/>
        <w:spacing w:line="440" w:lineRule="exact"/>
        <w:ind w:firstLine="420" w:firstLineChars="200"/>
        <w:jc w:val="left"/>
        <w:rPr>
          <w:rFonts w:cs="Helvetica"/>
        </w:rPr>
      </w:pPr>
      <w:r>
        <w:rPr>
          <w:rFonts w:hint="eastAsia" w:cs="Helvetica"/>
        </w:rPr>
        <w:t>七、本次招标公告同时在《中国政府采购网》《河南省政府采购网》</w:t>
      </w:r>
      <w:bookmarkStart w:id="12" w:name="_GoBack"/>
      <w:bookmarkEnd w:id="12"/>
      <w:r>
        <w:rPr>
          <w:rFonts w:hint="eastAsia" w:cs="Helvetica"/>
        </w:rPr>
        <w:t>《全国公共资源交易平台（河南省·许昌市）》发布等。</w:t>
      </w:r>
    </w:p>
    <w:p>
      <w:pPr>
        <w:widowControl/>
        <w:shd w:val="clear" w:color="auto" w:fill="FFFFFF"/>
        <w:spacing w:line="440" w:lineRule="exact"/>
        <w:ind w:firstLine="641"/>
        <w:jc w:val="left"/>
        <w:rPr>
          <w:rFonts w:cs="Helvetica"/>
        </w:rPr>
      </w:pPr>
      <w:r>
        <w:rPr>
          <w:rFonts w:hint="eastAsia" w:cs="Helvetica"/>
        </w:rPr>
        <w:t>八、代理机构及采购单位地址、联系人、联系电话</w:t>
      </w:r>
    </w:p>
    <w:p>
      <w:pPr>
        <w:widowControl/>
        <w:shd w:val="clear" w:color="auto" w:fill="FFFFFF"/>
        <w:spacing w:line="440" w:lineRule="exact"/>
        <w:ind w:firstLine="641"/>
        <w:jc w:val="left"/>
        <w:rPr>
          <w:rFonts w:cs="Helvetica"/>
        </w:rPr>
      </w:pPr>
      <w:r>
        <w:rPr>
          <w:rFonts w:hint="eastAsia" w:cs="Helvetica"/>
        </w:rPr>
        <w:t>（一）代理机构：禹州市政府采购中心</w:t>
      </w:r>
    </w:p>
    <w:p>
      <w:pPr>
        <w:widowControl/>
        <w:shd w:val="clear" w:color="auto" w:fill="FFFFFF"/>
        <w:spacing w:line="440" w:lineRule="exact"/>
        <w:ind w:firstLine="641"/>
        <w:jc w:val="left"/>
        <w:rPr>
          <w:rFonts w:cs="Helvetica"/>
        </w:rPr>
      </w:pPr>
      <w:r>
        <w:rPr>
          <w:rFonts w:hint="eastAsia" w:cs="Helvetica"/>
        </w:rPr>
        <w:t>地址：禹州市行政服务中心楼911房间</w:t>
      </w:r>
    </w:p>
    <w:p>
      <w:pPr>
        <w:widowControl/>
        <w:shd w:val="clear" w:color="auto" w:fill="FFFFFF"/>
        <w:spacing w:line="440" w:lineRule="exact"/>
        <w:ind w:firstLine="641"/>
        <w:jc w:val="left"/>
        <w:rPr>
          <w:rFonts w:cs="Helvetica"/>
        </w:rPr>
      </w:pPr>
      <w:r>
        <w:rPr>
          <w:rFonts w:hint="eastAsia" w:cs="Helvetica"/>
        </w:rPr>
        <w:t>联系人：侯女士    联系电话：0374-2077111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Helvetica"/>
        </w:rPr>
      </w:pPr>
      <w:r>
        <w:rPr>
          <w:rFonts w:hint="eastAsia" w:cs="Helvetica"/>
        </w:rPr>
        <w:t>（二）采购单位：</w:t>
      </w:r>
      <w:r>
        <w:rPr>
          <w:rFonts w:hint="eastAsia" w:ascii="宋体" w:hAnsi="宋体" w:eastAsia="宋体" w:cs="宋体"/>
          <w:color w:val="000000"/>
          <w:sz w:val="21"/>
          <w:szCs w:val="21"/>
          <w:shd w:val="clear" w:color="auto" w:fill="FFFFFF"/>
        </w:rPr>
        <w:t>禹州市</w:t>
      </w:r>
      <w:r>
        <w:rPr>
          <w:rFonts w:hint="eastAsia" w:ascii="宋体" w:hAnsi="宋体" w:eastAsia="宋体" w:cs="宋体"/>
          <w:color w:val="000000"/>
          <w:sz w:val="21"/>
          <w:szCs w:val="21"/>
          <w:shd w:val="clear" w:color="auto" w:fill="FFFFFF"/>
          <w:lang w:val="en-US" w:eastAsia="zh-CN"/>
        </w:rPr>
        <w:t>政务和大数据服务中心</w:t>
      </w:r>
    </w:p>
    <w:p>
      <w:pPr>
        <w:widowControl/>
        <w:shd w:val="clear" w:color="auto" w:fill="FFFFFF"/>
        <w:spacing w:line="440" w:lineRule="exact"/>
        <w:ind w:firstLine="630" w:firstLineChars="300"/>
        <w:jc w:val="left"/>
        <w:rPr>
          <w:rFonts w:hint="eastAsia" w:cs="Helvetica"/>
          <w:lang w:val="en-US" w:eastAsia="zh-CN"/>
        </w:rPr>
      </w:pPr>
      <w:r>
        <w:rPr>
          <w:rFonts w:hint="eastAsia" w:cs="Helvetica"/>
        </w:rPr>
        <w:t>地址：禹州市</w:t>
      </w:r>
      <w:r>
        <w:rPr>
          <w:rFonts w:hint="eastAsia" w:cs="Helvetica"/>
          <w:lang w:val="en-US" w:eastAsia="zh-CN"/>
        </w:rPr>
        <w:t>禹王大道99号</w:t>
      </w:r>
    </w:p>
    <w:p>
      <w:pPr>
        <w:widowControl/>
        <w:shd w:val="clear" w:color="auto" w:fill="FFFFFF"/>
        <w:spacing w:line="440" w:lineRule="exact"/>
        <w:ind w:firstLine="630" w:firstLineChars="300"/>
        <w:jc w:val="left"/>
        <w:rPr>
          <w:rFonts w:hint="default" w:cs="Helvetica" w:eastAsiaTheme="minorEastAsia"/>
          <w:lang w:val="en-US" w:eastAsia="zh-CN"/>
        </w:rPr>
      </w:pPr>
      <w:r>
        <w:rPr>
          <w:rFonts w:hint="eastAsia" w:cs="Helvetica"/>
        </w:rPr>
        <w:t>联系人：</w:t>
      </w:r>
      <w:r>
        <w:rPr>
          <w:rFonts w:hint="eastAsia" w:cs="Helvetica"/>
          <w:lang w:val="en-US" w:eastAsia="zh-CN"/>
        </w:rPr>
        <w:t>张</w:t>
      </w:r>
      <w:r>
        <w:rPr>
          <w:rFonts w:hint="eastAsia" w:cs="Helvetica"/>
        </w:rPr>
        <w:t>先生       联系电话：</w:t>
      </w:r>
      <w:r>
        <w:rPr>
          <w:rFonts w:hint="eastAsia" w:cs="Helvetica"/>
          <w:lang w:val="en-US" w:eastAsia="zh-CN"/>
        </w:rPr>
        <w:t>15539750234</w:t>
      </w:r>
    </w:p>
    <w:p>
      <w:pPr>
        <w:spacing w:line="440" w:lineRule="exact"/>
        <w:ind w:firstLine="4480" w:firstLineChars="1600"/>
        <w:rPr>
          <w:rFonts w:ascii="仿宋" w:hAnsi="仿宋" w:eastAsia="仿宋" w:cs="仿宋"/>
          <w:sz w:val="28"/>
          <w:szCs w:val="28"/>
        </w:rPr>
      </w:pPr>
    </w:p>
    <w:p>
      <w:pPr>
        <w:spacing w:line="440" w:lineRule="exact"/>
        <w:ind w:firstLine="4480" w:firstLineChars="1600"/>
        <w:rPr>
          <w:rFonts w:ascii="仿宋" w:hAnsi="仿宋" w:eastAsia="仿宋" w:cs="仿宋"/>
          <w:sz w:val="28"/>
          <w:szCs w:val="28"/>
        </w:rPr>
      </w:pPr>
    </w:p>
    <w:p>
      <w:pPr>
        <w:spacing w:line="440" w:lineRule="exact"/>
        <w:rPr>
          <w:rFonts w:hAnsi="宋体"/>
        </w:rPr>
      </w:pPr>
    </w:p>
    <w:p>
      <w:pPr>
        <w:spacing w:line="360" w:lineRule="auto"/>
        <w:ind w:firstLine="422" w:firstLineChars="150"/>
        <w:rPr>
          <w:rFonts w:hAnsi="宋体"/>
          <w:b/>
          <w:sz w:val="28"/>
          <w:szCs w:val="28"/>
        </w:rPr>
      </w:pPr>
    </w:p>
    <w:p>
      <w:pPr>
        <w:spacing w:line="360" w:lineRule="auto"/>
        <w:ind w:firstLine="422" w:firstLineChars="150"/>
        <w:rPr>
          <w:rFonts w:hAnsi="宋体"/>
          <w:b/>
          <w:sz w:val="28"/>
          <w:szCs w:val="28"/>
        </w:rPr>
      </w:pPr>
    </w:p>
    <w:p>
      <w:pPr>
        <w:spacing w:line="360" w:lineRule="auto"/>
        <w:ind w:firstLine="422" w:firstLineChars="150"/>
        <w:rPr>
          <w:rFonts w:hAnsi="宋体"/>
          <w:b/>
          <w:sz w:val="28"/>
          <w:szCs w:val="28"/>
        </w:rPr>
      </w:pPr>
    </w:p>
    <w:p>
      <w:pPr>
        <w:spacing w:line="360" w:lineRule="auto"/>
        <w:ind w:firstLine="422" w:firstLineChars="150"/>
        <w:rPr>
          <w:rFonts w:hAnsi="宋体"/>
          <w:b/>
          <w:sz w:val="28"/>
          <w:szCs w:val="28"/>
        </w:rPr>
      </w:pPr>
      <w:r>
        <w:rPr>
          <w:rFonts w:hint="eastAsia" w:hAnsi="宋体"/>
          <w:b/>
          <w:sz w:val="28"/>
          <w:szCs w:val="28"/>
        </w:rPr>
        <w:t>温馨提示：本项目为全流程电子化交易项目，请注意以下事项。</w:t>
      </w:r>
    </w:p>
    <w:p>
      <w:pPr>
        <w:pStyle w:val="40"/>
        <w:numPr>
          <w:ilvl w:val="0"/>
          <w:numId w:val="6"/>
        </w:numPr>
        <w:tabs>
          <w:tab w:val="left" w:pos="7095"/>
        </w:tabs>
        <w:spacing w:line="360" w:lineRule="auto"/>
        <w:ind w:firstLineChars="0"/>
        <w:contextualSpacing/>
        <w:rPr>
          <w:rFonts w:asciiTheme="minorEastAsia" w:hAnsiTheme="minorEastAsia"/>
          <w:b/>
        </w:rPr>
      </w:pPr>
      <w:r>
        <w:rPr>
          <w:rFonts w:hint="eastAsia" w:cs="Helvetica"/>
        </w:rPr>
        <w:t>供应商参加本项目投标，需提前自行联系CA服务机构办理数字认证证书并进行电子签章。</w:t>
      </w:r>
    </w:p>
    <w:p>
      <w:pPr>
        <w:pStyle w:val="40"/>
        <w:numPr>
          <w:ilvl w:val="0"/>
          <w:numId w:val="6"/>
        </w:numPr>
        <w:tabs>
          <w:tab w:val="left" w:pos="7095"/>
        </w:tabs>
        <w:spacing w:line="360" w:lineRule="auto"/>
        <w:ind w:firstLineChars="0"/>
        <w:contextualSpacing/>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pPr>
        <w:pStyle w:val="40"/>
        <w:numPr>
          <w:ilvl w:val="0"/>
          <w:numId w:val="6"/>
        </w:numPr>
        <w:tabs>
          <w:tab w:val="left" w:pos="7095"/>
        </w:tabs>
        <w:spacing w:line="360" w:lineRule="auto"/>
        <w:ind w:firstLineChars="0"/>
        <w:contextualSpacing/>
        <w:rPr>
          <w:rFonts w:hAnsi="宋体"/>
          <w:b/>
        </w:rPr>
      </w:pPr>
      <w:r>
        <w:rPr>
          <w:rFonts w:hint="eastAsia" w:hAnsi="宋体"/>
          <w:b/>
        </w:rPr>
        <w:t>电子投标文件的制作</w:t>
      </w:r>
    </w:p>
    <w:p>
      <w:pPr>
        <w:pStyle w:val="40"/>
        <w:numPr>
          <w:ilvl w:val="1"/>
          <w:numId w:val="7"/>
        </w:numPr>
        <w:tabs>
          <w:tab w:val="left" w:pos="7095"/>
        </w:tabs>
        <w:spacing w:line="360" w:lineRule="auto"/>
        <w:ind w:firstLineChars="0"/>
        <w:contextualSpacing/>
        <w:rPr>
          <w:rFonts w:hAnsi="宋体"/>
        </w:rPr>
      </w:pP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8"/>
          <w:rFonts w:hAnsi="宋体"/>
          <w:color w:val="auto"/>
        </w:rPr>
        <w:t>http://ggzy.xuchang.gov.cn:8088/ggzy/</w:t>
      </w:r>
      <w:r>
        <w:rPr>
          <w:rStyle w:val="28"/>
          <w:rFonts w:hAnsi="宋体"/>
          <w:color w:val="auto"/>
        </w:rPr>
        <w:fldChar w:fldCharType="end"/>
      </w:r>
      <w:r>
        <w:rPr>
          <w:rFonts w:hint="eastAsia" w:hAnsi="宋体"/>
        </w:rPr>
        <w:t>）下载“许昌投标文件制作系统SEARUN 最新版本”，制作投标文件。</w:t>
      </w:r>
    </w:p>
    <w:p>
      <w:pPr>
        <w:pStyle w:val="40"/>
        <w:tabs>
          <w:tab w:val="left" w:pos="7095"/>
        </w:tabs>
        <w:spacing w:line="360" w:lineRule="auto"/>
        <w:ind w:left="840" w:firstLine="0" w:firstLineChars="0"/>
        <w:contextualSpacing/>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pPr>
        <w:pStyle w:val="40"/>
        <w:numPr>
          <w:ilvl w:val="0"/>
          <w:numId w:val="8"/>
        </w:numPr>
        <w:tabs>
          <w:tab w:val="left" w:pos="7095"/>
        </w:tabs>
        <w:spacing w:line="360" w:lineRule="auto"/>
        <w:ind w:firstLineChars="0"/>
        <w:contextualSpacing/>
        <w:rPr>
          <w:rFonts w:hAnsi="宋体"/>
          <w:b/>
        </w:rPr>
      </w:pPr>
      <w:r>
        <w:rPr>
          <w:rFonts w:hint="eastAsia" w:asciiTheme="minorEastAsia" w:hAnsiTheme="minorEastAsia"/>
          <w:b/>
        </w:rPr>
        <w:t>加密</w:t>
      </w:r>
      <w:r>
        <w:rPr>
          <w:rFonts w:hint="eastAsia" w:hAnsi="宋体"/>
          <w:b/>
        </w:rPr>
        <w:t>电子投标文件的提交</w:t>
      </w:r>
    </w:p>
    <w:p>
      <w:pPr>
        <w:pStyle w:val="40"/>
        <w:numPr>
          <w:ilvl w:val="1"/>
          <w:numId w:val="7"/>
        </w:numPr>
        <w:tabs>
          <w:tab w:val="left" w:pos="7095"/>
        </w:tabs>
        <w:spacing w:line="360" w:lineRule="auto"/>
        <w:ind w:firstLineChars="0"/>
        <w:contextualSpacing/>
        <w:rPr>
          <w:rFonts w:hAnsi="宋体"/>
        </w:rPr>
      </w:pPr>
      <w:r>
        <w:rPr>
          <w:rFonts w:hint="eastAsia" w:hAnsi="宋体"/>
        </w:rPr>
        <w:t>投标人对同一项目多个标段进行投标的，加密电子投标文件应按标段分别提交。</w:t>
      </w:r>
    </w:p>
    <w:p>
      <w:pPr>
        <w:pStyle w:val="40"/>
        <w:numPr>
          <w:ilvl w:val="0"/>
          <w:numId w:val="9"/>
        </w:numPr>
        <w:tabs>
          <w:tab w:val="left" w:pos="7095"/>
        </w:tabs>
        <w:spacing w:line="360" w:lineRule="auto"/>
        <w:ind w:firstLineChars="0"/>
        <w:contextualSpacing/>
        <w:rPr>
          <w:rFonts w:hAnsi="宋体"/>
        </w:rPr>
      </w:pP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8"/>
          <w:rFonts w:hAnsi="宋体"/>
          <w:color w:val="auto"/>
        </w:rPr>
        <w:t>http://ggzy.xuchang.gov.cn:8088/ggzy/</w:t>
      </w:r>
      <w:r>
        <w:rPr>
          <w:rStyle w:val="28"/>
          <w:rFonts w:hAnsi="宋体"/>
          <w:color w:val="auto"/>
        </w:rPr>
        <w:fldChar w:fldCharType="end"/>
      </w:r>
      <w:r>
        <w:rPr>
          <w:rFonts w:hint="eastAsia" w:hAnsi="宋体"/>
        </w:rPr>
        <w:t>）</w:t>
      </w:r>
      <w:r>
        <w:rPr>
          <w:rFonts w:hint="eastAsia" w:cs="仿宋_GB2312" w:asciiTheme="minorEastAsia" w:hAnsiTheme="minorEastAsia"/>
        </w:rPr>
        <w:t>生成“投标文件提交回执单”。</w:t>
      </w:r>
    </w:p>
    <w:p>
      <w:pPr>
        <w:pStyle w:val="40"/>
        <w:numPr>
          <w:ilvl w:val="0"/>
          <w:numId w:val="8"/>
        </w:numPr>
        <w:tabs>
          <w:tab w:val="left" w:pos="7095"/>
        </w:tabs>
        <w:spacing w:line="360" w:lineRule="auto"/>
        <w:ind w:firstLineChars="0"/>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pPr>
        <w:pStyle w:val="40"/>
        <w:numPr>
          <w:ilvl w:val="1"/>
          <w:numId w:val="7"/>
        </w:numPr>
        <w:tabs>
          <w:tab w:val="left" w:pos="7095"/>
        </w:tabs>
        <w:spacing w:line="360" w:lineRule="auto"/>
        <w:ind w:firstLineChars="0"/>
        <w:contextualSpacing/>
        <w:rPr>
          <w:rFonts w:hAnsi="宋体"/>
        </w:rPr>
      </w:pP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pPr>
        <w:pStyle w:val="40"/>
        <w:numPr>
          <w:ilvl w:val="0"/>
          <w:numId w:val="10"/>
        </w:numPr>
        <w:tabs>
          <w:tab w:val="left" w:pos="7095"/>
        </w:tabs>
        <w:spacing w:line="360" w:lineRule="auto"/>
        <w:ind w:firstLineChars="0"/>
        <w:contextualSpacing/>
        <w:rPr>
          <w:rFonts w:hAnsi="宋体"/>
        </w:rPr>
      </w:pPr>
      <w:r>
        <w:rPr>
          <w:rFonts w:hint="eastAsia" w:hAnsi="宋体"/>
        </w:rPr>
        <w:t>投标人提前设置不见面开标浏览器，并于开标时间前登录本项目不见面开标大厅，按照规定的开标时间准时参加网上开标。</w:t>
      </w:r>
    </w:p>
    <w:p>
      <w:pPr>
        <w:pStyle w:val="40"/>
        <w:numPr>
          <w:ilvl w:val="0"/>
          <w:numId w:val="11"/>
        </w:numPr>
        <w:tabs>
          <w:tab w:val="left" w:pos="7095"/>
        </w:tabs>
        <w:spacing w:line="360" w:lineRule="auto"/>
        <w:ind w:firstLineChars="0"/>
        <w:contextualSpacing/>
        <w:rPr>
          <w:rFonts w:hAnsi="宋体"/>
        </w:rPr>
      </w:pP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0"/>
        <w:numPr>
          <w:ilvl w:val="0"/>
          <w:numId w:val="12"/>
        </w:numPr>
        <w:tabs>
          <w:tab w:val="left" w:pos="7095"/>
        </w:tabs>
        <w:spacing w:line="360" w:lineRule="auto"/>
        <w:ind w:firstLineChars="0"/>
        <w:contextualSpacing/>
        <w:rPr>
          <w:rFonts w:hAnsi="宋体"/>
        </w:rPr>
      </w:pPr>
      <w:r>
        <w:rPr>
          <w:rFonts w:hint="eastAsia" w:hAnsi="宋体"/>
        </w:rPr>
        <w:t>开标活动结束时，投标人应在《开标记录表》上进行电子签章。投标人未签章的，视同认可开标结果。</w:t>
      </w:r>
    </w:p>
    <w:p>
      <w:pPr>
        <w:pStyle w:val="40"/>
        <w:numPr>
          <w:ilvl w:val="0"/>
          <w:numId w:val="13"/>
        </w:numPr>
        <w:tabs>
          <w:tab w:val="left" w:pos="7095"/>
        </w:tabs>
        <w:spacing w:line="360" w:lineRule="auto"/>
        <w:ind w:firstLineChars="0"/>
        <w:contextualSpacing/>
        <w:rPr>
          <w:rFonts w:hAnsi="宋体"/>
        </w:rPr>
      </w:pPr>
      <w:r>
        <w:rPr>
          <w:rFonts w:hint="eastAsia" w:hAnsi="宋体"/>
        </w:rPr>
        <w:t>投标人对开标过程和开标记录如有疑义，可在本项目不见面开标大厅“文字互动”对话框或“新增质疑”处在线提出询问。</w:t>
      </w:r>
    </w:p>
    <w:p>
      <w:pPr>
        <w:pStyle w:val="40"/>
        <w:numPr>
          <w:ilvl w:val="0"/>
          <w:numId w:val="14"/>
        </w:numPr>
        <w:tabs>
          <w:tab w:val="left" w:pos="7095"/>
        </w:tabs>
        <w:spacing w:line="360" w:lineRule="auto"/>
        <w:ind w:firstLineChars="0"/>
        <w:contextualSpacing/>
        <w:rPr>
          <w:rFonts w:hAnsi="宋体"/>
          <w:b/>
        </w:rPr>
      </w:pPr>
      <w:r>
        <w:rPr>
          <w:rFonts w:hint="eastAsia" w:hAnsi="宋体"/>
          <w:b/>
        </w:rPr>
        <w:t>评标依据</w:t>
      </w:r>
    </w:p>
    <w:p>
      <w:pPr>
        <w:pStyle w:val="40"/>
        <w:numPr>
          <w:ilvl w:val="1"/>
          <w:numId w:val="7"/>
        </w:numPr>
        <w:tabs>
          <w:tab w:val="left" w:pos="7095"/>
        </w:tabs>
        <w:spacing w:line="360" w:lineRule="auto"/>
        <w:ind w:firstLineChars="0"/>
        <w:contextualSpacing/>
        <w:rPr>
          <w:rFonts w:hAnsi="宋体"/>
        </w:rPr>
      </w:pPr>
      <w:r>
        <w:rPr>
          <w:rFonts w:hint="eastAsia" w:hAnsi="宋体"/>
        </w:rPr>
        <w:t>全流程电子化交易（不见面开标）项目，评标委员会以成功上传、解密的电子投标文件为依据评审。</w:t>
      </w:r>
    </w:p>
    <w:p>
      <w:pPr>
        <w:pStyle w:val="40"/>
        <w:numPr>
          <w:ilvl w:val="0"/>
          <w:numId w:val="15"/>
        </w:numPr>
        <w:tabs>
          <w:tab w:val="left" w:pos="7095"/>
        </w:tabs>
        <w:spacing w:line="360" w:lineRule="auto"/>
        <w:ind w:firstLineChars="0"/>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pPr>
        <w:pStyle w:val="40"/>
        <w:numPr>
          <w:ilvl w:val="0"/>
          <w:numId w:val="16"/>
        </w:numPr>
        <w:tabs>
          <w:tab w:val="left" w:pos="7095"/>
        </w:tabs>
        <w:spacing w:line="360" w:lineRule="auto"/>
        <w:ind w:firstLineChars="0"/>
        <w:contextualSpacing/>
        <w:rPr>
          <w:rFonts w:hAnsi="宋体"/>
        </w:rPr>
      </w:pPr>
      <w:r>
        <w:rPr>
          <w:rFonts w:hint="eastAsia" w:hAnsi="宋体"/>
        </w:rPr>
        <w:t>投标人通过电子邮件提供的书面说明或相关证明材料应加盖公章，或者由法定代表人或其授权的代表签字。</w:t>
      </w: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hint="eastAsia" w:cs="宋体" w:asciiTheme="majorEastAsia" w:hAnsiTheme="majorEastAsia" w:eastAsiaTheme="majorEastAsia"/>
          <w:b/>
          <w:kern w:val="0"/>
          <w:sz w:val="32"/>
          <w:szCs w:val="32"/>
          <w:lang w:val="en-US" w:eastAsia="zh-CN"/>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项目需求</w:t>
      </w:r>
    </w:p>
    <w:p>
      <w:pPr>
        <w:shd w:val="clear" w:color="auto" w:fill="FFFFFF"/>
        <w:spacing w:line="560" w:lineRule="exact"/>
        <w:ind w:firstLine="600"/>
        <w:jc w:val="left"/>
        <w:rPr>
          <w:rFonts w:cs="Helvetica"/>
          <w:b/>
        </w:rPr>
      </w:pPr>
      <w:r>
        <w:rPr>
          <w:rFonts w:cs="Helvetica"/>
          <w:b/>
        </w:rPr>
        <w:t>（一）本项目需实现的功能或者目标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20" w:firstLineChars="200"/>
        <w:jc w:val="left"/>
        <w:textAlignment w:val="auto"/>
        <w:rPr>
          <w:rFonts w:hint="eastAsia" w:ascii="宋体" w:hAnsi="宋体" w:eastAsia="宋体" w:cs="宋体"/>
          <w:color w:val="000000" w:themeColor="text1"/>
          <w:sz w:val="21"/>
          <w:szCs w:val="21"/>
          <w:lang w:val="zh-CN"/>
        </w:rPr>
      </w:pPr>
      <w:r>
        <w:rPr>
          <w:rFonts w:hint="eastAsia" w:ascii="宋体" w:hAnsi="宋体" w:eastAsia="宋体" w:cs="宋体"/>
          <w:color w:val="000000" w:themeColor="text1"/>
          <w:sz w:val="21"/>
          <w:szCs w:val="21"/>
          <w:lang w:val="zh-CN"/>
        </w:rPr>
        <w:t>（1）市政务和大数据服务中心西大楼一层至五层范围内的大厅</w:t>
      </w:r>
      <w:r>
        <w:rPr>
          <w:rFonts w:hint="eastAsia" w:ascii="宋体" w:hAnsi="宋体" w:eastAsia="宋体" w:cs="宋体"/>
          <w:color w:val="000000" w:themeColor="text1"/>
          <w:sz w:val="21"/>
          <w:szCs w:val="21"/>
          <w:lang w:val="zh-CN" w:eastAsia="zh-CN"/>
        </w:rPr>
        <w:t>、</w:t>
      </w:r>
      <w:r>
        <w:rPr>
          <w:rFonts w:hint="eastAsia" w:ascii="宋体" w:hAnsi="宋体" w:eastAsia="宋体" w:cs="宋体"/>
          <w:color w:val="000000" w:themeColor="text1"/>
          <w:sz w:val="21"/>
          <w:szCs w:val="21"/>
          <w:lang w:val="zh-CN"/>
        </w:rPr>
        <w:t>卫生间、会议室、母婴室、楼梯及公共通道等办公区域的卫生保洁工作；</w:t>
      </w:r>
    </w:p>
    <w:p>
      <w:pPr>
        <w:keepNext w:val="0"/>
        <w:keepLines w:val="0"/>
        <w:pageBreakBefore w:val="0"/>
        <w:numPr>
          <w:ilvl w:val="0"/>
          <w:numId w:val="0"/>
        </w:numPr>
        <w:kinsoku/>
        <w:wordWrap/>
        <w:overflowPunct/>
        <w:topLinePunct w:val="0"/>
        <w:autoSpaceDE/>
        <w:autoSpaceDN/>
        <w:bidi w:val="0"/>
        <w:spacing w:line="440" w:lineRule="atLeast"/>
        <w:ind w:firstLine="420" w:firstLineChars="200"/>
        <w:jc w:val="left"/>
        <w:rPr>
          <w:rFonts w:hint="eastAsia" w:ascii="宋体" w:hAnsi="宋体" w:eastAsia="宋体" w:cs="宋体"/>
          <w:color w:val="000000" w:themeColor="text1"/>
          <w:sz w:val="21"/>
          <w:szCs w:val="21"/>
          <w:lang w:val="zh-CN"/>
        </w:rPr>
      </w:pPr>
      <w:r>
        <w:rPr>
          <w:rFonts w:hint="eastAsia" w:ascii="宋体" w:hAnsi="宋体" w:eastAsia="宋体" w:cs="宋体"/>
          <w:color w:val="000000" w:themeColor="text1"/>
          <w:sz w:val="21"/>
          <w:szCs w:val="21"/>
          <w:lang w:val="zh-CN"/>
        </w:rPr>
        <w:t>（2）政务和大数据服务中心中楼二层、三层政务服务楼内大厅、卫生间、会议室、楼梯及公共通道区域的卫生保洁工作；</w:t>
      </w:r>
    </w:p>
    <w:p>
      <w:pPr>
        <w:keepNext w:val="0"/>
        <w:keepLines w:val="0"/>
        <w:pageBreakBefore w:val="0"/>
        <w:numPr>
          <w:ilvl w:val="0"/>
          <w:numId w:val="0"/>
        </w:numPr>
        <w:kinsoku/>
        <w:wordWrap/>
        <w:overflowPunct/>
        <w:topLinePunct w:val="0"/>
        <w:autoSpaceDE/>
        <w:autoSpaceDN/>
        <w:bidi w:val="0"/>
        <w:spacing w:line="440" w:lineRule="atLeast"/>
        <w:ind w:firstLine="420" w:firstLineChars="200"/>
        <w:jc w:val="left"/>
        <w:rPr>
          <w:rFonts w:hint="eastAsia" w:ascii="宋体" w:hAnsi="宋体" w:eastAsia="宋体" w:cs="宋体"/>
          <w:color w:val="000000" w:themeColor="text1"/>
          <w:sz w:val="21"/>
          <w:szCs w:val="21"/>
          <w:lang w:val="zh-CN"/>
        </w:rPr>
      </w:pPr>
      <w:r>
        <w:rPr>
          <w:rFonts w:hint="eastAsia" w:ascii="宋体" w:hAnsi="宋体" w:eastAsia="宋体" w:cs="宋体"/>
          <w:color w:val="000000" w:themeColor="text1"/>
          <w:sz w:val="21"/>
          <w:szCs w:val="21"/>
          <w:lang w:val="zh-CN"/>
        </w:rPr>
        <w:t>（3）政务和大数据服务中心办公区域内24小时门卫、巡逻及夜间看护工作；</w:t>
      </w:r>
    </w:p>
    <w:p>
      <w:pPr>
        <w:keepNext w:val="0"/>
        <w:keepLines w:val="0"/>
        <w:pageBreakBefore w:val="0"/>
        <w:numPr>
          <w:ilvl w:val="0"/>
          <w:numId w:val="0"/>
        </w:numPr>
        <w:kinsoku/>
        <w:wordWrap/>
        <w:overflowPunct/>
        <w:topLinePunct w:val="0"/>
        <w:autoSpaceDE/>
        <w:autoSpaceDN/>
        <w:bidi w:val="0"/>
        <w:spacing w:line="440" w:lineRule="atLeast"/>
        <w:ind w:firstLine="420" w:firstLineChars="200"/>
        <w:jc w:val="left"/>
        <w:rPr>
          <w:rFonts w:hint="eastAsia" w:ascii="宋体" w:hAnsi="宋体" w:eastAsia="宋体" w:cs="宋体"/>
          <w:color w:val="000000" w:themeColor="text1"/>
          <w:sz w:val="21"/>
          <w:szCs w:val="21"/>
          <w:lang w:val="zh-CN"/>
        </w:rPr>
      </w:pPr>
      <w:r>
        <w:rPr>
          <w:rFonts w:hint="eastAsia" w:ascii="宋体" w:hAnsi="宋体" w:eastAsia="宋体" w:cs="宋体"/>
          <w:color w:val="000000" w:themeColor="text1"/>
          <w:sz w:val="21"/>
          <w:szCs w:val="21"/>
          <w:lang w:val="zh-CN"/>
        </w:rPr>
        <w:t>（4）政务和大数据服务中心办公区域内办公桌椅等维修维护工作。</w:t>
      </w:r>
    </w:p>
    <w:p>
      <w:pPr>
        <w:shd w:val="clear" w:color="auto" w:fill="FFFFFF"/>
        <w:spacing w:line="560" w:lineRule="exact"/>
        <w:ind w:firstLine="420" w:firstLineChars="200"/>
        <w:jc w:val="left"/>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zh-CN"/>
        </w:rPr>
        <w:t>（</w:t>
      </w: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lang w:val="zh-CN"/>
        </w:rPr>
        <w:t>）</w:t>
      </w:r>
      <w:r>
        <w:rPr>
          <w:rFonts w:hint="eastAsia" w:ascii="宋体" w:hAnsi="宋体" w:eastAsia="宋体" w:cs="宋体"/>
          <w:color w:val="000000" w:themeColor="text1"/>
          <w:sz w:val="21"/>
          <w:szCs w:val="21"/>
          <w:lang w:val="en-US" w:eastAsia="zh-CN"/>
        </w:rPr>
        <w:t>每年一次</w:t>
      </w:r>
      <w:r>
        <w:rPr>
          <w:rFonts w:hint="eastAsia" w:ascii="宋体" w:hAnsi="宋体" w:eastAsia="宋体" w:cs="宋体"/>
          <w:color w:val="000000" w:themeColor="text1"/>
          <w:sz w:val="21"/>
          <w:szCs w:val="21"/>
          <w:lang w:val="zh-CN"/>
        </w:rPr>
        <w:t>政务和大数据服务中心办公区域内</w:t>
      </w:r>
      <w:r>
        <w:rPr>
          <w:rFonts w:hint="eastAsia" w:ascii="宋体" w:hAnsi="宋体" w:eastAsia="宋体" w:cs="宋体"/>
          <w:color w:val="000000" w:themeColor="text1"/>
          <w:sz w:val="21"/>
          <w:szCs w:val="21"/>
          <w:lang w:val="en-US" w:eastAsia="zh-CN"/>
        </w:rPr>
        <w:t>窗户、窗帘及玻璃幕墙清洗保洁。</w:t>
      </w:r>
    </w:p>
    <w:p>
      <w:pPr>
        <w:shd w:val="clear" w:color="auto" w:fill="FFFFFF"/>
        <w:spacing w:line="560" w:lineRule="exact"/>
        <w:ind w:firstLine="420" w:firstLineChars="200"/>
        <w:jc w:val="left"/>
        <w:rPr>
          <w:rStyle w:val="64"/>
          <w:rFonts w:hint="eastAsia" w:ascii="宋体" w:hAnsi="宋体" w:eastAsia="宋体" w:cs="宋体"/>
          <w:color w:val="000000" w:themeColor="text1"/>
          <w:kern w:val="0"/>
          <w:sz w:val="21"/>
          <w:szCs w:val="21"/>
        </w:rPr>
      </w:pPr>
      <w:r>
        <w:rPr>
          <w:rFonts w:hint="eastAsia" w:ascii="宋体" w:hAnsi="宋体" w:eastAsia="宋体" w:cs="宋体"/>
          <w:color w:val="000000" w:themeColor="text1"/>
          <w:sz w:val="21"/>
          <w:szCs w:val="21"/>
          <w:lang w:val="zh-CN"/>
        </w:rPr>
        <w:t>（</w:t>
      </w: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lang w:val="zh-CN"/>
        </w:rPr>
        <w:t>）</w:t>
      </w:r>
      <w:r>
        <w:rPr>
          <w:rFonts w:hint="eastAsia" w:ascii="宋体" w:hAnsi="宋体" w:eastAsia="宋体" w:cs="宋体"/>
          <w:color w:val="000000" w:themeColor="text1"/>
          <w:sz w:val="21"/>
          <w:szCs w:val="21"/>
          <w:lang w:val="en-US" w:eastAsia="zh-CN"/>
        </w:rPr>
        <w:t>物业服务合同期限自中标后签定合同之日两年后。按照市委、市政府关于政务服务大楼即时保洁、给人民群众提供安全卫生办事环境的相关要求</w:t>
      </w:r>
      <w:r>
        <w:rPr>
          <w:rStyle w:val="64"/>
          <w:rFonts w:hint="eastAsia" w:ascii="宋体" w:hAnsi="宋体" w:eastAsia="宋体" w:cs="宋体"/>
          <w:color w:val="000000" w:themeColor="text1"/>
          <w:kern w:val="0"/>
          <w:sz w:val="21"/>
          <w:szCs w:val="21"/>
        </w:rPr>
        <w:t>。</w:t>
      </w:r>
    </w:p>
    <w:p>
      <w:pPr>
        <w:shd w:val="clear" w:color="auto" w:fill="FFFFFF"/>
        <w:spacing w:line="560" w:lineRule="exact"/>
        <w:jc w:val="left"/>
        <w:rPr>
          <w:rFonts w:cs="Helvetica"/>
        </w:rPr>
      </w:pPr>
    </w:p>
    <w:p>
      <w:pPr>
        <w:numPr>
          <w:ilvl w:val="0"/>
          <w:numId w:val="17"/>
        </w:numPr>
        <w:shd w:val="clear" w:color="auto" w:fill="FFFFFF"/>
        <w:spacing w:line="560" w:lineRule="exact"/>
        <w:ind w:firstLine="600"/>
        <w:jc w:val="left"/>
        <w:rPr>
          <w:rFonts w:cs="Helvetica"/>
          <w:b/>
        </w:rPr>
      </w:pPr>
      <w:r>
        <w:rPr>
          <w:rFonts w:cs="Helvetica"/>
          <w:b/>
        </w:rPr>
        <w:t>采购清单</w:t>
      </w:r>
    </w:p>
    <w:tbl>
      <w:tblPr>
        <w:tblStyle w:val="24"/>
        <w:tblW w:w="9894" w:type="dxa"/>
        <w:tblInd w:w="-236" w:type="dxa"/>
        <w:tblLayout w:type="fixed"/>
        <w:tblCellMar>
          <w:top w:w="0" w:type="dxa"/>
          <w:left w:w="108" w:type="dxa"/>
          <w:bottom w:w="0" w:type="dxa"/>
          <w:right w:w="108" w:type="dxa"/>
        </w:tblCellMar>
      </w:tblPr>
      <w:tblGrid>
        <w:gridCol w:w="654"/>
        <w:gridCol w:w="1131"/>
        <w:gridCol w:w="6015"/>
        <w:gridCol w:w="624"/>
        <w:gridCol w:w="56"/>
        <w:gridCol w:w="511"/>
        <w:gridCol w:w="183"/>
        <w:gridCol w:w="720"/>
      </w:tblGrid>
      <w:tr>
        <w:tblPrEx>
          <w:tblCellMar>
            <w:top w:w="0" w:type="dxa"/>
            <w:left w:w="108" w:type="dxa"/>
            <w:bottom w:w="0" w:type="dxa"/>
            <w:right w:w="108" w:type="dxa"/>
          </w:tblCellMar>
        </w:tblPrEx>
        <w:trPr>
          <w:trHeight w:val="500" w:hRule="atLeast"/>
        </w:trPr>
        <w:tc>
          <w:tcPr>
            <w:tcW w:w="9894" w:type="dxa"/>
            <w:gridSpan w:val="8"/>
            <w:tcBorders>
              <w:top w:val="nil"/>
              <w:left w:val="nil"/>
              <w:bottom w:val="nil"/>
              <w:right w:val="nil"/>
            </w:tcBorders>
            <w:noWrap/>
            <w:vAlign w:val="center"/>
          </w:tcPr>
          <w:p>
            <w:pPr>
              <w:textAlignment w:val="center"/>
              <w:rPr>
                <w:rFonts w:ascii="宋体" w:hAnsi="宋体" w:cs="宋体"/>
                <w:b/>
                <w:bCs/>
                <w:color w:val="000000" w:themeColor="text1"/>
                <w:kern w:val="0"/>
                <w:sz w:val="32"/>
                <w:szCs w:val="32"/>
              </w:rPr>
            </w:pPr>
          </w:p>
        </w:tc>
      </w:tr>
      <w:tr>
        <w:tblPrEx>
          <w:tblCellMar>
            <w:top w:w="0" w:type="dxa"/>
            <w:left w:w="108" w:type="dxa"/>
            <w:bottom w:w="0" w:type="dxa"/>
            <w:right w:w="108" w:type="dxa"/>
          </w:tblCellMar>
        </w:tblPrEx>
        <w:trPr>
          <w:trHeight w:val="500" w:hRule="atLeast"/>
        </w:trPr>
        <w:tc>
          <w:tcPr>
            <w:tcW w:w="9894" w:type="dxa"/>
            <w:gridSpan w:val="8"/>
            <w:tcBorders>
              <w:top w:val="nil"/>
              <w:left w:val="nil"/>
              <w:bottom w:val="nil"/>
              <w:right w:val="nil"/>
            </w:tcBorders>
            <w:noWrap/>
            <w:vAlign w:val="center"/>
          </w:tcPr>
          <w:p>
            <w:pPr>
              <w:ind w:firstLine="3504" w:firstLineChars="1095"/>
              <w:textAlignment w:val="center"/>
              <w:rPr>
                <w:rFonts w:ascii="宋体" w:hAnsi="宋体" w:cs="宋体"/>
                <w:b/>
                <w:bCs/>
                <w:color w:val="000000" w:themeColor="text1"/>
                <w:sz w:val="32"/>
                <w:szCs w:val="32"/>
              </w:rPr>
            </w:pPr>
            <w:r>
              <w:rPr>
                <w:rFonts w:hint="eastAsia" w:ascii="仿宋_GB2312" w:hAnsi="仿宋_GB2312" w:eastAsia="仿宋_GB2312" w:cs="仿宋_GB2312"/>
                <w:b w:val="0"/>
                <w:bCs w:val="0"/>
                <w:color w:val="000000" w:themeColor="text1"/>
                <w:sz w:val="32"/>
                <w:szCs w:val="32"/>
                <w:lang w:val="zh-CN"/>
              </w:rPr>
              <w:t>治安安全</w:t>
            </w:r>
          </w:p>
        </w:tc>
      </w:tr>
      <w:tr>
        <w:tblPrEx>
          <w:tblCellMar>
            <w:top w:w="0" w:type="dxa"/>
            <w:left w:w="108" w:type="dxa"/>
            <w:bottom w:w="0" w:type="dxa"/>
            <w:right w:w="108" w:type="dxa"/>
          </w:tblCellMar>
        </w:tblPrEx>
        <w:trPr>
          <w:trHeight w:val="5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highlight w:val="none"/>
              </w:rPr>
            </w:pPr>
            <w:r>
              <w:rPr>
                <w:rFonts w:hint="eastAsia" w:ascii="宋体" w:hAnsi="宋体" w:cs="宋体"/>
                <w:b/>
                <w:bCs/>
                <w:color w:val="000000" w:themeColor="text1"/>
                <w:kern w:val="0"/>
                <w:sz w:val="20"/>
                <w:szCs w:val="20"/>
                <w:highlight w:val="none"/>
              </w:rPr>
              <w:t>序号</w:t>
            </w:r>
          </w:p>
        </w:tc>
        <w:tc>
          <w:tcPr>
            <w:tcW w:w="1131"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highlight w:val="none"/>
              </w:rPr>
            </w:pPr>
            <w:r>
              <w:rPr>
                <w:rFonts w:hint="eastAsia" w:ascii="宋体" w:hAnsi="宋体" w:cs="宋体"/>
                <w:b/>
                <w:bCs/>
                <w:color w:val="000000" w:themeColor="text1"/>
                <w:kern w:val="0"/>
                <w:sz w:val="20"/>
                <w:szCs w:val="20"/>
                <w:highlight w:val="none"/>
              </w:rPr>
              <w:t>服务名称</w:t>
            </w:r>
          </w:p>
        </w:tc>
        <w:tc>
          <w:tcPr>
            <w:tcW w:w="601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highlight w:val="none"/>
              </w:rPr>
            </w:pPr>
            <w:r>
              <w:rPr>
                <w:rFonts w:hint="eastAsia" w:ascii="宋体" w:hAnsi="宋体" w:cs="宋体"/>
                <w:b/>
                <w:bCs/>
                <w:color w:val="000000" w:themeColor="text1"/>
                <w:kern w:val="0"/>
                <w:sz w:val="20"/>
                <w:szCs w:val="20"/>
                <w:highlight w:val="none"/>
              </w:rPr>
              <w:t>技术参数及要求</w:t>
            </w:r>
          </w:p>
        </w:tc>
        <w:tc>
          <w:tcPr>
            <w:tcW w:w="62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highlight w:val="none"/>
              </w:rPr>
            </w:pPr>
            <w:r>
              <w:rPr>
                <w:rFonts w:hint="eastAsia" w:ascii="宋体" w:hAnsi="宋体" w:cs="宋体"/>
                <w:b/>
                <w:bCs/>
                <w:color w:val="000000" w:themeColor="text1"/>
                <w:kern w:val="0"/>
                <w:sz w:val="20"/>
                <w:szCs w:val="20"/>
                <w:highlight w:val="none"/>
              </w:rPr>
              <w:t>单位</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highlight w:val="none"/>
              </w:rPr>
            </w:pPr>
            <w:r>
              <w:rPr>
                <w:rFonts w:hint="eastAsia" w:ascii="宋体" w:hAnsi="宋体" w:cs="宋体"/>
                <w:b/>
                <w:bCs/>
                <w:color w:val="000000" w:themeColor="text1"/>
                <w:kern w:val="0"/>
                <w:sz w:val="20"/>
                <w:szCs w:val="20"/>
                <w:highlight w:val="none"/>
              </w:rPr>
              <w:t>数量</w:t>
            </w:r>
          </w:p>
        </w:tc>
        <w:tc>
          <w:tcPr>
            <w:tcW w:w="903" w:type="dxa"/>
            <w:gridSpan w:val="2"/>
            <w:tcBorders>
              <w:top w:val="single" w:color="000000" w:sz="4" w:space="0"/>
              <w:left w:val="nil"/>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highlight w:val="none"/>
              </w:rPr>
            </w:pPr>
            <w:r>
              <w:rPr>
                <w:color w:val="000000" w:themeColor="text1"/>
                <w:highlight w:val="none"/>
              </w:rPr>
              <w:t>采购标的对应的行业</w:t>
            </w:r>
          </w:p>
        </w:tc>
      </w:tr>
      <w:tr>
        <w:tblPrEx>
          <w:tblCellMar>
            <w:top w:w="0" w:type="dxa"/>
            <w:left w:w="108" w:type="dxa"/>
            <w:bottom w:w="0" w:type="dxa"/>
            <w:right w:w="108" w:type="dxa"/>
          </w:tblCellMar>
        </w:tblPrEx>
        <w:trPr>
          <w:trHeight w:val="29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1</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eastAsia" w:ascii="仿宋_GB2312" w:hAnsi="仿宋_GB2312" w:eastAsia="仿宋_GB2312" w:cs="仿宋_GB2312"/>
                <w:color w:val="000000" w:themeColor="text1"/>
                <w:sz w:val="18"/>
                <w:szCs w:val="18"/>
                <w:lang w:val="zh-CN"/>
              </w:rPr>
            </w:pPr>
            <w:r>
              <w:rPr>
                <w:rFonts w:hint="eastAsia" w:ascii="仿宋_GB2312" w:hAnsi="仿宋_GB2312" w:eastAsia="仿宋_GB2312" w:cs="仿宋_GB2312"/>
                <w:color w:val="000000" w:themeColor="text1"/>
                <w:sz w:val="18"/>
                <w:szCs w:val="18"/>
                <w:lang w:val="zh-CN"/>
              </w:rPr>
              <w:t>管理</w:t>
            </w:r>
            <w:r>
              <w:rPr>
                <w:rFonts w:hint="eastAsia" w:ascii="仿宋_GB2312" w:hAnsi="仿宋_GB2312" w:eastAsia="仿宋_GB2312" w:cs="仿宋_GB2312"/>
                <w:color w:val="000000" w:themeColor="text1"/>
                <w:sz w:val="18"/>
                <w:szCs w:val="18"/>
                <w:lang w:val="en-US" w:eastAsia="zh-CN"/>
              </w:rPr>
              <w:t>人</w:t>
            </w:r>
            <w:r>
              <w:rPr>
                <w:rFonts w:hint="eastAsia" w:ascii="仿宋_GB2312" w:hAnsi="仿宋_GB2312" w:eastAsia="仿宋_GB2312" w:cs="仿宋_GB2312"/>
                <w:color w:val="000000" w:themeColor="text1"/>
                <w:sz w:val="18"/>
                <w:szCs w:val="18"/>
                <w:lang w:val="zh-CN"/>
              </w:rPr>
              <w:t>员、</w:t>
            </w:r>
            <w:r>
              <w:rPr>
                <w:rFonts w:hint="eastAsia" w:ascii="仿宋_GB2312" w:hAnsi="仿宋_GB2312" w:eastAsia="仿宋_GB2312" w:cs="仿宋_GB2312"/>
                <w:color w:val="000000" w:themeColor="text1"/>
                <w:sz w:val="18"/>
                <w:szCs w:val="18"/>
                <w:lang w:val="en-US" w:eastAsia="zh-CN"/>
              </w:rPr>
              <w:t>门</w:t>
            </w:r>
            <w:r>
              <w:rPr>
                <w:rFonts w:hint="eastAsia" w:ascii="仿宋_GB2312" w:hAnsi="仿宋_GB2312" w:eastAsia="仿宋_GB2312" w:cs="仿宋_GB2312"/>
                <w:color w:val="000000" w:themeColor="text1"/>
                <w:sz w:val="18"/>
                <w:szCs w:val="18"/>
                <w:lang w:val="zh-CN"/>
              </w:rPr>
              <w:t>卫管理、</w:t>
            </w:r>
          </w:p>
          <w:p>
            <w:pPr>
              <w:jc w:val="both"/>
              <w:textAlignment w:val="center"/>
              <w:rPr>
                <w:rFonts w:ascii="宋体" w:hAnsi="宋体" w:cs="宋体"/>
                <w:color w:val="000000" w:themeColor="text1"/>
                <w:sz w:val="20"/>
                <w:szCs w:val="20"/>
              </w:rPr>
            </w:pPr>
            <w:r>
              <w:rPr>
                <w:rFonts w:hint="eastAsia" w:ascii="仿宋_GB2312" w:hAnsi="仿宋_GB2312" w:eastAsia="仿宋_GB2312" w:cs="仿宋_GB2312"/>
                <w:color w:val="000000" w:themeColor="text1"/>
                <w:kern w:val="2"/>
                <w:sz w:val="18"/>
                <w:szCs w:val="18"/>
                <w:lang w:val="zh-CN"/>
              </w:rPr>
              <w:t>巡逻管理、消防管理</w:t>
            </w:r>
          </w:p>
        </w:tc>
        <w:tc>
          <w:tcPr>
            <w:tcW w:w="60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numPr>
                <w:ilvl w:val="0"/>
                <w:numId w:val="0"/>
              </w:numPr>
              <w:kinsoku/>
              <w:wordWrap/>
              <w:overflowPunct/>
              <w:topLinePunct w:val="0"/>
              <w:autoSpaceDE/>
              <w:autoSpaceDN/>
              <w:bidi w:val="0"/>
              <w:spacing w:line="440" w:lineRule="atLeast"/>
              <w:ind w:firstLine="440" w:firstLineChars="200"/>
              <w:rPr>
                <w:rFonts w:hint="eastAsia" w:ascii="仿宋_GB2312" w:hAnsi="仿宋_GB2312" w:eastAsia="仿宋_GB2312" w:cs="仿宋_GB2312"/>
                <w:color w:val="000000" w:themeColor="text1"/>
                <w:sz w:val="22"/>
                <w:szCs w:val="22"/>
                <w:lang w:val="zh-CN"/>
              </w:rPr>
            </w:pPr>
            <w:r>
              <w:rPr>
                <w:rFonts w:hint="eastAsia" w:ascii="仿宋_GB2312" w:hAnsi="仿宋_GB2312" w:eastAsia="仿宋_GB2312" w:cs="仿宋_GB2312"/>
                <w:color w:val="000000" w:themeColor="text1"/>
                <w:sz w:val="22"/>
                <w:szCs w:val="22"/>
                <w:lang w:val="zh-CN"/>
              </w:rPr>
              <w:t>掌握整个办公楼内的内部环境，管理及监督管理处的日常工作。</w:t>
            </w:r>
          </w:p>
          <w:p>
            <w:pPr>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sz w:val="22"/>
                <w:szCs w:val="22"/>
                <w:lang w:val="zh-CN"/>
              </w:rPr>
            </w:pPr>
            <w:r>
              <w:rPr>
                <w:rFonts w:hint="eastAsia" w:ascii="仿宋_GB2312" w:hAnsi="仿宋_GB2312" w:eastAsia="仿宋_GB2312" w:cs="仿宋_GB2312"/>
                <w:color w:val="000000" w:themeColor="text1"/>
                <w:sz w:val="22"/>
                <w:szCs w:val="22"/>
                <w:lang w:val="zh-CN"/>
              </w:rPr>
              <w:t>（</w:t>
            </w:r>
            <w:r>
              <w:rPr>
                <w:rFonts w:hint="eastAsia" w:ascii="仿宋_GB2312" w:hAnsi="仿宋_GB2312" w:eastAsia="仿宋_GB2312" w:cs="仿宋_GB2312"/>
                <w:color w:val="000000" w:themeColor="text1"/>
                <w:sz w:val="22"/>
                <w:szCs w:val="22"/>
                <w:lang w:val="en-US" w:eastAsia="zh-CN"/>
              </w:rPr>
              <w:t>1）</w:t>
            </w:r>
            <w:r>
              <w:rPr>
                <w:rFonts w:hint="eastAsia" w:ascii="仿宋_GB2312" w:hAnsi="仿宋_GB2312" w:eastAsia="仿宋_GB2312" w:cs="仿宋_GB2312"/>
                <w:color w:val="000000" w:themeColor="text1"/>
                <w:sz w:val="22"/>
                <w:szCs w:val="22"/>
                <w:lang w:val="zh-CN"/>
              </w:rPr>
              <w:t>值班人员着装整齐、佩戴齐全、24小时值岗。</w:t>
            </w:r>
          </w:p>
          <w:p>
            <w:pPr>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sz w:val="22"/>
                <w:szCs w:val="22"/>
                <w:lang w:val="zh-CN"/>
              </w:rPr>
            </w:pPr>
            <w:r>
              <w:rPr>
                <w:rFonts w:hint="eastAsia" w:ascii="仿宋_GB2312" w:hAnsi="仿宋_GB2312" w:eastAsia="仿宋_GB2312" w:cs="仿宋_GB2312"/>
                <w:color w:val="000000" w:themeColor="text1"/>
                <w:sz w:val="22"/>
                <w:szCs w:val="22"/>
                <w:lang w:val="zh-CN"/>
              </w:rPr>
              <w:t>（</w:t>
            </w:r>
            <w:r>
              <w:rPr>
                <w:rFonts w:hint="eastAsia" w:ascii="仿宋_GB2312" w:hAnsi="仿宋_GB2312" w:eastAsia="仿宋_GB2312" w:cs="仿宋_GB2312"/>
                <w:color w:val="000000" w:themeColor="text1"/>
                <w:sz w:val="22"/>
                <w:szCs w:val="22"/>
                <w:lang w:val="en-US" w:eastAsia="zh-CN"/>
              </w:rPr>
              <w:t>2）</w:t>
            </w:r>
            <w:r>
              <w:rPr>
                <w:rFonts w:hint="eastAsia" w:ascii="仿宋_GB2312" w:hAnsi="仿宋_GB2312" w:eastAsia="仿宋_GB2312" w:cs="仿宋_GB2312"/>
                <w:color w:val="000000" w:themeColor="text1"/>
                <w:sz w:val="22"/>
                <w:szCs w:val="22"/>
                <w:lang w:val="zh-CN"/>
              </w:rPr>
              <w:t>执勤中不能擅离岗位、不准嬉笑打骂、看书报杂志、吃东西睡觉或其他与执勤无关的事。</w:t>
            </w:r>
          </w:p>
          <w:p>
            <w:pPr>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sz w:val="22"/>
                <w:szCs w:val="22"/>
                <w:lang w:val="zh-CN"/>
              </w:rPr>
            </w:pPr>
            <w:r>
              <w:rPr>
                <w:rFonts w:hint="eastAsia" w:ascii="仿宋_GB2312" w:hAnsi="仿宋_GB2312" w:eastAsia="仿宋_GB2312" w:cs="仿宋_GB2312"/>
                <w:color w:val="000000" w:themeColor="text1"/>
                <w:sz w:val="22"/>
                <w:szCs w:val="22"/>
                <w:lang w:val="zh-CN"/>
              </w:rPr>
              <w:t>（</w:t>
            </w:r>
            <w:r>
              <w:rPr>
                <w:rFonts w:hint="eastAsia" w:ascii="仿宋_GB2312" w:hAnsi="仿宋_GB2312" w:eastAsia="仿宋_GB2312" w:cs="仿宋_GB2312"/>
                <w:color w:val="000000" w:themeColor="text1"/>
                <w:sz w:val="22"/>
                <w:szCs w:val="22"/>
                <w:lang w:val="en-US" w:eastAsia="zh-CN"/>
              </w:rPr>
              <w:t>3）</w:t>
            </w:r>
            <w:r>
              <w:rPr>
                <w:rFonts w:hint="eastAsia" w:ascii="仿宋_GB2312" w:hAnsi="仿宋_GB2312" w:eastAsia="仿宋_GB2312" w:cs="仿宋_GB2312"/>
                <w:color w:val="000000" w:themeColor="text1"/>
                <w:sz w:val="22"/>
                <w:szCs w:val="22"/>
                <w:lang w:val="zh-CN"/>
              </w:rPr>
              <w:t>执勤中讲文明、讲礼貌，处理问题讲原则、讲方法，态度和蔼。</w:t>
            </w:r>
          </w:p>
          <w:p>
            <w:pPr>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22"/>
                <w:szCs w:val="22"/>
                <w:lang w:val="zh-CN"/>
              </w:rPr>
              <w:t>（</w:t>
            </w:r>
            <w:r>
              <w:rPr>
                <w:rFonts w:hint="eastAsia" w:ascii="仿宋_GB2312" w:hAnsi="仿宋_GB2312" w:eastAsia="仿宋_GB2312" w:cs="仿宋_GB2312"/>
                <w:color w:val="000000" w:themeColor="text1"/>
                <w:sz w:val="22"/>
                <w:szCs w:val="22"/>
                <w:lang w:val="en-US" w:eastAsia="zh-CN"/>
              </w:rPr>
              <w:t>4）</w:t>
            </w:r>
            <w:r>
              <w:rPr>
                <w:rFonts w:hint="eastAsia" w:ascii="仿宋_GB2312" w:hAnsi="仿宋_GB2312" w:eastAsia="仿宋_GB2312" w:cs="仿宋_GB2312"/>
                <w:color w:val="000000" w:themeColor="text1"/>
                <w:sz w:val="22"/>
                <w:szCs w:val="22"/>
                <w:lang w:val="zh-CN"/>
              </w:rPr>
              <w:t>认真履行值班登记制度，值班中发生、处理的各种情况在登记簿上详细记录，交接班时移交清楚明确责任。</w:t>
            </w:r>
          </w:p>
          <w:p>
            <w:pPr>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sz w:val="22"/>
                <w:szCs w:val="22"/>
                <w:lang w:val="zh-CN"/>
              </w:rPr>
            </w:pPr>
            <w:r>
              <w:rPr>
                <w:rFonts w:hint="eastAsia" w:ascii="仿宋_GB2312" w:hAnsi="仿宋_GB2312" w:eastAsia="仿宋_GB2312" w:cs="仿宋_GB2312"/>
                <w:color w:val="000000" w:themeColor="text1"/>
                <w:sz w:val="22"/>
                <w:szCs w:val="22"/>
                <w:lang w:val="zh-CN"/>
              </w:rPr>
              <w:t>（</w:t>
            </w:r>
            <w:r>
              <w:rPr>
                <w:rFonts w:hint="eastAsia" w:ascii="仿宋_GB2312" w:hAnsi="仿宋_GB2312" w:eastAsia="仿宋_GB2312" w:cs="仿宋_GB2312"/>
                <w:color w:val="000000" w:themeColor="text1"/>
                <w:sz w:val="22"/>
                <w:szCs w:val="22"/>
                <w:lang w:val="en-US" w:eastAsia="zh-CN"/>
              </w:rPr>
              <w:t>5）</w:t>
            </w:r>
            <w:r>
              <w:rPr>
                <w:rFonts w:hint="eastAsia" w:ascii="仿宋_GB2312" w:hAnsi="仿宋_GB2312" w:eastAsia="仿宋_GB2312" w:cs="仿宋_GB2312"/>
                <w:color w:val="000000" w:themeColor="text1"/>
                <w:sz w:val="22"/>
                <w:szCs w:val="22"/>
                <w:lang w:val="zh-CN"/>
              </w:rPr>
              <w:t>巡逻岗管理员实行24小时监视及巡查，防止不安全事情的发生。</w:t>
            </w:r>
          </w:p>
          <w:p>
            <w:pPr>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sz w:val="22"/>
                <w:szCs w:val="22"/>
                <w:lang w:val="zh-CN"/>
              </w:rPr>
            </w:pPr>
            <w:r>
              <w:rPr>
                <w:rFonts w:hint="eastAsia" w:ascii="仿宋_GB2312" w:hAnsi="仿宋_GB2312" w:eastAsia="仿宋_GB2312" w:cs="仿宋_GB2312"/>
                <w:color w:val="000000" w:themeColor="text1"/>
                <w:sz w:val="22"/>
                <w:szCs w:val="22"/>
                <w:lang w:val="zh-CN"/>
              </w:rPr>
              <w:t>（</w:t>
            </w:r>
            <w:r>
              <w:rPr>
                <w:rFonts w:hint="eastAsia" w:ascii="仿宋_GB2312" w:hAnsi="仿宋_GB2312" w:eastAsia="仿宋_GB2312" w:cs="仿宋_GB2312"/>
                <w:color w:val="000000" w:themeColor="text1"/>
                <w:sz w:val="22"/>
                <w:szCs w:val="22"/>
                <w:lang w:val="en-US" w:eastAsia="zh-CN"/>
              </w:rPr>
              <w:t>6）</w:t>
            </w:r>
            <w:r>
              <w:rPr>
                <w:rFonts w:hint="eastAsia" w:ascii="仿宋_GB2312" w:hAnsi="仿宋_GB2312" w:eastAsia="仿宋_GB2312" w:cs="仿宋_GB2312"/>
                <w:color w:val="000000" w:themeColor="text1"/>
                <w:sz w:val="22"/>
                <w:szCs w:val="22"/>
                <w:lang w:val="zh-CN"/>
              </w:rPr>
              <w:t>对形迹可疑人员进行证件检查，必要时检查其所带物品。</w:t>
            </w:r>
          </w:p>
          <w:p>
            <w:pPr>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sz w:val="22"/>
                <w:szCs w:val="22"/>
                <w:lang w:val="zh-CN"/>
              </w:rPr>
            </w:pPr>
            <w:r>
              <w:rPr>
                <w:rFonts w:hint="eastAsia" w:ascii="仿宋_GB2312" w:hAnsi="仿宋_GB2312" w:eastAsia="仿宋_GB2312" w:cs="仿宋_GB2312"/>
                <w:color w:val="000000" w:themeColor="text1"/>
                <w:sz w:val="22"/>
                <w:szCs w:val="22"/>
                <w:lang w:val="zh-CN"/>
              </w:rPr>
              <w:t>（</w:t>
            </w:r>
            <w:r>
              <w:rPr>
                <w:rFonts w:hint="eastAsia" w:ascii="仿宋_GB2312" w:hAnsi="仿宋_GB2312" w:eastAsia="仿宋_GB2312" w:cs="仿宋_GB2312"/>
                <w:color w:val="000000" w:themeColor="text1"/>
                <w:sz w:val="22"/>
                <w:szCs w:val="22"/>
                <w:lang w:val="en-US" w:eastAsia="zh-CN"/>
              </w:rPr>
              <w:t>7）</w:t>
            </w:r>
            <w:r>
              <w:rPr>
                <w:rFonts w:hint="eastAsia" w:ascii="仿宋_GB2312" w:hAnsi="仿宋_GB2312" w:eastAsia="仿宋_GB2312" w:cs="仿宋_GB2312"/>
                <w:color w:val="000000" w:themeColor="text1"/>
                <w:sz w:val="22"/>
                <w:szCs w:val="22"/>
                <w:lang w:val="zh-CN"/>
              </w:rPr>
              <w:t>对带出本区或在本区内起卸的较大物品，要检查单位证明、个人证件，并予以证实登记。</w:t>
            </w:r>
          </w:p>
          <w:p>
            <w:pPr>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sz w:val="22"/>
                <w:szCs w:val="22"/>
                <w:lang w:val="zh-CN"/>
              </w:rPr>
            </w:pPr>
            <w:r>
              <w:rPr>
                <w:rFonts w:hint="eastAsia" w:ascii="仿宋_GB2312" w:hAnsi="仿宋_GB2312" w:eastAsia="仿宋_GB2312" w:cs="仿宋_GB2312"/>
                <w:color w:val="000000" w:themeColor="text1"/>
                <w:sz w:val="22"/>
                <w:szCs w:val="22"/>
                <w:lang w:val="zh-CN"/>
              </w:rPr>
              <w:t>（</w:t>
            </w:r>
            <w:r>
              <w:rPr>
                <w:rFonts w:hint="eastAsia" w:ascii="仿宋_GB2312" w:hAnsi="仿宋_GB2312" w:eastAsia="仿宋_GB2312" w:cs="仿宋_GB2312"/>
                <w:color w:val="000000" w:themeColor="text1"/>
                <w:sz w:val="22"/>
                <w:szCs w:val="22"/>
                <w:lang w:val="en-US" w:eastAsia="zh-CN"/>
              </w:rPr>
              <w:t>8）</w:t>
            </w:r>
            <w:r>
              <w:rPr>
                <w:rFonts w:hint="eastAsia" w:ascii="仿宋_GB2312" w:hAnsi="仿宋_GB2312" w:eastAsia="仿宋_GB2312" w:cs="仿宋_GB2312"/>
                <w:color w:val="000000" w:themeColor="text1"/>
                <w:sz w:val="22"/>
                <w:szCs w:val="22"/>
                <w:lang w:val="zh-CN"/>
              </w:rPr>
              <w:t>制止在管区内的打架斗殴事件，制止在管区内大声喧哗。</w:t>
            </w:r>
          </w:p>
          <w:p>
            <w:pPr>
              <w:pStyle w:val="63"/>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sz w:val="22"/>
                <w:szCs w:val="22"/>
                <w:lang w:val="zh-CN"/>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9</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sz w:val="22"/>
                <w:szCs w:val="22"/>
                <w:lang w:val="zh-CN"/>
              </w:rPr>
              <w:t>巡逻员如发现有火灾隐患，必须及时处理，并向上级汇报，有权制止乱放易燃、易爆物品和其他违反消防规定的行为。</w:t>
            </w:r>
          </w:p>
          <w:p>
            <w:pPr>
              <w:pStyle w:val="63"/>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sz w:val="22"/>
                <w:szCs w:val="22"/>
                <w:lang w:val="zh-CN"/>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10</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sz w:val="22"/>
                <w:szCs w:val="22"/>
                <w:lang w:val="zh-CN"/>
              </w:rPr>
              <w:t>协助机关解决其他突发事情。</w:t>
            </w:r>
          </w:p>
          <w:p>
            <w:pPr>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11</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kern w:val="0"/>
                <w:sz w:val="22"/>
                <w:szCs w:val="22"/>
                <w:lang w:val="zh-CN" w:eastAsia="zh-CN" w:bidi="ar-SA"/>
              </w:rPr>
              <w:t>树立“隐患险于明火，防范胜于救灾，责任重于泰山”的意识，加强巡逻，加强监督。消防工作贯彻“预防为主、防消结合”的方针。在平时的大厅管理过程中，积极开展防火宣传，普及消防知识；对员工每月进行消防知识的培训，落实有关消防措施；制定详尽的《政务服务大厅突发火警火灾反应预案》以及《刑事突发事件反应预案》，在预案中要求物业公司全体员工增强对火警、火灾、刑事突发事件的反应能力，遇突发事件时应迅速向事管局基建科报告并立即通知全体当班人员，做到遇突发事件不慌不忙，有步骤、有秩序地实施各项紧急措施，确保工作人员及周边人员的人身安全。</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12</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kern w:val="0"/>
                <w:sz w:val="22"/>
                <w:szCs w:val="22"/>
                <w:lang w:val="zh-CN" w:eastAsia="zh-CN" w:bidi="ar-SA"/>
              </w:rPr>
              <w:t>做好防火、防盗、防电、防灾等安全排查巡查记录，发现问题及时处理并把结果及时上报市政务和大数据服务中心办公室。</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13</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kern w:val="0"/>
                <w:sz w:val="22"/>
                <w:szCs w:val="22"/>
                <w:lang w:val="zh-CN" w:eastAsia="zh-CN" w:bidi="ar-SA"/>
              </w:rPr>
              <w:t>管理好大厅内一切公物，对于损耗、损坏的公物及设施,及时报修。</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14</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kern w:val="0"/>
                <w:sz w:val="22"/>
                <w:szCs w:val="22"/>
                <w:lang w:val="zh-CN" w:eastAsia="zh-CN" w:bidi="ar-SA"/>
              </w:rPr>
              <w:t>按时开关大厅的大门、送电、关灯，加强节水、节电意识。</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15</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kern w:val="0"/>
                <w:sz w:val="22"/>
                <w:szCs w:val="22"/>
                <w:lang w:val="zh-CN" w:eastAsia="zh-CN" w:bidi="ar-SA"/>
              </w:rPr>
              <w:t>认真询问和检查进出人员，做好进出登记，禁止携带危险品进入市政务服务大厅。</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16</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kern w:val="0"/>
                <w:sz w:val="22"/>
                <w:szCs w:val="22"/>
                <w:lang w:val="zh-CN" w:eastAsia="zh-CN" w:bidi="ar-SA"/>
              </w:rPr>
              <w:t>做到脚勤、手勤、嘴勤，定时巡查、做好记录，发现情况及时处理并上报市政务和大数据服务中心办公室。</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17</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kern w:val="0"/>
                <w:sz w:val="22"/>
                <w:szCs w:val="22"/>
                <w:lang w:val="zh-CN" w:eastAsia="zh-CN" w:bidi="ar-SA"/>
              </w:rPr>
              <w:t>严禁物业人员赌博、喝酒、打架、斗殴等所有不良行为。</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18</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kern w:val="0"/>
                <w:sz w:val="22"/>
                <w:szCs w:val="22"/>
                <w:lang w:val="zh-CN" w:eastAsia="zh-CN" w:bidi="ar-SA"/>
              </w:rPr>
              <w:t>因物业人员个人原因或违规违纪造成不良影响、人身、财产事故等，由所托管物业公司承担一切责任。</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19</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kern w:val="0"/>
                <w:sz w:val="22"/>
                <w:szCs w:val="22"/>
                <w:lang w:val="zh-CN" w:eastAsia="zh-CN" w:bidi="ar-SA"/>
              </w:rPr>
              <w:t>服从政务和大数据服务中心安排，完成政务和大数据服务中心交办的临时性工作。</w:t>
            </w:r>
          </w:p>
          <w:p>
            <w:pPr>
              <w:pStyle w:val="29"/>
              <w:keepNext w:val="0"/>
              <w:keepLines w:val="0"/>
              <w:pageBreakBefore w:val="0"/>
              <w:kinsoku/>
              <w:wordWrap/>
              <w:overflowPunct/>
              <w:topLinePunct w:val="0"/>
              <w:autoSpaceDE/>
              <w:autoSpaceDN/>
              <w:bidi w:val="0"/>
              <w:spacing w:line="440" w:lineRule="atLeast"/>
              <w:ind w:left="0" w:leftChars="0" w:firstLine="0" w:firstLineChars="0"/>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sz w:val="22"/>
                <w:szCs w:val="22"/>
                <w:lang w:val="zh-CN"/>
              </w:rPr>
              <w:t>（</w:t>
            </w:r>
            <w:r>
              <w:rPr>
                <w:rFonts w:hint="eastAsia" w:ascii="仿宋_GB2312" w:hAnsi="仿宋_GB2312" w:eastAsia="仿宋_GB2312" w:cs="仿宋_GB2312"/>
                <w:color w:val="000000" w:themeColor="text1"/>
                <w:sz w:val="22"/>
                <w:szCs w:val="22"/>
                <w:lang w:val="en-US" w:eastAsia="zh-CN"/>
              </w:rPr>
              <w:t>2</w:t>
            </w:r>
            <w:r>
              <w:rPr>
                <w:rFonts w:hint="eastAsia" w:ascii="仿宋_GB2312" w:hAnsi="仿宋_GB2312" w:cs="仿宋_GB2312"/>
                <w:color w:val="000000" w:themeColor="text1"/>
                <w:sz w:val="22"/>
                <w:szCs w:val="22"/>
                <w:lang w:val="en-US" w:eastAsia="zh-CN"/>
              </w:rPr>
              <w:t>0</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kern w:val="0"/>
                <w:sz w:val="22"/>
                <w:szCs w:val="22"/>
                <w:lang w:val="zh-CN" w:eastAsia="zh-CN" w:bidi="ar-SA"/>
              </w:rPr>
              <w:t>必须无条件接受市政务和大数据服务中心党组、办公室及各科室的监督。</w:t>
            </w:r>
          </w:p>
          <w:p>
            <w:pPr>
              <w:pStyle w:val="9"/>
              <w:keepNext w:val="0"/>
              <w:keepLines w:val="0"/>
              <w:pageBreakBefore w:val="0"/>
              <w:kinsoku/>
              <w:wordWrap/>
              <w:overflowPunct/>
              <w:topLinePunct w:val="0"/>
              <w:autoSpaceDE/>
              <w:autoSpaceDN/>
              <w:bidi w:val="0"/>
              <w:spacing w:line="440" w:lineRule="atLeast"/>
              <w:ind w:left="0" w:leftChars="0" w:firstLine="0" w:firstLineChars="0"/>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sz w:val="22"/>
                <w:szCs w:val="22"/>
                <w:lang w:val="zh-CN"/>
              </w:rPr>
              <w:t>（</w:t>
            </w:r>
            <w:r>
              <w:rPr>
                <w:rFonts w:hint="eastAsia" w:ascii="仿宋_GB2312" w:hAnsi="仿宋_GB2312" w:cs="仿宋_GB2312"/>
                <w:color w:val="000000" w:themeColor="text1"/>
                <w:sz w:val="22"/>
                <w:szCs w:val="22"/>
                <w:lang w:val="en-US" w:eastAsia="zh-CN"/>
              </w:rPr>
              <w:t>21</w:t>
            </w:r>
            <w:r>
              <w:rPr>
                <w:rFonts w:hint="eastAsia" w:ascii="仿宋_GB2312" w:hAnsi="仿宋_GB2312" w:eastAsia="仿宋_GB2312" w:cs="仿宋_GB2312"/>
                <w:color w:val="000000" w:themeColor="text1"/>
                <w:sz w:val="22"/>
                <w:szCs w:val="22"/>
                <w:lang w:val="en-US" w:eastAsia="zh-CN"/>
              </w:rPr>
              <w:t>）</w:t>
            </w:r>
            <w:r>
              <w:rPr>
                <w:rFonts w:hint="eastAsia" w:ascii="仿宋_GB2312" w:hAnsi="仿宋_GB2312" w:eastAsia="仿宋_GB2312" w:cs="仿宋_GB2312"/>
                <w:color w:val="000000" w:themeColor="text1"/>
                <w:kern w:val="0"/>
                <w:sz w:val="22"/>
                <w:szCs w:val="22"/>
                <w:lang w:val="zh-CN" w:eastAsia="zh-CN" w:bidi="ar-SA"/>
              </w:rPr>
              <w:t>保洁员和保安工作时间在岗在位，不能脱岗。</w:t>
            </w:r>
          </w:p>
          <w:p>
            <w:pPr>
              <w:pStyle w:val="11"/>
              <w:rPr>
                <w:rFonts w:hint="eastAsia" w:ascii="仿宋_GB2312" w:hAnsi="仿宋_GB2312" w:eastAsia="仿宋_GB2312" w:cs="仿宋_GB2312"/>
                <w:color w:val="000000" w:themeColor="text1"/>
                <w:kern w:val="0"/>
                <w:sz w:val="22"/>
                <w:szCs w:val="22"/>
                <w:lang w:val="zh-CN" w:eastAsia="zh-CN" w:bidi="ar-SA"/>
              </w:rPr>
            </w:pPr>
          </w:p>
          <w:p>
            <w:pPr>
              <w:keepNext w:val="0"/>
              <w:keepLines w:val="0"/>
              <w:pageBreakBefore w:val="0"/>
              <w:numPr>
                <w:ilvl w:val="0"/>
                <w:numId w:val="0"/>
              </w:numPr>
              <w:kinsoku/>
              <w:wordWrap/>
              <w:overflowPunct/>
              <w:topLinePunct w:val="0"/>
              <w:autoSpaceDE/>
              <w:autoSpaceDN/>
              <w:bidi w:val="0"/>
              <w:spacing w:line="440" w:lineRule="atLeast"/>
              <w:rPr>
                <w:rFonts w:hint="eastAsia" w:ascii="仿宋_GB2312" w:hAnsi="仿宋_GB2312" w:eastAsia="仿宋_GB2312" w:cs="仿宋_GB2312"/>
                <w:color w:val="000000" w:themeColor="text1"/>
                <w:sz w:val="22"/>
                <w:szCs w:val="22"/>
                <w:lang w:val="zh-CN"/>
              </w:rPr>
            </w:pPr>
          </w:p>
          <w:p>
            <w:pPr>
              <w:pStyle w:val="29"/>
              <w:spacing w:line="560" w:lineRule="exact"/>
              <w:ind w:firstLine="300"/>
              <w:jc w:val="left"/>
              <w:textAlignment w:val="center"/>
              <w:rPr>
                <w:rFonts w:ascii="宋体" w:hAnsi="宋体" w:cs="宋体"/>
                <w:color w:val="000000" w:themeColor="text1"/>
                <w:sz w:val="15"/>
                <w:szCs w:val="15"/>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人</w:t>
            </w:r>
          </w:p>
        </w:tc>
        <w:tc>
          <w:tcPr>
            <w:tcW w:w="56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宋体" w:hAnsi="宋体" w:eastAsia="宋体" w:cs="宋体"/>
                <w:color w:val="000000" w:themeColor="text1"/>
                <w:sz w:val="20"/>
                <w:szCs w:val="20"/>
                <w:lang w:val="en-US" w:eastAsia="zh-CN"/>
              </w:rPr>
            </w:pPr>
            <w:r>
              <w:rPr>
                <w:rFonts w:hint="eastAsia" w:ascii="宋体" w:hAnsi="宋体" w:cs="宋体"/>
                <w:color w:val="000000" w:themeColor="text1"/>
                <w:kern w:val="0"/>
                <w:sz w:val="20"/>
                <w:szCs w:val="20"/>
                <w:lang w:val="en-US" w:eastAsia="zh-CN"/>
              </w:rPr>
              <w:t>26</w:t>
            </w:r>
          </w:p>
        </w:tc>
        <w:tc>
          <w:tcPr>
            <w:tcW w:w="90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 w:val="20"/>
                <w:szCs w:val="20"/>
              </w:rPr>
            </w:pPr>
            <w:r>
              <w:rPr>
                <w:rFonts w:ascii="宋体" w:hAnsi="宋体" w:cs="宋体"/>
                <w:color w:val="000000" w:themeColor="text1"/>
                <w:sz w:val="20"/>
                <w:szCs w:val="20"/>
              </w:rPr>
              <w:t>物业</w:t>
            </w:r>
          </w:p>
          <w:p>
            <w:pPr>
              <w:jc w:val="center"/>
              <w:rPr>
                <w:rFonts w:ascii="宋体" w:hAnsi="宋体" w:cs="宋体"/>
                <w:color w:val="000000" w:themeColor="text1"/>
                <w:sz w:val="20"/>
                <w:szCs w:val="20"/>
              </w:rPr>
            </w:pPr>
            <w:r>
              <w:rPr>
                <w:rFonts w:ascii="宋体" w:hAnsi="宋体" w:cs="宋体"/>
                <w:color w:val="000000" w:themeColor="text1"/>
                <w:sz w:val="20"/>
                <w:szCs w:val="20"/>
              </w:rPr>
              <w:t>管理</w:t>
            </w:r>
          </w:p>
        </w:tc>
      </w:tr>
      <w:tr>
        <w:tblPrEx>
          <w:tblCellMar>
            <w:top w:w="0" w:type="dxa"/>
            <w:left w:w="108" w:type="dxa"/>
            <w:bottom w:w="0" w:type="dxa"/>
            <w:right w:w="108" w:type="dxa"/>
          </w:tblCellMar>
        </w:tblPrEx>
        <w:trPr>
          <w:trHeight w:val="500" w:hRule="atLeast"/>
        </w:trPr>
        <w:tc>
          <w:tcPr>
            <w:tcW w:w="9894" w:type="dxa"/>
            <w:gridSpan w:val="8"/>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bCs/>
                <w:color w:val="000000" w:themeColor="text1"/>
                <w:sz w:val="32"/>
                <w:szCs w:val="32"/>
              </w:rPr>
            </w:pPr>
            <w:r>
              <w:rPr>
                <w:rFonts w:hint="eastAsia" w:ascii="仿宋_GB2312" w:hAnsi="仿宋_GB2312" w:eastAsia="仿宋_GB2312" w:cs="仿宋_GB2312"/>
                <w:b/>
                <w:color w:val="000000" w:themeColor="text1"/>
                <w:sz w:val="32"/>
                <w:szCs w:val="32"/>
                <w:lang w:val="zh-CN"/>
              </w:rPr>
              <w:t>环境保洁及其他服务</w:t>
            </w:r>
          </w:p>
        </w:tc>
      </w:tr>
      <w:tr>
        <w:tblPrEx>
          <w:tblCellMar>
            <w:top w:w="0" w:type="dxa"/>
            <w:left w:w="108" w:type="dxa"/>
            <w:bottom w:w="0" w:type="dxa"/>
            <w:right w:w="108" w:type="dxa"/>
          </w:tblCellMar>
        </w:tblPrEx>
        <w:trPr>
          <w:trHeight w:val="5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序号</w:t>
            </w:r>
          </w:p>
        </w:tc>
        <w:tc>
          <w:tcPr>
            <w:tcW w:w="1131"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服务名称</w:t>
            </w:r>
          </w:p>
        </w:tc>
        <w:tc>
          <w:tcPr>
            <w:tcW w:w="601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技术参数及要求</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单位</w:t>
            </w:r>
          </w:p>
        </w:tc>
        <w:tc>
          <w:tcPr>
            <w:tcW w:w="694" w:type="dxa"/>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数量</w:t>
            </w:r>
          </w:p>
        </w:tc>
        <w:tc>
          <w:tcPr>
            <w:tcW w:w="720" w:type="dxa"/>
            <w:tcBorders>
              <w:top w:val="single" w:color="000000" w:sz="4" w:space="0"/>
              <w:left w:val="nil"/>
              <w:bottom w:val="single" w:color="000000" w:sz="4" w:space="0"/>
              <w:right w:val="single" w:color="000000" w:sz="4" w:space="0"/>
            </w:tcBorders>
            <w:shd w:val="clear" w:color="auto" w:fill="92D050"/>
            <w:noWrap/>
            <w:vAlign w:val="center"/>
          </w:tcPr>
          <w:p>
            <w:pPr>
              <w:jc w:val="center"/>
              <w:textAlignment w:val="center"/>
              <w:rPr>
                <w:rFonts w:ascii="宋体" w:hAnsi="宋体" w:cs="宋体"/>
                <w:b/>
                <w:bCs/>
                <w:color w:val="000000" w:themeColor="text1"/>
                <w:sz w:val="20"/>
                <w:szCs w:val="20"/>
              </w:rPr>
            </w:pPr>
            <w:r>
              <w:rPr>
                <w:rFonts w:hint="eastAsia" w:ascii="宋体" w:hAnsi="宋体" w:cs="宋体"/>
                <w:b/>
                <w:bCs/>
                <w:color w:val="000000" w:themeColor="text1"/>
                <w:kern w:val="0"/>
                <w:sz w:val="20"/>
                <w:szCs w:val="20"/>
              </w:rPr>
              <w:t>备注</w:t>
            </w:r>
          </w:p>
        </w:tc>
      </w:tr>
      <w:tr>
        <w:tblPrEx>
          <w:tblCellMar>
            <w:top w:w="0" w:type="dxa"/>
            <w:left w:w="108" w:type="dxa"/>
            <w:bottom w:w="0" w:type="dxa"/>
            <w:right w:w="108"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1</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themeColor="text1"/>
                <w:sz w:val="20"/>
                <w:szCs w:val="20"/>
              </w:rPr>
            </w:pPr>
            <w:r>
              <w:rPr>
                <w:rFonts w:hint="eastAsia" w:ascii="仿宋_GB2312" w:hAnsi="仿宋_GB2312" w:eastAsia="仿宋_GB2312" w:cs="仿宋_GB2312"/>
                <w:color w:val="000000" w:themeColor="text1"/>
                <w:sz w:val="18"/>
                <w:szCs w:val="18"/>
                <w:lang w:val="zh-CN"/>
              </w:rPr>
              <w:t>保洁服务、维修维护、</w:t>
            </w:r>
          </w:p>
        </w:tc>
        <w:tc>
          <w:tcPr>
            <w:tcW w:w="6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每天对楼外工作区域清扫一遍、楼层过道每天清扫两遍、卫生间每天不定时保洁、做到人走随拖，会议室每天保洁一次。</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1.楼内卫生</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地面:无废物、纸屑、臭味；</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墙面:踢脚线、指示、各种标牌表面干净,无灰尘污迹；</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垃圾桶:外表干净、无积垢、臭味；</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玻璃窗:明净光洁,无积尘污迹；</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各种设施外表:表面干净,无积尘污迹。</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2.卫生间</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大小便池:内处光洁无污垢；</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地面、墙面:光洁,无污迹、脏物、积水、积尘；</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纸篓:无陈积物,及时更换纸篓内塑料袋。</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3.楼梯及公共通道</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楼梯层面及通道:无灰尘、无杂物；</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扶手、栏杆:光洁、无积尘；</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通道墙面各种设施:无积尘、污迹、脏杂物；</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门(各个区域内的门):无灰尘、污物。</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4.完成市政务和大数据服务中心交办的一些临时工作。</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5.服务标准和要求</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各项综合指标和标准要求达到全省县级一流政务服务大厅、省级文明单位服务要求。</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（2）保洁服务工作其他要求</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1.日常清洁、保洁工作每天不低于两次，上班时间确保人员在岗。</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2.如需举办培训班、会议等有特殊保洁需求时，以市政务和大数据服务中心通知为准。</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（3）物品发放</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市政务服务大厅内部所需的所有卫生工具、保洁物品、安保用品及更换用品全部由托管物业公司出资购买保障，政务和大数据服务中心对购买及发放环节进行监督。</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（三）维修维护要求</w:t>
            </w:r>
          </w:p>
          <w:p>
            <w:pPr>
              <w:keepNext w:val="0"/>
              <w:keepLines w:val="0"/>
              <w:pageBreakBefore w:val="0"/>
              <w:kinsoku/>
              <w:wordWrap/>
              <w:overflowPunct/>
              <w:topLinePunct w:val="0"/>
              <w:autoSpaceDE/>
              <w:autoSpaceDN/>
              <w:bidi w:val="0"/>
              <w:spacing w:line="440" w:lineRule="atLeast"/>
              <w:rPr>
                <w:rFonts w:hint="eastAsia" w:ascii="仿宋_GB2312" w:hAnsi="仿宋_GB2312" w:eastAsia="仿宋_GB2312" w:cs="仿宋_GB2312"/>
                <w:color w:val="000000" w:themeColor="text1"/>
                <w:kern w:val="0"/>
                <w:sz w:val="22"/>
                <w:szCs w:val="22"/>
                <w:lang w:val="zh-CN" w:eastAsia="zh-CN" w:bidi="ar-SA"/>
              </w:rPr>
            </w:pPr>
            <w:r>
              <w:rPr>
                <w:rFonts w:hint="eastAsia" w:ascii="仿宋_GB2312" w:hAnsi="仿宋_GB2312" w:eastAsia="仿宋_GB2312" w:cs="仿宋_GB2312"/>
                <w:color w:val="000000" w:themeColor="text1"/>
                <w:kern w:val="0"/>
                <w:sz w:val="22"/>
                <w:szCs w:val="22"/>
                <w:lang w:val="zh-CN" w:eastAsia="zh-CN" w:bidi="ar-SA"/>
              </w:rPr>
              <w:t>做好政务服务大厅工作人员办公桌椅、吧台椅、航空椅等物品的日常维修、维护和运转。</w:t>
            </w:r>
          </w:p>
          <w:p>
            <w:pPr>
              <w:pStyle w:val="29"/>
              <w:spacing w:line="560" w:lineRule="exact"/>
              <w:ind w:firstLine="360"/>
              <w:rPr>
                <w:color w:val="000000" w:themeColor="text1"/>
              </w:rPr>
            </w:pPr>
          </w:p>
        </w:tc>
        <w:tc>
          <w:tcPr>
            <w:tcW w:w="6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themeColor="text1"/>
                <w:sz w:val="20"/>
                <w:szCs w:val="20"/>
              </w:rPr>
            </w:pPr>
            <w:r>
              <w:rPr>
                <w:rFonts w:hint="eastAsia" w:ascii="宋体" w:hAnsi="宋体" w:cs="宋体"/>
                <w:color w:val="000000" w:themeColor="text1"/>
                <w:kern w:val="0"/>
                <w:sz w:val="20"/>
                <w:szCs w:val="20"/>
              </w:rPr>
              <w:t>人</w:t>
            </w:r>
          </w:p>
        </w:tc>
        <w:tc>
          <w:tcPr>
            <w:tcW w:w="69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ascii="宋体" w:hAnsi="宋体" w:eastAsia="宋体" w:cs="宋体"/>
                <w:color w:val="000000" w:themeColor="text1"/>
                <w:sz w:val="20"/>
                <w:szCs w:val="20"/>
                <w:lang w:val="en-US" w:eastAsia="zh-CN"/>
              </w:rPr>
            </w:pPr>
            <w:r>
              <w:rPr>
                <w:rFonts w:hint="eastAsia" w:ascii="宋体" w:hAnsi="宋体" w:cs="宋体"/>
                <w:color w:val="000000" w:themeColor="text1"/>
                <w:kern w:val="0"/>
                <w:sz w:val="20"/>
                <w:szCs w:val="20"/>
                <w:lang w:val="en-US" w:eastAsia="zh-CN"/>
              </w:rPr>
              <w:t>23</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 w:val="20"/>
                <w:szCs w:val="20"/>
              </w:rPr>
            </w:pPr>
            <w:r>
              <w:rPr>
                <w:rFonts w:ascii="宋体" w:hAnsi="宋体" w:cs="宋体"/>
                <w:color w:val="000000" w:themeColor="text1"/>
                <w:sz w:val="20"/>
                <w:szCs w:val="20"/>
              </w:rPr>
              <w:t>物业</w:t>
            </w:r>
          </w:p>
          <w:p>
            <w:pPr>
              <w:rPr>
                <w:rFonts w:ascii="宋体" w:hAnsi="宋体" w:cs="宋体"/>
                <w:color w:val="000000" w:themeColor="text1"/>
                <w:sz w:val="20"/>
                <w:szCs w:val="20"/>
              </w:rPr>
            </w:pPr>
            <w:r>
              <w:rPr>
                <w:rFonts w:ascii="宋体" w:hAnsi="宋体" w:cs="宋体"/>
                <w:color w:val="000000" w:themeColor="text1"/>
                <w:sz w:val="20"/>
                <w:szCs w:val="20"/>
              </w:rPr>
              <w:t>管理</w:t>
            </w:r>
          </w:p>
        </w:tc>
      </w:tr>
    </w:tbl>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42" w:firstLineChars="200"/>
        <w:jc w:val="left"/>
        <w:textAlignment w:val="auto"/>
        <w:rPr>
          <w:rFonts w:hint="default" w:cs="Times New Roman" w:asciiTheme="majorEastAsia" w:hAnsiTheme="majorEastAsia" w:eastAsiaTheme="majorEastAsia"/>
          <w:b/>
          <w:bCs/>
          <w:color w:val="000000" w:themeColor="text1"/>
          <w:sz w:val="22"/>
          <w:szCs w:val="21"/>
          <w:lang w:val="en-US" w:eastAsia="zh-CN"/>
        </w:rPr>
      </w:pPr>
      <w:r>
        <w:rPr>
          <w:rFonts w:hint="eastAsia" w:cs="Times New Roman" w:asciiTheme="majorEastAsia" w:hAnsiTheme="majorEastAsia" w:eastAsiaTheme="majorEastAsia"/>
          <w:b/>
          <w:bCs/>
          <w:color w:val="000000" w:themeColor="text1"/>
          <w:sz w:val="22"/>
          <w:szCs w:val="21"/>
          <w:lang w:val="en-US" w:eastAsia="zh-CN"/>
        </w:rPr>
        <w:t>注：以上要求为最低要求，投标商不能低于此要求，否则为无效投标。</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42" w:firstLineChars="200"/>
        <w:jc w:val="left"/>
        <w:textAlignment w:val="auto"/>
        <w:rPr>
          <w:rFonts w:cs="Times New Roman" w:asciiTheme="majorEastAsia" w:hAnsiTheme="majorEastAsia" w:eastAsiaTheme="majorEastAsia"/>
          <w:bCs/>
          <w:color w:val="000000" w:themeColor="text1"/>
          <w:sz w:val="22"/>
          <w:szCs w:val="21"/>
        </w:rPr>
      </w:pPr>
      <w:r>
        <w:rPr>
          <w:rFonts w:hint="eastAsia" w:cs="Times New Roman" w:asciiTheme="majorEastAsia" w:hAnsiTheme="majorEastAsia" w:eastAsiaTheme="majorEastAsia"/>
          <w:b/>
          <w:bCs/>
          <w:color w:val="000000" w:themeColor="text1"/>
          <w:sz w:val="22"/>
          <w:szCs w:val="21"/>
        </w:rPr>
        <w:t>（三）采购标的执行标准</w:t>
      </w:r>
      <w:r>
        <w:rPr>
          <w:rFonts w:hint="eastAsia" w:cs="Times New Roman" w:asciiTheme="majorEastAsia" w:hAnsiTheme="majorEastAsia" w:eastAsiaTheme="majorEastAsia"/>
          <w:bCs/>
          <w:color w:val="000000" w:themeColor="text1"/>
          <w:sz w:val="22"/>
          <w:szCs w:val="21"/>
        </w:rPr>
        <w:t xml:space="preserve">：需执行的国家相关标准、规范。 </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42" w:firstLineChars="200"/>
        <w:jc w:val="left"/>
        <w:textAlignment w:val="auto"/>
        <w:rPr>
          <w:rFonts w:cs="Times New Roman" w:asciiTheme="majorEastAsia" w:hAnsiTheme="majorEastAsia" w:eastAsiaTheme="majorEastAsia"/>
          <w:bCs/>
          <w:color w:val="000000" w:themeColor="text1"/>
          <w:sz w:val="22"/>
          <w:szCs w:val="21"/>
        </w:rPr>
      </w:pPr>
      <w:r>
        <w:rPr>
          <w:rFonts w:hint="eastAsia" w:cs="Times New Roman" w:asciiTheme="majorEastAsia" w:hAnsiTheme="majorEastAsia" w:eastAsiaTheme="majorEastAsia"/>
          <w:b/>
          <w:bCs/>
          <w:color w:val="000000" w:themeColor="text1"/>
          <w:sz w:val="22"/>
          <w:szCs w:val="21"/>
        </w:rPr>
        <w:t>（四）服务标准、期限、效率等要求</w:t>
      </w:r>
      <w:r>
        <w:rPr>
          <w:rFonts w:hint="eastAsia" w:cs="Times New Roman" w:asciiTheme="majorEastAsia" w:hAnsiTheme="majorEastAsia" w:eastAsiaTheme="majorEastAsia"/>
          <w:bCs/>
          <w:color w:val="000000" w:themeColor="text1"/>
          <w:sz w:val="22"/>
          <w:szCs w:val="21"/>
        </w:rPr>
        <w:t>：符合业主需求，服务期限为合同签订后</w:t>
      </w:r>
      <w:r>
        <w:rPr>
          <w:rFonts w:hint="eastAsia" w:asciiTheme="majorEastAsia" w:hAnsiTheme="majorEastAsia" w:eastAsiaTheme="majorEastAsia"/>
          <w:bCs/>
          <w:color w:val="000000" w:themeColor="text1"/>
          <w:sz w:val="22"/>
          <w:szCs w:val="21"/>
          <w:lang w:val="en-US" w:eastAsia="zh-CN"/>
        </w:rPr>
        <w:t>二</w:t>
      </w:r>
      <w:r>
        <w:rPr>
          <w:rFonts w:hint="eastAsia" w:cs="Times New Roman" w:asciiTheme="majorEastAsia" w:hAnsiTheme="majorEastAsia" w:eastAsiaTheme="majorEastAsia"/>
          <w:bCs/>
          <w:color w:val="000000" w:themeColor="text1"/>
          <w:sz w:val="22"/>
          <w:szCs w:val="21"/>
        </w:rPr>
        <w:t>年。</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42" w:firstLineChars="200"/>
        <w:jc w:val="left"/>
        <w:textAlignment w:val="auto"/>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（五）采购标的其他技术、服务等要求</w:t>
      </w:r>
      <w:r>
        <w:rPr>
          <w:rFonts w:hint="eastAsia" w:asciiTheme="majorEastAsia" w:hAnsiTheme="majorEastAsia" w:eastAsiaTheme="majorEastAsia"/>
          <w:b/>
          <w:bCs/>
          <w:color w:val="000000" w:themeColor="text1"/>
          <w:sz w:val="22"/>
          <w:szCs w:val="21"/>
        </w:rPr>
        <w:t>：</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1、供应商应就该项目完整投标（报价包括但不限于完成本项目材料费、人工费、管理费、维护费、保险费、利润、税费等所有费用），否则为无效投标。</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2、投标文件中须有详细的实施（技术）方案。</w:t>
      </w:r>
    </w:p>
    <w:p>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bCs/>
          <w:color w:val="000000" w:themeColor="text1"/>
          <w:sz w:val="21"/>
          <w:szCs w:val="21"/>
        </w:rPr>
        <w:t xml:space="preserve">    </w:t>
      </w:r>
      <w:r>
        <w:rPr>
          <w:rFonts w:hint="eastAsia" w:ascii="宋体" w:hAnsi="宋体" w:eastAsia="宋体" w:cs="宋体"/>
          <w:color w:val="000000" w:themeColor="text1"/>
          <w:kern w:val="2"/>
          <w:sz w:val="21"/>
          <w:szCs w:val="21"/>
          <w:lang w:val="en-US" w:eastAsia="zh-CN" w:bidi="ar-SA"/>
        </w:rPr>
        <w:t>3、在本项目实施过程中发生的一切与本项目相关的安全事故及责任均由中标供应商承担，本单位不承担任何责任及费用。</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bCs/>
          <w:color w:val="000000" w:themeColor="text1"/>
          <w:sz w:val="21"/>
          <w:szCs w:val="21"/>
        </w:rPr>
        <w:t>4、</w:t>
      </w:r>
      <w:r>
        <w:rPr>
          <w:rFonts w:hint="eastAsia" w:ascii="宋体" w:hAnsi="宋体" w:eastAsia="宋体" w:cs="宋体"/>
          <w:color w:val="000000" w:themeColor="text1"/>
          <w:sz w:val="21"/>
          <w:szCs w:val="21"/>
        </w:rPr>
        <w:t>招标人有权对中标人保洁员工的劳动纪律、工作日程、保洁质量及时监督、检查、考核。随时提出整改意见，对不能达到标准和不能服从管理的有权按照相关规定（约定）进行处罚。</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bCs/>
          <w:color w:val="000000" w:themeColor="text1"/>
          <w:sz w:val="21"/>
          <w:szCs w:val="21"/>
          <w:lang w:eastAsia="zh-CN"/>
        </w:rPr>
      </w:pPr>
      <w:r>
        <w:rPr>
          <w:rFonts w:hint="eastAsia" w:ascii="宋体" w:hAnsi="宋体" w:eastAsia="宋体" w:cs="宋体"/>
          <w:bCs/>
          <w:color w:val="000000" w:themeColor="text1"/>
          <w:sz w:val="21"/>
          <w:szCs w:val="21"/>
        </w:rPr>
        <w:t>5、</w:t>
      </w:r>
      <w:r>
        <w:rPr>
          <w:rFonts w:hint="eastAsia" w:ascii="宋体" w:hAnsi="宋体" w:eastAsia="宋体" w:cs="宋体"/>
          <w:color w:val="000000" w:themeColor="text1"/>
          <w:sz w:val="21"/>
          <w:szCs w:val="21"/>
        </w:rPr>
        <w:t>中标</w:t>
      </w:r>
      <w:r>
        <w:rPr>
          <w:rFonts w:hint="eastAsia" w:ascii="宋体" w:hAnsi="宋体" w:eastAsia="宋体" w:cs="宋体"/>
          <w:color w:val="000000" w:themeColor="text1"/>
          <w:sz w:val="21"/>
          <w:szCs w:val="21"/>
          <w:lang w:val="en-US" w:eastAsia="zh-CN"/>
        </w:rPr>
        <w:t>人</w:t>
      </w:r>
      <w:r>
        <w:rPr>
          <w:rFonts w:hint="eastAsia" w:ascii="宋体" w:hAnsi="宋体" w:eastAsia="宋体" w:cs="宋体"/>
          <w:color w:val="000000" w:themeColor="text1"/>
          <w:sz w:val="21"/>
          <w:szCs w:val="21"/>
        </w:rPr>
        <w:t>未达到作业计划标准及工作违规或引起纠纷、被上级部门处罚等不良后果，造成重大经济损失或服务严重失误，招标方有权终止本合同，并追究中标方的经济责任</w:t>
      </w:r>
      <w:r>
        <w:rPr>
          <w:rFonts w:hint="eastAsia" w:ascii="宋体" w:hAnsi="宋体" w:eastAsia="宋体" w:cs="宋体"/>
          <w:color w:val="000000" w:themeColor="text1"/>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7、本次招标某些技术标准与国家所要求的标准不统一或有不兼容的地方，均以国家强制性标准或最新出台的标准为准。</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8、如果未在招标文件中要求提供其相关行业标准或国家强制性标准的，则投标人有责任给予补充说明。</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rPr>
        <w:t>9、中标企业于中标后第三日上午09:00向</w:t>
      </w:r>
      <w:r>
        <w:rPr>
          <w:rFonts w:hint="eastAsia" w:ascii="宋体" w:hAnsi="宋体" w:eastAsia="宋体" w:cs="宋体"/>
          <w:color w:val="000000" w:themeColor="text1"/>
          <w:sz w:val="21"/>
          <w:szCs w:val="21"/>
          <w:lang w:eastAsia="zh-CN"/>
        </w:rPr>
        <w:t>禹州市政务和大数据服务中心</w:t>
      </w:r>
      <w:r>
        <w:rPr>
          <w:rFonts w:hint="eastAsia" w:ascii="宋体" w:hAnsi="宋体" w:eastAsia="宋体" w:cs="宋体"/>
          <w:color w:val="000000" w:themeColor="text1"/>
          <w:sz w:val="21"/>
          <w:szCs w:val="21"/>
        </w:rPr>
        <w:t>提供投标文件中所有资质原件，不符合或不能提供的，取消其中标资格并列入不良记录及信用中国</w:t>
      </w:r>
      <w:r>
        <w:rPr>
          <w:rFonts w:hint="eastAsia" w:ascii="宋体" w:hAnsi="宋体" w:eastAsia="宋体" w:cs="宋体"/>
          <w:color w:val="000000" w:themeColor="text1"/>
          <w:sz w:val="21"/>
          <w:szCs w:val="21"/>
          <w:lang w:eastAsia="zh-CN"/>
        </w:rPr>
        <w:t>。</w:t>
      </w:r>
    </w:p>
    <w:p>
      <w:pPr>
        <w:widowControl/>
        <w:shd w:val="clear" w:color="auto" w:fill="FFFFFF"/>
        <w:spacing w:line="360" w:lineRule="auto"/>
        <w:ind w:firstLine="480" w:firstLineChars="200"/>
        <w:contextualSpacing/>
        <w:jc w:val="left"/>
        <w:rPr>
          <w:rFonts w:hint="eastAsia"/>
          <w:lang w:eastAsia="zh-CN"/>
        </w:rPr>
      </w:pPr>
      <w:r>
        <w:rPr>
          <w:rFonts w:hint="eastAsia" w:ascii="宋体" w:cs="宋体"/>
          <w:sz w:val="24"/>
          <w:lang w:val="en-US" w:eastAsia="zh-CN"/>
        </w:rPr>
        <w:t>10</w:t>
      </w:r>
      <w:r>
        <w:rPr>
          <w:rFonts w:hint="eastAsia" w:ascii="宋体" w:cs="宋体"/>
          <w:sz w:val="24"/>
          <w:lang w:val="zh-CN"/>
        </w:rPr>
        <w:t>、采购人确定</w:t>
      </w:r>
      <w:r>
        <w:rPr>
          <w:rFonts w:hint="eastAsia" w:ascii="宋体" w:cs="宋体"/>
          <w:sz w:val="24"/>
          <w:lang w:val="en-US" w:eastAsia="zh-CN"/>
        </w:rPr>
        <w:t>中标</w:t>
      </w:r>
      <w:r>
        <w:rPr>
          <w:rFonts w:hint="eastAsia" w:ascii="宋体" w:cs="宋体"/>
          <w:sz w:val="24"/>
          <w:lang w:val="zh-CN"/>
        </w:rPr>
        <w:t>人后，中标人须向禹州市政府采购中心发送投标报价及分项报价（如果货物需求中有分项的话）一览表电子档，并同时通知采购中心。邮箱：YZGGZY2076770@163.com。</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42" w:firstLineChars="200"/>
        <w:jc w:val="left"/>
        <w:textAlignment w:val="auto"/>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（六）验收标准</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2、符合招标文件要求和投标文件承诺。</w:t>
      </w: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shd w:val="clear" w:color="auto" w:fill="FFFFFF"/>
              </w:rPr>
            </w:pPr>
            <w:r>
              <w:rPr>
                <w:rFonts w:hint="eastAsia" w:cs="仿宋_GB2312" w:asciiTheme="minorEastAsia" w:hAnsiTheme="minorEastAsia"/>
                <w:szCs w:val="21"/>
              </w:rPr>
              <w:t>项目名称：</w:t>
            </w:r>
            <w:r>
              <w:rPr>
                <w:rFonts w:hint="eastAsia" w:ascii="宋体" w:hAnsi="宋体" w:eastAsia="宋体" w:cs="宋体"/>
                <w:color w:val="000000"/>
                <w:sz w:val="21"/>
                <w:szCs w:val="21"/>
                <w:shd w:val="clear" w:color="auto" w:fill="FFFFFF"/>
              </w:rPr>
              <w:t>禹州市</w:t>
            </w:r>
            <w:r>
              <w:rPr>
                <w:rFonts w:hint="eastAsia" w:ascii="宋体" w:hAnsi="宋体" w:eastAsia="宋体" w:cs="宋体"/>
                <w:color w:val="000000"/>
                <w:sz w:val="21"/>
                <w:szCs w:val="21"/>
                <w:shd w:val="clear" w:color="auto" w:fill="FFFFFF"/>
                <w:lang w:val="en-US" w:eastAsia="zh-CN"/>
              </w:rPr>
              <w:t>政务服务中心办公楼物业服务合同项目</w:t>
            </w:r>
            <w:r>
              <w:rPr>
                <w:rFonts w:hint="eastAsia" w:ascii="宋体" w:hAnsi="宋体" w:eastAsia="宋体" w:cs="宋体"/>
                <w:color w:val="000000"/>
                <w:sz w:val="21"/>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采购编号：YZCG-G20230</w:t>
            </w:r>
            <w:r>
              <w:rPr>
                <w:rFonts w:hint="eastAsia" w:cs="仿宋_GB2312" w:asciiTheme="minorEastAsia" w:hAnsiTheme="minorEastAsia"/>
                <w:szCs w:val="21"/>
                <w:lang w:val="en-US" w:eastAsia="zh-CN"/>
              </w:rPr>
              <w:t>13</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交付（服务、完工）时间：签订合同后</w:t>
            </w:r>
            <w:r>
              <w:rPr>
                <w:rFonts w:hint="eastAsia" w:cs="仿宋_GB2312" w:asciiTheme="minorEastAsia" w:hAnsiTheme="minorEastAsia"/>
                <w:szCs w:val="21"/>
                <w:lang w:val="en-US" w:eastAsia="zh-CN"/>
              </w:rPr>
              <w:t>二</w:t>
            </w:r>
            <w:r>
              <w:rPr>
                <w:rFonts w:hint="eastAsia" w:cs="仿宋_GB2312" w:asciiTheme="minorEastAsia" w:hAnsiTheme="minor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shd w:val="clear" w:color="auto" w:fill="FFFFFF"/>
                <w:lang w:val="en-US" w:eastAsia="zh-CN"/>
              </w:rPr>
            </w:pPr>
            <w:r>
              <w:rPr>
                <w:rFonts w:hint="eastAsia" w:cs="仿宋_GB2312" w:asciiTheme="minorEastAsia" w:hAnsiTheme="minorEastAsia"/>
                <w:szCs w:val="21"/>
              </w:rPr>
              <w:t>采购单位：</w:t>
            </w:r>
            <w:r>
              <w:rPr>
                <w:rFonts w:hint="eastAsia" w:ascii="宋体" w:hAnsi="宋体" w:eastAsia="宋体" w:cs="宋体"/>
                <w:color w:val="000000"/>
                <w:sz w:val="21"/>
                <w:szCs w:val="21"/>
                <w:shd w:val="clear" w:color="auto" w:fill="FFFFFF"/>
              </w:rPr>
              <w:t>禹州市</w:t>
            </w:r>
            <w:r>
              <w:rPr>
                <w:rFonts w:hint="eastAsia" w:ascii="宋体" w:hAnsi="宋体" w:eastAsia="宋体" w:cs="宋体"/>
                <w:color w:val="000000"/>
                <w:sz w:val="21"/>
                <w:szCs w:val="21"/>
                <w:shd w:val="clear" w:color="auto" w:fill="FFFFFF"/>
                <w:lang w:val="en-US" w:eastAsia="zh-CN"/>
              </w:rPr>
              <w:t>政务和大数据服务中心</w:t>
            </w:r>
          </w:p>
          <w:p>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禹王大道99号</w:t>
            </w:r>
          </w:p>
          <w:p>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张</w:t>
            </w:r>
            <w:r>
              <w:rPr>
                <w:rFonts w:hint="eastAsia" w:cs="仿宋_GB2312" w:asciiTheme="minorEastAsia" w:hAnsiTheme="minorEastAsia"/>
                <w:szCs w:val="21"/>
              </w:rPr>
              <w:t>先生       联系电话</w:t>
            </w:r>
            <w:r>
              <w:rPr>
                <w:rFonts w:hint="eastAsia" w:cs="仿宋_GB2312" w:asciiTheme="minorEastAsia" w:hAnsiTheme="minorEastAsia"/>
                <w:szCs w:val="21"/>
                <w:lang w:val="en-US" w:eastAsia="zh-CN"/>
              </w:rPr>
              <w:t>15539750234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232.02万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2023年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 xml:space="preserve">日8：30（北京时间）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color w:val="FF0000"/>
              </w:rPr>
            </w:pPr>
            <w:r>
              <w:rPr>
                <w:rFonts w:hint="eastAsia"/>
                <w:color w:val="FF0000"/>
              </w:rPr>
              <w:t>1、本项目属于专门面向小微企业采购的项目（不再执行价格评审优惠的扶持政策）。</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lang w:val="en-US" w:eastAsia="zh-CN"/>
              </w:rPr>
              <w:t>2021年或</w:t>
            </w:r>
            <w:r>
              <w:rPr>
                <w:rFonts w:hint="eastAsia" w:asciiTheme="minorEastAsia" w:hAnsiTheme="minorEastAsia"/>
                <w:b/>
                <w:bCs/>
                <w:szCs w:val="21"/>
              </w:rPr>
              <w:t>202</w:t>
            </w:r>
            <w:r>
              <w:rPr>
                <w:rFonts w:hint="eastAsia" w:asciiTheme="minorEastAsia" w:hAnsiTheme="minorEastAsia"/>
                <w:b/>
                <w:bCs/>
                <w:szCs w:val="21"/>
                <w:lang w:val="en-US" w:eastAsia="zh-CN"/>
              </w:rPr>
              <w:t>2</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1</w:t>
            </w:r>
            <w:r>
              <w:rPr>
                <w:rFonts w:hint="eastAsia" w:asciiTheme="minorEastAsia" w:hAnsiTheme="minorEastAsia"/>
                <w:b/>
                <w:bCs/>
                <w:szCs w:val="21"/>
              </w:rPr>
              <w:t>年</w:t>
            </w:r>
            <w:r>
              <w:rPr>
                <w:rFonts w:hint="eastAsia" w:asciiTheme="minorEastAsia" w:hAnsiTheme="minorEastAsia"/>
                <w:b/>
                <w:bCs/>
                <w:szCs w:val="21"/>
                <w:lang w:val="en-US" w:eastAsia="zh-CN"/>
              </w:rPr>
              <w:t>或2022年</w:t>
            </w:r>
            <w:r>
              <w:rPr>
                <w:rFonts w:hint="eastAsia" w:asciiTheme="minorEastAsia" w:hAnsiTheme="minorEastAsia"/>
                <w:b/>
                <w:bCs/>
                <w:szCs w:val="21"/>
              </w:rPr>
              <w:t>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18"/>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0"/>
        <w:numPr>
          <w:ilvl w:val="0"/>
          <w:numId w:val="2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8"/>
          <w:rFonts w:cs="宋体" w:asciiTheme="minorEastAsia" w:hAnsiTheme="minorEastAsia"/>
          <w:color w:val="auto"/>
          <w:kern w:val="0"/>
          <w:szCs w:val="21"/>
        </w:rPr>
        <w:t>https://chinanpo.mca.gov.cn</w:t>
      </w:r>
      <w:r>
        <w:rPr>
          <w:rStyle w:val="28"/>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40"/>
        <w:numPr>
          <w:ilvl w:val="0"/>
          <w:numId w:val="2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0"/>
        <w:numPr>
          <w:ilvl w:val="0"/>
          <w:numId w:val="2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0"/>
        <w:numPr>
          <w:ilvl w:val="0"/>
          <w:numId w:val="2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0"/>
        <w:numPr>
          <w:ilvl w:val="0"/>
          <w:numId w:val="20"/>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18"/>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0"/>
        <w:numPr>
          <w:ilvl w:val="1"/>
          <w:numId w:val="1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0"/>
        <w:numPr>
          <w:ilvl w:val="1"/>
          <w:numId w:val="18"/>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0"/>
        <w:numPr>
          <w:ilvl w:val="0"/>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0"/>
        <w:numPr>
          <w:ilvl w:val="0"/>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0"/>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0"/>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0"/>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0"/>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40"/>
        <w:numPr>
          <w:ilvl w:val="1"/>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0"/>
        <w:numPr>
          <w:ilvl w:val="1"/>
          <w:numId w:val="29"/>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0"/>
        <w:numPr>
          <w:ilvl w:val="1"/>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0"/>
        <w:numPr>
          <w:ilvl w:val="1"/>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40"/>
        <w:numPr>
          <w:ilvl w:val="1"/>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0"/>
        <w:numPr>
          <w:ilvl w:val="1"/>
          <w:numId w:val="3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0"/>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0"/>
        <w:numPr>
          <w:ilvl w:val="0"/>
          <w:numId w:val="3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0"/>
        <w:numPr>
          <w:ilvl w:val="0"/>
          <w:numId w:val="3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0"/>
        <w:numPr>
          <w:ilvl w:val="0"/>
          <w:numId w:val="3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0"/>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评审专家与投标人存在下列利害关系之一的,应当回避:</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0"/>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0"/>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3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0"/>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0"/>
        <w:numPr>
          <w:ilvl w:val="0"/>
          <w:numId w:val="4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pPr>
        <w:pStyle w:val="40"/>
        <w:numPr>
          <w:ilvl w:val="0"/>
          <w:numId w:val="4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pPr>
        <w:pStyle w:val="40"/>
        <w:numPr>
          <w:ilvl w:val="0"/>
          <w:numId w:val="45"/>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pPr>
        <w:pStyle w:val="40"/>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0"/>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0"/>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pPr>
        <w:pStyle w:val="40"/>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pPr>
        <w:pStyle w:val="40"/>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pPr>
        <w:pStyle w:val="4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pPr>
        <w:pStyle w:val="40"/>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pPr>
        <w:pStyle w:val="40"/>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0"/>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pPr>
        <w:pStyle w:val="40"/>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0"/>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0"/>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0"/>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0"/>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0"/>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0"/>
        <w:numPr>
          <w:ilvl w:val="0"/>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0"/>
        <w:numPr>
          <w:ilvl w:val="0"/>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0"/>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0"/>
        <w:numPr>
          <w:ilvl w:val="0"/>
          <w:numId w:val="69"/>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0"/>
        <w:numPr>
          <w:ilvl w:val="0"/>
          <w:numId w:val="69"/>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0"/>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0"/>
        <w:numPr>
          <w:ilvl w:val="0"/>
          <w:numId w:val="7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0"/>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0"/>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0"/>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0"/>
        <w:numPr>
          <w:ilvl w:val="1"/>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0"/>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0"/>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0"/>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0"/>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0"/>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0"/>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0"/>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0"/>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0"/>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77"/>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7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40"/>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0"/>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7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pPr>
        <w:pStyle w:val="40"/>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8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0"/>
        <w:numPr>
          <w:ilvl w:val="0"/>
          <w:numId w:val="8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pPr>
        <w:pStyle w:val="40"/>
        <w:numPr>
          <w:ilvl w:val="0"/>
          <w:numId w:val="8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pPr>
        <w:pStyle w:val="40"/>
        <w:numPr>
          <w:ilvl w:val="0"/>
          <w:numId w:val="83"/>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0"/>
        <w:numPr>
          <w:ilvl w:val="0"/>
          <w:numId w:val="8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0"/>
        <w:numPr>
          <w:ilvl w:val="0"/>
          <w:numId w:val="8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8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8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pPr>
        <w:pStyle w:val="40"/>
        <w:numPr>
          <w:ilvl w:val="0"/>
          <w:numId w:val="85"/>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0"/>
        <w:numPr>
          <w:ilvl w:val="1"/>
          <w:numId w:val="86"/>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leftChars="459" w:firstLine="1606" w:firstLineChars="5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2"/>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专门面向中小企业预留采购份额（本项目专门面向小微企业采购）</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2"/>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2"/>
        <w:spacing w:line="360" w:lineRule="auto"/>
        <w:contextualSpacing/>
        <w:rPr>
          <w:rFonts w:cs="仿宋_GB2312" w:asciiTheme="minorEastAsia" w:hAnsiTheme="minorEastAsia"/>
          <w:lang w:val="zh-CN"/>
        </w:rPr>
      </w:pPr>
    </w:p>
    <w:p>
      <w:pPr>
        <w:pStyle w:val="2"/>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宋体" w:hAnsi="宋体" w:cs="微软雅黑"/>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2"/>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2"/>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2"/>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2"/>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2"/>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2"/>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2"/>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2"/>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2"/>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2"/>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2"/>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2"/>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2"/>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2"/>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2"/>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2"/>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分值构成</w:t>
            </w:r>
          </w:p>
          <w:p>
            <w:pPr>
              <w:spacing w:line="360" w:lineRule="auto"/>
              <w:jc w:val="center"/>
              <w:rPr>
                <w:rFonts w:ascii="宋体" w:hAnsi="宋体" w:cs="宋体"/>
                <w:kern w:val="0"/>
                <w:sz w:val="24"/>
              </w:rPr>
            </w:pPr>
            <w:r>
              <w:rPr>
                <w:rFonts w:hint="eastAsia" w:ascii="宋体" w:hAnsi="宋体" w:cs="宋体"/>
                <w:color w:val="000000" w:themeColor="text1"/>
                <w:kern w:val="0"/>
                <w:sz w:val="24"/>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color w:val="000000" w:themeColor="text1"/>
              </w:rPr>
            </w:pPr>
            <w:r>
              <w:rPr>
                <w:rFonts w:hint="eastAsia" w:ascii="宋体" w:hAnsi="宋体"/>
                <w:color w:val="000000" w:themeColor="text1"/>
              </w:rPr>
              <w:t>价格分值：</w:t>
            </w:r>
            <w:r>
              <w:rPr>
                <w:rFonts w:hint="eastAsia" w:ascii="宋体" w:hAnsi="宋体"/>
                <w:color w:val="000000" w:themeColor="text1"/>
                <w:lang w:val="en-US" w:eastAsia="zh-CN"/>
              </w:rPr>
              <w:t>20</w:t>
            </w:r>
            <w:r>
              <w:rPr>
                <w:rFonts w:hint="eastAsia" w:ascii="宋体" w:hAnsi="宋体"/>
                <w:color w:val="000000" w:themeColor="text1"/>
              </w:rPr>
              <w:t>分</w:t>
            </w:r>
          </w:p>
          <w:p>
            <w:pPr>
              <w:spacing w:line="360" w:lineRule="auto"/>
              <w:ind w:firstLine="480"/>
              <w:rPr>
                <w:rFonts w:ascii="宋体" w:hAnsi="宋体"/>
                <w:color w:val="000000" w:themeColor="text1"/>
              </w:rPr>
            </w:pPr>
            <w:r>
              <w:rPr>
                <w:rFonts w:hint="eastAsia" w:ascii="宋体" w:hAnsi="宋体"/>
                <w:color w:val="000000" w:themeColor="text1"/>
              </w:rPr>
              <w:t>商务部分：40分</w:t>
            </w:r>
          </w:p>
          <w:p>
            <w:pPr>
              <w:spacing w:line="360" w:lineRule="auto"/>
              <w:ind w:firstLine="480" w:firstLineChars="0"/>
              <w:rPr>
                <w:rFonts w:ascii="宋体" w:hAnsi="宋体"/>
              </w:rPr>
            </w:pPr>
            <w:r>
              <w:rPr>
                <w:rFonts w:hint="eastAsia" w:ascii="宋体" w:hAnsi="宋体"/>
                <w:color w:val="000000" w:themeColor="text1"/>
              </w:rPr>
              <w:t>技术部分：4</w:t>
            </w:r>
            <w:r>
              <w:rPr>
                <w:rFonts w:hint="eastAsia" w:ascii="宋体" w:hAnsi="宋体"/>
                <w:color w:val="000000" w:themeColor="text1"/>
                <w:lang w:val="en-US" w:eastAsia="zh-CN"/>
              </w:rPr>
              <w:t>0</w:t>
            </w:r>
            <w:r>
              <w:rPr>
                <w:rFonts w:hint="eastAsia" w:ascii="宋体" w:hAnsi="宋体"/>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bCs/>
                <w:color w:val="000000" w:themeColor="text1"/>
                <w:kern w:val="0"/>
                <w:sz w:val="24"/>
              </w:rPr>
              <w:t>一、价格部分（满分</w:t>
            </w:r>
            <w:r>
              <w:rPr>
                <w:rFonts w:hint="eastAsia" w:ascii="宋体" w:hAnsi="宋体" w:cs="宋体"/>
                <w:bCs/>
                <w:color w:val="000000" w:themeColor="text1"/>
                <w:kern w:val="0"/>
                <w:sz w:val="24"/>
                <w:lang w:val="en-US" w:eastAsia="zh-CN"/>
              </w:rPr>
              <w:t>20</w:t>
            </w:r>
            <w:r>
              <w:rPr>
                <w:rFonts w:hint="eastAsia" w:ascii="宋体" w:hAnsi="宋体" w:cs="宋体"/>
                <w:bCs/>
                <w:color w:val="000000" w:themeColor="text1"/>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bCs/>
                <w:color w:val="000000" w:themeColor="text1"/>
                <w:kern w:val="0"/>
                <w:sz w:val="24"/>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bCs/>
                <w:color w:val="000000" w:themeColor="text1"/>
                <w:kern w:val="0"/>
                <w:sz w:val="24"/>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kern w:val="0"/>
                <w:szCs w:val="21"/>
              </w:rPr>
            </w:pPr>
            <w:r>
              <w:rPr>
                <w:rFonts w:hint="eastAsia" w:ascii="宋体" w:hAnsi="宋体" w:cs="宋体"/>
                <w:bCs/>
                <w:color w:val="000000" w:themeColor="text1"/>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themeColor="text1"/>
                <w:kern w:val="0"/>
                <w:sz w:val="24"/>
              </w:rPr>
            </w:pPr>
            <w:r>
              <w:rPr>
                <w:rFonts w:hint="eastAsia" w:ascii="宋体" w:hAnsi="宋体" w:cs="宋体"/>
                <w:color w:val="000000" w:themeColor="text1"/>
                <w:kern w:val="0"/>
                <w:sz w:val="24"/>
              </w:rPr>
              <w:t>投标报价</w:t>
            </w:r>
          </w:p>
          <w:p>
            <w:pPr>
              <w:spacing w:line="360" w:lineRule="auto"/>
              <w:jc w:val="center"/>
              <w:rPr>
                <w:rFonts w:ascii="宋体" w:hAnsi="宋体" w:cs="宋体"/>
                <w:kern w:val="0"/>
                <w:sz w:val="24"/>
              </w:rPr>
            </w:pPr>
            <w:r>
              <w:rPr>
                <w:rFonts w:hint="eastAsia" w:ascii="宋体" w:hAnsi="宋体" w:cs="宋体"/>
                <w:color w:val="000000" w:themeColor="text1"/>
                <w:kern w:val="0"/>
                <w:sz w:val="24"/>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color w:val="000000" w:themeColor="text1"/>
              </w:rPr>
            </w:pPr>
            <w:r>
              <w:rPr>
                <w:rFonts w:hint="eastAsia" w:ascii="宋体" w:hAnsi="宋体"/>
                <w:color w:val="000000" w:themeColor="text1"/>
              </w:rPr>
              <w:t>评标基准价：满足招标文件要求的有效投标报价中，最低的投标报价为评标基准价。</w:t>
            </w:r>
          </w:p>
          <w:p>
            <w:pPr>
              <w:spacing w:line="360" w:lineRule="auto"/>
              <w:ind w:right="240"/>
              <w:jc w:val="left"/>
              <w:rPr>
                <w:rFonts w:hint="default" w:ascii="宋体" w:hAnsi="宋体" w:eastAsia="宋体"/>
                <w:color w:val="000000" w:themeColor="text1"/>
                <w:lang w:val="en-US" w:eastAsia="zh-CN"/>
              </w:rPr>
            </w:pPr>
            <w:r>
              <w:rPr>
                <w:rFonts w:hint="eastAsia" w:ascii="宋体" w:hAnsi="宋体"/>
                <w:color w:val="000000" w:themeColor="text1"/>
              </w:rPr>
              <w:t>投标报价得分=（评标基准价/投标报价）×</w:t>
            </w:r>
            <w:r>
              <w:rPr>
                <w:rFonts w:hint="eastAsia" w:ascii="宋体" w:hAnsi="宋体"/>
                <w:color w:val="000000" w:themeColor="text1"/>
                <w:lang w:val="en-US" w:eastAsia="zh-CN"/>
              </w:rPr>
              <w:t>20</w:t>
            </w:r>
          </w:p>
          <w:p>
            <w:pPr>
              <w:spacing w:line="360" w:lineRule="auto"/>
              <w:ind w:right="240"/>
              <w:jc w:val="left"/>
              <w:rPr>
                <w:rFonts w:ascii="宋体" w:hAnsi="宋体"/>
                <w:color w:val="000000" w:themeColor="text1"/>
              </w:rPr>
            </w:pPr>
            <w:r>
              <w:rPr>
                <w:rFonts w:hint="eastAsia" w:ascii="宋体" w:hAnsi="宋体"/>
                <w:color w:val="000000" w:themeColor="text1"/>
              </w:rPr>
              <w:t>计算按四舍五入法则。保留小数点后两位。</w:t>
            </w:r>
          </w:p>
          <w:p>
            <w:pPr>
              <w:pStyle w:val="11"/>
              <w:spacing w:line="360" w:lineRule="auto"/>
            </w:pPr>
            <w:r>
              <w:rPr>
                <w:rFonts w:hint="eastAsia" w:ascii="宋体" w:hAnsi="宋体"/>
                <w:color w:val="000000" w:themeColor="text1"/>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r>
              <w:rPr>
                <w:rFonts w:hint="eastAsia"/>
                <w:color w:val="000000" w:themeColor="text1"/>
                <w:lang w:val="en-US" w:eastAsia="zh-CN"/>
              </w:rPr>
              <w:t>20</w:t>
            </w:r>
            <w:r>
              <w:rPr>
                <w:rFonts w:hint="eastAsia"/>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bCs/>
                <w:color w:val="000000" w:themeColor="text1"/>
                <w:kern w:val="0"/>
                <w:sz w:val="24"/>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kern w:val="0"/>
                <w:sz w:val="24"/>
              </w:rPr>
            </w:pPr>
            <w:r>
              <w:rPr>
                <w:rFonts w:hint="eastAsia" w:ascii="宋体" w:hAnsi="宋体" w:cs="宋体"/>
                <w:bCs/>
                <w:color w:val="000000" w:themeColor="text1"/>
                <w:kern w:val="0"/>
                <w:sz w:val="24"/>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cs="宋体"/>
                <w:kern w:val="0"/>
                <w:sz w:val="24"/>
              </w:rPr>
            </w:pPr>
            <w:r>
              <w:rPr>
                <w:rFonts w:hint="eastAsia" w:ascii="宋体" w:hAnsi="宋体" w:cs="宋体"/>
                <w:bCs/>
                <w:color w:val="000000" w:themeColor="text1"/>
                <w:kern w:val="0"/>
                <w:sz w:val="24"/>
              </w:rPr>
              <w:tab/>
            </w:r>
            <w:r>
              <w:rPr>
                <w:rFonts w:hint="eastAsia" w:ascii="宋体" w:hAnsi="宋体" w:cs="宋体"/>
                <w:bCs/>
                <w:color w:val="000000" w:themeColor="text1"/>
                <w:kern w:val="0"/>
                <w:sz w:val="24"/>
              </w:rPr>
              <w:tab/>
            </w:r>
            <w:r>
              <w:rPr>
                <w:rFonts w:hint="eastAsia" w:ascii="宋体" w:hAnsi="宋体" w:cs="宋体"/>
                <w:bCs/>
                <w:color w:val="000000" w:themeColor="text1"/>
                <w:kern w:val="0"/>
                <w:sz w:val="24"/>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kern w:val="0"/>
                <w:szCs w:val="21"/>
              </w:rPr>
            </w:pPr>
            <w:r>
              <w:rPr>
                <w:rFonts w:hint="eastAsia" w:ascii="宋体" w:hAnsi="宋体" w:cs="宋体"/>
                <w:bCs/>
                <w:color w:val="000000" w:themeColor="text1"/>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Cs/>
                <w:kern w:val="0"/>
                <w:sz w:val="24"/>
              </w:rPr>
            </w:pPr>
            <w:r>
              <w:rPr>
                <w:rFonts w:hint="eastAsia" w:ascii="Times New Roman" w:hAnsi="Times New Roman" w:eastAsia="仿宋_GB2312" w:cs="Times New Roman"/>
                <w:color w:val="000000" w:themeColor="text1"/>
                <w:kern w:val="0"/>
                <w:sz w:val="28"/>
                <w:szCs w:val="28"/>
                <w:lang w:val="zh-CN" w:eastAsia="zh-CN" w:bidi="ar-SA"/>
              </w:rPr>
              <w:t>类似业绩</w:t>
            </w:r>
          </w:p>
        </w:tc>
        <w:tc>
          <w:tcPr>
            <w:tcW w:w="640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cs="宋体"/>
                <w:color w:val="000000" w:themeColor="text1"/>
                <w:lang w:val="zh-CN" w:eastAsia="zh-CN"/>
              </w:rPr>
            </w:pPr>
            <w:r>
              <w:rPr>
                <w:rFonts w:hint="eastAsia" w:ascii="宋体" w:hAnsi="宋体" w:cs="宋体"/>
                <w:color w:val="000000" w:themeColor="text1"/>
                <w:lang w:val="en-US" w:eastAsia="zh-CN"/>
              </w:rPr>
              <w:t>1</w:t>
            </w:r>
            <w:r>
              <w:rPr>
                <w:rFonts w:hint="eastAsia" w:ascii="宋体" w:hAnsi="宋体" w:cs="宋体"/>
                <w:color w:val="000000" w:themeColor="text1"/>
                <w:lang w:val="zh-CN" w:eastAsia="zh-CN"/>
              </w:rPr>
              <w:t>、20</w:t>
            </w:r>
            <w:r>
              <w:rPr>
                <w:rFonts w:hint="eastAsia" w:ascii="宋体" w:hAnsi="宋体" w:cs="宋体"/>
                <w:color w:val="000000" w:themeColor="text1"/>
                <w:lang w:val="en-US" w:eastAsia="zh-CN"/>
              </w:rPr>
              <w:t>21</w:t>
            </w:r>
            <w:r>
              <w:rPr>
                <w:rFonts w:hint="eastAsia" w:ascii="宋体" w:hAnsi="宋体" w:cs="宋体"/>
                <w:color w:val="000000" w:themeColor="text1"/>
                <w:lang w:val="zh-CN" w:eastAsia="zh-CN"/>
              </w:rPr>
              <w:t>年</w:t>
            </w:r>
            <w:r>
              <w:rPr>
                <w:rFonts w:hint="eastAsia" w:ascii="宋体" w:hAnsi="宋体" w:cs="宋体"/>
                <w:color w:val="000000" w:themeColor="text1"/>
                <w:lang w:val="en-US" w:eastAsia="zh-CN"/>
              </w:rPr>
              <w:t>1</w:t>
            </w:r>
            <w:r>
              <w:rPr>
                <w:rFonts w:hint="eastAsia" w:ascii="宋体" w:hAnsi="宋体" w:cs="宋体"/>
                <w:color w:val="000000" w:themeColor="text1"/>
                <w:lang w:val="zh-CN" w:eastAsia="zh-CN"/>
              </w:rPr>
              <w:t>月1日以来（以合同日期</w:t>
            </w:r>
            <w:r>
              <w:rPr>
                <w:rFonts w:hint="eastAsia" w:ascii="宋体" w:hAnsi="宋体" w:cs="宋体"/>
                <w:color w:val="000000" w:themeColor="text1"/>
                <w:lang w:val="en-US" w:eastAsia="zh-CN"/>
              </w:rPr>
              <w:t>在有效期内</w:t>
            </w:r>
            <w:r>
              <w:rPr>
                <w:rFonts w:hint="eastAsia" w:ascii="宋体" w:hAnsi="宋体" w:cs="宋体"/>
                <w:color w:val="000000" w:themeColor="text1"/>
                <w:lang w:val="zh-CN" w:eastAsia="zh-CN"/>
              </w:rPr>
              <w:t>为准），每提供一项类似项目业绩得</w:t>
            </w:r>
            <w:r>
              <w:rPr>
                <w:rFonts w:hint="eastAsia" w:ascii="宋体" w:hAnsi="宋体" w:cs="宋体"/>
                <w:color w:val="000000" w:themeColor="text1"/>
                <w:lang w:val="en-US" w:eastAsia="zh-CN"/>
              </w:rPr>
              <w:t>5</w:t>
            </w:r>
            <w:r>
              <w:rPr>
                <w:rFonts w:hint="eastAsia" w:ascii="宋体" w:hAnsi="宋体" w:cs="宋体"/>
                <w:color w:val="000000" w:themeColor="text1"/>
                <w:lang w:val="zh-CN" w:eastAsia="zh-CN"/>
              </w:rPr>
              <w:t>分，最高得</w:t>
            </w:r>
            <w:r>
              <w:rPr>
                <w:rFonts w:hint="eastAsia" w:ascii="宋体" w:hAnsi="宋体" w:cs="宋体"/>
                <w:color w:val="000000" w:themeColor="text1"/>
                <w:lang w:val="en-US" w:eastAsia="zh-CN"/>
              </w:rPr>
              <w:t>20</w:t>
            </w:r>
            <w:r>
              <w:rPr>
                <w:rFonts w:hint="eastAsia" w:ascii="宋体" w:hAnsi="宋体" w:cs="宋体"/>
                <w:color w:val="000000" w:themeColor="text1"/>
                <w:lang w:val="zh-CN" w:eastAsia="zh-CN"/>
              </w:rPr>
              <w:t>分。</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cs="宋体"/>
                <w:color w:val="000000" w:themeColor="text1"/>
                <w:lang w:val="zh-CN" w:eastAsia="zh-CN"/>
              </w:rPr>
            </w:pPr>
            <w:r>
              <w:rPr>
                <w:rFonts w:hint="eastAsia" w:ascii="宋体" w:hAnsi="宋体" w:cs="宋体"/>
                <w:color w:val="000000" w:themeColor="text1"/>
                <w:lang w:val="zh-CN" w:eastAsia="zh-CN"/>
              </w:rPr>
              <w:t>注</w:t>
            </w:r>
            <w:r>
              <w:rPr>
                <w:rFonts w:hint="eastAsia" w:ascii="宋体" w:hAnsi="宋体" w:cs="宋体"/>
                <w:color w:val="000000" w:themeColor="text1"/>
                <w:lang w:val="en-US" w:eastAsia="zh-CN"/>
              </w:rPr>
              <w:t>:（1）</w:t>
            </w:r>
            <w:r>
              <w:rPr>
                <w:rFonts w:hint="eastAsia" w:ascii="宋体" w:hAnsi="宋体" w:cs="宋体"/>
                <w:color w:val="000000" w:themeColor="text1"/>
                <w:lang w:val="zh-CN" w:eastAsia="zh-CN"/>
              </w:rPr>
              <w:t>以中标通知书或合同书为准，标书中附扫描件；</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ascii="宋体" w:hAnsi="宋体" w:cs="宋体"/>
                <w:bCs/>
                <w:kern w:val="0"/>
                <w:sz w:val="24"/>
              </w:rPr>
            </w:pPr>
            <w:r>
              <w:rPr>
                <w:rFonts w:hint="eastAsia" w:ascii="宋体" w:hAnsi="宋体" w:cs="宋体"/>
                <w:color w:val="000000" w:themeColor="text1"/>
                <w:lang w:val="zh-CN" w:eastAsia="zh-CN"/>
              </w:rPr>
              <w:t>（</w:t>
            </w:r>
            <w:r>
              <w:rPr>
                <w:rFonts w:hint="eastAsia" w:ascii="宋体" w:hAnsi="宋体" w:cs="宋体"/>
                <w:color w:val="000000" w:themeColor="text1"/>
                <w:lang w:val="en-US" w:eastAsia="zh-CN"/>
              </w:rPr>
              <w:t>2</w:t>
            </w:r>
            <w:r>
              <w:rPr>
                <w:rFonts w:hint="eastAsia" w:ascii="宋体" w:hAnsi="宋体" w:cs="宋体"/>
                <w:color w:val="000000" w:themeColor="text1"/>
                <w:lang w:val="zh-CN" w:eastAsia="zh-CN"/>
              </w:rPr>
              <w:t>）</w:t>
            </w:r>
            <w:r>
              <w:rPr>
                <w:rFonts w:hint="eastAsia" w:ascii="宋体" w:hAnsi="宋体" w:cs="宋体"/>
                <w:color w:val="000000" w:themeColor="text1"/>
                <w:lang w:val="en-US" w:eastAsia="zh-CN"/>
              </w:rPr>
              <w:t>提供完整的合同（合同内容必须包含合同首页、金额所在页、签订时间、双方签字盖章页）；</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bCs/>
                <w:kern w:val="0"/>
                <w:szCs w:val="21"/>
              </w:rPr>
            </w:pPr>
            <w:r>
              <w:rPr>
                <w:rFonts w:hint="eastAsia" w:ascii="宋体" w:hAnsi="宋体" w:cs="宋体"/>
                <w:bCs/>
                <w:color w:val="000000" w:themeColor="text1"/>
                <w:kern w:val="0"/>
                <w:szCs w:val="21"/>
                <w:lang w:val="en-US" w:eastAsia="zh-CN"/>
              </w:rPr>
              <w:t>20</w:t>
            </w:r>
            <w:r>
              <w:rPr>
                <w:rFonts w:hint="eastAsia" w:ascii="宋体" w:hAnsi="宋体" w:cs="宋体"/>
                <w:bCs/>
                <w:color w:val="000000" w:themeColor="text1"/>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Cs/>
                <w:kern w:val="0"/>
                <w:sz w:val="24"/>
              </w:rPr>
            </w:pPr>
            <w:r>
              <w:rPr>
                <w:rFonts w:hint="eastAsia" w:ascii="Times New Roman" w:hAnsi="Times New Roman" w:eastAsia="仿宋_GB2312" w:cs="Times New Roman"/>
                <w:color w:val="000000" w:themeColor="text1"/>
                <w:kern w:val="0"/>
                <w:sz w:val="28"/>
                <w:szCs w:val="28"/>
                <w:lang w:val="zh-CN" w:eastAsia="zh-CN" w:bidi="ar-SA"/>
              </w:rPr>
              <w:t>综合实力</w:t>
            </w:r>
          </w:p>
        </w:tc>
        <w:tc>
          <w:tcPr>
            <w:tcW w:w="6407" w:type="dxa"/>
            <w:tcBorders>
              <w:top w:val="single" w:color="auto" w:sz="4" w:space="0"/>
              <w:left w:val="nil"/>
              <w:bottom w:val="single" w:color="auto" w:sz="4" w:space="0"/>
              <w:right w:val="single" w:color="auto" w:sz="4" w:space="0"/>
            </w:tcBorders>
            <w:noWrap/>
            <w:vAlign w:val="center"/>
          </w:tcPr>
          <w:p>
            <w:pPr>
              <w:pStyle w:val="11"/>
              <w:widowControl/>
              <w:numPr>
                <w:ilvl w:val="0"/>
                <w:numId w:val="87"/>
              </w:numPr>
              <w:spacing w:line="360" w:lineRule="auto"/>
              <w:rPr>
                <w:rFonts w:hint="eastAsia" w:ascii="宋体" w:hAnsi="宋体" w:eastAsia="宋体" w:cs="宋体"/>
                <w:color w:val="000000" w:themeColor="text1"/>
                <w:kern w:val="2"/>
                <w:sz w:val="21"/>
                <w:szCs w:val="24"/>
                <w:lang w:val="zh-CN" w:eastAsia="zh-CN" w:bidi="ar-SA"/>
              </w:rPr>
            </w:pPr>
            <w:r>
              <w:rPr>
                <w:rFonts w:hint="eastAsia" w:ascii="宋体" w:hAnsi="宋体" w:eastAsia="宋体" w:cs="宋体"/>
                <w:color w:val="000000" w:themeColor="text1"/>
                <w:kern w:val="2"/>
                <w:sz w:val="21"/>
                <w:szCs w:val="24"/>
                <w:lang w:val="zh-CN" w:eastAsia="zh-CN" w:bidi="ar-SA"/>
              </w:rPr>
              <w:t>投标人具有有效的质量管理体系认证证书、环境管理体系认证证书、职业健康安全管理体系认证证书的每个得</w:t>
            </w:r>
            <w:r>
              <w:rPr>
                <w:rFonts w:hint="eastAsia" w:ascii="宋体" w:hAnsi="宋体" w:cs="宋体"/>
                <w:color w:val="000000" w:themeColor="text1"/>
                <w:kern w:val="2"/>
                <w:sz w:val="21"/>
                <w:szCs w:val="24"/>
                <w:lang w:val="en-US" w:eastAsia="zh-CN" w:bidi="ar-SA"/>
              </w:rPr>
              <w:t>1</w:t>
            </w:r>
            <w:r>
              <w:rPr>
                <w:rFonts w:hint="eastAsia" w:ascii="宋体" w:hAnsi="宋体" w:eastAsia="宋体" w:cs="宋体"/>
                <w:color w:val="000000" w:themeColor="text1"/>
                <w:kern w:val="2"/>
                <w:sz w:val="21"/>
                <w:szCs w:val="24"/>
                <w:lang w:val="zh-CN" w:eastAsia="zh-CN" w:bidi="ar-SA"/>
              </w:rPr>
              <w:t>分，本项最多得</w:t>
            </w:r>
            <w:r>
              <w:rPr>
                <w:rFonts w:hint="eastAsia" w:ascii="宋体" w:hAnsi="宋体" w:cs="宋体"/>
                <w:color w:val="000000" w:themeColor="text1"/>
                <w:kern w:val="2"/>
                <w:sz w:val="21"/>
                <w:szCs w:val="24"/>
                <w:lang w:val="en-US" w:eastAsia="zh-CN" w:bidi="ar-SA"/>
              </w:rPr>
              <w:t>3</w:t>
            </w:r>
            <w:r>
              <w:rPr>
                <w:rFonts w:hint="eastAsia" w:ascii="宋体" w:hAnsi="宋体" w:eastAsia="宋体" w:cs="宋体"/>
                <w:color w:val="000000" w:themeColor="text1"/>
                <w:kern w:val="2"/>
                <w:sz w:val="21"/>
                <w:szCs w:val="24"/>
                <w:lang w:val="zh-CN" w:eastAsia="zh-CN" w:bidi="ar-SA"/>
              </w:rPr>
              <w:t>分（标书附原件扫描件）。</w:t>
            </w:r>
          </w:p>
          <w:p>
            <w:pPr>
              <w:pStyle w:val="12"/>
              <w:numPr>
                <w:ilvl w:val="0"/>
                <w:numId w:val="87"/>
              </w:numPr>
              <w:rPr>
                <w:rFonts w:hint="eastAsia"/>
                <w:color w:val="000000" w:themeColor="text1"/>
                <w:lang w:val="zh-CN" w:eastAsia="zh-CN"/>
              </w:rPr>
            </w:pPr>
            <w:r>
              <w:rPr>
                <w:rFonts w:hint="eastAsia" w:ascii="宋体" w:hAnsi="宋体" w:cs="宋体"/>
                <w:color w:val="000000" w:themeColor="text1"/>
              </w:rPr>
              <w:t>投标人具有第三方征信机构出具的达到AAA级证书，</w:t>
            </w:r>
            <w:r>
              <w:rPr>
                <w:rFonts w:hint="eastAsia" w:ascii="宋体" w:hAnsi="宋体" w:cs="宋体"/>
                <w:color w:val="000000" w:themeColor="text1"/>
                <w:lang w:eastAsia="zh-CN"/>
              </w:rPr>
              <w:t>提供一项的</w:t>
            </w:r>
            <w:r>
              <w:rPr>
                <w:rFonts w:hint="eastAsia" w:ascii="宋体" w:hAnsi="宋体" w:cs="宋体"/>
                <w:color w:val="000000" w:themeColor="text1"/>
                <w:lang w:val="en-US" w:eastAsia="zh-CN"/>
              </w:rPr>
              <w:t>1分，最高</w:t>
            </w:r>
            <w:r>
              <w:rPr>
                <w:rFonts w:hint="eastAsia" w:ascii="宋体" w:hAnsi="宋体" w:cs="宋体"/>
                <w:color w:val="000000" w:themeColor="text1"/>
              </w:rPr>
              <w:t>得</w:t>
            </w:r>
            <w:r>
              <w:rPr>
                <w:rFonts w:hint="eastAsia" w:ascii="宋体" w:hAnsi="宋体" w:cs="宋体"/>
                <w:color w:val="000000" w:themeColor="text1"/>
                <w:lang w:val="en-US" w:eastAsia="zh-CN"/>
              </w:rPr>
              <w:t>3</w:t>
            </w:r>
            <w:r>
              <w:rPr>
                <w:rFonts w:hint="eastAsia" w:ascii="宋体" w:hAnsi="宋体" w:cs="宋体"/>
                <w:color w:val="000000" w:themeColor="text1"/>
              </w:rPr>
              <w:t>分（在响应文件中附有效期内证书原件扫描件，否则不得分）。</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宋体"/>
                <w:color w:val="000000" w:themeColor="text1"/>
                <w:kern w:val="2"/>
                <w:sz w:val="21"/>
                <w:szCs w:val="24"/>
                <w:highlight w:val="red"/>
                <w:lang w:val="en-US" w:eastAsia="zh-CN" w:bidi="ar-SA"/>
              </w:rPr>
            </w:pPr>
            <w:r>
              <w:rPr>
                <w:rFonts w:hint="eastAsia" w:ascii="宋体" w:hAnsi="宋体" w:cs="宋体"/>
                <w:color w:val="000000" w:themeColor="text1"/>
                <w:kern w:val="2"/>
                <w:sz w:val="21"/>
                <w:szCs w:val="24"/>
                <w:lang w:val="en-US" w:eastAsia="zh-CN" w:bidi="ar-SA"/>
              </w:rPr>
              <w:t>3</w:t>
            </w:r>
            <w:r>
              <w:rPr>
                <w:rFonts w:hint="eastAsia" w:ascii="宋体" w:hAnsi="宋体" w:eastAsia="宋体" w:cs="宋体"/>
                <w:color w:val="000000" w:themeColor="text1"/>
                <w:kern w:val="2"/>
                <w:sz w:val="21"/>
                <w:szCs w:val="24"/>
                <w:lang w:val="zh-CN" w:eastAsia="zh-CN" w:bidi="ar-SA"/>
              </w:rPr>
              <w:t>、20</w:t>
            </w:r>
            <w:r>
              <w:rPr>
                <w:rFonts w:hint="eastAsia" w:ascii="宋体" w:hAnsi="宋体" w:eastAsia="宋体" w:cs="宋体"/>
                <w:color w:val="000000" w:themeColor="text1"/>
                <w:kern w:val="2"/>
                <w:sz w:val="21"/>
                <w:szCs w:val="24"/>
                <w:lang w:val="en-US" w:eastAsia="zh-CN" w:bidi="ar-SA"/>
              </w:rPr>
              <w:t>21</w:t>
            </w:r>
            <w:r>
              <w:rPr>
                <w:rFonts w:hint="eastAsia" w:ascii="宋体" w:hAnsi="宋体" w:eastAsia="宋体" w:cs="宋体"/>
                <w:color w:val="000000" w:themeColor="text1"/>
                <w:kern w:val="2"/>
                <w:sz w:val="21"/>
                <w:szCs w:val="24"/>
                <w:lang w:val="zh-CN" w:eastAsia="zh-CN" w:bidi="ar-SA"/>
              </w:rPr>
              <w:t>年</w:t>
            </w:r>
            <w:r>
              <w:rPr>
                <w:rFonts w:hint="eastAsia" w:ascii="宋体" w:hAnsi="宋体" w:eastAsia="宋体" w:cs="宋体"/>
                <w:color w:val="000000" w:themeColor="text1"/>
                <w:kern w:val="2"/>
                <w:sz w:val="21"/>
                <w:szCs w:val="24"/>
                <w:lang w:val="en-US" w:eastAsia="zh-CN" w:bidi="ar-SA"/>
              </w:rPr>
              <w:t>1</w:t>
            </w:r>
            <w:r>
              <w:rPr>
                <w:rFonts w:hint="eastAsia" w:ascii="宋体" w:hAnsi="宋体" w:eastAsia="宋体" w:cs="宋体"/>
                <w:color w:val="000000" w:themeColor="text1"/>
                <w:kern w:val="2"/>
                <w:sz w:val="21"/>
                <w:szCs w:val="24"/>
                <w:lang w:val="zh-CN" w:eastAsia="zh-CN" w:bidi="ar-SA"/>
              </w:rPr>
              <w:t>月1日以来服务的物业管理项目获得县级“</w:t>
            </w:r>
            <w:r>
              <w:rPr>
                <w:rFonts w:hint="eastAsia" w:ascii="宋体" w:hAnsi="宋体" w:eastAsia="宋体" w:cs="宋体"/>
                <w:color w:val="000000" w:themeColor="text1"/>
                <w:kern w:val="2"/>
                <w:sz w:val="21"/>
                <w:szCs w:val="24"/>
                <w:lang w:val="en-US" w:eastAsia="zh-CN" w:bidi="ar-SA"/>
              </w:rPr>
              <w:t>优秀公共</w:t>
            </w:r>
            <w:r>
              <w:rPr>
                <w:rFonts w:hint="eastAsia" w:ascii="宋体" w:hAnsi="宋体" w:cs="宋体"/>
                <w:color w:val="000000" w:themeColor="text1"/>
                <w:kern w:val="2"/>
                <w:sz w:val="21"/>
                <w:szCs w:val="24"/>
                <w:lang w:val="en-US" w:eastAsia="zh-CN" w:bidi="ar-SA"/>
              </w:rPr>
              <w:t>项目</w:t>
            </w:r>
            <w:r>
              <w:rPr>
                <w:rFonts w:hint="eastAsia" w:ascii="宋体" w:hAnsi="宋体" w:eastAsia="宋体" w:cs="宋体"/>
                <w:color w:val="000000" w:themeColor="text1"/>
                <w:kern w:val="2"/>
                <w:sz w:val="21"/>
                <w:szCs w:val="24"/>
                <w:lang w:val="zh-CN" w:eastAsia="zh-CN" w:bidi="ar-SA"/>
              </w:rPr>
              <w:t>”或</w:t>
            </w:r>
            <w:r>
              <w:rPr>
                <w:rFonts w:hint="eastAsia" w:ascii="宋体" w:hAnsi="宋体" w:eastAsia="宋体" w:cs="宋体"/>
                <w:color w:val="000000" w:themeColor="text1"/>
                <w:kern w:val="2"/>
                <w:sz w:val="21"/>
                <w:szCs w:val="24"/>
                <w:lang w:val="en-US" w:eastAsia="zh-CN" w:bidi="ar-SA"/>
              </w:rPr>
              <w:t>”优秀公建项目”</w:t>
            </w:r>
            <w:r>
              <w:rPr>
                <w:rFonts w:hint="eastAsia" w:ascii="宋体" w:hAnsi="宋体" w:eastAsia="宋体" w:cs="宋体"/>
                <w:color w:val="000000" w:themeColor="text1"/>
                <w:kern w:val="2"/>
                <w:sz w:val="21"/>
                <w:szCs w:val="24"/>
                <w:lang w:val="zh-CN" w:eastAsia="zh-CN" w:bidi="ar-SA"/>
              </w:rPr>
              <w:t>荣誉称号</w:t>
            </w:r>
            <w:r>
              <w:rPr>
                <w:rFonts w:hint="eastAsia" w:ascii="宋体" w:hAnsi="宋体" w:cs="宋体"/>
                <w:color w:val="000000" w:themeColor="text1"/>
                <w:kern w:val="2"/>
                <w:sz w:val="21"/>
                <w:szCs w:val="24"/>
                <w:lang w:val="zh-CN" w:eastAsia="zh-CN" w:bidi="ar-SA"/>
              </w:rPr>
              <w:t>每项得</w:t>
            </w:r>
            <w:r>
              <w:rPr>
                <w:rFonts w:hint="eastAsia" w:ascii="宋体" w:hAnsi="宋体" w:cs="宋体"/>
                <w:color w:val="000000" w:themeColor="text1"/>
                <w:kern w:val="2"/>
                <w:sz w:val="21"/>
                <w:szCs w:val="24"/>
                <w:lang w:val="en-US" w:eastAsia="zh-CN" w:bidi="ar-SA"/>
              </w:rPr>
              <w:t>3分，</w:t>
            </w:r>
            <w:r>
              <w:rPr>
                <w:rFonts w:hint="eastAsia" w:ascii="宋体" w:hAnsi="宋体" w:eastAsia="宋体" w:cs="宋体"/>
                <w:color w:val="000000" w:themeColor="text1"/>
                <w:kern w:val="2"/>
                <w:sz w:val="21"/>
                <w:szCs w:val="24"/>
                <w:lang w:val="zh-CN" w:eastAsia="zh-CN" w:bidi="ar-SA"/>
              </w:rPr>
              <w:t>获得</w:t>
            </w:r>
            <w:r>
              <w:rPr>
                <w:rFonts w:hint="eastAsia" w:ascii="宋体" w:hAnsi="宋体" w:cs="宋体"/>
                <w:color w:val="000000" w:themeColor="text1"/>
                <w:kern w:val="2"/>
                <w:sz w:val="21"/>
                <w:szCs w:val="24"/>
                <w:lang w:val="zh-CN" w:eastAsia="zh-CN" w:bidi="ar-SA"/>
              </w:rPr>
              <w:t>地市</w:t>
            </w:r>
            <w:r>
              <w:rPr>
                <w:rFonts w:hint="eastAsia" w:ascii="宋体" w:hAnsi="宋体" w:eastAsia="宋体" w:cs="宋体"/>
                <w:color w:val="000000" w:themeColor="text1"/>
                <w:kern w:val="2"/>
                <w:sz w:val="21"/>
                <w:szCs w:val="24"/>
                <w:lang w:val="zh-CN" w:eastAsia="zh-CN" w:bidi="ar-SA"/>
              </w:rPr>
              <w:t>级及以上“</w:t>
            </w:r>
            <w:r>
              <w:rPr>
                <w:rFonts w:hint="eastAsia" w:ascii="宋体" w:hAnsi="宋体" w:eastAsia="宋体" w:cs="宋体"/>
                <w:color w:val="000000" w:themeColor="text1"/>
                <w:kern w:val="2"/>
                <w:sz w:val="21"/>
                <w:szCs w:val="24"/>
                <w:lang w:val="en-US" w:eastAsia="zh-CN" w:bidi="ar-SA"/>
              </w:rPr>
              <w:t>优秀公共</w:t>
            </w:r>
            <w:r>
              <w:rPr>
                <w:rFonts w:hint="eastAsia" w:ascii="宋体" w:hAnsi="宋体" w:cs="宋体"/>
                <w:color w:val="000000" w:themeColor="text1"/>
                <w:kern w:val="2"/>
                <w:sz w:val="21"/>
                <w:szCs w:val="24"/>
                <w:lang w:val="en-US" w:eastAsia="zh-CN" w:bidi="ar-SA"/>
              </w:rPr>
              <w:t>项目</w:t>
            </w:r>
            <w:r>
              <w:rPr>
                <w:rFonts w:hint="eastAsia" w:ascii="宋体" w:hAnsi="宋体" w:eastAsia="宋体" w:cs="宋体"/>
                <w:color w:val="000000" w:themeColor="text1"/>
                <w:kern w:val="2"/>
                <w:sz w:val="21"/>
                <w:szCs w:val="24"/>
                <w:lang w:val="zh-CN" w:eastAsia="zh-CN" w:bidi="ar-SA"/>
              </w:rPr>
              <w:t>”或</w:t>
            </w:r>
            <w:r>
              <w:rPr>
                <w:rFonts w:hint="eastAsia" w:ascii="宋体" w:hAnsi="宋体" w:eastAsia="宋体" w:cs="宋体"/>
                <w:color w:val="000000" w:themeColor="text1"/>
                <w:kern w:val="2"/>
                <w:sz w:val="21"/>
                <w:szCs w:val="24"/>
                <w:lang w:val="en-US" w:eastAsia="zh-CN" w:bidi="ar-SA"/>
              </w:rPr>
              <w:t>”优秀公建项目”</w:t>
            </w:r>
            <w:r>
              <w:rPr>
                <w:rFonts w:hint="eastAsia" w:ascii="宋体" w:hAnsi="宋体" w:eastAsia="宋体" w:cs="宋体"/>
                <w:color w:val="000000" w:themeColor="text1"/>
                <w:kern w:val="2"/>
                <w:sz w:val="21"/>
                <w:szCs w:val="24"/>
                <w:lang w:val="zh-CN" w:eastAsia="zh-CN" w:bidi="ar-SA"/>
              </w:rPr>
              <w:t>荣誉称号</w:t>
            </w:r>
            <w:r>
              <w:rPr>
                <w:rFonts w:hint="eastAsia" w:ascii="宋体" w:hAnsi="宋体" w:cs="宋体"/>
                <w:color w:val="000000" w:themeColor="text1"/>
                <w:kern w:val="2"/>
                <w:sz w:val="21"/>
                <w:szCs w:val="24"/>
                <w:lang w:val="zh-CN" w:eastAsia="zh-CN" w:bidi="ar-SA"/>
              </w:rPr>
              <w:t>每项得</w:t>
            </w:r>
            <w:r>
              <w:rPr>
                <w:rFonts w:hint="eastAsia" w:ascii="宋体" w:hAnsi="宋体" w:cs="宋体"/>
                <w:color w:val="000000" w:themeColor="text1"/>
                <w:kern w:val="2"/>
                <w:sz w:val="21"/>
                <w:szCs w:val="24"/>
                <w:lang w:val="en-US" w:eastAsia="zh-CN" w:bidi="ar-SA"/>
              </w:rPr>
              <w:t>5分，本项最多得分10分</w:t>
            </w:r>
            <w:r>
              <w:rPr>
                <w:rFonts w:hint="eastAsia" w:ascii="宋体" w:hAnsi="宋体" w:eastAsia="宋体" w:cs="宋体"/>
                <w:color w:val="000000" w:themeColor="text1"/>
                <w:kern w:val="2"/>
                <w:sz w:val="21"/>
                <w:szCs w:val="24"/>
                <w:lang w:val="zh-CN" w:eastAsia="zh-CN" w:bidi="ar-SA"/>
              </w:rPr>
              <w:t>，</w:t>
            </w:r>
          </w:p>
          <w:p>
            <w:pPr>
              <w:pStyle w:val="11"/>
              <w:widowControl/>
              <w:spacing w:line="360" w:lineRule="auto"/>
              <w:rPr>
                <w:rFonts w:ascii="宋体" w:hAnsi="宋体" w:cs="宋体"/>
                <w:bCs/>
                <w:kern w:val="0"/>
                <w:sz w:val="24"/>
              </w:rPr>
            </w:pPr>
            <w:r>
              <w:rPr>
                <w:rFonts w:hint="eastAsia" w:ascii="宋体" w:hAnsi="宋体" w:cs="宋体"/>
                <w:color w:val="000000" w:themeColor="text1"/>
                <w:kern w:val="2"/>
                <w:sz w:val="21"/>
                <w:szCs w:val="24"/>
                <w:lang w:val="en-US" w:eastAsia="zh-CN" w:bidi="ar-SA"/>
              </w:rPr>
              <w:t>4</w:t>
            </w:r>
            <w:r>
              <w:rPr>
                <w:rFonts w:hint="eastAsia" w:ascii="宋体" w:hAnsi="宋体" w:eastAsia="宋体" w:cs="宋体"/>
                <w:color w:val="000000" w:themeColor="text1"/>
                <w:kern w:val="2"/>
                <w:sz w:val="21"/>
                <w:szCs w:val="24"/>
                <w:lang w:val="en-US" w:eastAsia="zh-CN" w:bidi="ar-SA"/>
              </w:rPr>
              <w:t>、投标人2021年1月1日以来</w:t>
            </w:r>
            <w:r>
              <w:rPr>
                <w:rFonts w:hint="eastAsia" w:ascii="宋体" w:hAnsi="宋体" w:cs="宋体"/>
                <w:color w:val="000000" w:themeColor="text1"/>
                <w:kern w:val="2"/>
                <w:sz w:val="21"/>
                <w:szCs w:val="24"/>
                <w:lang w:val="en-US" w:eastAsia="zh-CN" w:bidi="ar-SA"/>
              </w:rPr>
              <w:t>企业</w:t>
            </w:r>
            <w:r>
              <w:rPr>
                <w:rFonts w:hint="eastAsia" w:ascii="宋体" w:hAnsi="宋体" w:eastAsia="宋体" w:cs="宋体"/>
                <w:color w:val="000000" w:themeColor="text1"/>
                <w:kern w:val="2"/>
                <w:sz w:val="21"/>
                <w:szCs w:val="24"/>
                <w:lang w:val="en-US" w:eastAsia="zh-CN" w:bidi="ar-SA"/>
              </w:rPr>
              <w:t>获得县级“先进企业”荣誉称号的得</w:t>
            </w:r>
            <w:r>
              <w:rPr>
                <w:rFonts w:hint="eastAsia" w:ascii="宋体" w:hAnsi="宋体" w:cs="宋体"/>
                <w:color w:val="000000" w:themeColor="text1"/>
                <w:kern w:val="2"/>
                <w:sz w:val="21"/>
                <w:szCs w:val="24"/>
                <w:lang w:val="en-US" w:eastAsia="zh-CN" w:bidi="ar-SA"/>
              </w:rPr>
              <w:t>2</w:t>
            </w:r>
            <w:r>
              <w:rPr>
                <w:rFonts w:hint="eastAsia" w:ascii="宋体" w:hAnsi="宋体" w:eastAsia="宋体" w:cs="宋体"/>
                <w:color w:val="000000" w:themeColor="text1"/>
                <w:kern w:val="2"/>
                <w:sz w:val="21"/>
                <w:szCs w:val="24"/>
                <w:lang w:val="en-US" w:eastAsia="zh-CN" w:bidi="ar-SA"/>
              </w:rPr>
              <w:t>分；地市级</w:t>
            </w:r>
            <w:r>
              <w:rPr>
                <w:rFonts w:hint="eastAsia" w:ascii="宋体" w:hAnsi="宋体" w:cs="宋体"/>
                <w:color w:val="000000" w:themeColor="text1"/>
                <w:kern w:val="2"/>
                <w:sz w:val="21"/>
                <w:szCs w:val="24"/>
                <w:lang w:val="en-US" w:eastAsia="zh-CN" w:bidi="ar-SA"/>
              </w:rPr>
              <w:t>以上</w:t>
            </w:r>
            <w:r>
              <w:rPr>
                <w:rFonts w:hint="eastAsia" w:ascii="宋体" w:hAnsi="宋体" w:eastAsia="宋体" w:cs="宋体"/>
                <w:color w:val="000000" w:themeColor="text1"/>
                <w:kern w:val="2"/>
                <w:sz w:val="21"/>
                <w:szCs w:val="24"/>
                <w:lang w:val="en-US" w:eastAsia="zh-CN" w:bidi="ar-SA"/>
              </w:rPr>
              <w:t>“先进企业”荣誉称号的得</w:t>
            </w:r>
            <w:r>
              <w:rPr>
                <w:rFonts w:hint="eastAsia" w:ascii="宋体" w:hAnsi="宋体" w:cs="宋体"/>
                <w:color w:val="000000" w:themeColor="text1"/>
                <w:kern w:val="2"/>
                <w:sz w:val="21"/>
                <w:szCs w:val="24"/>
                <w:lang w:val="en-US" w:eastAsia="zh-CN" w:bidi="ar-SA"/>
              </w:rPr>
              <w:t>4</w:t>
            </w:r>
            <w:r>
              <w:rPr>
                <w:rFonts w:hint="eastAsia" w:ascii="宋体" w:hAnsi="宋体" w:eastAsia="宋体" w:cs="宋体"/>
                <w:color w:val="000000" w:themeColor="text1"/>
                <w:kern w:val="2"/>
                <w:sz w:val="21"/>
                <w:szCs w:val="24"/>
                <w:lang w:val="en-US" w:eastAsia="zh-CN" w:bidi="ar-SA"/>
              </w:rPr>
              <w:t>分。（标书附证书扫描件）。</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rightChars="0"/>
              <w:jc w:val="right"/>
              <w:rPr>
                <w:rFonts w:ascii="宋体" w:hAnsi="宋体" w:cs="宋体"/>
                <w:bCs/>
                <w:kern w:val="0"/>
                <w:szCs w:val="21"/>
              </w:rPr>
            </w:pPr>
            <w:r>
              <w:rPr>
                <w:rFonts w:hint="eastAsia" w:ascii="宋体" w:hAnsi="宋体" w:cs="宋体"/>
                <w:bCs/>
                <w:color w:val="000000" w:themeColor="text1"/>
                <w:kern w:val="0"/>
                <w:szCs w:val="21"/>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color w:val="000000" w:themeColor="text1"/>
              </w:rPr>
              <w:t>三、技术部分（满分4</w:t>
            </w:r>
            <w:r>
              <w:rPr>
                <w:rFonts w:hint="eastAsia" w:ascii="宋体" w:hAnsi="宋体" w:cs="宋体"/>
                <w:color w:val="000000" w:themeColor="text1"/>
                <w:lang w:val="en-US" w:eastAsia="zh-CN"/>
              </w:rPr>
              <w:t>0</w:t>
            </w:r>
            <w:r>
              <w:rPr>
                <w:rFonts w:hint="eastAsia" w:ascii="宋体" w:hAnsi="宋体" w:cs="宋体"/>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color w:val="000000" w:themeColor="text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rPr>
            </w:pPr>
            <w:r>
              <w:rPr>
                <w:rFonts w:hint="eastAsia" w:ascii="宋体" w:hAnsi="宋体" w:cs="宋体"/>
                <w:color w:val="000000" w:themeColor="text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color w:val="000000" w:themeColor="text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vMerge w:val="restart"/>
            <w:tcBorders>
              <w:top w:val="single" w:color="auto" w:sz="4" w:space="0"/>
              <w:left w:val="single" w:color="auto" w:sz="4" w:space="0"/>
              <w:right w:val="single" w:color="auto" w:sz="4" w:space="0"/>
            </w:tcBorders>
            <w:noWrap/>
            <w:vAlign w:val="center"/>
          </w:tcPr>
          <w:p>
            <w:pPr>
              <w:widowControl/>
              <w:spacing w:line="330" w:lineRule="atLeast"/>
              <w:jc w:val="center"/>
              <w:rPr>
                <w:rFonts w:hint="eastAsia" w:ascii="Times New Roman" w:hAnsi="Times New Roman" w:eastAsia="仿宋_GB2312" w:cs="Times New Roman"/>
                <w:color w:val="000000" w:themeColor="text1"/>
                <w:kern w:val="0"/>
                <w:sz w:val="28"/>
                <w:szCs w:val="28"/>
                <w:lang w:val="zh-CN" w:eastAsia="zh-CN" w:bidi="ar-SA"/>
              </w:rPr>
            </w:pPr>
            <w:r>
              <w:rPr>
                <w:rFonts w:hint="eastAsia" w:ascii="Times New Roman" w:hAnsi="Times New Roman" w:eastAsia="仿宋_GB2312" w:cs="Times New Roman"/>
                <w:color w:val="000000" w:themeColor="text1"/>
                <w:kern w:val="0"/>
                <w:sz w:val="28"/>
                <w:szCs w:val="28"/>
                <w:lang w:val="zh-CN" w:eastAsia="zh-CN" w:bidi="ar-SA"/>
              </w:rPr>
              <w:t>服务方案</w:t>
            </w:r>
          </w:p>
          <w:p>
            <w:pPr>
              <w:widowControl/>
              <w:spacing w:line="330" w:lineRule="atLeast"/>
              <w:jc w:val="center"/>
              <w:rPr>
                <w:rFonts w:hint="eastAsia" w:ascii="Times New Roman" w:hAnsi="Times New Roman" w:eastAsia="仿宋_GB2312" w:cs="Times New Roman"/>
                <w:color w:val="000000" w:themeColor="text1"/>
                <w:kern w:val="0"/>
                <w:sz w:val="28"/>
                <w:szCs w:val="28"/>
                <w:lang w:val="zh-CN" w:eastAsia="zh-CN" w:bidi="ar-SA"/>
              </w:rPr>
            </w:pPr>
            <w:r>
              <w:rPr>
                <w:rFonts w:hint="eastAsia" w:ascii="Times New Roman" w:hAnsi="Times New Roman" w:eastAsia="仿宋_GB2312" w:cs="Times New Roman"/>
                <w:color w:val="000000" w:themeColor="text1"/>
                <w:kern w:val="0"/>
                <w:sz w:val="28"/>
                <w:szCs w:val="28"/>
                <w:lang w:val="zh-CN" w:eastAsia="zh-CN" w:bidi="ar-SA"/>
              </w:rPr>
              <w:t>及措施</w:t>
            </w:r>
          </w:p>
          <w:p>
            <w:pPr>
              <w:spacing w:line="360" w:lineRule="auto"/>
              <w:jc w:val="center"/>
              <w:rPr>
                <w:rFonts w:ascii="宋体" w:hAnsi="宋体" w:cs="宋体"/>
              </w:rPr>
            </w:pPr>
            <w:r>
              <w:rPr>
                <w:rFonts w:hint="eastAsia" w:ascii="宋体" w:hAnsi="宋体" w:cs="仿宋_GB2312"/>
                <w:color w:val="000000" w:themeColor="text1"/>
                <w:sz w:val="24"/>
                <w:szCs w:val="24"/>
                <w:lang w:val="zh-CN"/>
              </w:rPr>
              <w:t>（30分）</w:t>
            </w:r>
          </w:p>
        </w:tc>
        <w:tc>
          <w:tcPr>
            <w:tcW w:w="6407" w:type="dxa"/>
            <w:tcBorders>
              <w:top w:val="nil"/>
              <w:left w:val="nil"/>
              <w:bottom w:val="single" w:color="auto" w:sz="4" w:space="0"/>
              <w:right w:val="single" w:color="auto" w:sz="4" w:space="0"/>
            </w:tcBorders>
            <w:noWrap/>
            <w:vAlign w:val="center"/>
          </w:tcPr>
          <w:p>
            <w:pPr>
              <w:pStyle w:val="11"/>
              <w:spacing w:line="360" w:lineRule="auto"/>
              <w:rPr>
                <w:rFonts w:hint="eastAsia" w:cs="仿宋_GB2312" w:asciiTheme="minorEastAsia" w:hAnsiTheme="minorEastAsia"/>
                <w:color w:val="000000" w:themeColor="text1"/>
                <w:szCs w:val="21"/>
                <w:lang w:val="zh-CN" w:eastAsia="zh-CN"/>
              </w:rPr>
            </w:pPr>
            <w:r>
              <w:rPr>
                <w:rFonts w:hint="eastAsia" w:cs="仿宋_GB2312" w:asciiTheme="minorEastAsia" w:hAnsiTheme="minorEastAsia"/>
                <w:color w:val="000000" w:themeColor="text1"/>
                <w:szCs w:val="21"/>
                <w:lang w:val="zh-CN" w:eastAsia="zh-CN"/>
              </w:rPr>
              <w:t>1、整体物业管理方案及措施</w:t>
            </w:r>
          </w:p>
          <w:p>
            <w:pPr>
              <w:pStyle w:val="11"/>
              <w:spacing w:line="360" w:lineRule="auto"/>
              <w:rPr>
                <w:rFonts w:ascii="宋体" w:hAnsi="宋体" w:cs="宋体"/>
              </w:rPr>
            </w:pPr>
            <w:r>
              <w:rPr>
                <w:rFonts w:hint="eastAsia" w:cs="仿宋_GB2312" w:asciiTheme="minorEastAsia" w:hAnsiTheme="minorEastAsia"/>
                <w:color w:val="000000" w:themeColor="text1"/>
                <w:szCs w:val="21"/>
                <w:lang w:val="zh-CN" w:eastAsia="zh-CN"/>
              </w:rPr>
              <w:t>整体物业管理方案及措施是否全面、合理、完善：评委根据方案及措施是否全面、合理、完善</w:t>
            </w:r>
            <w:r>
              <w:rPr>
                <w:rFonts w:hint="eastAsia" w:cs="仿宋_GB2312" w:asciiTheme="minorEastAsia" w:hAnsiTheme="minorEastAsia"/>
                <w:color w:val="000000" w:themeColor="text1"/>
                <w:szCs w:val="21"/>
                <w:lang w:val="en-US" w:eastAsia="zh-CN"/>
              </w:rPr>
              <w:t>进行</w:t>
            </w:r>
            <w:r>
              <w:rPr>
                <w:rFonts w:hint="eastAsia" w:cs="仿宋_GB2312" w:asciiTheme="minorEastAsia" w:hAnsiTheme="minorEastAsia"/>
                <w:color w:val="000000" w:themeColor="text1"/>
                <w:szCs w:val="21"/>
                <w:lang w:val="zh-CN" w:eastAsia="zh-CN"/>
              </w:rPr>
              <w:t>打分，</w:t>
            </w:r>
            <w:r>
              <w:rPr>
                <w:rFonts w:ascii="宋体" w:hAnsi="宋体" w:cs="宋体"/>
                <w:color w:val="000000" w:themeColor="text1"/>
              </w:rPr>
              <w:t>（</w:t>
            </w:r>
            <w:r>
              <w:rPr>
                <w:rFonts w:hint="eastAsia" w:cs="仿宋_GB2312" w:asciiTheme="minorEastAsia" w:hAnsiTheme="minorEastAsia"/>
                <w:color w:val="000000" w:themeColor="text1"/>
                <w:szCs w:val="21"/>
                <w:lang w:val="zh-CN"/>
              </w:rPr>
              <w:t>优5分  良3分  一般1分），</w:t>
            </w:r>
            <w:r>
              <w:rPr>
                <w:rFonts w:hint="eastAsia" w:cs="仿宋_GB2312" w:asciiTheme="minorEastAsia" w:hAnsiTheme="minorEastAsia"/>
                <w:color w:val="000000" w:themeColor="text1"/>
                <w:szCs w:val="21"/>
                <w:lang w:val="zh-CN" w:eastAsia="zh-CN"/>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color w:val="000000" w:themeColor="text1"/>
                <w:lang w:val="en-US" w:eastAsia="zh-CN"/>
              </w:rPr>
              <w:t>5</w:t>
            </w:r>
            <w:r>
              <w:rPr>
                <w:rFonts w:hint="eastAsia" w:ascii="宋体" w:hAnsi="宋体" w:cs="宋体"/>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vMerge w:val="continue"/>
            <w:tcBorders>
              <w:left w:val="single" w:color="auto" w:sz="4" w:space="0"/>
              <w:right w:val="single" w:color="auto" w:sz="4" w:space="0"/>
            </w:tcBorders>
            <w:noWrap/>
            <w:vAlign w:val="center"/>
          </w:tcPr>
          <w:p>
            <w:pPr>
              <w:spacing w:line="360" w:lineRule="auto"/>
              <w:jc w:val="center"/>
              <w:rPr>
                <w:rFonts w:ascii="宋体" w:hAnsi="宋体" w:cs="宋体"/>
              </w:rPr>
            </w:pPr>
          </w:p>
        </w:tc>
        <w:tc>
          <w:tcPr>
            <w:tcW w:w="6407" w:type="dxa"/>
            <w:tcBorders>
              <w:top w:val="single" w:color="auto" w:sz="4" w:space="0"/>
              <w:left w:val="nil"/>
              <w:bottom w:val="single" w:color="auto" w:sz="4" w:space="0"/>
              <w:right w:val="single" w:color="auto" w:sz="4" w:space="0"/>
            </w:tcBorders>
            <w:noWrap/>
            <w:vAlign w:val="center"/>
          </w:tcPr>
          <w:p>
            <w:pPr>
              <w:pStyle w:val="11"/>
              <w:numPr>
                <w:ilvl w:val="0"/>
                <w:numId w:val="88"/>
              </w:numPr>
              <w:spacing w:line="360" w:lineRule="auto"/>
              <w:rPr>
                <w:rFonts w:hint="eastAsia" w:cs="仿宋_GB2312" w:asciiTheme="minorEastAsia" w:hAnsiTheme="minorEastAsia"/>
                <w:color w:val="000000" w:themeColor="text1"/>
                <w:szCs w:val="21"/>
                <w:lang w:val="zh-CN" w:eastAsia="zh-CN"/>
              </w:rPr>
            </w:pPr>
            <w:r>
              <w:rPr>
                <w:rFonts w:hint="eastAsia" w:cs="仿宋_GB2312" w:asciiTheme="minorEastAsia" w:hAnsiTheme="minorEastAsia"/>
                <w:color w:val="000000" w:themeColor="text1"/>
                <w:szCs w:val="21"/>
                <w:lang w:val="zh-CN" w:eastAsia="zh-CN"/>
              </w:rPr>
              <w:t>员工从业能力培训方案及保持服务人员稳定的措施；</w:t>
            </w:r>
          </w:p>
          <w:p>
            <w:pPr>
              <w:pStyle w:val="11"/>
              <w:numPr>
                <w:ilvl w:val="0"/>
                <w:numId w:val="0"/>
              </w:numPr>
              <w:spacing w:line="360" w:lineRule="auto"/>
              <w:ind w:left="0" w:leftChars="0" w:firstLine="0" w:firstLineChars="0"/>
              <w:rPr>
                <w:rFonts w:ascii="宋体" w:hAnsi="宋体" w:cs="宋体"/>
              </w:rPr>
            </w:pPr>
            <w:r>
              <w:rPr>
                <w:rFonts w:hint="eastAsia" w:cs="仿宋_GB2312" w:asciiTheme="minorEastAsia" w:hAnsiTheme="minorEastAsia"/>
                <w:color w:val="000000" w:themeColor="text1"/>
                <w:szCs w:val="21"/>
                <w:lang w:val="zh-CN" w:eastAsia="zh-CN"/>
              </w:rPr>
              <w:t>员工从业能力的培训教育方案以及保持服务人员相对稳定的措施评委根据方案及措施的完整、合理性</w:t>
            </w:r>
            <w:r>
              <w:rPr>
                <w:rFonts w:hint="eastAsia" w:cs="仿宋_GB2312" w:asciiTheme="minorEastAsia" w:hAnsiTheme="minorEastAsia"/>
                <w:color w:val="000000" w:themeColor="text1"/>
                <w:szCs w:val="21"/>
                <w:lang w:val="en-US" w:eastAsia="zh-CN"/>
              </w:rPr>
              <w:t>进行</w:t>
            </w:r>
            <w:r>
              <w:rPr>
                <w:rFonts w:hint="eastAsia" w:cs="仿宋_GB2312" w:asciiTheme="minorEastAsia" w:hAnsiTheme="minorEastAsia"/>
                <w:color w:val="000000" w:themeColor="text1"/>
                <w:szCs w:val="21"/>
                <w:lang w:val="zh-CN" w:eastAsia="zh-CN"/>
              </w:rPr>
              <w:t>打分，</w:t>
            </w:r>
            <w:r>
              <w:rPr>
                <w:rFonts w:ascii="宋体" w:hAnsi="宋体" w:cs="宋体"/>
                <w:color w:val="000000" w:themeColor="text1"/>
              </w:rPr>
              <w:t>（</w:t>
            </w:r>
            <w:r>
              <w:rPr>
                <w:rFonts w:hint="eastAsia" w:cs="仿宋_GB2312" w:asciiTheme="minorEastAsia" w:hAnsiTheme="minorEastAsia"/>
                <w:color w:val="000000" w:themeColor="text1"/>
                <w:szCs w:val="21"/>
                <w:lang w:val="zh-CN"/>
              </w:rPr>
              <w:t>优5分  良3分  一般1分），</w:t>
            </w:r>
            <w:r>
              <w:rPr>
                <w:rFonts w:hint="eastAsia" w:cs="仿宋_GB2312" w:asciiTheme="minorEastAsia" w:hAnsiTheme="minorEastAsia"/>
                <w:color w:val="000000" w:themeColor="text1"/>
                <w:szCs w:val="21"/>
                <w:lang w:val="zh-CN" w:eastAsia="zh-CN"/>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color w:val="000000" w:themeColor="text1"/>
                <w:lang w:val="en-US" w:eastAsia="zh-CN"/>
              </w:rPr>
              <w:t>5</w:t>
            </w:r>
            <w:r>
              <w:rPr>
                <w:rFonts w:hint="eastAsia" w:ascii="宋体" w:hAnsi="宋体" w:cs="宋体"/>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vMerge w:val="continue"/>
            <w:tcBorders>
              <w:left w:val="single" w:color="auto" w:sz="4" w:space="0"/>
              <w:right w:val="single" w:color="auto" w:sz="4" w:space="0"/>
            </w:tcBorders>
            <w:noWrap/>
            <w:vAlign w:val="center"/>
          </w:tcPr>
          <w:p>
            <w:pPr>
              <w:spacing w:line="360" w:lineRule="auto"/>
              <w:jc w:val="center"/>
              <w:rPr>
                <w:rFonts w:ascii="宋体" w:hAnsi="宋体" w:cs="宋体"/>
              </w:rPr>
            </w:pPr>
          </w:p>
        </w:tc>
        <w:tc>
          <w:tcPr>
            <w:tcW w:w="6407" w:type="dxa"/>
            <w:tcBorders>
              <w:top w:val="single" w:color="auto" w:sz="4" w:space="0"/>
              <w:left w:val="nil"/>
              <w:bottom w:val="single" w:color="auto" w:sz="4" w:space="0"/>
              <w:right w:val="single" w:color="auto" w:sz="4" w:space="0"/>
            </w:tcBorders>
            <w:noWrap/>
            <w:vAlign w:val="center"/>
          </w:tcPr>
          <w:p>
            <w:pPr>
              <w:pStyle w:val="11"/>
              <w:spacing w:line="360" w:lineRule="auto"/>
              <w:rPr>
                <w:rFonts w:hint="eastAsia" w:cs="仿宋_GB2312" w:asciiTheme="minorEastAsia" w:hAnsiTheme="minorEastAsia"/>
                <w:color w:val="000000" w:themeColor="text1"/>
                <w:szCs w:val="21"/>
                <w:lang w:val="zh-CN" w:eastAsia="zh-CN"/>
              </w:rPr>
            </w:pPr>
            <w:r>
              <w:rPr>
                <w:rFonts w:hint="eastAsia" w:cs="仿宋_GB2312" w:asciiTheme="minorEastAsia" w:hAnsiTheme="minorEastAsia"/>
                <w:color w:val="000000" w:themeColor="text1"/>
                <w:szCs w:val="21"/>
                <w:lang w:val="zh-CN" w:eastAsia="zh-CN"/>
              </w:rPr>
              <w:t>3、服务质量保证措施</w:t>
            </w:r>
          </w:p>
          <w:p>
            <w:pPr>
              <w:pStyle w:val="11"/>
              <w:spacing w:line="360" w:lineRule="auto"/>
              <w:rPr>
                <w:rFonts w:ascii="宋体" w:hAnsi="宋体" w:cs="宋体"/>
              </w:rPr>
            </w:pPr>
            <w:r>
              <w:rPr>
                <w:rFonts w:hint="eastAsia" w:cs="仿宋_GB2312" w:asciiTheme="minorEastAsia" w:hAnsiTheme="minorEastAsia"/>
                <w:color w:val="000000" w:themeColor="text1"/>
                <w:szCs w:val="21"/>
                <w:lang w:val="zh-CN" w:eastAsia="zh-CN"/>
              </w:rPr>
              <w:t>服务质量保证措施：评委根据方案及措施的完整、合理性</w:t>
            </w:r>
            <w:r>
              <w:rPr>
                <w:rFonts w:hint="eastAsia" w:cs="仿宋_GB2312" w:asciiTheme="minorEastAsia" w:hAnsiTheme="minorEastAsia"/>
                <w:color w:val="000000" w:themeColor="text1"/>
                <w:szCs w:val="21"/>
                <w:lang w:val="en-US" w:eastAsia="zh-CN"/>
              </w:rPr>
              <w:t>进行</w:t>
            </w:r>
            <w:r>
              <w:rPr>
                <w:rFonts w:hint="eastAsia" w:cs="仿宋_GB2312" w:asciiTheme="minorEastAsia" w:hAnsiTheme="minorEastAsia"/>
                <w:color w:val="000000" w:themeColor="text1"/>
                <w:szCs w:val="21"/>
                <w:lang w:val="zh-CN" w:eastAsia="zh-CN"/>
              </w:rPr>
              <w:t>打分，</w:t>
            </w:r>
            <w:r>
              <w:rPr>
                <w:rFonts w:ascii="宋体" w:hAnsi="宋体" w:cs="宋体"/>
                <w:color w:val="000000" w:themeColor="text1"/>
              </w:rPr>
              <w:t>（</w:t>
            </w:r>
            <w:r>
              <w:rPr>
                <w:rFonts w:hint="eastAsia" w:cs="仿宋_GB2312" w:asciiTheme="minorEastAsia" w:hAnsiTheme="minorEastAsia"/>
                <w:color w:val="000000" w:themeColor="text1"/>
                <w:szCs w:val="21"/>
                <w:lang w:val="zh-CN"/>
              </w:rPr>
              <w:t>优5分  良3分  一般1分），</w:t>
            </w:r>
            <w:r>
              <w:rPr>
                <w:rFonts w:hint="eastAsia" w:cs="仿宋_GB2312" w:asciiTheme="minorEastAsia" w:hAnsiTheme="minorEastAsia"/>
                <w:color w:val="000000" w:themeColor="text1"/>
                <w:szCs w:val="21"/>
                <w:lang w:val="zh-CN" w:eastAsia="zh-CN"/>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color w:val="000000" w:themeColor="text1"/>
                <w:lang w:val="en-US" w:eastAsia="zh-CN"/>
              </w:rPr>
              <w:t>5</w:t>
            </w:r>
            <w:r>
              <w:rPr>
                <w:rFonts w:hint="eastAsia" w:ascii="宋体" w:hAnsi="宋体" w:cs="宋体"/>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vMerge w:val="continue"/>
            <w:tcBorders>
              <w:left w:val="single" w:color="auto" w:sz="4" w:space="0"/>
              <w:right w:val="single" w:color="auto" w:sz="4" w:space="0"/>
            </w:tcBorders>
            <w:noWrap/>
            <w:vAlign w:val="center"/>
          </w:tcPr>
          <w:p>
            <w:pPr>
              <w:spacing w:line="360" w:lineRule="auto"/>
              <w:jc w:val="center"/>
              <w:rPr>
                <w:rFonts w:ascii="宋体" w:hAnsi="宋体" w:cs="宋体"/>
              </w:rPr>
            </w:pPr>
          </w:p>
        </w:tc>
        <w:tc>
          <w:tcPr>
            <w:tcW w:w="6407" w:type="dxa"/>
            <w:tcBorders>
              <w:top w:val="single" w:color="auto" w:sz="4" w:space="0"/>
              <w:left w:val="nil"/>
              <w:bottom w:val="single" w:color="auto" w:sz="4" w:space="0"/>
              <w:right w:val="single" w:color="auto" w:sz="4" w:space="0"/>
            </w:tcBorders>
            <w:noWrap/>
            <w:vAlign w:val="center"/>
          </w:tcPr>
          <w:p>
            <w:pPr>
              <w:pStyle w:val="11"/>
              <w:spacing w:line="360" w:lineRule="auto"/>
              <w:rPr>
                <w:rFonts w:hint="eastAsia" w:cs="仿宋_GB2312" w:asciiTheme="minorEastAsia" w:hAnsiTheme="minorEastAsia"/>
                <w:color w:val="000000" w:themeColor="text1"/>
                <w:szCs w:val="21"/>
                <w:lang w:val="zh-CN" w:eastAsia="zh-CN"/>
              </w:rPr>
            </w:pPr>
            <w:r>
              <w:rPr>
                <w:rFonts w:hint="eastAsia" w:cs="仿宋_GB2312" w:asciiTheme="minorEastAsia" w:hAnsiTheme="minorEastAsia"/>
                <w:color w:val="000000" w:themeColor="text1"/>
                <w:szCs w:val="21"/>
                <w:lang w:val="zh-CN" w:eastAsia="zh-CN"/>
              </w:rPr>
              <w:t>4、突发事件处置预案</w:t>
            </w:r>
          </w:p>
          <w:p>
            <w:pPr>
              <w:pStyle w:val="11"/>
              <w:spacing w:line="360" w:lineRule="auto"/>
              <w:rPr>
                <w:rFonts w:ascii="宋体" w:hAnsi="宋体" w:cs="宋体"/>
              </w:rPr>
            </w:pPr>
            <w:r>
              <w:rPr>
                <w:rFonts w:hint="eastAsia" w:cs="仿宋_GB2312" w:asciiTheme="minorEastAsia" w:hAnsiTheme="minorEastAsia"/>
                <w:color w:val="000000" w:themeColor="text1"/>
                <w:szCs w:val="21"/>
                <w:lang w:val="zh-CN" w:eastAsia="zh-CN"/>
              </w:rPr>
              <w:t>突发事件处置预案：评委根据预案的合理、详细、切实可行</w:t>
            </w:r>
            <w:r>
              <w:rPr>
                <w:rFonts w:hint="eastAsia" w:cs="仿宋_GB2312" w:asciiTheme="minorEastAsia" w:hAnsiTheme="minorEastAsia"/>
                <w:color w:val="000000" w:themeColor="text1"/>
                <w:szCs w:val="21"/>
                <w:lang w:val="en-US" w:eastAsia="zh-CN"/>
              </w:rPr>
              <w:t>进行</w:t>
            </w:r>
            <w:r>
              <w:rPr>
                <w:rFonts w:hint="eastAsia" w:cs="仿宋_GB2312" w:asciiTheme="minorEastAsia" w:hAnsiTheme="minorEastAsia"/>
                <w:color w:val="000000" w:themeColor="text1"/>
                <w:szCs w:val="21"/>
                <w:lang w:val="zh-CN" w:eastAsia="zh-CN"/>
              </w:rPr>
              <w:t>打分，</w:t>
            </w:r>
            <w:r>
              <w:rPr>
                <w:rFonts w:ascii="宋体" w:hAnsi="宋体" w:cs="宋体"/>
                <w:color w:val="000000" w:themeColor="text1"/>
              </w:rPr>
              <w:t>（</w:t>
            </w:r>
            <w:r>
              <w:rPr>
                <w:rFonts w:hint="eastAsia" w:cs="仿宋_GB2312" w:asciiTheme="minorEastAsia" w:hAnsiTheme="minorEastAsia"/>
                <w:color w:val="000000" w:themeColor="text1"/>
                <w:szCs w:val="21"/>
                <w:lang w:val="zh-CN"/>
              </w:rPr>
              <w:t>优5分  良3分  一般1分），</w:t>
            </w:r>
            <w:r>
              <w:rPr>
                <w:rFonts w:hint="eastAsia" w:cs="仿宋_GB2312" w:asciiTheme="minorEastAsia" w:hAnsiTheme="minorEastAsia"/>
                <w:color w:val="000000" w:themeColor="text1"/>
                <w:szCs w:val="21"/>
                <w:lang w:val="zh-CN" w:eastAsia="zh-CN"/>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color w:val="000000" w:themeColor="text1"/>
                <w:lang w:val="en-US" w:eastAsia="zh-CN"/>
              </w:rPr>
              <w:t>5</w:t>
            </w:r>
            <w:r>
              <w:rPr>
                <w:rFonts w:ascii="宋体" w:hAnsi="宋体" w:cs="宋体"/>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668" w:type="dxa"/>
            <w:vMerge w:val="continue"/>
            <w:tcBorders>
              <w:left w:val="single" w:color="auto" w:sz="4" w:space="0"/>
              <w:right w:val="single" w:color="auto" w:sz="4" w:space="0"/>
            </w:tcBorders>
            <w:noWrap/>
            <w:vAlign w:val="center"/>
          </w:tcPr>
          <w:p>
            <w:pPr>
              <w:spacing w:line="360" w:lineRule="auto"/>
              <w:jc w:val="center"/>
              <w:rPr>
                <w:rFonts w:ascii="宋体" w:hAnsi="宋体" w:cs="宋体"/>
              </w:rPr>
            </w:pPr>
          </w:p>
        </w:tc>
        <w:tc>
          <w:tcPr>
            <w:tcW w:w="6407" w:type="dxa"/>
            <w:tcBorders>
              <w:top w:val="single" w:color="auto" w:sz="4" w:space="0"/>
              <w:left w:val="nil"/>
              <w:bottom w:val="single" w:color="auto" w:sz="4" w:space="0"/>
              <w:right w:val="single" w:color="auto" w:sz="4" w:space="0"/>
            </w:tcBorders>
            <w:noWrap/>
            <w:vAlign w:val="center"/>
          </w:tcPr>
          <w:p>
            <w:pPr>
              <w:pStyle w:val="11"/>
              <w:spacing w:line="360" w:lineRule="auto"/>
              <w:rPr>
                <w:rFonts w:hint="eastAsia" w:cs="仿宋_GB2312" w:asciiTheme="minorEastAsia" w:hAnsiTheme="minorEastAsia"/>
                <w:color w:val="000000" w:themeColor="text1"/>
                <w:szCs w:val="21"/>
                <w:lang w:val="zh-CN" w:eastAsia="zh-CN"/>
              </w:rPr>
            </w:pPr>
            <w:r>
              <w:rPr>
                <w:rFonts w:hint="eastAsia" w:cs="仿宋_GB2312" w:asciiTheme="minorEastAsia" w:hAnsiTheme="minorEastAsia"/>
                <w:color w:val="000000" w:themeColor="text1"/>
                <w:szCs w:val="21"/>
                <w:lang w:val="zh-CN" w:eastAsia="zh-CN"/>
              </w:rPr>
              <w:t>5、规章制度</w:t>
            </w:r>
          </w:p>
          <w:p>
            <w:pPr>
              <w:pStyle w:val="11"/>
              <w:spacing w:line="360" w:lineRule="auto"/>
              <w:rPr>
                <w:rFonts w:ascii="宋体" w:hAnsi="宋体" w:cs="宋体"/>
              </w:rPr>
            </w:pPr>
            <w:r>
              <w:rPr>
                <w:rFonts w:hint="eastAsia" w:cs="仿宋_GB2312" w:asciiTheme="minorEastAsia" w:hAnsiTheme="minorEastAsia"/>
                <w:color w:val="000000" w:themeColor="text1"/>
                <w:szCs w:val="21"/>
                <w:lang w:val="zh-CN" w:eastAsia="zh-CN"/>
              </w:rPr>
              <w:t>规章制度是否健全：评委根据规章制度的合理、详细、切实可行</w:t>
            </w:r>
            <w:r>
              <w:rPr>
                <w:rFonts w:hint="eastAsia" w:cs="仿宋_GB2312" w:asciiTheme="minorEastAsia" w:hAnsiTheme="minorEastAsia"/>
                <w:color w:val="000000" w:themeColor="text1"/>
                <w:szCs w:val="21"/>
                <w:lang w:val="en-US" w:eastAsia="zh-CN"/>
              </w:rPr>
              <w:t>进行</w:t>
            </w:r>
            <w:r>
              <w:rPr>
                <w:rFonts w:hint="eastAsia" w:cs="仿宋_GB2312" w:asciiTheme="minorEastAsia" w:hAnsiTheme="minorEastAsia"/>
                <w:color w:val="000000" w:themeColor="text1"/>
                <w:szCs w:val="21"/>
                <w:lang w:val="zh-CN" w:eastAsia="zh-CN"/>
              </w:rPr>
              <w:t>打分，</w:t>
            </w:r>
            <w:r>
              <w:rPr>
                <w:rFonts w:ascii="宋体" w:hAnsi="宋体" w:cs="宋体"/>
                <w:color w:val="000000" w:themeColor="text1"/>
              </w:rPr>
              <w:t>（</w:t>
            </w:r>
            <w:r>
              <w:rPr>
                <w:rFonts w:hint="eastAsia" w:cs="仿宋_GB2312" w:asciiTheme="minorEastAsia" w:hAnsiTheme="minorEastAsia"/>
                <w:color w:val="000000" w:themeColor="text1"/>
                <w:szCs w:val="21"/>
                <w:lang w:val="zh-CN"/>
              </w:rPr>
              <w:t>优5分  良3分  一般1分），</w:t>
            </w:r>
            <w:r>
              <w:rPr>
                <w:rFonts w:hint="eastAsia" w:cs="仿宋_GB2312" w:asciiTheme="minorEastAsia" w:hAnsiTheme="minorEastAsia"/>
                <w:color w:val="000000" w:themeColor="text1"/>
                <w:szCs w:val="21"/>
                <w:lang w:val="zh-CN" w:eastAsia="zh-CN"/>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color w:val="000000" w:themeColor="text1"/>
              </w:rPr>
              <w:t>5</w:t>
            </w:r>
            <w:r>
              <w:rPr>
                <w:rFonts w:ascii="宋体" w:hAnsi="宋体" w:cs="宋体"/>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68" w:type="dxa"/>
            <w:vMerge w:val="continue"/>
            <w:tcBorders>
              <w:left w:val="single" w:color="auto" w:sz="4" w:space="0"/>
              <w:right w:val="single" w:color="auto" w:sz="4" w:space="0"/>
            </w:tcBorders>
            <w:noWrap/>
            <w:vAlign w:val="center"/>
          </w:tcPr>
          <w:p>
            <w:pPr>
              <w:spacing w:line="360" w:lineRule="auto"/>
              <w:jc w:val="center"/>
              <w:rPr>
                <w:rFonts w:ascii="宋体" w:hAnsi="宋体" w:cs="宋体"/>
              </w:rPr>
            </w:pPr>
          </w:p>
        </w:tc>
        <w:tc>
          <w:tcPr>
            <w:tcW w:w="6407" w:type="dxa"/>
            <w:tcBorders>
              <w:top w:val="single" w:color="auto" w:sz="4" w:space="0"/>
              <w:left w:val="nil"/>
              <w:bottom w:val="single" w:color="auto" w:sz="4" w:space="0"/>
              <w:right w:val="single" w:color="auto" w:sz="4" w:space="0"/>
            </w:tcBorders>
            <w:noWrap/>
            <w:vAlign w:val="center"/>
          </w:tcPr>
          <w:p>
            <w:pPr>
              <w:pStyle w:val="11"/>
              <w:spacing w:line="360" w:lineRule="auto"/>
              <w:rPr>
                <w:rFonts w:hint="eastAsia" w:cs="仿宋_GB2312" w:asciiTheme="minorEastAsia" w:hAnsiTheme="minorEastAsia"/>
                <w:color w:val="000000" w:themeColor="text1"/>
                <w:szCs w:val="21"/>
                <w:lang w:val="zh-CN" w:eastAsia="zh-CN"/>
              </w:rPr>
            </w:pPr>
            <w:r>
              <w:rPr>
                <w:rFonts w:hint="eastAsia" w:cs="仿宋_GB2312" w:asciiTheme="minorEastAsia" w:hAnsiTheme="minorEastAsia"/>
                <w:color w:val="000000" w:themeColor="text1"/>
                <w:szCs w:val="21"/>
                <w:lang w:val="zh-CN" w:eastAsia="zh-CN"/>
              </w:rPr>
              <w:t>6、档案资料管理</w:t>
            </w:r>
          </w:p>
          <w:p>
            <w:pPr>
              <w:pStyle w:val="11"/>
              <w:spacing w:line="360" w:lineRule="auto"/>
              <w:rPr>
                <w:rFonts w:ascii="宋体" w:hAnsi="宋体" w:cs="宋体"/>
              </w:rPr>
            </w:pPr>
            <w:r>
              <w:rPr>
                <w:rFonts w:hint="eastAsia" w:cs="仿宋_GB2312" w:asciiTheme="minorEastAsia" w:hAnsiTheme="minorEastAsia"/>
                <w:color w:val="000000" w:themeColor="text1"/>
                <w:szCs w:val="21"/>
                <w:lang w:val="zh-CN" w:eastAsia="zh-CN"/>
              </w:rPr>
              <w:t>档案资料管理(人员、设施、设备管理服务、行政文件资料、信息等档案的建立与管理）：评委根据档案资料管理的合理、科学、切实可行</w:t>
            </w:r>
            <w:r>
              <w:rPr>
                <w:rFonts w:hint="eastAsia" w:cs="仿宋_GB2312" w:asciiTheme="minorEastAsia" w:hAnsiTheme="minorEastAsia"/>
                <w:color w:val="000000" w:themeColor="text1"/>
                <w:szCs w:val="21"/>
                <w:lang w:val="en-US" w:eastAsia="zh-CN"/>
              </w:rPr>
              <w:t>进行</w:t>
            </w:r>
            <w:r>
              <w:rPr>
                <w:rFonts w:hint="eastAsia" w:cs="仿宋_GB2312" w:asciiTheme="minorEastAsia" w:hAnsiTheme="minorEastAsia"/>
                <w:color w:val="000000" w:themeColor="text1"/>
                <w:szCs w:val="21"/>
                <w:lang w:val="zh-CN" w:eastAsia="zh-CN"/>
              </w:rPr>
              <w:t>打分，不提供的不得分。</w:t>
            </w:r>
            <w:r>
              <w:rPr>
                <w:rFonts w:ascii="宋体" w:hAnsi="宋体" w:cs="宋体"/>
                <w:color w:val="000000" w:themeColor="text1"/>
              </w:rPr>
              <w:t>（</w:t>
            </w:r>
            <w:r>
              <w:rPr>
                <w:rFonts w:hint="eastAsia" w:cs="仿宋_GB2312" w:asciiTheme="minorEastAsia" w:hAnsiTheme="minorEastAsia"/>
                <w:color w:val="000000" w:themeColor="text1"/>
                <w:szCs w:val="21"/>
                <w:lang w:val="zh-CN"/>
              </w:rPr>
              <w:t>优5分  良3分  一般1分）</w:t>
            </w:r>
            <w:r>
              <w:rPr>
                <w:rFonts w:ascii="宋体" w:hAnsi="宋体" w:cs="宋体"/>
                <w:color w:val="000000" w:themeColor="text1"/>
              </w:rPr>
              <w:t>不提供的不得分；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cs="宋体"/>
              </w:rPr>
            </w:pPr>
            <w:r>
              <w:rPr>
                <w:rFonts w:hint="eastAsia" w:ascii="宋体" w:hAnsi="宋体" w:cs="宋体"/>
                <w:color w:val="000000" w:themeColor="text1"/>
              </w:rPr>
              <w:t>5</w:t>
            </w:r>
            <w:r>
              <w:rPr>
                <w:rFonts w:ascii="宋体" w:hAnsi="宋体" w:cs="宋体"/>
                <w:color w:val="000000" w:themeColor="text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68" w:type="dxa"/>
            <w:tcBorders>
              <w:left w:val="single" w:color="auto" w:sz="4" w:space="0"/>
              <w:right w:val="single" w:color="auto" w:sz="4" w:space="0"/>
            </w:tcBorders>
            <w:noWrap/>
            <w:vAlign w:val="center"/>
          </w:tcPr>
          <w:p>
            <w:pPr>
              <w:widowControl/>
              <w:spacing w:line="330" w:lineRule="atLeast"/>
              <w:jc w:val="center"/>
              <w:rPr>
                <w:rFonts w:hint="eastAsia" w:ascii="Times New Roman" w:hAnsi="Times New Roman" w:eastAsia="仿宋_GB2312" w:cs="Times New Roman"/>
                <w:color w:val="000000" w:themeColor="text1"/>
                <w:kern w:val="0"/>
                <w:sz w:val="28"/>
                <w:szCs w:val="28"/>
                <w:lang w:val="zh-CN" w:eastAsia="zh-CN" w:bidi="ar-SA"/>
              </w:rPr>
            </w:pPr>
            <w:r>
              <w:rPr>
                <w:rFonts w:hint="eastAsia" w:ascii="Times New Roman" w:hAnsi="Times New Roman" w:eastAsia="仿宋_GB2312" w:cs="Times New Roman"/>
                <w:color w:val="000000" w:themeColor="text1"/>
                <w:kern w:val="0"/>
                <w:sz w:val="28"/>
                <w:szCs w:val="28"/>
                <w:lang w:val="zh-CN" w:eastAsia="zh-CN" w:bidi="ar-SA"/>
              </w:rPr>
              <w:t>服务</w:t>
            </w:r>
          </w:p>
          <w:p>
            <w:pPr>
              <w:widowControl/>
              <w:spacing w:line="330" w:lineRule="atLeast"/>
              <w:jc w:val="center"/>
              <w:rPr>
                <w:rFonts w:hint="eastAsia" w:ascii="Times New Roman" w:hAnsi="Times New Roman" w:eastAsia="仿宋_GB2312" w:cs="Times New Roman"/>
                <w:color w:val="000000" w:themeColor="text1"/>
                <w:kern w:val="0"/>
                <w:sz w:val="28"/>
                <w:szCs w:val="28"/>
                <w:lang w:val="zh-CN" w:eastAsia="zh-CN" w:bidi="ar-SA"/>
              </w:rPr>
            </w:pPr>
            <w:r>
              <w:rPr>
                <w:rFonts w:hint="eastAsia" w:ascii="Times New Roman" w:hAnsi="Times New Roman" w:eastAsia="仿宋_GB2312" w:cs="Times New Roman"/>
                <w:color w:val="000000" w:themeColor="text1"/>
                <w:kern w:val="0"/>
                <w:sz w:val="28"/>
                <w:szCs w:val="28"/>
                <w:lang w:val="zh-CN" w:eastAsia="zh-CN" w:bidi="ar-SA"/>
              </w:rPr>
              <w:t>承诺</w:t>
            </w:r>
          </w:p>
          <w:p>
            <w:pPr>
              <w:spacing w:line="360" w:lineRule="auto"/>
              <w:jc w:val="left"/>
              <w:rPr>
                <w:rFonts w:ascii="宋体" w:hAnsi="宋体" w:cs="宋体"/>
              </w:rPr>
            </w:pPr>
            <w:r>
              <w:rPr>
                <w:rFonts w:hint="eastAsia" w:ascii="Times New Roman" w:hAnsi="Times New Roman" w:eastAsia="仿宋_GB2312" w:cs="Times New Roman"/>
                <w:color w:val="000000" w:themeColor="text1"/>
                <w:kern w:val="0"/>
                <w:sz w:val="28"/>
                <w:szCs w:val="28"/>
                <w:lang w:val="zh-CN" w:eastAsia="zh-CN" w:bidi="ar-SA"/>
              </w:rPr>
              <w:t>（1</w:t>
            </w:r>
            <w:r>
              <w:rPr>
                <w:rFonts w:hint="eastAsia" w:ascii="Times New Roman" w:hAnsi="Times New Roman" w:cs="Times New Roman"/>
                <w:color w:val="000000" w:themeColor="text1"/>
                <w:kern w:val="0"/>
                <w:sz w:val="28"/>
                <w:szCs w:val="28"/>
                <w:lang w:val="en-US" w:eastAsia="zh-CN" w:bidi="ar-SA"/>
              </w:rPr>
              <w:t>0</w:t>
            </w:r>
            <w:r>
              <w:rPr>
                <w:rFonts w:hint="eastAsia" w:ascii="Times New Roman" w:hAnsi="Times New Roman" w:eastAsia="仿宋_GB2312" w:cs="Times New Roman"/>
                <w:color w:val="000000" w:themeColor="text1"/>
                <w:kern w:val="0"/>
                <w:sz w:val="28"/>
                <w:szCs w:val="28"/>
                <w:lang w:val="zh-CN" w:eastAsia="zh-CN" w:bidi="ar-SA"/>
              </w:rPr>
              <w:t>分）</w:t>
            </w:r>
          </w:p>
        </w:tc>
        <w:tc>
          <w:tcPr>
            <w:tcW w:w="6407" w:type="dxa"/>
            <w:tcBorders>
              <w:top w:val="single" w:color="auto" w:sz="4" w:space="0"/>
              <w:left w:val="nil"/>
              <w:bottom w:val="single" w:color="auto" w:sz="4" w:space="0"/>
              <w:right w:val="single" w:color="auto" w:sz="4" w:space="0"/>
            </w:tcBorders>
            <w:noWrap/>
            <w:vAlign w:val="center"/>
          </w:tcPr>
          <w:p>
            <w:pPr>
              <w:pStyle w:val="11"/>
              <w:spacing w:line="360" w:lineRule="auto"/>
              <w:rPr>
                <w:rFonts w:hint="eastAsia" w:cs="仿宋_GB2312" w:asciiTheme="minorEastAsia" w:hAnsiTheme="minorEastAsia"/>
                <w:color w:val="000000" w:themeColor="text1"/>
                <w:szCs w:val="21"/>
                <w:lang w:val="zh-CN" w:eastAsia="zh-CN"/>
              </w:rPr>
            </w:pPr>
            <w:r>
              <w:rPr>
                <w:rFonts w:hint="eastAsia" w:cs="仿宋_GB2312" w:asciiTheme="minorEastAsia" w:hAnsiTheme="minorEastAsia"/>
                <w:color w:val="000000" w:themeColor="text1"/>
                <w:szCs w:val="21"/>
                <w:lang w:val="en-US" w:eastAsia="zh-CN"/>
              </w:rPr>
              <w:t>1、</w:t>
            </w:r>
            <w:r>
              <w:rPr>
                <w:rFonts w:hint="eastAsia" w:cs="仿宋_GB2312" w:asciiTheme="minorEastAsia" w:hAnsiTheme="minorEastAsia"/>
                <w:color w:val="000000" w:themeColor="text1"/>
                <w:szCs w:val="21"/>
                <w:lang w:val="zh-CN" w:eastAsia="zh-CN"/>
              </w:rPr>
              <w:t>售后服务</w:t>
            </w:r>
          </w:p>
          <w:p>
            <w:pPr>
              <w:pStyle w:val="11"/>
              <w:spacing w:line="360" w:lineRule="auto"/>
              <w:rPr>
                <w:rFonts w:hint="eastAsia" w:eastAsia="宋体" w:cs="仿宋_GB2312" w:asciiTheme="minorEastAsia" w:hAnsiTheme="minorEastAsia"/>
                <w:color w:val="000000" w:themeColor="text1"/>
                <w:szCs w:val="21"/>
                <w:lang w:val="zh-CN" w:eastAsia="zh-CN"/>
              </w:rPr>
            </w:pPr>
            <w:r>
              <w:rPr>
                <w:rFonts w:hint="eastAsia" w:cs="仿宋_GB2312" w:asciiTheme="minorEastAsia" w:hAnsiTheme="minorEastAsia"/>
                <w:color w:val="000000" w:themeColor="text1"/>
                <w:szCs w:val="21"/>
                <w:lang w:val="zh-CN" w:eastAsia="zh-CN"/>
              </w:rPr>
              <w:t>根据承诺内容及针对采购人排忧解难情况及其他承诺情况等进行打分。</w:t>
            </w:r>
            <w:r>
              <w:rPr>
                <w:rFonts w:ascii="宋体" w:hAnsi="宋体" w:cs="宋体"/>
                <w:color w:val="000000" w:themeColor="text1"/>
              </w:rPr>
              <w:t>（</w:t>
            </w:r>
            <w:r>
              <w:rPr>
                <w:rFonts w:hint="eastAsia" w:cs="仿宋_GB2312" w:asciiTheme="minorEastAsia" w:hAnsiTheme="minorEastAsia"/>
                <w:color w:val="000000" w:themeColor="text1"/>
                <w:szCs w:val="21"/>
                <w:lang w:val="zh-CN"/>
              </w:rPr>
              <w:t>优</w:t>
            </w:r>
            <w:r>
              <w:rPr>
                <w:rFonts w:hint="eastAsia" w:cs="仿宋_GB2312" w:asciiTheme="minorEastAsia" w:hAnsiTheme="minorEastAsia"/>
                <w:color w:val="000000" w:themeColor="text1"/>
                <w:szCs w:val="21"/>
                <w:lang w:val="en-US" w:eastAsia="zh-CN"/>
              </w:rPr>
              <w:t>10</w:t>
            </w:r>
            <w:r>
              <w:rPr>
                <w:rFonts w:hint="eastAsia" w:cs="仿宋_GB2312" w:asciiTheme="minorEastAsia" w:hAnsiTheme="minorEastAsia"/>
                <w:color w:val="000000" w:themeColor="text1"/>
                <w:szCs w:val="21"/>
                <w:lang w:val="zh-CN"/>
              </w:rPr>
              <w:t>分  良</w:t>
            </w:r>
            <w:r>
              <w:rPr>
                <w:rFonts w:hint="eastAsia" w:cs="仿宋_GB2312" w:asciiTheme="minorEastAsia" w:hAnsiTheme="minorEastAsia"/>
                <w:color w:val="000000" w:themeColor="text1"/>
                <w:szCs w:val="21"/>
                <w:lang w:val="en-US" w:eastAsia="zh-CN"/>
              </w:rPr>
              <w:t>6</w:t>
            </w:r>
            <w:r>
              <w:rPr>
                <w:rFonts w:hint="eastAsia" w:cs="仿宋_GB2312" w:asciiTheme="minorEastAsia" w:hAnsiTheme="minorEastAsia"/>
                <w:color w:val="000000" w:themeColor="text1"/>
                <w:szCs w:val="21"/>
                <w:lang w:val="zh-CN"/>
              </w:rPr>
              <w:t>分  一般</w:t>
            </w:r>
            <w:r>
              <w:rPr>
                <w:rFonts w:hint="eastAsia" w:cs="仿宋_GB2312" w:asciiTheme="minorEastAsia" w:hAnsiTheme="minorEastAsia"/>
                <w:color w:val="000000" w:themeColor="text1"/>
                <w:szCs w:val="21"/>
                <w:lang w:val="en-US" w:eastAsia="zh-CN"/>
              </w:rPr>
              <w:t>3</w:t>
            </w:r>
            <w:r>
              <w:rPr>
                <w:rFonts w:hint="eastAsia" w:cs="仿宋_GB2312" w:asciiTheme="minorEastAsia" w:hAnsiTheme="minorEastAsia"/>
                <w:color w:val="000000" w:themeColor="text1"/>
                <w:szCs w:val="21"/>
                <w:lang w:val="zh-CN"/>
              </w:rPr>
              <w:t>分）</w:t>
            </w:r>
            <w:r>
              <w:rPr>
                <w:rFonts w:ascii="宋体" w:hAnsi="宋体" w:cs="宋体"/>
                <w:color w:val="000000" w:themeColor="text1"/>
              </w:rPr>
              <w:t>不提供的不得分</w:t>
            </w:r>
            <w:r>
              <w:rPr>
                <w:rFonts w:hint="eastAsia" w:ascii="宋体" w:hAnsi="宋体" w:cs="宋体"/>
                <w:color w:val="000000" w:themeColor="text1"/>
                <w:lang w:eastAsia="zh-CN"/>
              </w:rPr>
              <w:t>。</w:t>
            </w:r>
          </w:p>
          <w:p>
            <w:pPr>
              <w:pStyle w:val="11"/>
              <w:spacing w:line="360" w:lineRule="auto"/>
              <w:rPr>
                <w:rFonts w:ascii="宋体" w:hAnsi="宋体" w:cs="宋体"/>
              </w:rPr>
            </w:pPr>
            <w:r>
              <w:rPr>
                <w:rFonts w:hint="eastAsia" w:cs="仿宋_GB2312" w:asciiTheme="minorEastAsia" w:hAnsiTheme="minorEastAsia"/>
                <w:color w:val="000000" w:themeColor="text1"/>
                <w:szCs w:val="21"/>
                <w:lang w:val="zh-CN" w:eastAsia="zh-CN"/>
              </w:rPr>
              <w:t>注：承诺内容必须具有可行性，一旦承诺必须兑现。</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rightChars="0"/>
              <w:jc w:val="right"/>
              <w:rPr>
                <w:rFonts w:ascii="宋体" w:hAnsi="宋体" w:cs="宋体"/>
              </w:rPr>
            </w:pPr>
            <w:r>
              <w:rPr>
                <w:rFonts w:hint="eastAsia" w:ascii="宋体" w:hAnsi="宋体" w:cs="宋体"/>
                <w:color w:val="000000" w:themeColor="text1"/>
                <w:lang w:val="en-US" w:eastAsia="zh-CN"/>
              </w:rPr>
              <w:t>10</w:t>
            </w:r>
            <w:r>
              <w:rPr>
                <w:rFonts w:ascii="宋体" w:hAnsi="宋体" w:cs="宋体"/>
                <w:color w:val="000000" w:themeColor="text1"/>
              </w:rPr>
              <w:t>分</w:t>
            </w:r>
          </w:p>
        </w:tc>
      </w:tr>
    </w:tbl>
    <w:p>
      <w:pPr>
        <w:pStyle w:val="2"/>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
        <w:spacing w:line="360" w:lineRule="auto"/>
        <w:contextualSpacing/>
        <w:jc w:val="center"/>
        <w:rPr>
          <w:rFonts w:cs="宋体" w:asciiTheme="majorEastAsia" w:hAnsiTheme="majorEastAsia" w:eastAsiaTheme="majorEastAsia"/>
          <w:b/>
          <w:kern w:val="0"/>
          <w:sz w:val="36"/>
          <w:szCs w:val="36"/>
        </w:rPr>
      </w:pP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jc w:val="center"/>
        <w:rPr>
          <w:rFonts w:cs="宋体" w:asciiTheme="majorEastAsia" w:hAnsiTheme="majorEastAsia" w:eastAsiaTheme="majorEastAsia"/>
          <w:b/>
          <w:kern w:val="0"/>
          <w:sz w:val="36"/>
          <w:szCs w:val="36"/>
        </w:rPr>
      </w:pPr>
    </w:p>
    <w:p>
      <w:pPr>
        <w:pStyle w:val="2"/>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4023138"/>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2"/>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2"/>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2"/>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2"/>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2"/>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2"/>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2"/>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2"/>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2"/>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2"/>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2"/>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2"/>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2"/>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2"/>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2"/>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2"/>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2"/>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2"/>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2"/>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2"/>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2"/>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2"/>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2"/>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2"/>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2"/>
        <w:adjustRightInd w:val="0"/>
        <w:snapToGrid w:val="0"/>
        <w:spacing w:line="360" w:lineRule="auto"/>
        <w:rPr>
          <w:rFonts w:asciiTheme="minorEastAsia" w:hAnsiTheme="minorEastAsia" w:eastAsiaTheme="minorEastAsia"/>
          <w:sz w:val="21"/>
          <w:szCs w:val="21"/>
        </w:rPr>
      </w:pPr>
    </w:p>
    <w:p>
      <w:pPr>
        <w:pStyle w:val="2"/>
        <w:adjustRightInd w:val="0"/>
        <w:snapToGrid w:val="0"/>
        <w:spacing w:line="360" w:lineRule="auto"/>
        <w:rPr>
          <w:rFonts w:asciiTheme="minorEastAsia" w:hAnsiTheme="minorEastAsia" w:eastAsiaTheme="minorEastAsia"/>
          <w:sz w:val="21"/>
          <w:szCs w:val="21"/>
        </w:rPr>
      </w:pPr>
    </w:p>
    <w:p>
      <w:pPr>
        <w:pStyle w:val="2"/>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2"/>
        <w:spacing w:line="480" w:lineRule="auto"/>
        <w:ind w:firstLine="472" w:firstLineChars="225"/>
        <w:jc w:val="left"/>
        <w:rPr>
          <w:rFonts w:asciiTheme="minorEastAsia" w:hAnsiTheme="minorEastAsia"/>
          <w:sz w:val="21"/>
          <w:szCs w:val="21"/>
        </w:rPr>
      </w:pPr>
    </w:p>
    <w:p>
      <w:pPr>
        <w:pStyle w:val="4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4"/>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r>
        <w:rPr>
          <w:rFonts w:hint="eastAsia" w:cs="宋体" w:asciiTheme="minorEastAsia" w:hAnsiTheme="minorEastAsia"/>
          <w:szCs w:val="21"/>
          <w:lang w:val="en-US" w:eastAsia="zh-CN"/>
        </w:rPr>
        <w:t>或提供过虚假材料</w:t>
      </w:r>
      <w:r>
        <w:rPr>
          <w:rFonts w:cs="宋体" w:asciiTheme="minorEastAsia" w:hAnsiTheme="minorEastAsia"/>
          <w:szCs w:val="21"/>
          <w:lang w:val="zh-CN"/>
        </w:rPr>
        <w:t>；</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b/>
          <w:bCs/>
          <w:sz w:val="24"/>
          <w:szCs w:val="24"/>
        </w:rPr>
        <w:t>4.4</w:t>
      </w:r>
      <w:r>
        <w:rPr>
          <w:rFonts w:hint="eastAsia" w:ascii="宋体" w:hAnsi="宋体" w:eastAsia="宋体" w:cs="Arial"/>
          <w:b/>
          <w:bCs/>
          <w:color w:val="333333"/>
          <w:kern w:val="0"/>
          <w:sz w:val="29"/>
        </w:rPr>
        <w:t>中小企业声明函（服务）</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pPr>
        <w:autoSpaceDE w:val="0"/>
        <w:autoSpaceDN w:val="0"/>
        <w:adjustRightInd w:val="0"/>
        <w:spacing w:line="360" w:lineRule="auto"/>
        <w:outlineLvl w:val="0"/>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p>
    <w:p>
      <w:pPr>
        <w:shd w:val="clear" w:color="auto" w:fill="FFFFFF"/>
        <w:spacing w:before="100" w:beforeAutospacing="1" w:after="100" w:afterAutospacing="1" w:line="435" w:lineRule="atLeast"/>
        <w:rPr>
          <w:rFonts w:ascii="Arial" w:hAnsi="Arial" w:eastAsia="宋体" w:cs="Arial"/>
          <w:color w:val="333333"/>
          <w:kern w:val="0"/>
          <w:szCs w:val="21"/>
        </w:rPr>
      </w:pPr>
    </w:p>
    <w:p>
      <w:pPr>
        <w:autoSpaceDE w:val="0"/>
        <w:autoSpaceDN w:val="0"/>
        <w:adjustRightInd w:val="0"/>
        <w:spacing w:line="360" w:lineRule="auto"/>
        <w:jc w:val="center"/>
        <w:outlineLvl w:val="0"/>
        <w:rPr>
          <w:rFonts w:ascii="宋体" w:hAnsi="宋体"/>
          <w:b/>
          <w:bCs/>
          <w:sz w:val="24"/>
          <w:szCs w:val="24"/>
        </w:rPr>
      </w:pPr>
      <w:bookmarkStart w:id="10" w:name="OLE_LINK13"/>
      <w:bookmarkStart w:id="11" w:name="OLE_LINK14"/>
      <w:r>
        <w:rPr>
          <w:rFonts w:hint="eastAsia" w:ascii="宋体" w:hAnsi="宋体"/>
          <w:b/>
          <w:bCs/>
          <w:sz w:val="24"/>
          <w:szCs w:val="24"/>
        </w:rPr>
        <w:t>4.5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roma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roman"/>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Text Box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7">
    <w:nsid w:val="240994A6"/>
    <w:multiLevelType w:val="singleLevel"/>
    <w:tmpl w:val="240994A6"/>
    <w:lvl w:ilvl="0" w:tentative="0">
      <w:start w:val="1"/>
      <w:numFmt w:val="decimal"/>
      <w:suff w:val="nothing"/>
      <w:lvlText w:val="%1、"/>
      <w:lvlJc w:val="left"/>
    </w:lvl>
  </w:abstractNum>
  <w:abstractNum w:abstractNumId="28">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3">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5">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6">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2">
    <w:nsid w:val="59F817E8"/>
    <w:multiLevelType w:val="singleLevel"/>
    <w:tmpl w:val="59F817E8"/>
    <w:lvl w:ilvl="0" w:tentative="0">
      <w:start w:val="1"/>
      <w:numFmt w:val="chineseCounting"/>
      <w:pStyle w:val="51"/>
      <w:suff w:val="nothing"/>
      <w:lvlText w:val="%1、"/>
      <w:lvlJc w:val="left"/>
    </w:lvl>
  </w:abstractNum>
  <w:abstractNum w:abstractNumId="53">
    <w:nsid w:val="5A051E9E"/>
    <w:multiLevelType w:val="singleLevel"/>
    <w:tmpl w:val="5A051E9E"/>
    <w:lvl w:ilvl="0" w:tentative="0">
      <w:start w:val="1"/>
      <w:numFmt w:val="chineseCounting"/>
      <w:suff w:val="nothing"/>
      <w:lvlText w:val="%1、"/>
      <w:lvlJc w:val="left"/>
    </w:lvl>
  </w:abstractNum>
  <w:abstractNum w:abstractNumId="54">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7">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6">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7">
    <w:nsid w:val="6817507C"/>
    <w:multiLevelType w:val="singleLevel"/>
    <w:tmpl w:val="6817507C"/>
    <w:lvl w:ilvl="0" w:tentative="0">
      <w:start w:val="2"/>
      <w:numFmt w:val="chineseCounting"/>
      <w:suff w:val="nothing"/>
      <w:lvlText w:val="（%1）"/>
      <w:lvlJc w:val="left"/>
      <w:pPr>
        <w:widowControl/>
        <w:textAlignment w:val="baseline"/>
      </w:pPr>
    </w:lvl>
  </w:abstractNum>
  <w:abstractNum w:abstractNumId="68">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0">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2">
    <w:nsid w:val="6F740727"/>
    <w:multiLevelType w:val="singleLevel"/>
    <w:tmpl w:val="6F740727"/>
    <w:lvl w:ilvl="0" w:tentative="0">
      <w:start w:val="2"/>
      <w:numFmt w:val="decimal"/>
      <w:suff w:val="nothing"/>
      <w:lvlText w:val="%1、"/>
      <w:lvlJc w:val="left"/>
    </w:lvl>
  </w:abstractNum>
  <w:abstractNum w:abstractNumId="73">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7">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8">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9">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0">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1">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4">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52"/>
  </w:num>
  <w:num w:numId="4">
    <w:abstractNumId w:val="45"/>
  </w:num>
  <w:num w:numId="5">
    <w:abstractNumId w:val="53"/>
  </w:num>
  <w:num w:numId="6">
    <w:abstractNumId w:val="13"/>
  </w:num>
  <w:num w:numId="7">
    <w:abstractNumId w:val="8"/>
  </w:num>
  <w:num w:numId="8">
    <w:abstractNumId w:val="60"/>
  </w:num>
  <w:num w:numId="9">
    <w:abstractNumId w:val="81"/>
  </w:num>
  <w:num w:numId="10">
    <w:abstractNumId w:val="86"/>
  </w:num>
  <w:num w:numId="11">
    <w:abstractNumId w:val="42"/>
  </w:num>
  <w:num w:numId="12">
    <w:abstractNumId w:val="47"/>
  </w:num>
  <w:num w:numId="13">
    <w:abstractNumId w:val="49"/>
  </w:num>
  <w:num w:numId="14">
    <w:abstractNumId w:val="75"/>
  </w:num>
  <w:num w:numId="15">
    <w:abstractNumId w:val="37"/>
  </w:num>
  <w:num w:numId="16">
    <w:abstractNumId w:val="34"/>
  </w:num>
  <w:num w:numId="17">
    <w:abstractNumId w:val="67"/>
  </w:num>
  <w:num w:numId="18">
    <w:abstractNumId w:val="25"/>
  </w:num>
  <w:num w:numId="19">
    <w:abstractNumId w:val="69"/>
  </w:num>
  <w:num w:numId="20">
    <w:abstractNumId w:val="32"/>
  </w:num>
  <w:num w:numId="21">
    <w:abstractNumId w:val="35"/>
  </w:num>
  <w:num w:numId="22">
    <w:abstractNumId w:val="63"/>
  </w:num>
  <w:num w:numId="23">
    <w:abstractNumId w:val="17"/>
  </w:num>
  <w:num w:numId="24">
    <w:abstractNumId w:val="19"/>
  </w:num>
  <w:num w:numId="25">
    <w:abstractNumId w:val="85"/>
  </w:num>
  <w:num w:numId="26">
    <w:abstractNumId w:val="59"/>
  </w:num>
  <w:num w:numId="27">
    <w:abstractNumId w:val="82"/>
  </w:num>
  <w:num w:numId="28">
    <w:abstractNumId w:val="9"/>
  </w:num>
  <w:num w:numId="29">
    <w:abstractNumId w:val="11"/>
  </w:num>
  <w:num w:numId="30">
    <w:abstractNumId w:val="57"/>
  </w:num>
  <w:num w:numId="31">
    <w:abstractNumId w:val="30"/>
  </w:num>
  <w:num w:numId="32">
    <w:abstractNumId w:val="54"/>
  </w:num>
  <w:num w:numId="33">
    <w:abstractNumId w:val="68"/>
  </w:num>
  <w:num w:numId="34">
    <w:abstractNumId w:val="39"/>
  </w:num>
  <w:num w:numId="35">
    <w:abstractNumId w:val="31"/>
  </w:num>
  <w:num w:numId="36">
    <w:abstractNumId w:val="5"/>
  </w:num>
  <w:num w:numId="37">
    <w:abstractNumId w:val="22"/>
  </w:num>
  <w:num w:numId="38">
    <w:abstractNumId w:val="21"/>
  </w:num>
  <w:num w:numId="39">
    <w:abstractNumId w:val="80"/>
  </w:num>
  <w:num w:numId="40">
    <w:abstractNumId w:val="70"/>
  </w:num>
  <w:num w:numId="41">
    <w:abstractNumId w:val="62"/>
  </w:num>
  <w:num w:numId="42">
    <w:abstractNumId w:val="74"/>
  </w:num>
  <w:num w:numId="43">
    <w:abstractNumId w:val="48"/>
  </w:num>
  <w:num w:numId="44">
    <w:abstractNumId w:val="12"/>
  </w:num>
  <w:num w:numId="45">
    <w:abstractNumId w:val="24"/>
  </w:num>
  <w:num w:numId="46">
    <w:abstractNumId w:val="64"/>
  </w:num>
  <w:num w:numId="47">
    <w:abstractNumId w:val="36"/>
  </w:num>
  <w:num w:numId="48">
    <w:abstractNumId w:val="46"/>
  </w:num>
  <w:num w:numId="49">
    <w:abstractNumId w:val="71"/>
  </w:num>
  <w:num w:numId="50">
    <w:abstractNumId w:val="56"/>
  </w:num>
  <w:num w:numId="51">
    <w:abstractNumId w:val="38"/>
  </w:num>
  <w:num w:numId="52">
    <w:abstractNumId w:val="26"/>
  </w:num>
  <w:num w:numId="53">
    <w:abstractNumId w:val="28"/>
  </w:num>
  <w:num w:numId="54">
    <w:abstractNumId w:val="79"/>
  </w:num>
  <w:num w:numId="55">
    <w:abstractNumId w:val="29"/>
  </w:num>
  <w:num w:numId="56">
    <w:abstractNumId w:val="23"/>
  </w:num>
  <w:num w:numId="57">
    <w:abstractNumId w:val="10"/>
  </w:num>
  <w:num w:numId="58">
    <w:abstractNumId w:val="51"/>
  </w:num>
  <w:num w:numId="59">
    <w:abstractNumId w:val="44"/>
  </w:num>
  <w:num w:numId="60">
    <w:abstractNumId w:val="4"/>
  </w:num>
  <w:num w:numId="61">
    <w:abstractNumId w:val="6"/>
  </w:num>
  <w:num w:numId="62">
    <w:abstractNumId w:val="18"/>
  </w:num>
  <w:num w:numId="63">
    <w:abstractNumId w:val="61"/>
  </w:num>
  <w:num w:numId="64">
    <w:abstractNumId w:val="50"/>
  </w:num>
  <w:num w:numId="65">
    <w:abstractNumId w:val="78"/>
  </w:num>
  <w:num w:numId="66">
    <w:abstractNumId w:val="41"/>
  </w:num>
  <w:num w:numId="67">
    <w:abstractNumId w:val="84"/>
  </w:num>
  <w:num w:numId="68">
    <w:abstractNumId w:val="87"/>
  </w:num>
  <w:num w:numId="69">
    <w:abstractNumId w:val="20"/>
  </w:num>
  <w:num w:numId="70">
    <w:abstractNumId w:val="14"/>
  </w:num>
  <w:num w:numId="71">
    <w:abstractNumId w:val="43"/>
  </w:num>
  <w:num w:numId="72">
    <w:abstractNumId w:val="76"/>
  </w:num>
  <w:num w:numId="73">
    <w:abstractNumId w:val="73"/>
  </w:num>
  <w:num w:numId="74">
    <w:abstractNumId w:val="58"/>
  </w:num>
  <w:num w:numId="75">
    <w:abstractNumId w:val="3"/>
  </w:num>
  <w:num w:numId="76">
    <w:abstractNumId w:val="77"/>
  </w:num>
  <w:num w:numId="77">
    <w:abstractNumId w:val="2"/>
  </w:num>
  <w:num w:numId="78">
    <w:abstractNumId w:val="16"/>
  </w:num>
  <w:num w:numId="79">
    <w:abstractNumId w:val="55"/>
  </w:num>
  <w:num w:numId="80">
    <w:abstractNumId w:val="15"/>
  </w:num>
  <w:num w:numId="81">
    <w:abstractNumId w:val="66"/>
  </w:num>
  <w:num w:numId="82">
    <w:abstractNumId w:val="7"/>
  </w:num>
  <w:num w:numId="83">
    <w:abstractNumId w:val="65"/>
  </w:num>
  <w:num w:numId="84">
    <w:abstractNumId w:val="33"/>
  </w:num>
  <w:num w:numId="85">
    <w:abstractNumId w:val="40"/>
  </w:num>
  <w:num w:numId="86">
    <w:abstractNumId w:val="83"/>
  </w:num>
  <w:num w:numId="87">
    <w:abstractNumId w:val="27"/>
  </w:num>
  <w:num w:numId="88">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23C4E17"/>
    <w:rsid w:val="063B6381"/>
    <w:rsid w:val="069F7723"/>
    <w:rsid w:val="07FA4B11"/>
    <w:rsid w:val="08E7715F"/>
    <w:rsid w:val="130A56B8"/>
    <w:rsid w:val="15E92769"/>
    <w:rsid w:val="17231CAA"/>
    <w:rsid w:val="19445F08"/>
    <w:rsid w:val="1C3D380E"/>
    <w:rsid w:val="1E6A01BF"/>
    <w:rsid w:val="22B91715"/>
    <w:rsid w:val="232559FC"/>
    <w:rsid w:val="27980351"/>
    <w:rsid w:val="2DD92C6B"/>
    <w:rsid w:val="2F2148C9"/>
    <w:rsid w:val="2FDB0F1C"/>
    <w:rsid w:val="30B26121"/>
    <w:rsid w:val="32DF2AD1"/>
    <w:rsid w:val="35951B6D"/>
    <w:rsid w:val="38F80C60"/>
    <w:rsid w:val="3AA7481D"/>
    <w:rsid w:val="3C0E4427"/>
    <w:rsid w:val="3E963D85"/>
    <w:rsid w:val="3EBB719B"/>
    <w:rsid w:val="4517434D"/>
    <w:rsid w:val="472C0E00"/>
    <w:rsid w:val="4A795F54"/>
    <w:rsid w:val="4B8432E3"/>
    <w:rsid w:val="4DF74D1B"/>
    <w:rsid w:val="50067498"/>
    <w:rsid w:val="501716A5"/>
    <w:rsid w:val="5043249A"/>
    <w:rsid w:val="57E57B32"/>
    <w:rsid w:val="58BC54DF"/>
    <w:rsid w:val="58D2260D"/>
    <w:rsid w:val="5EBF15F8"/>
    <w:rsid w:val="603D6F06"/>
    <w:rsid w:val="672524A2"/>
    <w:rsid w:val="688B340F"/>
    <w:rsid w:val="69317154"/>
    <w:rsid w:val="70AE52B6"/>
    <w:rsid w:val="715776FB"/>
    <w:rsid w:val="769242F2"/>
    <w:rsid w:val="77AE203F"/>
    <w:rsid w:val="780A3F32"/>
    <w:rsid w:val="78324A1E"/>
    <w:rsid w:val="7DE60785"/>
    <w:rsid w:val="7ED76320"/>
    <w:rsid w:val="7F5860A6"/>
    <w:rsid w:val="7FAB3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4"/>
    <w:qFormat/>
    <w:uiPriority w:val="0"/>
    <w:rPr>
      <w:rFonts w:eastAsia="宋体"/>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5"/>
    <w:basedOn w:val="1"/>
    <w:next w:val="1"/>
    <w:qFormat/>
    <w:uiPriority w:val="0"/>
    <w:pPr>
      <w:ind w:left="1680"/>
    </w:pPr>
    <w:rPr>
      <w:rFonts w:cs="Times New Roman"/>
    </w:rPr>
  </w:style>
  <w:style w:type="paragraph" w:styleId="10">
    <w:name w:val="Body Text 3"/>
    <w:basedOn w:val="1"/>
    <w:link w:val="48"/>
    <w:qFormat/>
    <w:uiPriority w:val="0"/>
    <w:rPr>
      <w:rFonts w:ascii="Times New Roman" w:hAnsi="Times New Roman" w:eastAsia="宋体" w:cs="Times New Roman"/>
      <w:color w:val="FF0000"/>
      <w:sz w:val="24"/>
      <w:szCs w:val="24"/>
    </w:rPr>
  </w:style>
  <w:style w:type="paragraph" w:styleId="11">
    <w:name w:val="Body Text"/>
    <w:basedOn w:val="1"/>
    <w:next w:val="12"/>
    <w:link w:val="52"/>
    <w:unhideWhenUsed/>
    <w:qFormat/>
    <w:uiPriority w:val="99"/>
    <w:pPr>
      <w:spacing w:after="120"/>
    </w:pPr>
  </w:style>
  <w:style w:type="paragraph" w:styleId="12">
    <w:name w:val="Body Text 2"/>
    <w:basedOn w:val="1"/>
    <w:qFormat/>
    <w:uiPriority w:val="0"/>
    <w:pPr>
      <w:spacing w:line="480" w:lineRule="auto"/>
      <w:ind w:right="357"/>
    </w:pPr>
    <w:rPr>
      <w:szCs w:val="20"/>
    </w:rPr>
  </w:style>
  <w:style w:type="paragraph" w:styleId="13">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Date"/>
    <w:basedOn w:val="1"/>
    <w:next w:val="1"/>
    <w:link w:val="35"/>
    <w:unhideWhenUsed/>
    <w:qFormat/>
    <w:uiPriority w:val="99"/>
    <w:pPr>
      <w:ind w:left="100" w:leftChars="2500"/>
    </w:pPr>
  </w:style>
  <w:style w:type="paragraph" w:styleId="17">
    <w:name w:val="Balloon Text"/>
    <w:basedOn w:val="1"/>
    <w:link w:val="59"/>
    <w:semiHidden/>
    <w:unhideWhenUsed/>
    <w:qFormat/>
    <w:uiPriority w:val="99"/>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1"/>
    <w:link w:val="53"/>
    <w:qFormat/>
    <w:uiPriority w:val="0"/>
    <w:pPr>
      <w:ind w:firstLine="420" w:firstLineChars="100"/>
    </w:pPr>
    <w:rPr>
      <w:rFonts w:ascii="宋体" w:hAnsi="Times New Roman" w:eastAsia="宋体" w:cs="Times New Roman"/>
      <w:kern w:val="0"/>
      <w:sz w:val="34"/>
      <w:szCs w:val="20"/>
    </w:r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unhideWhenUsed/>
    <w:qFormat/>
    <w:uiPriority w:val="0"/>
    <w:rPr>
      <w:color w:val="0000FF"/>
      <w:u w:val="single"/>
    </w:rPr>
  </w:style>
  <w:style w:type="paragraph" w:customStyle="1" w:styleId="29">
    <w:name w:val="列出段落1"/>
    <w:basedOn w:val="1"/>
    <w:next w:val="9"/>
    <w:qFormat/>
    <w:uiPriority w:val="0"/>
    <w:pPr>
      <w:ind w:firstLine="420" w:firstLineChars="200"/>
    </w:p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纯文本 Char"/>
    <w:basedOn w:val="25"/>
    <w:link w:val="2"/>
    <w:qFormat/>
    <w:uiPriority w:val="0"/>
    <w:rPr>
      <w:rFonts w:eastAsia="宋体"/>
      <w:sz w:val="24"/>
    </w:rPr>
  </w:style>
  <w:style w:type="character" w:customStyle="1" w:styleId="35">
    <w:name w:val="日期 Char"/>
    <w:basedOn w:val="25"/>
    <w:link w:val="16"/>
    <w:qFormat/>
    <w:uiPriority w:val="99"/>
  </w:style>
  <w:style w:type="character" w:customStyle="1" w:styleId="36">
    <w:name w:val="页脚 Char"/>
    <w:basedOn w:val="25"/>
    <w:link w:val="18"/>
    <w:qFormat/>
    <w:uiPriority w:val="99"/>
    <w:rPr>
      <w:sz w:val="18"/>
      <w:szCs w:val="18"/>
    </w:rPr>
  </w:style>
  <w:style w:type="character" w:customStyle="1" w:styleId="37">
    <w:name w:val="页眉 Char"/>
    <w:basedOn w:val="25"/>
    <w:link w:val="19"/>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10"/>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11"/>
    <w:qFormat/>
    <w:uiPriority w:val="99"/>
  </w:style>
  <w:style w:type="character" w:customStyle="1" w:styleId="53">
    <w:name w:val="正文首行缩进 Char"/>
    <w:basedOn w:val="52"/>
    <w:link w:val="23"/>
    <w:qFormat/>
    <w:uiPriority w:val="0"/>
    <w:rPr>
      <w:rFonts w:ascii="宋体" w:hAnsi="Times New Roman" w:eastAsia="宋体" w:cs="Times New Roman"/>
      <w:kern w:val="0"/>
      <w:sz w:val="34"/>
      <w:szCs w:val="20"/>
    </w:rPr>
  </w:style>
  <w:style w:type="character" w:customStyle="1" w:styleId="54">
    <w:name w:val="HTML 预设格式 Char"/>
    <w:basedOn w:val="25"/>
    <w:semiHidden/>
    <w:qFormat/>
    <w:uiPriority w:val="99"/>
    <w:rPr>
      <w:rFonts w:ascii="宋体" w:hAnsi="宋体" w:eastAsia="宋体" w:cs="宋体"/>
      <w:kern w:val="0"/>
      <w:sz w:val="24"/>
      <w:szCs w:val="24"/>
    </w:rPr>
  </w:style>
  <w:style w:type="character" w:customStyle="1" w:styleId="55">
    <w:name w:val="HTML 预设格式 Char1"/>
    <w:basedOn w:val="25"/>
    <w:link w:val="21"/>
    <w:semiHidden/>
    <w:qFormat/>
    <w:uiPriority w:val="99"/>
    <w:rPr>
      <w:rFonts w:ascii="Courier New" w:hAnsi="Courier New" w:cs="Courier New"/>
      <w:sz w:val="20"/>
      <w:szCs w:val="20"/>
    </w:rPr>
  </w:style>
  <w:style w:type="character" w:customStyle="1" w:styleId="56">
    <w:name w:val="正文文本缩进 Char"/>
    <w:qFormat/>
    <w:uiPriority w:val="0"/>
    <w:rPr>
      <w:sz w:val="24"/>
    </w:rPr>
  </w:style>
  <w:style w:type="character" w:customStyle="1" w:styleId="57">
    <w:name w:val="正文文本缩进 Char1"/>
    <w:basedOn w:val="25"/>
    <w:link w:val="13"/>
    <w:semiHidden/>
    <w:qFormat/>
    <w:uiPriority w:val="99"/>
  </w:style>
  <w:style w:type="character" w:customStyle="1" w:styleId="58">
    <w:name w:val="批注框文本 Char"/>
    <w:basedOn w:val="25"/>
    <w:semiHidden/>
    <w:qFormat/>
    <w:uiPriority w:val="99"/>
    <w:rPr>
      <w:sz w:val="18"/>
      <w:szCs w:val="18"/>
    </w:rPr>
  </w:style>
  <w:style w:type="character" w:customStyle="1" w:styleId="59">
    <w:name w:val="批注框文本 Char1"/>
    <w:basedOn w:val="25"/>
    <w:link w:val="17"/>
    <w:semiHidden/>
    <w:qFormat/>
    <w:uiPriority w:val="99"/>
    <w:rPr>
      <w:sz w:val="18"/>
      <w:szCs w:val="18"/>
    </w:rPr>
  </w:style>
  <w:style w:type="paragraph" w:customStyle="1" w:styleId="60">
    <w:name w:val="Table Paragraph"/>
    <w:basedOn w:val="1"/>
    <w:qFormat/>
    <w:uiPriority w:val="1"/>
    <w:rPr>
      <w:rFonts w:ascii="Arial Unicode MS" w:hAnsi="Arial Unicode MS" w:eastAsia="Arial Unicode MS" w:cs="Arial Unicode MS"/>
      <w:lang w:val="zh-CN" w:bidi="zh-CN"/>
    </w:rPr>
  </w:style>
  <w:style w:type="paragraph" w:customStyle="1" w:styleId="61">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2">
    <w:name w:val="style4"/>
    <w:basedOn w:val="1"/>
    <w:next w:val="1"/>
    <w:qFormat/>
    <w:uiPriority w:val="0"/>
    <w:pPr>
      <w:widowControl/>
      <w:spacing w:before="280" w:after="280"/>
    </w:pPr>
    <w:rPr>
      <w:rFonts w:ascii="宋体" w:hAnsi="Times New Roman" w:eastAsia="宋体" w:cs="Times New Roman"/>
      <w:sz w:val="18"/>
      <w:szCs w:val="24"/>
    </w:rPr>
  </w:style>
  <w:style w:type="paragraph" w:customStyle="1" w:styleId="63">
    <w:name w:val="表格文字"/>
    <w:basedOn w:val="1"/>
    <w:next w:val="11"/>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64">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5E651-382F-4734-B37A-A0970C7900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32860</Words>
  <Characters>33990</Characters>
  <Lines>301</Lines>
  <Paragraphs>84</Paragraphs>
  <TotalTime>16</TotalTime>
  <ScaleCrop>false</ScaleCrop>
  <LinksUpToDate>false</LinksUpToDate>
  <CharactersWithSpaces>34739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禹州市公共资源交易中心:刘浩</cp:lastModifiedBy>
  <cp:lastPrinted>2022-06-28T10:10:00Z</cp:lastPrinted>
  <dcterms:modified xsi:type="dcterms:W3CDTF">2023-05-17T00:54:03Z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78616924516A47D197B367D8405EC61C_12</vt:lpwstr>
  </property>
</Properties>
</file>