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一高国家标准化考场设备采购项目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2"/>
      </w:pPr>
    </w:p>
    <w:p>
      <w:pPr>
        <w:ind w:firstLine="840" w:firstLineChars="4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第一</w:t>
      </w:r>
      <w:r>
        <w:rPr>
          <w:rFonts w:hint="eastAsia" w:asciiTheme="majorEastAsia" w:hAnsiTheme="majorEastAsia" w:eastAsiaTheme="majorEastAsia" w:cstheme="majorEastAsia"/>
          <w:szCs w:val="21"/>
        </w:rPr>
        <w:t>高级中学的委托，就“ 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一高国家标准化考场设备采购项目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第一</w:t>
      </w:r>
      <w:r>
        <w:rPr>
          <w:rFonts w:hint="eastAsia" w:asciiTheme="majorEastAsia" w:hAnsiTheme="majorEastAsia" w:eastAsiaTheme="majorEastAsia" w:cstheme="majorEastAsia"/>
          <w:szCs w:val="21"/>
        </w:rPr>
        <w:t>高级中学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一高国家标准化考场设备采购项目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3014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4、项目需求：标准化考场设备一批（详见磋商文件）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551900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9日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2、磋商地点：禹州市公共资源交易中心九楼第二开标室。（本项目采用远程不见面竞争性磋商，供应商无须到达现场）。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第一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高级中学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振兴路39号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8138086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6BA7365"/>
    <w:rsid w:val="2712565A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3F2F42B6"/>
    <w:rsid w:val="40C00198"/>
    <w:rsid w:val="42107AA8"/>
    <w:rsid w:val="4230469C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BDF7CB1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3</TotalTime>
  <ScaleCrop>false</ScaleCrop>
  <LinksUpToDate>false</LinksUpToDate>
  <CharactersWithSpaces>1305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2022-12-06T01:35:00Z</cp:lastPrinted>
  <dcterms:modified xsi:type="dcterms:W3CDTF">2023-05-17T02:22:37Z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AB01113BE6C44B85A33866EC45A4541A</vt:lpwstr>
  </property>
</Properties>
</file>