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center"/>
        <w:rPr>
          <w:rFonts w:ascii="黑体" w:hAnsi="黑体" w:eastAsia="黑体" w:cs="宋体"/>
          <w:b/>
          <w:bCs/>
          <w:color w:val="000000"/>
          <w:sz w:val="32"/>
          <w:szCs w:val="32"/>
        </w:rPr>
      </w:pPr>
      <w:r>
        <w:rPr>
          <w:rFonts w:hint="eastAsia" w:ascii="黑体" w:hAnsi="黑体" w:eastAsia="黑体" w:cs="宋体"/>
          <w:b/>
          <w:bCs/>
          <w:color w:val="000000"/>
          <w:sz w:val="36"/>
          <w:szCs w:val="36"/>
        </w:rPr>
        <w:t>禹州市一高物业服务项目（不见面开标）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采购编号： YZCG-G2023008</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采购单位：禹州市第一高级中学</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二〇二三年三月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0"/>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0"/>
        <w:widowControl/>
        <w:shd w:val="clear" w:color="auto" w:fill="FFFFFF"/>
        <w:spacing w:line="360" w:lineRule="auto"/>
        <w:ind w:left="2715"/>
        <w:contextualSpacing/>
        <w:jc w:val="left"/>
        <w:rPr>
          <w:rFonts w:cs="Helvetica" w:asciiTheme="minorHAnsi" w:hAnsiTheme="minorHAnsi" w:eastAsiaTheme="minorEastAsia"/>
          <w:sz w:val="21"/>
          <w:szCs w:val="22"/>
        </w:rPr>
      </w:pPr>
    </w:p>
    <w:p>
      <w:pPr>
        <w:widowControl/>
        <w:shd w:val="clear" w:color="auto" w:fill="FFFFFF"/>
        <w:spacing w:line="440" w:lineRule="exact"/>
        <w:ind w:firstLine="420" w:firstLineChars="200"/>
        <w:jc w:val="left"/>
        <w:rPr>
          <w:rFonts w:cs="Helvetica"/>
        </w:rPr>
      </w:pPr>
      <w:r>
        <w:rPr>
          <w:rFonts w:hint="eastAsia" w:cs="Helvetica"/>
        </w:rPr>
        <w:t>禹州市政府采购中心受禹州市第一高级中学的委托，就“禹州市一高物业服务项目（不见面开标）”进行公开招标，欢迎合格的投标人前来投标。</w:t>
      </w:r>
    </w:p>
    <w:p>
      <w:pPr>
        <w:widowControl/>
        <w:numPr>
          <w:ilvl w:val="0"/>
          <w:numId w:val="5"/>
        </w:numPr>
        <w:shd w:val="clear" w:color="auto" w:fill="FFFFFF"/>
        <w:spacing w:line="440" w:lineRule="exact"/>
        <w:ind w:firstLine="482"/>
        <w:jc w:val="left"/>
        <w:rPr>
          <w:rFonts w:cs="Helvetica"/>
          <w:b/>
        </w:rPr>
      </w:pPr>
      <w:r>
        <w:rPr>
          <w:rFonts w:hint="eastAsia" w:cs="Helvetica"/>
          <w:b/>
        </w:rPr>
        <w:t>项目基本情况</w:t>
      </w:r>
    </w:p>
    <w:p>
      <w:pPr>
        <w:widowControl/>
        <w:numPr>
          <w:ilvl w:val="0"/>
          <w:numId w:val="6"/>
        </w:numPr>
        <w:shd w:val="clear" w:color="auto" w:fill="FFFFFF"/>
        <w:spacing w:line="440" w:lineRule="exact"/>
        <w:jc w:val="left"/>
        <w:rPr>
          <w:rFonts w:cs="Helvetica"/>
        </w:rPr>
      </w:pPr>
      <w:r>
        <w:rPr>
          <w:rFonts w:hint="eastAsia" w:cs="Helvetica"/>
        </w:rPr>
        <w:t>采购人：禹州市第一高级中学</w:t>
      </w:r>
    </w:p>
    <w:p>
      <w:pPr>
        <w:pStyle w:val="38"/>
        <w:widowControl/>
        <w:numPr>
          <w:ilvl w:val="0"/>
          <w:numId w:val="6"/>
        </w:numPr>
        <w:shd w:val="clear" w:color="auto" w:fill="FFFFFF"/>
        <w:spacing w:line="440" w:lineRule="exact"/>
        <w:ind w:firstLineChars="0"/>
        <w:jc w:val="left"/>
        <w:rPr>
          <w:rFonts w:cs="Helvetica"/>
        </w:rPr>
      </w:pPr>
      <w:r>
        <w:rPr>
          <w:rFonts w:hint="eastAsia" w:cs="Helvetica"/>
        </w:rPr>
        <w:t>项目名称：禹州市一高物业服务项目（不见面开标）</w:t>
      </w:r>
    </w:p>
    <w:p>
      <w:pPr>
        <w:pStyle w:val="38"/>
        <w:widowControl/>
        <w:shd w:val="clear" w:color="auto" w:fill="FFFFFF"/>
        <w:spacing w:line="440" w:lineRule="exact"/>
        <w:ind w:left="120" w:leftChars="57" w:firstLine="315" w:firstLineChars="150"/>
        <w:jc w:val="left"/>
        <w:rPr>
          <w:rFonts w:cs="Helvetica"/>
        </w:rPr>
      </w:pPr>
      <w:r>
        <w:rPr>
          <w:rFonts w:hint="eastAsia" w:cs="Helvetica"/>
        </w:rPr>
        <w:t>3、采购编号：YZCG-G2023008</w:t>
      </w:r>
    </w:p>
    <w:p>
      <w:pPr>
        <w:widowControl/>
        <w:shd w:val="clear" w:color="auto" w:fill="FFFFFF"/>
        <w:spacing w:line="440" w:lineRule="exact"/>
        <w:ind w:firstLine="482"/>
        <w:jc w:val="left"/>
        <w:rPr>
          <w:rFonts w:cs="Helvetica"/>
        </w:rPr>
      </w:pPr>
      <w:r>
        <w:rPr>
          <w:rFonts w:hint="eastAsia" w:cs="Helvetica"/>
        </w:rPr>
        <w:t>4、项目需求：物业管理及保安等服务（详见招标文件）</w:t>
      </w:r>
    </w:p>
    <w:p>
      <w:pPr>
        <w:widowControl/>
        <w:shd w:val="clear" w:color="auto" w:fill="FFFFFF"/>
        <w:spacing w:line="440" w:lineRule="exact"/>
        <w:ind w:firstLine="482"/>
        <w:jc w:val="left"/>
        <w:rPr>
          <w:rFonts w:cs="Helvetica"/>
        </w:rPr>
      </w:pPr>
      <w:r>
        <w:rPr>
          <w:rFonts w:hint="eastAsia" w:cs="Helvetica"/>
        </w:rPr>
        <w:t>5、合同履行期限：合同签订后三年</w:t>
      </w:r>
    </w:p>
    <w:p>
      <w:pPr>
        <w:widowControl/>
        <w:shd w:val="clear" w:color="auto" w:fill="FFFFFF"/>
        <w:spacing w:line="440" w:lineRule="exact"/>
        <w:ind w:firstLine="482"/>
        <w:jc w:val="left"/>
        <w:rPr>
          <w:rFonts w:cs="Helvetica"/>
        </w:rPr>
      </w:pPr>
      <w:r>
        <w:rPr>
          <w:rFonts w:hint="eastAsia" w:cs="Helvetica"/>
        </w:rPr>
        <w:t>6、采购预算：4413600元</w:t>
      </w:r>
    </w:p>
    <w:p>
      <w:pPr>
        <w:widowControl/>
        <w:shd w:val="clear" w:color="auto" w:fill="FFFFFF"/>
        <w:spacing w:line="440" w:lineRule="exact"/>
        <w:ind w:firstLine="315" w:firstLineChars="150"/>
        <w:jc w:val="left"/>
        <w:rPr>
          <w:rFonts w:cs="Helvetica"/>
        </w:rPr>
      </w:pPr>
      <w:r>
        <w:rPr>
          <w:rFonts w:hint="eastAsia" w:cs="Helvetica"/>
        </w:rPr>
        <w:t xml:space="preserve"> 7、最高限价：4413600元</w:t>
      </w:r>
    </w:p>
    <w:p>
      <w:pPr>
        <w:widowControl/>
        <w:shd w:val="clear" w:color="auto" w:fill="FFFFFF"/>
        <w:spacing w:line="440" w:lineRule="exact"/>
        <w:ind w:firstLine="310" w:firstLineChars="147"/>
        <w:jc w:val="left"/>
        <w:rPr>
          <w:rFonts w:cs="Helvetica"/>
          <w:b/>
        </w:rPr>
      </w:pPr>
      <w:r>
        <w:rPr>
          <w:rFonts w:hint="eastAsia" w:cs="Helvetica"/>
          <w:b/>
        </w:rPr>
        <w:t>二、需要落实的政府采购政策</w:t>
      </w:r>
    </w:p>
    <w:p>
      <w:pPr>
        <w:widowControl/>
        <w:shd w:val="clear" w:color="auto" w:fill="FFFFFF"/>
        <w:spacing w:line="440" w:lineRule="exact"/>
        <w:ind w:firstLine="420" w:firstLineChars="200"/>
        <w:jc w:val="left"/>
        <w:rPr>
          <w:rFonts w:cs="Helvetica"/>
        </w:rPr>
      </w:pPr>
      <w:r>
        <w:rPr>
          <w:rFonts w:hint="eastAsia" w:cs="Helvetica"/>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项目。）</w:t>
      </w:r>
    </w:p>
    <w:p>
      <w:pPr>
        <w:widowControl/>
        <w:shd w:val="clear" w:color="auto" w:fill="FFFFFF"/>
        <w:spacing w:line="440" w:lineRule="exact"/>
        <w:ind w:firstLine="211" w:firstLineChars="100"/>
        <w:jc w:val="left"/>
        <w:rPr>
          <w:rFonts w:cs="Helvetica"/>
          <w:b/>
        </w:rPr>
      </w:pPr>
      <w:r>
        <w:rPr>
          <w:rFonts w:hint="eastAsia" w:cs="Helvetica"/>
          <w:b/>
        </w:rPr>
        <w:t>三、供应商资格要求</w:t>
      </w:r>
    </w:p>
    <w:p>
      <w:pPr>
        <w:pStyle w:val="38"/>
        <w:widowControl/>
        <w:shd w:val="clear" w:color="auto" w:fill="FFFFFF"/>
        <w:spacing w:line="440" w:lineRule="exact"/>
        <w:ind w:left="481" w:leftChars="229" w:firstLine="105" w:firstLineChars="50"/>
        <w:jc w:val="left"/>
        <w:rPr>
          <w:rFonts w:cs="Helvetica"/>
        </w:rPr>
      </w:pPr>
      <w:r>
        <w:rPr>
          <w:rFonts w:hint="eastAsia" w:cs="Helvetica"/>
        </w:rPr>
        <w:t>1、符合《政府采购法》第二十二条之规定；</w:t>
      </w:r>
    </w:p>
    <w:p>
      <w:pPr>
        <w:widowControl/>
        <w:shd w:val="clear" w:color="auto" w:fill="FFFFFF"/>
        <w:spacing w:line="440" w:lineRule="exact"/>
        <w:ind w:firstLine="420" w:firstLineChars="200"/>
        <w:jc w:val="left"/>
        <w:rPr>
          <w:rFonts w:cs="Helvetica"/>
        </w:rPr>
      </w:pPr>
      <w:r>
        <w:rPr>
          <w:rFonts w:hint="eastAsia" w:cs="Helvetica"/>
        </w:rPr>
        <w:t>2、本项目不接受联合体投标。</w:t>
      </w:r>
    </w:p>
    <w:p>
      <w:pPr>
        <w:widowControl/>
        <w:shd w:val="clear" w:color="auto" w:fill="FFFFFF"/>
        <w:spacing w:line="440" w:lineRule="exact"/>
        <w:ind w:firstLine="482"/>
        <w:jc w:val="left"/>
        <w:rPr>
          <w:rFonts w:cs="Helvetica"/>
          <w:b/>
        </w:rPr>
      </w:pPr>
      <w:r>
        <w:rPr>
          <w:rFonts w:hint="eastAsia" w:cs="Helvetica"/>
          <w:b/>
        </w:rPr>
        <w:t>四、获取招标文件的方式</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http://ggzy.xuchang.gov.cn:8088/ggzy/eps/public/RegistAllJcxx.html）</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进行免费注册登记（详见“常见问题解答-诚信库网上注册相关资料下载”）；</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自行下载招标文件（详见“常见问题解答-交易系统操作手册”）。</w:t>
      </w:r>
    </w:p>
    <w:p>
      <w:pPr>
        <w:widowControl/>
        <w:shd w:val="clear" w:color="auto" w:fill="FFFFFF"/>
        <w:spacing w:line="440" w:lineRule="exact"/>
        <w:ind w:firstLine="422" w:firstLineChars="200"/>
        <w:jc w:val="left"/>
        <w:rPr>
          <w:rFonts w:cs="Helvetica"/>
          <w:b/>
        </w:rPr>
      </w:pPr>
      <w:r>
        <w:rPr>
          <w:rFonts w:hint="eastAsia" w:cs="Helvetica"/>
          <w:b/>
        </w:rPr>
        <w:t>五、投标文件提交截止时间及开标时间</w:t>
      </w:r>
    </w:p>
    <w:p>
      <w:pPr>
        <w:spacing w:line="440" w:lineRule="exact"/>
        <w:ind w:firstLine="640"/>
        <w:rPr>
          <w:rFonts w:cs="Helvetica"/>
        </w:rPr>
      </w:pPr>
      <w:r>
        <w:rPr>
          <w:rFonts w:hint="eastAsia" w:cs="Helvetica"/>
        </w:rPr>
        <w:t xml:space="preserve">1、投标文件提交截止时间及开标时间：2023年4月10日8：30  （北京时间），逾期送达或不符合规定的响应文件恕不接受。 </w:t>
      </w:r>
    </w:p>
    <w:p>
      <w:pPr>
        <w:spacing w:line="440" w:lineRule="exact"/>
        <w:ind w:firstLine="640"/>
        <w:rPr>
          <w:rFonts w:cs="Helvetica"/>
        </w:rPr>
      </w:pPr>
      <w:r>
        <w:rPr>
          <w:rFonts w:hint="eastAsia" w:cs="Helvetica"/>
        </w:rPr>
        <w:t>2、投标文件开启时间：同投标文件提交截止时间。</w:t>
      </w:r>
    </w:p>
    <w:p>
      <w:pPr>
        <w:pStyle w:val="20"/>
        <w:widowControl/>
        <w:shd w:val="clear" w:color="auto" w:fill="FFFFFF"/>
        <w:spacing w:line="440" w:lineRule="exact"/>
        <w:ind w:firstLine="420"/>
        <w:contextualSpacing/>
        <w:jc w:val="left"/>
        <w:rPr>
          <w:rFonts w:cs="Helvetica" w:asciiTheme="minorHAnsi" w:hAnsiTheme="minorHAnsi" w:eastAsiaTheme="minorEastAsia"/>
          <w:b/>
          <w:sz w:val="21"/>
          <w:szCs w:val="22"/>
        </w:rPr>
      </w:pPr>
      <w:r>
        <w:rPr>
          <w:rFonts w:hint="eastAsia" w:cs="Helvetica" w:asciiTheme="minorHAnsi" w:hAnsiTheme="minorHAnsi" w:eastAsiaTheme="minorEastAsia"/>
          <w:b/>
          <w:sz w:val="21"/>
          <w:szCs w:val="22"/>
        </w:rPr>
        <w:t>六、投标响应文件开启</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（一）投标文件开启地点：禹州市公共资源交易中心九楼第二开标室。（本项目采用远程不见面开标，供应商无须到达现场）。</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（二）本项目为全流程电子化交易项目，供应商须提交电子投标文件。</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1、加密电子投标文件（.file格式）须在投标文件提交截止时间（投标截止时间）前通过《全国公共资源交易平台(河南省▪许昌市)》公共资源交易系统成功上传。</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0"/>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——点击“项目信息——项目名称”——在系统操作导航栏点击“开标——不见面开标大厅”。</w:t>
      </w:r>
    </w:p>
    <w:p>
      <w:pPr>
        <w:widowControl/>
        <w:shd w:val="clear" w:color="auto" w:fill="FFFFFF"/>
        <w:spacing w:line="440" w:lineRule="exact"/>
        <w:ind w:firstLine="420" w:firstLineChars="200"/>
        <w:jc w:val="left"/>
        <w:rPr>
          <w:rFonts w:cs="Helvetica"/>
        </w:rPr>
      </w:pPr>
      <w:r>
        <w:rPr>
          <w:rFonts w:hint="eastAsia" w:cs="Helvetica"/>
        </w:rPr>
        <w:t>七、本次招标公告同时在《中国政府采购网》《河南省政府采购网》</w:t>
      </w:r>
      <w:bookmarkStart w:id="12" w:name="_GoBack"/>
      <w:bookmarkEnd w:id="12"/>
      <w:r>
        <w:rPr>
          <w:rFonts w:hint="eastAsia" w:cs="Helvetica"/>
        </w:rPr>
        <w:t>《全国公共资源交易平台（河南省·许昌市）》发布等。</w:t>
      </w:r>
    </w:p>
    <w:p>
      <w:pPr>
        <w:widowControl/>
        <w:shd w:val="clear" w:color="auto" w:fill="FFFFFF"/>
        <w:spacing w:line="440" w:lineRule="exact"/>
        <w:ind w:firstLine="641"/>
        <w:jc w:val="left"/>
        <w:rPr>
          <w:rFonts w:cs="Helvetica"/>
        </w:rPr>
      </w:pPr>
      <w:r>
        <w:rPr>
          <w:rFonts w:hint="eastAsia" w:cs="Helvetica"/>
        </w:rPr>
        <w:t>八、代理机构及采购单位地址、联系人、联系电话</w:t>
      </w:r>
    </w:p>
    <w:p>
      <w:pPr>
        <w:widowControl/>
        <w:shd w:val="clear" w:color="auto" w:fill="FFFFFF"/>
        <w:spacing w:line="440" w:lineRule="exact"/>
        <w:ind w:firstLine="641"/>
        <w:jc w:val="left"/>
        <w:rPr>
          <w:rFonts w:cs="Helvetica"/>
        </w:rPr>
      </w:pPr>
      <w:r>
        <w:rPr>
          <w:rFonts w:hint="eastAsia" w:cs="Helvetica"/>
        </w:rPr>
        <w:t>（一）代理机构：禹州市政府采购中心</w:t>
      </w:r>
    </w:p>
    <w:p>
      <w:pPr>
        <w:widowControl/>
        <w:shd w:val="clear" w:color="auto" w:fill="FFFFFF"/>
        <w:spacing w:line="440" w:lineRule="exact"/>
        <w:ind w:firstLine="641"/>
        <w:jc w:val="left"/>
        <w:rPr>
          <w:rFonts w:cs="Helvetica"/>
        </w:rPr>
      </w:pPr>
      <w:r>
        <w:rPr>
          <w:rFonts w:hint="eastAsia" w:cs="Helvetica"/>
        </w:rPr>
        <w:t>地址：禹州市行政服务中心楼911房间</w:t>
      </w:r>
    </w:p>
    <w:p>
      <w:pPr>
        <w:widowControl/>
        <w:shd w:val="clear" w:color="auto" w:fill="FFFFFF"/>
        <w:spacing w:line="440" w:lineRule="exact"/>
        <w:ind w:firstLine="641"/>
        <w:jc w:val="left"/>
        <w:rPr>
          <w:rFonts w:cs="Helvetica"/>
        </w:rPr>
      </w:pPr>
      <w:r>
        <w:rPr>
          <w:rFonts w:hint="eastAsia" w:cs="Helvetica"/>
        </w:rPr>
        <w:t>联系人：侯女士    联系电话：0374-2077111</w:t>
      </w:r>
    </w:p>
    <w:p>
      <w:pPr>
        <w:widowControl/>
        <w:shd w:val="clear" w:color="auto" w:fill="FFFFFF"/>
        <w:spacing w:line="440" w:lineRule="exact"/>
        <w:ind w:firstLine="420" w:firstLineChars="200"/>
        <w:jc w:val="left"/>
        <w:rPr>
          <w:rFonts w:cs="Helvetica"/>
        </w:rPr>
      </w:pPr>
      <w:r>
        <w:rPr>
          <w:rFonts w:hint="eastAsia" w:cs="Helvetica"/>
        </w:rPr>
        <w:t>（二）采购单位：禹州市第一高级中学</w:t>
      </w:r>
    </w:p>
    <w:p>
      <w:pPr>
        <w:widowControl/>
        <w:shd w:val="clear" w:color="auto" w:fill="FFFFFF"/>
        <w:spacing w:line="440" w:lineRule="exact"/>
        <w:ind w:firstLine="630" w:firstLineChars="300"/>
        <w:jc w:val="left"/>
        <w:rPr>
          <w:rFonts w:cs="Helvetica"/>
        </w:rPr>
      </w:pPr>
      <w:r>
        <w:rPr>
          <w:rFonts w:hint="eastAsia" w:cs="Helvetica"/>
        </w:rPr>
        <w:t>地址：禹州市振兴路39号</w:t>
      </w:r>
    </w:p>
    <w:p>
      <w:pPr>
        <w:widowControl/>
        <w:shd w:val="clear" w:color="auto" w:fill="FFFFFF"/>
        <w:spacing w:line="440" w:lineRule="exact"/>
        <w:ind w:firstLine="630" w:firstLineChars="300"/>
        <w:jc w:val="left"/>
        <w:rPr>
          <w:rFonts w:cs="Helvetica"/>
        </w:rPr>
      </w:pPr>
      <w:r>
        <w:rPr>
          <w:rFonts w:hint="eastAsia" w:cs="Helvetica"/>
        </w:rPr>
        <w:t>联系人：李先生       联系电话：13523296811</w:t>
      </w:r>
    </w:p>
    <w:p>
      <w:pPr>
        <w:spacing w:line="440" w:lineRule="exact"/>
        <w:ind w:firstLine="4480" w:firstLineChars="1600"/>
        <w:rPr>
          <w:rFonts w:ascii="仿宋" w:hAnsi="仿宋" w:eastAsia="仿宋" w:cs="仿宋"/>
          <w:sz w:val="28"/>
          <w:szCs w:val="28"/>
        </w:rPr>
      </w:pPr>
    </w:p>
    <w:p>
      <w:pPr>
        <w:spacing w:line="440" w:lineRule="exact"/>
        <w:ind w:firstLine="4480" w:firstLineChars="1600"/>
        <w:rPr>
          <w:rFonts w:ascii="仿宋" w:hAnsi="仿宋" w:eastAsia="仿宋" w:cs="仿宋"/>
          <w:sz w:val="28"/>
          <w:szCs w:val="28"/>
        </w:rPr>
      </w:pPr>
    </w:p>
    <w:p>
      <w:pPr>
        <w:spacing w:line="440" w:lineRule="exact"/>
        <w:rPr>
          <w:rFonts w:hAnsi="宋体"/>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38"/>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38"/>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38"/>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38"/>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6"/>
          <w:rFonts w:hAnsi="宋体"/>
          <w:color w:val="auto"/>
        </w:rPr>
        <w:t>http://ggzy.xuchang.gov.cn:8088/ggzy/</w:t>
      </w:r>
      <w:r>
        <w:rPr>
          <w:rStyle w:val="26"/>
          <w:rFonts w:hAnsi="宋体"/>
          <w:color w:val="auto"/>
        </w:rPr>
        <w:fldChar w:fldCharType="end"/>
      </w:r>
      <w:r>
        <w:rPr>
          <w:rFonts w:hint="eastAsia" w:hAnsi="宋体"/>
        </w:rPr>
        <w:t>）下载“许昌投标文件制作系统SEARUN 最新版本”，制作投标文件。</w:t>
      </w:r>
    </w:p>
    <w:p>
      <w:pPr>
        <w:pStyle w:val="38"/>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38"/>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38"/>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38"/>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6"/>
          <w:rFonts w:hAnsi="宋体"/>
          <w:color w:val="auto"/>
        </w:rPr>
        <w:t>http://ggzy.xuchang.gov.cn:8088/ggzy/</w:t>
      </w:r>
      <w:r>
        <w:rPr>
          <w:rStyle w:val="26"/>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38"/>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38"/>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38"/>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38"/>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38"/>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38"/>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38"/>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38"/>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38"/>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38"/>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hd w:val="clear" w:color="auto" w:fill="FFFFFF"/>
        <w:spacing w:line="560" w:lineRule="exact"/>
        <w:ind w:firstLine="600"/>
        <w:jc w:val="left"/>
        <w:rPr>
          <w:rFonts w:cs="Helvetica"/>
          <w:b/>
        </w:rPr>
      </w:pPr>
      <w:r>
        <w:rPr>
          <w:rFonts w:cs="Helvetica"/>
          <w:b/>
        </w:rPr>
        <w:t>（一）本项目需实现的功能或者目标</w:t>
      </w:r>
    </w:p>
    <w:p>
      <w:pPr>
        <w:shd w:val="clear" w:color="auto" w:fill="FFFFFF"/>
        <w:spacing w:line="560" w:lineRule="exact"/>
        <w:ind w:firstLine="600"/>
        <w:jc w:val="left"/>
        <w:rPr>
          <w:rFonts w:cs="Helvetica"/>
        </w:rPr>
      </w:pPr>
      <w:r>
        <w:rPr>
          <w:rFonts w:cs="Helvetica"/>
        </w:rPr>
        <w:t>实现满足</w:t>
      </w:r>
      <w:r>
        <w:rPr>
          <w:rFonts w:hint="eastAsia" w:cs="Helvetica"/>
        </w:rPr>
        <w:t>禹州市第一高级中学安保、保洁、绿化、寝管、后勤服务</w:t>
      </w:r>
      <w:r>
        <w:rPr>
          <w:rFonts w:cs="Helvetica"/>
        </w:rPr>
        <w:t>使用需求。</w:t>
      </w:r>
    </w:p>
    <w:p>
      <w:pPr>
        <w:numPr>
          <w:ilvl w:val="0"/>
          <w:numId w:val="19"/>
        </w:numPr>
        <w:shd w:val="clear" w:color="auto" w:fill="FFFFFF"/>
        <w:spacing w:line="560" w:lineRule="exact"/>
        <w:ind w:firstLine="600"/>
        <w:jc w:val="left"/>
        <w:rPr>
          <w:rFonts w:cs="Helvetica"/>
          <w:b/>
        </w:rPr>
      </w:pPr>
      <w:r>
        <w:rPr>
          <w:rFonts w:cs="Helvetica"/>
          <w:b/>
        </w:rPr>
        <w:t>采购清单</w:t>
      </w:r>
    </w:p>
    <w:tbl>
      <w:tblPr>
        <w:tblStyle w:val="22"/>
        <w:tblW w:w="9894" w:type="dxa"/>
        <w:tblInd w:w="-236" w:type="dxa"/>
        <w:tblLayout w:type="fixed"/>
        <w:tblCellMar>
          <w:top w:w="0" w:type="dxa"/>
          <w:left w:w="108" w:type="dxa"/>
          <w:bottom w:w="0" w:type="dxa"/>
          <w:right w:w="108" w:type="dxa"/>
        </w:tblCellMar>
      </w:tblPr>
      <w:tblGrid>
        <w:gridCol w:w="654"/>
        <w:gridCol w:w="946"/>
        <w:gridCol w:w="6200"/>
        <w:gridCol w:w="624"/>
        <w:gridCol w:w="56"/>
        <w:gridCol w:w="511"/>
        <w:gridCol w:w="183"/>
        <w:gridCol w:w="720"/>
      </w:tblGrid>
      <w:tr>
        <w:tblPrEx>
          <w:tblCellMar>
            <w:top w:w="0" w:type="dxa"/>
            <w:left w:w="108" w:type="dxa"/>
            <w:bottom w:w="0" w:type="dxa"/>
            <w:right w:w="108" w:type="dxa"/>
          </w:tblCellMar>
        </w:tblPrEx>
        <w:trPr>
          <w:trHeight w:val="500" w:hRule="atLeast"/>
        </w:trPr>
        <w:tc>
          <w:tcPr>
            <w:tcW w:w="9894" w:type="dxa"/>
            <w:gridSpan w:val="8"/>
            <w:tcBorders>
              <w:top w:val="nil"/>
              <w:left w:val="nil"/>
              <w:bottom w:val="nil"/>
              <w:right w:val="nil"/>
            </w:tcBorders>
            <w:noWrap/>
            <w:vAlign w:val="center"/>
          </w:tcPr>
          <w:p>
            <w:pPr>
              <w:textAlignment w:val="center"/>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500" w:hRule="atLeast"/>
        </w:trPr>
        <w:tc>
          <w:tcPr>
            <w:tcW w:w="9894" w:type="dxa"/>
            <w:gridSpan w:val="8"/>
            <w:tcBorders>
              <w:top w:val="nil"/>
              <w:left w:val="nil"/>
              <w:bottom w:val="nil"/>
              <w:right w:val="nil"/>
            </w:tcBorders>
            <w:noWrap/>
            <w:vAlign w:val="center"/>
          </w:tcPr>
          <w:p>
            <w:pPr>
              <w:ind w:firstLine="4284" w:firstLineChars="2040"/>
              <w:textAlignment w:val="center"/>
              <w:rPr>
                <w:rFonts w:cs="Helvetica"/>
              </w:rPr>
            </w:pPr>
            <w:r>
              <w:rPr>
                <w:rFonts w:hint="eastAsia" w:cs="Helvetica"/>
              </w:rPr>
              <w:t>学校后勤物业</w:t>
            </w:r>
          </w:p>
        </w:tc>
      </w:tr>
      <w:tr>
        <w:tblPrEx>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服务名称</w:t>
            </w:r>
          </w:p>
        </w:tc>
        <w:tc>
          <w:tcPr>
            <w:tcW w:w="62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技术参数及要求</w:t>
            </w:r>
          </w:p>
        </w:tc>
        <w:tc>
          <w:tcPr>
            <w:tcW w:w="62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单位</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数量</w:t>
            </w:r>
          </w:p>
        </w:tc>
        <w:tc>
          <w:tcPr>
            <w:tcW w:w="903" w:type="dxa"/>
            <w:gridSpan w:val="2"/>
            <w:tcBorders>
              <w:top w:val="single" w:color="000000" w:sz="4" w:space="0"/>
              <w:left w:val="nil"/>
              <w:bottom w:val="single" w:color="000000" w:sz="4" w:space="0"/>
              <w:right w:val="single" w:color="000000" w:sz="4" w:space="0"/>
            </w:tcBorders>
            <w:shd w:val="clear" w:color="auto" w:fill="92D050"/>
            <w:noWrap/>
            <w:vAlign w:val="center"/>
          </w:tcPr>
          <w:p>
            <w:pPr>
              <w:jc w:val="center"/>
              <w:textAlignment w:val="center"/>
              <w:rPr>
                <w:rFonts w:cs="仿宋_GB2312" w:asciiTheme="majorEastAsia" w:hAnsiTheme="majorEastAsia" w:eastAsiaTheme="majorEastAsia"/>
                <w:szCs w:val="21"/>
              </w:rPr>
            </w:pPr>
            <w:r>
              <w:rPr>
                <w:rFonts w:cs="仿宋_GB2312" w:asciiTheme="majorEastAsia" w:hAnsiTheme="majorEastAsia" w:eastAsiaTheme="majorEastAsia"/>
                <w:szCs w:val="21"/>
              </w:rPr>
              <w:t>采购标的对应的行业</w:t>
            </w:r>
          </w:p>
        </w:tc>
      </w:tr>
      <w:tr>
        <w:tblPrEx>
          <w:tblCellMar>
            <w:top w:w="0" w:type="dxa"/>
            <w:left w:w="108" w:type="dxa"/>
            <w:bottom w:w="0" w:type="dxa"/>
            <w:right w:w="108" w:type="dxa"/>
          </w:tblCellMar>
        </w:tblPrEx>
        <w:trPr>
          <w:trHeight w:val="29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维修工、寝室管理、电工</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后勤物业应有详细的人员配备计划，维修工：6人（其中1人兼任组长，3人房屋日常养护维护，3人给排水设施运行管理等服务）；电工：2人（负责供电设施设备运行管理服务，弱电运行管理维护，电梯维护）；寝室管理员：21人其中:工作岗位20人，管理岗位1人，（高一、高二年级各6个（男女寝室各3个），高三年级8个（男女寝室各4个）工作岗位职责：①所负责楼层区域每天一次消毒、通风及公共卫生打扫工作，全天候保持；②检查学生寝室内务卫生，排查滞留学生；③管理所负责楼层学生晚就寝纪律（学生手册部分）；④值班当天负责全寝室楼水、电、安全隐患排查；巡查门窗公共设施有无破坏；制止外来人员进入寝室；管理岗寝管员：①安排寝管员日常各项检查和工作；②做好寝管员思想建设和日常管理工作；③负责寝管员日常工作的量化考评；④协调、配合、安排学校各科室和年级的检查、维修等工作）。共29人。按岗位要求，男的年龄不超过60岁，女的不超过55岁，物业公司对录用人员要求严格审查，并报学校备案。物业应指定负责人1人，55岁以下，学生在校期间必须在学校，假期由学校统一安排。</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（二）、职责范围：</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（1）学校内所有供电设施、线路的管理、维护、检修和更换等。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（2）电梯的日常维护管理。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（3）学校内供水管网及污水管网的管理、检修等。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（4）做好日常排查发现问题及时维修，小修不超过2小时，中修不超过4小时，大修不超过24小时，维修合格率要达到100%，有排查和维修记录 。  </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（5）要保证供水、供电设施设备良好，运行正常，有设备运行记录，有专门的保养检修制度，无事故隐患保证学校正常供水供电。</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（6）做好节水节电的宣传工作。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（7）根据需要开关路灯，杜绝长明灯。</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（8）校园相关单位水、电费计量用抄送。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（9）校园公共区域水电简单维修。</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（10）校园内所有公共设施（包含建筑物、道路等）的简单维修、维护。</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（三）、物业要求：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    1、基础设施：定期检修、及时维修、确保各项设施状态良好；加强日常管理，确保设施安全。建筑物外观、各种指示标识完好，记录完整。确保校园房屋、门窗的完好和正常使用。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    2、供配电系统：校内服务区域内所有用电设施、用电线路、办公家用电器以及其他用电设施的维修维护。供电运行人员必须持证上岗；建立24小时*365天运行维修值班制度，（学生在校期间全部到岗，假期由物业公司制定方案校方同意后方可实施。）及时排出故障；确保各种设施完好无损；大型活动等特殊情况，服从安排，积极配合学校工作。校园所有照明系统外观整洁无缺损、松落和安全隐患，光源完好率、无蚊虫、蜘蛛网、积尘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给排水系统：确保安全正常运行，保证给排水系统正常运行使用；防止跑、冒、滴、漏，对供水系统管路、水泵、水箱、阀门等进行日常检查维护和定期维修，简单清理化粪池，给排水管道进行清通、养护及清楚污垢，保证校园场区排水系统通畅，及时发现并解决故障。切实配合学校做好暑假防汛减灾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4、其他方面：包括学校所有门窗、家具、电器、照明灯具等设施设备，要求定期检修、快速维修，确保安全正常使用运行。</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5、弱电运行管理维护：服从学校统一安排。</w:t>
            </w:r>
          </w:p>
          <w:p>
            <w:pPr>
              <w:pStyle w:val="37"/>
              <w:spacing w:line="560" w:lineRule="exact"/>
              <w:jc w:val="left"/>
              <w:textAlignment w:val="center"/>
              <w:rPr>
                <w:rFonts w:cs="宋体" w:asciiTheme="majorEastAsia" w:hAnsiTheme="majorEastAsia" w:eastAsiaTheme="majorEastAsia"/>
                <w:color w:val="000000"/>
                <w:szCs w:val="21"/>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人</w:t>
            </w:r>
          </w:p>
        </w:tc>
        <w:tc>
          <w:tcPr>
            <w:tcW w:w="5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29</w:t>
            </w:r>
          </w:p>
        </w:tc>
        <w:tc>
          <w:tcPr>
            <w:tcW w:w="90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物业</w:t>
            </w:r>
          </w:p>
          <w:p>
            <w:pPr>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管理</w:t>
            </w:r>
          </w:p>
        </w:tc>
      </w:tr>
      <w:tr>
        <w:tblPrEx>
          <w:tblCellMar>
            <w:top w:w="0" w:type="dxa"/>
            <w:left w:w="108" w:type="dxa"/>
            <w:bottom w:w="0" w:type="dxa"/>
            <w:right w:w="108" w:type="dxa"/>
          </w:tblCellMar>
        </w:tblPrEx>
        <w:trPr>
          <w:trHeight w:val="500" w:hRule="atLeast"/>
        </w:trPr>
        <w:tc>
          <w:tcPr>
            <w:tcW w:w="9894" w:type="dxa"/>
            <w:gridSpan w:val="8"/>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学校安防监控物业</w:t>
            </w:r>
          </w:p>
        </w:tc>
      </w:tr>
      <w:tr>
        <w:tblPrEx>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服务名称</w:t>
            </w:r>
          </w:p>
        </w:tc>
        <w:tc>
          <w:tcPr>
            <w:tcW w:w="62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技术参数及要求</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单位</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数量</w:t>
            </w:r>
          </w:p>
        </w:tc>
        <w:tc>
          <w:tcPr>
            <w:tcW w:w="720" w:type="dxa"/>
            <w:tcBorders>
              <w:top w:val="single" w:color="000000" w:sz="4" w:space="0"/>
              <w:left w:val="nil"/>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备注</w:t>
            </w:r>
          </w:p>
        </w:tc>
      </w:tr>
      <w:tr>
        <w:tblPrEx>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安防监控</w:t>
            </w:r>
          </w:p>
        </w:tc>
        <w:tc>
          <w:tcPr>
            <w:tcW w:w="6200" w:type="dxa"/>
            <w:tcBorders>
              <w:top w:val="single" w:color="000000" w:sz="4" w:space="0"/>
              <w:left w:val="single" w:color="000000" w:sz="4" w:space="0"/>
              <w:bottom w:val="single" w:color="000000" w:sz="4" w:space="0"/>
              <w:right w:val="single" w:color="000000" w:sz="4" w:space="0"/>
            </w:tcBorders>
            <w:noWrap/>
            <w:vAlign w:val="center"/>
          </w:tcPr>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视频监控保安员设岗1人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视频监控保安员工作职责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1、能熟练掌握监控中心设备的技术性能以及操作方法，熟悉其分布情况和监控点的位置。</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2、正确使用和保管好设备和所有物品，值班人员应对使用的设备和物品负有爱护责任，因人为原因造成的损坏由该公司负责，交接班时做好检查记录。</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3、当值安全监控管理员要坚守岗位，密切注视监视屏上的各种动态情况，发现问题要立即和相关安保人员联系，同时做好详细记录。</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4、组织实施相关安全隐患排查工作。（主要通过视频发现一些异常情况，及时上报安全处）</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5、由监控中心人员负责与固定岗，巡逻岗位保持联系（晚班每天整点至少联系1次），随时通报有关情况，处理各类事件，并及时上报给安全处。</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6、对监控设备以及监控中心卫生做好日常的清洁保养工作，发现问题要第一时间上报学校安全处。</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7、物业公司所有人员工作期间严禁离岗、擅离职守、饮酒以及从事各种娱乐活动。遵守学校的各项规章制度，认真履行岗位责任，严禁睡觉。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8、随时接受学校和安全处交办的其它相关工作。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9、学校举行的所有大型活动要全员参与值班，听从安全处临时安排。</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管理要求 </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1、质量目标要求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①依托行业标准，根据校方管理规定与服务要求，制订切实可行的校园视频保安员工作制度、服务整体方案和应急预案，突发事件反应迅速，预案处置有力；</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②依法办事，文明值勤，严格管理，保障学校校财产和师生人身不受侵害，维护正常的教育教学、生活秩序；</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③全年无责任事故和责任案件发生。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2、服务要求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①树立“服务第一，学校至上”的思想，切实维护学校与师生的人身和财产安全；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②管理坚持原则、慎密严谨；服务以人为本、主动热情；处理问题高度警惕、有理有节；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③上岗人员统一着装，精神饱满，仪表整洁，业务操作规范，礼貌待人，保持岗位卫生整洁；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④依法办事，文明执勤，不与师生发生争吵；</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⑤师生有求必应，有险情必出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人员素质要求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1、视频保安员应知法，懂法，守法，依法办事，必须严格遵守保安从业规范，遵守校园安全管理规定；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2、视频保安员应身体健康，能胜任执勤工作要求，没有传染病及精神病等不能控制自己行为能力的疾病病史，体貌端正。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3、视频监控保安员应具备高中以上学历，有较高的政治思想素养和业务水平，受过专业的保安业务培训，作风正派，年龄在18-60周岁，身高1.70米以上；</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风险管控</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1、学校将对保安服务质量进行全过程监控，安保公司日常工作不到位、不达标、或有违约现象，将依据合同约定，作出相应的违约处理与处罚。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2、保安人员在岗履行工作职责期间，发生自身的人身伤害、伤亡等事件均由安保公司负责，学校不承担任何责任。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3、安保公司违返国家相关法规，与聘用人员发生纠纷，均由安保公司负责调解与处理，学校不承担责任。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4、安保公司在保安服务中违反国家相关法规或保安行业规范，因过失造成学校财产及他人人身伤亡的，均由安保公司负责处理并承担一切责任，学校不承担任何责任。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消防保安员设岗2人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消防控制室保安员岗位职责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1、遵守消防控制室的各项规章制度，认真履行岗位操作责任制，对各种消防控制室设备进行实时监控和操作，不得擅离职守。</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2、熟悉和掌握消防设施的功能和操作规程，熟悉各种按键的功能，熟练操作各种消防系统。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3、负责对消防设施进行每日检查，认真记录各种控制器的运行情况，掌握和了解消防设施的运行、误报警、故障等有关情况，并填写《消防安全监控室值班记录表》，做好无缝交接班工作。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4、每月定期做好系统功能测验，协助技术人员做好修理、维护工作，不得挪用或擅自拆除、停用消防设施，保证设备正常运行。因值班人员操作失误造成的损失有物业公司承担。</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5、每周至少向安全处报告建筑消防的运行情况2次，协助学校做好防火、灭火工作。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6、熟练掌握本单位《消防应急处理预案》，火灾情况下能按照预案程序开展灭火救援工作。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7、积极学习贯彻消防法律法规、遵守消防安全管理制度，以高度的责任感去完成各项技术工作和日常管理工作。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8、完成好学校和安全处赋予的各项消防任务。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9、值班期间严禁脱岗、睡觉、饮酒以及从事各种娱乐活动。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10、学校举行的所有大型活动要全员参与值班，听从安全处临时安排。</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管理要求 </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1、质量目标要求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①依托行业标准，根据校方管理规定与服务要求，制订切实可行的消防安全演练制度、服务整体方案和应急预案，突发事件反应迅速，预案处置有力；</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②依法办事，文明值勤，严格管理，保障学校校财产和师生人身不受侵害，维护正常的教育教学、生活秩序；</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③全年无责任事故和责任案件发生。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2、服务要求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①树立“服务第一，业主至上”的思想，切实维护学校与师生的人身和财产安全；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②管理坚持原则、慎密严谨；服务以人为本、主动热情；处理问题高度警惕、有理有节；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③上岗人员按规定着装，精神饱满，仪表整洁，业务操作规范，礼貌待人，保持岗位卫生整洁；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④依法办事，文明执勤，不与师生发生争吵；</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⑤师生有求必应，有险情必出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人员素质要求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1、消防安全保安员应知法，懂法，守法，依法办事，必须严格遵守消防安全保安从业规范，模范遵守校园安全管理规定；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2、保安人员应身体健康，能胜任执勤、巡逻等工作要求，没有传染病及精神病等不能控制自己行为能力的疾病病史，体貌端正。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3、消防安全保安员应具备高中以上学历，有较高的政治思想素养和业务水平，受过专门的消防安全业务培训，作风正派，年龄在18-60周岁，身高1.70米以上。</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风险要求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1、学校将对消防保安员服务质量进行全过程监控，中标单位日常工作不到位、不达标、或有违约现象，将依据合同约定，作出相应的违约处理与处罚。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2、保安人员在岗履行工作职责期间，发生自身的人身伤害、伤亡等事件均由中标单位负责，学校不承担任何责任。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3、安保公司违返国家相关法规，与聘用人员发生纠纷，均由中标单位负责调解与处理，学校不承担责任。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   4、安保公司在保安服务中违反国家相关法规或保安行业规范，因过失造成学校财产及他人人身伤亡的，均由中标单位负责处理并承担经济和道义上的责任，学校不承担任何责任。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我校共三个大门，南大门专业保安设岗6人，西大门专业保安设岗2人，东大门一般保安设岗1人；实验楼九思楼保安设岗1人，寝室楼一般保安设岗1人，以上保安员同时肩负巡逻保安职责；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保安队长岗位职责：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负责与学校安全处的沟通协调，自觉接受学校安全处的管理，督促、检查、管理派驻保安队员的各项工作，落实校方校区各项安全防范工作要求。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门卫保安岗位工作职责：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1、负责门岗安全防范工作，当班人员全天24小时在岗，禁止擅离职守，交接班时间要科学，不能影响正常工作，要无缝交接。</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查验出入校门人员的相关证件和携带物品。进入校区的校外人员，问清进入校园理由，并经确认无误后，办理登记手续方可准予进入；校外物资送入校园，要认真登记检查，防止危险物品带入校园；校内物资设备运出或搬出学校的，须经有关部门出具证明材料，填写出入登记簿，并经检查无误后方可放行。</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3、对出入校门人员的咨询与求助，进行热情解答并提供相应帮助。</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4、南门保安要加强走读生以及请假学生的出入登记，确保凭证出入。</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对进出校门的车辆按照学校规定进行管理，校内车辆凭通行证出入校区；施工车辆及校内服务单位车辆凭临时通行证进出；校外车辆原则上不准进入校区，确需进入校区的须经安全处批准并办理登记手续后，方可进入校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6、发现可疑人员、可疑物品、可疑车辆要及时向安全处报告。</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7、制止大门附近正在发生的各类违法犯罪行为，并及时向保卫处值班室报告。</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8、制止捡拾垃圾、收购废旧物品、张贴广告、叫买叫卖等闲杂人员进入校园和值班区域。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9、制止放养或无主犬类等宠物和动物进入校园。</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10、校门卫要负责校大门环境管理，确保大门交通畅通。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①制止在大门附近摆摊设点、堆放物品等行为。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②制止在大门禁停区域停放车辆的行为。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③南门拒马内、机动车道闸口禁止一切人员活动。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④负责值班室的卫生及大门附近其它门前三包工作。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11、配合安全处完成新生开学、学生放假、毕业生离校，校内各种重大会议、重大比赛以及各种安全演练活动的安全保卫工作。（要求全体安保人员上岗，听从安全处指挥）</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12、完成安全处及学校交办的其它任务。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巡逻保安人员岗位职责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1、按学校的要求在各校区校园内巡逻执勤，并负责巡逻区域内的治安、消防设施管理。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2、在学校正常教育教学期间，重点维护校园交通秩序，阻止机动车辆违规停放，节假日等非开学时间重点对学校单体建筑及校园各类设施进行巡逻检查。</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巡逻保安要求一天24小时不间断校园各部位检查巡逻，白天每次巡逻间隔时间不超过1小时，晚上每次巡逻时间间隔2小时，巡逻每组2人，区域发现安全隐患及时报告学校安全处，并及时登记。（巡逻时间、线路学校规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4、发现可疑人员及现象要严加盘查、及时报告安全处及时处理。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5、预防和制止各类违法犯罪活动，协助相关单位查处各类案件。</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6、禁止在校内散发传单、协助学校制止乱贴乱画等行为。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7、制止在校园湖边玩耍、垂钓、嘻嘻行为。</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8、处置校内无主流浪动物。</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9、配合安全处完成新生开学、假期放假、毕业生离校以及校园内的各种重大会议、重大比赛以及各种安全演练活动的安全保卫工作。（要求全体安保人员上岗，听从安全处指挥）</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10、负责巡逻值班岗亭及附近的清洁卫生。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11、完成安全处及学校交办的其它任务。</w:t>
            </w:r>
          </w:p>
          <w:p>
            <w:pPr>
              <w:pStyle w:val="37"/>
              <w:spacing w:line="560" w:lineRule="exact"/>
              <w:rPr>
                <w:rFonts w:asciiTheme="majorEastAsia" w:hAnsiTheme="majorEastAsia" w:eastAsiaTheme="majorEastAsia"/>
                <w:szCs w:val="21"/>
              </w:rPr>
            </w:pPr>
            <w:r>
              <w:rPr>
                <w:rFonts w:hint="eastAsia" w:cs="仿宋_GB2312" w:asciiTheme="majorEastAsia" w:hAnsiTheme="majorEastAsia" w:eastAsiaTheme="majorEastAsia"/>
                <w:szCs w:val="21"/>
              </w:rPr>
              <w:t>12、完成当天巡逻值班情况记录，进行无缝交接班。</w:t>
            </w: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人</w:t>
            </w:r>
          </w:p>
        </w:tc>
        <w:tc>
          <w:tcPr>
            <w:tcW w:w="6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14</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物业</w:t>
            </w:r>
          </w:p>
          <w:p>
            <w:pPr>
              <w:rPr>
                <w:rFonts w:cs="宋体" w:asciiTheme="majorEastAsia" w:hAnsiTheme="majorEastAsia" w:eastAsiaTheme="majorEastAsia"/>
                <w:color w:val="FF0000"/>
                <w:szCs w:val="21"/>
              </w:rPr>
            </w:pPr>
            <w:r>
              <w:rPr>
                <w:rFonts w:cs="宋体" w:asciiTheme="majorEastAsia" w:hAnsiTheme="majorEastAsia" w:eastAsiaTheme="majorEastAsia"/>
                <w:color w:val="000000"/>
                <w:szCs w:val="21"/>
              </w:rPr>
              <w:t>管理</w:t>
            </w:r>
          </w:p>
        </w:tc>
      </w:tr>
      <w:tr>
        <w:tblPrEx>
          <w:tblCellMar>
            <w:top w:w="0" w:type="dxa"/>
            <w:left w:w="108" w:type="dxa"/>
            <w:bottom w:w="0" w:type="dxa"/>
            <w:right w:w="108" w:type="dxa"/>
          </w:tblCellMar>
        </w:tblPrEx>
        <w:trPr>
          <w:trHeight w:val="500" w:hRule="atLeast"/>
        </w:trPr>
        <w:tc>
          <w:tcPr>
            <w:tcW w:w="9894" w:type="dxa"/>
            <w:gridSpan w:val="8"/>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校园绿化保洁物业</w:t>
            </w:r>
          </w:p>
        </w:tc>
      </w:tr>
      <w:tr>
        <w:tblPrEx>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服务名称</w:t>
            </w:r>
          </w:p>
        </w:tc>
        <w:tc>
          <w:tcPr>
            <w:tcW w:w="62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技术参数及要求</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单位</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数量</w:t>
            </w:r>
          </w:p>
        </w:tc>
        <w:tc>
          <w:tcPr>
            <w:tcW w:w="720" w:type="dxa"/>
            <w:tcBorders>
              <w:top w:val="single" w:color="000000" w:sz="4" w:space="0"/>
              <w:left w:val="nil"/>
              <w:bottom w:val="single" w:color="000000" w:sz="4" w:space="0"/>
              <w:right w:val="single" w:color="000000" w:sz="4" w:space="0"/>
            </w:tcBorders>
            <w:shd w:val="clear" w:color="auto" w:fill="92D050"/>
            <w:noWrap/>
            <w:vAlign w:val="center"/>
          </w:tcPr>
          <w:p>
            <w:pPr>
              <w:jc w:val="center"/>
              <w:textAlignment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kern w:val="0"/>
                <w:szCs w:val="21"/>
              </w:rPr>
              <w:t>备注</w:t>
            </w:r>
          </w:p>
        </w:tc>
      </w:tr>
      <w:tr>
        <w:tblPrEx>
          <w:tblCellMar>
            <w:top w:w="0" w:type="dxa"/>
            <w:left w:w="108" w:type="dxa"/>
            <w:bottom w:w="0" w:type="dxa"/>
            <w:right w:w="108" w:type="dxa"/>
          </w:tblCellMar>
        </w:tblPrEx>
        <w:trPr>
          <w:trHeight w:val="12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top"/>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校园绿化保洁</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tcPr>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物业公司应有详细的人员配备计划，环境卫生保洁:20人；绿化养护：5人；共25人。按岗位要求，男的年龄不超过60岁，女的不超过55岁。其中综合管理负责人1人（由物业经理兼任），55岁以下，学生在校期间必须在学校，假期由学校统一安排。</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第一章 总 则</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第一条 为规范校园物业管理，保障教学、科研、办公、师生学习、生活需要，营造整洁、卫生、优美、安全的校园环境，特制定本办法。</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第二条 本办法所称物业，是指校园公共建筑物（含教师公寓）卫生保洁、和校园道路、广场、公共设施卫生保洁，以及校园绿化养护、垃圾清运等。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第三条 校园物业服务通过公开招标形式，选择专业物业公司承担。未纳入招标范围，又确实需要的零星物业服务，以及因招标不及时造成的不可避免的延期物业服务，需提前报告学校批准，涉及数额较大的，应事前立项。</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第二章 物业公司职责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第四条 严格遵守学校规定，积极完成物业服务合同约定的职责和学校临时交办的任务。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第五条 制定科学、合理、完善的校园物业服务制度和服务规范，积极推行标准化、精细化、规范化服务。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第六条 人员配备到位（含管理人员），并组织专业培训。管理和服务人员调整时，应报监管科室备案。</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第七条 物业服务工具、设备、机械、车辆、劳保用品、保洁用品等，校方应配置到位，及时更换。</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第八条 按照规范要求，物业服务人员应统一着装、配饰。</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第九条 接受监管科室的监督、管理、检查，对监管中发现的问题，及时整改到位。</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第十条 对物业服务区域内发生的偷盗、火灾、损毁等事故，按职责划分，承担相应的民事责任。</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第十一条 物业公司应当具有一定的物业项目管理服务经验，专业技术人员具有相应的服务能力，服务人员身体健康。</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第十二条 物业公司应制订物业服务方案、组织架构、人员录用、档案制订和管理等规章制度，并在实施前报校方审核，一经校方确认不得随意更改。</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第十三条 物业公司应有详细的人员配备计划，环境卫生保洁:20人；绿化养护：5人；共25人。按岗位要求，男的年龄不超过60岁，女的不超过55岁，物业公司对录用人员要求严格审查，并报学校备案。</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第十四条 在处理特殊设备时间和紧急、突发事故时，我校对物业服务公司人员有直接指挥权。</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第十五条 物业公司档案管理：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第十六条  特殊时段管理要求：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学生在校期间（含双休日、节假日）：物业服务人员必须每天到岗履责；</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寒暑假：如有留校住宿学生，根据学校各校区情况，各类服务管理正常进行。托管物业公司可根据工作需要进行人员增减。（实施方案必须经过校方同意）</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第三章 卫生保洁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第十七条 按照卫生保洁标准和规范要求，做好卫生保洁工作。</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第十八条 严格实行全日实时保洁，保洁人员的保洁时间不得低于8小时，具体保洁时段遵守学校规定。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第十九条 合同约定范围内的保洁，应无垃圾、无污渍、无乱张贴物、无异味、无乱摆乱放，避免卫生保洁上、下午各打扫一遍的传统做法，全面落实实时保洁。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第二十条 保洁时，应遵守“先扫后拖”、“小拖干拖”、“边拖边清”的程序和要求，不得“只拖不扫”、“一拖到底”。</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第二十一条 保洁工具、垃圾桶应规范放置、各就其位，不得随意摆放、悬挂、藏匿。垃圾桶及时倾倒、定期清洗，并保持外观洁净。拖把、扫帚、抹布、毛刷等定量配置、定位摆放，以避免杂乱的状况。</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第二十二条 保洁人员捡拾的可回收垃圾，应做到日产日清，不得摆放在工具间、门卫室、楼梯间、庭院等部位。不得把学生遗忘、楼上掉落等物品当作垃圾捡拾、带走。</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第二十三条 保洁时，不得使用硫酸、盐酸等腐蚀性较强的清洁用品，不得使用金属锐器刮、铲不锈钢、大理石、木门等。对电梯轿厢、大理石（花岗岩）墙地面、卫生间隔断金属支架等应使用专门工具和保洁用品清理。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第二十四条 卫生保洁后产生的垃圾应及时清理，并运送至指定地点，不得延期存放。对有异味或腐蚀性较强的垃圾，应随打扫、随清理、随运走。</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第二十五条 校园非公告栏部位不得有小广告等张贴物，应确定专人实时清理。对随意张贴小广告的，应通知张贴人来校园内清理，情况恶劣的，可以上报有关部门处理。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第二十六条 做好建筑屋面、平台、窗户、电梯间等特殊部位和薄弱环节的卫生保洁，屋面、平台、窗户清理一周不少于一次，电梯轿厢实时保洁。</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第二十七条 节假日期间，包括寒暑假期间的卫生保洁，标准不得降低。确需减少人员的，应报监管科室批准。未经批准，擅自减少人员的，扣除相关费用。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第二十八条 做好大型会议、学术报告、开学典礼、考试、运动会，以及其它大型活动和大风、雨雪天气期间的物业服务。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第二十九条 毕业生离校后，应及时清扫，确保保洁到位，以洁净的卫生环境迎接新生。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第三十条 配合学校做好爱国卫生工作，根据实际需要，开展除“四害”和传染病流行期间的环境消杀。</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第三十一条 物业服务范围内的楼梯间、走廊、连廊等部位不得摆放杂物，实行“清爽”管理。凡乱摆乱放的，可以视作“无主废弃物”，物业人员有权清理，当作垃圾予以清运。</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第三十二条 保洁范围：</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1、所有教学区卫生间；</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2、教师公寓卫生间及楼道、电梯；</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3、九思楼报告厅和艺楼会议室卫生打扫；</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4、所有单体建筑的卫生间、楼道卫生及电梯（六栋学生宿舍、两栋餐厅除外）；</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5、校园道路打扫，校园无纸屑，无垃圾；</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6、校园垃圾箱清理及擦拭；</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7、办公楼卫生间及楼道，含楼玻璃；</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8、其他临时性保洁任务；</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9、垃圾中转站周边卫生；</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10、所有排水、堵塞自己疏通。</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第四章 绿化养护</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第三十三条 绿化养护严格按照《禹州市创建全国绿化模范城市城乡绿化技术导则》执行。</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第三十四条 对破坏校园景观和花草、树木的，应及时制止并上报，对毁绿种菜的予以拔除，恢复绿化原貌。</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第三十五条 因养护不当，造成树木、花草死亡的，应负责赔偿，并按学校安排予以补栽。对人员不到位、养护不及时，造成养护标准下降的，应扣除相应的费用。</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第三十六条 因其它原因造成的树木、花草死亡的，应及时移栽、补栽。</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第三十七条 绿化具体要求：</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草坪内不得有杂草；</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定期修剪浇水（因浇水不及时旱死物业公司负责赔偿），修剪后及时清理；</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清理树木枯枝；</w:t>
            </w:r>
          </w:p>
          <w:p>
            <w:pPr>
              <w:pStyle w:val="37"/>
              <w:spacing w:line="560" w:lineRule="exact"/>
              <w:rPr>
                <w:rFonts w:cs="仿宋_GB2312" w:asciiTheme="majorEastAsia" w:hAnsiTheme="majorEastAsia" w:eastAsiaTheme="majorEastAsia"/>
                <w:szCs w:val="21"/>
              </w:rPr>
            </w:pPr>
            <w:r>
              <w:rPr>
                <w:rFonts w:hint="eastAsia" w:cs="仿宋_GB2312" w:asciiTheme="majorEastAsia" w:hAnsiTheme="majorEastAsia" w:eastAsiaTheme="majorEastAsia"/>
                <w:szCs w:val="21"/>
              </w:rPr>
              <w:t>定期施肥打药（因打药不及时造成死亡物业公司负责赔偿）等等</w:t>
            </w:r>
          </w:p>
          <w:p>
            <w:pPr>
              <w:pStyle w:val="37"/>
              <w:spacing w:line="560" w:lineRule="exact"/>
              <w:rPr>
                <w:rFonts w:cs="宋体" w:asciiTheme="majorEastAsia" w:hAnsiTheme="majorEastAsia" w:eastAsiaTheme="majorEastAsia"/>
                <w:color w:val="000000"/>
                <w:szCs w:val="21"/>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人</w:t>
            </w:r>
          </w:p>
        </w:tc>
        <w:tc>
          <w:tcPr>
            <w:tcW w:w="6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25</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物业</w:t>
            </w:r>
          </w:p>
          <w:p>
            <w:pPr>
              <w:jc w:val="center"/>
              <w:rPr>
                <w:rFonts w:cs="微软雅黑" w:asciiTheme="majorEastAsia" w:hAnsiTheme="majorEastAsia" w:eastAsiaTheme="majorEastAsia"/>
                <w:color w:val="FF0000"/>
                <w:szCs w:val="21"/>
              </w:rPr>
            </w:pPr>
            <w:r>
              <w:rPr>
                <w:rFonts w:cs="宋体" w:asciiTheme="majorEastAsia" w:hAnsiTheme="majorEastAsia" w:eastAsiaTheme="majorEastAsia"/>
                <w:color w:val="000000"/>
                <w:szCs w:val="21"/>
              </w:rPr>
              <w:t>管理</w:t>
            </w:r>
          </w:p>
        </w:tc>
      </w:tr>
    </w:tbl>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t>本采购清单中所列技术规格或主要参数为最低要求，不允许负偏离，否则将承担其投标被视为非实质性响应投标的风险。</w:t>
      </w:r>
    </w:p>
    <w:p>
      <w:pPr>
        <w:shd w:val="clear" w:color="auto" w:fill="FFFFFF"/>
        <w:spacing w:line="360" w:lineRule="auto"/>
        <w:ind w:firstLine="433"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（三）采购标的执行标准</w:t>
      </w:r>
      <w:r>
        <w:rPr>
          <w:rFonts w:hint="eastAsia" w:cs="Times New Roman" w:asciiTheme="majorEastAsia" w:hAnsiTheme="majorEastAsia" w:eastAsiaTheme="majorEastAsia"/>
          <w:bCs/>
          <w:color w:val="000000" w:themeColor="text1"/>
          <w:sz w:val="22"/>
          <w:szCs w:val="21"/>
        </w:rPr>
        <w:t xml:space="preserve">：需执行的国家相关标准、规范。 </w:t>
      </w:r>
    </w:p>
    <w:p>
      <w:pPr>
        <w:shd w:val="clear" w:color="auto" w:fill="FFFFFF"/>
        <w:spacing w:line="360" w:lineRule="auto"/>
        <w:ind w:firstLine="442" w:firstLineChars="200"/>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r>
        <w:rPr>
          <w:rFonts w:hint="eastAsia" w:cs="Times New Roman" w:asciiTheme="majorEastAsia" w:hAnsiTheme="majorEastAsia" w:eastAsiaTheme="majorEastAsia"/>
          <w:bCs/>
          <w:color w:val="000000" w:themeColor="text1"/>
          <w:sz w:val="22"/>
          <w:szCs w:val="21"/>
        </w:rPr>
        <w:t>：符合业主需求，服务期限为合同签订后</w:t>
      </w:r>
      <w:r>
        <w:rPr>
          <w:rFonts w:hint="eastAsia" w:asciiTheme="majorEastAsia" w:hAnsiTheme="majorEastAsia" w:eastAsiaTheme="majorEastAsia"/>
          <w:bCs/>
          <w:color w:val="000000" w:themeColor="text1"/>
          <w:sz w:val="22"/>
          <w:szCs w:val="21"/>
        </w:rPr>
        <w:t>三</w:t>
      </w:r>
      <w:r>
        <w:rPr>
          <w:rFonts w:hint="eastAsia" w:cs="Times New Roman" w:asciiTheme="majorEastAsia" w:hAnsiTheme="majorEastAsia" w:eastAsiaTheme="majorEastAsia"/>
          <w:bCs/>
          <w:color w:val="000000" w:themeColor="text1"/>
          <w:sz w:val="22"/>
          <w:szCs w:val="21"/>
        </w:rPr>
        <w:t>年。</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（五）采购标的其他技术、服务等要求</w:t>
      </w:r>
      <w:r>
        <w:rPr>
          <w:rFonts w:hint="eastAsia" w:asciiTheme="majorEastAsia" w:hAnsiTheme="majorEastAsia" w:eastAsiaTheme="majorEastAsia"/>
          <w:b/>
          <w:bCs/>
          <w:color w:val="000000" w:themeColor="text1"/>
          <w:sz w:val="22"/>
          <w:szCs w:val="21"/>
        </w:rPr>
        <w:t>：</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1、供应商应就该项目完整投标（报价包括但不限于完成本项目材料费、人工费、管理费、维护费、保险费、利润、税费等所有费用），否则为无效投标。</w:t>
      </w:r>
    </w:p>
    <w:p>
      <w:pPr>
        <w:spacing w:after="120" w:line="360" w:lineRule="auto"/>
        <w:ind w:firstLine="440" w:firstLineChars="200"/>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Cs/>
          <w:color w:val="000000" w:themeColor="text1"/>
          <w:sz w:val="22"/>
          <w:szCs w:val="21"/>
        </w:rPr>
        <w:t>2、投标文件中须有详细的实施（技术）方案。</w:t>
      </w:r>
    </w:p>
    <w:p>
      <w:pPr>
        <w:pStyle w:val="9"/>
        <w:spacing w:line="360" w:lineRule="auto"/>
        <w:rPr>
          <w:rFonts w:cs="Times New Roman" w:asciiTheme="majorEastAsia" w:hAnsiTheme="majorEastAsia" w:eastAsiaTheme="majorEastAsia"/>
          <w:color w:val="000000" w:themeColor="text1"/>
          <w:sz w:val="22"/>
          <w:szCs w:val="21"/>
        </w:rPr>
      </w:pPr>
      <w:r>
        <w:rPr>
          <w:rFonts w:cs="Times New Roman" w:asciiTheme="majorEastAsia" w:hAnsiTheme="majorEastAsia" w:eastAsiaTheme="majorEastAsia"/>
          <w:bCs/>
          <w:color w:val="000000" w:themeColor="text1"/>
          <w:sz w:val="22"/>
          <w:szCs w:val="21"/>
        </w:rPr>
        <w:t xml:space="preserve">  </w:t>
      </w:r>
      <w:r>
        <w:rPr>
          <w:rFonts w:hint="eastAsia" w:asciiTheme="majorEastAsia" w:hAnsiTheme="majorEastAsia" w:eastAsiaTheme="majorEastAsia"/>
          <w:bCs/>
          <w:color w:val="000000" w:themeColor="text1"/>
          <w:sz w:val="22"/>
          <w:szCs w:val="21"/>
        </w:rPr>
        <w:t xml:space="preserve">  </w:t>
      </w:r>
      <w:r>
        <w:rPr>
          <w:rFonts w:cs="Times New Roman" w:asciiTheme="majorEastAsia" w:hAnsiTheme="majorEastAsia" w:eastAsiaTheme="majorEastAsia"/>
          <w:bCs/>
          <w:color w:val="000000" w:themeColor="text1"/>
          <w:sz w:val="22"/>
          <w:szCs w:val="21"/>
        </w:rPr>
        <w:t>3</w:t>
      </w:r>
      <w:r>
        <w:rPr>
          <w:rFonts w:hint="eastAsia" w:cs="Times New Roman" w:asciiTheme="majorEastAsia" w:hAnsiTheme="majorEastAsia" w:eastAsiaTheme="majorEastAsia"/>
          <w:bCs/>
          <w:color w:val="000000" w:themeColor="text1"/>
          <w:sz w:val="22"/>
          <w:szCs w:val="21"/>
        </w:rPr>
        <w:t>、</w:t>
      </w:r>
      <w:r>
        <w:rPr>
          <w:rFonts w:hint="eastAsia" w:cs="Times New Roman" w:asciiTheme="majorEastAsia" w:hAnsiTheme="majorEastAsia" w:eastAsiaTheme="majorEastAsia"/>
          <w:color w:val="000000" w:themeColor="text1"/>
          <w:sz w:val="22"/>
          <w:szCs w:val="21"/>
        </w:rPr>
        <w:t>在本项目实施过程中发生的一切与本项目相关的安全事故及责任均由中标供应商承担，</w:t>
      </w:r>
      <w:r>
        <w:rPr>
          <w:rFonts w:hint="eastAsia" w:asciiTheme="majorEastAsia" w:hAnsiTheme="majorEastAsia" w:eastAsiaTheme="majorEastAsia"/>
          <w:color w:val="000000" w:themeColor="text1"/>
          <w:sz w:val="22"/>
          <w:szCs w:val="21"/>
        </w:rPr>
        <w:t>校方</w:t>
      </w:r>
      <w:r>
        <w:rPr>
          <w:rFonts w:hint="eastAsia" w:cs="Times New Roman" w:asciiTheme="majorEastAsia" w:hAnsiTheme="majorEastAsia" w:eastAsiaTheme="majorEastAsia"/>
          <w:color w:val="000000" w:themeColor="text1"/>
          <w:sz w:val="22"/>
          <w:szCs w:val="21"/>
        </w:rPr>
        <w:t>不承担任何责任及费用。</w:t>
      </w:r>
    </w:p>
    <w:p>
      <w:pPr>
        <w:spacing w:after="120" w:line="360" w:lineRule="auto"/>
        <w:ind w:firstLine="440" w:firstLineChars="200"/>
        <w:rPr>
          <w:rFonts w:asciiTheme="majorEastAsia" w:hAnsiTheme="majorEastAsia" w:eastAsiaTheme="majorEastAsia"/>
          <w:color w:val="000000" w:themeColor="text1"/>
          <w:sz w:val="22"/>
          <w:szCs w:val="21"/>
        </w:rPr>
      </w:pPr>
      <w:r>
        <w:rPr>
          <w:rFonts w:cs="Times New Roman" w:asciiTheme="majorEastAsia" w:hAnsiTheme="majorEastAsia" w:eastAsiaTheme="majorEastAsia"/>
          <w:bCs/>
          <w:color w:val="000000" w:themeColor="text1"/>
          <w:sz w:val="22"/>
          <w:szCs w:val="21"/>
        </w:rPr>
        <w:t>4</w:t>
      </w:r>
      <w:r>
        <w:rPr>
          <w:rFonts w:hint="eastAsia" w:cs="Times New Roman" w:asciiTheme="majorEastAsia" w:hAnsiTheme="majorEastAsia" w:eastAsiaTheme="majorEastAsia"/>
          <w:bCs/>
          <w:color w:val="000000" w:themeColor="text1"/>
          <w:sz w:val="22"/>
          <w:szCs w:val="21"/>
        </w:rPr>
        <w:t>、</w:t>
      </w:r>
      <w:r>
        <w:rPr>
          <w:rFonts w:hint="eastAsia" w:cs="Times New Roman" w:asciiTheme="majorEastAsia" w:hAnsiTheme="majorEastAsia" w:eastAsiaTheme="majorEastAsia"/>
          <w:color w:val="000000" w:themeColor="text1"/>
          <w:sz w:val="22"/>
          <w:szCs w:val="21"/>
        </w:rPr>
        <w:t>招标人有权对中标人保洁员工的劳动纪律、工作日程、保洁质量及时监督、检查、考核。随时提出整改意见，对不能达到标准和不能服从管理的有权按照相关规定（约定）进行处罚。</w:t>
      </w:r>
    </w:p>
    <w:p>
      <w:pPr>
        <w:spacing w:after="120" w:line="360" w:lineRule="auto"/>
        <w:ind w:firstLine="440" w:firstLineChars="200"/>
        <w:rPr>
          <w:rFonts w:cs="Times New Roman" w:asciiTheme="majorEastAsia" w:hAnsiTheme="majorEastAsia" w:eastAsiaTheme="majorEastAsia"/>
          <w:bCs/>
          <w:color w:val="000000" w:themeColor="text1"/>
          <w:sz w:val="22"/>
          <w:szCs w:val="21"/>
        </w:rPr>
      </w:pPr>
      <w:r>
        <w:rPr>
          <w:rFonts w:cs="Times New Roman" w:asciiTheme="majorEastAsia" w:hAnsiTheme="majorEastAsia" w:eastAsiaTheme="majorEastAsia"/>
          <w:bCs/>
          <w:color w:val="000000" w:themeColor="text1"/>
          <w:sz w:val="22"/>
          <w:szCs w:val="21"/>
        </w:rPr>
        <w:t>5</w:t>
      </w:r>
      <w:r>
        <w:rPr>
          <w:rFonts w:hint="eastAsia" w:cs="Times New Roman" w:asciiTheme="majorEastAsia" w:hAnsiTheme="majorEastAsia" w:eastAsiaTheme="majorEastAsia"/>
          <w:bCs/>
          <w:color w:val="000000" w:themeColor="text1"/>
          <w:sz w:val="22"/>
          <w:szCs w:val="21"/>
        </w:rPr>
        <w:t>、</w:t>
      </w:r>
      <w:r>
        <w:rPr>
          <w:rFonts w:hint="eastAsia" w:cs="Times New Roman" w:asciiTheme="majorEastAsia" w:hAnsiTheme="majorEastAsia" w:eastAsiaTheme="majorEastAsia"/>
          <w:color w:val="000000" w:themeColor="text1"/>
          <w:sz w:val="22"/>
          <w:szCs w:val="21"/>
        </w:rPr>
        <w:t>中标方未达到作业计划标准及工作违规或引起纠纷、被上级部门处罚等不良后果，造成重大经济损失或服务严重失误，招标方有权终止本合同，并追究中标方的经济责任。</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6、本次招标某些技术标准与国家所要求的标准不统一或有不兼容的地方，均以国家强制性标准或最新出台的标准为准。</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7、如果未在招标文件中要求提供其相关行业标准或国家强制性标准的，则投标人有责任给予补充说明。</w:t>
      </w:r>
    </w:p>
    <w:p>
      <w:pPr>
        <w:shd w:val="clear" w:color="auto" w:fill="FFFFFF"/>
        <w:ind w:firstLine="440" w:firstLineChars="200"/>
        <w:jc w:val="left"/>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8、</w:t>
      </w:r>
      <w:r>
        <w:rPr>
          <w:rFonts w:cs="Times New Roman" w:asciiTheme="majorEastAsia" w:hAnsiTheme="majorEastAsia" w:eastAsiaTheme="majorEastAsia"/>
          <w:color w:val="000000" w:themeColor="text1"/>
          <w:sz w:val="22"/>
          <w:szCs w:val="21"/>
        </w:rPr>
        <w:t>中标企业于中标后第三日上午09:00向</w:t>
      </w:r>
      <w:r>
        <w:rPr>
          <w:rFonts w:hint="eastAsia" w:cs="Times New Roman" w:asciiTheme="majorEastAsia" w:hAnsiTheme="majorEastAsia" w:eastAsiaTheme="majorEastAsia"/>
          <w:color w:val="000000" w:themeColor="text1"/>
          <w:sz w:val="22"/>
          <w:szCs w:val="21"/>
        </w:rPr>
        <w:t>禹州市第一高级中学</w:t>
      </w:r>
      <w:r>
        <w:rPr>
          <w:rFonts w:cs="Times New Roman" w:asciiTheme="majorEastAsia" w:hAnsiTheme="majorEastAsia" w:eastAsiaTheme="majorEastAsia"/>
          <w:color w:val="000000" w:themeColor="text1"/>
          <w:sz w:val="22"/>
          <w:szCs w:val="21"/>
        </w:rPr>
        <w:t>提供投标文件中所有资质原件，不符合或不能提供的，取消其中标资格并列入不良记录及信用中国。</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asciiTheme="majorEastAsia" w:hAnsiTheme="majorEastAsia" w:eastAsiaTheme="majorEastAsia"/>
          <w:color w:val="000000" w:themeColor="text1"/>
          <w:sz w:val="22"/>
          <w:szCs w:val="21"/>
        </w:rPr>
        <w:t>1</w:t>
      </w:r>
      <w:r>
        <w:rPr>
          <w:rFonts w:hint="eastAsia" w:cs="Times New Roman" w:asciiTheme="majorEastAsia" w:hAnsiTheme="majorEastAsia" w:eastAsiaTheme="majorEastAsia"/>
          <w:color w:val="000000" w:themeColor="text1"/>
          <w:sz w:val="22"/>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after="120" w:line="360" w:lineRule="auto"/>
        <w:ind w:firstLine="440" w:firstLineChars="200"/>
        <w:rPr>
          <w:rFonts w:asciiTheme="majorEastAsia" w:hAnsiTheme="majorEastAsia" w:eastAsiaTheme="majorEastAsia"/>
          <w:color w:val="000000" w:themeColor="text1"/>
          <w:sz w:val="22"/>
          <w:szCs w:val="21"/>
        </w:rPr>
      </w:pPr>
      <w:r>
        <w:rPr>
          <w:rFonts w:hint="eastAsia" w:asciiTheme="majorEastAsia" w:hAnsiTheme="majorEastAsia" w:eastAsiaTheme="majorEastAsia"/>
          <w:color w:val="000000" w:themeColor="text1"/>
          <w:sz w:val="22"/>
          <w:szCs w:val="21"/>
        </w:rPr>
        <w:t>2</w:t>
      </w:r>
      <w:r>
        <w:rPr>
          <w:rFonts w:hint="eastAsia" w:cs="Times New Roman" w:asciiTheme="majorEastAsia" w:hAnsiTheme="majorEastAsia" w:eastAsiaTheme="majorEastAsia"/>
          <w:color w:val="000000" w:themeColor="text1"/>
          <w:sz w:val="22"/>
          <w:szCs w:val="21"/>
        </w:rPr>
        <w:t>、</w:t>
      </w:r>
      <w:r>
        <w:rPr>
          <w:rFonts w:cs="Times New Roman" w:asciiTheme="majorEastAsia" w:hAnsiTheme="majorEastAsia" w:eastAsiaTheme="majorEastAsia"/>
          <w:color w:val="000000" w:themeColor="text1"/>
          <w:sz w:val="22"/>
          <w:szCs w:val="21"/>
        </w:rPr>
        <w:t>符合招标文件要求和投标文件承诺。</w:t>
      </w:r>
    </w:p>
    <w:p>
      <w:pPr>
        <w:pStyle w:val="61"/>
        <w:rPr>
          <w:rFonts w:asciiTheme="majorEastAsia" w:hAnsiTheme="majorEastAsia" w:eastAsiaTheme="majorEastAsia"/>
          <w:color w:val="000000" w:themeColor="text1"/>
          <w:kern w:val="2"/>
          <w:sz w:val="22"/>
          <w:szCs w:val="21"/>
        </w:rPr>
      </w:pPr>
      <w:r>
        <w:rPr>
          <w:rFonts w:hint="eastAsia" w:asciiTheme="majorEastAsia" w:hAnsiTheme="majorEastAsia" w:eastAsiaTheme="majorEastAsia"/>
          <w:color w:val="000000" w:themeColor="text1"/>
          <w:sz w:val="22"/>
          <w:szCs w:val="21"/>
        </w:rPr>
        <w:t xml:space="preserve">    3、</w:t>
      </w:r>
      <w:r>
        <w:rPr>
          <w:rFonts w:hint="eastAsia" w:asciiTheme="majorEastAsia" w:hAnsiTheme="majorEastAsia" w:eastAsiaTheme="majorEastAsia"/>
          <w:color w:val="000000" w:themeColor="text1"/>
          <w:kern w:val="2"/>
          <w:sz w:val="22"/>
          <w:szCs w:val="21"/>
        </w:rPr>
        <w:t>本项目验收如需要第三方验收，中标方将承担所有产生的费用</w:t>
      </w:r>
      <w:r>
        <w:rPr>
          <w:rFonts w:hint="eastAsia" w:asciiTheme="majorEastAsia" w:hAnsiTheme="majorEastAsia" w:eastAsiaTheme="majorEastAsia" w:cstheme="minorBidi"/>
          <w:color w:val="000000" w:themeColor="text1"/>
          <w:kern w:val="2"/>
          <w:sz w:val="22"/>
          <w:szCs w:val="21"/>
        </w:rPr>
        <w:t>。</w:t>
      </w:r>
    </w:p>
    <w:p>
      <w:pPr>
        <w:spacing w:line="360" w:lineRule="auto"/>
        <w:ind w:firstLine="442" w:firstLineChars="200"/>
        <w:contextualSpacing/>
        <w:rPr>
          <w:rFonts w:cs="微软雅黑" w:asciiTheme="majorEastAsia" w:hAnsiTheme="majorEastAsia" w:eastAsiaTheme="majorEastAsia"/>
          <w:b/>
          <w:color w:val="000000" w:themeColor="text1"/>
          <w:sz w:val="22"/>
          <w:szCs w:val="21"/>
        </w:rPr>
      </w:pPr>
    </w:p>
    <w:p>
      <w:pPr>
        <w:widowControl/>
        <w:shd w:val="clear" w:color="auto" w:fill="FFFFFF"/>
        <w:spacing w:line="480" w:lineRule="auto"/>
        <w:ind w:firstLine="600"/>
        <w:jc w:val="left"/>
        <w:rPr>
          <w:rFonts w:asciiTheme="majorEastAsia" w:hAnsiTheme="majorEastAsia" w:eastAsiaTheme="majorEastAsia"/>
          <w:color w:val="000000" w:themeColor="text1"/>
          <w:sz w:val="22"/>
          <w:szCs w:val="21"/>
        </w:rPr>
      </w:pPr>
    </w:p>
    <w:p>
      <w:pPr>
        <w:widowControl/>
        <w:shd w:val="clear" w:color="auto" w:fill="FFFFFF"/>
        <w:spacing w:line="480" w:lineRule="auto"/>
        <w:ind w:firstLine="600"/>
        <w:jc w:val="left"/>
        <w:rPr>
          <w:rFonts w:cs="宋体" w:asciiTheme="majorEastAsia" w:hAnsiTheme="majorEastAsia" w:eastAsiaTheme="majorEastAsia"/>
          <w:color w:val="000000"/>
          <w:kern w:val="0"/>
          <w:sz w:val="22"/>
          <w:szCs w:val="21"/>
        </w:rPr>
      </w:pPr>
    </w:p>
    <w:p>
      <w:pPr>
        <w:widowControl/>
        <w:rPr>
          <w:rFonts w:cs="微软雅黑"/>
          <w:b/>
          <w:szCs w:val="21"/>
        </w:rPr>
      </w:pPr>
    </w:p>
    <w:p>
      <w:pPr>
        <w:widowControl/>
        <w:ind w:firstLine="1676" w:firstLineChars="795"/>
        <w:rPr>
          <w:rFonts w:cs="宋体" w:asciiTheme="majorEastAsia" w:hAnsiTheme="majorEastAsia" w:eastAsiaTheme="majorEastAsia"/>
          <w:b/>
          <w:kern w:val="0"/>
          <w:sz w:val="32"/>
          <w:szCs w:val="32"/>
        </w:rPr>
      </w:pPr>
      <w:r>
        <w:rPr>
          <w:rFonts w:hint="eastAsia" w:cs="微软雅黑"/>
          <w:b/>
          <w:szCs w:val="21"/>
        </w:rPr>
        <w:t xml:space="preserve">    </w:t>
      </w: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ascii="宋体" w:hAnsi="宋体" w:eastAsia="宋体" w:cs="仿宋"/>
                <w:kern w:val="0"/>
                <w:sz w:val="30"/>
                <w:szCs w:val="30"/>
              </w:rPr>
            </w:pPr>
            <w:r>
              <w:rPr>
                <w:rFonts w:hint="eastAsia" w:cs="仿宋_GB2312" w:asciiTheme="minorEastAsia" w:hAnsiTheme="minorEastAsia"/>
                <w:szCs w:val="21"/>
              </w:rPr>
              <w:t>项目名称：禹州市一高物业服务项目(不见面开标）</w:t>
            </w:r>
          </w:p>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采购编号：YZCG-G2023008</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采购单位：禹州市第一高级中学</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地址：禹州市振兴路39号</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联系人：李先生       联系电话：13523296811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4413600元，超出最高限价的投标无效。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2023年4月10日8：30（北京时间）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color w:val="FF0000"/>
              </w:rPr>
            </w:pPr>
            <w:r>
              <w:rPr>
                <w:rFonts w:hint="eastAsia"/>
                <w:color w:val="FF0000"/>
              </w:rPr>
              <w:t>1、本项目属于专门面向小微企业采购的项目（不再执行价格评审优惠的扶持政策）。</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2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6"/>
          <w:rFonts w:cs="宋体" w:asciiTheme="minorEastAsia" w:hAnsiTheme="minorEastAsia"/>
          <w:color w:val="auto"/>
          <w:kern w:val="0"/>
          <w:szCs w:val="21"/>
        </w:rPr>
        <w:t>https://chinanpo.mca.gov.cn</w:t>
      </w:r>
      <w:r>
        <w:rPr>
          <w:rStyle w:val="26"/>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2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2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2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38"/>
        <w:numPr>
          <w:ilvl w:val="1"/>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38"/>
        <w:numPr>
          <w:ilvl w:val="1"/>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8"/>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38"/>
        <w:numPr>
          <w:ilvl w:val="1"/>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38"/>
        <w:numPr>
          <w:ilvl w:val="1"/>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38"/>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38"/>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38"/>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8"/>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38"/>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38"/>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38"/>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38"/>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3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7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7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7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7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7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79"/>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38"/>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3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38"/>
        <w:numPr>
          <w:ilvl w:val="0"/>
          <w:numId w:val="8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8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38"/>
        <w:numPr>
          <w:ilvl w:val="0"/>
          <w:numId w:val="8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38"/>
        <w:numPr>
          <w:ilvl w:val="0"/>
          <w:numId w:val="8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38"/>
        <w:numPr>
          <w:ilvl w:val="0"/>
          <w:numId w:val="8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38"/>
        <w:numPr>
          <w:ilvl w:val="0"/>
          <w:numId w:val="8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8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38"/>
        <w:numPr>
          <w:ilvl w:val="0"/>
          <w:numId w:val="8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38"/>
        <w:numPr>
          <w:ilvl w:val="1"/>
          <w:numId w:val="8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专门面向中小企业预留采购份额（本项目专门面向小微企业采购）</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kern w:val="0"/>
                <w:sz w:val="24"/>
              </w:rPr>
              <w:t>分值构成</w:t>
            </w:r>
          </w:p>
          <w:p>
            <w:pPr>
              <w:spacing w:line="360" w:lineRule="auto"/>
              <w:jc w:val="center"/>
              <w:rPr>
                <w:rFonts w:ascii="宋体" w:hAnsi="宋体" w:cs="宋体"/>
                <w:kern w:val="0"/>
                <w:sz w:val="24"/>
              </w:rPr>
            </w:pPr>
            <w:r>
              <w:rPr>
                <w:rFonts w:hint="eastAsia" w:ascii="宋体" w:hAnsi="宋体" w:cs="宋体"/>
                <w:kern w:val="0"/>
                <w:sz w:val="24"/>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rPr>
            </w:pPr>
            <w:r>
              <w:rPr>
                <w:rFonts w:hint="eastAsia" w:ascii="宋体" w:hAnsi="宋体"/>
              </w:rPr>
              <w:t>价格分值：15分</w:t>
            </w:r>
          </w:p>
          <w:p>
            <w:pPr>
              <w:spacing w:line="360" w:lineRule="auto"/>
              <w:ind w:firstLine="480"/>
              <w:rPr>
                <w:rFonts w:ascii="宋体" w:hAnsi="宋体"/>
              </w:rPr>
            </w:pPr>
            <w:r>
              <w:rPr>
                <w:rFonts w:hint="eastAsia" w:ascii="宋体" w:hAnsi="宋体"/>
              </w:rPr>
              <w:t>商务部分：40分</w:t>
            </w:r>
          </w:p>
          <w:p>
            <w:pPr>
              <w:spacing w:line="360" w:lineRule="auto"/>
              <w:ind w:firstLine="480"/>
              <w:rPr>
                <w:rFonts w:ascii="宋体" w:hAnsi="宋体"/>
              </w:rPr>
            </w:pPr>
            <w:r>
              <w:rPr>
                <w:rFonts w:hint="eastAsia" w:ascii="宋体" w:hAnsi="宋体"/>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kern w:val="0"/>
                <w:sz w:val="24"/>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kern w:val="0"/>
                <w:sz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kern w:val="0"/>
                <w:sz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kern w:val="0"/>
                <w:sz w:val="24"/>
              </w:rPr>
              <w:t>投标报价</w:t>
            </w:r>
          </w:p>
          <w:p>
            <w:pPr>
              <w:spacing w:line="360" w:lineRule="auto"/>
              <w:jc w:val="center"/>
              <w:rPr>
                <w:rFonts w:ascii="宋体" w:hAnsi="宋体" w:cs="宋体"/>
                <w:kern w:val="0"/>
                <w:sz w:val="24"/>
              </w:rPr>
            </w:pPr>
            <w:r>
              <w:rPr>
                <w:rFonts w:hint="eastAsia" w:ascii="宋体" w:hAnsi="宋体" w:cs="宋体"/>
                <w:kern w:val="0"/>
                <w:sz w:val="24"/>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rPr>
            </w:pPr>
            <w:r>
              <w:rPr>
                <w:rFonts w:hint="eastAsia" w:ascii="宋体" w:hAnsi="宋体"/>
              </w:rPr>
              <w:t>评标基准价：满足招标文件要求的有效投标报价中，最低的投标报价为评标基准价。</w:t>
            </w:r>
          </w:p>
          <w:p>
            <w:pPr>
              <w:spacing w:line="360" w:lineRule="auto"/>
              <w:ind w:right="240"/>
              <w:jc w:val="left"/>
              <w:rPr>
                <w:rFonts w:ascii="宋体" w:hAnsi="宋体"/>
              </w:rPr>
            </w:pPr>
            <w:r>
              <w:rPr>
                <w:rFonts w:hint="eastAsia" w:ascii="宋体" w:hAnsi="宋体"/>
              </w:rPr>
              <w:t>投标报价得分=（评标基准价/投标报价）×15</w:t>
            </w:r>
          </w:p>
          <w:p>
            <w:pPr>
              <w:spacing w:line="360" w:lineRule="auto"/>
              <w:ind w:right="240"/>
              <w:jc w:val="left"/>
              <w:rPr>
                <w:rFonts w:ascii="宋体" w:hAnsi="宋体"/>
              </w:rPr>
            </w:pPr>
            <w:r>
              <w:rPr>
                <w:rFonts w:hint="eastAsia" w:ascii="宋体" w:hAnsi="宋体"/>
              </w:rPr>
              <w:t>计算按四舍五入法则。保留小数点后两位。</w:t>
            </w:r>
          </w:p>
          <w:p>
            <w:pPr>
              <w:pStyle w:val="9"/>
              <w:spacing w:line="360" w:lineRule="auto"/>
            </w:pPr>
            <w:r>
              <w:rPr>
                <w:rFonts w:hint="eastAsia" w:ascii="宋体" w:hAnsi="宋体"/>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r>
              <w:rPr>
                <w:rFonts w:hint="eastAsi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kern w:val="0"/>
                <w:sz w:val="24"/>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kern w:val="0"/>
                <w:sz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cs="宋体"/>
                <w:kern w:val="0"/>
                <w:sz w:val="24"/>
              </w:rPr>
            </w:pPr>
            <w:r>
              <w:rPr>
                <w:rFonts w:hint="eastAsia" w:ascii="宋体" w:hAnsi="宋体" w:cs="宋体"/>
                <w:bCs/>
                <w:kern w:val="0"/>
                <w:sz w:val="24"/>
              </w:rPr>
              <w:tab/>
            </w:r>
            <w:r>
              <w:rPr>
                <w:rFonts w:hint="eastAsia" w:ascii="宋体" w:hAnsi="宋体" w:cs="宋体"/>
                <w:bCs/>
                <w:kern w:val="0"/>
                <w:sz w:val="24"/>
              </w:rPr>
              <w:tab/>
            </w:r>
            <w:r>
              <w:rPr>
                <w:rFonts w:hint="eastAsia" w:ascii="宋体" w:hAnsi="宋体" w:cs="宋体"/>
                <w:bCs/>
                <w:kern w:val="0"/>
                <w:sz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Cs/>
                <w:kern w:val="0"/>
                <w:sz w:val="24"/>
              </w:rPr>
            </w:pPr>
            <w:r>
              <w:rPr>
                <w:rFonts w:hint="eastAsia" w:ascii="宋体" w:hAnsi="宋体" w:cs="宋体"/>
                <w:bCs/>
                <w:kern w:val="0"/>
                <w:sz w:val="24"/>
              </w:rPr>
              <w:t>信誉</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cs="宋体"/>
                <w:bCs/>
                <w:kern w:val="0"/>
                <w:sz w:val="24"/>
              </w:rPr>
            </w:pPr>
            <w:r>
              <w:rPr>
                <w:rFonts w:hint="eastAsia" w:ascii="宋体" w:hAnsi="宋体" w:cs="宋体"/>
              </w:rPr>
              <w:t>投标人具有第三方征信机构出具的企业信用等级证书，达到AAA级的得5分，达到AA级的得3分，达到A级的得1分（在响应文件中附有效期内证书原件扫描件，并有年检记录，否则不得分）。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bCs/>
                <w:kern w:val="0"/>
                <w:szCs w:val="21"/>
              </w:rPr>
            </w:pPr>
            <w:r>
              <w:rPr>
                <w:rFonts w:hint="eastAsia" w:ascii="宋体" w:hAnsi="宋体" w:cs="宋体"/>
                <w:bCs/>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Cs/>
                <w:kern w:val="0"/>
                <w:sz w:val="24"/>
              </w:rPr>
            </w:pPr>
            <w:r>
              <w:rPr>
                <w:rFonts w:hint="eastAsia" w:ascii="宋体" w:hAnsi="宋体" w:cs="宋体"/>
                <w:kern w:val="0"/>
                <w:sz w:val="24"/>
              </w:rPr>
              <w:t>类似业绩</w:t>
            </w: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rPr>
              <w:t>投标人2020年1月1日以来（以合同签订日期为准），具有类似项目业绩的，每有一项得5分，满分35分。</w:t>
            </w:r>
          </w:p>
          <w:p>
            <w:pPr>
              <w:spacing w:line="360" w:lineRule="auto"/>
              <w:jc w:val="left"/>
              <w:rPr>
                <w:rFonts w:ascii="宋体" w:hAnsi="宋体" w:cs="宋体"/>
                <w:bCs/>
                <w:kern w:val="0"/>
                <w:sz w:val="24"/>
              </w:rPr>
            </w:pPr>
            <w:r>
              <w:rPr>
                <w:rFonts w:hint="eastAsia" w:ascii="宋体" w:hAnsi="宋体" w:cs="宋体"/>
              </w:rPr>
              <w:t>标书中附中标通知书或合同书原件扫描件。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cs="宋体"/>
                <w:bCs/>
                <w:kern w:val="0"/>
                <w:szCs w:val="21"/>
              </w:rPr>
            </w:pPr>
            <w:r>
              <w:rPr>
                <w:rFonts w:hint="eastAsia" w:ascii="宋体" w:hAnsi="宋体"/>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整体物业管理方案及措施</w:t>
            </w:r>
          </w:p>
        </w:tc>
        <w:tc>
          <w:tcPr>
            <w:tcW w:w="6407" w:type="dxa"/>
            <w:tcBorders>
              <w:top w:val="nil"/>
              <w:left w:val="nil"/>
              <w:bottom w:val="single" w:color="auto" w:sz="4" w:space="0"/>
              <w:right w:val="single" w:color="auto" w:sz="4" w:space="0"/>
            </w:tcBorders>
            <w:noWrap/>
            <w:vAlign w:val="center"/>
          </w:tcPr>
          <w:p>
            <w:pPr>
              <w:spacing w:line="360" w:lineRule="auto"/>
              <w:rPr>
                <w:rFonts w:ascii="宋体" w:hAnsi="宋体" w:cs="宋体"/>
              </w:rPr>
            </w:pPr>
            <w:r>
              <w:rPr>
                <w:rFonts w:ascii="宋体" w:hAnsi="宋体" w:cs="宋体"/>
              </w:rPr>
              <w:t>1、整体物业管理方案及措施是否全面、合理、完善：</w:t>
            </w:r>
          </w:p>
          <w:p>
            <w:pPr>
              <w:spacing w:line="360" w:lineRule="auto"/>
              <w:rPr>
                <w:rFonts w:ascii="宋体" w:hAnsi="宋体" w:cs="宋体"/>
              </w:rPr>
            </w:pPr>
            <w:r>
              <w:rPr>
                <w:rFonts w:hint="eastAsia" w:ascii="宋体" w:hAnsi="宋体" w:cs="宋体"/>
              </w:rPr>
              <w:t>评委根据方案及措施是否全面、合理、完善在</w:t>
            </w:r>
            <w:r>
              <w:rPr>
                <w:rFonts w:ascii="宋体" w:hAnsi="宋体" w:cs="宋体"/>
              </w:rPr>
              <w:t>1-</w:t>
            </w:r>
            <w:r>
              <w:rPr>
                <w:rFonts w:hint="eastAsia" w:ascii="宋体" w:hAnsi="宋体" w:cs="宋体"/>
              </w:rPr>
              <w:t>7</w:t>
            </w:r>
            <w:r>
              <w:rPr>
                <w:rFonts w:ascii="宋体" w:hAnsi="宋体" w:cs="宋体"/>
              </w:rPr>
              <w:t>分内打分，</w:t>
            </w:r>
            <w:r>
              <w:rPr>
                <w:rFonts w:hint="eastAsia" w:cs="仿宋_GB2312" w:asciiTheme="minorEastAsia" w:hAnsiTheme="minorEastAsia"/>
                <w:szCs w:val="21"/>
                <w:lang w:val="zh-CN"/>
              </w:rPr>
              <w:t>（优6-7分  良4-5分  一般1-3分）</w:t>
            </w:r>
            <w:r>
              <w:rPr>
                <w:rFonts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员工从业能力培训方案及保持服务人员稳定的措施</w:t>
            </w:r>
          </w:p>
        </w:tc>
        <w:tc>
          <w:tcPr>
            <w:tcW w:w="6407" w:type="dxa"/>
            <w:tcBorders>
              <w:top w:val="single" w:color="auto" w:sz="4" w:space="0"/>
              <w:left w:val="nil"/>
              <w:bottom w:val="single" w:color="auto" w:sz="4" w:space="0"/>
              <w:right w:val="single" w:color="auto" w:sz="4" w:space="0"/>
            </w:tcBorders>
            <w:noWrap/>
            <w:vAlign w:val="center"/>
          </w:tcPr>
          <w:p>
            <w:pPr>
              <w:autoSpaceDE w:val="0"/>
              <w:autoSpaceDN w:val="0"/>
              <w:spacing w:line="460" w:lineRule="exact"/>
              <w:rPr>
                <w:rFonts w:ascii="宋体" w:hAnsi="宋体" w:cs="宋体"/>
              </w:rPr>
            </w:pPr>
            <w:r>
              <w:rPr>
                <w:rFonts w:ascii="宋体" w:hAnsi="宋体" w:cs="宋体"/>
              </w:rPr>
              <w:t>2、员工从业能力的培训教育方案以及保持服务人员相对稳定的措施，评委根据方案及措施的完整、合理性在1-</w:t>
            </w:r>
            <w:r>
              <w:rPr>
                <w:rFonts w:hint="eastAsia" w:ascii="宋体" w:hAnsi="宋体" w:cs="宋体"/>
              </w:rPr>
              <w:t>7</w:t>
            </w:r>
            <w:r>
              <w:rPr>
                <w:rFonts w:ascii="宋体" w:hAnsi="宋体" w:cs="宋体"/>
              </w:rPr>
              <w:t>分内打分，</w:t>
            </w:r>
            <w:r>
              <w:rPr>
                <w:rFonts w:hint="eastAsia" w:cs="仿宋_GB2312" w:asciiTheme="minorEastAsia" w:hAnsiTheme="minorEastAsia"/>
                <w:szCs w:val="21"/>
                <w:lang w:val="zh-CN"/>
              </w:rPr>
              <w:t>（优6-7分  良4-5分  一般1-3分）</w:t>
            </w:r>
            <w:r>
              <w:rPr>
                <w:rFonts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服务质量</w:t>
            </w:r>
          </w:p>
          <w:p>
            <w:pPr>
              <w:spacing w:line="360" w:lineRule="auto"/>
              <w:jc w:val="center"/>
              <w:rPr>
                <w:rFonts w:ascii="宋体" w:hAnsi="宋体" w:cs="宋体"/>
              </w:rPr>
            </w:pPr>
            <w:r>
              <w:rPr>
                <w:rFonts w:hint="eastAsia" w:ascii="宋体" w:hAnsi="宋体" w:cs="宋体"/>
              </w:rPr>
              <w:t>保证措施</w:t>
            </w:r>
          </w:p>
        </w:tc>
        <w:tc>
          <w:tcPr>
            <w:tcW w:w="6407" w:type="dxa"/>
            <w:tcBorders>
              <w:top w:val="single" w:color="auto" w:sz="4" w:space="0"/>
              <w:left w:val="nil"/>
              <w:bottom w:val="single" w:color="auto" w:sz="4" w:space="0"/>
              <w:right w:val="single" w:color="auto" w:sz="4" w:space="0"/>
            </w:tcBorders>
            <w:noWrap/>
            <w:vAlign w:val="center"/>
          </w:tcPr>
          <w:p>
            <w:pPr>
              <w:pStyle w:val="9"/>
              <w:spacing w:line="360" w:lineRule="auto"/>
              <w:rPr>
                <w:rFonts w:ascii="宋体" w:hAnsi="宋体" w:cs="宋体"/>
              </w:rPr>
            </w:pPr>
            <w:r>
              <w:rPr>
                <w:rFonts w:ascii="宋体" w:hAnsi="宋体" w:cs="宋体"/>
              </w:rPr>
              <w:t>3、服务质量保证措施：评委根据方案及措施的完整、合理性</w:t>
            </w:r>
            <w:r>
              <w:rPr>
                <w:rFonts w:hint="eastAsia" w:ascii="宋体" w:hAnsi="宋体" w:cs="宋体"/>
              </w:rPr>
              <w:t>，</w:t>
            </w:r>
            <w:r>
              <w:rPr>
                <w:rFonts w:ascii="宋体" w:hAnsi="宋体" w:cs="宋体"/>
              </w:rPr>
              <w:t>在1</w:t>
            </w:r>
            <w:r>
              <w:rPr>
                <w:rFonts w:hint="eastAsia" w:ascii="宋体" w:hAnsi="宋体" w:cs="宋体"/>
              </w:rPr>
              <w:t>-7</w:t>
            </w:r>
            <w:r>
              <w:rPr>
                <w:rFonts w:ascii="宋体" w:hAnsi="宋体" w:cs="宋体"/>
              </w:rPr>
              <w:t>分内打分</w:t>
            </w:r>
            <w:r>
              <w:rPr>
                <w:rFonts w:hint="eastAsia" w:cs="仿宋_GB2312" w:asciiTheme="minorEastAsia" w:hAnsiTheme="minorEastAsia"/>
                <w:szCs w:val="21"/>
                <w:lang w:val="zh-CN"/>
              </w:rPr>
              <w:t>（优6-7分  良4-5分  一般1-3分）</w:t>
            </w:r>
            <w:r>
              <w:rPr>
                <w:rFonts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突发事件</w:t>
            </w:r>
          </w:p>
          <w:p>
            <w:pPr>
              <w:spacing w:line="360" w:lineRule="auto"/>
              <w:jc w:val="center"/>
              <w:rPr>
                <w:rFonts w:ascii="宋体" w:hAnsi="宋体" w:cs="宋体"/>
              </w:rPr>
            </w:pPr>
            <w:r>
              <w:rPr>
                <w:rFonts w:hint="eastAsia" w:ascii="宋体" w:hAnsi="宋体" w:cs="宋体"/>
              </w:rPr>
              <w:t>处置预案</w:t>
            </w:r>
          </w:p>
        </w:tc>
        <w:tc>
          <w:tcPr>
            <w:tcW w:w="6407" w:type="dxa"/>
            <w:tcBorders>
              <w:top w:val="single" w:color="auto" w:sz="4" w:space="0"/>
              <w:left w:val="nil"/>
              <w:bottom w:val="single" w:color="auto" w:sz="4" w:space="0"/>
              <w:right w:val="single" w:color="auto" w:sz="4" w:space="0"/>
            </w:tcBorders>
            <w:noWrap/>
            <w:vAlign w:val="center"/>
          </w:tcPr>
          <w:p>
            <w:pPr>
              <w:pStyle w:val="9"/>
              <w:spacing w:line="360" w:lineRule="auto"/>
              <w:rPr>
                <w:rFonts w:ascii="宋体" w:hAnsi="宋体" w:cs="宋体"/>
              </w:rPr>
            </w:pPr>
            <w:r>
              <w:rPr>
                <w:rFonts w:ascii="宋体" w:hAnsi="宋体" w:cs="宋体"/>
              </w:rPr>
              <w:t>4</w:t>
            </w:r>
            <w:r>
              <w:rPr>
                <w:rFonts w:hint="eastAsia" w:ascii="宋体" w:hAnsi="宋体" w:cs="宋体"/>
              </w:rPr>
              <w:t>、突发事件处置预案：评委根据预案的合理、详细、切实可行的在1-7分内打分，</w:t>
            </w:r>
            <w:r>
              <w:rPr>
                <w:rFonts w:hint="eastAsia" w:cs="仿宋_GB2312" w:asciiTheme="minorEastAsia" w:hAnsiTheme="minorEastAsia"/>
                <w:szCs w:val="21"/>
                <w:lang w:val="zh-CN"/>
              </w:rPr>
              <w:t>（优6-7分  良4-5分  一般1-3分）</w:t>
            </w:r>
            <w:r>
              <w:rPr>
                <w:rFonts w:hint="eastAsia"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7</w:t>
            </w:r>
            <w:r>
              <w:rPr>
                <w:rFonts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规章制度</w:t>
            </w:r>
          </w:p>
        </w:tc>
        <w:tc>
          <w:tcPr>
            <w:tcW w:w="6407" w:type="dxa"/>
            <w:tcBorders>
              <w:top w:val="single" w:color="auto" w:sz="4" w:space="0"/>
              <w:left w:val="nil"/>
              <w:bottom w:val="single" w:color="auto" w:sz="4" w:space="0"/>
              <w:right w:val="single" w:color="auto" w:sz="4" w:space="0"/>
            </w:tcBorders>
            <w:noWrap/>
            <w:vAlign w:val="center"/>
          </w:tcPr>
          <w:p>
            <w:pPr>
              <w:pStyle w:val="9"/>
              <w:spacing w:line="360" w:lineRule="auto"/>
              <w:rPr>
                <w:rFonts w:ascii="宋体" w:hAnsi="宋体" w:cs="宋体"/>
              </w:rPr>
            </w:pPr>
            <w:r>
              <w:rPr>
                <w:rFonts w:ascii="宋体" w:hAnsi="宋体" w:cs="宋体"/>
              </w:rPr>
              <w:t>5、规章制度是否健全：评委根据规章制度的合理、详细、切实可行的在1-</w:t>
            </w:r>
            <w:r>
              <w:rPr>
                <w:rFonts w:hint="eastAsia" w:ascii="宋体" w:hAnsi="宋体" w:cs="宋体"/>
              </w:rPr>
              <w:t>5</w:t>
            </w:r>
            <w:r>
              <w:rPr>
                <w:rFonts w:ascii="宋体" w:hAnsi="宋体" w:cs="宋体"/>
              </w:rPr>
              <w:t>分内打分，</w:t>
            </w:r>
            <w:r>
              <w:rPr>
                <w:rFonts w:hint="eastAsia" w:cs="仿宋_GB2312" w:asciiTheme="minorEastAsia" w:hAnsiTheme="minorEastAsia"/>
                <w:szCs w:val="21"/>
                <w:lang w:val="zh-CN"/>
              </w:rPr>
              <w:t>（优5分  良3分  一般1分）</w:t>
            </w:r>
            <w:r>
              <w:rPr>
                <w:rFonts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5</w:t>
            </w:r>
            <w:r>
              <w:rPr>
                <w:rFonts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档案资料管理</w:t>
            </w:r>
          </w:p>
        </w:tc>
        <w:tc>
          <w:tcPr>
            <w:tcW w:w="6407" w:type="dxa"/>
            <w:tcBorders>
              <w:top w:val="single" w:color="auto" w:sz="4" w:space="0"/>
              <w:left w:val="nil"/>
              <w:bottom w:val="single" w:color="auto" w:sz="4" w:space="0"/>
              <w:right w:val="single" w:color="auto" w:sz="4" w:space="0"/>
            </w:tcBorders>
            <w:noWrap/>
            <w:vAlign w:val="center"/>
          </w:tcPr>
          <w:p>
            <w:pPr>
              <w:pStyle w:val="9"/>
              <w:spacing w:line="360" w:lineRule="auto"/>
              <w:rPr>
                <w:rFonts w:ascii="宋体" w:hAnsi="宋体" w:cs="宋体"/>
              </w:rPr>
            </w:pPr>
            <w:r>
              <w:rPr>
                <w:rFonts w:ascii="宋体" w:hAnsi="宋体" w:cs="宋体"/>
              </w:rPr>
              <w:t>6、档案资料管理(人员、设施、设备管理服务、行政文件资料、信息等档案的建立与管理）：评委根据档案资料管理的合理、科学、切实可行的在1-</w:t>
            </w:r>
            <w:r>
              <w:rPr>
                <w:rFonts w:hint="eastAsia" w:ascii="宋体" w:hAnsi="宋体" w:cs="宋体"/>
              </w:rPr>
              <w:t>5</w:t>
            </w:r>
            <w:r>
              <w:rPr>
                <w:rFonts w:ascii="宋体" w:hAnsi="宋体" w:cs="宋体"/>
              </w:rPr>
              <w:t>分内打分，</w:t>
            </w:r>
            <w:r>
              <w:rPr>
                <w:rFonts w:hint="eastAsia" w:cs="仿宋_GB2312" w:asciiTheme="minorEastAsia" w:hAnsiTheme="minorEastAsia"/>
                <w:szCs w:val="21"/>
                <w:lang w:val="zh-CN"/>
              </w:rPr>
              <w:t>（优5分  良3分  一般1分）</w:t>
            </w:r>
            <w:r>
              <w:rPr>
                <w:rFonts w:ascii="宋体" w:hAnsi="宋体" w:cs="宋体"/>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rPr>
              <w:t>5</w:t>
            </w:r>
            <w:r>
              <w:rPr>
                <w:rFonts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tcBorders>
              <w:left w:val="single" w:color="auto" w:sz="4" w:space="0"/>
              <w:right w:val="single" w:color="auto" w:sz="4" w:space="0"/>
            </w:tcBorders>
            <w:noWrap/>
            <w:vAlign w:val="center"/>
          </w:tcPr>
          <w:p>
            <w:pPr>
              <w:spacing w:line="360" w:lineRule="auto"/>
              <w:jc w:val="left"/>
              <w:rPr>
                <w:rFonts w:ascii="宋体" w:hAnsi="宋体" w:cs="宋体"/>
              </w:rPr>
            </w:pPr>
            <w:r>
              <w:rPr>
                <w:rFonts w:hint="eastAsia"/>
              </w:rPr>
              <w:t>保洁、维修维护、绿化养护、宿舍管理等服务方案</w:t>
            </w:r>
          </w:p>
        </w:tc>
        <w:tc>
          <w:tcPr>
            <w:tcW w:w="6407" w:type="dxa"/>
            <w:tcBorders>
              <w:top w:val="single" w:color="auto" w:sz="4" w:space="0"/>
              <w:left w:val="nil"/>
              <w:bottom w:val="single" w:color="auto" w:sz="4" w:space="0"/>
              <w:right w:val="single" w:color="auto" w:sz="4" w:space="0"/>
            </w:tcBorders>
            <w:noWrap/>
            <w:vAlign w:val="center"/>
          </w:tcPr>
          <w:p>
            <w:pPr>
              <w:pStyle w:val="9"/>
              <w:spacing w:line="360" w:lineRule="auto"/>
              <w:rPr>
                <w:rFonts w:ascii="宋体" w:hAnsi="宋体" w:cs="宋体"/>
              </w:rPr>
            </w:pPr>
            <w:r>
              <w:rPr>
                <w:rFonts w:hint="eastAsia" w:ascii="宋体" w:hAnsi="宋体" w:cs="宋体"/>
              </w:rPr>
              <w:t>1、人员岗位设置合理，方案全面，符合项目实际得4分，简单概况描述、方案不全面得1 分，不提供不得分。</w:t>
            </w:r>
          </w:p>
          <w:p>
            <w:pPr>
              <w:pStyle w:val="9"/>
              <w:spacing w:line="360" w:lineRule="auto"/>
              <w:rPr>
                <w:rFonts w:ascii="宋体" w:hAnsi="宋体" w:cs="宋体"/>
              </w:rPr>
            </w:pPr>
            <w:r>
              <w:rPr>
                <w:rFonts w:hint="eastAsia" w:ascii="宋体" w:hAnsi="宋体" w:cs="宋体"/>
              </w:rPr>
              <w:t>2、物业管理服务所能达到的具体质量标准情况，该方案全面，措施得当得3分，简单概况描述、方案不全面得1 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cs="宋体"/>
              </w:rPr>
            </w:pPr>
            <w:r>
              <w:rPr>
                <w:rFonts w:hint="eastAsia" w:ascii="宋体" w:hAnsi="宋体" w:cs="宋体"/>
              </w:rPr>
              <w:t>7</w:t>
            </w:r>
            <w:r>
              <w:rPr>
                <w:rFonts w:ascii="宋体" w:hAnsi="宋体" w:cs="宋体"/>
              </w:rPr>
              <w:t>分</w:t>
            </w:r>
          </w:p>
        </w:tc>
      </w:tr>
    </w:tbl>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0"/>
        <w:spacing w:line="480" w:lineRule="auto"/>
        <w:ind w:firstLine="472" w:firstLineChars="225"/>
        <w:jc w:val="left"/>
        <w:rPr>
          <w:rFonts w:asciiTheme="minorEastAsia" w:hAnsiTheme="minorEastAsia"/>
          <w:sz w:val="21"/>
          <w:szCs w:val="21"/>
        </w:rPr>
      </w:pPr>
    </w:p>
    <w:p>
      <w:pPr>
        <w:pStyle w:val="4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b/>
          <w:bCs/>
          <w:sz w:val="24"/>
          <w:szCs w:val="24"/>
        </w:rPr>
        <w:t>4.4</w:t>
      </w:r>
      <w:r>
        <w:rPr>
          <w:rFonts w:hint="eastAsia" w:ascii="宋体" w:hAnsi="宋体" w:eastAsia="宋体" w:cs="Arial"/>
          <w:b/>
          <w:bCs/>
          <w:color w:val="333333"/>
          <w:kern w:val="0"/>
          <w:sz w:val="29"/>
        </w:rPr>
        <w:t>中小企业声明函（服务）</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p>
    <w:p>
      <w:pPr>
        <w:shd w:val="clear" w:color="auto" w:fill="FFFFFF"/>
        <w:spacing w:before="100" w:beforeAutospacing="1" w:after="100" w:afterAutospacing="1" w:line="435" w:lineRule="atLeast"/>
        <w:rPr>
          <w:rFonts w:ascii="Arial" w:hAnsi="Arial" w:eastAsia="宋体" w:cs="Arial"/>
          <w:color w:val="333333"/>
          <w:kern w:val="0"/>
          <w:szCs w:val="21"/>
        </w:rPr>
      </w:pPr>
    </w:p>
    <w:p>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Pr>
          <w:rFonts w:hint="eastAsia" w:ascii="宋体" w:hAnsi="宋体"/>
          <w:b/>
          <w:bCs/>
          <w:sz w:val="24"/>
          <w:szCs w:val="24"/>
        </w:rPr>
        <w:t>4.5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roma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2049"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6">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2">
    <w:nsid w:val="59F817C2"/>
    <w:multiLevelType w:val="singleLevel"/>
    <w:tmpl w:val="59F817C2"/>
    <w:lvl w:ilvl="0" w:tentative="0">
      <w:start w:val="2"/>
      <w:numFmt w:val="chineseCounting"/>
      <w:suff w:val="space"/>
      <w:lvlText w:val="第%1章"/>
      <w:lvlJc w:val="left"/>
    </w:lvl>
  </w:abstractNum>
  <w:abstractNum w:abstractNumId="53">
    <w:nsid w:val="59F817E8"/>
    <w:multiLevelType w:val="singleLevel"/>
    <w:tmpl w:val="59F817E8"/>
    <w:lvl w:ilvl="0" w:tentative="0">
      <w:start w:val="1"/>
      <w:numFmt w:val="chineseCounting"/>
      <w:pStyle w:val="49"/>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7">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6817507C"/>
    <w:multiLevelType w:val="singleLevel"/>
    <w:tmpl w:val="6817507C"/>
    <w:lvl w:ilvl="0" w:tentative="0">
      <w:start w:val="2"/>
      <w:numFmt w:val="chineseCounting"/>
      <w:suff w:val="nothing"/>
      <w:lvlText w:val="（%1）"/>
      <w:lvlJc w:val="left"/>
      <w:pPr>
        <w:widowControl/>
        <w:textAlignment w:val="baseline"/>
      </w:pPr>
    </w:lvl>
  </w:abstractNum>
  <w:abstractNum w:abstractNumId="6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8">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0">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1">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4">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53"/>
  </w:num>
  <w:num w:numId="4">
    <w:abstractNumId w:val="45"/>
  </w:num>
  <w:num w:numId="5">
    <w:abstractNumId w:val="54"/>
  </w:num>
  <w:num w:numId="6">
    <w:abstractNumId w:val="0"/>
  </w:num>
  <w:num w:numId="7">
    <w:abstractNumId w:val="14"/>
  </w:num>
  <w:num w:numId="8">
    <w:abstractNumId w:val="9"/>
  </w:num>
  <w:num w:numId="9">
    <w:abstractNumId w:val="61"/>
  </w:num>
  <w:num w:numId="10">
    <w:abstractNumId w:val="81"/>
  </w:num>
  <w:num w:numId="11">
    <w:abstractNumId w:val="86"/>
  </w:num>
  <w:num w:numId="12">
    <w:abstractNumId w:val="42"/>
  </w:num>
  <w:num w:numId="13">
    <w:abstractNumId w:val="47"/>
  </w:num>
  <w:num w:numId="14">
    <w:abstractNumId w:val="49"/>
  </w:num>
  <w:num w:numId="15">
    <w:abstractNumId w:val="75"/>
  </w:num>
  <w:num w:numId="16">
    <w:abstractNumId w:val="37"/>
  </w:num>
  <w:num w:numId="17">
    <w:abstractNumId w:val="34"/>
  </w:num>
  <w:num w:numId="18">
    <w:abstractNumId w:val="52"/>
  </w:num>
  <w:num w:numId="19">
    <w:abstractNumId w:val="68"/>
  </w:num>
  <w:num w:numId="20">
    <w:abstractNumId w:val="26"/>
  </w:num>
  <w:num w:numId="21">
    <w:abstractNumId w:val="70"/>
  </w:num>
  <w:num w:numId="22">
    <w:abstractNumId w:val="32"/>
  </w:num>
  <w:num w:numId="23">
    <w:abstractNumId w:val="35"/>
  </w:num>
  <w:num w:numId="24">
    <w:abstractNumId w:val="64"/>
  </w:num>
  <w:num w:numId="25">
    <w:abstractNumId w:val="18"/>
  </w:num>
  <w:num w:numId="26">
    <w:abstractNumId w:val="20"/>
  </w:num>
  <w:num w:numId="27">
    <w:abstractNumId w:val="85"/>
  </w:num>
  <w:num w:numId="28">
    <w:abstractNumId w:val="60"/>
  </w:num>
  <w:num w:numId="29">
    <w:abstractNumId w:val="82"/>
  </w:num>
  <w:num w:numId="30">
    <w:abstractNumId w:val="10"/>
  </w:num>
  <w:num w:numId="31">
    <w:abstractNumId w:val="12"/>
  </w:num>
  <w:num w:numId="32">
    <w:abstractNumId w:val="58"/>
  </w:num>
  <w:num w:numId="33">
    <w:abstractNumId w:val="30"/>
  </w:num>
  <w:num w:numId="34">
    <w:abstractNumId w:val="55"/>
  </w:num>
  <w:num w:numId="35">
    <w:abstractNumId w:val="69"/>
  </w:num>
  <w:num w:numId="36">
    <w:abstractNumId w:val="39"/>
  </w:num>
  <w:num w:numId="37">
    <w:abstractNumId w:val="31"/>
  </w:num>
  <w:num w:numId="38">
    <w:abstractNumId w:val="6"/>
  </w:num>
  <w:num w:numId="39">
    <w:abstractNumId w:val="23"/>
  </w:num>
  <w:num w:numId="40">
    <w:abstractNumId w:val="22"/>
  </w:num>
  <w:num w:numId="41">
    <w:abstractNumId w:val="80"/>
  </w:num>
  <w:num w:numId="42">
    <w:abstractNumId w:val="71"/>
  </w:num>
  <w:num w:numId="43">
    <w:abstractNumId w:val="63"/>
  </w:num>
  <w:num w:numId="44">
    <w:abstractNumId w:val="74"/>
  </w:num>
  <w:num w:numId="45">
    <w:abstractNumId w:val="48"/>
  </w:num>
  <w:num w:numId="46">
    <w:abstractNumId w:val="13"/>
  </w:num>
  <w:num w:numId="47">
    <w:abstractNumId w:val="25"/>
  </w:num>
  <w:num w:numId="48">
    <w:abstractNumId w:val="65"/>
  </w:num>
  <w:num w:numId="49">
    <w:abstractNumId w:val="36"/>
  </w:num>
  <w:num w:numId="50">
    <w:abstractNumId w:val="46"/>
  </w:num>
  <w:num w:numId="51">
    <w:abstractNumId w:val="72"/>
  </w:num>
  <w:num w:numId="52">
    <w:abstractNumId w:val="57"/>
  </w:num>
  <w:num w:numId="53">
    <w:abstractNumId w:val="38"/>
  </w:num>
  <w:num w:numId="54">
    <w:abstractNumId w:val="27"/>
  </w:num>
  <w:num w:numId="55">
    <w:abstractNumId w:val="28"/>
  </w:num>
  <w:num w:numId="56">
    <w:abstractNumId w:val="79"/>
  </w:num>
  <w:num w:numId="57">
    <w:abstractNumId w:val="29"/>
  </w:num>
  <w:num w:numId="58">
    <w:abstractNumId w:val="24"/>
  </w:num>
  <w:num w:numId="59">
    <w:abstractNumId w:val="11"/>
  </w:num>
  <w:num w:numId="60">
    <w:abstractNumId w:val="51"/>
  </w:num>
  <w:num w:numId="61">
    <w:abstractNumId w:val="44"/>
  </w:num>
  <w:num w:numId="62">
    <w:abstractNumId w:val="5"/>
  </w:num>
  <w:num w:numId="63">
    <w:abstractNumId w:val="7"/>
  </w:num>
  <w:num w:numId="64">
    <w:abstractNumId w:val="19"/>
  </w:num>
  <w:num w:numId="65">
    <w:abstractNumId w:val="62"/>
  </w:num>
  <w:num w:numId="66">
    <w:abstractNumId w:val="50"/>
  </w:num>
  <w:num w:numId="67">
    <w:abstractNumId w:val="78"/>
  </w:num>
  <w:num w:numId="68">
    <w:abstractNumId w:val="41"/>
  </w:num>
  <w:num w:numId="69">
    <w:abstractNumId w:val="84"/>
  </w:num>
  <w:num w:numId="70">
    <w:abstractNumId w:val="87"/>
  </w:num>
  <w:num w:numId="71">
    <w:abstractNumId w:val="21"/>
  </w:num>
  <w:num w:numId="72">
    <w:abstractNumId w:val="15"/>
  </w:num>
  <w:num w:numId="73">
    <w:abstractNumId w:val="43"/>
  </w:num>
  <w:num w:numId="74">
    <w:abstractNumId w:val="76"/>
  </w:num>
  <w:num w:numId="75">
    <w:abstractNumId w:val="73"/>
  </w:num>
  <w:num w:numId="76">
    <w:abstractNumId w:val="59"/>
  </w:num>
  <w:num w:numId="77">
    <w:abstractNumId w:val="4"/>
  </w:num>
  <w:num w:numId="78">
    <w:abstractNumId w:val="77"/>
  </w:num>
  <w:num w:numId="79">
    <w:abstractNumId w:val="3"/>
  </w:num>
  <w:num w:numId="80">
    <w:abstractNumId w:val="17"/>
  </w:num>
  <w:num w:numId="81">
    <w:abstractNumId w:val="56"/>
  </w:num>
  <w:num w:numId="82">
    <w:abstractNumId w:val="16"/>
  </w:num>
  <w:num w:numId="83">
    <w:abstractNumId w:val="67"/>
  </w:num>
  <w:num w:numId="84">
    <w:abstractNumId w:val="8"/>
  </w:num>
  <w:num w:numId="85">
    <w:abstractNumId w:val="66"/>
  </w:num>
  <w:num w:numId="86">
    <w:abstractNumId w:val="33"/>
  </w:num>
  <w:num w:numId="87">
    <w:abstractNumId w:val="40"/>
  </w:num>
  <w:num w:numId="88">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264013CF"/>
    <w:rsid w:val="27980351"/>
    <w:rsid w:val="69317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0"/>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paragraph" w:customStyle="1" w:styleId="58">
    <w:name w:val="Table Paragraph"/>
    <w:basedOn w:val="1"/>
    <w:qFormat/>
    <w:uiPriority w:val="1"/>
    <w:rPr>
      <w:rFonts w:ascii="Arial Unicode MS" w:hAnsi="Arial Unicode MS" w:eastAsia="Arial Unicode MS" w:cs="Arial Unicode MS"/>
      <w:lang w:val="zh-CN" w:bidi="zh-CN"/>
    </w:rPr>
  </w:style>
  <w:style w:type="paragraph" w:customStyle="1" w:styleId="59">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0">
    <w:name w:val="style4"/>
    <w:basedOn w:val="1"/>
    <w:next w:val="1"/>
    <w:qFormat/>
    <w:uiPriority w:val="0"/>
    <w:pPr>
      <w:widowControl/>
      <w:spacing w:before="280" w:after="280"/>
    </w:pPr>
    <w:rPr>
      <w:rFonts w:ascii="宋体" w:hAnsi="Times New Roman" w:eastAsia="宋体" w:cs="Times New Roman"/>
      <w:sz w:val="18"/>
      <w:szCs w:val="24"/>
    </w:rPr>
  </w:style>
  <w:style w:type="paragraph" w:customStyle="1" w:styleId="61">
    <w:name w:val="表格文字"/>
    <w:basedOn w:val="1"/>
    <w:next w:val="9"/>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6353</Words>
  <Characters>36218</Characters>
  <Lines>301</Lines>
  <Paragraphs>84</Paragraphs>
  <TotalTime>564</TotalTime>
  <ScaleCrop>false</ScaleCrop>
  <LinksUpToDate>false</LinksUpToDate>
  <CharactersWithSpaces>42487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禹州市公共资源交易中心:刘浩</cp:lastModifiedBy>
  <cp:lastPrinted>2022-06-28T10:10:00Z</cp:lastPrinted>
  <dcterms:modified xsi:type="dcterms:W3CDTF">2023-03-20T07:38:01Z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BCA210E6705B4A57AD20FA8C05263768</vt:lpwstr>
  </property>
</Properties>
</file>