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禹州市市场监督管理局检验检测设备购置项目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（不见面开标）</w:t>
      </w:r>
    </w:p>
    <w:p>
      <w:pPr>
        <w:pStyle w:val="12"/>
        <w:widowControl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竞争性谈判公告</w:t>
      </w:r>
    </w:p>
    <w:p>
      <w:pPr>
        <w:tabs>
          <w:tab w:val="left" w:pos="7095"/>
        </w:tabs>
        <w:spacing w:line="384" w:lineRule="auto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项目概况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  <w:lang w:val="en-US" w:eastAsia="zh-CN"/>
        </w:rPr>
        <w:t>禹州市市场监督管理局检验检测设备购置项目</w:t>
      </w:r>
      <w:r>
        <w:rPr>
          <w:rFonts w:hint="eastAsia" w:hAnsi="宋体"/>
          <w:color w:val="auto"/>
          <w:szCs w:val="21"/>
        </w:rPr>
        <w:t>招标项目的潜在投标人应在谈判响应截止时间前登录《全国公共资源交易平台（河南省·许昌市）》“投标人/供应商登录”入口（http://ggzy.xuchang.gov.cn:8088/ggzy/）自行免费下载获取招标文件，</w:t>
      </w:r>
      <w:r>
        <w:rPr>
          <w:rFonts w:hint="eastAsia" w:hAnsi="宋体"/>
          <w:color w:val="auto"/>
          <w:szCs w:val="21"/>
        </w:rPr>
        <w:t>并于</w:t>
      </w:r>
      <w:r>
        <w:rPr>
          <w:rFonts w:hint="eastAsia" w:hAnsi="宋体"/>
          <w:color w:val="auto"/>
          <w:szCs w:val="21"/>
          <w:lang w:val="en-US" w:eastAsia="zh-CN"/>
        </w:rPr>
        <w:t>2023</w:t>
      </w:r>
      <w:r>
        <w:rPr>
          <w:rFonts w:hint="eastAsia" w:hAnsi="宋体"/>
          <w:color w:val="auto"/>
          <w:szCs w:val="21"/>
        </w:rPr>
        <w:t xml:space="preserve">年 </w:t>
      </w:r>
      <w:r>
        <w:rPr>
          <w:rFonts w:hint="eastAsia" w:hAnsi="宋体"/>
          <w:color w:val="auto"/>
          <w:szCs w:val="21"/>
          <w:lang w:val="en-US" w:eastAsia="zh-CN"/>
        </w:rPr>
        <w:t>01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18</w:t>
      </w:r>
      <w:r>
        <w:rPr>
          <w:rFonts w:hint="eastAsia" w:hAnsi="宋体"/>
          <w:color w:val="auto"/>
          <w:szCs w:val="21"/>
        </w:rPr>
        <w:t xml:space="preserve"> 日 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 xml:space="preserve"> 时</w:t>
      </w:r>
      <w:r>
        <w:rPr>
          <w:rFonts w:hint="eastAsia" w:hAnsi="宋体"/>
          <w:color w:val="auto"/>
          <w:szCs w:val="21"/>
        </w:rPr>
        <w:t>30 分（北京时间）前递交响应文件。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一、项目基本情况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default" w:hAnsi="宋体" w:eastAsiaTheme="minorEastAsia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1.项目编号：</w:t>
      </w:r>
      <w:r>
        <w:rPr>
          <w:rFonts w:hint="eastAsia" w:hAnsi="宋体"/>
          <w:color w:val="auto"/>
          <w:szCs w:val="21"/>
          <w:lang w:val="en-US" w:eastAsia="zh-CN"/>
        </w:rPr>
        <w:t>YZCG-DLT2023006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2.项目名称：</w:t>
      </w:r>
      <w:r>
        <w:rPr>
          <w:rFonts w:hint="eastAsia" w:hAnsi="宋体"/>
          <w:color w:val="auto"/>
          <w:szCs w:val="21"/>
          <w:lang w:val="en-US" w:eastAsia="zh-CN"/>
        </w:rPr>
        <w:t>禹州市市场监督管理局检验检测设备购置项目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3.采购方式：竞争性谈判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4.预算金</w:t>
      </w:r>
      <w:r>
        <w:rPr>
          <w:rFonts w:hint="eastAsia" w:hAnsi="宋体"/>
          <w:color w:val="auto"/>
          <w:szCs w:val="21"/>
        </w:rPr>
        <w:t>额：990000.00元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 xml:space="preserve">最高限价：990000.00 元 </w:t>
      </w:r>
    </w:p>
    <w:tbl>
      <w:tblPr>
        <w:tblStyle w:val="14"/>
        <w:tblW w:w="5167" w:type="pct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676"/>
        <w:gridCol w:w="1573"/>
        <w:gridCol w:w="1537"/>
        <w:gridCol w:w="1408"/>
        <w:gridCol w:w="1045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tblCellSpacing w:w="0" w:type="dxa"/>
        </w:trPr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序号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包号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包名称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包预算</w:t>
            </w:r>
          </w:p>
          <w:p>
            <w:pPr>
              <w:widowControl/>
              <w:spacing w:line="380" w:lineRule="exact"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（元）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包最高限价（元）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是否专门面向中小企业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采购预留金额（元）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  <w:tblCellSpacing w:w="0" w:type="dxa"/>
        </w:trPr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YZCG-DLT2023006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禹州市市场监督管理局检验检测设备购置项目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hAnsi="宋体"/>
                <w:color w:val="auto"/>
                <w:szCs w:val="21"/>
              </w:rPr>
              <w:t>990000.00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hAnsi="宋体"/>
                <w:color w:val="auto"/>
                <w:szCs w:val="21"/>
              </w:rPr>
              <w:t>990000.00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是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990000.00</w:t>
            </w:r>
          </w:p>
        </w:tc>
      </w:tr>
    </w:tbl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5.采购需求（包括但不限于标的的名称、数量、简要技术需求或服务要求等）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  <w:lang w:val="en-US" w:eastAsia="zh-CN"/>
        </w:rPr>
        <w:t>禹州市市场监督管理局检验检测设备购置项目</w:t>
      </w:r>
      <w:r>
        <w:rPr>
          <w:rFonts w:hint="eastAsia" w:hAnsi="宋体"/>
          <w:color w:val="auto"/>
          <w:szCs w:val="21"/>
        </w:rPr>
        <w:t>，购置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</w:rPr>
        <w:t>微机控制电液伺服万能试验机、微机控制电液伺服双工位抗压抗折试验机、WS全自动测硫仪、温湿场设备、直读光谱仪、微机碳氢分析仪、布氏硬度计等</w:t>
      </w:r>
      <w:r>
        <w:rPr>
          <w:rFonts w:hint="eastAsia" w:hAnsi="宋体"/>
          <w:color w:val="auto"/>
          <w:szCs w:val="21"/>
        </w:rPr>
        <w:t>（详见谈判文件）。</w:t>
      </w:r>
    </w:p>
    <w:p>
      <w:pPr>
        <w:spacing w:line="440" w:lineRule="exact"/>
        <w:ind w:firstLine="420" w:firstLineChars="200"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6.合同履行期限：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签订合同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后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>15个工作日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内完成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采购、安装、调试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7.本项目是否接受联合体投标：否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8.是否接受进口产品：否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/>
          <w:color w:val="auto"/>
        </w:rPr>
      </w:pPr>
      <w:r>
        <w:rPr>
          <w:rFonts w:hint="eastAsia" w:hAnsi="宋体"/>
          <w:color w:val="auto"/>
          <w:szCs w:val="21"/>
        </w:rPr>
        <w:t>9.是否专门面向中小企业：</w:t>
      </w:r>
      <w:r>
        <w:rPr>
          <w:rFonts w:hint="eastAsia" w:hAnsi="宋体"/>
          <w:color w:val="auto"/>
          <w:szCs w:val="21"/>
        </w:rPr>
        <w:t>是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二、申请人资格要求：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1.满足《中华人民共和国政府采购法》第二十二条规定；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2.落实政府采购政策满足的资格要求：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本项目落实节约能源、保护环境、扶持不发达地区和少数民族地区、促进中小企业、监狱企业发展等政府采购政策</w:t>
      </w:r>
      <w:r>
        <w:rPr>
          <w:rFonts w:hint="eastAsia" w:hAnsi="宋体"/>
          <w:color w:val="auto"/>
          <w:szCs w:val="21"/>
          <w:lang w:eastAsia="zh-CN"/>
        </w:rPr>
        <w:t>（本项目专门面向中小企业采购）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。</w:t>
      </w:r>
    </w:p>
    <w:bookmarkEnd w:id="0"/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3.本项目的特定资格要求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被委托人须是本单位职工，须提供公司为本人缴纳的社会保险证明。</w:t>
      </w:r>
    </w:p>
    <w:p>
      <w:pPr>
        <w:numPr>
          <w:ilvl w:val="0"/>
          <w:numId w:val="2"/>
        </w:numPr>
        <w:tabs>
          <w:tab w:val="left" w:pos="7095"/>
        </w:tabs>
        <w:spacing w:line="384" w:lineRule="auto"/>
        <w:ind w:firstLine="422" w:firstLineChars="200"/>
        <w:contextualSpacing/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hAnsi="宋体"/>
          <w:b/>
          <w:bCs/>
          <w:color w:val="auto"/>
          <w:szCs w:val="21"/>
        </w:rPr>
        <w:t>获取采购文件</w:t>
      </w:r>
    </w:p>
    <w:p>
      <w:pPr>
        <w:numPr>
          <w:ilvl w:val="0"/>
          <w:numId w:val="3"/>
        </w:num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  <w:t>时</w:t>
      </w:r>
      <w:r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  <w:t>间：</w:t>
      </w:r>
      <w:r>
        <w:rPr>
          <w:rFonts w:hint="eastAsia" w:hAnsi="宋体" w:cstheme="minorBidi"/>
          <w:color w:val="auto"/>
          <w:kern w:val="2"/>
          <w:sz w:val="21"/>
          <w:szCs w:val="21"/>
          <w:lang w:val="en-US" w:eastAsia="zh-CN" w:bidi="ar-SA"/>
        </w:rPr>
        <w:t>2023</w:t>
      </w:r>
      <w:r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  <w:t>年</w:t>
      </w:r>
      <w:r>
        <w:rPr>
          <w:rFonts w:hint="eastAsia" w:hAnsi="宋体" w:cstheme="minorBidi"/>
          <w:color w:val="auto"/>
          <w:kern w:val="2"/>
          <w:sz w:val="21"/>
          <w:szCs w:val="21"/>
          <w:lang w:val="en-US" w:eastAsia="zh-CN" w:bidi="ar-SA"/>
        </w:rPr>
        <w:t>01</w:t>
      </w:r>
      <w:r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  <w:t>月</w:t>
      </w:r>
      <w:r>
        <w:rPr>
          <w:rFonts w:hint="eastAsia" w:hAnsi="宋体" w:cstheme="minorBidi"/>
          <w:color w:val="auto"/>
          <w:kern w:val="2"/>
          <w:sz w:val="21"/>
          <w:szCs w:val="21"/>
          <w:lang w:val="en-US" w:eastAsia="zh-CN" w:bidi="ar-SA"/>
        </w:rPr>
        <w:t>13</w:t>
      </w:r>
      <w:r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  <w:t>日 至</w:t>
      </w:r>
      <w:r>
        <w:rPr>
          <w:rFonts w:hint="eastAsia" w:hAnsi="宋体" w:cstheme="minorBidi"/>
          <w:color w:val="auto"/>
          <w:kern w:val="2"/>
          <w:sz w:val="21"/>
          <w:szCs w:val="21"/>
          <w:lang w:val="en-US" w:eastAsia="zh-CN" w:bidi="ar-SA"/>
        </w:rPr>
        <w:t>2023</w:t>
      </w:r>
      <w:r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  <w:t>年</w:t>
      </w:r>
      <w:r>
        <w:rPr>
          <w:rFonts w:hint="eastAsia" w:hAnsi="宋体" w:cstheme="minorBidi"/>
          <w:color w:val="auto"/>
          <w:kern w:val="2"/>
          <w:sz w:val="21"/>
          <w:szCs w:val="21"/>
          <w:lang w:val="en-US" w:eastAsia="zh-CN" w:bidi="ar-SA"/>
        </w:rPr>
        <w:t>01</w:t>
      </w:r>
      <w:r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  <w:t>月</w:t>
      </w:r>
      <w:r>
        <w:rPr>
          <w:rFonts w:hint="eastAsia" w:hAnsi="宋体" w:cstheme="minorBidi"/>
          <w:color w:val="auto"/>
          <w:kern w:val="2"/>
          <w:sz w:val="21"/>
          <w:szCs w:val="21"/>
          <w:lang w:val="en-US" w:eastAsia="zh-CN" w:bidi="ar-SA"/>
        </w:rPr>
        <w:t>18</w:t>
      </w:r>
      <w:r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  <w:t>日，每天上</w:t>
      </w:r>
      <w:r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  <w:t>午00:00至12:00，下午12:01至23:59（北京时间，法定节假日除外。）</w:t>
      </w:r>
    </w:p>
    <w:p>
      <w:pPr>
        <w:numPr>
          <w:ilvl w:val="0"/>
          <w:numId w:val="3"/>
        </w:num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  <w:t>地点：谈判响应截止时间前登录《全国公共资源交易平台（河南省·许昌市）》“投标人/供应商登录”入口（http://ggzy.xuchang.gov.cn:8088/ggzy/）自行免费下载</w:t>
      </w:r>
    </w:p>
    <w:p>
      <w:pPr>
        <w:numPr>
          <w:ilvl w:val="0"/>
          <w:numId w:val="3"/>
        </w:num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  <w:t>方式：网上自行下载</w:t>
      </w:r>
    </w:p>
    <w:p>
      <w:pPr>
        <w:numPr>
          <w:ilvl w:val="0"/>
          <w:numId w:val="3"/>
        </w:num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  <w:t>售价：0元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四、响应文件提交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</w:t>
      </w:r>
      <w:r>
        <w:rPr>
          <w:rFonts w:hint="eastAsia" w:hAnsi="宋体"/>
          <w:color w:val="auto"/>
          <w:szCs w:val="21"/>
        </w:rPr>
        <w:t xml:space="preserve">： </w:t>
      </w:r>
      <w:r>
        <w:rPr>
          <w:rFonts w:hint="eastAsia" w:hAnsi="宋体"/>
          <w:color w:val="auto"/>
          <w:szCs w:val="21"/>
          <w:lang w:val="en-US" w:eastAsia="zh-CN"/>
        </w:rPr>
        <w:t>2023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01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18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时</w:t>
      </w:r>
      <w:r>
        <w:rPr>
          <w:rFonts w:hint="eastAsia" w:hAnsi="宋体"/>
          <w:color w:val="auto"/>
          <w:szCs w:val="21"/>
        </w:rPr>
        <w:t>30 分（北京时间）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2.地点：本项目采用网上响应，请符合响应条件的供应商使用CA数字证书加密上传响应文件。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五、响应文件开启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 xml:space="preserve">1.时间： </w:t>
      </w:r>
      <w:r>
        <w:rPr>
          <w:rFonts w:hint="eastAsia" w:hAnsi="宋体"/>
          <w:color w:val="auto"/>
          <w:szCs w:val="21"/>
          <w:lang w:val="en-US" w:eastAsia="zh-CN"/>
        </w:rPr>
        <w:t>2023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01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18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时</w:t>
      </w:r>
      <w:r>
        <w:rPr>
          <w:rFonts w:hint="eastAsia" w:hAnsi="宋体"/>
          <w:color w:val="auto"/>
          <w:szCs w:val="21"/>
        </w:rPr>
        <w:t>30 分（北京时间）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六、发布公告的媒介及招标公告期限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本次招标公告在《河南省政府采购网》《许昌市政府采购网》 《全国公共资源交易平台（河南省·许昌市）》上发布。 招标公告期限为三个工作日。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七、其他补充事宜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监督单位：禹州市政府采购监督管理办公室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电话：0374-8112523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八、凡对本次招标提出询问，请按照以下方式联系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1.采购人信息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名称：禹州市市场监督管理局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地址：禹州市行政南路70号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联系人：王彩玲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联系方式：13782398907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2.采购代理机构信息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名称：河南省立源工程管理有限公司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地址：河南自贸试验区郑州片区（郑东）金水东路80号绿地新都会2号楼2单元8层803号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联系人：雷女士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联系电话：0371-53626380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3.项目联系方式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联系人：雷女士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联系电话：0371-53626380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</w:p>
    <w:sectPr>
      <w:footerReference r:id="rId3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94C5E"/>
    <w:multiLevelType w:val="singleLevel"/>
    <w:tmpl w:val="8BE94C5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9B246C"/>
    <w:multiLevelType w:val="singleLevel"/>
    <w:tmpl w:val="FD9B246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6FC14EB8"/>
    <w:rsid w:val="00043A8E"/>
    <w:rsid w:val="0008589B"/>
    <w:rsid w:val="000918D5"/>
    <w:rsid w:val="000B2B57"/>
    <w:rsid w:val="000D3BC7"/>
    <w:rsid w:val="00104688"/>
    <w:rsid w:val="00126491"/>
    <w:rsid w:val="001353EC"/>
    <w:rsid w:val="001C2D38"/>
    <w:rsid w:val="00261521"/>
    <w:rsid w:val="00312488"/>
    <w:rsid w:val="00366EDC"/>
    <w:rsid w:val="0038274B"/>
    <w:rsid w:val="00391FB7"/>
    <w:rsid w:val="003A3A5E"/>
    <w:rsid w:val="003F06D3"/>
    <w:rsid w:val="004045D7"/>
    <w:rsid w:val="00421CA8"/>
    <w:rsid w:val="004A5139"/>
    <w:rsid w:val="004F47B5"/>
    <w:rsid w:val="00502F97"/>
    <w:rsid w:val="00511EAE"/>
    <w:rsid w:val="005430BA"/>
    <w:rsid w:val="00594047"/>
    <w:rsid w:val="005B2FAA"/>
    <w:rsid w:val="00611AF8"/>
    <w:rsid w:val="00657F6F"/>
    <w:rsid w:val="006A4A99"/>
    <w:rsid w:val="0071264B"/>
    <w:rsid w:val="0071328F"/>
    <w:rsid w:val="00746010"/>
    <w:rsid w:val="00747BB4"/>
    <w:rsid w:val="00751069"/>
    <w:rsid w:val="007A0C80"/>
    <w:rsid w:val="007A2B52"/>
    <w:rsid w:val="0084174D"/>
    <w:rsid w:val="008870B6"/>
    <w:rsid w:val="00887834"/>
    <w:rsid w:val="00893ECC"/>
    <w:rsid w:val="008A33DF"/>
    <w:rsid w:val="008B5EC8"/>
    <w:rsid w:val="008C36AB"/>
    <w:rsid w:val="008D5683"/>
    <w:rsid w:val="00916DDD"/>
    <w:rsid w:val="00920EDD"/>
    <w:rsid w:val="009C0F23"/>
    <w:rsid w:val="009C5C6A"/>
    <w:rsid w:val="009D64F5"/>
    <w:rsid w:val="00A1727D"/>
    <w:rsid w:val="00A97D17"/>
    <w:rsid w:val="00B03097"/>
    <w:rsid w:val="00B04D51"/>
    <w:rsid w:val="00B2061D"/>
    <w:rsid w:val="00B25849"/>
    <w:rsid w:val="00B6248C"/>
    <w:rsid w:val="00B818A1"/>
    <w:rsid w:val="00BC7067"/>
    <w:rsid w:val="00C332EF"/>
    <w:rsid w:val="00C35B8B"/>
    <w:rsid w:val="00C52FED"/>
    <w:rsid w:val="00C62C61"/>
    <w:rsid w:val="00C81A63"/>
    <w:rsid w:val="00C84E0C"/>
    <w:rsid w:val="00CD5984"/>
    <w:rsid w:val="00CF5524"/>
    <w:rsid w:val="00D55E31"/>
    <w:rsid w:val="00DC0031"/>
    <w:rsid w:val="00E04086"/>
    <w:rsid w:val="00E53A0B"/>
    <w:rsid w:val="00E57964"/>
    <w:rsid w:val="00E630CC"/>
    <w:rsid w:val="00E6413A"/>
    <w:rsid w:val="00E6602E"/>
    <w:rsid w:val="00E928B8"/>
    <w:rsid w:val="00EC0D5E"/>
    <w:rsid w:val="00ED5584"/>
    <w:rsid w:val="00EE7581"/>
    <w:rsid w:val="00F22C30"/>
    <w:rsid w:val="00F24A3A"/>
    <w:rsid w:val="00F62936"/>
    <w:rsid w:val="00F63B1B"/>
    <w:rsid w:val="00FA16D6"/>
    <w:rsid w:val="00FA7CA2"/>
    <w:rsid w:val="00FF51CC"/>
    <w:rsid w:val="025D7B9F"/>
    <w:rsid w:val="0648365F"/>
    <w:rsid w:val="093E0C81"/>
    <w:rsid w:val="0A1C72DC"/>
    <w:rsid w:val="0B293A5F"/>
    <w:rsid w:val="0D63594E"/>
    <w:rsid w:val="0DC02A29"/>
    <w:rsid w:val="117B6FDE"/>
    <w:rsid w:val="121A4C51"/>
    <w:rsid w:val="130628D8"/>
    <w:rsid w:val="14D33543"/>
    <w:rsid w:val="17086943"/>
    <w:rsid w:val="18116993"/>
    <w:rsid w:val="1AC272B5"/>
    <w:rsid w:val="1B9063B3"/>
    <w:rsid w:val="1E3417FF"/>
    <w:rsid w:val="1F221CF8"/>
    <w:rsid w:val="1F914E56"/>
    <w:rsid w:val="20472039"/>
    <w:rsid w:val="21C019ED"/>
    <w:rsid w:val="254E25E8"/>
    <w:rsid w:val="26013AFE"/>
    <w:rsid w:val="27604658"/>
    <w:rsid w:val="289160F1"/>
    <w:rsid w:val="2BCD25F6"/>
    <w:rsid w:val="2BE47802"/>
    <w:rsid w:val="2ECD538A"/>
    <w:rsid w:val="317672F1"/>
    <w:rsid w:val="341140DB"/>
    <w:rsid w:val="34E26A56"/>
    <w:rsid w:val="352769B2"/>
    <w:rsid w:val="37C340EC"/>
    <w:rsid w:val="39002A92"/>
    <w:rsid w:val="3A3C2EFF"/>
    <w:rsid w:val="3ADB3ABB"/>
    <w:rsid w:val="40C83FF8"/>
    <w:rsid w:val="411C0608"/>
    <w:rsid w:val="41870F04"/>
    <w:rsid w:val="422F3761"/>
    <w:rsid w:val="42A51BF3"/>
    <w:rsid w:val="477D6972"/>
    <w:rsid w:val="48406524"/>
    <w:rsid w:val="4C3F23DE"/>
    <w:rsid w:val="4D8A7F66"/>
    <w:rsid w:val="4E127DA7"/>
    <w:rsid w:val="4E4F5496"/>
    <w:rsid w:val="500A3C2D"/>
    <w:rsid w:val="51C961B3"/>
    <w:rsid w:val="52876E7A"/>
    <w:rsid w:val="52D03D8D"/>
    <w:rsid w:val="58C44394"/>
    <w:rsid w:val="58E82C2D"/>
    <w:rsid w:val="5DA24229"/>
    <w:rsid w:val="60D829DC"/>
    <w:rsid w:val="64145F33"/>
    <w:rsid w:val="684F3C7A"/>
    <w:rsid w:val="689F6284"/>
    <w:rsid w:val="68A847B6"/>
    <w:rsid w:val="69AC398E"/>
    <w:rsid w:val="6A0445F0"/>
    <w:rsid w:val="6FC14EB8"/>
    <w:rsid w:val="73891774"/>
    <w:rsid w:val="74432700"/>
    <w:rsid w:val="754D5C67"/>
    <w:rsid w:val="77040D55"/>
    <w:rsid w:val="78053506"/>
    <w:rsid w:val="7D133F23"/>
    <w:rsid w:val="7E9F4AAE"/>
    <w:rsid w:val="7F3D43D5"/>
    <w:rsid w:val="7F685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5">
    <w:name w:val="Default Paragraph Font"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3">
    <w:name w:val="Body Text Indent"/>
    <w:basedOn w:val="1"/>
    <w:next w:val="4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customStyle="1" w:styleId="7">
    <w:name w:val="style4"/>
    <w:basedOn w:val="1"/>
    <w:next w:val="8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8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Body Tex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Body Text First Indent"/>
    <w:basedOn w:val="6"/>
    <w:next w:val="2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6">
    <w:name w:val="FollowedHyperlink"/>
    <w:basedOn w:val="15"/>
    <w:qFormat/>
    <w:uiPriority w:val="0"/>
    <w:rPr>
      <w:color w:val="000000"/>
      <w:u w:val="non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character" w:customStyle="1" w:styleId="18">
    <w:name w:val="icon_gys"/>
    <w:basedOn w:val="15"/>
    <w:qFormat/>
    <w:uiPriority w:val="0"/>
    <w:rPr>
      <w:sz w:val="21"/>
      <w:szCs w:val="21"/>
    </w:rPr>
  </w:style>
  <w:style w:type="character" w:customStyle="1" w:styleId="19">
    <w:name w:val="xiadan"/>
    <w:basedOn w:val="15"/>
    <w:qFormat/>
    <w:uiPriority w:val="0"/>
    <w:rPr>
      <w:shd w:val="clear" w:color="auto" w:fill="E4393C"/>
    </w:rPr>
  </w:style>
  <w:style w:type="character" w:customStyle="1" w:styleId="20">
    <w:name w:val="first-child1"/>
    <w:basedOn w:val="15"/>
    <w:qFormat/>
    <w:uiPriority w:val="0"/>
    <w:rPr>
      <w:color w:val="1F3149"/>
      <w:sz w:val="24"/>
      <w:szCs w:val="24"/>
    </w:rPr>
  </w:style>
  <w:style w:type="character" w:customStyle="1" w:styleId="21">
    <w:name w:val="first-child2"/>
    <w:basedOn w:val="15"/>
    <w:qFormat/>
    <w:uiPriority w:val="0"/>
    <w:rPr>
      <w:color w:val="1F3149"/>
      <w:sz w:val="24"/>
      <w:szCs w:val="24"/>
    </w:rPr>
  </w:style>
  <w:style w:type="character" w:customStyle="1" w:styleId="22">
    <w:name w:val="fr"/>
    <w:basedOn w:val="15"/>
    <w:qFormat/>
    <w:uiPriority w:val="0"/>
  </w:style>
  <w:style w:type="character" w:customStyle="1" w:styleId="23">
    <w:name w:val="icon_ds"/>
    <w:basedOn w:val="15"/>
    <w:qFormat/>
    <w:uiPriority w:val="0"/>
  </w:style>
  <w:style w:type="character" w:customStyle="1" w:styleId="24">
    <w:name w:val="icon_ds1"/>
    <w:basedOn w:val="15"/>
    <w:qFormat/>
    <w:uiPriority w:val="0"/>
    <w:rPr>
      <w:sz w:val="21"/>
      <w:szCs w:val="21"/>
    </w:rPr>
  </w:style>
  <w:style w:type="character" w:customStyle="1" w:styleId="25">
    <w:name w:val="first-child"/>
    <w:basedOn w:val="15"/>
    <w:qFormat/>
    <w:uiPriority w:val="0"/>
    <w:rPr>
      <w:color w:val="1F314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1257</Words>
  <Characters>1552</Characters>
  <Lines>11</Lines>
  <Paragraphs>3</Paragraphs>
  <TotalTime>0</TotalTime>
  <ScaleCrop>false</ScaleCrop>
  <LinksUpToDate>false</LinksUpToDate>
  <CharactersWithSpaces>1567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2021-11-29T07:45:00Z</dcterms:created>
  <dc:creator>WPS_1591240706</dc:creator>
  <cp:lastModifiedBy>许昌丰元咨询管理有限公司:连丹丹</cp:lastModifiedBy>
  <cp:lastPrinted>2022-02-09T01:34:00Z</cp:lastPrinted>
  <dcterms:modified xsi:type="dcterms:W3CDTF">2023-01-13T07:46:16Z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A5A972D3A4D7492498E3F4902B218294</vt:lpwstr>
  </property>
</Properties>
</file>