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2"/>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color w:val="auto"/>
        </w:rPr>
      </w:pPr>
      <w:r>
        <w:rPr>
          <w:rFonts w:hint="eastAsia" w:ascii="宋体" w:hAnsi="宋体" w:cs="宋体"/>
          <w:bCs/>
          <w:color w:val="auto"/>
          <w:sz w:val="56"/>
          <w:szCs w:val="56"/>
          <w:lang w:eastAsia="zh-CN"/>
        </w:rPr>
        <w:t>件</w:t>
      </w:r>
    </w:p>
    <w:p>
      <w:pPr>
        <w:spacing w:line="600" w:lineRule="exact"/>
        <w:ind w:left="0" w:leftChars="0" w:right="-512" w:rightChars="-244" w:firstLine="162" w:firstLineChars="45"/>
        <w:jc w:val="center"/>
        <w:rPr>
          <w:rFonts w:ascii="宋体" w:hAnsi="宋体" w:cs="宋体"/>
          <w:bCs/>
          <w:color w:val="auto"/>
          <w:sz w:val="36"/>
          <w:szCs w:val="36"/>
        </w:rPr>
      </w:pPr>
      <w:r>
        <w:rPr>
          <w:rFonts w:hint="eastAsia" w:ascii="宋体" w:hAnsi="宋体" w:cs="宋体"/>
          <w:bCs/>
          <w:color w:val="auto"/>
          <w:sz w:val="36"/>
          <w:szCs w:val="36"/>
        </w:rPr>
        <w:t>（不见面开标）</w:t>
      </w:r>
    </w:p>
    <w:p>
      <w:pPr>
        <w:pStyle w:val="24"/>
        <w:ind w:right="-512" w:rightChars="-244"/>
      </w:pPr>
    </w:p>
    <w:p>
      <w:pPr>
        <w:pStyle w:val="24"/>
        <w:ind w:right="-512" w:rightChars="-244"/>
      </w:pPr>
    </w:p>
    <w:p>
      <w:pPr>
        <w:pStyle w:val="24"/>
        <w:ind w:right="-512" w:rightChars="-244"/>
      </w:pPr>
    </w:p>
    <w:p>
      <w:pPr>
        <w:pStyle w:val="24"/>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w:t>
      </w:r>
      <w:r>
        <w:rPr>
          <w:rFonts w:hint="eastAsia" w:ascii="宋体" w:hAnsi="宋体" w:cs="宋体"/>
          <w:bCs/>
          <w:sz w:val="36"/>
          <w:szCs w:val="36"/>
          <w:lang w:val="en-US" w:eastAsia="zh-CN"/>
        </w:rPr>
        <w:t>3</w:t>
      </w:r>
      <w:r>
        <w:rPr>
          <w:rFonts w:hint="eastAsia" w:ascii="宋体" w:hAnsi="宋体" w:cs="宋体"/>
          <w:bCs/>
          <w:sz w:val="36"/>
          <w:szCs w:val="36"/>
          <w:lang w:eastAsia="zh-CN"/>
        </w:rPr>
        <w:t>〕</w:t>
      </w:r>
      <w:r>
        <w:rPr>
          <w:rFonts w:hint="eastAsia" w:ascii="宋体" w:hAnsi="宋体" w:cs="宋体"/>
          <w:bCs/>
          <w:sz w:val="36"/>
          <w:szCs w:val="36"/>
          <w:lang w:val="en-US" w:eastAsia="zh-CN"/>
        </w:rPr>
        <w:t>4</w:t>
      </w:r>
      <w:r>
        <w:rPr>
          <w:rFonts w:hint="eastAsia" w:ascii="宋体" w:hAnsi="宋体" w:cs="宋体"/>
          <w:bCs/>
          <w:sz w:val="36"/>
          <w:szCs w:val="36"/>
          <w:lang w:eastAsia="zh-CN"/>
        </w:rPr>
        <w:t>号</w:t>
      </w:r>
    </w:p>
    <w:p>
      <w:pPr>
        <w:keepNext w:val="0"/>
        <w:keepLines w:val="0"/>
        <w:pageBreakBefore w:val="0"/>
        <w:widowControl w:val="0"/>
        <w:kinsoku/>
        <w:wordWrap/>
        <w:overflowPunct/>
        <w:topLinePunct w:val="0"/>
        <w:autoSpaceDE/>
        <w:autoSpaceDN/>
        <w:bidi w:val="0"/>
        <w:adjustRightInd/>
        <w:snapToGrid/>
        <w:spacing w:line="640" w:lineRule="exact"/>
        <w:ind w:left="2877" w:leftChars="513" w:right="-512" w:rightChars="-244" w:hanging="1800" w:hangingChars="500"/>
        <w:textAlignment w:val="auto"/>
        <w:rPr>
          <w:rFonts w:hint="eastAsia" w:ascii="宋体" w:hAnsi="宋体" w:cs="宋体"/>
          <w:bCs/>
          <w:sz w:val="36"/>
          <w:szCs w:val="36"/>
          <w:lang w:eastAsia="zh-CN"/>
        </w:rPr>
      </w:pPr>
      <w:r>
        <w:rPr>
          <w:rFonts w:hint="eastAsia" w:ascii="宋体" w:hAnsi="宋体" w:cs="宋体"/>
          <w:bCs/>
          <w:sz w:val="36"/>
          <w:szCs w:val="36"/>
          <w:lang w:eastAsia="zh-CN"/>
        </w:rPr>
        <w:t>项目名称：瑞贝卡大道（仓库路-学院路）道路功能完善工程-公交港湾及分车带部分</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许昌市建安区住房和城乡建设局</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rPr>
      </w:pPr>
      <w:r>
        <w:rPr>
          <w:rFonts w:hint="eastAsia" w:ascii="宋体" w:hAnsi="宋体" w:cs="宋体"/>
          <w:bCs/>
          <w:sz w:val="36"/>
          <w:szCs w:val="36"/>
        </w:rPr>
        <w:t>代理机构：河南天扬工程项目管理有限公司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val="en-US" w:eastAsia="zh-CN"/>
        </w:rPr>
        <w:t>三</w:t>
      </w:r>
      <w:r>
        <w:rPr>
          <w:rFonts w:hint="eastAsia" w:ascii="宋体" w:hAnsi="宋体" w:cs="宋体"/>
          <w:bCs/>
          <w:sz w:val="36"/>
          <w:szCs w:val="36"/>
        </w:rPr>
        <w:t>年</w:t>
      </w:r>
      <w:r>
        <w:rPr>
          <w:rFonts w:hint="eastAsia" w:ascii="宋体" w:hAnsi="宋体" w:cs="宋体"/>
          <w:bCs/>
          <w:sz w:val="36"/>
          <w:szCs w:val="36"/>
          <w:lang w:val="en-US" w:eastAsia="zh-CN"/>
        </w:rPr>
        <w:t>一</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44"/>
        <w:ind w:right="-512" w:rightChars="-244"/>
      </w:pPr>
    </w:p>
    <w:p>
      <w:pPr>
        <w:ind w:right="-512" w:rightChars="-244"/>
      </w:pPr>
    </w:p>
    <w:p>
      <w:pPr>
        <w:pStyle w:val="3"/>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4"/>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w:t>
      </w:r>
      <w:r>
        <w:rPr>
          <w:rFonts w:hint="eastAsia" w:ascii="宋体" w:hAnsi="宋体" w:cs="宋体"/>
          <w:b/>
          <w:bCs/>
          <w:sz w:val="32"/>
          <w:szCs w:val="36"/>
          <w:lang w:val="en-US" w:eastAsia="zh-CN"/>
        </w:rPr>
        <w:t>3</w:t>
      </w:r>
      <w:r>
        <w:rPr>
          <w:rFonts w:hint="eastAsia" w:ascii="宋体" w:hAnsi="宋体" w:cs="宋体"/>
          <w:b/>
          <w:bCs/>
          <w:sz w:val="32"/>
          <w:szCs w:val="36"/>
          <w:lang w:eastAsia="zh-CN"/>
        </w:rPr>
        <w:t>〕</w:t>
      </w:r>
      <w:r>
        <w:rPr>
          <w:rFonts w:hint="eastAsia" w:ascii="宋体" w:hAnsi="宋体" w:cs="宋体"/>
          <w:b/>
          <w:bCs/>
          <w:sz w:val="32"/>
          <w:szCs w:val="36"/>
          <w:lang w:val="en-US" w:eastAsia="zh-CN"/>
        </w:rPr>
        <w:t>4</w:t>
      </w:r>
      <w:r>
        <w:rPr>
          <w:rFonts w:hint="eastAsia" w:ascii="宋体" w:hAnsi="宋体" w:cs="宋体"/>
          <w:b/>
          <w:bCs/>
          <w:sz w:val="32"/>
          <w:szCs w:val="36"/>
          <w:lang w:eastAsia="zh-CN"/>
        </w:rPr>
        <w:t>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许昌市建安区住房和城乡建设局</w:t>
      </w:r>
    </w:p>
    <w:p>
      <w:pPr>
        <w:adjustRightInd w:val="0"/>
        <w:snapToGrid w:val="0"/>
        <w:spacing w:line="360" w:lineRule="auto"/>
        <w:ind w:right="-512" w:rightChars="-244"/>
        <w:jc w:val="center"/>
        <w:rPr>
          <w:rFonts w:hint="eastAsia" w:ascii="宋体"/>
          <w:b/>
          <w:bCs/>
          <w:sz w:val="32"/>
          <w:szCs w:val="36"/>
          <w:lang w:eastAsia="zh-CN"/>
        </w:rPr>
      </w:pPr>
      <w:r>
        <w:rPr>
          <w:rFonts w:hint="eastAsia" w:ascii="宋体"/>
          <w:b/>
          <w:bCs/>
          <w:sz w:val="32"/>
          <w:szCs w:val="36"/>
          <w:lang w:eastAsia="zh-CN"/>
        </w:rPr>
        <w:t>瑞贝卡大道（仓库路-学院路）道路功能完善工程-公交港湾</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b/>
          <w:bCs/>
          <w:sz w:val="32"/>
          <w:szCs w:val="36"/>
          <w:lang w:eastAsia="zh-CN"/>
        </w:rPr>
        <w:t>及分车带部分</w:t>
      </w:r>
      <w:r>
        <w:rPr>
          <w:rFonts w:hint="eastAsia" w:ascii="宋体" w:hAnsi="宋体" w:cs="宋体"/>
          <w:b/>
          <w:bCs/>
          <w:sz w:val="32"/>
          <w:szCs w:val="36"/>
          <w:lang w:eastAsia="zh-CN"/>
        </w:rPr>
        <w:t>（不见面开标）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29"/>
          <w:rFonts w:ascii="宋体" w:hAnsi="宋体"/>
          <w:sz w:val="24"/>
          <w:szCs w:val="24"/>
        </w:rPr>
      </w:pPr>
      <w:bookmarkStart w:id="0" w:name="_Toc35393621"/>
      <w:bookmarkStart w:id="1" w:name="_Toc28359079"/>
      <w:bookmarkStart w:id="2" w:name="_Toc28359002"/>
      <w:bookmarkStart w:id="3" w:name="_Toc35393790"/>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29"/>
          <w:rFonts w:ascii="宋体" w:hAnsi="宋体"/>
          <w:sz w:val="24"/>
          <w:szCs w:val="24"/>
        </w:rPr>
      </w:pPr>
      <w:r>
        <w:rPr>
          <w:rStyle w:val="129"/>
          <w:rFonts w:hint="eastAsia" w:ascii="宋体" w:hAnsi="宋体"/>
          <w:sz w:val="24"/>
          <w:szCs w:val="24"/>
          <w:lang w:eastAsia="zh-CN"/>
        </w:rPr>
        <w:t>瑞贝卡大道（仓库路-学院路）道路功能完善工程-公交港湾及分车带部分</w:t>
      </w:r>
      <w:r>
        <w:rPr>
          <w:rStyle w:val="129"/>
          <w:rFonts w:hint="eastAsia" w:ascii="宋体" w:hAnsi="宋体"/>
          <w:sz w:val="24"/>
          <w:szCs w:val="24"/>
        </w:rPr>
        <w:t>招标项目的潜在</w:t>
      </w:r>
      <w:r>
        <w:rPr>
          <w:rStyle w:val="129"/>
          <w:rFonts w:hint="eastAsia" w:ascii="宋体" w:hAnsi="宋体"/>
          <w:sz w:val="24"/>
          <w:szCs w:val="24"/>
          <w:lang w:eastAsia="zh-CN"/>
        </w:rPr>
        <w:t>供应商</w:t>
      </w:r>
      <w:r>
        <w:rPr>
          <w:rStyle w:val="129"/>
          <w:rFonts w:hint="eastAsia" w:ascii="宋体" w:hAnsi="宋体"/>
          <w:sz w:val="24"/>
          <w:szCs w:val="24"/>
        </w:rPr>
        <w:t>应在《全国公共资源交易平台（河南省·许昌市）》（http://ggzy.xuchang.gov.cn/）获取</w:t>
      </w:r>
      <w:r>
        <w:rPr>
          <w:rStyle w:val="129"/>
          <w:rFonts w:hint="eastAsia" w:ascii="宋体" w:hAnsi="宋体"/>
          <w:sz w:val="24"/>
          <w:szCs w:val="24"/>
          <w:lang w:eastAsia="zh-CN"/>
        </w:rPr>
        <w:t>磋商文件</w:t>
      </w:r>
      <w:r>
        <w:rPr>
          <w:rStyle w:val="129"/>
          <w:rFonts w:hint="eastAsia" w:ascii="宋体" w:hAnsi="宋体"/>
          <w:sz w:val="24"/>
          <w:szCs w:val="24"/>
        </w:rPr>
        <w:t>，并于</w:t>
      </w:r>
      <w:r>
        <w:rPr>
          <w:rStyle w:val="129"/>
          <w:rFonts w:hint="eastAsia" w:ascii="宋体" w:hAnsi="宋体"/>
          <w:sz w:val="24"/>
          <w:szCs w:val="24"/>
          <w:lang w:eastAsia="zh-CN"/>
        </w:rPr>
        <w:t>2023年</w:t>
      </w:r>
      <w:r>
        <w:rPr>
          <w:rStyle w:val="129"/>
          <w:rFonts w:hint="eastAsia" w:ascii="宋体" w:hAnsi="宋体"/>
          <w:sz w:val="24"/>
          <w:szCs w:val="24"/>
          <w:lang w:val="en-US" w:eastAsia="zh-CN"/>
        </w:rPr>
        <w:t>2</w:t>
      </w:r>
      <w:r>
        <w:rPr>
          <w:rStyle w:val="129"/>
          <w:rFonts w:hint="eastAsia" w:ascii="宋体" w:hAnsi="宋体"/>
          <w:sz w:val="24"/>
          <w:szCs w:val="24"/>
          <w:lang w:eastAsia="zh-CN"/>
        </w:rPr>
        <w:t>月</w:t>
      </w:r>
      <w:r>
        <w:rPr>
          <w:rStyle w:val="129"/>
          <w:rFonts w:hint="eastAsia" w:ascii="宋体" w:hAnsi="宋体"/>
          <w:sz w:val="24"/>
          <w:szCs w:val="24"/>
          <w:lang w:val="en-US" w:eastAsia="zh-CN"/>
        </w:rPr>
        <w:t>1</w:t>
      </w:r>
      <w:r>
        <w:rPr>
          <w:rStyle w:val="129"/>
          <w:rFonts w:hint="eastAsia" w:ascii="宋体" w:hAnsi="宋体"/>
          <w:sz w:val="24"/>
          <w:szCs w:val="24"/>
          <w:lang w:eastAsia="zh-CN"/>
        </w:rPr>
        <w:t>日09点30分</w:t>
      </w:r>
      <w:r>
        <w:rPr>
          <w:rStyle w:val="129"/>
          <w:rFonts w:hint="eastAsia" w:ascii="宋体" w:hAnsi="宋体"/>
          <w:sz w:val="24"/>
          <w:szCs w:val="24"/>
        </w:rPr>
        <w:t>（北京时间）前提交（上传）</w:t>
      </w:r>
      <w:r>
        <w:rPr>
          <w:rStyle w:val="129"/>
          <w:rFonts w:hint="eastAsia" w:ascii="宋体" w:hAnsi="宋体"/>
          <w:sz w:val="24"/>
          <w:szCs w:val="24"/>
          <w:lang w:eastAsia="zh-CN"/>
        </w:rPr>
        <w:t>响应文件</w:t>
      </w:r>
      <w:r>
        <w:rPr>
          <w:rStyle w:val="129"/>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：瑞贝卡大道（仓库路-学院路）道路功能完善工程-公交港湾及分车带部分。</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2243500.66元（财政资金）</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2243500.66元</w:t>
      </w:r>
      <w:r>
        <w:rPr>
          <w:rFonts w:hint="eastAsia" w:asciiTheme="minorEastAsia" w:hAnsiTheme="minorEastAsia" w:eastAsiaTheme="minorEastAsia"/>
          <w:sz w:val="24"/>
          <w:szCs w:val="24"/>
          <w:lang w:eastAsia="zh-CN"/>
        </w:rPr>
        <w:t>。</w:t>
      </w:r>
    </w:p>
    <w:tbl>
      <w:tblPr>
        <w:tblStyle w:val="35"/>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149"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365"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25"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77"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left"/>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57"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ascii="宋体" w:hAnsi="宋体"/>
                <w:sz w:val="24"/>
              </w:rPr>
            </w:pP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号</w:t>
            </w:r>
          </w:p>
        </w:tc>
        <w:tc>
          <w:tcPr>
            <w:tcW w:w="1149"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365"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2243500.66</w:t>
            </w:r>
          </w:p>
        </w:tc>
        <w:tc>
          <w:tcPr>
            <w:tcW w:w="1425"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2243500.66</w:t>
            </w:r>
          </w:p>
        </w:tc>
        <w:tc>
          <w:tcPr>
            <w:tcW w:w="1477"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20" w:type="dxa"/>
            <w:vAlign w:val="center"/>
          </w:tcPr>
          <w:p>
            <w:pPr>
              <w:spacing w:line="360" w:lineRule="auto"/>
              <w:ind w:right="-512" w:rightChars="-244"/>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2243500.66</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720" w:firstLineChars="3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详见磋商文件附件。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color w:val="auto"/>
          <w:sz w:val="24"/>
          <w:szCs w:val="24"/>
          <w:highlight w:val="none"/>
          <w:shd w:val="clear" w:color="auto" w:fill="auto"/>
        </w:rPr>
        <w:t>自合同签订后</w:t>
      </w:r>
      <w:r>
        <w:rPr>
          <w:rFonts w:hint="eastAsia" w:asciiTheme="minorEastAsia" w:hAnsiTheme="minorEastAsia" w:eastAsiaTheme="minorEastAsia"/>
          <w:color w:val="auto"/>
          <w:sz w:val="24"/>
          <w:szCs w:val="24"/>
          <w:highlight w:val="none"/>
          <w:shd w:val="clear" w:color="auto" w:fill="auto"/>
          <w:lang w:val="en-US" w:eastAsia="zh-CN"/>
        </w:rPr>
        <w:t>2</w:t>
      </w:r>
      <w:r>
        <w:rPr>
          <w:rFonts w:hint="eastAsia" w:asciiTheme="minorEastAsia" w:hAnsiTheme="minorEastAsia" w:eastAsiaTheme="minorEastAsia"/>
          <w:color w:val="auto"/>
          <w:sz w:val="24"/>
          <w:szCs w:val="24"/>
          <w:highlight w:val="none"/>
          <w:shd w:val="clear" w:color="auto" w:fill="auto"/>
        </w:rPr>
        <w:t>0日历天。</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35393622"/>
      <w:bookmarkStart w:id="6" w:name="_Toc28359003"/>
      <w:bookmarkStart w:id="7" w:name="_Toc35393791"/>
      <w:bookmarkStart w:id="8" w:name="_Toc28359080"/>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04"/>
      <w:bookmarkStart w:id="10" w:name="_Toc35393792"/>
      <w:bookmarkStart w:id="11" w:name="_Toc28359081"/>
      <w:bookmarkStart w:id="12" w:name="_Toc35393623"/>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2、落实政府采购政策满足的资格要求：本项目落实节能环保、中小微型企业、监狱企业、残疾人福利性单位扶持等相关政府采购政策；</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3、本项目的特定资格要求：</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rPr>
        <w:t>供应商须具</w:t>
      </w:r>
      <w:r>
        <w:rPr>
          <w:rFonts w:hint="eastAsia" w:ascii="宋体" w:hAnsi="宋体"/>
          <w:sz w:val="24"/>
          <w:szCs w:val="28"/>
          <w:lang w:eastAsia="zh-CN"/>
        </w:rPr>
        <w:t>有</w:t>
      </w:r>
      <w:r>
        <w:rPr>
          <w:rFonts w:hint="eastAsia" w:ascii="宋体" w:hAnsi="宋体"/>
          <w:sz w:val="24"/>
          <w:szCs w:val="28"/>
        </w:rPr>
        <w:t>独立法人资格，</w:t>
      </w:r>
      <w:r>
        <w:rPr>
          <w:rFonts w:hint="eastAsia" w:ascii="宋体" w:hAnsi="宋体"/>
          <w:sz w:val="24"/>
          <w:szCs w:val="28"/>
          <w:lang w:eastAsia="zh-CN"/>
        </w:rPr>
        <w:t>具备建设行政主管部门颁发的市政公用工程施工总承包叁级及以上资质</w:t>
      </w:r>
      <w:r>
        <w:rPr>
          <w:rFonts w:hint="eastAsia" w:ascii="宋体" w:hAnsi="宋体"/>
          <w:sz w:val="24"/>
          <w:szCs w:val="28"/>
        </w:rPr>
        <w:t>且具有有效的安全生产许可证</w:t>
      </w:r>
      <w:r>
        <w:rPr>
          <w:rFonts w:hint="eastAsia" w:ascii="宋体" w:hAnsi="宋体"/>
          <w:sz w:val="24"/>
          <w:szCs w:val="28"/>
          <w:lang w:eastAsia="zh-CN"/>
        </w:rPr>
        <w:t>；</w:t>
      </w:r>
      <w:r>
        <w:rPr>
          <w:rFonts w:hint="eastAsia" w:ascii="宋体" w:hAnsi="宋体"/>
          <w:sz w:val="24"/>
          <w:szCs w:val="28"/>
          <w:lang w:val="en-US" w:eastAsia="zh-CN"/>
        </w:rPr>
        <w:t>拟派项目负责人须具有市政工程专业二级及以上注册建造师资格且具有有效的安全生产考核合格证，并未担任其他在建工程的项目负责人；</w:t>
      </w:r>
    </w:p>
    <w:p>
      <w:pPr>
        <w:adjustRightInd w:val="0"/>
        <w:snapToGrid w:val="0"/>
        <w:spacing w:line="360" w:lineRule="auto"/>
        <w:ind w:right="-512" w:rightChars="-244" w:firstLine="480" w:firstLineChars="200"/>
        <w:jc w:val="left"/>
        <w:rPr>
          <w:rFonts w:hint="eastAsia"/>
          <w:lang w:eastAsia="zh-CN"/>
        </w:rPr>
      </w:pPr>
      <w:r>
        <w:rPr>
          <w:rFonts w:hint="eastAsia" w:ascii="宋体" w:hAnsi="宋体"/>
          <w:sz w:val="24"/>
          <w:szCs w:val="28"/>
          <w:lang w:val="en-US" w:eastAsia="zh-CN"/>
        </w:rPr>
        <w:t>4</w:t>
      </w:r>
      <w:r>
        <w:rPr>
          <w:rFonts w:hint="eastAsia" w:ascii="宋体" w:hAnsi="宋体"/>
          <w:sz w:val="24"/>
          <w:szCs w:val="28"/>
          <w:lang w:val="zh-CN" w:eastAsia="zh-CN"/>
        </w:rPr>
        <w:t>、未被列入“信用中国”网站(www.creditchina.gov.cn)失信被执行人、税收违法黑名单的供应商；“中国政府采购网” (www.ccgp.gov.cn) 政府采购严重违法失信行为记录名单的供应商； “中国社会组织政务服务平台”网站（https://chinanpo.mca.gov.cn）严重违法失信社会组织。</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w:t>
      </w:r>
      <w:r>
        <w:rPr>
          <w:rFonts w:hint="eastAsia" w:ascii="宋体" w:hAnsi="宋体" w:cs="Cambria"/>
          <w:sz w:val="24"/>
          <w:szCs w:val="28"/>
          <w:lang w:eastAsia="zh-CN"/>
        </w:rPr>
        <w:t>202</w:t>
      </w:r>
      <w:r>
        <w:rPr>
          <w:rFonts w:hint="eastAsia" w:ascii="宋体" w:hAnsi="宋体" w:cs="Cambria"/>
          <w:sz w:val="24"/>
          <w:szCs w:val="28"/>
          <w:lang w:val="en-US" w:eastAsia="zh-CN"/>
        </w:rPr>
        <w:t>3</w:t>
      </w:r>
      <w:r>
        <w:rPr>
          <w:rFonts w:hint="eastAsia" w:ascii="宋体" w:hAnsi="宋体" w:cs="Cambria"/>
          <w:sz w:val="24"/>
          <w:szCs w:val="28"/>
          <w:lang w:eastAsia="zh-CN"/>
        </w:rPr>
        <w:t>年</w:t>
      </w:r>
      <w:r>
        <w:rPr>
          <w:rFonts w:hint="eastAsia" w:ascii="宋体" w:hAnsi="宋体" w:cs="Cambria"/>
          <w:sz w:val="24"/>
          <w:szCs w:val="28"/>
          <w:lang w:val="en-US" w:eastAsia="zh-CN"/>
        </w:rPr>
        <w:t>1</w:t>
      </w:r>
      <w:r>
        <w:rPr>
          <w:rFonts w:hint="eastAsia" w:ascii="宋体" w:hAnsi="宋体" w:cs="Cambria"/>
          <w:sz w:val="24"/>
          <w:szCs w:val="28"/>
          <w:lang w:eastAsia="zh-CN"/>
        </w:rPr>
        <w:t>月</w:t>
      </w:r>
      <w:r>
        <w:rPr>
          <w:rFonts w:hint="eastAsia" w:ascii="宋体" w:hAnsi="宋体" w:cs="Cambria"/>
          <w:sz w:val="24"/>
          <w:szCs w:val="28"/>
          <w:lang w:val="en-US" w:eastAsia="zh-CN"/>
        </w:rPr>
        <w:t>11</w:t>
      </w:r>
      <w:r>
        <w:rPr>
          <w:rFonts w:hint="eastAsia" w:ascii="宋体" w:hAnsi="宋体" w:cs="Cambria"/>
          <w:sz w:val="24"/>
          <w:szCs w:val="28"/>
          <w:lang w:eastAsia="zh-CN"/>
        </w:rPr>
        <w:t>日</w:t>
      </w:r>
      <w:r>
        <w:rPr>
          <w:rFonts w:hint="eastAsia" w:ascii="宋体" w:hAnsi="宋体" w:cs="Cambria"/>
          <w:sz w:val="24"/>
          <w:szCs w:val="28"/>
        </w:rPr>
        <w:t>至</w:t>
      </w:r>
      <w:r>
        <w:rPr>
          <w:rFonts w:hint="eastAsia" w:ascii="宋体" w:hAnsi="宋体" w:cs="Cambria"/>
          <w:sz w:val="24"/>
          <w:szCs w:val="28"/>
          <w:lang w:eastAsia="zh-CN"/>
        </w:rPr>
        <w:t>2023年</w:t>
      </w:r>
      <w:r>
        <w:rPr>
          <w:rFonts w:hint="eastAsia" w:ascii="宋体" w:hAnsi="宋体" w:cs="Cambria"/>
          <w:sz w:val="24"/>
          <w:szCs w:val="28"/>
          <w:lang w:val="en-US" w:eastAsia="zh-CN"/>
        </w:rPr>
        <w:t>2</w:t>
      </w:r>
      <w:r>
        <w:rPr>
          <w:rFonts w:hint="eastAsia" w:ascii="宋体" w:hAnsi="宋体" w:cs="Cambria"/>
          <w:sz w:val="24"/>
          <w:szCs w:val="28"/>
          <w:lang w:eastAsia="zh-CN"/>
        </w:rPr>
        <w:t>月</w:t>
      </w:r>
      <w:r>
        <w:rPr>
          <w:rFonts w:hint="eastAsia" w:ascii="宋体" w:hAnsi="宋体" w:cs="Cambria"/>
          <w:sz w:val="24"/>
          <w:szCs w:val="28"/>
          <w:lang w:val="en-US" w:eastAsia="zh-CN"/>
        </w:rPr>
        <w:t>1</w:t>
      </w:r>
      <w:r>
        <w:rPr>
          <w:rFonts w:hint="eastAsia" w:ascii="宋体" w:hAnsi="宋体" w:cs="Cambria"/>
          <w:sz w:val="24"/>
          <w:szCs w:val="28"/>
          <w:lang w:eastAsia="zh-CN"/>
        </w:rPr>
        <w:t>日</w:t>
      </w:r>
      <w:r>
        <w:rPr>
          <w:rFonts w:hint="eastAsia" w:ascii="宋体" w:hAnsi="宋体" w:cs="Cambria"/>
          <w:sz w:val="24"/>
          <w:szCs w:val="28"/>
        </w:rPr>
        <w:t>，每天上午00:00至12:00，下午12:00至23:59（北京时间，法定节假日除外）。</w:t>
      </w:r>
      <w:bookmarkStart w:id="13" w:name="_Toc35393793"/>
      <w:bookmarkStart w:id="14" w:name="_Toc28359082"/>
      <w:bookmarkStart w:id="15" w:name="_Toc35393624"/>
      <w:bookmarkStart w:id="16" w:name="_Toc28359005"/>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2023年</w:t>
      </w:r>
      <w:r>
        <w:rPr>
          <w:rFonts w:hint="eastAsia" w:ascii="宋体" w:hAnsi="宋体" w:cs="Cambria"/>
          <w:b w:val="0"/>
          <w:bCs/>
          <w:sz w:val="24"/>
          <w:szCs w:val="28"/>
          <w:lang w:val="en-US" w:eastAsia="zh-CN"/>
        </w:rPr>
        <w:t>2</w:t>
      </w:r>
      <w:r>
        <w:rPr>
          <w:rFonts w:hint="eastAsia" w:ascii="宋体" w:hAnsi="宋体" w:cs="Cambria"/>
          <w:b w:val="0"/>
          <w:bCs/>
          <w:sz w:val="24"/>
          <w:szCs w:val="28"/>
          <w:lang w:eastAsia="zh-CN"/>
        </w:rPr>
        <w:t>月</w:t>
      </w:r>
      <w:r>
        <w:rPr>
          <w:rFonts w:hint="eastAsia" w:ascii="宋体" w:hAnsi="宋体" w:cs="Cambria"/>
          <w:b w:val="0"/>
          <w:bCs/>
          <w:sz w:val="24"/>
          <w:szCs w:val="28"/>
          <w:lang w:val="en-US" w:eastAsia="zh-CN"/>
        </w:rPr>
        <w:t>1</w:t>
      </w:r>
      <w:r>
        <w:rPr>
          <w:rFonts w:hint="eastAsia" w:ascii="宋体" w:hAnsi="宋体" w:cs="Cambria"/>
          <w:b w:val="0"/>
          <w:bCs/>
          <w:sz w:val="24"/>
          <w:szCs w:val="28"/>
          <w:lang w:eastAsia="zh-CN"/>
        </w:rPr>
        <w:t>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w:t>
      </w:r>
      <w:r>
        <w:rPr>
          <w:rFonts w:hint="eastAsia" w:ascii="宋体" w:hAnsi="宋体"/>
          <w:bCs/>
          <w:sz w:val="24"/>
          <w:szCs w:val="28"/>
          <w:lang w:val="en-US" w:eastAsia="zh-CN"/>
        </w:rPr>
        <w:t>2</w:t>
      </w:r>
      <w:r>
        <w:rPr>
          <w:rFonts w:hint="eastAsia" w:ascii="宋体" w:hAnsi="宋体"/>
          <w:bCs/>
          <w:sz w:val="24"/>
          <w:szCs w:val="28"/>
          <w:lang w:eastAsia="zh-CN"/>
        </w:rPr>
        <w:t>月</w:t>
      </w:r>
      <w:r>
        <w:rPr>
          <w:rFonts w:hint="eastAsia" w:ascii="宋体" w:hAnsi="宋体"/>
          <w:bCs/>
          <w:sz w:val="24"/>
          <w:szCs w:val="28"/>
          <w:lang w:val="en-US" w:eastAsia="zh-CN"/>
        </w:rPr>
        <w:t>1</w:t>
      </w:r>
      <w:r>
        <w:rPr>
          <w:rFonts w:hint="eastAsia" w:ascii="宋体" w:hAnsi="宋体"/>
          <w:bCs/>
          <w:sz w:val="24"/>
          <w:szCs w:val="28"/>
          <w:lang w:eastAsia="zh-CN"/>
        </w:rPr>
        <w:t>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626"/>
      <w:bookmarkStart w:id="18" w:name="_Toc35393795"/>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2" w:firstLineChars="200"/>
        <w:jc w:val="left"/>
        <w:rPr>
          <w:rFonts w:hint="eastAsia" w:ascii="宋体" w:hAnsi="宋体"/>
          <w:b/>
          <w:bCs/>
          <w:sz w:val="24"/>
          <w:szCs w:val="28"/>
          <w:lang w:eastAsia="zh-CN"/>
        </w:rPr>
      </w:pPr>
      <w:r>
        <w:rPr>
          <w:rFonts w:hint="eastAsia" w:ascii="宋体" w:hAnsi="宋体"/>
          <w:b/>
          <w:bCs/>
          <w:sz w:val="24"/>
          <w:szCs w:val="28"/>
          <w:lang w:eastAsia="zh-CN"/>
        </w:rPr>
        <w:t>无</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许昌市建安区住房和城乡建设局</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lang w:val="en-US" w:eastAsia="zh-CN"/>
        </w:rPr>
        <w:t>3</w:t>
      </w:r>
      <w:r>
        <w:rPr>
          <w:rFonts w:hint="eastAsia" w:ascii="宋体" w:hAnsi="宋体"/>
          <w:sz w:val="24"/>
          <w:szCs w:val="28"/>
          <w:lang w:val="zh-CN"/>
        </w:rPr>
        <w:t>楼</w:t>
      </w:r>
    </w:p>
    <w:p>
      <w:pPr>
        <w:adjustRightInd w:val="0"/>
        <w:snapToGrid w:val="0"/>
        <w:spacing w:line="360" w:lineRule="auto"/>
        <w:ind w:right="-512" w:rightChars="-244" w:firstLine="480" w:firstLineChars="200"/>
        <w:jc w:val="left"/>
        <w:rPr>
          <w:rFonts w:hint="eastAsia" w:ascii="宋体" w:hAnsi="宋体" w:eastAsia="宋体"/>
          <w:sz w:val="24"/>
          <w:szCs w:val="28"/>
          <w:lang w:val="zh-CN" w:eastAsia="zh-CN"/>
        </w:rPr>
      </w:pPr>
      <w:r>
        <w:rPr>
          <w:rFonts w:hint="eastAsia" w:ascii="宋体" w:hAnsi="宋体"/>
          <w:sz w:val="24"/>
          <w:szCs w:val="28"/>
        </w:rPr>
        <w:t>联 系 人：</w:t>
      </w:r>
      <w:r>
        <w:rPr>
          <w:rFonts w:hint="eastAsia" w:ascii="宋体" w:hAnsi="宋体"/>
          <w:sz w:val="24"/>
          <w:szCs w:val="28"/>
          <w:lang w:eastAsia="zh-CN"/>
        </w:rPr>
        <w:t>杨会芳</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联系方式：</w:t>
      </w:r>
      <w:bookmarkStart w:id="19" w:name="_Toc28359009"/>
      <w:bookmarkStart w:id="20" w:name="_Toc28359086"/>
      <w:r>
        <w:rPr>
          <w:rFonts w:hint="eastAsia" w:ascii="宋体" w:hAnsi="宋体"/>
          <w:sz w:val="24"/>
          <w:szCs w:val="28"/>
          <w:lang w:eastAsia="zh-CN"/>
        </w:rPr>
        <w:t>13849880890</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ascii="宋体" w:hAnsi="宋体"/>
          <w:sz w:val="24"/>
          <w:szCs w:val="28"/>
        </w:rPr>
      </w:pPr>
      <w:bookmarkStart w:id="21" w:name="_Toc28359010"/>
      <w:bookmarkStart w:id="22" w:name="_Toc28359087"/>
      <w:r>
        <w:rPr>
          <w:rFonts w:hint="eastAsia" w:ascii="宋体" w:hAnsi="宋体"/>
          <w:sz w:val="24"/>
          <w:szCs w:val="28"/>
        </w:rPr>
        <w:t>名    称：河南天扬工程项目管理有限公司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2"/>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项目联系人：万亚楠</w:t>
      </w:r>
    </w:p>
    <w:p>
      <w:pPr>
        <w:pStyle w:val="22"/>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联系方式：15617243151</w:t>
      </w:r>
    </w:p>
    <w:p>
      <w:pPr>
        <w:spacing w:line="360" w:lineRule="auto"/>
        <w:ind w:right="-512" w:rightChars="-244"/>
        <w:jc w:val="right"/>
        <w:rPr>
          <w:rFonts w:ascii="宋体" w:hAnsi="宋体" w:cs="仿宋_GB2312"/>
          <w:sz w:val="24"/>
          <w:szCs w:val="28"/>
          <w:lang w:val="zh-CN"/>
        </w:rPr>
      </w:pPr>
    </w:p>
    <w:p>
      <w:pPr>
        <w:spacing w:line="360" w:lineRule="auto"/>
        <w:ind w:right="-512" w:rightChars="-244"/>
        <w:jc w:val="right"/>
        <w:rPr>
          <w:rFonts w:ascii="宋体" w:hAnsi="宋体" w:cs="仿宋_GB2312"/>
          <w:sz w:val="24"/>
          <w:szCs w:val="28"/>
          <w:lang w:val="zh-CN"/>
        </w:rPr>
      </w:pPr>
      <w:r>
        <w:rPr>
          <w:rFonts w:hint="eastAsia" w:ascii="宋体" w:hAnsi="宋体" w:cs="仿宋_GB2312"/>
          <w:sz w:val="24"/>
          <w:szCs w:val="28"/>
          <w:lang w:val="zh-CN"/>
        </w:rPr>
        <w:t>许昌市建安区住房和城乡建设局</w:t>
      </w:r>
    </w:p>
    <w:p>
      <w:pPr>
        <w:spacing w:line="360" w:lineRule="auto"/>
        <w:ind w:right="-512" w:rightChars="-244"/>
        <w:jc w:val="right"/>
        <w:rPr>
          <w:rFonts w:hint="eastAsia" w:ascii="宋体" w:hAnsi="宋体" w:cs="仿宋_GB2312"/>
          <w:sz w:val="24"/>
          <w:szCs w:val="28"/>
          <w:lang w:eastAsia="zh-CN"/>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1</w:t>
      </w:r>
      <w:r>
        <w:rPr>
          <w:rFonts w:hint="eastAsia" w:ascii="宋体" w:hAnsi="宋体" w:cs="仿宋_GB2312"/>
          <w:sz w:val="24"/>
          <w:szCs w:val="28"/>
          <w:lang w:eastAsia="zh-CN"/>
        </w:rPr>
        <w:t>月</w:t>
      </w:r>
      <w:r>
        <w:rPr>
          <w:rFonts w:hint="eastAsia" w:ascii="宋体" w:hAnsi="宋体" w:cs="仿宋_GB2312"/>
          <w:sz w:val="24"/>
          <w:szCs w:val="28"/>
          <w:lang w:val="en-US" w:eastAsia="zh-CN"/>
        </w:rPr>
        <w:t>11</w:t>
      </w:r>
      <w:r>
        <w:rPr>
          <w:rFonts w:hint="eastAsia" w:ascii="宋体" w:hAnsi="宋体" w:cs="仿宋_GB2312"/>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6.2评</w:t>
      </w:r>
      <w:r>
        <w:rPr>
          <w:rFonts w:hint="eastAsia" w:ascii="宋体" w:hAnsi="宋体" w:cs="宋体"/>
          <w:sz w:val="24"/>
          <w:szCs w:val="24"/>
          <w:lang w:eastAsia="zh-CN"/>
        </w:rPr>
        <w:t>审</w:t>
      </w:r>
      <w:r>
        <w:rPr>
          <w:rFonts w:ascii="宋体" w:hAnsi="宋体" w:eastAsia="宋体" w:cs="宋体"/>
          <w:sz w:val="24"/>
          <w:szCs w:val="24"/>
        </w:rPr>
        <w:t>期间</w:t>
      </w:r>
      <w:r>
        <w:rPr>
          <w:rFonts w:hint="eastAsia" w:ascii="宋体" w:hAnsi="宋体" w:cs="宋体"/>
          <w:sz w:val="24"/>
          <w:szCs w:val="24"/>
          <w:lang w:eastAsia="zh-CN"/>
        </w:rPr>
        <w:t>，</w:t>
      </w:r>
      <w:r>
        <w:rPr>
          <w:rFonts w:ascii="宋体" w:hAnsi="宋体" w:eastAsia="宋体" w:cs="宋体"/>
          <w:sz w:val="24"/>
          <w:szCs w:val="24"/>
        </w:rPr>
        <w:t>供应商应保持通讯手机畅通。</w:t>
      </w:r>
      <w:r>
        <w:rPr>
          <w:rFonts w:hint="eastAsia" w:ascii="宋体" w:hAnsi="宋体" w:cs="宋体"/>
          <w:sz w:val="24"/>
          <w:szCs w:val="24"/>
          <w:lang w:eastAsia="zh-CN"/>
        </w:rPr>
        <w:t>磋商小组</w:t>
      </w:r>
      <w:r>
        <w:rPr>
          <w:rFonts w:ascii="宋体" w:hAnsi="宋体" w:eastAsia="宋体" w:cs="宋体"/>
          <w:sz w:val="24"/>
          <w:szCs w:val="24"/>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注：①磋商小组要求供应商提交最后报价时，在磋商小组规定时间内，供应商未提交最后报价（包括总报价及分项报价）则以其初次提交响应文件报价为最后报价。</w:t>
      </w:r>
    </w:p>
    <w:p>
      <w:pPr>
        <w:numPr>
          <w:ilvl w:val="0"/>
          <w:numId w:val="0"/>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 xml:space="preserve">②磋商文件第二章“采购需求”中“采购清单”以工程量清单提供的，供应商应以工程量清单方式提交最后报价。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③请供应商根据项目情况，可提前准备分项报价。 </w:t>
      </w:r>
    </w:p>
    <w:p>
      <w:pPr>
        <w:numPr>
          <w:ilvl w:val="0"/>
          <w:numId w:val="3"/>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磋商小组如要求供应商提供“澄清、说明或者更正”</w:t>
      </w:r>
      <w:r>
        <w:rPr>
          <w:rFonts w:hint="eastAsia" w:ascii="宋体" w:hAnsi="宋体" w:cs="宋体"/>
          <w:sz w:val="24"/>
          <w:szCs w:val="24"/>
          <w:lang w:eastAsia="zh-CN"/>
        </w:rPr>
        <w:t>；</w:t>
      </w:r>
      <w:r>
        <w:rPr>
          <w:rFonts w:ascii="宋体" w:hAnsi="宋体" w:eastAsia="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pPr>
        <w:numPr>
          <w:ilvl w:val="0"/>
          <w:numId w:val="0"/>
        </w:numPr>
        <w:spacing w:line="360" w:lineRule="auto"/>
        <w:ind w:right="-512" w:rightChars="-244" w:firstLine="240" w:firstLineChars="100"/>
        <w:jc w:val="left"/>
        <w:rPr>
          <w:rFonts w:ascii="宋体" w:hAnsi="宋体" w:eastAsia="宋体" w:cs="宋体"/>
          <w:sz w:val="24"/>
          <w:szCs w:val="24"/>
        </w:rPr>
      </w:pPr>
      <w:r>
        <w:rPr>
          <w:rFonts w:ascii="宋体" w:hAnsi="宋体" w:eastAsia="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pPr>
        <w:spacing w:line="440" w:lineRule="exact"/>
        <w:ind w:right="-512" w:rightChars="-244"/>
        <w:jc w:val="left"/>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一、项目概况</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该项目建设地点位于许昌市建安区瑞贝卡大道（仓库路-学院路），建设内容为部分侧分带拆除及公交站整合改造等。</w:t>
      </w:r>
    </w:p>
    <w:p>
      <w:pPr>
        <w:spacing w:line="440" w:lineRule="exact"/>
        <w:ind w:right="-512" w:rightChars="-244"/>
        <w:jc w:val="left"/>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hint="eastAsia" w:ascii="宋体" w:hAnsi="宋体" w:cs="仿宋_GB2312"/>
          <w:color w:val="000000"/>
          <w:sz w:val="24"/>
          <w:szCs w:val="24"/>
          <w:lang w:val="zh-CN"/>
        </w:rPr>
      </w:pPr>
      <w:r>
        <w:rPr>
          <w:rFonts w:hint="eastAsia" w:ascii="宋体" w:hAnsi="宋体" w:cs="仿宋_GB2312"/>
          <w:color w:val="000000"/>
          <w:sz w:val="24"/>
          <w:szCs w:val="24"/>
          <w:lang w:val="zh-CN"/>
        </w:rPr>
        <w:t>详见磋商文件附件。</w:t>
      </w:r>
    </w:p>
    <w:p>
      <w:pPr>
        <w:spacing w:line="440" w:lineRule="exact"/>
        <w:ind w:firstLine="482" w:firstLineChars="200"/>
        <w:contextualSpacing/>
        <w:rPr>
          <w:rFonts w:hint="eastAsia"/>
          <w:b/>
          <w:bCs/>
          <w:lang w:val="en-US" w:eastAsia="zh-CN"/>
        </w:rPr>
      </w:pPr>
      <w:r>
        <w:rPr>
          <w:rFonts w:ascii="宋体" w:hAnsi="宋体" w:eastAsia="宋体" w:cs="宋体"/>
          <w:b/>
          <w:bCs/>
          <w:sz w:val="24"/>
          <w:szCs w:val="24"/>
        </w:rPr>
        <w:t>本采购清单中所列技术规格或主要参数为最低要求，不允许负偏离，否则将承担 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1、《建设工程工程量清单计价规范》（GB50500-2013）</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《河南省</w:t>
      </w:r>
      <w:r>
        <w:rPr>
          <w:rFonts w:hint="eastAsia" w:ascii="宋体" w:hAnsi="宋体" w:cs="Times New Roman"/>
          <w:sz w:val="24"/>
          <w:szCs w:val="24"/>
          <w:lang w:val="en-US" w:eastAsia="zh-CN"/>
        </w:rPr>
        <w:t>市政</w:t>
      </w:r>
      <w:r>
        <w:rPr>
          <w:rFonts w:hint="eastAsia" w:ascii="宋体" w:hAnsi="宋体" w:eastAsia="宋体" w:cs="Times New Roman"/>
          <w:sz w:val="24"/>
          <w:szCs w:val="24"/>
          <w:lang w:val="en-US" w:eastAsia="zh-CN"/>
        </w:rPr>
        <w:t>工程预算定额》(HA</w:t>
      </w:r>
      <w:r>
        <w:rPr>
          <w:rFonts w:hint="eastAsia" w:ascii="宋体" w:hAnsi="宋体" w:cs="Times New Roman"/>
          <w:sz w:val="24"/>
          <w:szCs w:val="24"/>
          <w:lang w:val="en-US" w:eastAsia="zh-CN"/>
        </w:rPr>
        <w:t>A1</w:t>
      </w:r>
      <w:r>
        <w:rPr>
          <w:rFonts w:hint="eastAsia" w:ascii="宋体" w:hAnsi="宋体" w:eastAsia="宋体" w:cs="Times New Roman"/>
          <w:sz w:val="24"/>
          <w:szCs w:val="24"/>
          <w:lang w:val="en-US" w:eastAsia="zh-CN"/>
        </w:rPr>
        <w:t>-31-2016)</w:t>
      </w:r>
      <w:r>
        <w:rPr>
          <w:rFonts w:hint="eastAsia" w:ascii="宋体" w:hAnsi="宋体" w:cs="Times New Roman"/>
          <w:sz w:val="24"/>
          <w:szCs w:val="24"/>
          <w:lang w:val="en-US" w:eastAsia="zh-CN"/>
        </w:rPr>
        <w:t>及省、市相关配套文件规定</w:t>
      </w:r>
      <w:r>
        <w:rPr>
          <w:rFonts w:hint="eastAsia" w:ascii="宋体" w:hAnsi="宋体" w:eastAsia="宋体" w:cs="Times New Roman"/>
          <w:sz w:val="24"/>
          <w:szCs w:val="24"/>
          <w:lang w:val="en-US" w:eastAsia="zh-CN"/>
        </w:rPr>
        <w:t xml:space="preserve">； </w:t>
      </w:r>
    </w:p>
    <w:p>
      <w:pPr>
        <w:spacing w:line="440" w:lineRule="exact"/>
        <w:ind w:right="-512" w:rightChars="-244" w:firstLine="480" w:firstLineChars="20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、材料价格</w:t>
      </w:r>
      <w:r>
        <w:rPr>
          <w:rFonts w:hint="eastAsia" w:ascii="宋体" w:hAnsi="宋体" w:cs="Times New Roman"/>
          <w:sz w:val="24"/>
          <w:szCs w:val="24"/>
          <w:lang w:val="en-US" w:eastAsia="zh-CN"/>
        </w:rPr>
        <w:t>依据许昌市</w:t>
      </w:r>
      <w:r>
        <w:rPr>
          <w:rFonts w:hint="eastAsia" w:ascii="宋体" w:hAnsi="宋体" w:eastAsia="宋体" w:cs="Times New Roman"/>
          <w:sz w:val="24"/>
          <w:szCs w:val="24"/>
          <w:lang w:val="en-US" w:eastAsia="zh-CN"/>
        </w:rPr>
        <w:t>《许昌工程造价</w:t>
      </w:r>
      <w:r>
        <w:rPr>
          <w:rFonts w:hint="eastAsia" w:ascii="宋体" w:hAnsi="宋体" w:cs="Times New Roman"/>
          <w:sz w:val="24"/>
          <w:szCs w:val="24"/>
          <w:lang w:val="en-US" w:eastAsia="zh-CN"/>
        </w:rPr>
        <w:t>信息</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2022年第三期信息价及8月份主材价，部分材料按市场询价；</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3、价格指数按第十一期计入；</w:t>
      </w:r>
    </w:p>
    <w:p>
      <w:pPr>
        <w:spacing w:line="440" w:lineRule="exact"/>
        <w:ind w:right="-512" w:rightChars="-244" w:firstLine="480" w:firstLineChars="20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4、增值税率按9%计入。</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right="-512" w:rightChars="-244" w:firstLine="480" w:firstLineChars="200"/>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4"/>
        </w:rPr>
        <w:t>合同履行期限：</w:t>
      </w:r>
      <w:r>
        <w:rPr>
          <w:rFonts w:hint="eastAsia" w:ascii="宋体" w:hAnsi="宋体"/>
          <w:color w:val="000000"/>
          <w:sz w:val="24"/>
          <w:szCs w:val="24"/>
          <w:highlight w:val="none"/>
        </w:rPr>
        <w:t>自合同签订后</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日历天。</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sz w:val="24"/>
          <w:szCs w:val="28"/>
        </w:rPr>
        <w:t>3</w:t>
      </w:r>
      <w:r>
        <w:rPr>
          <w:rFonts w:hint="eastAsia" w:ascii="宋体" w:hAnsi="宋体" w:eastAsia="宋体" w:cs="Times New Roman"/>
          <w:sz w:val="24"/>
          <w:szCs w:val="24"/>
        </w:rPr>
        <w:t>、履约地点：采购人指定地点。</w:t>
      </w:r>
    </w:p>
    <w:p>
      <w:pPr>
        <w:spacing w:line="440" w:lineRule="exact"/>
        <w:ind w:right="-512" w:rightChars="-244"/>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供应商</w:t>
      </w:r>
      <w:r>
        <w:rPr>
          <w:rFonts w:hint="eastAsia" w:ascii="宋体" w:hAnsi="宋体" w:eastAsia="宋体" w:cs="Times New Roman"/>
          <w:sz w:val="24"/>
          <w:szCs w:val="24"/>
          <w:lang w:val="en-US" w:eastAsia="zh-CN"/>
        </w:rPr>
        <w:t xml:space="preserve">应就本项目完整投标，否则为无效投标。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3、本项目为交钥匙工程。</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rPr>
        <w:t>六、验收标准</w:t>
      </w:r>
    </w:p>
    <w:p>
      <w:pPr>
        <w:spacing w:line="440" w:lineRule="exact"/>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w:t>
      </w:r>
      <w:r>
        <w:rPr>
          <w:rFonts w:hint="eastAsia" w:ascii="宋体" w:hAnsi="宋体" w:cs="宋体"/>
          <w:sz w:val="24"/>
          <w:szCs w:val="24"/>
          <w:lang w:eastAsia="zh-CN"/>
        </w:rPr>
        <w:t>磋商文件</w:t>
      </w:r>
      <w:r>
        <w:rPr>
          <w:rFonts w:hint="eastAsia" w:ascii="宋体" w:hAnsi="宋体" w:cs="宋体"/>
          <w:sz w:val="24"/>
          <w:szCs w:val="24"/>
        </w:rPr>
        <w:t>要求、</w:t>
      </w:r>
      <w:r>
        <w:rPr>
          <w:rFonts w:hint="eastAsia" w:ascii="宋体" w:hAnsi="宋体" w:cs="宋体"/>
          <w:sz w:val="24"/>
          <w:szCs w:val="24"/>
          <w:lang w:eastAsia="zh-CN"/>
        </w:rPr>
        <w:t>响应文件</w:t>
      </w:r>
      <w:r>
        <w:rPr>
          <w:rFonts w:hint="eastAsia" w:ascii="宋体" w:hAnsi="宋体" w:cs="宋体"/>
          <w:sz w:val="24"/>
          <w:szCs w:val="24"/>
        </w:rPr>
        <w:t>响应和承诺验收。</w:t>
      </w:r>
    </w:p>
    <w:p>
      <w:pPr>
        <w:spacing w:line="440" w:lineRule="exact"/>
        <w:ind w:right="-512" w:rightChars="-244"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3、按照国家及行业相关标准验收。</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七、本项目预算金额：</w:t>
      </w:r>
      <w:r>
        <w:rPr>
          <w:rFonts w:hint="eastAsia" w:cs="宋体" w:asciiTheme="minorEastAsia" w:hAnsiTheme="minorEastAsia" w:eastAsiaTheme="minorEastAsia"/>
          <w:b/>
          <w:bCs/>
          <w:sz w:val="24"/>
          <w:szCs w:val="24"/>
          <w:lang w:val="en-US" w:eastAsia="zh-CN"/>
        </w:rPr>
        <w:t>2243500.66元（财政资金）</w:t>
      </w: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超出预算金额的磋商响应无效。</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right="-512" w:rightChars="-244" w:firstLine="480" w:firstLineChars="200"/>
        <w:jc w:val="left"/>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1、支付方式：</w:t>
      </w:r>
      <w:r>
        <w:rPr>
          <w:rFonts w:hint="eastAsia" w:cs="宋体" w:asciiTheme="minorEastAsia" w:hAnsiTheme="minorEastAsia" w:eastAsiaTheme="minorEastAsia"/>
          <w:sz w:val="24"/>
          <w:szCs w:val="24"/>
          <w:lang w:val="zh-CN"/>
        </w:rPr>
        <w:t>按照合同约定。</w:t>
      </w:r>
    </w:p>
    <w:p>
      <w:pPr>
        <w:spacing w:line="360" w:lineRule="auto"/>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w:t>
      </w:r>
      <w:r>
        <w:rPr>
          <w:rFonts w:hint="eastAsia" w:cs="宋体" w:asciiTheme="minorEastAsia" w:hAnsiTheme="minorEastAsia" w:eastAsiaTheme="minorEastAsia"/>
          <w:sz w:val="24"/>
          <w:szCs w:val="24"/>
          <w:lang w:eastAsia="zh-CN"/>
        </w:rPr>
        <w:t>双方</w:t>
      </w:r>
      <w:r>
        <w:rPr>
          <w:rFonts w:hint="eastAsia" w:cs="宋体" w:asciiTheme="minorEastAsia" w:hAnsiTheme="minorEastAsia" w:eastAsiaTheme="minorEastAsia"/>
          <w:sz w:val="24"/>
          <w:szCs w:val="24"/>
        </w:rPr>
        <w:t>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3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瑞贝卡大道（仓库路-学院路）道路功能完善工程-公交港湾及分车带部分</w:t>
            </w:r>
          </w:p>
          <w:p>
            <w:pPr>
              <w:spacing w:line="360" w:lineRule="auto"/>
              <w:jc w:val="left"/>
              <w:rPr>
                <w:rFonts w:hint="eastAsia" w:asciiTheme="minorEastAsia" w:hAnsiTheme="minorEastAsia" w:eastAsiaTheme="minorEastAsia"/>
                <w:sz w:val="24"/>
                <w:szCs w:val="24"/>
                <w:lang w:val="zh-CN" w:eastAsia="zh-CN"/>
              </w:rPr>
            </w:pPr>
            <w:r>
              <w:rPr>
                <w:rFonts w:hint="eastAsia" w:asciiTheme="minorEastAsia" w:hAnsiTheme="minorEastAsia" w:eastAsiaTheme="minorEastAsia"/>
                <w:sz w:val="24"/>
                <w:szCs w:val="24"/>
              </w:rPr>
              <w:t>项目编号：建安政采</w:t>
            </w:r>
            <w:r>
              <w:rPr>
                <w:rFonts w:hint="eastAsia" w:asciiTheme="minorEastAsia" w:hAnsiTheme="minorEastAsia" w:eastAsiaTheme="minorEastAsia"/>
                <w:sz w:val="24"/>
                <w:szCs w:val="24"/>
                <w:lang w:eastAsia="zh-CN"/>
              </w:rPr>
              <w:t>竞</w:t>
            </w:r>
            <w:r>
              <w:rPr>
                <w:rFonts w:hint="eastAsia" w:asciiTheme="minorEastAsia" w:hAnsiTheme="minorEastAsia" w:eastAsiaTheme="minorEastAsia"/>
                <w:sz w:val="24"/>
                <w:szCs w:val="24"/>
              </w:rPr>
              <w:t>磋商字〔202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号</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项目内容：</w:t>
            </w:r>
            <w:r>
              <w:rPr>
                <w:rFonts w:hint="eastAsia" w:ascii="宋体" w:hAnsi="宋体" w:cs="宋体"/>
                <w:bCs/>
                <w:sz w:val="24"/>
                <w:szCs w:val="24"/>
                <w:lang w:val="zh-CN" w:eastAsia="zh-CN"/>
              </w:rPr>
              <w:t>该项目建设地点位于许昌</w:t>
            </w:r>
            <w:bookmarkStart w:id="31" w:name="_GoBack"/>
            <w:bookmarkEnd w:id="31"/>
            <w:r>
              <w:rPr>
                <w:rFonts w:hint="eastAsia" w:ascii="宋体" w:hAnsi="宋体" w:cs="宋体"/>
                <w:bCs/>
                <w:sz w:val="24"/>
                <w:szCs w:val="24"/>
                <w:lang w:val="zh-CN" w:eastAsia="zh-CN"/>
              </w:rPr>
              <w:t>市建安区瑞贝卡大道（仓库路-学院路），建设内容为部分侧分带拆除及公交站整合改造等。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名    称：许昌市建安区住房和城乡建设局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w:t>
            </w:r>
            <w:r>
              <w:rPr>
                <w:rFonts w:hint="eastAsia" w:ascii="宋体" w:hAnsi="宋体" w:cs="仿宋_GB2312"/>
                <w:sz w:val="24"/>
                <w:szCs w:val="24"/>
                <w:lang w:val="en-US" w:eastAsia="zh-CN"/>
              </w:rPr>
              <w:t xml:space="preserve">    </w:t>
            </w:r>
            <w:r>
              <w:rPr>
                <w:rFonts w:hint="eastAsia" w:ascii="宋体" w:hAnsi="宋体" w:cs="仿宋_GB2312"/>
                <w:sz w:val="24"/>
                <w:szCs w:val="24"/>
              </w:rPr>
              <w:t>址：许昌市建安区</w:t>
            </w:r>
            <w:r>
              <w:rPr>
                <w:rFonts w:hint="eastAsia" w:ascii="宋体" w:hAnsi="宋体" w:cs="仿宋_GB2312"/>
                <w:sz w:val="24"/>
                <w:szCs w:val="24"/>
                <w:lang w:eastAsia="zh-CN"/>
              </w:rPr>
              <w:t>兴业</w:t>
            </w:r>
            <w:r>
              <w:rPr>
                <w:rFonts w:hint="eastAsia" w:ascii="宋体" w:hAnsi="宋体" w:cs="仿宋_GB2312"/>
                <w:sz w:val="24"/>
                <w:szCs w:val="24"/>
              </w:rPr>
              <w:t>大厦</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人：杨会芳</w:t>
            </w:r>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lang w:val="zh-CN"/>
              </w:rPr>
              <w:t>联系方式：</w:t>
            </w:r>
            <w:r>
              <w:rPr>
                <w:rFonts w:hint="eastAsia" w:ascii="宋体" w:hAnsi="宋体" w:cs="宋体"/>
                <w:bCs/>
                <w:sz w:val="24"/>
                <w:szCs w:val="24"/>
                <w:lang w:val="zh-CN" w:eastAsia="zh-CN"/>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w:t>
            </w:r>
            <w:r>
              <w:rPr>
                <w:rFonts w:hint="eastAsia" w:ascii="宋体" w:hAnsi="宋体" w:cs="仿宋_GB2312"/>
                <w:sz w:val="24"/>
                <w:szCs w:val="24"/>
                <w:lang w:val="en-US" w:eastAsia="zh-CN"/>
              </w:rPr>
              <w:t xml:space="preserve">    </w:t>
            </w:r>
            <w:r>
              <w:rPr>
                <w:rFonts w:hint="eastAsia" w:ascii="宋体" w:hAnsi="宋体" w:cs="仿宋_GB2312"/>
                <w:sz w:val="24"/>
                <w:szCs w:val="24"/>
              </w:rPr>
              <w:t>址：许昌市建安区</w:t>
            </w:r>
            <w:r>
              <w:rPr>
                <w:rFonts w:hint="eastAsia" w:ascii="宋体" w:hAnsi="宋体" w:cs="仿宋_GB2312"/>
                <w:sz w:val="24"/>
                <w:szCs w:val="24"/>
                <w:lang w:eastAsia="zh-CN"/>
              </w:rPr>
              <w:t>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lang w:val="en-US" w:eastAsia="zh-CN"/>
              </w:rPr>
              <w:t>6.供应商须具有独立法人资格，具备建设行政主管部门颁发的市政公用工程施工总承包叁级及以上资质且具有有效的安全生产许可证；拟派项目负责人须具有市政工程专业二级及以上注册建造师资格且具有有效的安全生产考核合格证，并未担任其他在建工程的项目负责人；</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接受</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lang w:val="en-US" w:eastAsia="zh-CN"/>
              </w:rPr>
              <w:t>2243500.66元（财政资金）</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w:t>
            </w:r>
            <w:r>
              <w:rPr>
                <w:rFonts w:hint="eastAsia" w:ascii="宋体" w:hAnsi="宋体" w:cs="宋体"/>
                <w:b/>
                <w:sz w:val="24"/>
                <w:szCs w:val="24"/>
                <w:lang w:val="en-US" w:eastAsia="zh-CN"/>
              </w:rPr>
              <w:t>2</w:t>
            </w:r>
            <w:r>
              <w:rPr>
                <w:rFonts w:hint="eastAsia" w:ascii="宋体" w:hAnsi="宋体" w:cs="宋体"/>
                <w:b/>
                <w:sz w:val="24"/>
                <w:szCs w:val="24"/>
                <w:lang w:eastAsia="zh-CN"/>
              </w:rPr>
              <w:t>月</w:t>
            </w:r>
            <w:r>
              <w:rPr>
                <w:rFonts w:hint="eastAsia" w:ascii="宋体" w:hAnsi="宋体" w:cs="宋体"/>
                <w:b/>
                <w:sz w:val="24"/>
                <w:szCs w:val="24"/>
                <w:lang w:val="en-US" w:eastAsia="zh-CN"/>
              </w:rPr>
              <w:t>1</w:t>
            </w:r>
            <w:r>
              <w:rPr>
                <w:rFonts w:hint="eastAsia" w:ascii="宋体" w:hAnsi="宋体" w:cs="宋体"/>
                <w:b/>
                <w:sz w:val="24"/>
                <w:szCs w:val="24"/>
                <w:lang w:eastAsia="zh-CN"/>
              </w:rPr>
              <w:t>日</w:t>
            </w:r>
            <w:r>
              <w:rPr>
                <w:rFonts w:hint="eastAsia" w:ascii="宋体" w:hAnsi="宋体" w:cs="宋体"/>
                <w:b/>
                <w:sz w:val="24"/>
                <w:szCs w:val="24"/>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1、本项目属于专门面向中小企业采购的项目；本次采购标的对应的中小企业划分标准所属行业：建筑业。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3532138875</w:t>
            </w:r>
            <w:r>
              <w:rPr>
                <w:rFonts w:hint="eastAsia" w:ascii="宋体" w:hAnsi="宋体" w:cs="仿宋_GB2312"/>
                <w:spacing w:val="-2"/>
                <w:sz w:val="24"/>
                <w:szCs w:val="24"/>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①磋商小组要求供应商提交最后报价时，在磋商小组规定时间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内，供应商未提交最后报价（包括总报价及分项报价）则以其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初次提交响应文件报价为最后报价。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②磋商文件第二章“采购需求”中“采购清单”以工程量清单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提供的，供应商应以工程量清单方式提交最后报价。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 “中国社会组织政务服务平台”网站（https://chinanpo.mca.gov.cn）严重违法失信社会组织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1、查询渠道：</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42"/>
                <w:rFonts w:ascii="宋体" w:hAnsi="宋体" w:cs="宋体"/>
                <w:bCs/>
                <w:color w:val="auto"/>
                <w:sz w:val="24"/>
                <w:szCs w:val="24"/>
                <w:lang w:val="zh-CN"/>
              </w:rPr>
              <w:t>www.creditchina.gov.cn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2"/>
                <w:rFonts w:ascii="宋体" w:hAnsi="宋体" w:cs="宋体"/>
                <w:bCs/>
                <w:color w:val="auto"/>
                <w:sz w:val="24"/>
                <w:szCs w:val="24"/>
                <w:lang w:val="zh-CN"/>
              </w:rPr>
              <w:t>www.ccgp.gov.cn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③“中国社会组织政务服务平台”网站（https://chinanpo.mca.gov.cn）（仅查询社会组织）；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3.3.1查询渠道：“信用中国”网站（www.creditchina.gov.cn）、“中国政府采购网”（www.ccgp.gov.cn）、“中国社会组织政务服务平台”网站（www.chinanpo.gov.cn）；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4"/>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4"/>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（7）拟签订的合同文本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13.报价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pStyle w:val="128"/>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16.响应文件格式 </w:t>
      </w:r>
    </w:p>
    <w:p>
      <w:pPr>
        <w:pStyle w:val="128"/>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12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pStyle w:val="128"/>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18.磋商文件的数量和签署盖章 </w:t>
      </w:r>
    </w:p>
    <w:p>
      <w:pPr>
        <w:pStyle w:val="128"/>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12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23.响应文件开启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w:t>
      </w:r>
      <w:r>
        <w:rPr>
          <w:rFonts w:hint="eastAsia" w:ascii="宋体" w:hAnsi="宋体" w:cs="宋体"/>
          <w:kern w:val="0"/>
          <w:sz w:val="24"/>
          <w:szCs w:val="24"/>
          <w:lang w:val="en-US" w:eastAsia="zh-CN"/>
        </w:rPr>
        <w:t>磋商小组</w:t>
      </w:r>
      <w:r>
        <w:rPr>
          <w:rFonts w:hint="eastAsia" w:ascii="宋体" w:hAnsi="宋体" w:cs="宋体"/>
          <w:kern w:val="0"/>
          <w:sz w:val="24"/>
          <w:szCs w:val="24"/>
        </w:rPr>
        <w:t>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25.磋商小组的组成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29</w:t>
      </w:r>
      <w:r>
        <w:rPr>
          <w:rFonts w:hint="eastAsia" w:ascii="宋体" w:hAnsi="宋体" w:cs="宋体"/>
          <w:kern w:val="0"/>
          <w:sz w:val="24"/>
          <w:szCs w:val="24"/>
        </w:rPr>
        <w:t>.</w:t>
      </w:r>
      <w:r>
        <w:rPr>
          <w:rFonts w:hint="eastAsia" w:ascii="宋体" w:hAnsi="宋体" w:cs="宋体"/>
          <w:kern w:val="0"/>
          <w:sz w:val="24"/>
          <w:szCs w:val="24"/>
          <w:lang w:val="en-US" w:eastAsia="zh-CN"/>
        </w:rPr>
        <w:t>6对响应文件进行一致性分析，分析响应文件是否有雷同现象，判定供应商是否有串通投标行为。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29.7</w:t>
      </w:r>
      <w:r>
        <w:rPr>
          <w:rFonts w:hint="eastAsia" w:ascii="宋体" w:hAnsi="宋体" w:cs="宋体"/>
          <w:kern w:val="0"/>
          <w:sz w:val="24"/>
          <w:szCs w:val="24"/>
        </w:rPr>
        <w:t>法律、法规和</w:t>
      </w:r>
      <w:r>
        <w:rPr>
          <w:rFonts w:hint="eastAsia" w:ascii="宋体" w:hAnsi="宋体" w:cs="宋体"/>
          <w:kern w:val="0"/>
          <w:sz w:val="24"/>
          <w:szCs w:val="24"/>
          <w:lang w:eastAsia="zh-CN"/>
        </w:rPr>
        <w:t>磋商文件</w:t>
      </w:r>
      <w:r>
        <w:rPr>
          <w:rFonts w:hint="eastAsia" w:ascii="宋体" w:hAnsi="宋体" w:cs="宋体"/>
          <w:kern w:val="0"/>
          <w:sz w:val="24"/>
          <w:szCs w:val="24"/>
        </w:rPr>
        <w:t>规定的其他无效情形。</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12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12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128"/>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联系人：李东磊 0374-2928168 18569936868地址：许昌市魏都区八一路文峰路交叉口西北角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12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3"/>
        <w:rPr>
          <w:rFonts w:hint="eastAsia" w:ascii="宋体" w:hAnsi="宋体" w:eastAsia="宋体" w:cs="Times New Roman"/>
          <w:kern w:val="2"/>
          <w:sz w:val="24"/>
          <w:szCs w:val="22"/>
          <w:lang w:val="en-US" w:eastAsia="zh-CN" w:bidi="ar-SA"/>
        </w:rPr>
      </w:pPr>
    </w:p>
    <w:p>
      <w:pPr>
        <w:pStyle w:val="3"/>
        <w:ind w:right="-512" w:rightChars="-244"/>
        <w:rPr>
          <w:rFonts w:hint="default"/>
        </w:rPr>
      </w:pPr>
    </w:p>
    <w:p>
      <w:pPr>
        <w:pStyle w:val="44"/>
        <w:ind w:right="-512" w:rightChars="-244"/>
      </w:pPr>
    </w:p>
    <w:p>
      <w:pPr>
        <w:ind w:right="-512" w:rightChars="-244"/>
      </w:pPr>
    </w:p>
    <w:p>
      <w:pPr>
        <w:ind w:right="-512" w:rightChars="-244"/>
        <w:jc w:val="center"/>
        <w:rPr>
          <w:rFonts w:ascii="宋体" w:hAnsi="宋体" w:cs="宋体"/>
          <w:b/>
          <w:sz w:val="36"/>
          <w:szCs w:val="36"/>
        </w:rPr>
      </w:pPr>
    </w:p>
    <w:p>
      <w:pPr>
        <w:pStyle w:val="3"/>
        <w:ind w:right="-512" w:rightChars="-244"/>
        <w:rPr>
          <w:rFonts w:hint="default"/>
        </w:rPr>
      </w:pPr>
    </w:p>
    <w:p>
      <w:pPr>
        <w:ind w:right="-512" w:rightChars="-244"/>
      </w:pPr>
    </w:p>
    <w:p>
      <w:pPr>
        <w:pStyle w:val="3"/>
        <w:ind w:right="-512" w:rightChars="-244"/>
        <w:rPr>
          <w:rFonts w:hint="default"/>
        </w:rPr>
      </w:pPr>
    </w:p>
    <w:p>
      <w:pPr>
        <w:pStyle w:val="3"/>
        <w:ind w:right="-512" w:rightChars="-244"/>
        <w:rPr>
          <w:rFonts w:hint="default"/>
        </w:rPr>
      </w:pPr>
    </w:p>
    <w:p>
      <w:pPr>
        <w:pStyle w:val="44"/>
        <w:ind w:right="-512" w:rightChars="-244"/>
      </w:pPr>
    </w:p>
    <w:p>
      <w:pPr>
        <w:ind w:right="-512" w:rightChars="-244"/>
      </w:pPr>
    </w:p>
    <w:p>
      <w:pPr>
        <w:pStyle w:val="3"/>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22"/>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2"/>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rPr>
                <w:rFonts w:ascii="宋体" w:hAnsi="宋体"/>
                <w:b/>
                <w:bCs/>
                <w:szCs w:val="21"/>
              </w:rPr>
            </w:pPr>
            <w:r>
              <w:rPr>
                <w:rFonts w:hint="eastAsia" w:ascii="等线" w:hAnsi="等线" w:cs="仿宋_GB2312"/>
                <w:szCs w:val="21"/>
                <w:lang w:val="zh-CN"/>
              </w:rPr>
              <w:t>供应商须具</w:t>
            </w:r>
            <w:r>
              <w:rPr>
                <w:rFonts w:hint="eastAsia" w:ascii="等线" w:hAnsi="等线" w:cs="仿宋_GB2312"/>
                <w:szCs w:val="21"/>
                <w:lang w:val="zh-CN" w:eastAsia="zh-CN"/>
              </w:rPr>
              <w:t>有</w:t>
            </w:r>
            <w:r>
              <w:rPr>
                <w:rFonts w:hint="eastAsia" w:ascii="等线" w:hAnsi="等线" w:cs="仿宋_GB2312"/>
                <w:szCs w:val="21"/>
                <w:lang w:val="zh-CN"/>
              </w:rPr>
              <w:t>独立法人资格，</w:t>
            </w:r>
            <w:r>
              <w:rPr>
                <w:rFonts w:hint="eastAsia" w:ascii="等线" w:hAnsi="等线" w:cs="仿宋_GB2312"/>
                <w:szCs w:val="21"/>
                <w:lang w:val="zh-CN" w:eastAsia="zh-CN"/>
              </w:rPr>
              <w:t>具备建设行政主管部门颁发的市政公用工程施工总承包叁级及以上资质</w:t>
            </w:r>
            <w:r>
              <w:rPr>
                <w:rFonts w:hint="eastAsia" w:ascii="等线" w:hAnsi="等线" w:cs="仿宋_GB2312"/>
                <w:szCs w:val="21"/>
                <w:lang w:val="zh-CN"/>
              </w:rPr>
              <w:t>且具有有效的安全生产许可证</w:t>
            </w:r>
            <w:r>
              <w:rPr>
                <w:rFonts w:hint="eastAsia" w:ascii="等线" w:hAnsi="等线" w:cs="仿宋_GB2312"/>
                <w:szCs w:val="21"/>
                <w:lang w:val="zh-CN" w:eastAsia="zh-CN"/>
              </w:rPr>
              <w:t>；</w:t>
            </w:r>
            <w:r>
              <w:rPr>
                <w:rFonts w:hint="eastAsia" w:ascii="等线" w:hAnsi="等线" w:cs="仿宋_GB2312"/>
                <w:szCs w:val="21"/>
                <w:lang w:val="en-US" w:eastAsia="zh-CN"/>
              </w:rPr>
              <w:t>拟派项目负责人须具有市政工程专业二级及以上注册建造师资格且具有有效的安全生产考核合格证，并未担任其他在建工程的项目负责人；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22"/>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22"/>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22"/>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22"/>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22"/>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22"/>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5"/>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分值构成</w:t>
            </w:r>
          </w:p>
          <w:p>
            <w:pPr>
              <w:spacing w:line="360" w:lineRule="auto"/>
              <w:ind w:right="-512" w:rightChars="-244"/>
              <w:jc w:val="both"/>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609"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w:t>
            </w:r>
            <w:r>
              <w:rPr>
                <w:rFonts w:hint="eastAsia" w:ascii="宋体" w:hAnsi="宋体"/>
                <w:sz w:val="24"/>
                <w:szCs w:val="24"/>
                <w:u w:val="single"/>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41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97"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jc w:val="both"/>
              <w:rPr>
                <w:rFonts w:hint="eastAsia" w:ascii="宋体"/>
                <w:sz w:val="24"/>
                <w:szCs w:val="24"/>
              </w:rPr>
            </w:pPr>
            <w:r>
              <w:rPr>
                <w:rFonts w:hint="eastAsia" w:ascii="宋体"/>
                <w:sz w:val="24"/>
                <w:szCs w:val="24"/>
              </w:rPr>
              <w:t>最终磋商报价</w:t>
            </w:r>
          </w:p>
          <w:p>
            <w:pPr>
              <w:spacing w:line="360" w:lineRule="auto"/>
              <w:ind w:right="-512" w:rightChars="-244" w:firstLine="240" w:firstLineChars="100"/>
              <w:jc w:val="both"/>
              <w:rPr>
                <w:rFonts w:ascii="宋体"/>
                <w:sz w:val="24"/>
                <w:szCs w:val="24"/>
              </w:rPr>
            </w:pPr>
            <w:r>
              <w:rPr>
                <w:rFonts w:hint="eastAsia" w:ascii="宋体"/>
                <w:sz w:val="24"/>
                <w:szCs w:val="24"/>
              </w:rPr>
              <w:t>评分标准</w:t>
            </w:r>
          </w:p>
        </w:tc>
        <w:tc>
          <w:tcPr>
            <w:tcW w:w="6412" w:type="dxa"/>
            <w:noWrap/>
            <w:vAlign w:val="center"/>
          </w:tcPr>
          <w:p>
            <w:pPr>
              <w:pStyle w:val="131"/>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投标报价得分采用低价优先法计算，即满足磋商文件要求且最低的最终磋商报价为磋商基准价，其价格分为满分30分。其他供应商的报价得分计算：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报价得分=(磋商基准价／最终磋商报价)×30</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计算按四舍五入法则,保留小数点后两位。</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注：磋商小组认为供应商的报价明显低于其他通过符合性</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审查供应商的报价，有可能影响服务质量或者不能诚信履</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约的，应当要求该供应商作出书面说明并提供相关证明材</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料。供应商不能合理说明或者不能提供相关证明材料的，</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ascii="宋体"/>
                <w:sz w:val="24"/>
                <w:szCs w:val="24"/>
              </w:rPr>
            </w:pPr>
            <w:r>
              <w:rPr>
                <w:rFonts w:hint="eastAsia" w:ascii="宋体" w:hAnsi="Calibri" w:eastAsia="宋体" w:cs="Times New Roman"/>
                <w:kern w:val="2"/>
                <w:sz w:val="24"/>
                <w:szCs w:val="24"/>
                <w:lang w:val="en-US" w:eastAsia="zh-CN" w:bidi="ar-SA"/>
              </w:rPr>
              <w:t>按无效标处理。</w:t>
            </w:r>
          </w:p>
        </w:tc>
        <w:tc>
          <w:tcPr>
            <w:tcW w:w="1197" w:type="dxa"/>
            <w:noWrap/>
            <w:vAlign w:val="center"/>
          </w:tcPr>
          <w:p>
            <w:pPr>
              <w:ind w:right="-512" w:rightChars="-244" w:firstLine="240" w:firstLineChars="100"/>
              <w:jc w:val="both"/>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41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97"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企业业绩</w:t>
            </w:r>
          </w:p>
        </w:tc>
        <w:tc>
          <w:tcPr>
            <w:tcW w:w="6412" w:type="dxa"/>
            <w:noWrap/>
            <w:vAlign w:val="center"/>
          </w:tcPr>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自2019年1月1日以来（以合同签订时间为准），具有类</w:t>
            </w:r>
          </w:p>
          <w:p>
            <w:pPr>
              <w:spacing w:line="360" w:lineRule="auto"/>
              <w:ind w:right="-170" w:rightChars="-81"/>
              <w:jc w:val="left"/>
              <w:rPr>
                <w:rFonts w:hint="eastAsia" w:ascii="宋体" w:hAnsi="宋体"/>
                <w:sz w:val="24"/>
                <w:szCs w:val="24"/>
                <w:lang w:val="en-US" w:eastAsia="zh-CN"/>
              </w:rPr>
            </w:pPr>
            <w:r>
              <w:rPr>
                <w:rFonts w:hint="eastAsia" w:ascii="宋体" w:hAnsi="宋体"/>
                <w:sz w:val="24"/>
                <w:szCs w:val="24"/>
                <w:lang w:val="en-US" w:eastAsia="zh-CN"/>
              </w:rPr>
              <w:t>似项目（市政公用工程）业绩的每项得2分，本项最高得4分。（须提供中标或成交通知书或合同，附原件扫描件）</w:t>
            </w:r>
          </w:p>
        </w:tc>
        <w:tc>
          <w:tcPr>
            <w:tcW w:w="1197" w:type="dxa"/>
            <w:noWrap/>
            <w:vAlign w:val="center"/>
          </w:tcPr>
          <w:p>
            <w:pPr>
              <w:ind w:right="-512" w:rightChars="-244" w:firstLine="240" w:firstLineChars="100"/>
              <w:jc w:val="both"/>
              <w:rPr>
                <w:rFonts w:ascii="宋体"/>
                <w:sz w:val="24"/>
                <w:szCs w:val="24"/>
                <w:lang w:val="en-GB"/>
              </w:rPr>
            </w:pPr>
            <w:r>
              <w:rPr>
                <w:rFonts w:hint="eastAsia" w:ascii="宋体" w:hAnsi="宋体"/>
                <w:sz w:val="24"/>
                <w:szCs w:val="24"/>
                <w:lang w:val="en-US" w:eastAsia="zh-CN"/>
              </w:rPr>
              <w:t>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hint="eastAsia" w:ascii="宋体" w:hAnsi="宋体"/>
                <w:sz w:val="24"/>
                <w:szCs w:val="24"/>
              </w:rPr>
            </w:pPr>
            <w:r>
              <w:rPr>
                <w:rFonts w:hint="eastAsia" w:ascii="宋体" w:hAnsi="宋体"/>
                <w:sz w:val="24"/>
                <w:szCs w:val="24"/>
                <w:lang w:val="en-US" w:eastAsia="zh-CN"/>
              </w:rPr>
              <w:t xml:space="preserve">专业人员 </w:t>
            </w:r>
          </w:p>
          <w:p>
            <w:pPr>
              <w:spacing w:line="360" w:lineRule="auto"/>
              <w:ind w:right="-512" w:rightChars="-244" w:firstLine="480" w:firstLineChars="200"/>
              <w:jc w:val="both"/>
              <w:rPr>
                <w:rFonts w:hint="eastAsia" w:ascii="宋体" w:hAnsi="宋体"/>
                <w:sz w:val="24"/>
                <w:szCs w:val="24"/>
              </w:rPr>
            </w:pPr>
            <w:r>
              <w:rPr>
                <w:rFonts w:hint="eastAsia" w:ascii="宋体" w:hAnsi="宋体"/>
                <w:sz w:val="24"/>
                <w:szCs w:val="24"/>
                <w:lang w:val="en-US" w:eastAsia="zh-CN"/>
              </w:rPr>
              <w:t>配备</w:t>
            </w:r>
          </w:p>
        </w:tc>
        <w:tc>
          <w:tcPr>
            <w:tcW w:w="6412" w:type="dxa"/>
            <w:noWrap/>
            <w:vAlign w:val="center"/>
          </w:tcPr>
          <w:p>
            <w:pPr>
              <w:spacing w:line="360" w:lineRule="auto"/>
              <w:ind w:right="-170" w:rightChars="-81"/>
              <w:jc w:val="left"/>
              <w:rPr>
                <w:rFonts w:hint="eastAsia" w:ascii="宋体" w:hAnsi="宋体"/>
                <w:sz w:val="24"/>
                <w:szCs w:val="24"/>
              </w:rPr>
            </w:pPr>
            <w:r>
              <w:rPr>
                <w:rFonts w:hint="eastAsia" w:ascii="宋体" w:hAnsi="宋体"/>
                <w:sz w:val="24"/>
                <w:szCs w:val="24"/>
                <w:lang w:val="en-US" w:eastAsia="zh-CN"/>
              </w:rPr>
              <w:t>项目组人员有施工员、质量员、安全员、预算员、资料员的，提供完整的，得10分，每缺一个扣2分，扣完为止。本项最高10分。</w:t>
            </w:r>
          </w:p>
        </w:tc>
        <w:tc>
          <w:tcPr>
            <w:tcW w:w="1197" w:type="dxa"/>
            <w:noWrap/>
            <w:vAlign w:val="center"/>
          </w:tcPr>
          <w:p>
            <w:pPr>
              <w:ind w:right="-512" w:rightChars="-244" w:firstLine="240" w:firstLineChars="100"/>
              <w:jc w:val="both"/>
              <w:rPr>
                <w:rFonts w:hint="eastAsia" w:ascii="宋体" w:hAnsi="宋体" w:eastAsia="宋体"/>
                <w:sz w:val="24"/>
                <w:szCs w:val="24"/>
                <w:lang w:val="en-US" w:eastAsia="zh-CN"/>
              </w:rPr>
            </w:pPr>
            <w:r>
              <w:rPr>
                <w:rFonts w:hint="eastAsia" w:ascii="宋体" w:hAnsi="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信誉及荣誉</w:t>
            </w:r>
          </w:p>
          <w:p>
            <w:pPr>
              <w:spacing w:line="360" w:lineRule="auto"/>
              <w:ind w:right="-512" w:rightChars="-244"/>
              <w:jc w:val="center"/>
              <w:rPr>
                <w:rFonts w:ascii="宋体" w:hAnsi="宋体"/>
                <w:sz w:val="24"/>
                <w:szCs w:val="24"/>
              </w:rPr>
            </w:pPr>
          </w:p>
        </w:tc>
        <w:tc>
          <w:tcPr>
            <w:tcW w:w="6412"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1、企业近三年度纳税信用等级为B级及以上的得2 分，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(以税务部门颁发的信用等级证书或国家税务总局网上截图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为准) 。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2、供应商具有质量管理体系认证证书、环境管理体系认证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证书、职业健康安全管理体系认证证书的得5分，缺一不</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得分。（提供证书原件扫描件或全国认证认可信息公共服</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务平台网页截图或图片为准，须在有效期内。）。 </w:t>
            </w:r>
          </w:p>
          <w:p>
            <w:pPr>
              <w:numPr>
                <w:ilvl w:val="0"/>
                <w:numId w:val="5"/>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企业信用等级为“AAA”级的得3分，“AA”级的得2</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分，“A”级的得1分。（以证书或信用评级机构出具的有</w:t>
            </w:r>
          </w:p>
          <w:p>
            <w:pPr>
              <w:numPr>
                <w:ilvl w:val="0"/>
                <w:numId w:val="0"/>
              </w:numPr>
              <w:spacing w:line="360" w:lineRule="auto"/>
              <w:ind w:right="-512" w:rightChars="-244"/>
              <w:jc w:val="left"/>
              <w:rPr>
                <w:rFonts w:ascii="宋体" w:hAnsi="宋体"/>
                <w:sz w:val="24"/>
                <w:szCs w:val="24"/>
              </w:rPr>
            </w:pPr>
            <w:r>
              <w:rPr>
                <w:rFonts w:hint="eastAsia" w:ascii="宋体" w:hAnsi="宋体"/>
                <w:sz w:val="24"/>
                <w:szCs w:val="24"/>
                <w:lang w:val="en-US" w:eastAsia="zh-CN"/>
              </w:rPr>
              <w:t>效的企业信用报告为准）</w:t>
            </w:r>
          </w:p>
        </w:tc>
        <w:tc>
          <w:tcPr>
            <w:tcW w:w="1197"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服务承诺</w:t>
            </w:r>
          </w:p>
        </w:tc>
        <w:tc>
          <w:tcPr>
            <w:tcW w:w="6412" w:type="dxa"/>
            <w:noWrap/>
            <w:vAlign w:val="center"/>
          </w:tcPr>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根据承诺内容及针对采购人排忧解难情况及其他承诺情</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况等进行对比。优于其他投标人承诺的得5-6分；比较优</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秀的得3-4分；一般得1-2分；未提供本项承诺的不得分。</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注：承诺内容必须具有可行性，一旦承诺必须兑现。</w:t>
            </w:r>
          </w:p>
        </w:tc>
        <w:tc>
          <w:tcPr>
            <w:tcW w:w="1197"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技术部分（满分4</w:t>
            </w:r>
            <w:r>
              <w:rPr>
                <w:rFonts w:hint="eastAsia" w:ascii="宋体" w:hAnsi="宋体"/>
                <w:b/>
                <w:sz w:val="24"/>
                <w:szCs w:val="24"/>
                <w:lang w:val="en-US" w:eastAsia="zh-CN"/>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41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97"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ascii="宋体" w:cs="宋体"/>
                <w:szCs w:val="20"/>
              </w:rPr>
              <w:t>主要施工方案与技术措施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施工方案（含工程特点、施工重点与难点及绿色施工）总体安排合理，运用先进、合理的施工工艺、施工机械；对施工难点有先进和合理的建议</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r>
              <w:rPr>
                <w:rFonts w:hint="eastAsia" w:ascii="宋体" w:hAnsi="宋体" w:cs="宋体"/>
                <w:kern w:val="0"/>
                <w:szCs w:val="21"/>
              </w:rPr>
              <w:t>。</w:t>
            </w:r>
          </w:p>
          <w:p>
            <w:pPr>
              <w:spacing w:line="360" w:lineRule="auto"/>
              <w:jc w:val="left"/>
              <w:rPr>
                <w:rFonts w:ascii="宋体" w:hAnsi="宋体"/>
                <w:sz w:val="24"/>
                <w:szCs w:val="24"/>
              </w:rPr>
            </w:pPr>
            <w:r>
              <w:rPr>
                <w:rFonts w:hint="eastAsia" w:ascii="宋体" w:hAnsi="宋体" w:cs="宋体"/>
                <w:kern w:val="0"/>
                <w:szCs w:val="21"/>
              </w:rPr>
              <w:t>施工方案（含工程特点、施工重点与难点及绿色施工）总体安排合理，施工工艺、施工机械合理、可行；对施工难点有合理的建议。1≤得分≤</w:t>
            </w:r>
            <w:r>
              <w:rPr>
                <w:rFonts w:ascii="宋体" w:hAnsi="宋体" w:cs="宋体"/>
                <w:kern w:val="0"/>
                <w:szCs w:val="21"/>
              </w:rPr>
              <w:t>4</w:t>
            </w:r>
          </w:p>
        </w:tc>
        <w:tc>
          <w:tcPr>
            <w:tcW w:w="1197" w:type="dxa"/>
            <w:noWrap/>
            <w:vAlign w:val="center"/>
          </w:tcPr>
          <w:p>
            <w:pPr>
              <w:spacing w:line="360" w:lineRule="auto"/>
              <w:jc w:val="center"/>
              <w:rPr>
                <w:rFonts w:ascii="宋体" w:hAnsi="宋体"/>
                <w:sz w:val="24"/>
                <w:szCs w:val="24"/>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ascii="宋体" w:cs="宋体"/>
                <w:szCs w:val="20"/>
              </w:rPr>
              <w:t>质量管理体系与措施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pStyle w:val="3"/>
              <w:spacing w:line="360" w:lineRule="auto"/>
              <w:rPr>
                <w:rFonts w:ascii="宋体" w:hAnsi="宋体" w:cs="宋体"/>
                <w:kern w:val="0"/>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rPr>
                <w:rFonts w:ascii="宋体" w:hAnsi="宋体" w:eastAsia="宋体" w:cs="宋体"/>
                <w:sz w:val="24"/>
                <w:szCs w:val="24"/>
              </w:rPr>
            </w:pPr>
            <w:r>
              <w:rPr>
                <w:rFonts w:hint="eastAsia"/>
                <w:szCs w:val="21"/>
              </w:rPr>
              <w:t>2、</w:t>
            </w:r>
            <w:r>
              <w:rPr>
                <w:rFonts w:hint="eastAsia" w:cs="宋体"/>
                <w:szCs w:val="21"/>
              </w:rPr>
              <w:t>组织机构形式基本合理，指挥系统、质量监控系统、联络协调系统，具体措施可行。主体结构质量保证措施经济、安全、基本可行。主体结构、装饰装修符合工程建设强制性标准，不得偷工减料。1≤得分≤</w:t>
            </w:r>
            <w:r>
              <w:rPr>
                <w:rFonts w:cs="宋体"/>
                <w:szCs w:val="21"/>
              </w:rPr>
              <w:t>4</w:t>
            </w:r>
          </w:p>
        </w:tc>
        <w:tc>
          <w:tcPr>
            <w:tcW w:w="1197"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rPr>
              <w:t>安全管理体系与措施</w:t>
            </w:r>
          </w:p>
        </w:tc>
        <w:tc>
          <w:tcPr>
            <w:tcW w:w="6412" w:type="dxa"/>
            <w:noWrap/>
            <w:vAlign w:val="top"/>
          </w:tcPr>
          <w:p>
            <w:pPr>
              <w:spacing w:line="360" w:lineRule="auto"/>
              <w:jc w:val="left"/>
              <w:rPr>
                <w:rFonts w:ascii="宋体" w:hAnsi="宋体" w:cs="宋体"/>
                <w:kern w:val="0"/>
                <w:szCs w:val="21"/>
              </w:rPr>
            </w:pPr>
            <w:r>
              <w:rPr>
                <w:rFonts w:hint="eastAsia" w:ascii="宋体" w:hAnsi="宋体" w:cs="宋体"/>
                <w:szCs w:val="21"/>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spacing w:line="360" w:lineRule="auto"/>
              <w:rPr>
                <w:rFonts w:ascii="宋体" w:hAnsi="宋体" w:eastAsia="宋体" w:cs="宋体"/>
                <w:sz w:val="24"/>
                <w:szCs w:val="24"/>
              </w:rPr>
            </w:pPr>
            <w:r>
              <w:rPr>
                <w:rFonts w:hint="eastAsia" w:ascii="宋体" w:hAnsi="宋体" w:cs="宋体"/>
                <w:kern w:val="0"/>
                <w:szCs w:val="21"/>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1≤得分≤</w:t>
            </w:r>
            <w:r>
              <w:rPr>
                <w:rFonts w:ascii="宋体" w:hAnsi="宋体" w:cs="宋体"/>
                <w:kern w:val="0"/>
                <w:szCs w:val="21"/>
              </w:rPr>
              <w:t>3</w:t>
            </w:r>
          </w:p>
        </w:tc>
        <w:tc>
          <w:tcPr>
            <w:tcW w:w="1197"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3"/>
              <w:spacing w:after="0" w:line="360" w:lineRule="auto"/>
              <w:jc w:val="center"/>
              <w:rPr>
                <w:rFonts w:ascii="宋体" w:hAnsi="宋体" w:cs="宋体"/>
                <w:szCs w:val="21"/>
              </w:rPr>
            </w:pPr>
            <w:r>
              <w:rPr>
                <w:rFonts w:hint="eastAsia" w:ascii="宋体" w:hAnsi="宋体" w:cs="宋体"/>
                <w:szCs w:val="21"/>
              </w:rPr>
              <w:t>文明施工、环境保护管理体系及施工现场扬尘治理措施</w:t>
            </w:r>
          </w:p>
          <w:p>
            <w:pPr>
              <w:widowControl/>
              <w:spacing w:line="360" w:lineRule="auto"/>
              <w:jc w:val="center"/>
              <w:rPr>
                <w:rFonts w:hint="eastAsia" w:ascii="宋体"/>
                <w:sz w:val="24"/>
                <w:szCs w:val="24"/>
              </w:rPr>
            </w:pP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pStyle w:val="3"/>
              <w:spacing w:line="360" w:lineRule="auto"/>
              <w:rPr>
                <w:rFonts w:hint="eastAsia" w:ascii="宋体" w:hAnsi="宋体"/>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rPr>
                <w:rFonts w:ascii="宋体" w:hAnsi="宋体" w:eastAsia="宋体" w:cs="宋体"/>
                <w:sz w:val="24"/>
                <w:szCs w:val="24"/>
              </w:rPr>
            </w:pPr>
            <w:r>
              <w:rPr>
                <w:rFonts w:hint="eastAsia" w:ascii="宋体" w:hAnsi="宋体" w:cs="宋体"/>
                <w:kern w:val="0"/>
                <w:szCs w:val="21"/>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1≤得分≤</w:t>
            </w:r>
            <w:r>
              <w:rPr>
                <w:rFonts w:ascii="宋体" w:hAnsi="宋体" w:cs="宋体"/>
                <w:szCs w:val="21"/>
              </w:rPr>
              <w:t>4</w:t>
            </w:r>
          </w:p>
        </w:tc>
        <w:tc>
          <w:tcPr>
            <w:tcW w:w="1197"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szCs w:val="21"/>
              </w:rPr>
              <w:t>工期保证措施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jc w:val="left"/>
              <w:rPr>
                <w:rFonts w:ascii="宋体" w:hAnsi="宋体" w:eastAsia="宋体" w:cs="宋体"/>
                <w:sz w:val="24"/>
                <w:szCs w:val="24"/>
              </w:rPr>
            </w:pPr>
            <w:r>
              <w:rPr>
                <w:rFonts w:hint="eastAsia" w:ascii="宋体" w:hAnsi="宋体" w:cs="宋体"/>
                <w:kern w:val="0"/>
                <w:szCs w:val="21"/>
              </w:rPr>
              <w:t>2、工期承诺满足招标文件要求，工期保证措施基本合理，有具体的违约责任承诺。1≤得分≤</w:t>
            </w:r>
            <w:r>
              <w:rPr>
                <w:rFonts w:ascii="宋体" w:hAnsi="宋体" w:cs="宋体"/>
                <w:kern w:val="0"/>
                <w:szCs w:val="21"/>
              </w:rPr>
              <w:t>4</w:t>
            </w:r>
          </w:p>
        </w:tc>
        <w:tc>
          <w:tcPr>
            <w:tcW w:w="1197"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kern w:val="0"/>
                <w:szCs w:val="21"/>
              </w:rPr>
              <w:t>技术创新的应用实施措施</w:t>
            </w:r>
          </w:p>
        </w:tc>
        <w:tc>
          <w:tcPr>
            <w:tcW w:w="6412" w:type="dxa"/>
            <w:noWrap/>
            <w:vAlign w:val="center"/>
          </w:tcPr>
          <w:p>
            <w:pPr>
              <w:spacing w:line="360" w:lineRule="auto"/>
              <w:jc w:val="left"/>
              <w:rPr>
                <w:rFonts w:hint="eastAsia"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jc w:val="left"/>
              <w:rPr>
                <w:rFonts w:ascii="宋体" w:hAnsi="宋体" w:eastAsia="宋体" w:cs="宋体"/>
                <w:sz w:val="24"/>
                <w:szCs w:val="24"/>
              </w:rPr>
            </w:pPr>
            <w:r>
              <w:rPr>
                <w:rFonts w:ascii="宋体" w:hAnsi="宋体" w:cs="宋体"/>
                <w:spacing w:val="-8"/>
                <w:kern w:val="0"/>
                <w:szCs w:val="21"/>
              </w:rPr>
              <w:t>2</w:t>
            </w:r>
            <w:r>
              <w:rPr>
                <w:rFonts w:hint="eastAsia" w:ascii="宋体" w:hAnsi="宋体" w:cs="宋体"/>
                <w:spacing w:val="-8"/>
                <w:kern w:val="0"/>
                <w:szCs w:val="21"/>
              </w:rPr>
              <w:t>、节能减排、（2）绿色施工、（3）工艺创新、（4）装配式建筑等技术创新的应用实施措施基本符合工程情况，具有针</w:t>
            </w:r>
            <w:r>
              <w:rPr>
                <w:rFonts w:hint="eastAsia" w:ascii="宋体" w:hAnsi="宋体" w:cs="宋体"/>
                <w:kern w:val="0"/>
                <w:szCs w:val="21"/>
              </w:rPr>
              <w:t>对性。</w:t>
            </w:r>
            <w:r>
              <w:rPr>
                <w:rFonts w:ascii="宋体" w:hAnsi="宋体" w:cs="宋体"/>
                <w:kern w:val="0"/>
                <w:szCs w:val="21"/>
              </w:rPr>
              <w:t>1</w:t>
            </w:r>
            <w:r>
              <w:rPr>
                <w:rFonts w:hint="eastAsia" w:ascii="宋体" w:hAnsi="宋体" w:cs="宋体"/>
                <w:kern w:val="0"/>
                <w:szCs w:val="21"/>
              </w:rPr>
              <w:t>＜得分≤</w:t>
            </w:r>
            <w:r>
              <w:rPr>
                <w:rFonts w:ascii="宋体" w:hAnsi="宋体" w:cs="宋体"/>
                <w:kern w:val="0"/>
                <w:szCs w:val="21"/>
              </w:rPr>
              <w:t>4</w:t>
            </w:r>
          </w:p>
        </w:tc>
        <w:tc>
          <w:tcPr>
            <w:tcW w:w="1197"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hint="eastAsia" w:ascii="宋体"/>
                <w:sz w:val="24"/>
                <w:szCs w:val="24"/>
              </w:rPr>
            </w:pPr>
            <w:r>
              <w:rPr>
                <w:rFonts w:hint="eastAsia" w:ascii="宋体" w:hAnsi="宋体"/>
                <w:szCs w:val="21"/>
              </w:rPr>
              <w:t>风险管理措施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1、风险防控管理措施齐全，风险预控符合规范要求，风险控制要点定位准确，各阶段风险控制及应急措施得力。</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widowControl/>
              <w:spacing w:line="360" w:lineRule="auto"/>
              <w:rPr>
                <w:rFonts w:ascii="宋体" w:hAnsi="宋体" w:eastAsia="宋体" w:cs="宋体"/>
                <w:sz w:val="24"/>
                <w:szCs w:val="24"/>
              </w:rPr>
            </w:pPr>
            <w:r>
              <w:rPr>
                <w:rFonts w:hint="eastAsia" w:ascii="宋体" w:hAnsi="宋体"/>
                <w:szCs w:val="21"/>
              </w:rPr>
              <w:t>2、风险防控管理措施基本齐全，风险预控符合规范要求，风险控制要点定位基本准确，有各阶段风险控制及应急措施。</w:t>
            </w:r>
            <w:r>
              <w:rPr>
                <w:rFonts w:hint="eastAsia" w:ascii="宋体" w:hAnsi="宋体" w:cs="宋体"/>
                <w:kern w:val="0"/>
                <w:szCs w:val="21"/>
              </w:rPr>
              <w:t>1≤得分≤</w:t>
            </w:r>
            <w:r>
              <w:rPr>
                <w:rFonts w:ascii="宋体" w:hAnsi="宋体" w:cs="宋体"/>
                <w:kern w:val="0"/>
                <w:szCs w:val="21"/>
              </w:rPr>
              <w:t>3</w:t>
            </w:r>
          </w:p>
        </w:tc>
        <w:tc>
          <w:tcPr>
            <w:tcW w:w="1197"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bl>
    <w:p>
      <w:pPr>
        <w:pStyle w:val="22"/>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44"/>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 w:val="0"/>
          <w:bCs/>
          <w:sz w:val="28"/>
          <w:szCs w:val="28"/>
        </w:rPr>
        <w:t>采用由中华人民共和国住房和城乡建设部与国家工商行政管理局联合制定的《建设工程施工合同示范文本》（GF-2017-0201）签订合</w:t>
      </w:r>
      <w:bookmarkEnd w:id="24"/>
      <w:r>
        <w:rPr>
          <w:rFonts w:hint="eastAsia" w:hAnsi="宋体" w:cs="黑体"/>
          <w:b w:val="0"/>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7428_WPSOffice_Level1"/>
      <w:bookmarkStart w:id="26" w:name="_Toc27760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28157_WPSOffice_Level1"/>
      <w:bookmarkStart w:id="28" w:name="_Toc4840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w:t>
            </w:r>
            <w:r>
              <w:rPr>
                <w:rFonts w:hint="eastAsia" w:ascii="等线" w:hAnsi="等线" w:cs="宋体"/>
                <w:b/>
                <w:sz w:val="24"/>
                <w:szCs w:val="24"/>
                <w:lang w:val="en-US" w:eastAsia="zh-CN"/>
              </w:rPr>
              <w:t>行</w:t>
            </w:r>
            <w:r>
              <w:rPr>
                <w:rFonts w:hint="eastAsia" w:ascii="等线" w:hAnsi="等线" w:cs="宋体"/>
                <w:b/>
                <w:sz w:val="24"/>
                <w:szCs w:val="24"/>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2"/>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22"/>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lang w:eastAsia="zh-CN"/>
        </w:rPr>
        <w:t>磋商文件</w:t>
      </w:r>
      <w:r>
        <w:rPr>
          <w:rFonts w:hint="eastAsia" w:ascii="宋体" w:hAnsi="宋体"/>
          <w:snapToGrid w:val="0"/>
          <w:szCs w:val="24"/>
        </w:rPr>
        <w:t>的全部内容。</w:t>
      </w:r>
    </w:p>
    <w:p>
      <w:pPr>
        <w:pStyle w:val="22"/>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我方在参与投标前已详细研究了</w:t>
      </w:r>
      <w:r>
        <w:rPr>
          <w:rFonts w:hint="eastAsia" w:ascii="宋体" w:hAnsi="宋体"/>
          <w:snapToGrid w:val="0"/>
          <w:szCs w:val="24"/>
          <w:lang w:eastAsia="zh-CN"/>
        </w:rPr>
        <w:t>磋商文件</w:t>
      </w:r>
      <w:r>
        <w:rPr>
          <w:rFonts w:hint="eastAsia" w:ascii="宋体" w:hAnsi="宋体"/>
          <w:snapToGrid w:val="0"/>
          <w:szCs w:val="24"/>
        </w:rPr>
        <w:t>的所有内容，包括澄清、修改文件（如果有）和所有已提供的参考资料以及有关附件，我方完全明白并认为此</w:t>
      </w:r>
      <w:r>
        <w:rPr>
          <w:rFonts w:hint="eastAsia" w:ascii="宋体" w:hAnsi="宋体"/>
          <w:snapToGrid w:val="0"/>
          <w:szCs w:val="24"/>
          <w:lang w:eastAsia="zh-CN"/>
        </w:rPr>
        <w:t>磋商文件</w:t>
      </w:r>
      <w:r>
        <w:rPr>
          <w:rFonts w:hint="eastAsia" w:ascii="宋体" w:hAnsi="宋体"/>
          <w:snapToGrid w:val="0"/>
          <w:szCs w:val="24"/>
        </w:rPr>
        <w:t>没有倾向性，也不存在排斥潜在投标供应商的内容，我方同意</w:t>
      </w:r>
      <w:r>
        <w:rPr>
          <w:rFonts w:hint="eastAsia" w:ascii="宋体" w:hAnsi="宋体"/>
          <w:snapToGrid w:val="0"/>
          <w:szCs w:val="24"/>
          <w:lang w:eastAsia="zh-CN"/>
        </w:rPr>
        <w:t>磋商文件</w:t>
      </w:r>
      <w:r>
        <w:rPr>
          <w:rFonts w:hint="eastAsia" w:ascii="宋体" w:hAnsi="宋体"/>
          <w:snapToGrid w:val="0"/>
          <w:szCs w:val="24"/>
        </w:rPr>
        <w:t>的相关条款和</w:t>
      </w:r>
      <w:r>
        <w:rPr>
          <w:rFonts w:hint="eastAsia" w:ascii="宋体" w:hAnsi="宋体"/>
          <w:szCs w:val="24"/>
        </w:rPr>
        <w:t>已完全理解并接受</w:t>
      </w:r>
      <w:r>
        <w:rPr>
          <w:rFonts w:hint="eastAsia" w:ascii="宋体" w:hAnsi="宋体"/>
          <w:szCs w:val="24"/>
          <w:lang w:eastAsia="zh-CN"/>
        </w:rPr>
        <w:t>磋商文件</w:t>
      </w:r>
      <w:r>
        <w:rPr>
          <w:rFonts w:hint="eastAsia" w:ascii="宋体" w:hAnsi="宋体"/>
          <w:szCs w:val="24"/>
        </w:rPr>
        <w:t>的各项规定和要求及资金支付规定，对</w:t>
      </w:r>
      <w:r>
        <w:rPr>
          <w:rFonts w:hint="eastAsia" w:ascii="宋体" w:hAnsi="宋体"/>
          <w:szCs w:val="24"/>
          <w:lang w:eastAsia="zh-CN"/>
        </w:rPr>
        <w:t>磋商文件</w:t>
      </w:r>
      <w:r>
        <w:rPr>
          <w:rFonts w:hint="eastAsia" w:ascii="宋体" w:hAnsi="宋体"/>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w:t>
      </w:r>
      <w:r>
        <w:rPr>
          <w:rFonts w:hint="eastAsia" w:ascii="宋体" w:hAnsi="宋体"/>
          <w:i/>
          <w:snapToGrid w:val="0"/>
          <w:kern w:val="0"/>
          <w:sz w:val="24"/>
          <w:szCs w:val="24"/>
          <w:u w:val="single"/>
          <w:lang w:eastAsia="zh-CN"/>
        </w:rPr>
        <w:t>供应商</w:t>
      </w:r>
      <w:r>
        <w:rPr>
          <w:rFonts w:hint="eastAsia" w:ascii="宋体" w:hAnsi="宋体"/>
          <w:i/>
          <w:snapToGrid w:val="0"/>
          <w:kern w:val="0"/>
          <w:sz w:val="24"/>
          <w:szCs w:val="24"/>
          <w:u w:val="single"/>
        </w:rPr>
        <w:t xml:space="preserve">名称)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32"/>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22"/>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2"/>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2"/>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2"/>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2"/>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22"/>
        <w:adjustRightInd w:val="0"/>
        <w:snapToGrid w:val="0"/>
        <w:spacing w:line="360" w:lineRule="auto"/>
        <w:ind w:right="-512" w:rightChars="-244"/>
        <w:rPr>
          <w:rFonts w:ascii="宋体" w:hAnsi="宋体"/>
          <w:szCs w:val="24"/>
        </w:rPr>
      </w:pPr>
    </w:p>
    <w:p>
      <w:pPr>
        <w:pStyle w:val="22"/>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3"/>
        <w:rPr>
          <w:rFonts w:ascii="宋体" w:hAnsi="宋体"/>
          <w:b/>
          <w:bCs/>
          <w:sz w:val="36"/>
          <w:szCs w:val="36"/>
        </w:rPr>
      </w:pPr>
    </w:p>
    <w:p>
      <w:pPr>
        <w:pStyle w:val="4"/>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6"/>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right="-512" w:rightChars="-244" w:firstLine="540" w:firstLineChars="225"/>
        <w:jc w:val="left"/>
        <w:rPr>
          <w:rFonts w:hAnsi="宋体"/>
          <w:szCs w:val="24"/>
        </w:rPr>
      </w:pPr>
      <w:r>
        <w:rPr>
          <w:rFonts w:hint="eastAsia" w:hAnsi="宋体"/>
          <w:szCs w:val="24"/>
        </w:rPr>
        <w:t>地址：</w:t>
      </w:r>
    </w:p>
    <w:p>
      <w:pPr>
        <w:pStyle w:val="116"/>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right="-512" w:rightChars="-244" w:firstLine="540" w:firstLineChars="225"/>
        <w:jc w:val="left"/>
        <w:rPr>
          <w:rFonts w:hAnsi="宋体"/>
          <w:szCs w:val="24"/>
        </w:rPr>
      </w:pPr>
      <w:r>
        <w:rPr>
          <w:rFonts w:hint="eastAsia" w:hAnsi="宋体"/>
          <w:szCs w:val="24"/>
        </w:rPr>
        <w:t>本人系</w:t>
      </w:r>
      <w:r>
        <w:rPr>
          <w:rFonts w:hint="eastAsia" w:hAnsi="宋体"/>
          <w:i/>
          <w:snapToGrid w:val="0"/>
          <w:szCs w:val="24"/>
          <w:u w:val="single"/>
          <w:lang w:eastAsia="zh-CN"/>
        </w:rPr>
        <w:t>供应商</w:t>
      </w:r>
      <w:r>
        <w:rPr>
          <w:rFonts w:hint="eastAsia" w:hAnsi="宋体"/>
          <w:i/>
          <w:snapToGrid w:val="0"/>
          <w:szCs w:val="24"/>
          <w:u w:val="single"/>
        </w:rPr>
        <w:t>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right="-512" w:rightChars="-244" w:firstLine="540" w:firstLineChars="225"/>
        <w:jc w:val="left"/>
        <w:rPr>
          <w:rFonts w:hAnsi="宋体"/>
          <w:szCs w:val="24"/>
        </w:rPr>
      </w:pPr>
    </w:p>
    <w:p>
      <w:pPr>
        <w:pStyle w:val="116"/>
        <w:spacing w:line="480" w:lineRule="auto"/>
        <w:ind w:right="-512" w:rightChars="-244" w:firstLine="540" w:firstLineChars="225"/>
        <w:jc w:val="left"/>
        <w:rPr>
          <w:rFonts w:hAnsi="宋体"/>
          <w:szCs w:val="24"/>
        </w:rPr>
      </w:pPr>
    </w:p>
    <w:p>
      <w:pPr>
        <w:pStyle w:val="116"/>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126"/>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lang w:eastAsia="zh-CN"/>
        </w:rPr>
        <w:t>供应商</w:t>
      </w:r>
      <w:r>
        <w:rPr>
          <w:rFonts w:hint="eastAsia" w:ascii="宋体" w:hAnsi="宋体"/>
          <w:i/>
          <w:snapToGrid w:val="0"/>
          <w:sz w:val="24"/>
          <w:szCs w:val="24"/>
          <w:u w:val="single"/>
        </w:rPr>
        <w:t xml:space="preserve">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，从业人员人，营业收入为</w:t>
      </w:r>
      <w:r>
        <w:rPr>
          <w:rFonts w:hint="eastAsia"/>
          <w:sz w:val="24"/>
          <w:szCs w:val="24"/>
          <w:u w:val="single"/>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5"/>
        <w:rPr>
          <w:rFonts w:hint="default"/>
        </w:rPr>
      </w:pPr>
    </w:p>
    <w:p>
      <w:pPr>
        <w:pStyle w:val="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四、与采购人、其他投标人或者采购代理机构恶意串通；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r>
        <w:rPr>
          <w:rFonts w:hint="eastAsia" w:ascii="宋体" w:hAnsi="宋体"/>
          <w:szCs w:val="21"/>
        </w:rPr>
        <w:t xml:space="preserve"> </w:t>
      </w: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lang w:val="en-US" w:eastAsia="zh-CN"/>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7"/>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3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7"/>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17"/>
              <w:spacing w:line="360" w:lineRule="auto"/>
              <w:rPr>
                <w:rFonts w:ascii="宋体" w:hAnsi="宋体" w:eastAsia="宋体" w:cs="宋体"/>
                <w:sz w:val="21"/>
                <w:szCs w:val="21"/>
              </w:rPr>
            </w:pPr>
          </w:p>
        </w:tc>
        <w:tc>
          <w:tcPr>
            <w:tcW w:w="3579" w:type="dxa"/>
            <w:noWrap w:val="0"/>
            <w:vAlign w:val="center"/>
          </w:tcPr>
          <w:p>
            <w:pPr>
              <w:pStyle w:val="17"/>
              <w:spacing w:line="360" w:lineRule="auto"/>
              <w:rPr>
                <w:rFonts w:ascii="宋体" w:hAnsi="宋体" w:eastAsia="宋体" w:cs="宋体"/>
                <w:sz w:val="21"/>
                <w:szCs w:val="21"/>
              </w:rPr>
            </w:pPr>
          </w:p>
        </w:tc>
        <w:tc>
          <w:tcPr>
            <w:tcW w:w="1440" w:type="dxa"/>
            <w:noWrap w:val="0"/>
            <w:vAlign w:val="center"/>
          </w:tcPr>
          <w:p>
            <w:pPr>
              <w:pStyle w:val="17"/>
              <w:spacing w:line="360" w:lineRule="auto"/>
              <w:rPr>
                <w:rFonts w:ascii="宋体" w:hAnsi="宋体" w:eastAsia="宋体" w:cs="宋体"/>
                <w:sz w:val="21"/>
                <w:szCs w:val="21"/>
              </w:rPr>
            </w:pPr>
          </w:p>
        </w:tc>
        <w:tc>
          <w:tcPr>
            <w:tcW w:w="1706" w:type="dxa"/>
            <w:noWrap w:val="0"/>
            <w:vAlign w:val="center"/>
          </w:tcPr>
          <w:p>
            <w:pPr>
              <w:pStyle w:val="17"/>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17"/>
              <w:spacing w:line="360" w:lineRule="auto"/>
              <w:rPr>
                <w:rFonts w:ascii="宋体" w:hAnsi="宋体" w:eastAsia="宋体" w:cs="宋体"/>
                <w:sz w:val="21"/>
                <w:szCs w:val="21"/>
              </w:rPr>
            </w:pPr>
          </w:p>
        </w:tc>
        <w:tc>
          <w:tcPr>
            <w:tcW w:w="3579" w:type="dxa"/>
            <w:noWrap w:val="0"/>
            <w:vAlign w:val="center"/>
          </w:tcPr>
          <w:p>
            <w:pPr>
              <w:pStyle w:val="17"/>
              <w:spacing w:line="360" w:lineRule="auto"/>
              <w:rPr>
                <w:rFonts w:ascii="宋体" w:hAnsi="宋体" w:eastAsia="宋体" w:cs="宋体"/>
                <w:sz w:val="21"/>
                <w:szCs w:val="21"/>
              </w:rPr>
            </w:pPr>
          </w:p>
        </w:tc>
        <w:tc>
          <w:tcPr>
            <w:tcW w:w="1440" w:type="dxa"/>
            <w:noWrap w:val="0"/>
            <w:vAlign w:val="center"/>
          </w:tcPr>
          <w:p>
            <w:pPr>
              <w:pStyle w:val="17"/>
              <w:spacing w:line="360" w:lineRule="auto"/>
              <w:rPr>
                <w:rFonts w:ascii="宋体" w:hAnsi="宋体" w:eastAsia="宋体" w:cs="宋体"/>
                <w:sz w:val="21"/>
                <w:szCs w:val="21"/>
              </w:rPr>
            </w:pPr>
          </w:p>
        </w:tc>
        <w:tc>
          <w:tcPr>
            <w:tcW w:w="1706" w:type="dxa"/>
            <w:noWrap w:val="0"/>
            <w:vAlign w:val="center"/>
          </w:tcPr>
          <w:p>
            <w:pPr>
              <w:pStyle w:val="17"/>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17"/>
              <w:spacing w:line="360" w:lineRule="auto"/>
              <w:rPr>
                <w:rFonts w:ascii="宋体" w:hAnsi="宋体" w:eastAsia="宋体" w:cs="宋体"/>
                <w:sz w:val="21"/>
                <w:szCs w:val="21"/>
              </w:rPr>
            </w:pPr>
          </w:p>
        </w:tc>
        <w:tc>
          <w:tcPr>
            <w:tcW w:w="3579" w:type="dxa"/>
            <w:noWrap w:val="0"/>
            <w:vAlign w:val="center"/>
          </w:tcPr>
          <w:p>
            <w:pPr>
              <w:pStyle w:val="17"/>
              <w:spacing w:line="360" w:lineRule="auto"/>
              <w:rPr>
                <w:rFonts w:ascii="宋体" w:hAnsi="宋体" w:eastAsia="宋体" w:cs="宋体"/>
                <w:sz w:val="21"/>
                <w:szCs w:val="21"/>
              </w:rPr>
            </w:pPr>
          </w:p>
        </w:tc>
        <w:tc>
          <w:tcPr>
            <w:tcW w:w="1440" w:type="dxa"/>
            <w:noWrap w:val="0"/>
            <w:vAlign w:val="center"/>
          </w:tcPr>
          <w:p>
            <w:pPr>
              <w:pStyle w:val="17"/>
              <w:spacing w:line="360" w:lineRule="auto"/>
              <w:rPr>
                <w:rFonts w:ascii="宋体" w:hAnsi="宋体" w:eastAsia="宋体" w:cs="宋体"/>
                <w:sz w:val="21"/>
                <w:szCs w:val="21"/>
              </w:rPr>
            </w:pPr>
          </w:p>
        </w:tc>
        <w:tc>
          <w:tcPr>
            <w:tcW w:w="1706" w:type="dxa"/>
            <w:noWrap w:val="0"/>
            <w:vAlign w:val="center"/>
          </w:tcPr>
          <w:p>
            <w:pPr>
              <w:pStyle w:val="17"/>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7"/>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5</w:t>
      </w:r>
      <w:r>
        <w:rPr>
          <w:rFonts w:hint="eastAsia" w:ascii="宋体" w:hAnsi="宋体"/>
          <w:b/>
          <w:bCs/>
          <w:sz w:val="32"/>
          <w:szCs w:val="32"/>
        </w:rPr>
        <w:t xml:space="preserve">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6</w:t>
      </w:r>
      <w:r>
        <w:rPr>
          <w:rFonts w:hint="eastAsia" w:ascii="宋体" w:hAnsi="宋体"/>
          <w:b/>
          <w:bCs/>
          <w:sz w:val="32"/>
          <w:szCs w:val="32"/>
        </w:rPr>
        <w:t xml:space="preserve">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7</w:t>
      </w:r>
      <w:r>
        <w:rPr>
          <w:rFonts w:hint="eastAsia" w:ascii="宋体" w:hAnsi="宋体"/>
          <w:b/>
          <w:bCs/>
          <w:sz w:val="32"/>
          <w:szCs w:val="32"/>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w:t>
      </w:r>
      <w:r>
        <w:rPr>
          <w:rFonts w:hint="eastAsia" w:ascii="宋体" w:hAnsi="宋体"/>
          <w:b/>
          <w:bCs/>
          <w:color w:val="000000"/>
          <w:sz w:val="28"/>
          <w:szCs w:val="28"/>
          <w:lang w:eastAsia="zh-CN"/>
        </w:rPr>
        <w:t>磋商文件</w:t>
      </w:r>
      <w:r>
        <w:rPr>
          <w:rFonts w:hint="eastAsia" w:ascii="宋体" w:hAnsi="宋体"/>
          <w:b/>
          <w:bCs/>
          <w:color w:val="000000"/>
          <w:sz w:val="28"/>
          <w:szCs w:val="28"/>
        </w:rPr>
        <w:t>另有规定外，</w:t>
      </w:r>
      <w:r>
        <w:rPr>
          <w:rFonts w:hint="eastAsia" w:ascii="宋体" w:hAnsi="宋体"/>
          <w:b/>
          <w:bCs/>
          <w:color w:val="000000"/>
          <w:sz w:val="28"/>
          <w:szCs w:val="28"/>
          <w:lang w:eastAsia="zh-CN"/>
        </w:rPr>
        <w:t>供应商</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eastAsia="zh-CN"/>
        </w:rPr>
        <w:t>供应商</w:t>
      </w:r>
      <w:r>
        <w:rPr>
          <w:rFonts w:hint="eastAsia" w:ascii="宋体" w:hAnsi="宋体"/>
          <w:b/>
          <w:bCs/>
          <w:color w:val="000000"/>
          <w:sz w:val="28"/>
          <w:szCs w:val="28"/>
        </w:rPr>
        <w:t>的单位公章后应在此项下提交。</w:t>
      </w: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2517B"/>
    <w:multiLevelType w:val="singleLevel"/>
    <w:tmpl w:val="D0F2517B"/>
    <w:lvl w:ilvl="0" w:tentative="0">
      <w:start w:val="3"/>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2">
    <w:nsid w:val="2C6A7CBA"/>
    <w:multiLevelType w:val="singleLevel"/>
    <w:tmpl w:val="2C6A7CBA"/>
    <w:lvl w:ilvl="0" w:tentative="0">
      <w:start w:val="8"/>
      <w:numFmt w:val="decimal"/>
      <w:suff w:val="nothing"/>
      <w:lvlText w:val="（%1）"/>
      <w:lvlJc w:val="left"/>
    </w:lvl>
  </w:abstractNum>
  <w:abstractNum w:abstractNumId="3">
    <w:nsid w:val="59F817E8"/>
    <w:multiLevelType w:val="singleLevel"/>
    <w:tmpl w:val="59F817E8"/>
    <w:lvl w:ilvl="0" w:tentative="0">
      <w:start w:val="1"/>
      <w:numFmt w:val="chineseCounting"/>
      <w:pStyle w:val="124"/>
      <w:suff w:val="nothing"/>
      <w:lvlText w:val="%1、"/>
      <w:lvlJc w:val="left"/>
    </w:lvl>
  </w:abstractNum>
  <w:abstractNum w:abstractNumId="4">
    <w:nsid w:val="5B349C2F"/>
    <w:multiLevelType w:val="singleLevel"/>
    <w:tmpl w:val="5B349C2F"/>
    <w:lvl w:ilvl="0" w:tentative="0">
      <w:start w:val="2"/>
      <w:numFmt w:val="decimal"/>
      <w:suff w:val="nothing"/>
      <w:lvlText w:val="（%1）"/>
      <w:lvlJc w:val="left"/>
    </w:lvl>
  </w:abstractNum>
  <w:abstractNum w:abstractNumId="5">
    <w:nsid w:val="68F0CF0D"/>
    <w:multiLevelType w:val="singleLevel"/>
    <w:tmpl w:val="68F0CF0D"/>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0B405F"/>
    <w:rsid w:val="012C2953"/>
    <w:rsid w:val="01977891"/>
    <w:rsid w:val="01CC65ED"/>
    <w:rsid w:val="01EC3E90"/>
    <w:rsid w:val="01FB40D3"/>
    <w:rsid w:val="020E1A81"/>
    <w:rsid w:val="021D1CB0"/>
    <w:rsid w:val="02637302"/>
    <w:rsid w:val="03200295"/>
    <w:rsid w:val="033124A2"/>
    <w:rsid w:val="038A574A"/>
    <w:rsid w:val="03A569EC"/>
    <w:rsid w:val="03B92498"/>
    <w:rsid w:val="03EE0393"/>
    <w:rsid w:val="04214406"/>
    <w:rsid w:val="04B54A0D"/>
    <w:rsid w:val="04ED064B"/>
    <w:rsid w:val="050E411D"/>
    <w:rsid w:val="05352CCF"/>
    <w:rsid w:val="06096508"/>
    <w:rsid w:val="06222576"/>
    <w:rsid w:val="064C13A1"/>
    <w:rsid w:val="06DA22D0"/>
    <w:rsid w:val="06E96BF0"/>
    <w:rsid w:val="070457D8"/>
    <w:rsid w:val="071E365A"/>
    <w:rsid w:val="078801B7"/>
    <w:rsid w:val="07D9342B"/>
    <w:rsid w:val="080B4C41"/>
    <w:rsid w:val="08134AB0"/>
    <w:rsid w:val="08326375"/>
    <w:rsid w:val="08514A4D"/>
    <w:rsid w:val="08DD4532"/>
    <w:rsid w:val="08F33D56"/>
    <w:rsid w:val="09300B06"/>
    <w:rsid w:val="095D32EB"/>
    <w:rsid w:val="096E2339"/>
    <w:rsid w:val="09B131EA"/>
    <w:rsid w:val="09B30AD0"/>
    <w:rsid w:val="09C15C02"/>
    <w:rsid w:val="09ED0610"/>
    <w:rsid w:val="0A053D41"/>
    <w:rsid w:val="0A375EC4"/>
    <w:rsid w:val="0A8530D4"/>
    <w:rsid w:val="0A9E7CF1"/>
    <w:rsid w:val="0B5F3925"/>
    <w:rsid w:val="0BA63302"/>
    <w:rsid w:val="0BE90451"/>
    <w:rsid w:val="0C1E10EA"/>
    <w:rsid w:val="0C230DF6"/>
    <w:rsid w:val="0C430B50"/>
    <w:rsid w:val="0C6A07D3"/>
    <w:rsid w:val="0CCD7EC4"/>
    <w:rsid w:val="0D3B2579"/>
    <w:rsid w:val="0D3C2B42"/>
    <w:rsid w:val="0D441E2F"/>
    <w:rsid w:val="0D4C612B"/>
    <w:rsid w:val="0DBA2EC3"/>
    <w:rsid w:val="0DC2143C"/>
    <w:rsid w:val="0DE93979"/>
    <w:rsid w:val="0E0D7668"/>
    <w:rsid w:val="0E172295"/>
    <w:rsid w:val="0E35096D"/>
    <w:rsid w:val="0E4B63E2"/>
    <w:rsid w:val="0EB94E74"/>
    <w:rsid w:val="0F1F3AF7"/>
    <w:rsid w:val="0F4B48EC"/>
    <w:rsid w:val="0F4C41C0"/>
    <w:rsid w:val="0FC24482"/>
    <w:rsid w:val="105C0433"/>
    <w:rsid w:val="10CD3EDD"/>
    <w:rsid w:val="11074842"/>
    <w:rsid w:val="112C24FB"/>
    <w:rsid w:val="11397C8E"/>
    <w:rsid w:val="1143447F"/>
    <w:rsid w:val="11765524"/>
    <w:rsid w:val="11943BFC"/>
    <w:rsid w:val="11A8215F"/>
    <w:rsid w:val="12527D3F"/>
    <w:rsid w:val="12842AC7"/>
    <w:rsid w:val="12B72298"/>
    <w:rsid w:val="12F6691D"/>
    <w:rsid w:val="131B6383"/>
    <w:rsid w:val="13311FEB"/>
    <w:rsid w:val="13734411"/>
    <w:rsid w:val="13912AE9"/>
    <w:rsid w:val="1397559C"/>
    <w:rsid w:val="139A7BF0"/>
    <w:rsid w:val="13B80076"/>
    <w:rsid w:val="13E64BE3"/>
    <w:rsid w:val="13ED41C3"/>
    <w:rsid w:val="13F45919"/>
    <w:rsid w:val="141B23B3"/>
    <w:rsid w:val="14B940A6"/>
    <w:rsid w:val="15080B89"/>
    <w:rsid w:val="15227E9D"/>
    <w:rsid w:val="15233C15"/>
    <w:rsid w:val="154C316C"/>
    <w:rsid w:val="15604521"/>
    <w:rsid w:val="15D05B4B"/>
    <w:rsid w:val="170A508C"/>
    <w:rsid w:val="17740758"/>
    <w:rsid w:val="17C90AA4"/>
    <w:rsid w:val="17D411F6"/>
    <w:rsid w:val="17DE3E23"/>
    <w:rsid w:val="17F673BF"/>
    <w:rsid w:val="18003D99"/>
    <w:rsid w:val="18444FB3"/>
    <w:rsid w:val="1869193F"/>
    <w:rsid w:val="18A54590"/>
    <w:rsid w:val="18D3325C"/>
    <w:rsid w:val="19680B28"/>
    <w:rsid w:val="19874772"/>
    <w:rsid w:val="1AA03612"/>
    <w:rsid w:val="1ACF4F4E"/>
    <w:rsid w:val="1B724FAE"/>
    <w:rsid w:val="1B75684C"/>
    <w:rsid w:val="1BE52C27"/>
    <w:rsid w:val="1C0C5403"/>
    <w:rsid w:val="1C9B0E64"/>
    <w:rsid w:val="1CF2284B"/>
    <w:rsid w:val="1D007F39"/>
    <w:rsid w:val="1D774AFE"/>
    <w:rsid w:val="1DAA6C81"/>
    <w:rsid w:val="1DD72298"/>
    <w:rsid w:val="1E0D0FBE"/>
    <w:rsid w:val="1E390005"/>
    <w:rsid w:val="1E522E75"/>
    <w:rsid w:val="1E54724F"/>
    <w:rsid w:val="1E796654"/>
    <w:rsid w:val="1EBA28E9"/>
    <w:rsid w:val="1EC21DA9"/>
    <w:rsid w:val="1EE73F05"/>
    <w:rsid w:val="1F0C571A"/>
    <w:rsid w:val="1F182311"/>
    <w:rsid w:val="1FEE1856"/>
    <w:rsid w:val="200A1C59"/>
    <w:rsid w:val="20140D2A"/>
    <w:rsid w:val="20503157"/>
    <w:rsid w:val="205E3D53"/>
    <w:rsid w:val="20CA5074"/>
    <w:rsid w:val="20DD2ECA"/>
    <w:rsid w:val="20E06E5E"/>
    <w:rsid w:val="21470C8B"/>
    <w:rsid w:val="214C62A1"/>
    <w:rsid w:val="21A1039B"/>
    <w:rsid w:val="21B856E5"/>
    <w:rsid w:val="21C50A94"/>
    <w:rsid w:val="21F143D8"/>
    <w:rsid w:val="2205092A"/>
    <w:rsid w:val="222D66DE"/>
    <w:rsid w:val="22561186"/>
    <w:rsid w:val="226C6BFB"/>
    <w:rsid w:val="228D2360"/>
    <w:rsid w:val="22A31EF1"/>
    <w:rsid w:val="22AF0896"/>
    <w:rsid w:val="23062446"/>
    <w:rsid w:val="2309269C"/>
    <w:rsid w:val="23144B9D"/>
    <w:rsid w:val="235D7B3C"/>
    <w:rsid w:val="23623B5A"/>
    <w:rsid w:val="236E2BFE"/>
    <w:rsid w:val="23737B15"/>
    <w:rsid w:val="23C91E2B"/>
    <w:rsid w:val="23D9206E"/>
    <w:rsid w:val="23DF164F"/>
    <w:rsid w:val="23F549CE"/>
    <w:rsid w:val="24877D1C"/>
    <w:rsid w:val="24A843FE"/>
    <w:rsid w:val="24BE1264"/>
    <w:rsid w:val="24CF521F"/>
    <w:rsid w:val="25056E93"/>
    <w:rsid w:val="250F1AC0"/>
    <w:rsid w:val="253157EC"/>
    <w:rsid w:val="256911D0"/>
    <w:rsid w:val="25983863"/>
    <w:rsid w:val="25AE3087"/>
    <w:rsid w:val="25DE2368"/>
    <w:rsid w:val="25F413E1"/>
    <w:rsid w:val="264277FB"/>
    <w:rsid w:val="268D7140"/>
    <w:rsid w:val="26914E82"/>
    <w:rsid w:val="269F0C21"/>
    <w:rsid w:val="26AB0DC0"/>
    <w:rsid w:val="27082C6B"/>
    <w:rsid w:val="27277595"/>
    <w:rsid w:val="27400656"/>
    <w:rsid w:val="27402404"/>
    <w:rsid w:val="27BC1756"/>
    <w:rsid w:val="27F05BD9"/>
    <w:rsid w:val="281C0984"/>
    <w:rsid w:val="287B1BAB"/>
    <w:rsid w:val="2907142C"/>
    <w:rsid w:val="29325D7D"/>
    <w:rsid w:val="295201CD"/>
    <w:rsid w:val="29BB5D72"/>
    <w:rsid w:val="29D11A3A"/>
    <w:rsid w:val="29EA6657"/>
    <w:rsid w:val="2A0326A8"/>
    <w:rsid w:val="2A241B69"/>
    <w:rsid w:val="2A45420D"/>
    <w:rsid w:val="2B2362C5"/>
    <w:rsid w:val="2B3109E2"/>
    <w:rsid w:val="2B5C61FF"/>
    <w:rsid w:val="2B8C3E6A"/>
    <w:rsid w:val="2BAF7B59"/>
    <w:rsid w:val="2C3F2C8B"/>
    <w:rsid w:val="2C6223F8"/>
    <w:rsid w:val="2C923702"/>
    <w:rsid w:val="2D12214D"/>
    <w:rsid w:val="2DF656ED"/>
    <w:rsid w:val="2E2E1209"/>
    <w:rsid w:val="2E382ECE"/>
    <w:rsid w:val="2E4C168F"/>
    <w:rsid w:val="2E6C3ADF"/>
    <w:rsid w:val="2E975000"/>
    <w:rsid w:val="2EB1171F"/>
    <w:rsid w:val="2EBA2A9C"/>
    <w:rsid w:val="2ED31DB0"/>
    <w:rsid w:val="2F7B047E"/>
    <w:rsid w:val="3029612C"/>
    <w:rsid w:val="30446AC1"/>
    <w:rsid w:val="307F3F9D"/>
    <w:rsid w:val="30DA5678"/>
    <w:rsid w:val="310E0E7D"/>
    <w:rsid w:val="315216B2"/>
    <w:rsid w:val="31AD4B3A"/>
    <w:rsid w:val="31C15EBF"/>
    <w:rsid w:val="31DD6651"/>
    <w:rsid w:val="31E06CBE"/>
    <w:rsid w:val="31EC68A1"/>
    <w:rsid w:val="31F12C79"/>
    <w:rsid w:val="31F97D80"/>
    <w:rsid w:val="32785148"/>
    <w:rsid w:val="33387238"/>
    <w:rsid w:val="335A2AA0"/>
    <w:rsid w:val="335F00B6"/>
    <w:rsid w:val="337E22EA"/>
    <w:rsid w:val="342A4220"/>
    <w:rsid w:val="34865D22"/>
    <w:rsid w:val="34A71D15"/>
    <w:rsid w:val="34C12DD7"/>
    <w:rsid w:val="34D80120"/>
    <w:rsid w:val="350E769E"/>
    <w:rsid w:val="3538471B"/>
    <w:rsid w:val="35432BA8"/>
    <w:rsid w:val="357065AB"/>
    <w:rsid w:val="358B6F41"/>
    <w:rsid w:val="35956011"/>
    <w:rsid w:val="35AE2C2F"/>
    <w:rsid w:val="36201D7F"/>
    <w:rsid w:val="36301896"/>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DE7B13"/>
    <w:rsid w:val="3AE55345"/>
    <w:rsid w:val="3B0B24F1"/>
    <w:rsid w:val="3B4A33FA"/>
    <w:rsid w:val="3B7037DF"/>
    <w:rsid w:val="3B996735"/>
    <w:rsid w:val="3BB05953"/>
    <w:rsid w:val="3BC96A15"/>
    <w:rsid w:val="3BD038FF"/>
    <w:rsid w:val="3BE3384A"/>
    <w:rsid w:val="3C0D06AF"/>
    <w:rsid w:val="3CA52FDE"/>
    <w:rsid w:val="3CEF4259"/>
    <w:rsid w:val="3D0F2AA3"/>
    <w:rsid w:val="3D3305EA"/>
    <w:rsid w:val="3D510A70"/>
    <w:rsid w:val="3D5347E8"/>
    <w:rsid w:val="3DB34D06"/>
    <w:rsid w:val="3E3839DE"/>
    <w:rsid w:val="3E4405D4"/>
    <w:rsid w:val="3E7D0EBE"/>
    <w:rsid w:val="3EA461EF"/>
    <w:rsid w:val="3EB23790"/>
    <w:rsid w:val="3ECD4126"/>
    <w:rsid w:val="3F1B465A"/>
    <w:rsid w:val="3F3348D1"/>
    <w:rsid w:val="3F892743"/>
    <w:rsid w:val="3F9427EE"/>
    <w:rsid w:val="3FA7706D"/>
    <w:rsid w:val="3FE96673"/>
    <w:rsid w:val="3FF04570"/>
    <w:rsid w:val="400319B6"/>
    <w:rsid w:val="40414DCB"/>
    <w:rsid w:val="40662A84"/>
    <w:rsid w:val="4093139F"/>
    <w:rsid w:val="40A35A86"/>
    <w:rsid w:val="41140732"/>
    <w:rsid w:val="413761CE"/>
    <w:rsid w:val="41C07DA5"/>
    <w:rsid w:val="41DD6D76"/>
    <w:rsid w:val="42597579"/>
    <w:rsid w:val="4267663F"/>
    <w:rsid w:val="42764AD5"/>
    <w:rsid w:val="42C972FA"/>
    <w:rsid w:val="42DF267A"/>
    <w:rsid w:val="42F802DC"/>
    <w:rsid w:val="4303280C"/>
    <w:rsid w:val="430976F7"/>
    <w:rsid w:val="430A1DED"/>
    <w:rsid w:val="43B86229"/>
    <w:rsid w:val="43CF0940"/>
    <w:rsid w:val="43E048FB"/>
    <w:rsid w:val="44071E88"/>
    <w:rsid w:val="446E0159"/>
    <w:rsid w:val="44872FC9"/>
    <w:rsid w:val="45154A79"/>
    <w:rsid w:val="45172574"/>
    <w:rsid w:val="454B658D"/>
    <w:rsid w:val="45596713"/>
    <w:rsid w:val="45EF52CA"/>
    <w:rsid w:val="460743C1"/>
    <w:rsid w:val="460A3EB2"/>
    <w:rsid w:val="462C3E28"/>
    <w:rsid w:val="4633134E"/>
    <w:rsid w:val="465A6BE7"/>
    <w:rsid w:val="465B470D"/>
    <w:rsid w:val="468A6DA0"/>
    <w:rsid w:val="46D30747"/>
    <w:rsid w:val="46D324F5"/>
    <w:rsid w:val="475950F1"/>
    <w:rsid w:val="478630AD"/>
    <w:rsid w:val="479C4FDD"/>
    <w:rsid w:val="47B20A23"/>
    <w:rsid w:val="47F60B91"/>
    <w:rsid w:val="48401E0D"/>
    <w:rsid w:val="489932CB"/>
    <w:rsid w:val="489D2DBB"/>
    <w:rsid w:val="48C62A1D"/>
    <w:rsid w:val="49843F7B"/>
    <w:rsid w:val="498F6275"/>
    <w:rsid w:val="49FA2907"/>
    <w:rsid w:val="4A314103"/>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7505EE"/>
    <w:rsid w:val="4F822D0B"/>
    <w:rsid w:val="4FA62E9D"/>
    <w:rsid w:val="4FD23C92"/>
    <w:rsid w:val="4FF754A7"/>
    <w:rsid w:val="51281690"/>
    <w:rsid w:val="514F4930"/>
    <w:rsid w:val="518E5997"/>
    <w:rsid w:val="51BA2C30"/>
    <w:rsid w:val="51FD48CA"/>
    <w:rsid w:val="52A66D10"/>
    <w:rsid w:val="52F70215"/>
    <w:rsid w:val="53D578AD"/>
    <w:rsid w:val="53DC242E"/>
    <w:rsid w:val="54322F51"/>
    <w:rsid w:val="548B440F"/>
    <w:rsid w:val="54994D7E"/>
    <w:rsid w:val="54A43723"/>
    <w:rsid w:val="54A85124"/>
    <w:rsid w:val="54D77655"/>
    <w:rsid w:val="55561200"/>
    <w:rsid w:val="555E1B24"/>
    <w:rsid w:val="558A2919"/>
    <w:rsid w:val="559211FA"/>
    <w:rsid w:val="56170D8C"/>
    <w:rsid w:val="561A5A4B"/>
    <w:rsid w:val="56260894"/>
    <w:rsid w:val="563805C7"/>
    <w:rsid w:val="56B31638"/>
    <w:rsid w:val="56BA0FDC"/>
    <w:rsid w:val="580C3AB9"/>
    <w:rsid w:val="58144A64"/>
    <w:rsid w:val="58C5178D"/>
    <w:rsid w:val="58DE2AF2"/>
    <w:rsid w:val="592A3B46"/>
    <w:rsid w:val="5939268C"/>
    <w:rsid w:val="59460BB6"/>
    <w:rsid w:val="59605E6B"/>
    <w:rsid w:val="59AA5338"/>
    <w:rsid w:val="59EE791A"/>
    <w:rsid w:val="59F42A57"/>
    <w:rsid w:val="59F82547"/>
    <w:rsid w:val="5A132EDD"/>
    <w:rsid w:val="5A1A69AD"/>
    <w:rsid w:val="5A392BDA"/>
    <w:rsid w:val="5A9131AC"/>
    <w:rsid w:val="5AAE12D8"/>
    <w:rsid w:val="5AD3240B"/>
    <w:rsid w:val="5AD7215D"/>
    <w:rsid w:val="5B164F3F"/>
    <w:rsid w:val="5B174C4F"/>
    <w:rsid w:val="5B7D3075"/>
    <w:rsid w:val="5B95730F"/>
    <w:rsid w:val="5BC85F49"/>
    <w:rsid w:val="5C0F1DCA"/>
    <w:rsid w:val="5C25339C"/>
    <w:rsid w:val="5CC024CE"/>
    <w:rsid w:val="5CE62B2B"/>
    <w:rsid w:val="5D4B6E32"/>
    <w:rsid w:val="5D5061F6"/>
    <w:rsid w:val="5D526412"/>
    <w:rsid w:val="5DC15346"/>
    <w:rsid w:val="5DE30E18"/>
    <w:rsid w:val="5E202B40"/>
    <w:rsid w:val="5E68040A"/>
    <w:rsid w:val="5E940365"/>
    <w:rsid w:val="5EEC1F4F"/>
    <w:rsid w:val="5EFF6126"/>
    <w:rsid w:val="5F117C07"/>
    <w:rsid w:val="5F293A37"/>
    <w:rsid w:val="5F987AD8"/>
    <w:rsid w:val="60116111"/>
    <w:rsid w:val="601B6F8F"/>
    <w:rsid w:val="6020045A"/>
    <w:rsid w:val="60A056E7"/>
    <w:rsid w:val="60B60A66"/>
    <w:rsid w:val="61016185"/>
    <w:rsid w:val="61477910"/>
    <w:rsid w:val="616E56E0"/>
    <w:rsid w:val="618D5C6B"/>
    <w:rsid w:val="61926DDD"/>
    <w:rsid w:val="61BF7F8A"/>
    <w:rsid w:val="61C84EF5"/>
    <w:rsid w:val="62373E29"/>
    <w:rsid w:val="627666FF"/>
    <w:rsid w:val="62BF76E4"/>
    <w:rsid w:val="631F6D97"/>
    <w:rsid w:val="63332842"/>
    <w:rsid w:val="6361115D"/>
    <w:rsid w:val="63804284"/>
    <w:rsid w:val="64145D02"/>
    <w:rsid w:val="647C5B23"/>
    <w:rsid w:val="64BE01BC"/>
    <w:rsid w:val="651D5558"/>
    <w:rsid w:val="65402FF4"/>
    <w:rsid w:val="656071F2"/>
    <w:rsid w:val="65C21C5B"/>
    <w:rsid w:val="65CC6636"/>
    <w:rsid w:val="65D26342"/>
    <w:rsid w:val="65F77B57"/>
    <w:rsid w:val="666F3B91"/>
    <w:rsid w:val="66F45E44"/>
    <w:rsid w:val="672C7CD4"/>
    <w:rsid w:val="67E61C31"/>
    <w:rsid w:val="67FA1B80"/>
    <w:rsid w:val="67FF0F45"/>
    <w:rsid w:val="681C5653"/>
    <w:rsid w:val="683A1F7D"/>
    <w:rsid w:val="68A35D74"/>
    <w:rsid w:val="68B03FED"/>
    <w:rsid w:val="68C152E3"/>
    <w:rsid w:val="68E73BC7"/>
    <w:rsid w:val="69033BEF"/>
    <w:rsid w:val="698711F2"/>
    <w:rsid w:val="69C378AC"/>
    <w:rsid w:val="69E00902"/>
    <w:rsid w:val="6A324C3D"/>
    <w:rsid w:val="6A3C0964"/>
    <w:rsid w:val="6AA95198"/>
    <w:rsid w:val="6ABA55F7"/>
    <w:rsid w:val="6AC6114F"/>
    <w:rsid w:val="6B0F4D73"/>
    <w:rsid w:val="6B19056F"/>
    <w:rsid w:val="6B607F4C"/>
    <w:rsid w:val="6B824366"/>
    <w:rsid w:val="6BB87D88"/>
    <w:rsid w:val="6BFB6668"/>
    <w:rsid w:val="6C1B2D7D"/>
    <w:rsid w:val="6C8B2217"/>
    <w:rsid w:val="6D153520"/>
    <w:rsid w:val="6D6B5FA5"/>
    <w:rsid w:val="6D934609"/>
    <w:rsid w:val="6DA62AA7"/>
    <w:rsid w:val="6DF332FA"/>
    <w:rsid w:val="6E076CB0"/>
    <w:rsid w:val="6E22773B"/>
    <w:rsid w:val="6E7206C2"/>
    <w:rsid w:val="6E963862"/>
    <w:rsid w:val="6EFF61D9"/>
    <w:rsid w:val="6F7C2E7B"/>
    <w:rsid w:val="6FA911F4"/>
    <w:rsid w:val="6FAC3760"/>
    <w:rsid w:val="6FDD600F"/>
    <w:rsid w:val="6FDE7692"/>
    <w:rsid w:val="6FF46EB5"/>
    <w:rsid w:val="701B2694"/>
    <w:rsid w:val="704A2F79"/>
    <w:rsid w:val="706933FF"/>
    <w:rsid w:val="707806AF"/>
    <w:rsid w:val="707D38C7"/>
    <w:rsid w:val="70C1148D"/>
    <w:rsid w:val="70DD3DED"/>
    <w:rsid w:val="70E707C8"/>
    <w:rsid w:val="70F57389"/>
    <w:rsid w:val="71080E6A"/>
    <w:rsid w:val="7133147E"/>
    <w:rsid w:val="71542301"/>
    <w:rsid w:val="715E6CDC"/>
    <w:rsid w:val="717129E5"/>
    <w:rsid w:val="719A0CD3"/>
    <w:rsid w:val="71D13952"/>
    <w:rsid w:val="71D92806"/>
    <w:rsid w:val="71D945B4"/>
    <w:rsid w:val="7214383E"/>
    <w:rsid w:val="722515A8"/>
    <w:rsid w:val="7232592D"/>
    <w:rsid w:val="728409C4"/>
    <w:rsid w:val="72910035"/>
    <w:rsid w:val="72A20E4A"/>
    <w:rsid w:val="72A36EDC"/>
    <w:rsid w:val="72BD3ED6"/>
    <w:rsid w:val="731955B0"/>
    <w:rsid w:val="73487C44"/>
    <w:rsid w:val="739A7D73"/>
    <w:rsid w:val="73F959A5"/>
    <w:rsid w:val="740D6797"/>
    <w:rsid w:val="7429419B"/>
    <w:rsid w:val="7431385E"/>
    <w:rsid w:val="74A4534E"/>
    <w:rsid w:val="74A470FC"/>
    <w:rsid w:val="74A87419"/>
    <w:rsid w:val="74E30EB1"/>
    <w:rsid w:val="74FE6E49"/>
    <w:rsid w:val="754937FF"/>
    <w:rsid w:val="7592164A"/>
    <w:rsid w:val="75B07D22"/>
    <w:rsid w:val="75EB2B08"/>
    <w:rsid w:val="760342F6"/>
    <w:rsid w:val="76500BBD"/>
    <w:rsid w:val="7675230E"/>
    <w:rsid w:val="76962A74"/>
    <w:rsid w:val="76A2766B"/>
    <w:rsid w:val="76B01D10"/>
    <w:rsid w:val="771A36A5"/>
    <w:rsid w:val="77640DC4"/>
    <w:rsid w:val="77CA50CB"/>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601D17"/>
    <w:rsid w:val="7A6C5660"/>
    <w:rsid w:val="7A8F43AA"/>
    <w:rsid w:val="7ABD0F17"/>
    <w:rsid w:val="7AC35E02"/>
    <w:rsid w:val="7AC8166A"/>
    <w:rsid w:val="7B0609B4"/>
    <w:rsid w:val="7B0E1773"/>
    <w:rsid w:val="7B2A7C2F"/>
    <w:rsid w:val="7BA21EBB"/>
    <w:rsid w:val="7BB64ECC"/>
    <w:rsid w:val="7C413482"/>
    <w:rsid w:val="7C4B7BB6"/>
    <w:rsid w:val="7C5E4034"/>
    <w:rsid w:val="7CA51C63"/>
    <w:rsid w:val="7CB4634A"/>
    <w:rsid w:val="7CC31733"/>
    <w:rsid w:val="7CE0713F"/>
    <w:rsid w:val="7CE87DA1"/>
    <w:rsid w:val="7D23702C"/>
    <w:rsid w:val="7D605B8A"/>
    <w:rsid w:val="7D6E02A7"/>
    <w:rsid w:val="7DEE145B"/>
    <w:rsid w:val="7E582D05"/>
    <w:rsid w:val="7E742557"/>
    <w:rsid w:val="7EA85A3A"/>
    <w:rsid w:val="7EC108AA"/>
    <w:rsid w:val="7EED6215"/>
    <w:rsid w:val="7F201A75"/>
    <w:rsid w:val="7F8343DA"/>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8"/>
    <w:qFormat/>
    <w:uiPriority w:val="0"/>
    <w:pPr>
      <w:keepNext/>
      <w:keepLines/>
      <w:spacing w:before="260" w:after="260" w:line="416" w:lineRule="auto"/>
      <w:outlineLvl w:val="2"/>
    </w:pPr>
    <w:rPr>
      <w:b/>
      <w:bCs/>
      <w:sz w:val="32"/>
      <w:szCs w:val="32"/>
    </w:rPr>
  </w:style>
  <w:style w:type="paragraph" w:styleId="10">
    <w:name w:val="heading 4"/>
    <w:basedOn w:val="1"/>
    <w:next w:val="1"/>
    <w:link w:val="49"/>
    <w:qFormat/>
    <w:uiPriority w:val="0"/>
    <w:pPr>
      <w:keepNext/>
      <w:keepLines/>
      <w:spacing w:line="360" w:lineRule="auto"/>
      <w:outlineLvl w:val="3"/>
    </w:pPr>
    <w:rPr>
      <w:rFonts w:ascii="Arial" w:hAnsi="Arial"/>
      <w:b/>
      <w:bCs/>
      <w:szCs w:val="28"/>
    </w:rPr>
  </w:style>
  <w:style w:type="paragraph" w:styleId="11">
    <w:name w:val="heading 5"/>
    <w:basedOn w:val="1"/>
    <w:next w:val="1"/>
    <w:link w:val="50"/>
    <w:qFormat/>
    <w:uiPriority w:val="0"/>
    <w:pPr>
      <w:keepNext/>
      <w:keepLines/>
      <w:spacing w:before="280" w:after="290" w:line="376" w:lineRule="auto"/>
      <w:outlineLvl w:val="4"/>
    </w:pPr>
    <w:rPr>
      <w:b/>
      <w:bCs/>
      <w:sz w:val="28"/>
      <w:szCs w:val="28"/>
    </w:rPr>
  </w:style>
  <w:style w:type="paragraph" w:styleId="12">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2"/>
    <w:qFormat/>
    <w:uiPriority w:val="99"/>
    <w:pPr>
      <w:ind w:firstLine="420" w:firstLineChars="100"/>
    </w:pPr>
  </w:style>
  <w:style w:type="paragraph" w:styleId="3">
    <w:name w:val="Body Text"/>
    <w:basedOn w:val="1"/>
    <w:next w:val="4"/>
    <w:link w:val="59"/>
    <w:qFormat/>
    <w:uiPriority w:val="99"/>
    <w:pPr>
      <w:spacing w:after="120"/>
    </w:pPr>
    <w:rPr>
      <w:rFonts w:hint="eastAsia" w:hAnsi="宋体" w:cs="宋体"/>
      <w:szCs w:val="34"/>
    </w:r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link w:val="60"/>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7"/>
    <w:semiHidden/>
    <w:qFormat/>
    <w:uiPriority w:val="0"/>
    <w:pPr>
      <w:shd w:val="clear" w:color="auto" w:fill="000080"/>
    </w:pPr>
  </w:style>
  <w:style w:type="paragraph" w:styleId="19">
    <w:name w:val="annotation text"/>
    <w:basedOn w:val="1"/>
    <w:link w:val="55"/>
    <w:qFormat/>
    <w:uiPriority w:val="99"/>
    <w:pPr>
      <w:jc w:val="left"/>
    </w:pPr>
  </w:style>
  <w:style w:type="paragraph" w:styleId="20">
    <w:name w:val="Body Text 3"/>
    <w:basedOn w:val="1"/>
    <w:link w:val="64"/>
    <w:qFormat/>
    <w:uiPriority w:val="0"/>
    <w:rPr>
      <w:sz w:val="24"/>
    </w:rPr>
  </w:style>
  <w:style w:type="paragraph" w:styleId="21">
    <w:name w:val="toc 3"/>
    <w:basedOn w:val="1"/>
    <w:next w:val="1"/>
    <w:semiHidden/>
    <w:qFormat/>
    <w:uiPriority w:val="0"/>
    <w:pPr>
      <w:ind w:left="840" w:leftChars="400"/>
    </w:pPr>
  </w:style>
  <w:style w:type="paragraph" w:styleId="22">
    <w:name w:val="Plain Text"/>
    <w:basedOn w:val="1"/>
    <w:link w:val="68"/>
    <w:qFormat/>
    <w:uiPriority w:val="0"/>
    <w:rPr>
      <w:rFonts w:hAnsi="Courier New" w:cs="Courier New"/>
      <w:szCs w:val="21"/>
    </w:rPr>
  </w:style>
  <w:style w:type="paragraph" w:styleId="23">
    <w:name w:val="Date"/>
    <w:basedOn w:val="1"/>
    <w:next w:val="1"/>
    <w:link w:val="61"/>
    <w:qFormat/>
    <w:uiPriority w:val="99"/>
    <w:pPr>
      <w:ind w:left="100" w:leftChars="2500"/>
    </w:pPr>
  </w:style>
  <w:style w:type="paragraph" w:styleId="24">
    <w:name w:val="Body Text Indent 2"/>
    <w:basedOn w:val="1"/>
    <w:link w:val="65"/>
    <w:qFormat/>
    <w:uiPriority w:val="0"/>
    <w:pPr>
      <w:spacing w:after="120" w:line="480" w:lineRule="auto"/>
      <w:ind w:left="420" w:leftChars="200"/>
    </w:pPr>
  </w:style>
  <w:style w:type="paragraph" w:styleId="25">
    <w:name w:val="Balloon Text"/>
    <w:basedOn w:val="1"/>
    <w:link w:val="69"/>
    <w:qFormat/>
    <w:uiPriority w:val="99"/>
    <w:rPr>
      <w:sz w:val="18"/>
      <w:szCs w:val="18"/>
    </w:rPr>
  </w:style>
  <w:style w:type="paragraph" w:styleId="26">
    <w:name w:val="footer"/>
    <w:basedOn w:val="1"/>
    <w:link w:val="57"/>
    <w:qFormat/>
    <w:uiPriority w:val="99"/>
    <w:pPr>
      <w:tabs>
        <w:tab w:val="center" w:pos="4153"/>
        <w:tab w:val="right" w:pos="8306"/>
      </w:tabs>
      <w:snapToGrid w:val="0"/>
      <w:jc w:val="left"/>
    </w:pPr>
    <w:rPr>
      <w:sz w:val="18"/>
      <w:szCs w:val="18"/>
    </w:rPr>
  </w:style>
  <w:style w:type="paragraph" w:styleId="27">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6"/>
    <w:qFormat/>
    <w:uiPriority w:val="0"/>
    <w:pPr>
      <w:ind w:firstLine="420" w:firstLineChars="200"/>
    </w:pPr>
    <w:rPr>
      <w:rFonts w:hAnsi="宋体"/>
    </w:rPr>
  </w:style>
  <w:style w:type="paragraph" w:styleId="30">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9"/>
    <w:next w:val="19"/>
    <w:link w:val="123"/>
    <w:unhideWhenUsed/>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paragraph" w:customStyle="1" w:styleId="44">
    <w:name w:val="_Style 2"/>
    <w:basedOn w:val="1"/>
    <w:next w:val="1"/>
    <w:qFormat/>
    <w:uiPriority w:val="0"/>
    <w:pPr>
      <w:ind w:firstLine="420" w:firstLineChars="200"/>
    </w:pPr>
  </w:style>
  <w:style w:type="character" w:customStyle="1" w:styleId="45">
    <w:name w:val="信息标题 字符"/>
    <w:basedOn w:val="37"/>
    <w:link w:val="30"/>
    <w:qFormat/>
    <w:uiPriority w:val="0"/>
    <w:rPr>
      <w:rFonts w:ascii="Arial" w:hAnsi="Arial" w:cstheme="majorBidi"/>
      <w:sz w:val="24"/>
      <w:shd w:val="pct20" w:color="auto" w:fill="auto"/>
    </w:rPr>
  </w:style>
  <w:style w:type="character" w:customStyle="1" w:styleId="46">
    <w:name w:val="标题 1 字符"/>
    <w:basedOn w:val="37"/>
    <w:link w:val="7"/>
    <w:qFormat/>
    <w:uiPriority w:val="9"/>
    <w:rPr>
      <w:rFonts w:ascii="宋体" w:hAnsi="Times New Roman"/>
      <w:b/>
      <w:bCs/>
      <w:kern w:val="44"/>
      <w:sz w:val="44"/>
      <w:szCs w:val="44"/>
    </w:rPr>
  </w:style>
  <w:style w:type="character" w:customStyle="1" w:styleId="47">
    <w:name w:val="标题 2 字符"/>
    <w:link w:val="8"/>
    <w:qFormat/>
    <w:uiPriority w:val="0"/>
    <w:rPr>
      <w:rFonts w:ascii="Arial" w:hAnsi="Arial" w:eastAsia="黑体"/>
      <w:b/>
      <w:bCs/>
      <w:kern w:val="2"/>
      <w:sz w:val="32"/>
      <w:szCs w:val="32"/>
      <w:lang w:val="en-US" w:eastAsia="zh-CN" w:bidi="ar-SA"/>
    </w:rPr>
  </w:style>
  <w:style w:type="character" w:customStyle="1" w:styleId="48">
    <w:name w:val="标题 3 字符"/>
    <w:basedOn w:val="37"/>
    <w:link w:val="9"/>
    <w:qFormat/>
    <w:uiPriority w:val="0"/>
    <w:rPr>
      <w:rFonts w:ascii="宋体" w:hAnsi="Times New Roman"/>
      <w:b/>
      <w:bCs/>
      <w:sz w:val="32"/>
      <w:szCs w:val="32"/>
    </w:rPr>
  </w:style>
  <w:style w:type="character" w:customStyle="1" w:styleId="49">
    <w:name w:val="标题 4 字符"/>
    <w:basedOn w:val="37"/>
    <w:link w:val="10"/>
    <w:qFormat/>
    <w:uiPriority w:val="0"/>
    <w:rPr>
      <w:rFonts w:ascii="Arial" w:hAnsi="Arial"/>
      <w:b/>
      <w:bCs/>
      <w:sz w:val="34"/>
      <w:szCs w:val="28"/>
    </w:rPr>
  </w:style>
  <w:style w:type="character" w:customStyle="1" w:styleId="50">
    <w:name w:val="标题 5 字符"/>
    <w:basedOn w:val="37"/>
    <w:link w:val="11"/>
    <w:qFormat/>
    <w:uiPriority w:val="0"/>
    <w:rPr>
      <w:rFonts w:ascii="宋体" w:hAnsi="Times New Roman"/>
      <w:b/>
      <w:bCs/>
      <w:sz w:val="28"/>
      <w:szCs w:val="28"/>
    </w:rPr>
  </w:style>
  <w:style w:type="character" w:customStyle="1" w:styleId="51">
    <w:name w:val="标题 6 字符"/>
    <w:basedOn w:val="37"/>
    <w:link w:val="12"/>
    <w:qFormat/>
    <w:uiPriority w:val="0"/>
    <w:rPr>
      <w:rFonts w:ascii="Arial" w:hAnsi="Arial" w:eastAsia="黑体"/>
      <w:b/>
      <w:bCs/>
      <w:sz w:val="24"/>
    </w:rPr>
  </w:style>
  <w:style w:type="character" w:customStyle="1" w:styleId="52">
    <w:name w:val="标题 7 字符"/>
    <w:basedOn w:val="37"/>
    <w:link w:val="13"/>
    <w:qFormat/>
    <w:uiPriority w:val="0"/>
    <w:rPr>
      <w:rFonts w:ascii="宋体" w:hAnsi="Times New Roman"/>
      <w:b/>
      <w:bCs/>
      <w:sz w:val="24"/>
    </w:rPr>
  </w:style>
  <w:style w:type="character" w:customStyle="1" w:styleId="53">
    <w:name w:val="标题 8 字符"/>
    <w:basedOn w:val="37"/>
    <w:link w:val="14"/>
    <w:qFormat/>
    <w:uiPriority w:val="0"/>
    <w:rPr>
      <w:rFonts w:ascii="Arial" w:hAnsi="Arial" w:eastAsia="黑体"/>
      <w:sz w:val="24"/>
    </w:rPr>
  </w:style>
  <w:style w:type="character" w:customStyle="1" w:styleId="54">
    <w:name w:val="标题 9 字符"/>
    <w:basedOn w:val="37"/>
    <w:link w:val="15"/>
    <w:qFormat/>
    <w:uiPriority w:val="0"/>
    <w:rPr>
      <w:rFonts w:ascii="Arial" w:hAnsi="Arial" w:eastAsia="黑体"/>
      <w:sz w:val="34"/>
      <w:szCs w:val="21"/>
    </w:rPr>
  </w:style>
  <w:style w:type="character" w:customStyle="1" w:styleId="55">
    <w:name w:val="批注文字 字符"/>
    <w:basedOn w:val="37"/>
    <w:link w:val="19"/>
    <w:qFormat/>
    <w:uiPriority w:val="99"/>
    <w:rPr>
      <w:rFonts w:ascii="宋体" w:hAnsi="Times New Roman"/>
      <w:sz w:val="34"/>
    </w:rPr>
  </w:style>
  <w:style w:type="character" w:customStyle="1" w:styleId="56">
    <w:name w:val="页眉 字符"/>
    <w:basedOn w:val="37"/>
    <w:link w:val="27"/>
    <w:qFormat/>
    <w:uiPriority w:val="99"/>
    <w:rPr>
      <w:rFonts w:ascii="宋体"/>
      <w:sz w:val="18"/>
      <w:szCs w:val="18"/>
    </w:rPr>
  </w:style>
  <w:style w:type="character" w:customStyle="1" w:styleId="57">
    <w:name w:val="页脚 字符"/>
    <w:link w:val="26"/>
    <w:qFormat/>
    <w:uiPriority w:val="99"/>
    <w:rPr>
      <w:kern w:val="2"/>
      <w:sz w:val="18"/>
      <w:szCs w:val="18"/>
    </w:rPr>
  </w:style>
  <w:style w:type="character" w:customStyle="1" w:styleId="58">
    <w:name w:val="标题 字符"/>
    <w:basedOn w:val="37"/>
    <w:link w:val="33"/>
    <w:qFormat/>
    <w:uiPriority w:val="0"/>
    <w:rPr>
      <w:rFonts w:ascii="Arial" w:hAnsi="Arial"/>
      <w:b/>
      <w:sz w:val="32"/>
    </w:rPr>
  </w:style>
  <w:style w:type="character" w:customStyle="1" w:styleId="59">
    <w:name w:val="正文文本 字符"/>
    <w:basedOn w:val="37"/>
    <w:link w:val="3"/>
    <w:qFormat/>
    <w:uiPriority w:val="99"/>
    <w:rPr>
      <w:rFonts w:hint="eastAsia" w:ascii="宋体" w:hAnsi="宋体" w:eastAsia="宋体" w:cs="宋体"/>
      <w:sz w:val="34"/>
      <w:szCs w:val="34"/>
    </w:rPr>
  </w:style>
  <w:style w:type="character" w:customStyle="1" w:styleId="60">
    <w:name w:val="正文文本缩进 字符"/>
    <w:basedOn w:val="37"/>
    <w:link w:val="6"/>
    <w:qFormat/>
    <w:uiPriority w:val="0"/>
    <w:rPr>
      <w:rFonts w:ascii="宋体" w:hAnsi="Times New Roman"/>
      <w:sz w:val="34"/>
    </w:rPr>
  </w:style>
  <w:style w:type="character" w:customStyle="1" w:styleId="61">
    <w:name w:val="日期 字符"/>
    <w:basedOn w:val="37"/>
    <w:link w:val="23"/>
    <w:qFormat/>
    <w:uiPriority w:val="0"/>
    <w:rPr>
      <w:rFonts w:ascii="宋体" w:hAnsi="Times New Roman"/>
      <w:sz w:val="34"/>
    </w:rPr>
  </w:style>
  <w:style w:type="character" w:customStyle="1" w:styleId="62">
    <w:name w:val="正文文本首行缩进 字符"/>
    <w:basedOn w:val="59"/>
    <w:link w:val="2"/>
    <w:qFormat/>
    <w:uiPriority w:val="99"/>
    <w:rPr>
      <w:rFonts w:hint="eastAsia" w:ascii="宋体" w:hAnsi="宋体" w:eastAsia="宋体" w:cs="宋体"/>
      <w:sz w:val="34"/>
      <w:szCs w:val="34"/>
    </w:rPr>
  </w:style>
  <w:style w:type="character" w:customStyle="1" w:styleId="63">
    <w:name w:val="正文文本首行缩进 2 字符"/>
    <w:basedOn w:val="60"/>
    <w:link w:val="5"/>
    <w:qFormat/>
    <w:uiPriority w:val="0"/>
    <w:rPr>
      <w:rFonts w:ascii="仿宋_GB2312" w:hAnsi="仿宋_GB2312"/>
      <w:sz w:val="34"/>
      <w:szCs w:val="30"/>
      <w:lang w:eastAsia="en-US"/>
    </w:rPr>
  </w:style>
  <w:style w:type="character" w:customStyle="1" w:styleId="64">
    <w:name w:val="正文文本 3 字符"/>
    <w:basedOn w:val="37"/>
    <w:link w:val="20"/>
    <w:qFormat/>
    <w:uiPriority w:val="0"/>
    <w:rPr>
      <w:rFonts w:ascii="宋体" w:hAnsi="Times New Roman"/>
      <w:sz w:val="24"/>
    </w:rPr>
  </w:style>
  <w:style w:type="character" w:customStyle="1" w:styleId="65">
    <w:name w:val="正文文本缩进 2 字符"/>
    <w:basedOn w:val="37"/>
    <w:link w:val="24"/>
    <w:qFormat/>
    <w:uiPriority w:val="0"/>
    <w:rPr>
      <w:rFonts w:ascii="宋体" w:hAnsi="Times New Roman"/>
      <w:sz w:val="34"/>
    </w:rPr>
  </w:style>
  <w:style w:type="character" w:customStyle="1" w:styleId="66">
    <w:name w:val="正文文本缩进 3 字符"/>
    <w:basedOn w:val="37"/>
    <w:link w:val="29"/>
    <w:qFormat/>
    <w:uiPriority w:val="0"/>
    <w:rPr>
      <w:rFonts w:ascii="宋体" w:hAnsi="宋体"/>
      <w:sz w:val="34"/>
    </w:rPr>
  </w:style>
  <w:style w:type="character" w:customStyle="1" w:styleId="67">
    <w:name w:val="文档结构图 字符"/>
    <w:basedOn w:val="37"/>
    <w:link w:val="18"/>
    <w:semiHidden/>
    <w:qFormat/>
    <w:uiPriority w:val="0"/>
    <w:rPr>
      <w:rFonts w:ascii="宋体" w:hAnsi="Times New Roman"/>
      <w:sz w:val="34"/>
      <w:shd w:val="clear" w:color="auto" w:fill="000080"/>
    </w:rPr>
  </w:style>
  <w:style w:type="character" w:customStyle="1" w:styleId="68">
    <w:name w:val="纯文本 字符"/>
    <w:link w:val="22"/>
    <w:qFormat/>
    <w:uiPriority w:val="0"/>
    <w:rPr>
      <w:rFonts w:ascii="宋体" w:hAnsi="Courier New" w:eastAsia="宋体" w:cs="Courier New"/>
      <w:kern w:val="2"/>
      <w:sz w:val="21"/>
      <w:szCs w:val="21"/>
      <w:lang w:val="en-US" w:eastAsia="zh-CN" w:bidi="ar-SA"/>
    </w:rPr>
  </w:style>
  <w:style w:type="character" w:customStyle="1" w:styleId="69">
    <w:name w:val="批注框文本 字符"/>
    <w:basedOn w:val="37"/>
    <w:link w:val="25"/>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7"/>
    <w:qFormat/>
    <w:uiPriority w:val="0"/>
  </w:style>
  <w:style w:type="character" w:customStyle="1" w:styleId="72">
    <w:name w:val="textcontents"/>
    <w:basedOn w:val="37"/>
    <w:qFormat/>
    <w:uiPriority w:val="0"/>
  </w:style>
  <w:style w:type="character" w:customStyle="1" w:styleId="73">
    <w:name w:val="down"/>
    <w:qFormat/>
    <w:uiPriority w:val="0"/>
    <w:rPr>
      <w:shd w:val="clear" w:color="auto" w:fill="DAEEF9"/>
    </w:rPr>
  </w:style>
  <w:style w:type="character" w:customStyle="1" w:styleId="74">
    <w:name w:val="lsl"/>
    <w:basedOn w:val="37"/>
    <w:qFormat/>
    <w:uiPriority w:val="0"/>
  </w:style>
  <w:style w:type="character" w:customStyle="1" w:styleId="75">
    <w:name w:val="tit"/>
    <w:basedOn w:val="37"/>
    <w:qFormat/>
    <w:uiPriority w:val="0"/>
  </w:style>
  <w:style w:type="character" w:customStyle="1" w:styleId="76">
    <w:name w:val="sl"/>
    <w:basedOn w:val="37"/>
    <w:qFormat/>
    <w:uiPriority w:val="0"/>
  </w:style>
  <w:style w:type="character" w:customStyle="1" w:styleId="77">
    <w:name w:val="up"/>
    <w:basedOn w:val="37"/>
    <w:qFormat/>
    <w:uiPriority w:val="0"/>
  </w:style>
  <w:style w:type="character" w:customStyle="1" w:styleId="78">
    <w:name w:val="lsr"/>
    <w:basedOn w:val="37"/>
    <w:qFormat/>
    <w:uiPriority w:val="0"/>
  </w:style>
  <w:style w:type="character" w:customStyle="1" w:styleId="79">
    <w:name w:val="cpb"/>
    <w:qFormat/>
    <w:uiPriority w:val="0"/>
    <w:rPr>
      <w:color w:val="FFFFFF"/>
    </w:rPr>
  </w:style>
  <w:style w:type="character" w:customStyle="1" w:styleId="80">
    <w:name w:val="sr"/>
    <w:basedOn w:val="37"/>
    <w:qFormat/>
    <w:uiPriority w:val="0"/>
  </w:style>
  <w:style w:type="character" w:customStyle="1" w:styleId="81">
    <w:name w:val="apple-converted-space"/>
    <w:basedOn w:val="37"/>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qFormat/>
    <w:uiPriority w:val="0"/>
    <w:rPr>
      <w:rFonts w:hint="default" w:ascii="Times New Roman" w:hAnsi="Times New Roman" w:cs="Times New Roman"/>
      <w:color w:val="0000FF"/>
      <w:u w:val="single"/>
    </w:rPr>
  </w:style>
  <w:style w:type="character" w:customStyle="1" w:styleId="103">
    <w:name w:val="blue"/>
    <w:basedOn w:val="37"/>
    <w:qFormat/>
    <w:uiPriority w:val="0"/>
    <w:rPr>
      <w:color w:val="0371C6"/>
      <w:sz w:val="21"/>
      <w:szCs w:val="21"/>
    </w:rPr>
  </w:style>
  <w:style w:type="character" w:customStyle="1" w:styleId="104">
    <w:name w:val="gb-jt"/>
    <w:basedOn w:val="37"/>
    <w:qFormat/>
    <w:uiPriority w:val="0"/>
  </w:style>
  <w:style w:type="character" w:customStyle="1" w:styleId="105">
    <w:name w:val="red"/>
    <w:basedOn w:val="37"/>
    <w:qFormat/>
    <w:uiPriority w:val="0"/>
    <w:rPr>
      <w:color w:val="FF0000"/>
      <w:sz w:val="18"/>
      <w:szCs w:val="18"/>
    </w:rPr>
  </w:style>
  <w:style w:type="character" w:customStyle="1" w:styleId="106">
    <w:name w:val="red1"/>
    <w:basedOn w:val="37"/>
    <w:qFormat/>
    <w:uiPriority w:val="0"/>
    <w:rPr>
      <w:color w:val="FF0000"/>
      <w:sz w:val="18"/>
      <w:szCs w:val="18"/>
    </w:rPr>
  </w:style>
  <w:style w:type="character" w:customStyle="1" w:styleId="107">
    <w:name w:val="red2"/>
    <w:basedOn w:val="37"/>
    <w:qFormat/>
    <w:uiPriority w:val="0"/>
    <w:rPr>
      <w:color w:val="FF0000"/>
    </w:rPr>
  </w:style>
  <w:style w:type="character" w:customStyle="1" w:styleId="108">
    <w:name w:val="green"/>
    <w:basedOn w:val="37"/>
    <w:qFormat/>
    <w:uiPriority w:val="0"/>
    <w:rPr>
      <w:color w:val="66AE00"/>
      <w:sz w:val="18"/>
      <w:szCs w:val="18"/>
    </w:rPr>
  </w:style>
  <w:style w:type="character" w:customStyle="1" w:styleId="109">
    <w:name w:val="green1"/>
    <w:basedOn w:val="37"/>
    <w:qFormat/>
    <w:uiPriority w:val="0"/>
    <w:rPr>
      <w:color w:val="66AE00"/>
      <w:sz w:val="18"/>
      <w:szCs w:val="18"/>
    </w:rPr>
  </w:style>
  <w:style w:type="character" w:customStyle="1" w:styleId="110">
    <w:name w:val="hover25"/>
    <w:basedOn w:val="37"/>
    <w:qFormat/>
    <w:uiPriority w:val="0"/>
  </w:style>
  <w:style w:type="character" w:customStyle="1" w:styleId="111">
    <w:name w:val="right"/>
    <w:basedOn w:val="37"/>
    <w:qFormat/>
    <w:uiPriority w:val="0"/>
    <w:rPr>
      <w:color w:val="999999"/>
      <w:sz w:val="18"/>
      <w:szCs w:val="18"/>
    </w:rPr>
  </w:style>
  <w:style w:type="character" w:customStyle="1" w:styleId="112">
    <w:name w:val="hover"/>
    <w:basedOn w:val="37"/>
    <w:qFormat/>
    <w:uiPriority w:val="0"/>
  </w:style>
  <w:style w:type="character" w:customStyle="1" w:styleId="113">
    <w:name w:val="red3"/>
    <w:basedOn w:val="37"/>
    <w:qFormat/>
    <w:uiPriority w:val="0"/>
    <w:rPr>
      <w:color w:val="FF0000"/>
    </w:rPr>
  </w:style>
  <w:style w:type="character" w:customStyle="1" w:styleId="114">
    <w:name w:val="hover24"/>
    <w:basedOn w:val="37"/>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7"/>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7"/>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字符"/>
    <w:basedOn w:val="37"/>
    <w:link w:val="31"/>
    <w:qFormat/>
    <w:uiPriority w:val="99"/>
    <w:rPr>
      <w:rFonts w:ascii="宋体" w:hAnsi="宋体"/>
      <w:sz w:val="24"/>
      <w:szCs w:val="24"/>
    </w:rPr>
  </w:style>
  <w:style w:type="character" w:customStyle="1" w:styleId="123">
    <w:name w:val="批注主题 字符"/>
    <w:basedOn w:val="55"/>
    <w:link w:val="34"/>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7"/>
    <w:qFormat/>
    <w:uiPriority w:val="0"/>
    <w:rPr>
      <w:rFonts w:ascii="宋体" w:hAnsi="宋体" w:eastAsia="宋体" w:cs="宋体"/>
      <w:color w:val="000000"/>
      <w:sz w:val="24"/>
      <w:szCs w:val="24"/>
      <w:u w:val="none"/>
    </w:rPr>
  </w:style>
  <w:style w:type="character" w:customStyle="1" w:styleId="133">
    <w:name w:val="font0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65</Pages>
  <Words>33520</Words>
  <Characters>35683</Characters>
  <Lines>283</Lines>
  <Paragraphs>79</Paragraphs>
  <TotalTime>21</TotalTime>
  <ScaleCrop>false</ScaleCrop>
  <LinksUpToDate>false</LinksUpToDate>
  <CharactersWithSpaces>36479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八色花</cp:lastModifiedBy>
  <cp:lastPrinted>2023-01-11T03:39:11Z</cp:lastPrinted>
  <dcterms:modified xsi:type="dcterms:W3CDTF">2023-01-11T03:56:06Z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A60D89EA6F414293934A9DD5AFCDE1E0</vt:lpwstr>
  </property>
</Properties>
</file>