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EE157">
      <w:pPr>
        <w:spacing w:line="360" w:lineRule="auto"/>
        <w:jc w:val="center"/>
        <w:rPr>
          <w:rFonts w:asciiTheme="minorEastAsia" w:hAnsiTheme="minorEastAsia"/>
          <w:b/>
          <w:bCs/>
          <w:color w:val="auto"/>
          <w:sz w:val="44"/>
          <w:szCs w:val="44"/>
        </w:rPr>
      </w:pPr>
    </w:p>
    <w:p w14:paraId="6CCEDB11">
      <w:pPr>
        <w:spacing w:line="360" w:lineRule="auto"/>
        <w:jc w:val="center"/>
        <w:rPr>
          <w:rFonts w:asciiTheme="minorEastAsia" w:hAnsiTheme="minorEastAsia"/>
          <w:b/>
          <w:bCs/>
          <w:color w:val="auto"/>
          <w:sz w:val="44"/>
          <w:szCs w:val="44"/>
        </w:rPr>
      </w:pPr>
      <w:r>
        <w:rPr>
          <w:rFonts w:hint="eastAsia" w:asciiTheme="minorEastAsia" w:hAnsiTheme="minorEastAsia"/>
          <w:b/>
          <w:bCs/>
          <w:color w:val="auto"/>
          <w:sz w:val="44"/>
          <w:szCs w:val="44"/>
          <w:lang w:eastAsia="zh-CN"/>
        </w:rPr>
        <w:t>禹州市公路事业发展中心省道232禹州市顺店镇（西高庄）至神垕镇（北沟）段改建工程设计项目二次</w:t>
      </w:r>
      <w:r>
        <w:rPr>
          <w:rFonts w:hint="eastAsia" w:asciiTheme="minorEastAsia" w:hAnsiTheme="minorEastAsia"/>
          <w:b/>
          <w:bCs/>
          <w:color w:val="auto"/>
          <w:sz w:val="44"/>
          <w:szCs w:val="44"/>
        </w:rPr>
        <w:tab/>
      </w:r>
    </w:p>
    <w:p w14:paraId="55D3D2DA">
      <w:pPr>
        <w:spacing w:line="600" w:lineRule="exact"/>
        <w:ind w:firstLine="1325" w:firstLineChars="300"/>
        <w:rPr>
          <w:rFonts w:hint="eastAsia" w:eastAsiaTheme="minorEastAsia"/>
          <w:b/>
          <w:bCs/>
          <w:color w:val="auto"/>
          <w:sz w:val="44"/>
          <w:szCs w:val="44"/>
          <w:lang w:eastAsia="zh-CN"/>
        </w:rPr>
      </w:pPr>
      <w:r>
        <w:rPr>
          <w:rFonts w:hint="eastAsia" w:asciiTheme="minorEastAsia" w:hAnsiTheme="minorEastAsia"/>
          <w:b/>
          <w:bCs/>
          <w:color w:val="auto"/>
          <w:sz w:val="44"/>
          <w:szCs w:val="44"/>
          <w:lang w:val="en-US" w:eastAsia="zh-CN"/>
        </w:rPr>
        <w:t xml:space="preserve"> </w:t>
      </w:r>
    </w:p>
    <w:p w14:paraId="1B040796">
      <w:pPr>
        <w:spacing w:line="600" w:lineRule="exact"/>
        <w:jc w:val="center"/>
        <w:rPr>
          <w:b/>
          <w:bCs/>
          <w:color w:val="auto"/>
          <w:sz w:val="44"/>
          <w:szCs w:val="44"/>
        </w:rPr>
      </w:pPr>
    </w:p>
    <w:p w14:paraId="034FFB91">
      <w:pPr>
        <w:rPr>
          <w:rFonts w:ascii="微软简隶书" w:eastAsia="微软简隶书"/>
          <w:color w:val="auto"/>
        </w:rPr>
      </w:pPr>
    </w:p>
    <w:p w14:paraId="67CFE091">
      <w:pPr>
        <w:pStyle w:val="6"/>
        <w:ind w:left="420" w:firstLine="480"/>
        <w:rPr>
          <w:rFonts w:hint="default"/>
          <w:color w:val="auto"/>
          <w:lang w:eastAsia="zh-CN"/>
        </w:rPr>
      </w:pPr>
    </w:p>
    <w:p w14:paraId="4A0F3F94">
      <w:pPr>
        <w:rPr>
          <w:rFonts w:ascii="华文隶书" w:eastAsia="华文隶书"/>
          <w:bCs/>
          <w:color w:val="auto"/>
          <w:w w:val="90"/>
          <w:sz w:val="44"/>
          <w:szCs w:val="44"/>
        </w:rPr>
      </w:pPr>
    </w:p>
    <w:p w14:paraId="6A31B16F">
      <w:pPr>
        <w:jc w:val="center"/>
        <w:rPr>
          <w:rFonts w:ascii="宋体" w:hAnsi="宋体" w:eastAsia="宋体"/>
          <w:b/>
          <w:color w:val="auto"/>
          <w:w w:val="90"/>
          <w:sz w:val="80"/>
          <w:szCs w:val="80"/>
        </w:rPr>
      </w:pPr>
      <w:r>
        <w:rPr>
          <w:rFonts w:hint="eastAsia" w:ascii="宋体" w:hAnsi="宋体" w:eastAsia="宋体"/>
          <w:b/>
          <w:color w:val="auto"/>
          <w:w w:val="90"/>
          <w:sz w:val="80"/>
          <w:szCs w:val="80"/>
        </w:rPr>
        <w:t>竞争性谈判文件</w:t>
      </w:r>
    </w:p>
    <w:p w14:paraId="16E82805">
      <w:pPr>
        <w:rPr>
          <w:rFonts w:ascii="微软简隶书" w:eastAsia="微软简隶书"/>
          <w:color w:val="auto"/>
        </w:rPr>
      </w:pPr>
    </w:p>
    <w:p w14:paraId="212218F3">
      <w:pPr>
        <w:rPr>
          <w:rFonts w:ascii="微软简隶书" w:eastAsia="微软简隶书"/>
          <w:color w:val="auto"/>
        </w:rPr>
      </w:pPr>
    </w:p>
    <w:p w14:paraId="25871F97">
      <w:pPr>
        <w:rPr>
          <w:rFonts w:ascii="微软简隶书" w:eastAsia="微软简隶书"/>
          <w:color w:val="auto"/>
        </w:rPr>
      </w:pPr>
    </w:p>
    <w:p w14:paraId="0755ADA6">
      <w:pPr>
        <w:rPr>
          <w:rFonts w:ascii="微软简隶书" w:eastAsia="微软简隶书"/>
          <w:color w:val="auto"/>
        </w:rPr>
      </w:pPr>
    </w:p>
    <w:p w14:paraId="33DEC8B1">
      <w:pPr>
        <w:rPr>
          <w:rFonts w:ascii="微软简隶书" w:eastAsia="微软简隶书"/>
          <w:color w:val="auto"/>
        </w:rPr>
      </w:pPr>
    </w:p>
    <w:p w14:paraId="45EACAC2">
      <w:pPr>
        <w:pStyle w:val="2"/>
        <w:ind w:firstLine="340"/>
        <w:rPr>
          <w:color w:val="auto"/>
        </w:rPr>
      </w:pPr>
    </w:p>
    <w:p w14:paraId="3EE351B4">
      <w:pPr>
        <w:rPr>
          <w:rFonts w:ascii="微软简隶书" w:eastAsia="微软简隶书"/>
          <w:color w:val="auto"/>
        </w:rPr>
      </w:pPr>
    </w:p>
    <w:p w14:paraId="4E86BFE9">
      <w:pPr>
        <w:rPr>
          <w:rFonts w:ascii="微软简隶书" w:eastAsia="微软简隶书"/>
          <w:color w:val="auto"/>
        </w:rPr>
      </w:pPr>
    </w:p>
    <w:p w14:paraId="46981BA0">
      <w:pPr>
        <w:rPr>
          <w:rFonts w:ascii="微软简隶书" w:eastAsia="微软简隶书"/>
          <w:color w:val="auto"/>
        </w:rPr>
      </w:pPr>
    </w:p>
    <w:p w14:paraId="6C770521">
      <w:pPr>
        <w:spacing w:line="720" w:lineRule="auto"/>
        <w:ind w:firstLine="1446" w:firstLineChars="400"/>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项目编号：YZCG-</w:t>
      </w:r>
      <w:r>
        <w:rPr>
          <w:rFonts w:ascii="宋体" w:hAnsi="宋体" w:eastAsia="宋体" w:cstheme="majorEastAsia"/>
          <w:b/>
          <w:bCs/>
          <w:color w:val="auto"/>
          <w:sz w:val="36"/>
          <w:szCs w:val="36"/>
        </w:rPr>
        <w:t>DLT</w:t>
      </w:r>
      <w:r>
        <w:rPr>
          <w:rFonts w:hint="eastAsia" w:ascii="宋体" w:hAnsi="宋体" w:eastAsia="宋体" w:cstheme="majorEastAsia"/>
          <w:b/>
          <w:bCs/>
          <w:color w:val="auto"/>
          <w:sz w:val="36"/>
          <w:szCs w:val="36"/>
        </w:rPr>
        <w:t>202</w:t>
      </w:r>
      <w:r>
        <w:rPr>
          <w:rFonts w:hint="eastAsia" w:ascii="宋体" w:hAnsi="宋体" w:eastAsia="宋体" w:cstheme="majorEastAsia"/>
          <w:b/>
          <w:bCs/>
          <w:color w:val="auto"/>
          <w:sz w:val="36"/>
          <w:szCs w:val="36"/>
          <w:lang w:val="en-US" w:eastAsia="zh-CN"/>
        </w:rPr>
        <w:t xml:space="preserve">5055-1 </w:t>
      </w:r>
    </w:p>
    <w:p w14:paraId="79BE91E8">
      <w:pPr>
        <w:spacing w:line="720" w:lineRule="auto"/>
        <w:ind w:firstLine="1446" w:firstLineChars="400"/>
        <w:jc w:val="left"/>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采购单位：禹州市公路事业发展中心</w:t>
      </w:r>
    </w:p>
    <w:p w14:paraId="6E2CFADC">
      <w:pPr>
        <w:tabs>
          <w:tab w:val="left" w:pos="8132"/>
        </w:tabs>
        <w:spacing w:line="720" w:lineRule="auto"/>
        <w:ind w:firstLine="1446" w:firstLineChars="400"/>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代理机构：天勤工程咨询有限公司</w:t>
      </w:r>
      <w:r>
        <w:rPr>
          <w:rFonts w:ascii="宋体" w:hAnsi="宋体" w:eastAsia="宋体" w:cstheme="majorEastAsia"/>
          <w:b/>
          <w:bCs/>
          <w:color w:val="auto"/>
          <w:sz w:val="36"/>
          <w:szCs w:val="36"/>
        </w:rPr>
        <w:tab/>
      </w:r>
    </w:p>
    <w:p w14:paraId="79816E51">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二〇二</w:t>
      </w:r>
      <w:r>
        <w:rPr>
          <w:rFonts w:hint="eastAsia" w:asciiTheme="majorEastAsia" w:hAnsiTheme="majorEastAsia" w:eastAsiaTheme="majorEastAsia" w:cstheme="majorEastAsia"/>
          <w:b/>
          <w:bCs/>
          <w:color w:val="auto"/>
          <w:sz w:val="36"/>
          <w:szCs w:val="36"/>
          <w:lang w:val="en-US" w:eastAsia="zh-CN"/>
        </w:rPr>
        <w:t>五</w:t>
      </w:r>
      <w:r>
        <w:rPr>
          <w:rFonts w:hint="eastAsia" w:asciiTheme="majorEastAsia" w:hAnsiTheme="majorEastAsia" w:eastAsiaTheme="majorEastAsia" w:cstheme="majorEastAsia"/>
          <w:b/>
          <w:bCs/>
          <w:color w:val="auto"/>
          <w:sz w:val="36"/>
          <w:szCs w:val="36"/>
        </w:rPr>
        <w:t>年</w:t>
      </w:r>
      <w:r>
        <w:rPr>
          <w:rFonts w:hint="eastAsia" w:asciiTheme="majorEastAsia" w:hAnsiTheme="majorEastAsia" w:eastAsiaTheme="majorEastAsia" w:cstheme="majorEastAsia"/>
          <w:b/>
          <w:bCs/>
          <w:color w:val="auto"/>
          <w:sz w:val="36"/>
          <w:szCs w:val="36"/>
          <w:lang w:val="en-US" w:eastAsia="zh-CN"/>
        </w:rPr>
        <w:t>九</w:t>
      </w:r>
      <w:r>
        <w:rPr>
          <w:rFonts w:hint="eastAsia" w:asciiTheme="majorEastAsia" w:hAnsiTheme="majorEastAsia" w:eastAsiaTheme="majorEastAsia" w:cstheme="majorEastAsia"/>
          <w:b/>
          <w:bCs/>
          <w:color w:val="auto"/>
          <w:sz w:val="36"/>
          <w:szCs w:val="36"/>
        </w:rPr>
        <w:t>月</w:t>
      </w:r>
    </w:p>
    <w:p w14:paraId="588F8AED">
      <w:pPr>
        <w:autoSpaceDE w:val="0"/>
        <w:autoSpaceDN w:val="0"/>
        <w:adjustRightInd w:val="0"/>
        <w:spacing w:line="700" w:lineRule="exact"/>
        <w:rPr>
          <w:rFonts w:cs="黑体" w:asciiTheme="minorEastAsia" w:hAnsiTheme="minorEastAsia"/>
          <w:b/>
          <w:bCs/>
          <w:color w:val="auto"/>
          <w:sz w:val="44"/>
          <w:szCs w:val="44"/>
          <w:lang w:val="zh-CN"/>
        </w:rPr>
        <w:sectPr>
          <w:pgSz w:w="11906" w:h="16838"/>
          <w:pgMar w:top="1474" w:right="1531" w:bottom="1418" w:left="1531" w:header="851" w:footer="992" w:gutter="0"/>
          <w:pgNumType w:start="1"/>
          <w:cols w:space="425" w:num="1"/>
          <w:docGrid w:type="lines" w:linePitch="312" w:charSpace="0"/>
        </w:sectPr>
      </w:pPr>
    </w:p>
    <w:p w14:paraId="2B0B7584">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14:paraId="05BC1D0E">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谈判邀请</w:t>
      </w:r>
    </w:p>
    <w:p w14:paraId="31BCF3B1">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14:paraId="5B88D7A4">
      <w:pPr>
        <w:tabs>
          <w:tab w:val="left" w:pos="7013"/>
        </w:tabs>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r>
        <w:rPr>
          <w:rFonts w:hint="eastAsia" w:asciiTheme="majorEastAsia" w:hAnsiTheme="majorEastAsia" w:eastAsiaTheme="majorEastAsia" w:cstheme="majorEastAsia"/>
          <w:b/>
          <w:color w:val="auto"/>
          <w:kern w:val="0"/>
          <w:sz w:val="32"/>
          <w:szCs w:val="32"/>
        </w:rPr>
        <w:tab/>
      </w:r>
    </w:p>
    <w:p w14:paraId="7E244740">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14:paraId="3A0AA82B">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14:paraId="1589DD63">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14:paraId="460E7C23">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14:paraId="622A98FC">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14:paraId="2691C908">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五、谈判和评审</w:t>
      </w:r>
    </w:p>
    <w:p w14:paraId="5913C3E0">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14:paraId="13F9AA04">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14:paraId="2D771D19">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资格审查与评审</w:t>
      </w:r>
    </w:p>
    <w:p w14:paraId="002B73FE">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14:paraId="51C058B4">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14:paraId="53496DB5">
      <w:pPr>
        <w:pStyle w:val="39"/>
        <w:rPr>
          <w:rFonts w:asciiTheme="majorEastAsia" w:hAnsiTheme="majorEastAsia" w:eastAsiaTheme="majorEastAsia" w:cstheme="majorEastAsia"/>
          <w:b/>
          <w:color w:val="auto"/>
          <w:sz w:val="32"/>
          <w:szCs w:val="32"/>
        </w:rPr>
      </w:pPr>
    </w:p>
    <w:p w14:paraId="3A51E04A">
      <w:pPr>
        <w:pStyle w:val="39"/>
        <w:rPr>
          <w:rFonts w:asciiTheme="majorEastAsia" w:hAnsiTheme="majorEastAsia" w:eastAsiaTheme="majorEastAsia" w:cstheme="majorEastAsia"/>
          <w:b/>
          <w:color w:val="auto"/>
          <w:sz w:val="32"/>
          <w:szCs w:val="32"/>
        </w:rPr>
      </w:pPr>
    </w:p>
    <w:p w14:paraId="5331937D">
      <w:pPr>
        <w:pStyle w:val="39"/>
        <w:rPr>
          <w:rFonts w:asciiTheme="majorEastAsia" w:hAnsiTheme="majorEastAsia" w:eastAsiaTheme="majorEastAsia" w:cstheme="majorEastAsia"/>
          <w:b/>
          <w:color w:val="auto"/>
          <w:sz w:val="32"/>
          <w:szCs w:val="32"/>
        </w:rPr>
      </w:pPr>
    </w:p>
    <w:p w14:paraId="23477534">
      <w:pPr>
        <w:pStyle w:val="39"/>
        <w:rPr>
          <w:rFonts w:asciiTheme="majorEastAsia" w:hAnsiTheme="majorEastAsia" w:eastAsiaTheme="majorEastAsia" w:cstheme="majorEastAsia"/>
          <w:b/>
          <w:color w:val="auto"/>
          <w:sz w:val="32"/>
          <w:szCs w:val="32"/>
        </w:rPr>
      </w:pPr>
    </w:p>
    <w:p w14:paraId="56266952">
      <w:pPr>
        <w:pStyle w:val="39"/>
        <w:rPr>
          <w:rFonts w:asciiTheme="majorEastAsia" w:hAnsiTheme="majorEastAsia" w:eastAsiaTheme="majorEastAsia" w:cstheme="majorEastAsia"/>
          <w:b/>
          <w:color w:val="auto"/>
          <w:sz w:val="32"/>
          <w:szCs w:val="32"/>
        </w:rPr>
      </w:pPr>
    </w:p>
    <w:p w14:paraId="74BCCEAE">
      <w:pPr>
        <w:pStyle w:val="39"/>
        <w:rPr>
          <w:rFonts w:asciiTheme="majorEastAsia" w:hAnsiTheme="majorEastAsia" w:eastAsiaTheme="majorEastAsia" w:cstheme="majorEastAsia"/>
          <w:b/>
          <w:color w:val="auto"/>
          <w:sz w:val="32"/>
          <w:szCs w:val="32"/>
        </w:rPr>
      </w:pPr>
    </w:p>
    <w:p w14:paraId="79E466D9">
      <w:pPr>
        <w:pStyle w:val="39"/>
        <w:rPr>
          <w:rFonts w:asciiTheme="majorEastAsia" w:hAnsiTheme="majorEastAsia" w:eastAsiaTheme="majorEastAsia" w:cstheme="majorEastAsia"/>
          <w:b/>
          <w:color w:val="auto"/>
          <w:sz w:val="32"/>
          <w:szCs w:val="32"/>
        </w:rPr>
      </w:pPr>
    </w:p>
    <w:p w14:paraId="3E530A90">
      <w:pPr>
        <w:numPr>
          <w:ilvl w:val="0"/>
          <w:numId w:val="4"/>
        </w:num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谈判邀请</w:t>
      </w:r>
    </w:p>
    <w:p w14:paraId="4379E3C5">
      <w:pPr>
        <w:spacing w:line="440" w:lineRule="exact"/>
        <w:jc w:val="center"/>
        <w:rPr>
          <w:rFonts w:hint="eastAsia" w:asciiTheme="majorEastAsia" w:hAnsiTheme="majorEastAsia" w:eastAsiaTheme="majorEastAsia" w:cstheme="majorEastAsia"/>
          <w:b/>
          <w:color w:val="auto"/>
          <w:spacing w:val="-6"/>
          <w:sz w:val="24"/>
          <w:szCs w:val="24"/>
          <w:lang w:eastAsia="zh-CN"/>
        </w:rPr>
      </w:pPr>
      <w:r>
        <w:rPr>
          <w:rFonts w:hint="eastAsia" w:asciiTheme="majorEastAsia" w:hAnsiTheme="majorEastAsia" w:eastAsiaTheme="majorEastAsia" w:cstheme="majorEastAsia"/>
          <w:b/>
          <w:color w:val="auto"/>
          <w:spacing w:val="-6"/>
          <w:sz w:val="24"/>
          <w:szCs w:val="24"/>
          <w:lang w:eastAsia="zh-CN"/>
        </w:rPr>
        <w:t>禹州市公路事业发展中心省道232禹州市顺店镇（西高庄）至神垕镇（北沟）段改建工程设计项目二次</w:t>
      </w:r>
    </w:p>
    <w:p w14:paraId="1174359E">
      <w:pPr>
        <w:spacing w:line="440" w:lineRule="exact"/>
        <w:jc w:val="center"/>
        <w:rPr>
          <w:rFonts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竞争性谈判公告</w:t>
      </w:r>
    </w:p>
    <w:p w14:paraId="4A4C56B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天勤工程咨询有限公司受</w:t>
      </w:r>
      <w:r>
        <w:rPr>
          <w:rFonts w:hint="eastAsia" w:ascii="宋体" w:hAnsi="宋体" w:eastAsia="宋体" w:cs="仿宋_GB2312"/>
          <w:color w:val="auto"/>
          <w:szCs w:val="21"/>
        </w:rPr>
        <w:t>禹州市公路事业发展中心</w:t>
      </w:r>
      <w:r>
        <w:rPr>
          <w:rFonts w:hint="eastAsia" w:ascii="宋体" w:hAnsi="宋体" w:eastAsia="宋体" w:cs="仿宋_GB2312"/>
          <w:color w:val="auto"/>
          <w:szCs w:val="21"/>
          <w:lang w:val="zh-CN"/>
        </w:rPr>
        <w:t>的委托，就“</w:t>
      </w:r>
      <w:r>
        <w:rPr>
          <w:rFonts w:hint="eastAsia" w:ascii="宋体" w:hAnsi="宋体" w:eastAsia="宋体" w:cs="仿宋_GB2312"/>
          <w:color w:val="auto"/>
          <w:szCs w:val="21"/>
          <w:lang w:eastAsia="zh-CN"/>
        </w:rPr>
        <w:t>禹州市公路事业发展中心省道232禹州市顺店镇（西高庄）至神垕镇（北沟）段改建工程设计项目二次</w:t>
      </w:r>
      <w:r>
        <w:rPr>
          <w:rFonts w:hint="eastAsia" w:ascii="宋体" w:hAnsi="宋体" w:eastAsia="宋体" w:cs="仿宋_GB2312"/>
          <w:color w:val="auto"/>
          <w:szCs w:val="21"/>
          <w:lang w:val="zh-CN"/>
        </w:rPr>
        <w:t>”进行竞争性谈判，欢迎合格的投标商前来投标。</w:t>
      </w:r>
    </w:p>
    <w:p w14:paraId="3E336EF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14:paraId="7B64ABA5">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 购 人：</w:t>
      </w:r>
      <w:r>
        <w:rPr>
          <w:rFonts w:hint="eastAsia" w:ascii="宋体" w:hAnsi="宋体" w:eastAsia="宋体" w:cs="仿宋_GB2312"/>
          <w:color w:val="auto"/>
          <w:szCs w:val="21"/>
        </w:rPr>
        <w:t>禹州市公路事业发展中心</w:t>
      </w:r>
    </w:p>
    <w:p w14:paraId="22320833">
      <w:pPr>
        <w:wordWrap w:val="0"/>
        <w:spacing w:line="360" w:lineRule="auto"/>
        <w:ind w:firstLine="420" w:firstLineChars="200"/>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项目名称：</w:t>
      </w:r>
      <w:r>
        <w:rPr>
          <w:rFonts w:hint="eastAsia" w:ascii="宋体" w:hAnsi="宋体" w:eastAsia="宋体" w:cs="仿宋_GB2312"/>
          <w:color w:val="auto"/>
          <w:szCs w:val="21"/>
          <w:lang w:eastAsia="zh-CN"/>
        </w:rPr>
        <w:t>禹州市公路事业发展中心省道232禹州市顺店镇（西高庄）至神垕镇（北沟）段改建工程设计项目二次</w:t>
      </w:r>
    </w:p>
    <w:p w14:paraId="46B3D758">
      <w:pPr>
        <w:wordWrap w:val="0"/>
        <w:spacing w:line="360" w:lineRule="auto"/>
        <w:ind w:firstLine="420" w:firstLineChars="200"/>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采购编号：YZCG-DLT202</w:t>
      </w:r>
      <w:r>
        <w:rPr>
          <w:rFonts w:hint="eastAsia" w:ascii="宋体" w:hAnsi="宋体" w:eastAsia="宋体" w:cs="仿宋_GB2312"/>
          <w:color w:val="auto"/>
          <w:szCs w:val="21"/>
        </w:rPr>
        <w:t>5</w:t>
      </w:r>
      <w:r>
        <w:rPr>
          <w:rFonts w:hint="eastAsia" w:ascii="宋体" w:hAnsi="宋体" w:eastAsia="宋体" w:cs="仿宋_GB2312"/>
          <w:color w:val="auto"/>
          <w:szCs w:val="21"/>
          <w:lang w:val="en-US" w:eastAsia="zh-CN"/>
        </w:rPr>
        <w:t xml:space="preserve">055-1 </w:t>
      </w:r>
    </w:p>
    <w:p w14:paraId="6326047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4</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需求：路线起点位于禹州市顺店镇西高庄南，沿原路向南，经柳林、陈南至文殊镇，经皂角坪、老君垌、泉沟至神垕镇，终点位于神垕镇北沟与禹神快速通道交汇处，路线全长12.630公里。采用双向两车道二级公路建设标准，设计速度60公里/小时。路基宽度9.5米，路面宽度8.5米，沥青混凝土路面。</w:t>
      </w:r>
      <w:r>
        <w:rPr>
          <w:rFonts w:hint="eastAsia" w:ascii="宋体" w:hAnsi="宋体" w:eastAsia="宋体" w:cs="仿宋_GB2312"/>
          <w:color w:val="auto"/>
          <w:szCs w:val="21"/>
        </w:rPr>
        <w:t>（详见谈判文件）</w:t>
      </w:r>
    </w:p>
    <w:p w14:paraId="30621C9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5</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采购预算：</w:t>
      </w:r>
      <w:bookmarkStart w:id="0" w:name="OLE_LINK8"/>
      <w:r>
        <w:rPr>
          <w:rFonts w:hint="eastAsia" w:ascii="宋体" w:hAnsi="宋体" w:eastAsia="宋体" w:cs="仿宋_GB2312"/>
          <w:color w:val="auto"/>
          <w:szCs w:val="21"/>
          <w:lang w:val="en-US" w:eastAsia="zh-CN"/>
        </w:rPr>
        <w:t>490700.00</w:t>
      </w:r>
      <w:r>
        <w:rPr>
          <w:rFonts w:hint="eastAsia" w:ascii="宋体" w:hAnsi="宋体" w:eastAsia="宋体" w:cs="仿宋_GB2312"/>
          <w:color w:val="auto"/>
          <w:szCs w:val="21"/>
        </w:rPr>
        <w:t>元</w:t>
      </w:r>
      <w:bookmarkEnd w:id="0"/>
      <w:r>
        <w:rPr>
          <w:rFonts w:hint="eastAsia" w:ascii="宋体" w:hAnsi="宋体" w:eastAsia="宋体" w:cs="仿宋_GB2312"/>
          <w:color w:val="auto"/>
          <w:szCs w:val="21"/>
          <w:lang w:val="zh-CN"/>
        </w:rPr>
        <w:t>；</w:t>
      </w:r>
    </w:p>
    <w:p w14:paraId="65EBD97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6</w:t>
      </w:r>
      <w:r>
        <w:rPr>
          <w:rFonts w:hint="eastAsia" w:ascii="宋体" w:hAnsi="宋体" w:eastAsia="宋体" w:cs="仿宋_GB2312"/>
          <w:color w:val="auto"/>
          <w:szCs w:val="21"/>
        </w:rPr>
        <w:t>.合同履行期限：</w:t>
      </w:r>
      <w:bookmarkStart w:id="1" w:name="OLE_LINK1"/>
      <w:r>
        <w:rPr>
          <w:rFonts w:hint="eastAsia" w:ascii="宋体" w:hAnsi="宋体" w:eastAsia="宋体" w:cs="仿宋_GB2312"/>
          <w:color w:val="auto"/>
          <w:szCs w:val="21"/>
          <w:lang w:val="zh-CN"/>
        </w:rPr>
        <w:t>合同签订后</w:t>
      </w:r>
      <w:r>
        <w:rPr>
          <w:rFonts w:hint="eastAsia" w:ascii="宋体" w:hAnsi="宋体" w:eastAsia="宋体" w:cs="仿宋_GB2312"/>
          <w:color w:val="auto"/>
          <w:szCs w:val="21"/>
          <w:lang w:val="en-US" w:eastAsia="zh-CN"/>
        </w:rPr>
        <w:t>15</w:t>
      </w:r>
      <w:r>
        <w:rPr>
          <w:rFonts w:hint="eastAsia" w:ascii="宋体" w:hAnsi="宋体" w:eastAsia="宋体" w:cs="仿宋_GB2312"/>
          <w:color w:val="auto"/>
          <w:szCs w:val="21"/>
          <w:lang w:val="zh-CN"/>
        </w:rPr>
        <w:t>日历天内</w:t>
      </w:r>
      <w:r>
        <w:rPr>
          <w:rFonts w:hint="eastAsia" w:ascii="宋体" w:hAnsi="宋体" w:eastAsia="宋体" w:cs="仿宋_GB2312"/>
          <w:color w:val="auto"/>
          <w:szCs w:val="21"/>
        </w:rPr>
        <w:t>完成</w:t>
      </w:r>
      <w:bookmarkEnd w:id="1"/>
      <w:r>
        <w:rPr>
          <w:rFonts w:hint="eastAsia" w:ascii="宋体" w:hAnsi="宋体" w:eastAsia="宋体" w:cs="仿宋_GB2312"/>
          <w:color w:val="auto"/>
          <w:szCs w:val="21"/>
          <w:lang w:val="zh-CN"/>
        </w:rPr>
        <w:t>。</w:t>
      </w:r>
    </w:p>
    <w:p w14:paraId="03FD2766">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7.是否面向中小企业：</w:t>
      </w:r>
      <w:r>
        <w:rPr>
          <w:rFonts w:ascii="宋体" w:hAnsi="宋体" w:eastAsia="宋体" w:cs="仿宋_GB2312"/>
          <w:color w:val="auto"/>
          <w:szCs w:val="21"/>
        </w:rPr>
        <w:t>是</w:t>
      </w:r>
    </w:p>
    <w:p w14:paraId="28B9EA6B">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8</w:t>
      </w:r>
      <w:r>
        <w:rPr>
          <w:rFonts w:hint="eastAsia" w:ascii="宋体" w:hAnsi="宋体" w:eastAsia="宋体" w:cs="仿宋_GB2312"/>
          <w:color w:val="auto"/>
          <w:szCs w:val="21"/>
        </w:rPr>
        <w:t>.本项目是否接受联合体投标：否</w:t>
      </w:r>
    </w:p>
    <w:p w14:paraId="7644A705">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9</w:t>
      </w:r>
      <w:r>
        <w:rPr>
          <w:rFonts w:hint="eastAsia" w:ascii="宋体" w:hAnsi="宋体" w:eastAsia="宋体" w:cs="仿宋_GB2312"/>
          <w:color w:val="auto"/>
          <w:szCs w:val="21"/>
        </w:rPr>
        <w:t>.是否接受进口产品：否</w:t>
      </w:r>
    </w:p>
    <w:p w14:paraId="5B6E8C9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14:paraId="4E2A3797">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本项目落实节</w:t>
      </w:r>
      <w:r>
        <w:rPr>
          <w:rFonts w:hint="eastAsia" w:ascii="宋体" w:hAnsi="宋体" w:eastAsia="宋体" w:cs="仿宋_GB2312"/>
          <w:color w:val="auto"/>
          <w:szCs w:val="21"/>
        </w:rPr>
        <w:t>约</w:t>
      </w:r>
      <w:r>
        <w:rPr>
          <w:rFonts w:hint="eastAsia" w:ascii="宋体" w:hAnsi="宋体" w:eastAsia="宋体" w:cs="仿宋_GB2312"/>
          <w:color w:val="auto"/>
          <w:szCs w:val="21"/>
          <w:lang w:val="zh-CN"/>
        </w:rPr>
        <w:t>能源、保护环境、扶持不发达地区和少数民族地区、促进中小企业、监狱企业发展等政府采购政策。</w:t>
      </w:r>
      <w:r>
        <w:rPr>
          <w:rFonts w:ascii="宋体" w:hAnsi="宋体" w:eastAsia="宋体" w:cs="仿宋_GB2312"/>
          <w:color w:val="auto"/>
          <w:szCs w:val="21"/>
        </w:rPr>
        <w:t>（本项目专门面向中小企业）</w:t>
      </w:r>
    </w:p>
    <w:p w14:paraId="5425FC7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14:paraId="0EC16BC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符合</w:t>
      </w:r>
      <w:r>
        <w:rPr>
          <w:rFonts w:hint="eastAsia" w:asciiTheme="majorEastAsia" w:hAnsiTheme="majorEastAsia" w:eastAsiaTheme="majorEastAsia" w:cstheme="majorEastAsia"/>
          <w:color w:val="auto"/>
          <w:szCs w:val="21"/>
        </w:rPr>
        <w:t>《中华人民共和国政府采购法》</w:t>
      </w:r>
      <w:r>
        <w:rPr>
          <w:rFonts w:hint="eastAsia" w:ascii="宋体" w:hAnsi="宋体" w:eastAsia="宋体" w:cs="仿宋_GB2312"/>
          <w:color w:val="auto"/>
          <w:szCs w:val="21"/>
          <w:lang w:val="zh-CN"/>
        </w:rPr>
        <w:t>第二十二条之规定；</w:t>
      </w:r>
    </w:p>
    <w:p w14:paraId="4040C8D1">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本项目不接受联合体投标。</w:t>
      </w:r>
    </w:p>
    <w:p w14:paraId="599B0A14">
      <w:pPr>
        <w:tabs>
          <w:tab w:val="left" w:pos="7095"/>
        </w:tabs>
        <w:spacing w:line="360" w:lineRule="auto"/>
        <w:ind w:firstLine="386" w:firstLineChars="184"/>
        <w:contextualSpacing/>
        <w:rPr>
          <w:rFonts w:asciiTheme="majorEastAsia" w:hAnsiTheme="majorEastAsia" w:eastAsiaTheme="majorEastAsia" w:cstheme="majorEastAsia"/>
          <w:bCs/>
          <w:color w:val="auto"/>
          <w:szCs w:val="21"/>
        </w:rPr>
      </w:pPr>
      <w:r>
        <w:rPr>
          <w:rFonts w:hint="eastAsia" w:ascii="宋体" w:hAnsi="宋体" w:eastAsia="宋体" w:cs="仿宋_GB2312"/>
          <w:color w:val="auto"/>
          <w:szCs w:val="21"/>
        </w:rPr>
        <w:t>3.本项目的特定资格要求：</w:t>
      </w:r>
      <w:r>
        <w:rPr>
          <w:rFonts w:hint="eastAsia" w:ascii="宋体" w:hAnsi="宋体" w:eastAsia="宋体" w:cs="仿宋_GB2312"/>
          <w:color w:val="auto"/>
          <w:szCs w:val="21"/>
          <w:lang w:val="en-US" w:eastAsia="zh-CN"/>
        </w:rPr>
        <w:t>具有有效的工程设计公路行业（公路）专业乙级及以上资质</w:t>
      </w:r>
      <w:r>
        <w:rPr>
          <w:rFonts w:hint="eastAsia" w:ascii="宋体" w:hAnsi="宋体" w:eastAsia="宋体" w:cs="仿宋_GB2312"/>
          <w:color w:val="auto"/>
          <w:szCs w:val="21"/>
        </w:rPr>
        <w:t>；</w:t>
      </w:r>
      <w:r>
        <w:rPr>
          <w:rFonts w:hint="eastAsia" w:ascii="宋体" w:hAnsi="宋体" w:eastAsia="宋体" w:cs="仿宋_GB2312"/>
          <w:color w:val="auto"/>
          <w:szCs w:val="21"/>
          <w:lang w:val="en-US" w:eastAsia="zh-CN"/>
        </w:rPr>
        <w:t>拟派项目负责人须具有公路相关专业工程师及以上职称。</w:t>
      </w:r>
    </w:p>
    <w:p w14:paraId="109E1EB6">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14:paraId="3701DB11">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即日起至投标截止时间，供应商使用CA数字证书或移动数字证书登录“全国公共资源交易平台（河南省·许昌市）”（下文所述“全国公共资源交易平台（河南省·许昌市）”的地址均为</w:t>
      </w:r>
      <w:r>
        <w:rPr>
          <w:rFonts w:hint="eastAsia" w:ascii="宋体" w:hAnsi="宋体" w:eastAsia="宋体" w:cs="仿宋_GB2312"/>
          <w:color w:val="auto"/>
          <w:szCs w:val="21"/>
          <w:lang w:val="zh-CN" w:eastAsia="zh-CN"/>
        </w:rPr>
        <w:t>https://ggzy.xuchang.gov.cn/</w:t>
      </w:r>
      <w:r>
        <w:rPr>
          <w:rFonts w:hint="eastAsia" w:ascii="宋体" w:hAnsi="宋体" w:eastAsia="宋体" w:cs="仿宋_GB2312"/>
          <w:color w:val="auto"/>
          <w:szCs w:val="21"/>
          <w:lang w:val="zh-CN"/>
        </w:rPr>
        <w:t>）的“投标人”登录入口免费获取本项目采购文件。</w:t>
      </w:r>
    </w:p>
    <w:p w14:paraId="6116CCD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14:paraId="686D1A8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响应文件提交截止时间及谈判响应截止时间、谈判时间：202</w:t>
      </w:r>
      <w:r>
        <w:rPr>
          <w:rFonts w:hint="eastAsia" w:ascii="宋体" w:hAnsi="宋体" w:eastAsia="宋体" w:cs="仿宋_GB2312"/>
          <w:color w:val="auto"/>
          <w:szCs w:val="21"/>
        </w:rPr>
        <w:t>5</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9</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18</w:t>
      </w:r>
      <w:r>
        <w:rPr>
          <w:rFonts w:hint="eastAsia" w:ascii="宋体" w:hAnsi="宋体" w:eastAsia="宋体" w:cs="仿宋_GB2312"/>
          <w:color w:val="auto"/>
          <w:szCs w:val="21"/>
          <w:lang w:val="zh-CN"/>
        </w:rPr>
        <w:t>日0</w:t>
      </w:r>
      <w:r>
        <w:rPr>
          <w:rFonts w:hint="eastAsia" w:ascii="宋体" w:hAnsi="宋体" w:eastAsia="宋体" w:cs="仿宋_GB2312"/>
          <w:color w:val="auto"/>
          <w:szCs w:val="21"/>
        </w:rPr>
        <w:t>8:3</w:t>
      </w:r>
      <w:r>
        <w:rPr>
          <w:rFonts w:hint="eastAsia" w:ascii="宋体" w:hAnsi="宋体" w:eastAsia="宋体" w:cs="仿宋_GB2312"/>
          <w:color w:val="auto"/>
          <w:szCs w:val="21"/>
          <w:lang w:val="zh-CN"/>
        </w:rPr>
        <w:t>0（北京时间），逾期送达或不符合规定的响应文件恕不接受。</w:t>
      </w:r>
    </w:p>
    <w:p w14:paraId="627703AC">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响应文件开启时间：同响应文件提交截止时间。</w:t>
      </w:r>
      <w:r>
        <w:rPr>
          <w:rFonts w:ascii="宋体" w:hAnsi="宋体" w:eastAsia="宋体" w:cs="仿宋_GB2312"/>
          <w:color w:val="auto"/>
          <w:szCs w:val="21"/>
          <w:lang w:val="zh-CN"/>
        </w:rPr>
        <w:tab/>
      </w:r>
    </w:p>
    <w:p w14:paraId="1B47CF3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w:t>
      </w:r>
      <w:r>
        <w:rPr>
          <w:rFonts w:hint="eastAsia" w:ascii="宋体" w:hAnsi="宋体" w:eastAsia="宋体" w:cs="仿宋_GB2312"/>
          <w:color w:val="auto"/>
          <w:szCs w:val="21"/>
        </w:rPr>
        <w:t>提交方式及开标注意事项：</w:t>
      </w:r>
    </w:p>
    <w:p w14:paraId="34070FA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701C44C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rPr>
        <w:t>（二）</w:t>
      </w:r>
      <w:r>
        <w:rPr>
          <w:rFonts w:hint="eastAsia" w:ascii="宋体" w:hAnsi="宋体" w:eastAsia="宋体" w:cs="仿宋_GB2312"/>
          <w:color w:val="auto"/>
          <w:szCs w:val="21"/>
          <w:lang w:val="zh-CN"/>
        </w:rPr>
        <w:t>开标时间前，</w:t>
      </w:r>
      <w:r>
        <w:rPr>
          <w:rFonts w:hint="eastAsia" w:ascii="宋体" w:hAnsi="宋体" w:eastAsia="宋体" w:cstheme="majorEastAsia"/>
          <w:color w:val="auto"/>
          <w:szCs w:val="21"/>
        </w:rPr>
        <w:t>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rPr>
        <w:t>CA数字证书或移动数字证书登录——在“今日开标项目”中找到已投标的项目——鼠标点击该项目即可进入开标操作界面，在规定的开标时间内进行解密开标。</w:t>
      </w:r>
    </w:p>
    <w:p w14:paraId="0FC0F23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七、本次谈判公告同时在《河南省政府采购网》《全国公共资源交易平台（河南省•许昌市）》发布。</w:t>
      </w:r>
    </w:p>
    <w:p w14:paraId="5CEBD5F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14:paraId="26101AEF">
      <w:pPr>
        <w:wordWrap w:val="0"/>
        <w:spacing w:line="360" w:lineRule="auto"/>
        <w:ind w:firstLine="420" w:firstLineChars="200"/>
        <w:rPr>
          <w:rFonts w:ascii="宋体" w:hAnsi="宋体" w:eastAsia="宋体" w:cs="仿宋_GB2312"/>
          <w:color w:val="auto"/>
          <w:szCs w:val="21"/>
        </w:rPr>
      </w:pPr>
      <w:bookmarkStart w:id="2" w:name="OLE_LINK7"/>
      <w:r>
        <w:rPr>
          <w:rFonts w:hint="eastAsia" w:ascii="宋体" w:hAnsi="宋体" w:eastAsia="宋体" w:cs="仿宋_GB2312"/>
          <w:color w:val="auto"/>
          <w:szCs w:val="21"/>
          <w:lang w:val="zh-CN"/>
        </w:rPr>
        <w:t>采购单位：</w:t>
      </w:r>
      <w:r>
        <w:rPr>
          <w:rFonts w:hint="eastAsia" w:ascii="宋体" w:hAnsi="宋体" w:eastAsia="宋体" w:cs="仿宋_GB2312"/>
          <w:color w:val="auto"/>
          <w:szCs w:val="21"/>
        </w:rPr>
        <w:t>禹州市公路事业发展中心</w:t>
      </w:r>
    </w:p>
    <w:p w14:paraId="1C32B9F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地址：禹王大道东段15号</w:t>
      </w:r>
    </w:p>
    <w:p w14:paraId="7800A23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张</w:t>
      </w:r>
      <w:r>
        <w:rPr>
          <w:rFonts w:hint="eastAsia" w:ascii="宋体" w:hAnsi="宋体" w:eastAsia="宋体" w:cs="仿宋_GB2312"/>
          <w:color w:val="auto"/>
          <w:szCs w:val="21"/>
          <w:lang w:val="zh-CN"/>
        </w:rPr>
        <w:t>先生</w:t>
      </w:r>
    </w:p>
    <w:p w14:paraId="4BF2299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联系方式：</w:t>
      </w:r>
      <w:bookmarkStart w:id="3" w:name="OLE_LINK14"/>
      <w:bookmarkStart w:id="4" w:name="OLE_LINK11"/>
      <w:r>
        <w:rPr>
          <w:rFonts w:hint="eastAsia" w:asciiTheme="majorEastAsia" w:hAnsiTheme="majorEastAsia" w:eastAsiaTheme="majorEastAsia" w:cstheme="majorEastAsia"/>
          <w:color w:val="auto"/>
          <w:szCs w:val="21"/>
        </w:rPr>
        <w:t>0374-8288617</w:t>
      </w:r>
      <w:bookmarkEnd w:id="3"/>
    </w:p>
    <w:bookmarkEnd w:id="2"/>
    <w:bookmarkEnd w:id="4"/>
    <w:p w14:paraId="1BB28B7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代理机构：天勤工程咨询有限公司</w:t>
      </w:r>
    </w:p>
    <w:p w14:paraId="39368EEF">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rPr>
        <w:t>荟萃路15号</w:t>
      </w:r>
    </w:p>
    <w:p w14:paraId="5F004F3B">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刘先生</w:t>
      </w:r>
    </w:p>
    <w:p w14:paraId="7DA43746">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rPr>
        <w:t>15237466887</w:t>
      </w:r>
    </w:p>
    <w:p w14:paraId="6F577FDC">
      <w:pPr>
        <w:wordWrap w:val="0"/>
        <w:spacing w:line="360" w:lineRule="auto"/>
        <w:ind w:left="1155" w:leftChars="200" w:hanging="735" w:hangingChars="350"/>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14:paraId="0F5A4906">
      <w:pPr>
        <w:wordWrap w:val="0"/>
        <w:spacing w:line="360" w:lineRule="auto"/>
        <w:ind w:left="1155" w:leftChars="200" w:hanging="735" w:hangingChars="350"/>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监督电话：0374-8112523</w:t>
      </w:r>
    </w:p>
    <w:p w14:paraId="78A95C15">
      <w:pPr>
        <w:wordWrap w:val="0"/>
        <w:spacing w:line="360" w:lineRule="auto"/>
        <w:ind w:firstLine="420" w:firstLineChars="200"/>
        <w:rPr>
          <w:rFonts w:ascii="宋体" w:hAnsi="宋体" w:eastAsia="宋体" w:cs="仿宋_GB2312"/>
          <w:color w:val="auto"/>
          <w:szCs w:val="21"/>
          <w:lang w:val="zh-CN"/>
        </w:rPr>
      </w:pPr>
    </w:p>
    <w:p w14:paraId="195F9A81">
      <w:pPr>
        <w:spacing w:line="360" w:lineRule="auto"/>
        <w:rPr>
          <w:rFonts w:ascii="宋体" w:hAnsi="宋体" w:eastAsia="宋体"/>
          <w:b/>
          <w:color w:val="auto"/>
          <w:szCs w:val="21"/>
        </w:rPr>
      </w:pPr>
      <w:r>
        <w:rPr>
          <w:rFonts w:hint="eastAsia" w:ascii="宋体" w:hAnsi="宋体" w:eastAsia="宋体"/>
          <w:b/>
          <w:color w:val="auto"/>
          <w:szCs w:val="21"/>
        </w:rPr>
        <w:t>温馨提示：</w:t>
      </w:r>
    </w:p>
    <w:p w14:paraId="629FF4DA">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14:paraId="1C8C8CD3">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14:paraId="1303E8C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14:paraId="6A01F338">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14:paraId="113590A0">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3.1供应商登录“全国公共资源交易平台（河南省·许昌市）”下载“新点投标文件制作软件（河南省版）”的最新版本制作电子响应文件。</w:t>
      </w:r>
    </w:p>
    <w:p w14:paraId="132469EC">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21C07AED">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14:paraId="101F7E25">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4.1供应商对同一项目多个标段进行响应的，加密电子响应文件应按标段分别提交。</w:t>
      </w:r>
    </w:p>
    <w:p w14:paraId="36BD5AC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4.2加密电子响应文件成功上传至“全国公共资源交易平台（河南省·许昌市）”后，应在上传页面进行模拟解密，以验证是否能够成功解密。</w:t>
      </w:r>
    </w:p>
    <w:p w14:paraId="686A1A9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14:paraId="69D983EB">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5.1本项目采用远程不见面开标方式，投标前请详细阅读“全国公共资源交易平台（河南省·许昌市）”的“服务指南”栏目下《必看！新交易平台使用手册》中的相关内容。</w:t>
      </w:r>
    </w:p>
    <w:p w14:paraId="704A0D8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5.2供应商应按新交易平台使用手册提前设置好浏览器，并于开标时间前登录本项目网上开标大厅，按照规定的开标时间准时参加网上开标。</w:t>
      </w:r>
    </w:p>
    <w:p w14:paraId="04AB0D4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5.3根据开标大厅界面右侧“公告栏”中的系统提示，供应商应在“标书解密”环节完成解密操作。供应商未解密或因供应商原因解密失败的，其响应文件将被退回。</w:t>
      </w:r>
    </w:p>
    <w:p w14:paraId="0EDA039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5.4在“唱标”环节，供应商应对唱标信息进行确认，供应商未进行唱标确认操作的，视同认可唱标结果。</w:t>
      </w:r>
    </w:p>
    <w:p w14:paraId="14CEC2F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5.5在“开标结束”环节，供应商应在《开标情况记录表》上进行电子签章。供应商未签章的，视同认可开标结果。</w:t>
      </w:r>
    </w:p>
    <w:p w14:paraId="487B07C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5.6供应商对开标过程和开标记录如有异议，可在本项目开标大厅界面右下方“发起异议”中提出异议。</w:t>
      </w:r>
    </w:p>
    <w:p w14:paraId="1185A1BF">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14:paraId="2A2C5F5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6.1全流程电子化交易（不见面开标）项目，谈判小组以成功上传、解密的电子响应文件为依据评审。</w:t>
      </w:r>
    </w:p>
    <w:p w14:paraId="75ADA7E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6.2评审期间，供应商应保持通讯手机畅通，并根据谈判小组要求在规定时间内提供：</w:t>
      </w:r>
    </w:p>
    <w:p w14:paraId="564F7CB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14:paraId="0BBD199C">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提交方式：供应商须使用CA数字证书或移动数字证书登录“全国公共资源交易平台（河南省·许昌市）”进行最后报价，最后报价应包括：①总报价②分项报价。</w:t>
      </w:r>
    </w:p>
    <w:p w14:paraId="5C05766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14:paraId="2EB0750F">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14:paraId="023B3529">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14:paraId="3BD83997">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5D72D2C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79955B0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7.相关事项</w:t>
      </w:r>
    </w:p>
    <w:p w14:paraId="32255C6A">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7.1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700EAEF7">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7.2“全国公共资源交易平台（河南省·许昌市）”采购公告栏提供的谈判文件仅供浏览。供应商下载谈判文件应使用 CA 数字证书或移动数字证书从“全国公共资源交易平台（河南省·许昌市）”的“投标人”登录入口获取本项目谈判文件。</w:t>
      </w:r>
    </w:p>
    <w:p w14:paraId="3B46E5C1">
      <w:pPr>
        <w:jc w:val="center"/>
        <w:rPr>
          <w:rFonts w:cs="宋体" w:asciiTheme="majorEastAsia" w:hAnsiTheme="majorEastAsia" w:eastAsiaTheme="majorEastAsia"/>
          <w:b/>
          <w:color w:val="auto"/>
          <w:kern w:val="0"/>
          <w:sz w:val="32"/>
          <w:szCs w:val="32"/>
        </w:rPr>
      </w:pPr>
    </w:p>
    <w:p w14:paraId="4EDAA06D">
      <w:pPr>
        <w:pStyle w:val="2"/>
        <w:ind w:firstLine="340"/>
        <w:rPr>
          <w:color w:val="auto"/>
        </w:rPr>
      </w:pPr>
    </w:p>
    <w:p w14:paraId="62197CEF">
      <w:pPr>
        <w:pStyle w:val="6"/>
        <w:ind w:left="420" w:firstLine="480"/>
        <w:rPr>
          <w:rFonts w:hint="default"/>
          <w:color w:val="auto"/>
          <w:lang w:eastAsia="zh-CN"/>
        </w:rPr>
      </w:pPr>
    </w:p>
    <w:p w14:paraId="3247AC75">
      <w:pPr>
        <w:rPr>
          <w:color w:val="auto"/>
        </w:rPr>
      </w:pPr>
    </w:p>
    <w:p w14:paraId="5004C1A7">
      <w:pPr>
        <w:pStyle w:val="2"/>
        <w:ind w:firstLine="340"/>
        <w:rPr>
          <w:color w:val="auto"/>
        </w:rPr>
      </w:pPr>
    </w:p>
    <w:p w14:paraId="209EF76F">
      <w:pPr>
        <w:pStyle w:val="6"/>
        <w:ind w:left="420" w:firstLine="480"/>
        <w:rPr>
          <w:rFonts w:hint="default"/>
          <w:color w:val="auto"/>
          <w:lang w:eastAsia="zh-CN"/>
        </w:rPr>
      </w:pPr>
    </w:p>
    <w:p w14:paraId="5139AE0F">
      <w:pPr>
        <w:rPr>
          <w:color w:val="auto"/>
        </w:rPr>
      </w:pPr>
    </w:p>
    <w:p w14:paraId="088993AD">
      <w:pPr>
        <w:pStyle w:val="2"/>
        <w:rPr>
          <w:color w:val="auto"/>
        </w:rPr>
      </w:pPr>
    </w:p>
    <w:p w14:paraId="1E65F609">
      <w:pPr>
        <w:pStyle w:val="6"/>
        <w:rPr>
          <w:color w:val="auto"/>
        </w:rPr>
      </w:pPr>
    </w:p>
    <w:p w14:paraId="6DFC2E1D">
      <w:pPr>
        <w:rPr>
          <w:color w:val="auto"/>
        </w:rPr>
      </w:pPr>
    </w:p>
    <w:p w14:paraId="0D81A540">
      <w:pPr>
        <w:pStyle w:val="2"/>
        <w:rPr>
          <w:color w:val="auto"/>
        </w:rPr>
      </w:pPr>
    </w:p>
    <w:p w14:paraId="344A3C74">
      <w:pPr>
        <w:pStyle w:val="6"/>
        <w:rPr>
          <w:color w:val="auto"/>
        </w:rPr>
      </w:pPr>
    </w:p>
    <w:p w14:paraId="58CF4A55">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14:paraId="13A56576">
      <w:pPr>
        <w:tabs>
          <w:tab w:val="left" w:pos="7095"/>
        </w:tabs>
        <w:spacing w:line="360" w:lineRule="auto"/>
        <w:rPr>
          <w:rFonts w:hAnsi="宋体"/>
          <w:b/>
          <w:bCs/>
          <w:color w:val="auto"/>
          <w:szCs w:val="21"/>
          <w:lang w:val="zh-CN"/>
        </w:rPr>
      </w:pPr>
      <w:r>
        <w:rPr>
          <w:rFonts w:hint="eastAsia" w:hAnsi="宋体"/>
          <w:b/>
          <w:bCs/>
          <w:color w:val="auto"/>
          <w:szCs w:val="21"/>
          <w:lang w:val="zh-CN"/>
        </w:rPr>
        <w:t>一、采购内容及要求</w:t>
      </w:r>
    </w:p>
    <w:p w14:paraId="588EDB8B">
      <w:pPr>
        <w:spacing w:line="360" w:lineRule="auto"/>
        <w:ind w:firstLine="420" w:firstLineChars="200"/>
        <w:rPr>
          <w:rFonts w:hint="eastAsia" w:hAnsi="宋体" w:cs="宋体" w:eastAsiaTheme="minorEastAsia"/>
          <w:bCs/>
          <w:color w:val="auto"/>
          <w:szCs w:val="21"/>
          <w:lang w:eastAsia="zh-CN"/>
        </w:rPr>
      </w:pPr>
      <w:r>
        <w:rPr>
          <w:rFonts w:hint="eastAsia" w:hAnsi="宋体" w:cs="宋体"/>
          <w:bCs/>
          <w:color w:val="auto"/>
          <w:szCs w:val="21"/>
          <w:lang w:eastAsia="zh-CN"/>
        </w:rPr>
        <w:t>禹州市公路事业发展中心省道232禹州市顺店镇（西高庄）至神垕镇（北沟）段改建工程设计项目二次</w:t>
      </w:r>
    </w:p>
    <w:p w14:paraId="40D5CC5F">
      <w:pPr>
        <w:numPr>
          <w:ilvl w:val="0"/>
          <w:numId w:val="5"/>
        </w:numPr>
        <w:spacing w:line="360" w:lineRule="auto"/>
        <w:rPr>
          <w:rFonts w:hint="eastAsia" w:hAnsi="宋体"/>
          <w:b/>
          <w:bCs/>
          <w:color w:val="auto"/>
          <w:szCs w:val="21"/>
          <w:lang w:val="en-US" w:eastAsia="zh-CN"/>
        </w:rPr>
      </w:pPr>
      <w:r>
        <w:rPr>
          <w:rFonts w:hint="eastAsia" w:hAnsi="宋体"/>
          <w:b/>
          <w:bCs/>
          <w:color w:val="auto"/>
          <w:szCs w:val="21"/>
          <w:lang w:val="en-US" w:eastAsia="zh-CN"/>
        </w:rPr>
        <w:t>项目需求</w:t>
      </w:r>
    </w:p>
    <w:p w14:paraId="37509E4B">
      <w:pPr>
        <w:spacing w:line="360" w:lineRule="auto"/>
        <w:ind w:firstLine="420" w:firstLineChars="200"/>
        <w:rPr>
          <w:rFonts w:hint="default"/>
          <w:color w:val="auto"/>
          <w:sz w:val="21"/>
          <w:szCs w:val="21"/>
          <w:lang w:val="en-US" w:eastAsia="zh-CN"/>
        </w:rPr>
      </w:pPr>
      <w:r>
        <w:rPr>
          <w:rFonts w:hint="eastAsia" w:ascii="宋体" w:hAnsi="宋体" w:eastAsia="宋体" w:cs="宋体"/>
          <w:bCs/>
          <w:color w:val="auto"/>
          <w:szCs w:val="21"/>
          <w:lang w:val="en-US" w:eastAsia="zh-CN"/>
        </w:rPr>
        <w:t>项目概况：</w:t>
      </w:r>
      <w:r>
        <w:rPr>
          <w:rFonts w:hint="eastAsia" w:ascii="宋体" w:hAnsi="宋体" w:eastAsia="宋体" w:cs="仿宋_GB2312"/>
          <w:color w:val="auto"/>
          <w:szCs w:val="21"/>
          <w:lang w:val="zh-CN"/>
        </w:rPr>
        <w:t>路线起点位于禹州市顺店镇西高庄南，沿原路向南，经柳林、陈南至文殊镇，经皂角坪、老君垌、泉沟至神垕镇，终点位于神垕镇北沟与禹神快速通道交汇处，路线全长12.630公里。采用双向两车道二级公路建设标准，设计速度60公里/小时。路基宽度9.5米，路面宽度8.5米，沥青混凝土路面。</w:t>
      </w:r>
    </w:p>
    <w:p w14:paraId="6B829F2B">
      <w:pPr>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1、成交人自行组织现场的实际踏勘和测量，根据提供的相关资料，设计时做到布局合理。</w:t>
      </w:r>
    </w:p>
    <w:p w14:paraId="49C14EB2">
      <w:pPr>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2、此次设计应充分结合总体规划。设计文件完整齐全，内容、深度符合规定，文字说明和图面均应符合标准，表达清晰、准确，全部文件必须严格校对，不应出现各种差错。</w:t>
      </w:r>
    </w:p>
    <w:p w14:paraId="27250205">
      <w:pPr>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3、成交人具体负责设计工作、相关部门对接协调工作；配合采购人</w:t>
      </w:r>
      <w:r>
        <w:rPr>
          <w:rFonts w:hint="eastAsia" w:ascii="宋体" w:hAnsi="宋体" w:eastAsia="宋体" w:cs="仿宋_GB2312"/>
          <w:color w:val="auto"/>
          <w:szCs w:val="21"/>
          <w:lang w:val="en-US" w:eastAsia="zh-CN"/>
        </w:rPr>
        <w:t>后期</w:t>
      </w:r>
      <w:r>
        <w:rPr>
          <w:rFonts w:hint="eastAsia" w:ascii="宋体" w:hAnsi="宋体" w:eastAsia="宋体" w:cs="仿宋_GB2312"/>
          <w:color w:val="auto"/>
          <w:szCs w:val="21"/>
          <w:lang w:val="zh-CN" w:eastAsia="zh-CN"/>
        </w:rPr>
        <w:t xml:space="preserve">工作、协助报审工作及其他相关工作。 </w:t>
      </w:r>
    </w:p>
    <w:p w14:paraId="56A66B7B">
      <w:pPr>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4、</w:t>
      </w:r>
      <w:r>
        <w:rPr>
          <w:rFonts w:hint="eastAsia" w:ascii="宋体" w:hAnsi="宋体" w:eastAsia="宋体" w:cs="仿宋_GB2312"/>
          <w:color w:val="auto"/>
          <w:szCs w:val="21"/>
          <w:lang w:val="zh-CN" w:eastAsia="zh-CN"/>
        </w:rPr>
        <w:t>投标人应充分考虑现场周围情况，结合区域规划，并尽量做到节能、环保、节约，体现以人为本的思想。投标人应充分考虑项目实用功能，达到</w:t>
      </w:r>
      <w:r>
        <w:rPr>
          <w:rFonts w:hint="eastAsia" w:ascii="宋体" w:hAnsi="宋体" w:eastAsia="宋体" w:cs="仿宋_GB2312"/>
          <w:color w:val="auto"/>
          <w:szCs w:val="21"/>
          <w:lang w:val="en-US" w:eastAsia="zh-CN"/>
        </w:rPr>
        <w:t>相应</w:t>
      </w:r>
      <w:r>
        <w:rPr>
          <w:rFonts w:hint="eastAsia" w:ascii="宋体" w:hAnsi="宋体" w:eastAsia="宋体" w:cs="仿宋_GB2312"/>
          <w:color w:val="auto"/>
          <w:szCs w:val="21"/>
          <w:lang w:val="zh-CN" w:eastAsia="zh-CN"/>
        </w:rPr>
        <w:t>设计深度。</w:t>
      </w:r>
    </w:p>
    <w:p w14:paraId="626D7F9E">
      <w:pPr>
        <w:spacing w:line="360" w:lineRule="auto"/>
        <w:rPr>
          <w:rFonts w:hint="default" w:hAnsi="宋体" w:cs="宋体"/>
          <w:bCs/>
          <w:color w:val="auto"/>
          <w:sz w:val="21"/>
          <w:szCs w:val="21"/>
          <w:lang w:val="en-US" w:eastAsia="zh-CN"/>
        </w:rPr>
      </w:pPr>
      <w:r>
        <w:rPr>
          <w:rFonts w:hint="eastAsia" w:ascii="宋体" w:hAnsi="宋体" w:eastAsia="宋体" w:cs="宋体"/>
          <w:b/>
          <w:color w:val="auto"/>
          <w:szCs w:val="21"/>
        </w:rPr>
        <w:t>三、采购标的的其他技术、服务等要求</w:t>
      </w:r>
    </w:p>
    <w:p w14:paraId="47F98D95">
      <w:pPr>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宋体"/>
          <w:bCs/>
          <w:color w:val="auto"/>
          <w:szCs w:val="21"/>
          <w:lang w:val="en-US" w:eastAsia="zh-CN"/>
        </w:rPr>
        <w:t>1、成果要求：</w:t>
      </w:r>
      <w:r>
        <w:rPr>
          <w:rFonts w:hint="eastAsia" w:ascii="宋体" w:hAnsi="宋体" w:eastAsia="宋体" w:cs="仿宋_GB2312"/>
          <w:color w:val="auto"/>
          <w:szCs w:val="21"/>
          <w:lang w:val="zh-CN" w:eastAsia="zh-CN"/>
        </w:rPr>
        <w:t>中标人最终提供完整的纸质及电子设计资料交予招标人。</w:t>
      </w:r>
    </w:p>
    <w:p w14:paraId="26DEE4BB">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、本次招标某些技术标准与国家所要求的标准不统一或有不兼容的地方，均以国家强制性标准或最新出台的标准为准。</w:t>
      </w:r>
    </w:p>
    <w:p w14:paraId="307E6EAB">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、如果未在竞争性谈判文件中要求提供其相关行业标准或国家强制性标准的，则投标人有责任给予补充说明。</w:t>
      </w:r>
    </w:p>
    <w:p w14:paraId="3D94302C">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、中标方未达到作业计划标准及工作违规或引起纠纷、被上级部门处罚等不良后果，造成重大经济损失或服务严重失误，采购方有权终止本合同，并追究中标方的经济责任；</w:t>
      </w:r>
    </w:p>
    <w:p w14:paraId="41A2FC9A">
      <w:pPr>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、本谈判文件所列的要求为最低要求，对谈判文件中没有列出的而对本项目必不可少的其他要求，谈判供应商必须给予实现。</w:t>
      </w:r>
    </w:p>
    <w:p w14:paraId="6DCADB07">
      <w:pPr>
        <w:spacing w:line="360" w:lineRule="auto"/>
        <w:rPr>
          <w:rFonts w:ascii="宋体" w:hAnsi="宋体" w:eastAsia="宋体" w:cs="宋体"/>
          <w:b/>
          <w:color w:val="auto"/>
          <w:szCs w:val="21"/>
        </w:rPr>
      </w:pPr>
      <w:r>
        <w:rPr>
          <w:rFonts w:hint="eastAsia" w:ascii="宋体" w:hAnsi="宋体" w:eastAsia="宋体" w:cs="宋体"/>
          <w:b/>
          <w:color w:val="auto"/>
          <w:szCs w:val="21"/>
        </w:rPr>
        <w:t>四、验收标准</w:t>
      </w:r>
    </w:p>
    <w:p w14:paraId="09352C81">
      <w:pPr>
        <w:widowControl/>
        <w:shd w:val="clear" w:color="auto" w:fill="FFFFFF"/>
        <w:spacing w:line="360" w:lineRule="auto"/>
        <w:ind w:firstLine="600"/>
        <w:jc w:val="left"/>
        <w:rPr>
          <w:rFonts w:ascii="宋体" w:hAnsi="宋体" w:eastAsia="宋体"/>
          <w:color w:val="auto"/>
          <w:szCs w:val="21"/>
        </w:rPr>
      </w:pPr>
      <w:r>
        <w:rPr>
          <w:rFonts w:hint="eastAsia" w:ascii="宋体" w:hAnsi="宋体" w:eastAsia="宋体"/>
          <w:color w:val="auto"/>
          <w:szCs w:val="21"/>
        </w:rPr>
        <w:t>由采购人成立验收小组</w:t>
      </w:r>
      <w:r>
        <w:rPr>
          <w:rFonts w:hint="eastAsia" w:ascii="宋体" w:hAnsi="宋体" w:eastAsia="宋体"/>
          <w:color w:val="auto"/>
          <w:szCs w:val="21"/>
          <w:lang w:eastAsia="zh-CN"/>
        </w:rPr>
        <w:t>，</w:t>
      </w:r>
      <w:r>
        <w:rPr>
          <w:rFonts w:hint="eastAsia" w:ascii="宋体" w:hAnsi="宋体" w:eastAsia="宋体"/>
          <w:color w:val="auto"/>
          <w:szCs w:val="21"/>
        </w:rPr>
        <w:t>按照采购合同的约定对中标人履约情况进行验收。验收时</w:t>
      </w:r>
      <w:r>
        <w:rPr>
          <w:rFonts w:hint="eastAsia" w:ascii="宋体" w:hAnsi="宋体" w:eastAsia="宋体"/>
          <w:color w:val="auto"/>
          <w:szCs w:val="21"/>
          <w:lang w:eastAsia="zh-CN"/>
        </w:rPr>
        <w:t>，</w:t>
      </w:r>
      <w:r>
        <w:rPr>
          <w:rFonts w:hint="eastAsia" w:ascii="宋体" w:hAnsi="宋体" w:eastAsia="宋体"/>
          <w:color w:val="auto"/>
          <w:szCs w:val="21"/>
        </w:rPr>
        <w:t>按照采购合同的约定对每一项技术、服务、安全标准的履约情况进行确认。验收结束后由验收小组出具验收报告</w:t>
      </w:r>
      <w:r>
        <w:rPr>
          <w:rFonts w:hint="eastAsia" w:ascii="宋体" w:hAnsi="宋体" w:eastAsia="宋体"/>
          <w:color w:val="auto"/>
          <w:szCs w:val="21"/>
          <w:lang w:eastAsia="zh-CN"/>
        </w:rPr>
        <w:t>，</w:t>
      </w:r>
      <w:r>
        <w:rPr>
          <w:rFonts w:hint="eastAsia" w:ascii="宋体" w:hAnsi="宋体" w:eastAsia="宋体"/>
          <w:color w:val="auto"/>
          <w:szCs w:val="21"/>
        </w:rPr>
        <w:t>列明各项标准的验收情况及项目总体评价</w:t>
      </w:r>
      <w:r>
        <w:rPr>
          <w:rFonts w:hint="eastAsia" w:ascii="宋体" w:hAnsi="宋体" w:eastAsia="宋体"/>
          <w:color w:val="auto"/>
          <w:szCs w:val="21"/>
          <w:lang w:eastAsia="zh-CN"/>
        </w:rPr>
        <w:t>，</w:t>
      </w:r>
      <w:r>
        <w:rPr>
          <w:rFonts w:hint="eastAsia" w:ascii="宋体" w:hAnsi="宋体" w:eastAsia="宋体"/>
          <w:color w:val="auto"/>
          <w:szCs w:val="21"/>
        </w:rPr>
        <w:t>由验收双方共同签署。</w:t>
      </w:r>
    </w:p>
    <w:p w14:paraId="017A8140">
      <w:pPr>
        <w:spacing w:line="360" w:lineRule="auto"/>
        <w:ind w:firstLine="420" w:firstLineChars="200"/>
        <w:rPr>
          <w:rFonts w:ascii="宋体" w:hAnsi="宋体" w:eastAsia="宋体"/>
          <w:color w:val="auto"/>
          <w:szCs w:val="21"/>
        </w:rPr>
      </w:pPr>
      <w:r>
        <w:rPr>
          <w:rFonts w:hint="eastAsia" w:ascii="宋体" w:hAnsi="宋体" w:eastAsia="宋体"/>
          <w:color w:val="auto"/>
          <w:szCs w:val="21"/>
        </w:rPr>
        <w:t>1、按照国家相关标准、行业标准、地方标准或者其他标准、规范验收；</w:t>
      </w:r>
    </w:p>
    <w:p w14:paraId="53AF0DE0">
      <w:pPr>
        <w:spacing w:line="360" w:lineRule="auto"/>
        <w:ind w:firstLine="420" w:firstLineChars="200"/>
        <w:rPr>
          <w:rFonts w:ascii="宋体" w:hAnsi="宋体" w:eastAsia="宋体"/>
          <w:color w:val="auto"/>
          <w:szCs w:val="21"/>
        </w:rPr>
      </w:pPr>
      <w:r>
        <w:rPr>
          <w:rFonts w:hint="eastAsia" w:ascii="宋体" w:hAnsi="宋体" w:eastAsia="宋体"/>
          <w:color w:val="auto"/>
          <w:szCs w:val="21"/>
        </w:rPr>
        <w:t>2、按照招标文件要求、投标文件响应和承诺验收；</w:t>
      </w:r>
    </w:p>
    <w:p w14:paraId="59A17880">
      <w:pPr>
        <w:spacing w:line="360" w:lineRule="auto"/>
        <w:ind w:firstLine="420" w:firstLineChars="200"/>
        <w:rPr>
          <w:rFonts w:ascii="宋体" w:hAnsi="宋体" w:eastAsia="宋体"/>
          <w:color w:val="auto"/>
          <w:szCs w:val="21"/>
        </w:rPr>
      </w:pPr>
      <w:r>
        <w:rPr>
          <w:rFonts w:hint="eastAsia" w:ascii="宋体" w:hAnsi="宋体" w:eastAsia="宋体"/>
          <w:color w:val="auto"/>
          <w:szCs w:val="21"/>
        </w:rPr>
        <w:t>3、项目质量按照国家相关标准及规范</w:t>
      </w:r>
      <w:r>
        <w:rPr>
          <w:rFonts w:hint="eastAsia" w:ascii="宋体" w:hAnsi="宋体" w:eastAsia="宋体"/>
          <w:color w:val="auto"/>
          <w:szCs w:val="21"/>
          <w:lang w:eastAsia="zh-CN"/>
        </w:rPr>
        <w:t>，</w:t>
      </w:r>
      <w:r>
        <w:rPr>
          <w:rFonts w:hint="eastAsia" w:ascii="宋体" w:hAnsi="宋体" w:eastAsia="宋体"/>
          <w:color w:val="auto"/>
          <w:szCs w:val="21"/>
        </w:rPr>
        <w:t>委托第三方进行验收。</w:t>
      </w:r>
    </w:p>
    <w:p w14:paraId="1F9D8A28">
      <w:pPr>
        <w:pStyle w:val="2"/>
        <w:ind w:firstLine="0" w:firstLineChars="0"/>
        <w:rPr>
          <w:rFonts w:hAnsi="宋体" w:cs="宋体"/>
          <w:b/>
          <w:color w:val="auto"/>
          <w:sz w:val="21"/>
          <w:szCs w:val="21"/>
        </w:rPr>
      </w:pPr>
      <w:r>
        <w:rPr>
          <w:rFonts w:hint="eastAsia" w:hAnsi="宋体" w:cs="宋体"/>
          <w:b/>
          <w:color w:val="auto"/>
          <w:sz w:val="21"/>
          <w:szCs w:val="21"/>
        </w:rPr>
        <w:t>五、资金支付</w:t>
      </w:r>
    </w:p>
    <w:p w14:paraId="270CEB71">
      <w:pPr>
        <w:pStyle w:val="2"/>
        <w:ind w:firstLine="0" w:firstLineChars="0"/>
        <w:rPr>
          <w:rFonts w:hint="default" w:ascii="宋体" w:hAnsi="宋体" w:eastAsia="宋体" w:cs="宋体"/>
          <w:b w:val="0"/>
          <w:bCs/>
          <w:color w:val="auto"/>
          <w:sz w:val="21"/>
          <w:szCs w:val="21"/>
          <w:lang w:eastAsia="zh-CN"/>
        </w:rPr>
      </w:pPr>
      <w:r>
        <w:rPr>
          <w:rFonts w:hint="default" w:ascii="宋体" w:hAnsi="宋体" w:eastAsia="宋体" w:cs="宋体"/>
          <w:b w:val="0"/>
          <w:bCs/>
          <w:color w:val="auto"/>
          <w:sz w:val="21"/>
          <w:szCs w:val="21"/>
          <w:lang w:eastAsia="zh-CN"/>
        </w:rPr>
        <w:t>（一）支付方式：银行转账。</w:t>
      </w:r>
    </w:p>
    <w:p w14:paraId="5A2167DE">
      <w:pPr>
        <w:pStyle w:val="2"/>
        <w:ind w:firstLine="0" w:firstLineChars="0"/>
        <w:rPr>
          <w:rFonts w:hint="default" w:ascii="宋体" w:hAnsi="宋体" w:eastAsia="宋体" w:cs="宋体"/>
          <w:b w:val="0"/>
          <w:bCs/>
          <w:color w:val="auto"/>
          <w:sz w:val="21"/>
          <w:szCs w:val="21"/>
          <w:lang w:eastAsia="zh-CN"/>
        </w:rPr>
      </w:pPr>
      <w:r>
        <w:rPr>
          <w:rFonts w:hint="default" w:ascii="宋体" w:hAnsi="宋体" w:eastAsia="宋体" w:cs="宋体"/>
          <w:b w:val="0"/>
          <w:bCs/>
          <w:color w:val="auto"/>
          <w:sz w:val="21"/>
          <w:szCs w:val="21"/>
          <w:lang w:eastAsia="zh-CN"/>
        </w:rPr>
        <w:t>（二）支付时间及条件：经验收合格后支付。</w:t>
      </w:r>
    </w:p>
    <w:p w14:paraId="4ABF14F5">
      <w:pPr>
        <w:rPr>
          <w:rFonts w:hint="default" w:ascii="宋体" w:hAnsi="宋体" w:eastAsia="宋体" w:cs="宋体"/>
          <w:b w:val="0"/>
          <w:bCs/>
          <w:color w:val="auto"/>
          <w:sz w:val="21"/>
          <w:szCs w:val="21"/>
          <w:lang w:eastAsia="zh-CN"/>
        </w:rPr>
      </w:pPr>
    </w:p>
    <w:p w14:paraId="388CC4C7">
      <w:pPr>
        <w:pStyle w:val="2"/>
        <w:rPr>
          <w:rFonts w:hint="default" w:ascii="宋体" w:hAnsi="宋体" w:eastAsia="宋体" w:cs="宋体"/>
          <w:b w:val="0"/>
          <w:bCs/>
          <w:color w:val="auto"/>
          <w:sz w:val="21"/>
          <w:szCs w:val="21"/>
          <w:lang w:eastAsia="zh-CN"/>
        </w:rPr>
      </w:pPr>
    </w:p>
    <w:p w14:paraId="5E2A6120">
      <w:pPr>
        <w:rPr>
          <w:rFonts w:hint="default" w:ascii="宋体" w:hAnsi="宋体" w:eastAsia="宋体" w:cs="宋体"/>
          <w:b w:val="0"/>
          <w:bCs/>
          <w:color w:val="auto"/>
          <w:sz w:val="21"/>
          <w:szCs w:val="21"/>
          <w:lang w:eastAsia="zh-CN"/>
        </w:rPr>
      </w:pPr>
    </w:p>
    <w:p w14:paraId="6251E8EE">
      <w:pPr>
        <w:pStyle w:val="2"/>
        <w:rPr>
          <w:rFonts w:hint="default" w:ascii="宋体" w:hAnsi="宋体" w:eastAsia="宋体" w:cs="宋体"/>
          <w:b w:val="0"/>
          <w:bCs/>
          <w:color w:val="auto"/>
          <w:sz w:val="21"/>
          <w:szCs w:val="21"/>
          <w:lang w:eastAsia="zh-CN"/>
        </w:rPr>
      </w:pPr>
    </w:p>
    <w:p w14:paraId="44FB3E3C">
      <w:pPr>
        <w:rPr>
          <w:rFonts w:hint="default" w:ascii="宋体" w:hAnsi="宋体" w:eastAsia="宋体" w:cs="宋体"/>
          <w:b w:val="0"/>
          <w:bCs/>
          <w:color w:val="auto"/>
          <w:sz w:val="21"/>
          <w:szCs w:val="21"/>
          <w:lang w:eastAsia="zh-CN"/>
        </w:rPr>
      </w:pPr>
    </w:p>
    <w:p w14:paraId="5D681E86">
      <w:pPr>
        <w:pStyle w:val="2"/>
        <w:rPr>
          <w:rFonts w:hint="default" w:ascii="宋体" w:hAnsi="宋体" w:eastAsia="宋体" w:cs="宋体"/>
          <w:b w:val="0"/>
          <w:bCs/>
          <w:color w:val="auto"/>
          <w:sz w:val="21"/>
          <w:szCs w:val="21"/>
          <w:lang w:eastAsia="zh-CN"/>
        </w:rPr>
      </w:pPr>
    </w:p>
    <w:p w14:paraId="56B88D6A">
      <w:pPr>
        <w:rPr>
          <w:rFonts w:hint="default" w:ascii="宋体" w:hAnsi="宋体" w:eastAsia="宋体" w:cs="宋体"/>
          <w:b w:val="0"/>
          <w:bCs/>
          <w:color w:val="auto"/>
          <w:sz w:val="21"/>
          <w:szCs w:val="21"/>
          <w:lang w:eastAsia="zh-CN"/>
        </w:rPr>
      </w:pPr>
    </w:p>
    <w:p w14:paraId="615A4D83">
      <w:pPr>
        <w:pStyle w:val="2"/>
        <w:rPr>
          <w:rFonts w:hint="default" w:ascii="宋体" w:hAnsi="宋体" w:eastAsia="宋体" w:cs="宋体"/>
          <w:b w:val="0"/>
          <w:bCs/>
          <w:color w:val="auto"/>
          <w:sz w:val="21"/>
          <w:szCs w:val="21"/>
          <w:lang w:eastAsia="zh-CN"/>
        </w:rPr>
      </w:pPr>
    </w:p>
    <w:p w14:paraId="2AB2079B">
      <w:pPr>
        <w:rPr>
          <w:rFonts w:hint="default" w:ascii="宋体" w:hAnsi="宋体" w:eastAsia="宋体" w:cs="宋体"/>
          <w:b w:val="0"/>
          <w:bCs/>
          <w:color w:val="auto"/>
          <w:sz w:val="21"/>
          <w:szCs w:val="21"/>
          <w:lang w:eastAsia="zh-CN"/>
        </w:rPr>
      </w:pPr>
    </w:p>
    <w:p w14:paraId="1D0C20D4">
      <w:pPr>
        <w:pStyle w:val="2"/>
        <w:rPr>
          <w:rFonts w:hint="default" w:ascii="宋体" w:hAnsi="宋体" w:eastAsia="宋体" w:cs="宋体"/>
          <w:b w:val="0"/>
          <w:bCs/>
          <w:color w:val="auto"/>
          <w:sz w:val="21"/>
          <w:szCs w:val="21"/>
          <w:lang w:eastAsia="zh-CN"/>
        </w:rPr>
      </w:pPr>
    </w:p>
    <w:p w14:paraId="0BFD42E1">
      <w:pPr>
        <w:rPr>
          <w:rFonts w:hint="default" w:ascii="宋体" w:hAnsi="宋体" w:eastAsia="宋体" w:cs="宋体"/>
          <w:b w:val="0"/>
          <w:bCs/>
          <w:color w:val="auto"/>
          <w:sz w:val="21"/>
          <w:szCs w:val="21"/>
          <w:lang w:eastAsia="zh-CN"/>
        </w:rPr>
      </w:pPr>
    </w:p>
    <w:p w14:paraId="056F1E8F">
      <w:pPr>
        <w:pStyle w:val="2"/>
        <w:rPr>
          <w:rFonts w:hint="default" w:ascii="宋体" w:hAnsi="宋体" w:eastAsia="宋体" w:cs="宋体"/>
          <w:b w:val="0"/>
          <w:bCs/>
          <w:color w:val="auto"/>
          <w:sz w:val="21"/>
          <w:szCs w:val="21"/>
          <w:lang w:eastAsia="zh-CN"/>
        </w:rPr>
      </w:pPr>
    </w:p>
    <w:p w14:paraId="602FDD8E">
      <w:pPr>
        <w:rPr>
          <w:rFonts w:hint="default" w:ascii="宋体" w:hAnsi="宋体" w:eastAsia="宋体" w:cs="宋体"/>
          <w:b w:val="0"/>
          <w:bCs/>
          <w:color w:val="auto"/>
          <w:sz w:val="21"/>
          <w:szCs w:val="21"/>
          <w:lang w:eastAsia="zh-CN"/>
        </w:rPr>
      </w:pPr>
    </w:p>
    <w:p w14:paraId="74DEF5D1">
      <w:pPr>
        <w:pStyle w:val="2"/>
        <w:rPr>
          <w:rFonts w:hint="default" w:ascii="宋体" w:hAnsi="宋体" w:eastAsia="宋体" w:cs="宋体"/>
          <w:b w:val="0"/>
          <w:bCs/>
          <w:color w:val="auto"/>
          <w:sz w:val="21"/>
          <w:szCs w:val="21"/>
          <w:lang w:eastAsia="zh-CN"/>
        </w:rPr>
      </w:pPr>
    </w:p>
    <w:p w14:paraId="0884DCFB">
      <w:pPr>
        <w:rPr>
          <w:rFonts w:hint="default" w:ascii="宋体" w:hAnsi="宋体" w:eastAsia="宋体" w:cs="宋体"/>
          <w:b w:val="0"/>
          <w:bCs/>
          <w:color w:val="auto"/>
          <w:sz w:val="21"/>
          <w:szCs w:val="21"/>
          <w:lang w:eastAsia="zh-CN"/>
        </w:rPr>
      </w:pPr>
    </w:p>
    <w:p w14:paraId="17602A1C">
      <w:pPr>
        <w:pStyle w:val="2"/>
        <w:rPr>
          <w:rFonts w:hint="default" w:ascii="宋体" w:hAnsi="宋体" w:eastAsia="宋体" w:cs="宋体"/>
          <w:b w:val="0"/>
          <w:bCs/>
          <w:color w:val="auto"/>
          <w:sz w:val="21"/>
          <w:szCs w:val="21"/>
          <w:lang w:eastAsia="zh-CN"/>
        </w:rPr>
      </w:pPr>
    </w:p>
    <w:p w14:paraId="4D0731F8">
      <w:pPr>
        <w:rPr>
          <w:rFonts w:hint="default" w:ascii="宋体" w:hAnsi="宋体" w:eastAsia="宋体" w:cs="宋体"/>
          <w:b w:val="0"/>
          <w:bCs/>
          <w:color w:val="auto"/>
          <w:sz w:val="21"/>
          <w:szCs w:val="21"/>
          <w:lang w:eastAsia="zh-CN"/>
        </w:rPr>
      </w:pPr>
    </w:p>
    <w:p w14:paraId="757EA69B">
      <w:pPr>
        <w:pStyle w:val="2"/>
        <w:rPr>
          <w:rFonts w:hint="default" w:ascii="宋体" w:hAnsi="宋体" w:eastAsia="宋体" w:cs="宋体"/>
          <w:b w:val="0"/>
          <w:bCs/>
          <w:color w:val="auto"/>
          <w:sz w:val="21"/>
          <w:szCs w:val="21"/>
          <w:lang w:eastAsia="zh-CN"/>
        </w:rPr>
      </w:pPr>
    </w:p>
    <w:p w14:paraId="7AA0B2CA">
      <w:pPr>
        <w:rPr>
          <w:rFonts w:hint="default" w:ascii="宋体" w:hAnsi="宋体" w:eastAsia="宋体" w:cs="宋体"/>
          <w:b w:val="0"/>
          <w:bCs/>
          <w:color w:val="auto"/>
          <w:sz w:val="21"/>
          <w:szCs w:val="21"/>
          <w:lang w:eastAsia="zh-CN"/>
        </w:rPr>
      </w:pPr>
    </w:p>
    <w:p w14:paraId="7259BF0C">
      <w:pPr>
        <w:pStyle w:val="2"/>
        <w:rPr>
          <w:rFonts w:hint="default" w:ascii="宋体" w:hAnsi="宋体" w:eastAsia="宋体" w:cs="宋体"/>
          <w:b w:val="0"/>
          <w:bCs/>
          <w:color w:val="auto"/>
          <w:sz w:val="21"/>
          <w:szCs w:val="21"/>
          <w:lang w:eastAsia="zh-CN"/>
        </w:rPr>
      </w:pPr>
    </w:p>
    <w:p w14:paraId="5807C88D">
      <w:pPr>
        <w:rPr>
          <w:rFonts w:hint="default" w:ascii="宋体" w:hAnsi="宋体" w:eastAsia="宋体" w:cs="宋体"/>
          <w:b w:val="0"/>
          <w:bCs/>
          <w:color w:val="auto"/>
          <w:sz w:val="21"/>
          <w:szCs w:val="21"/>
          <w:lang w:eastAsia="zh-CN"/>
        </w:rPr>
      </w:pPr>
    </w:p>
    <w:p w14:paraId="72092E5E">
      <w:pPr>
        <w:pStyle w:val="2"/>
        <w:rPr>
          <w:rFonts w:hint="default" w:ascii="宋体" w:hAnsi="宋体" w:eastAsia="宋体" w:cs="宋体"/>
          <w:b w:val="0"/>
          <w:bCs/>
          <w:color w:val="auto"/>
          <w:sz w:val="21"/>
          <w:szCs w:val="21"/>
          <w:lang w:eastAsia="zh-CN"/>
        </w:rPr>
      </w:pPr>
    </w:p>
    <w:p w14:paraId="2A843159">
      <w:pPr>
        <w:rPr>
          <w:rFonts w:hint="default" w:ascii="宋体" w:hAnsi="宋体" w:eastAsia="宋体" w:cs="宋体"/>
          <w:b w:val="0"/>
          <w:bCs/>
          <w:color w:val="auto"/>
          <w:sz w:val="21"/>
          <w:szCs w:val="21"/>
          <w:lang w:eastAsia="zh-CN"/>
        </w:rPr>
      </w:pPr>
    </w:p>
    <w:p w14:paraId="6B1F1E74">
      <w:pPr>
        <w:pStyle w:val="2"/>
        <w:rPr>
          <w:rFonts w:hint="default" w:ascii="宋体" w:hAnsi="宋体" w:eastAsia="宋体" w:cs="宋体"/>
          <w:b w:val="0"/>
          <w:bCs/>
          <w:color w:val="auto"/>
          <w:sz w:val="21"/>
          <w:szCs w:val="21"/>
          <w:lang w:eastAsia="zh-CN"/>
        </w:rPr>
      </w:pPr>
    </w:p>
    <w:p w14:paraId="51A6DB82">
      <w:pPr>
        <w:rPr>
          <w:rFonts w:hint="default" w:ascii="宋体" w:hAnsi="宋体" w:eastAsia="宋体" w:cs="宋体"/>
          <w:b w:val="0"/>
          <w:bCs/>
          <w:color w:val="auto"/>
          <w:sz w:val="21"/>
          <w:szCs w:val="21"/>
          <w:lang w:eastAsia="zh-CN"/>
        </w:rPr>
      </w:pPr>
    </w:p>
    <w:p w14:paraId="6934AA38">
      <w:pPr>
        <w:pStyle w:val="2"/>
        <w:rPr>
          <w:rFonts w:hint="default" w:ascii="宋体" w:hAnsi="宋体" w:eastAsia="宋体" w:cs="宋体"/>
          <w:b w:val="0"/>
          <w:bCs/>
          <w:color w:val="auto"/>
          <w:sz w:val="21"/>
          <w:szCs w:val="21"/>
          <w:lang w:eastAsia="zh-CN"/>
        </w:rPr>
      </w:pPr>
    </w:p>
    <w:p w14:paraId="3F484804">
      <w:pPr>
        <w:rPr>
          <w:rFonts w:hint="default" w:ascii="宋体" w:hAnsi="宋体" w:eastAsia="宋体" w:cs="宋体"/>
          <w:b w:val="0"/>
          <w:bCs/>
          <w:color w:val="auto"/>
          <w:sz w:val="21"/>
          <w:szCs w:val="21"/>
          <w:lang w:eastAsia="zh-CN"/>
        </w:rPr>
      </w:pPr>
    </w:p>
    <w:p w14:paraId="637522A7">
      <w:pPr>
        <w:pStyle w:val="2"/>
        <w:rPr>
          <w:rFonts w:hint="default" w:ascii="宋体" w:hAnsi="宋体" w:eastAsia="宋体" w:cs="宋体"/>
          <w:b w:val="0"/>
          <w:bCs/>
          <w:color w:val="auto"/>
          <w:sz w:val="21"/>
          <w:szCs w:val="21"/>
          <w:lang w:eastAsia="zh-CN"/>
        </w:rPr>
      </w:pPr>
    </w:p>
    <w:p w14:paraId="7DA6B217">
      <w:pPr>
        <w:rPr>
          <w:rFonts w:hint="default" w:ascii="宋体" w:hAnsi="宋体" w:eastAsia="宋体" w:cs="宋体"/>
          <w:b w:val="0"/>
          <w:bCs/>
          <w:color w:val="auto"/>
          <w:sz w:val="21"/>
          <w:szCs w:val="21"/>
          <w:lang w:eastAsia="zh-CN"/>
        </w:rPr>
      </w:pPr>
    </w:p>
    <w:p w14:paraId="7C97725E">
      <w:pPr>
        <w:pStyle w:val="2"/>
        <w:rPr>
          <w:rFonts w:hint="default" w:ascii="宋体" w:hAnsi="宋体" w:eastAsia="宋体" w:cs="宋体"/>
          <w:b w:val="0"/>
          <w:bCs/>
          <w:color w:val="auto"/>
          <w:sz w:val="21"/>
          <w:szCs w:val="21"/>
          <w:lang w:eastAsia="zh-CN"/>
        </w:rPr>
      </w:pPr>
    </w:p>
    <w:p w14:paraId="5DB3E2EC">
      <w:pPr>
        <w:rPr>
          <w:rFonts w:hint="default" w:ascii="宋体" w:hAnsi="宋体" w:eastAsia="宋体" w:cs="宋体"/>
          <w:b w:val="0"/>
          <w:bCs/>
          <w:color w:val="auto"/>
          <w:sz w:val="21"/>
          <w:szCs w:val="21"/>
          <w:lang w:eastAsia="zh-CN"/>
        </w:rPr>
      </w:pPr>
    </w:p>
    <w:p w14:paraId="497DDDBA">
      <w:pPr>
        <w:pStyle w:val="2"/>
        <w:rPr>
          <w:rFonts w:hint="default" w:ascii="宋体" w:hAnsi="宋体" w:eastAsia="宋体" w:cs="宋体"/>
          <w:b w:val="0"/>
          <w:bCs/>
          <w:color w:val="auto"/>
          <w:sz w:val="21"/>
          <w:szCs w:val="21"/>
          <w:lang w:eastAsia="zh-CN"/>
        </w:rPr>
      </w:pPr>
    </w:p>
    <w:p w14:paraId="2A7A9246">
      <w:pPr>
        <w:rPr>
          <w:rFonts w:hint="default" w:ascii="宋体" w:hAnsi="宋体" w:eastAsia="宋体" w:cs="宋体"/>
          <w:b w:val="0"/>
          <w:bCs/>
          <w:color w:val="auto"/>
          <w:sz w:val="21"/>
          <w:szCs w:val="21"/>
          <w:lang w:eastAsia="zh-CN"/>
        </w:rPr>
      </w:pPr>
    </w:p>
    <w:p w14:paraId="09539CCE">
      <w:pPr>
        <w:pStyle w:val="2"/>
        <w:rPr>
          <w:rFonts w:hint="default" w:ascii="宋体" w:hAnsi="宋体" w:eastAsia="宋体" w:cs="宋体"/>
          <w:b w:val="0"/>
          <w:bCs/>
          <w:color w:val="auto"/>
          <w:sz w:val="21"/>
          <w:szCs w:val="21"/>
          <w:lang w:eastAsia="zh-CN"/>
        </w:rPr>
      </w:pPr>
    </w:p>
    <w:p w14:paraId="20C17625">
      <w:pPr>
        <w:rPr>
          <w:rFonts w:hint="default" w:ascii="宋体" w:hAnsi="宋体" w:eastAsia="宋体" w:cs="宋体"/>
          <w:b w:val="0"/>
          <w:bCs/>
          <w:color w:val="auto"/>
          <w:sz w:val="21"/>
          <w:szCs w:val="21"/>
          <w:lang w:eastAsia="zh-CN"/>
        </w:rPr>
      </w:pPr>
    </w:p>
    <w:p w14:paraId="5E8CA604">
      <w:pPr>
        <w:pStyle w:val="2"/>
        <w:rPr>
          <w:rFonts w:hint="default"/>
          <w:color w:val="auto"/>
          <w:lang w:eastAsia="zh-CN"/>
        </w:rPr>
      </w:pPr>
    </w:p>
    <w:p w14:paraId="7BCF3892">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14:paraId="4B7A4DEB">
      <w:pPr>
        <w:autoSpaceDE w:val="0"/>
        <w:autoSpaceDN w:val="0"/>
        <w:adjustRightInd w:val="0"/>
        <w:jc w:val="left"/>
        <w:rPr>
          <w:rFonts w:cs="宋体" w:asciiTheme="majorEastAsia" w:hAnsiTheme="majorEastAsia" w:eastAsiaTheme="majorEastAsia"/>
          <w:b/>
          <w:bCs/>
          <w:i/>
          <w:iCs/>
          <w:color w:val="auto"/>
          <w:kern w:val="0"/>
          <w:szCs w:val="21"/>
        </w:rPr>
      </w:pPr>
      <w:r>
        <w:rPr>
          <w:rFonts w:hint="eastAsia"/>
          <w:b/>
          <w:bCs/>
          <w:i/>
          <w:iCs/>
          <w:color w:val="auto"/>
          <w:szCs w:val="21"/>
        </w:rPr>
        <w:t>谈判文件中凡标有★条款均为实质性要求条款，响应文件须完全响应，未实质响应的，按照无效响应处理。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53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64A4B121">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14:paraId="5AA9C826">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14:paraId="02E5DDA4">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14:paraId="1040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4DA81C2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14:paraId="4B3058D3">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vAlign w:val="center"/>
          </w:tcPr>
          <w:p w14:paraId="4A1FCDA9">
            <w:pPr>
              <w:spacing w:line="300" w:lineRule="exac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lang w:eastAsia="zh-CN"/>
              </w:rPr>
              <w:t>禹州市公路事业发展中心省道232禹州市顺店镇（西高庄）至神垕镇（北沟）段改建工程设计项目二次</w:t>
            </w:r>
          </w:p>
        </w:tc>
      </w:tr>
      <w:tr w14:paraId="639F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806" w:type="dxa"/>
            <w:vAlign w:val="center"/>
          </w:tcPr>
          <w:p w14:paraId="62754F7D">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14:paraId="41B9F217">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14:paraId="04B92C57">
            <w:pPr>
              <w:spacing w:line="300" w:lineRule="exact"/>
              <w:rPr>
                <w:rFonts w:cs="仿宋_GB2312" w:asciiTheme="minorEastAsia" w:hAnsiTheme="minorEastAsia"/>
                <w:color w:val="auto"/>
                <w:szCs w:val="21"/>
              </w:rPr>
            </w:pPr>
            <w:r>
              <w:rPr>
                <w:rFonts w:cs="仿宋_GB2312" w:asciiTheme="minorEastAsia" w:hAnsiTheme="minorEastAsia"/>
                <w:color w:val="auto"/>
                <w:szCs w:val="21"/>
              </w:rPr>
              <w:t>招标人：</w:t>
            </w:r>
            <w:r>
              <w:rPr>
                <w:rFonts w:hint="eastAsia" w:cs="仿宋_GB2312" w:asciiTheme="minorEastAsia" w:hAnsiTheme="minorEastAsia"/>
                <w:color w:val="auto"/>
                <w:szCs w:val="21"/>
              </w:rPr>
              <w:t>禹州市公路事业发展中心</w:t>
            </w:r>
          </w:p>
          <w:p w14:paraId="32884A45">
            <w:pPr>
              <w:spacing w:line="300" w:lineRule="exact"/>
              <w:rPr>
                <w:rFonts w:cs="仿宋_GB2312" w:asciiTheme="minorEastAsia" w:hAnsiTheme="minorEastAsia"/>
                <w:color w:val="auto"/>
                <w:szCs w:val="21"/>
              </w:rPr>
            </w:pPr>
            <w:r>
              <w:rPr>
                <w:rFonts w:cs="仿宋_GB2312" w:asciiTheme="minorEastAsia" w:hAnsiTheme="minorEastAsia"/>
                <w:color w:val="auto"/>
                <w:szCs w:val="21"/>
              </w:rPr>
              <w:t>地址：禹王大道东段15号</w:t>
            </w:r>
          </w:p>
          <w:p w14:paraId="5C262259">
            <w:pPr>
              <w:spacing w:line="300" w:lineRule="exact"/>
              <w:rPr>
                <w:rFonts w:cs="仿宋_GB2312" w:asciiTheme="minorEastAsia" w:hAnsiTheme="minorEastAsia"/>
                <w:color w:val="auto"/>
                <w:szCs w:val="21"/>
              </w:rPr>
            </w:pPr>
            <w:r>
              <w:rPr>
                <w:rFonts w:cs="仿宋_GB2312" w:asciiTheme="minorEastAsia" w:hAnsiTheme="minorEastAsia"/>
                <w:color w:val="auto"/>
                <w:szCs w:val="21"/>
              </w:rPr>
              <w:t>联系人：</w:t>
            </w:r>
            <w:r>
              <w:rPr>
                <w:rFonts w:hint="eastAsia" w:cs="仿宋_GB2312" w:asciiTheme="minorEastAsia" w:hAnsiTheme="minorEastAsia"/>
                <w:color w:val="auto"/>
                <w:szCs w:val="21"/>
              </w:rPr>
              <w:t>张先生</w:t>
            </w:r>
          </w:p>
          <w:p w14:paraId="4908C5C3">
            <w:pPr>
              <w:spacing w:line="300" w:lineRule="exact"/>
              <w:rPr>
                <w:rFonts w:cs="仿宋_GB2312" w:asciiTheme="minorEastAsia" w:hAnsiTheme="minorEastAsia"/>
                <w:color w:val="auto"/>
                <w:szCs w:val="21"/>
              </w:rPr>
            </w:pPr>
            <w:r>
              <w:rPr>
                <w:rFonts w:cs="仿宋_GB2312" w:asciiTheme="minorEastAsia" w:hAnsiTheme="minorEastAsia"/>
                <w:color w:val="auto"/>
                <w:szCs w:val="21"/>
              </w:rPr>
              <w:t>联系电话：0374-8288617</w:t>
            </w:r>
          </w:p>
        </w:tc>
      </w:tr>
      <w:tr w14:paraId="2924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3DE1369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14:paraId="4345AFBA">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采购机构</w:t>
            </w:r>
          </w:p>
        </w:tc>
        <w:tc>
          <w:tcPr>
            <w:tcW w:w="6813" w:type="dxa"/>
            <w:vAlign w:val="center"/>
          </w:tcPr>
          <w:p w14:paraId="466D2140">
            <w:pPr>
              <w:spacing w:line="300" w:lineRule="exact"/>
              <w:jc w:val="left"/>
              <w:rPr>
                <w:rFonts w:asciiTheme="majorEastAsia" w:hAnsiTheme="majorEastAsia" w:eastAsiaTheme="majorEastAsia" w:cstheme="majorEastAsia"/>
                <w:color w:val="auto"/>
                <w:szCs w:val="21"/>
              </w:rPr>
            </w:pPr>
            <w:r>
              <w:rPr>
                <w:rFonts w:asciiTheme="majorEastAsia" w:hAnsiTheme="majorEastAsia" w:eastAsiaTheme="majorEastAsia" w:cstheme="majorEastAsia"/>
                <w:color w:val="auto"/>
                <w:szCs w:val="21"/>
              </w:rPr>
              <w:t>名称：</w:t>
            </w:r>
            <w:r>
              <w:rPr>
                <w:rFonts w:hint="eastAsia" w:asciiTheme="majorEastAsia" w:hAnsiTheme="majorEastAsia" w:eastAsiaTheme="majorEastAsia" w:cstheme="majorEastAsia"/>
                <w:color w:val="auto"/>
                <w:szCs w:val="21"/>
              </w:rPr>
              <w:t>天勤工程咨询有限公司</w:t>
            </w:r>
          </w:p>
          <w:p w14:paraId="78947EAD">
            <w:pPr>
              <w:spacing w:line="300" w:lineRule="exact"/>
              <w:jc w:val="left"/>
              <w:rPr>
                <w:rFonts w:asciiTheme="majorEastAsia" w:hAnsiTheme="majorEastAsia" w:eastAsiaTheme="majorEastAsia" w:cstheme="majorEastAsia"/>
                <w:color w:val="auto"/>
                <w:szCs w:val="21"/>
              </w:rPr>
            </w:pPr>
            <w:r>
              <w:rPr>
                <w:rFonts w:asciiTheme="majorEastAsia" w:hAnsiTheme="majorEastAsia" w:eastAsiaTheme="majorEastAsia" w:cstheme="majorEastAsia"/>
                <w:color w:val="auto"/>
                <w:szCs w:val="21"/>
              </w:rPr>
              <w:t>地址：</w:t>
            </w:r>
            <w:r>
              <w:rPr>
                <w:rFonts w:hint="eastAsia" w:asciiTheme="majorEastAsia" w:hAnsiTheme="majorEastAsia" w:eastAsiaTheme="majorEastAsia" w:cstheme="majorEastAsia"/>
                <w:color w:val="auto"/>
                <w:szCs w:val="21"/>
              </w:rPr>
              <w:t>禹州市荟萃路15号</w:t>
            </w:r>
          </w:p>
          <w:p w14:paraId="72C01B65">
            <w:pPr>
              <w:spacing w:line="300" w:lineRule="exact"/>
              <w:jc w:val="left"/>
              <w:rPr>
                <w:rFonts w:asciiTheme="majorEastAsia" w:hAnsiTheme="majorEastAsia" w:eastAsiaTheme="majorEastAsia" w:cstheme="majorEastAsia"/>
                <w:color w:val="auto"/>
                <w:szCs w:val="21"/>
              </w:rPr>
            </w:pPr>
            <w:r>
              <w:rPr>
                <w:rFonts w:asciiTheme="majorEastAsia" w:hAnsiTheme="majorEastAsia" w:eastAsiaTheme="majorEastAsia" w:cstheme="majorEastAsia"/>
                <w:color w:val="auto"/>
                <w:szCs w:val="21"/>
              </w:rPr>
              <w:t>联系人：</w:t>
            </w:r>
            <w:r>
              <w:rPr>
                <w:rFonts w:hint="eastAsia" w:asciiTheme="majorEastAsia" w:hAnsiTheme="majorEastAsia" w:eastAsiaTheme="majorEastAsia" w:cstheme="majorEastAsia"/>
                <w:color w:val="auto"/>
                <w:szCs w:val="21"/>
              </w:rPr>
              <w:t>刘先生</w:t>
            </w:r>
          </w:p>
          <w:p w14:paraId="1EF671DC">
            <w:pPr>
              <w:spacing w:line="300" w:lineRule="exact"/>
              <w:jc w:val="left"/>
              <w:rPr>
                <w:rFonts w:cs="仿宋_GB2312" w:asciiTheme="minorEastAsia" w:hAnsiTheme="minorEastAsia"/>
                <w:color w:val="auto"/>
                <w:szCs w:val="21"/>
              </w:rPr>
            </w:pPr>
            <w:r>
              <w:rPr>
                <w:rFonts w:asciiTheme="majorEastAsia" w:hAnsiTheme="majorEastAsia" w:eastAsiaTheme="majorEastAsia" w:cstheme="majorEastAsia"/>
                <w:color w:val="auto"/>
                <w:szCs w:val="21"/>
              </w:rPr>
              <w:t>联系电话：</w:t>
            </w:r>
            <w:r>
              <w:rPr>
                <w:rFonts w:hint="eastAsia" w:asciiTheme="majorEastAsia" w:hAnsiTheme="majorEastAsia" w:eastAsiaTheme="majorEastAsia" w:cstheme="majorEastAsia"/>
                <w:color w:val="auto"/>
                <w:szCs w:val="21"/>
              </w:rPr>
              <w:t>15237466887</w:t>
            </w:r>
          </w:p>
        </w:tc>
      </w:tr>
      <w:tr w14:paraId="3D3D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03A56C7B">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Merge w:val="restart"/>
            <w:vAlign w:val="center"/>
          </w:tcPr>
          <w:p w14:paraId="33B7ED0D">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14:paraId="4F8014FB">
            <w:pPr>
              <w:spacing w:line="440" w:lineRule="exact"/>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一、中小企业或者残疾人福利性单位声明函、监狱企业证明文件</w:t>
            </w:r>
          </w:p>
          <w:p w14:paraId="0B5FA622">
            <w:pPr>
              <w:spacing w:line="440" w:lineRule="exact"/>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1、中小型企业出具《中小企业声明函》</w:t>
            </w:r>
          </w:p>
          <w:p w14:paraId="2E897E29">
            <w:pPr>
              <w:spacing w:line="440" w:lineRule="exact"/>
              <w:jc w:val="left"/>
              <w:rPr>
                <w:rFonts w:asciiTheme="majorEastAsia" w:hAnsiTheme="majorEastAsia" w:eastAsiaTheme="majorEastAsia" w:cstheme="majorEastAsia"/>
                <w:color w:val="auto"/>
                <w:szCs w:val="21"/>
                <w:lang w:val="zh-CN"/>
              </w:rPr>
            </w:pPr>
            <w:r>
              <w:rPr>
                <w:rFonts w:hint="eastAsia" w:asciiTheme="majorEastAsia" w:hAnsiTheme="majorEastAsia" w:eastAsiaTheme="majorEastAsia" w:cstheme="majorEastAsia"/>
                <w:color w:val="auto"/>
                <w:szCs w:val="21"/>
                <w:lang w:val="zh-CN"/>
              </w:rPr>
              <w:t>2、残疾人福利性单位出具《残疾人福利企业声明函》</w:t>
            </w:r>
          </w:p>
          <w:p w14:paraId="65CF683E">
            <w:pPr>
              <w:spacing w:line="440" w:lineRule="exact"/>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 xml:space="preserve">3、监狱企业提供由省级以上监狱管理局、戒毒管理局（含新疆生产建设 </w:t>
            </w:r>
          </w:p>
          <w:p w14:paraId="3AC06DBA">
            <w:pPr>
              <w:spacing w:line="440" w:lineRule="exact"/>
              <w:jc w:val="left"/>
              <w:rPr>
                <w:color w:val="auto"/>
              </w:rPr>
            </w:pPr>
            <w:r>
              <w:rPr>
                <w:rFonts w:hint="eastAsia" w:asciiTheme="majorEastAsia" w:hAnsiTheme="majorEastAsia" w:eastAsiaTheme="majorEastAsia" w:cstheme="majorEastAsia"/>
                <w:color w:val="auto"/>
                <w:szCs w:val="21"/>
              </w:rPr>
              <w:t>兵团）出具的属于监狱企业的证明文件</w:t>
            </w:r>
          </w:p>
          <w:p w14:paraId="4B40BD28">
            <w:pPr>
              <w:spacing w:line="440" w:lineRule="exact"/>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二、符合《中华人民共和国政府采购法》第二十二条规定</w:t>
            </w:r>
          </w:p>
          <w:p w14:paraId="238081AE">
            <w:pPr>
              <w:spacing w:line="440" w:lineRule="exact"/>
              <w:jc w:val="left"/>
              <w:rPr>
                <w:color w:val="auto"/>
              </w:rPr>
            </w:pPr>
            <w:r>
              <w:rPr>
                <w:rFonts w:hint="eastAsia" w:asciiTheme="majorEastAsia" w:hAnsiTheme="majorEastAsia" w:eastAsiaTheme="majorEastAsia" w:cstheme="majorEastAsia"/>
                <w:color w:val="auto"/>
                <w:szCs w:val="21"/>
              </w:rPr>
              <w:t>三、特定资格要求：详见谈判公告</w:t>
            </w:r>
          </w:p>
        </w:tc>
      </w:tr>
      <w:tr w14:paraId="5B46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1D6C51B5">
            <w:pPr>
              <w:autoSpaceDE w:val="0"/>
              <w:autoSpaceDN w:val="0"/>
              <w:adjustRightInd w:val="0"/>
              <w:spacing w:line="276" w:lineRule="auto"/>
              <w:jc w:val="center"/>
              <w:rPr>
                <w:rFonts w:cs="黑体" w:asciiTheme="minorEastAsia" w:hAnsiTheme="minorEastAsia"/>
                <w:color w:val="auto"/>
                <w:szCs w:val="21"/>
              </w:rPr>
            </w:pPr>
          </w:p>
        </w:tc>
        <w:tc>
          <w:tcPr>
            <w:tcW w:w="2268" w:type="dxa"/>
            <w:vMerge w:val="continue"/>
            <w:vAlign w:val="center"/>
          </w:tcPr>
          <w:p w14:paraId="4DAD6FCF">
            <w:pPr>
              <w:autoSpaceDE w:val="0"/>
              <w:autoSpaceDN w:val="0"/>
              <w:adjustRightInd w:val="0"/>
              <w:spacing w:line="276" w:lineRule="auto"/>
              <w:jc w:val="center"/>
              <w:rPr>
                <w:rFonts w:cs="仿宋_GB2312" w:asciiTheme="minorEastAsia" w:hAnsiTheme="minorEastAsia"/>
                <w:color w:val="auto"/>
                <w:szCs w:val="21"/>
              </w:rPr>
            </w:pPr>
          </w:p>
        </w:tc>
        <w:tc>
          <w:tcPr>
            <w:tcW w:w="6813" w:type="dxa"/>
            <w:vAlign w:val="center"/>
          </w:tcPr>
          <w:p w14:paraId="43784054">
            <w:pPr>
              <w:autoSpaceDE w:val="0"/>
              <w:autoSpaceDN w:val="0"/>
              <w:adjustRightInd w:val="0"/>
              <w:spacing w:line="360" w:lineRule="auto"/>
              <w:ind w:right="-11"/>
              <w:rPr>
                <w:color w:val="auto"/>
                <w:lang w:val="zh-CN"/>
              </w:rPr>
            </w:pPr>
            <w:r>
              <w:rPr>
                <w:rFonts w:hint="eastAsia"/>
                <w:color w:val="auto"/>
                <w:lang w:val="zh-CN"/>
              </w:rPr>
              <w:t>一、</w:t>
            </w:r>
            <w:r>
              <w:rPr>
                <w:color w:val="auto"/>
                <w:lang w:val="zh-CN"/>
              </w:rPr>
              <w:t>法人或者其他组织的营业执照等证明文件，自然人的身份证明</w:t>
            </w:r>
          </w:p>
          <w:p w14:paraId="73A9F695">
            <w:pPr>
              <w:autoSpaceDE w:val="0"/>
              <w:autoSpaceDN w:val="0"/>
              <w:adjustRightInd w:val="0"/>
              <w:spacing w:line="360" w:lineRule="auto"/>
              <w:ind w:right="-11"/>
              <w:rPr>
                <w:color w:val="auto"/>
                <w:lang w:val="zh-CN"/>
              </w:rPr>
            </w:pPr>
            <w:r>
              <w:rPr>
                <w:rFonts w:hint="eastAsia"/>
                <w:color w:val="auto"/>
                <w:lang w:val="zh-CN"/>
              </w:rPr>
              <w:t>1、企业法人营业执照或营业执照。（企业提供）</w:t>
            </w:r>
          </w:p>
          <w:p w14:paraId="783F953F">
            <w:pPr>
              <w:autoSpaceDE w:val="0"/>
              <w:autoSpaceDN w:val="0"/>
              <w:adjustRightInd w:val="0"/>
              <w:spacing w:line="360" w:lineRule="auto"/>
              <w:ind w:right="-11"/>
              <w:rPr>
                <w:color w:val="auto"/>
                <w:lang w:val="zh-CN"/>
              </w:rPr>
            </w:pPr>
            <w:r>
              <w:rPr>
                <w:rFonts w:hint="eastAsia"/>
                <w:color w:val="auto"/>
                <w:lang w:val="zh-CN"/>
              </w:rPr>
              <w:t>2、事业单位法人证书。（事业单位提供）</w:t>
            </w:r>
          </w:p>
          <w:p w14:paraId="48CF217D">
            <w:pPr>
              <w:autoSpaceDE w:val="0"/>
              <w:autoSpaceDN w:val="0"/>
              <w:adjustRightInd w:val="0"/>
              <w:spacing w:line="360" w:lineRule="auto"/>
              <w:ind w:right="-11"/>
              <w:rPr>
                <w:color w:val="auto"/>
                <w:lang w:val="zh-CN"/>
              </w:rPr>
            </w:pPr>
            <w:r>
              <w:rPr>
                <w:rFonts w:hint="eastAsia"/>
                <w:color w:val="auto"/>
                <w:lang w:val="zh-CN"/>
              </w:rPr>
              <w:t>3、执业许可证。（非企业专业服务机构提供）</w:t>
            </w:r>
          </w:p>
          <w:p w14:paraId="78369A40">
            <w:pPr>
              <w:autoSpaceDE w:val="0"/>
              <w:autoSpaceDN w:val="0"/>
              <w:adjustRightInd w:val="0"/>
              <w:spacing w:line="360" w:lineRule="auto"/>
              <w:ind w:right="-11"/>
              <w:rPr>
                <w:color w:val="auto"/>
                <w:lang w:val="zh-CN"/>
              </w:rPr>
            </w:pPr>
            <w:r>
              <w:rPr>
                <w:rFonts w:hint="eastAsia"/>
                <w:color w:val="auto"/>
                <w:lang w:val="zh-CN"/>
              </w:rPr>
              <w:t>4、个体工商户营业执照。（个体工商户提供）</w:t>
            </w:r>
          </w:p>
          <w:p w14:paraId="083734DE">
            <w:pPr>
              <w:autoSpaceDE w:val="0"/>
              <w:autoSpaceDN w:val="0"/>
              <w:adjustRightInd w:val="0"/>
              <w:spacing w:line="360" w:lineRule="auto"/>
              <w:jc w:val="left"/>
              <w:rPr>
                <w:color w:val="auto"/>
                <w:lang w:val="zh-CN"/>
              </w:rPr>
            </w:pPr>
            <w:r>
              <w:rPr>
                <w:rFonts w:hint="eastAsia"/>
                <w:color w:val="auto"/>
                <w:lang w:val="zh-CN"/>
              </w:rPr>
              <w:t>5、自然人身份证明。（自然人提供）</w:t>
            </w:r>
          </w:p>
          <w:p w14:paraId="6140CC26">
            <w:pPr>
              <w:autoSpaceDE w:val="0"/>
              <w:autoSpaceDN w:val="0"/>
              <w:adjustRightInd w:val="0"/>
              <w:spacing w:line="360" w:lineRule="auto"/>
              <w:jc w:val="left"/>
              <w:rPr>
                <w:color w:val="auto"/>
                <w:lang w:val="zh-CN"/>
              </w:rPr>
            </w:pPr>
            <w:r>
              <w:rPr>
                <w:rFonts w:hint="eastAsia"/>
                <w:color w:val="auto"/>
                <w:lang w:val="zh-CN"/>
              </w:rPr>
              <w:t>6、民办非企业单位登记证书。（民办非企业单位提供）</w:t>
            </w:r>
          </w:p>
          <w:p w14:paraId="180D099A">
            <w:pPr>
              <w:autoSpaceDE w:val="0"/>
              <w:autoSpaceDN w:val="0"/>
              <w:adjustRightInd w:val="0"/>
              <w:spacing w:line="360" w:lineRule="auto"/>
              <w:jc w:val="left"/>
              <w:rPr>
                <w:color w:val="auto"/>
              </w:rPr>
            </w:pPr>
            <w:r>
              <w:rPr>
                <w:rFonts w:hint="eastAsia"/>
                <w:color w:val="auto"/>
              </w:rPr>
              <w:t>二、财务状况报告相关材料</w:t>
            </w:r>
          </w:p>
          <w:p w14:paraId="3C4B5760">
            <w:pPr>
              <w:spacing w:line="360" w:lineRule="auto"/>
              <w:rPr>
                <w:color w:val="auto"/>
              </w:rPr>
            </w:pPr>
            <w:r>
              <w:rPr>
                <w:rFonts w:hint="eastAsia"/>
                <w:color w:val="auto"/>
              </w:rPr>
              <w:t>（1）供应商是法人（法人包括企业法人、机关法人、事业单位法人和社会团体法人），提供本单位：</w:t>
            </w:r>
          </w:p>
          <w:p w14:paraId="69315CEB">
            <w:pPr>
              <w:spacing w:line="360" w:lineRule="auto"/>
              <w:rPr>
                <w:color w:val="auto"/>
              </w:rPr>
            </w:pPr>
            <w:r>
              <w:rPr>
                <w:rFonts w:hint="eastAsia"/>
                <w:color w:val="auto"/>
              </w:rPr>
              <w:t>①</w:t>
            </w:r>
            <w:r>
              <w:rPr>
                <w:rFonts w:hint="eastAsia" w:ascii="宋体" w:hAnsi="宋体" w:eastAsia="宋体" w:cs="仿宋_GB2312"/>
                <w:color w:val="auto"/>
                <w:szCs w:val="21"/>
              </w:rPr>
              <w:t>2023年度或2024年度</w:t>
            </w:r>
            <w:r>
              <w:rPr>
                <w:rFonts w:hint="eastAsia"/>
                <w:color w:val="auto"/>
              </w:rPr>
              <w:t>经审计的财务报告；</w:t>
            </w:r>
          </w:p>
          <w:p w14:paraId="115E4720">
            <w:pPr>
              <w:spacing w:line="360" w:lineRule="auto"/>
              <w:rPr>
                <w:color w:val="auto"/>
              </w:rPr>
            </w:pPr>
            <w:r>
              <w:rPr>
                <w:rFonts w:hint="eastAsia"/>
                <w:color w:val="auto"/>
              </w:rPr>
              <w:t>②基本开户银行出具的资信证明；</w:t>
            </w:r>
          </w:p>
          <w:p w14:paraId="2756FB4A">
            <w:pPr>
              <w:spacing w:line="360" w:lineRule="auto"/>
              <w:rPr>
                <w:color w:val="auto"/>
              </w:rPr>
            </w:pPr>
            <w:r>
              <w:rPr>
                <w:rFonts w:hint="eastAsia"/>
                <w:color w:val="auto"/>
              </w:rPr>
              <w:t>③财政部门认可的政府采购专业担保机构的证明文件和担保机构出具的投标担保函。</w:t>
            </w:r>
          </w:p>
          <w:p w14:paraId="04A52579">
            <w:pPr>
              <w:spacing w:line="360" w:lineRule="auto"/>
              <w:rPr>
                <w:color w:val="auto"/>
              </w:rPr>
            </w:pPr>
            <w:r>
              <w:rPr>
                <w:rFonts w:hint="eastAsia"/>
                <w:color w:val="auto"/>
                <w:lang w:val="zh-CN"/>
              </w:rPr>
              <w:t>注：仅需提供序号</w:t>
            </w:r>
            <w:r>
              <w:rPr>
                <w:rFonts w:hint="eastAsia"/>
                <w:color w:val="auto"/>
              </w:rPr>
              <w:t>①～③其中之一即可。</w:t>
            </w:r>
          </w:p>
          <w:p w14:paraId="685BD104">
            <w:pPr>
              <w:spacing w:line="360" w:lineRule="auto"/>
              <w:rPr>
                <w:color w:val="auto"/>
              </w:rPr>
            </w:pPr>
            <w:r>
              <w:rPr>
                <w:rFonts w:hint="eastAsia"/>
                <w:color w:val="auto"/>
              </w:rPr>
              <w:t>（2）供应商（其他组织和自然人）提供本单位：</w:t>
            </w:r>
          </w:p>
          <w:p w14:paraId="615AAD02">
            <w:pPr>
              <w:spacing w:line="360" w:lineRule="auto"/>
              <w:rPr>
                <w:color w:val="auto"/>
              </w:rPr>
            </w:pPr>
            <w:r>
              <w:rPr>
                <w:rFonts w:hint="eastAsia"/>
                <w:color w:val="auto"/>
              </w:rPr>
              <w:t>①</w:t>
            </w:r>
            <w:r>
              <w:rPr>
                <w:rFonts w:hint="eastAsia" w:ascii="宋体" w:hAnsi="宋体" w:eastAsia="宋体" w:cs="仿宋_GB2312"/>
                <w:color w:val="auto"/>
                <w:szCs w:val="21"/>
              </w:rPr>
              <w:t>2023年度或2024年度</w:t>
            </w:r>
            <w:r>
              <w:rPr>
                <w:rFonts w:hint="eastAsia"/>
                <w:color w:val="auto"/>
              </w:rPr>
              <w:t>经审计的财务报告；</w:t>
            </w:r>
          </w:p>
          <w:p w14:paraId="29E0F879">
            <w:pPr>
              <w:spacing w:line="360" w:lineRule="auto"/>
              <w:rPr>
                <w:color w:val="auto"/>
              </w:rPr>
            </w:pPr>
            <w:r>
              <w:rPr>
                <w:rFonts w:hint="eastAsia"/>
                <w:color w:val="auto"/>
              </w:rPr>
              <w:t>②银行出具的资信证明；</w:t>
            </w:r>
          </w:p>
          <w:p w14:paraId="5E95DA1D">
            <w:pPr>
              <w:spacing w:line="360" w:lineRule="auto"/>
              <w:rPr>
                <w:color w:val="auto"/>
              </w:rPr>
            </w:pPr>
            <w:r>
              <w:rPr>
                <w:rFonts w:hint="eastAsia"/>
                <w:color w:val="auto"/>
              </w:rPr>
              <w:t>③财政部门认可的政府采购专业担保机构的证明文件和担保机构出具的投标担保函。</w:t>
            </w:r>
          </w:p>
          <w:p w14:paraId="6FF38ADD">
            <w:pPr>
              <w:autoSpaceDE w:val="0"/>
              <w:autoSpaceDN w:val="0"/>
              <w:adjustRightInd w:val="0"/>
              <w:spacing w:line="360" w:lineRule="auto"/>
              <w:ind w:right="-11"/>
              <w:rPr>
                <w:color w:val="auto"/>
                <w:lang w:val="zh-CN"/>
              </w:rPr>
            </w:pPr>
            <w:r>
              <w:rPr>
                <w:rFonts w:hint="eastAsia"/>
                <w:color w:val="auto"/>
                <w:lang w:val="zh-CN"/>
              </w:rPr>
              <w:t>注：仅需提供序号</w:t>
            </w:r>
            <w:r>
              <w:rPr>
                <w:rFonts w:hint="eastAsia"/>
                <w:color w:val="auto"/>
              </w:rPr>
              <w:t>①～③其中之一即可。</w:t>
            </w:r>
          </w:p>
          <w:p w14:paraId="40BC6327">
            <w:pPr>
              <w:autoSpaceDE w:val="0"/>
              <w:autoSpaceDN w:val="0"/>
              <w:adjustRightInd w:val="0"/>
              <w:spacing w:line="360" w:lineRule="auto"/>
              <w:ind w:right="-11"/>
              <w:rPr>
                <w:color w:val="auto"/>
                <w:lang w:val="zh-CN"/>
              </w:rPr>
            </w:pPr>
            <w:r>
              <w:rPr>
                <w:rFonts w:hint="eastAsia"/>
                <w:color w:val="auto"/>
              </w:rPr>
              <w:t>三、依法缴纳税收相关材料</w:t>
            </w:r>
          </w:p>
          <w:p w14:paraId="702EF065">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参加本次政府采购项目谈判响应截止时间前六个月内任意一个月缴纳税收凭据。（依法免税的供应商，应提供相应文件证明依法免税）</w:t>
            </w:r>
          </w:p>
          <w:p w14:paraId="4E86117D">
            <w:pPr>
              <w:autoSpaceDE w:val="0"/>
              <w:autoSpaceDN w:val="0"/>
              <w:adjustRightInd w:val="0"/>
              <w:spacing w:line="360" w:lineRule="auto"/>
              <w:ind w:right="-11"/>
              <w:rPr>
                <w:color w:val="auto"/>
                <w:lang w:val="zh-CN"/>
              </w:rPr>
            </w:pPr>
            <w:r>
              <w:rPr>
                <w:rFonts w:hint="eastAsia"/>
                <w:color w:val="auto"/>
                <w:lang w:val="zh-CN"/>
              </w:rPr>
              <w:t>四、依法缴纳社会保障资金的证明材料</w:t>
            </w:r>
          </w:p>
          <w:p w14:paraId="4BA82784">
            <w:pPr>
              <w:autoSpaceDE w:val="0"/>
              <w:autoSpaceDN w:val="0"/>
              <w:adjustRightInd w:val="0"/>
              <w:spacing w:line="360" w:lineRule="auto"/>
              <w:ind w:right="-11"/>
              <w:rPr>
                <w:color w:val="auto"/>
                <w:lang w:val="zh-CN"/>
              </w:rPr>
            </w:pPr>
            <w:r>
              <w:rPr>
                <w:rFonts w:hint="eastAsia"/>
                <w:color w:val="auto"/>
                <w:lang w:val="zh-CN"/>
              </w:rPr>
              <w:t>参加本次政府采购项目谈判响应截止时间前六个月内任意一个月缴纳社会保险凭据。（依法不需要缴纳社会保障资金的供应商，应提供相应文件证明依法不需要缴纳社会保障资金）</w:t>
            </w:r>
          </w:p>
          <w:p w14:paraId="71739980">
            <w:pPr>
              <w:autoSpaceDE w:val="0"/>
              <w:autoSpaceDN w:val="0"/>
              <w:adjustRightInd w:val="0"/>
              <w:spacing w:line="360" w:lineRule="auto"/>
              <w:ind w:right="-11"/>
              <w:rPr>
                <w:color w:val="auto"/>
                <w:lang w:val="zh-CN"/>
              </w:rPr>
            </w:pPr>
            <w:r>
              <w:rPr>
                <w:rFonts w:hint="eastAsia"/>
                <w:color w:val="auto"/>
                <w:lang w:val="zh-CN"/>
              </w:rPr>
              <w:t>五、履行合同所必需的设备和专业技术能力的证明材料</w:t>
            </w:r>
          </w:p>
          <w:p w14:paraId="0568E206">
            <w:pPr>
              <w:autoSpaceDE w:val="0"/>
              <w:autoSpaceDN w:val="0"/>
              <w:adjustRightInd w:val="0"/>
              <w:spacing w:line="360" w:lineRule="auto"/>
              <w:jc w:val="left"/>
              <w:rPr>
                <w:color w:val="auto"/>
                <w:lang w:val="zh-CN"/>
              </w:rPr>
            </w:pPr>
            <w:r>
              <w:rPr>
                <w:rFonts w:hint="eastAsia"/>
                <w:color w:val="auto"/>
                <w:lang w:val="zh-CN"/>
              </w:rPr>
              <w:t>①相关设备的购置发票、专业技术人员职称证书、用工合同等；</w:t>
            </w:r>
          </w:p>
          <w:p w14:paraId="2F1C6B0F">
            <w:pPr>
              <w:spacing w:line="360" w:lineRule="auto"/>
              <w:rPr>
                <w:color w:val="auto"/>
              </w:rPr>
            </w:pPr>
            <w:r>
              <w:rPr>
                <w:rFonts w:hint="eastAsia"/>
                <w:color w:val="auto"/>
              </w:rPr>
              <w:t>②供应商具备履行合同所必需的设备和专业技术能力承诺函或声明（承诺函或声明格式自拟）。</w:t>
            </w:r>
          </w:p>
          <w:p w14:paraId="0ED4DE52">
            <w:pPr>
              <w:autoSpaceDE w:val="0"/>
              <w:autoSpaceDN w:val="0"/>
              <w:adjustRightInd w:val="0"/>
              <w:spacing w:line="360" w:lineRule="auto"/>
              <w:ind w:right="-11"/>
              <w:rPr>
                <w:color w:val="auto"/>
              </w:rPr>
            </w:pPr>
            <w:r>
              <w:rPr>
                <w:rFonts w:hint="eastAsia"/>
                <w:color w:val="auto"/>
                <w:lang w:val="zh-CN"/>
              </w:rPr>
              <w:t>注：仅需提供序号</w:t>
            </w:r>
            <w:r>
              <w:rPr>
                <w:rFonts w:hint="eastAsia"/>
                <w:color w:val="auto"/>
              </w:rPr>
              <w:t>①～②其中之一即可。</w:t>
            </w:r>
          </w:p>
          <w:p w14:paraId="4F190F7E">
            <w:pPr>
              <w:autoSpaceDE w:val="0"/>
              <w:autoSpaceDN w:val="0"/>
              <w:adjustRightInd w:val="0"/>
              <w:spacing w:line="360" w:lineRule="auto"/>
              <w:ind w:right="-11"/>
              <w:rPr>
                <w:color w:val="auto"/>
                <w:lang w:val="zh-CN"/>
              </w:rPr>
            </w:pPr>
            <w:r>
              <w:rPr>
                <w:rFonts w:hint="eastAsia"/>
                <w:color w:val="auto"/>
              </w:rPr>
              <w:t>六、</w:t>
            </w:r>
            <w:r>
              <w:rPr>
                <w:color w:val="auto"/>
                <w:lang w:val="zh-CN"/>
              </w:rPr>
              <w:t>参加政府采购活动前3年内在经营活动中没有重大违法记录的声明</w:t>
            </w:r>
          </w:p>
          <w:p w14:paraId="43CD22ED">
            <w:pPr>
              <w:autoSpaceDE w:val="0"/>
              <w:autoSpaceDN w:val="0"/>
              <w:spacing w:line="360" w:lineRule="auto"/>
              <w:contextualSpacing/>
              <w:jc w:val="left"/>
              <w:rPr>
                <w:color w:val="auto"/>
                <w:lang w:val="zh-CN"/>
              </w:rPr>
            </w:pPr>
            <w:r>
              <w:rPr>
                <w:rFonts w:hint="eastAsia"/>
                <w:color w:val="auto"/>
                <w:lang w:val="zh-CN"/>
              </w:rPr>
              <w:t>供应商“</w:t>
            </w:r>
            <w:r>
              <w:rPr>
                <w:color w:val="auto"/>
                <w:lang w:val="zh-CN"/>
              </w:rPr>
              <w:t>参加政府采购活动前3年内在经营活动中没有重大违法记录的书面声明</w:t>
            </w:r>
            <w:r>
              <w:rPr>
                <w:rFonts w:hint="eastAsia"/>
                <w:color w:val="auto"/>
                <w:lang w:val="zh-CN"/>
              </w:rPr>
              <w:t>”。重大违法记录，是指供应商因违法经营受到刑事处罚或者责令停产停业、吊销许可证或者执照、较大数额罚款等行政处罚。</w:t>
            </w:r>
          </w:p>
          <w:p w14:paraId="54D40B7A">
            <w:pPr>
              <w:wordWrap w:val="0"/>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www.creditchina.gov.cn</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失信被执行人、</w:t>
            </w:r>
            <w:r>
              <w:rPr>
                <w:rFonts w:hint="eastAsia" w:cs="仿宋_GB2312" w:asciiTheme="minorEastAsia" w:hAnsiTheme="minorEastAsia"/>
                <w:b/>
                <w:color w:val="auto"/>
                <w:szCs w:val="21"/>
                <w:shd w:val="clear" w:color="auto" w:fill="FFFFFF"/>
              </w:rPr>
              <w:t>重大税收违法失信主体</w:t>
            </w:r>
            <w:r>
              <w:rPr>
                <w:rFonts w:cs="仿宋_GB2312" w:asciiTheme="minorEastAsia" w:hAnsiTheme="minorEastAsia"/>
                <w:b/>
                <w:color w:val="auto"/>
                <w:szCs w:val="21"/>
                <w:shd w:val="clear" w:color="auto" w:fill="FFFFFF"/>
              </w:rPr>
              <w:t>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www.ccgp.gov.cn</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“中国社会组织政务服务平台”网站（</w:t>
            </w:r>
            <w:r>
              <w:rPr>
                <w:rFonts w:cs="仿宋_GB2312" w:asciiTheme="minorEastAsia" w:hAnsiTheme="minorEastAsia"/>
                <w:b/>
                <w:color w:val="auto"/>
                <w:szCs w:val="21"/>
                <w:shd w:val="clear" w:color="auto" w:fill="FFFFFF"/>
              </w:rPr>
              <w:t>https://chinanpo.mca.gov.cn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联合体形式投标的，联合体成员存在不良信用记录，视同联合体存在不良信用记录）。</w:t>
            </w:r>
          </w:p>
          <w:p w14:paraId="56DA38FF">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14:paraId="6C5007D5">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14:paraId="7B2C80E0">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14:paraId="5C448838">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③“中国社会组织政务服务平台”网站（</w:t>
            </w:r>
            <w:r>
              <w:rPr>
                <w:rFonts w:cs="宋体" w:asciiTheme="minorEastAsia" w:hAnsiTheme="minorEastAsia"/>
                <w:color w:val="auto"/>
                <w:kern w:val="0"/>
                <w:szCs w:val="21"/>
              </w:rPr>
              <w:t>https://chinanpo.mca.gov.cn</w:t>
            </w:r>
            <w:r>
              <w:rPr>
                <w:rFonts w:hint="eastAsia" w:cs="宋体" w:asciiTheme="minorEastAsia" w:hAnsiTheme="minorEastAsia"/>
                <w:color w:val="auto"/>
                <w:kern w:val="0"/>
                <w:szCs w:val="21"/>
              </w:rPr>
              <w:t>）（仅查询社会组织）；</w:t>
            </w:r>
          </w:p>
          <w:p w14:paraId="4CC467CB">
            <w:pPr>
              <w:autoSpaceDE w:val="0"/>
              <w:autoSpaceDN w:val="0"/>
              <w:adjustRightInd w:val="0"/>
              <w:spacing w:line="360" w:lineRule="auto"/>
              <w:jc w:val="left"/>
              <w:rPr>
                <w:rFonts w:ascii="宋体" w:hAnsi="宋体" w:eastAsia="宋体" w:cs="仿宋_GB2312"/>
                <w:b/>
                <w:bCs/>
                <w:color w:val="auto"/>
                <w:szCs w:val="21"/>
              </w:rPr>
            </w:pPr>
            <w:r>
              <w:rPr>
                <w:rFonts w:hint="eastAsia" w:ascii="宋体" w:hAnsi="宋体" w:eastAsia="宋体" w:cs="仿宋_GB2312"/>
                <w:b/>
                <w:bCs/>
                <w:color w:val="auto"/>
                <w:szCs w:val="21"/>
              </w:rPr>
              <w:t>注：</w:t>
            </w:r>
          </w:p>
          <w:p w14:paraId="64D3376C">
            <w:pPr>
              <w:autoSpaceDE w:val="0"/>
              <w:autoSpaceDN w:val="0"/>
              <w:adjustRightInd w:val="0"/>
              <w:spacing w:line="360" w:lineRule="auto"/>
              <w:jc w:val="left"/>
              <w:rPr>
                <w:rFonts w:ascii="宋体" w:hAnsi="宋体" w:eastAsia="宋体" w:cs="仿宋_GB2312"/>
                <w:b/>
                <w:bCs/>
                <w:color w:val="auto"/>
                <w:szCs w:val="21"/>
              </w:rPr>
            </w:pPr>
            <w:r>
              <w:rPr>
                <w:rFonts w:hint="eastAsia" w:ascii="宋体" w:hAnsi="宋体" w:eastAsia="宋体" w:cs="仿宋_GB2312"/>
                <w:b/>
                <w:bCs/>
                <w:color w:val="auto"/>
                <w:szCs w:val="21"/>
              </w:rPr>
              <w:t>1、供应商在投标时，提供《禹州市政府采购供应商信用承诺函》（详见招标文件第八章格式），无需再提交上述第一至七项证明材料。</w:t>
            </w:r>
          </w:p>
          <w:p w14:paraId="7840774E">
            <w:pPr>
              <w:autoSpaceDE w:val="0"/>
              <w:autoSpaceDN w:val="0"/>
              <w:adjustRightInd w:val="0"/>
              <w:spacing w:line="360" w:lineRule="auto"/>
              <w:jc w:val="left"/>
              <w:rPr>
                <w:rFonts w:ascii="宋体" w:hAnsi="宋体" w:eastAsia="宋体" w:cs="仿宋_GB2312"/>
                <w:b/>
                <w:bCs/>
                <w:color w:val="auto"/>
                <w:szCs w:val="21"/>
              </w:rPr>
            </w:pPr>
            <w:r>
              <w:rPr>
                <w:rFonts w:hint="eastAsia" w:ascii="宋体" w:hAnsi="宋体" w:eastAsia="宋体" w:cs="仿宋_GB2312"/>
                <w:b/>
                <w:bCs/>
                <w:color w:val="auto"/>
                <w:szCs w:val="21"/>
              </w:rPr>
              <w:t>2、采购人有权在签订合同前要求中标供应商提供相关证明材料以核实中标供应商承诺事项的真实性。</w:t>
            </w:r>
          </w:p>
          <w:p w14:paraId="769F51CF">
            <w:pPr>
              <w:autoSpaceDE w:val="0"/>
              <w:autoSpaceDN w:val="0"/>
              <w:spacing w:line="360" w:lineRule="auto"/>
              <w:contextualSpacing/>
              <w:rPr>
                <w:color w:val="auto"/>
              </w:rPr>
            </w:pPr>
            <w:r>
              <w:rPr>
                <w:rFonts w:hint="eastAsia" w:ascii="宋体" w:hAnsi="宋体" w:eastAsia="宋体" w:cs="仿宋_GB2312"/>
                <w:b/>
                <w:bCs/>
                <w:color w:val="auto"/>
                <w:szCs w:val="21"/>
              </w:rPr>
              <w:t>3、供应商对信用承诺内容的真实性、合法性、有效性负责。如作出虚假信用承诺，视同为“提供虚假材料谋取中标”的违法行为。</w:t>
            </w:r>
          </w:p>
        </w:tc>
      </w:tr>
      <w:tr w14:paraId="2352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85A60FA">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14:paraId="3BB666C0">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14:paraId="1D3A5C14">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14:paraId="1951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F81F51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14:paraId="1EEF9907">
            <w:pPr>
              <w:autoSpaceDE w:val="0"/>
              <w:autoSpaceDN w:val="0"/>
              <w:adjustRightInd w:val="0"/>
              <w:spacing w:line="276" w:lineRule="auto"/>
              <w:jc w:val="center"/>
              <w:rPr>
                <w:rFonts w:cs="宋体" w:asciiTheme="minorEastAsia" w:hAnsiTheme="minorEastAsia"/>
                <w:bCs/>
                <w:color w:val="auto"/>
                <w:szCs w:val="21"/>
              </w:rPr>
            </w:pPr>
            <w:r>
              <w:rPr>
                <w:rFonts w:hint="eastAsia" w:cs="微软雅黑" w:asciiTheme="minorEastAsia" w:hAnsiTheme="minorEastAsia"/>
                <w:b/>
                <w:color w:val="auto"/>
                <w:szCs w:val="21"/>
              </w:rPr>
              <w:t>★</w:t>
            </w:r>
            <w:r>
              <w:rPr>
                <w:rFonts w:hint="eastAsia" w:cs="宋体" w:asciiTheme="minorEastAsia" w:hAnsiTheme="minorEastAsia"/>
                <w:bCs/>
                <w:color w:val="auto"/>
                <w:szCs w:val="21"/>
              </w:rPr>
              <w:t>最高限价</w:t>
            </w:r>
          </w:p>
        </w:tc>
        <w:tc>
          <w:tcPr>
            <w:tcW w:w="6813" w:type="dxa"/>
            <w:vAlign w:val="center"/>
          </w:tcPr>
          <w:p w14:paraId="5E1CB084">
            <w:pPr>
              <w:autoSpaceDE w:val="0"/>
              <w:autoSpaceDN w:val="0"/>
              <w:adjustRightInd w:val="0"/>
              <w:spacing w:line="276" w:lineRule="auto"/>
              <w:rPr>
                <w:rFonts w:cs="宋体" w:asciiTheme="minorEastAsia" w:hAnsiTheme="minorEastAsia"/>
                <w:bCs/>
                <w:color w:val="auto"/>
                <w:szCs w:val="21"/>
                <w:lang w:val="zh-CN"/>
              </w:rPr>
            </w:pPr>
            <w:r>
              <w:rPr>
                <w:rFonts w:hint="eastAsia" w:asciiTheme="majorEastAsia" w:hAnsiTheme="majorEastAsia" w:eastAsiaTheme="majorEastAsia" w:cstheme="majorEastAsia"/>
                <w:color w:val="auto"/>
                <w:szCs w:val="21"/>
                <w:lang w:val="en-US" w:eastAsia="zh-CN"/>
              </w:rPr>
              <w:t>490700.00</w:t>
            </w:r>
            <w:r>
              <w:rPr>
                <w:rFonts w:hint="eastAsia" w:cs="宋体" w:asciiTheme="minorEastAsia" w:hAnsiTheme="minorEastAsia"/>
                <w:bCs/>
                <w:color w:val="auto"/>
                <w:szCs w:val="21"/>
                <w:lang w:val="zh-CN"/>
              </w:rPr>
              <w:t>元，超出</w:t>
            </w:r>
            <w:r>
              <w:rPr>
                <w:rFonts w:hint="eastAsia" w:cs="宋体" w:asciiTheme="minorEastAsia" w:hAnsiTheme="minorEastAsia"/>
                <w:bCs/>
                <w:color w:val="auto"/>
                <w:szCs w:val="21"/>
              </w:rPr>
              <w:t>最高限价</w:t>
            </w:r>
            <w:r>
              <w:rPr>
                <w:rFonts w:hint="eastAsia" w:cs="宋体" w:asciiTheme="minorEastAsia" w:hAnsiTheme="minorEastAsia"/>
                <w:bCs/>
                <w:color w:val="auto"/>
                <w:szCs w:val="21"/>
                <w:lang w:val="zh-CN"/>
              </w:rPr>
              <w:t>的响应无效。</w:t>
            </w:r>
          </w:p>
        </w:tc>
      </w:tr>
      <w:tr w14:paraId="6FAD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C21CE6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14:paraId="4CB64290">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14:paraId="58635D18">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14:paraId="5C07147F">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14:paraId="3B2D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5D929BBD">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14:paraId="5DAEBF71">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w:t>
            </w:r>
            <w:r>
              <w:rPr>
                <w:rFonts w:cs="宋体" w:asciiTheme="minorEastAsia" w:hAnsiTheme="minorEastAsia"/>
                <w:bCs/>
                <w:color w:val="auto"/>
                <w:szCs w:val="21"/>
                <w:lang w:val="zh-CN"/>
              </w:rPr>
              <w:t>前答疑会</w:t>
            </w:r>
          </w:p>
        </w:tc>
        <w:tc>
          <w:tcPr>
            <w:tcW w:w="6813" w:type="dxa"/>
            <w:vAlign w:val="center"/>
          </w:tcPr>
          <w:p w14:paraId="0330C511">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14:paraId="63E097EF">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14:paraId="5A22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E18274">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14:paraId="75BA251E">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14:paraId="13234B4A">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14:paraId="75AD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E55D601">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14:paraId="314BB1A8">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谈判有效期</w:t>
            </w:r>
          </w:p>
        </w:tc>
        <w:tc>
          <w:tcPr>
            <w:tcW w:w="6813" w:type="dxa"/>
            <w:vAlign w:val="center"/>
          </w:tcPr>
          <w:p w14:paraId="5376543A">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提交谈判响应文件的截止之日起算</w:t>
            </w:r>
            <w:r>
              <w:rPr>
                <w:rFonts w:hint="eastAsia" w:cs="仿宋_GB2312" w:asciiTheme="minorEastAsia" w:hAnsiTheme="minorEastAsia"/>
                <w:color w:val="auto"/>
                <w:szCs w:val="21"/>
              </w:rPr>
              <w:t>）</w:t>
            </w:r>
          </w:p>
          <w:p w14:paraId="6680BA0E">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成交供应商谈判</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14:paraId="198A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EFF66E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14:paraId="647CFF47">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14:paraId="0BCDC5BD">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14:paraId="513B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4C23E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14:paraId="75CE923F">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谈判响应截止及谈判时间</w:t>
            </w:r>
          </w:p>
        </w:tc>
        <w:tc>
          <w:tcPr>
            <w:tcW w:w="6813" w:type="dxa"/>
            <w:vAlign w:val="center"/>
          </w:tcPr>
          <w:p w14:paraId="14AEE91E">
            <w:pPr>
              <w:autoSpaceDE w:val="0"/>
              <w:autoSpaceDN w:val="0"/>
              <w:adjustRightInd w:val="0"/>
              <w:spacing w:line="360" w:lineRule="auto"/>
              <w:rPr>
                <w:rFonts w:cs="宋体" w:asciiTheme="minorEastAsia" w:hAnsiTheme="minorEastAsia"/>
                <w:bCs/>
                <w:color w:val="auto"/>
                <w:szCs w:val="21"/>
                <w:lang w:val="zh-CN"/>
              </w:rPr>
            </w:pPr>
            <w:r>
              <w:rPr>
                <w:rFonts w:hint="eastAsia" w:asciiTheme="majorEastAsia" w:hAnsiTheme="majorEastAsia" w:eastAsiaTheme="majorEastAsia" w:cstheme="majorEastAsia"/>
                <w:color w:val="auto"/>
                <w:szCs w:val="21"/>
              </w:rPr>
              <w:t>2025年</w:t>
            </w:r>
            <w:r>
              <w:rPr>
                <w:rFonts w:hint="eastAsia" w:asciiTheme="majorEastAsia" w:hAnsiTheme="majorEastAsia" w:eastAsiaTheme="majorEastAsia" w:cstheme="majorEastAsia"/>
                <w:color w:val="auto"/>
                <w:szCs w:val="21"/>
                <w:lang w:val="en-US" w:eastAsia="zh-CN"/>
              </w:rPr>
              <w:t>9</w:t>
            </w:r>
            <w:r>
              <w:rPr>
                <w:rFonts w:hint="eastAsia" w:asciiTheme="majorEastAsia" w:hAnsiTheme="majorEastAsia" w:eastAsiaTheme="majorEastAsia" w:cstheme="majorEastAsia"/>
                <w:color w:val="auto"/>
                <w:szCs w:val="21"/>
              </w:rPr>
              <w:t>月</w:t>
            </w:r>
            <w:r>
              <w:rPr>
                <w:rFonts w:hint="eastAsia" w:asciiTheme="majorEastAsia" w:hAnsiTheme="majorEastAsia" w:eastAsiaTheme="majorEastAsia" w:cstheme="majorEastAsia"/>
                <w:color w:val="auto"/>
                <w:szCs w:val="21"/>
                <w:lang w:val="en-US" w:eastAsia="zh-CN"/>
              </w:rPr>
              <w:t>18</w:t>
            </w:r>
            <w:bookmarkStart w:id="69" w:name="_GoBack"/>
            <w:bookmarkEnd w:id="69"/>
            <w:r>
              <w:rPr>
                <w:rFonts w:hint="eastAsia" w:asciiTheme="majorEastAsia" w:hAnsiTheme="majorEastAsia" w:eastAsiaTheme="majorEastAsia" w:cstheme="majorEastAsia"/>
                <w:color w:val="auto"/>
                <w:szCs w:val="21"/>
              </w:rPr>
              <w:t>日08时30分</w:t>
            </w:r>
            <w:r>
              <w:rPr>
                <w:rFonts w:hint="eastAsia" w:cs="宋体" w:asciiTheme="minorEastAsia" w:hAnsiTheme="minorEastAsia"/>
                <w:bCs/>
                <w:color w:val="auto"/>
                <w:szCs w:val="21"/>
                <w:lang w:val="zh-CN"/>
              </w:rPr>
              <w:t>（北京时间）</w:t>
            </w:r>
          </w:p>
        </w:tc>
      </w:tr>
      <w:tr w14:paraId="64FD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98B7C5F">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14:paraId="6CC8503A">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w:t>
            </w:r>
          </w:p>
          <w:p w14:paraId="70ABB614">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开启地点</w:t>
            </w:r>
          </w:p>
        </w:tc>
        <w:tc>
          <w:tcPr>
            <w:tcW w:w="6813" w:type="dxa"/>
            <w:vAlign w:val="center"/>
          </w:tcPr>
          <w:p w14:paraId="2A0E2E51">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禹州市公共资源交易中心开标2室（地址：禹州市行政服务中心楼九楼）（</w:t>
            </w:r>
            <w:r>
              <w:rPr>
                <w:rFonts w:hint="eastAsia" w:cs="Arial" w:asciiTheme="minorEastAsia" w:hAnsiTheme="minorEastAsia"/>
                <w:b/>
                <w:color w:val="auto"/>
                <w:szCs w:val="21"/>
              </w:rPr>
              <w:t>本项目采用远程不见面谈判，供应商无须到达现场</w:t>
            </w:r>
            <w:r>
              <w:rPr>
                <w:rFonts w:hint="eastAsia" w:cs="Arial" w:asciiTheme="minorEastAsia" w:hAnsiTheme="minorEastAsia"/>
                <w:color w:val="auto"/>
                <w:szCs w:val="21"/>
              </w:rPr>
              <w:t>）</w:t>
            </w:r>
          </w:p>
        </w:tc>
      </w:tr>
      <w:tr w14:paraId="0C79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CAA8A9A">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14:paraId="7A8E6B75">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谈判保证金</w:t>
            </w:r>
          </w:p>
        </w:tc>
        <w:tc>
          <w:tcPr>
            <w:tcW w:w="6813" w:type="dxa"/>
            <w:vAlign w:val="center"/>
          </w:tcPr>
          <w:p w14:paraId="710A6D7F">
            <w:pPr>
              <w:tabs>
                <w:tab w:val="left" w:pos="1260"/>
              </w:tabs>
              <w:autoSpaceDE w:val="0"/>
              <w:autoSpaceDN w:val="0"/>
              <w:adjustRightInd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14:paraId="7A6B22AC">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供应商应提供谈判承诺函。</w:t>
            </w:r>
          </w:p>
        </w:tc>
      </w:tr>
      <w:tr w14:paraId="7AAF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06" w:type="dxa"/>
            <w:vAlign w:val="center"/>
          </w:tcPr>
          <w:p w14:paraId="40F4C6A5">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14:paraId="0DF071D0">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谈判文件费用</w:t>
            </w:r>
          </w:p>
        </w:tc>
        <w:tc>
          <w:tcPr>
            <w:tcW w:w="6813" w:type="dxa"/>
            <w:tcBorders>
              <w:top w:val="single" w:color="auto" w:sz="4" w:space="0"/>
            </w:tcBorders>
            <w:vAlign w:val="center"/>
          </w:tcPr>
          <w:p w14:paraId="613AAB48">
            <w:pPr>
              <w:autoSpaceDE w:val="0"/>
              <w:autoSpaceDN w:val="0"/>
              <w:adjustRightInd w:val="0"/>
              <w:spacing w:line="276" w:lineRule="auto"/>
              <w:rPr>
                <w:rFonts w:cs="仿宋_GB2312" w:asciiTheme="minorEastAsia" w:hAnsiTheme="minorEastAsia"/>
                <w:color w:val="auto"/>
                <w:szCs w:val="21"/>
              </w:rPr>
            </w:pPr>
            <w:r>
              <w:rPr>
                <w:rFonts w:hint="eastAsia" w:cs="仿宋_GB2312" w:asciiTheme="minorEastAsia" w:hAnsiTheme="minorEastAsia"/>
                <w:color w:val="auto"/>
                <w:szCs w:val="21"/>
              </w:rPr>
              <w:t>0元。</w:t>
            </w:r>
          </w:p>
        </w:tc>
      </w:tr>
      <w:tr w14:paraId="472B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158DF06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14:paraId="1AC940F2">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14:paraId="4FDCB276">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谈判公告、成交公告、变更（更正）公告、现场勘察答复等相关信息同时在以下网站发布：</w:t>
            </w:r>
            <w:r>
              <w:rPr>
                <w:rFonts w:hint="eastAsia" w:asciiTheme="majorEastAsia" w:hAnsiTheme="majorEastAsia" w:eastAsiaTheme="majorEastAsia" w:cstheme="majorEastAsia"/>
                <w:color w:val="auto"/>
                <w:szCs w:val="21"/>
              </w:rPr>
              <w:t>《河南省政府采购网》《全国公共资源交易平台（河南省·许昌市）》</w:t>
            </w:r>
          </w:p>
        </w:tc>
      </w:tr>
      <w:tr w14:paraId="4490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4BCE9DD">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14:paraId="6BF07B7D">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14:paraId="61196803">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谈判文件时间</w:t>
            </w:r>
          </w:p>
        </w:tc>
        <w:tc>
          <w:tcPr>
            <w:tcW w:w="6813" w:type="dxa"/>
            <w:vAlign w:val="center"/>
          </w:tcPr>
          <w:p w14:paraId="137AF614">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谈判响应截止时间3个工作日前（</w:t>
            </w:r>
            <w:r>
              <w:rPr>
                <w:rFonts w:hint="eastAsia" w:cs="仿宋_GB2312" w:asciiTheme="minorEastAsia" w:hAnsiTheme="minorEastAsia"/>
                <w:color w:val="auto"/>
                <w:szCs w:val="21"/>
                <w:lang w:val="zh-CN"/>
              </w:rPr>
              <w:t>澄清内容可能影响谈判响应文件编制的）</w:t>
            </w:r>
          </w:p>
        </w:tc>
      </w:tr>
      <w:tr w14:paraId="5BBA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06" w:type="dxa"/>
            <w:vAlign w:val="center"/>
          </w:tcPr>
          <w:p w14:paraId="67DFDE6F">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14:paraId="58861B0F">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14:paraId="419DEEBF">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14:paraId="2949DE09">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谈判公告期满之日起</w:t>
            </w:r>
            <w:r>
              <w:rPr>
                <w:rFonts w:hint="eastAsia" w:cs="宋体" w:asciiTheme="minorEastAsia" w:hAnsiTheme="minorEastAsia"/>
                <w:bCs/>
                <w:color w:val="auto"/>
                <w:szCs w:val="21"/>
              </w:rPr>
              <w:t>7</w:t>
            </w:r>
            <w:r>
              <w:rPr>
                <w:rFonts w:hint="eastAsia" w:cs="宋体" w:asciiTheme="minorEastAsia" w:hAnsiTheme="minorEastAsia"/>
                <w:bCs/>
                <w:color w:val="auto"/>
                <w:szCs w:val="21"/>
                <w:lang w:val="zh-CN"/>
              </w:rPr>
              <w:t>个工作日</w:t>
            </w:r>
          </w:p>
        </w:tc>
      </w:tr>
      <w:tr w14:paraId="5852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719EB66">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14:paraId="1B9A1234">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14:paraId="2C9F7EC2">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p>
          <w:p w14:paraId="72E5466A">
            <w:pPr>
              <w:autoSpaceDE w:val="0"/>
              <w:autoSpaceDN w:val="0"/>
              <w:adjustRightInd w:val="0"/>
              <w:spacing w:line="360" w:lineRule="auto"/>
              <w:rPr>
                <w:rFonts w:ascii="新宋体" w:hAnsi="新宋体" w:eastAsia="新宋体"/>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w:t>
            </w:r>
            <w:r>
              <w:rPr>
                <w:rFonts w:hint="eastAsia" w:ascii="新宋体" w:hAnsi="新宋体" w:eastAsia="新宋体"/>
                <w:color w:val="auto"/>
                <w:szCs w:val="21"/>
              </w:rPr>
              <w:t>副本一份</w:t>
            </w:r>
            <w:r>
              <w:rPr>
                <w:rFonts w:hint="eastAsia" w:cs="仿宋_GB2312" w:asciiTheme="minorEastAsia" w:hAnsiTheme="minorEastAsia"/>
                <w:color w:val="auto"/>
                <w:szCs w:val="21"/>
              </w:rPr>
              <w:t>。使用</w:t>
            </w:r>
            <w:r>
              <w:rPr>
                <w:rFonts w:hint="eastAsia" w:ascii="新宋体" w:hAnsi="新宋体" w:eastAsia="新宋体"/>
                <w:color w:val="auto"/>
                <w:szCs w:val="21"/>
              </w:rPr>
              <w:t>格式为“投标文件（供打印）.PDF”的文件</w:t>
            </w:r>
          </w:p>
          <w:p w14:paraId="78344E87">
            <w:pPr>
              <w:autoSpaceDE w:val="0"/>
              <w:autoSpaceDN w:val="0"/>
              <w:adjustRightInd w:val="0"/>
              <w:spacing w:line="360" w:lineRule="auto"/>
              <w:rPr>
                <w:rFonts w:cs="宋体" w:asciiTheme="minorEastAsia" w:hAnsiTheme="minorEastAsia"/>
                <w:bCs/>
                <w:color w:val="auto"/>
                <w:szCs w:val="21"/>
                <w:lang w:val="zh-CN"/>
              </w:rPr>
            </w:pPr>
            <w:r>
              <w:rPr>
                <w:rFonts w:hint="eastAsia" w:ascii="新宋体" w:hAnsi="新宋体" w:eastAsia="新宋体"/>
                <w:color w:val="auto"/>
                <w:szCs w:val="21"/>
              </w:rPr>
              <w:t>电子响应文件和纸质响应文件的内容、格式、水印码、签章应一致。</w:t>
            </w:r>
          </w:p>
        </w:tc>
      </w:tr>
      <w:tr w14:paraId="7DA2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5EDA0A9">
            <w:pPr>
              <w:autoSpaceDE w:val="0"/>
              <w:autoSpaceDN w:val="0"/>
              <w:adjustRightInd w:val="0"/>
              <w:spacing w:line="276" w:lineRule="auto"/>
              <w:jc w:val="center"/>
              <w:rPr>
                <w:rFonts w:cs="黑体"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14:paraId="29D91BD5">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14:paraId="5D645C13">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14:paraId="04FB34E1">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电子响应文件：按谈判文件要求加盖供应商电子印章和法人电子印章。</w:t>
            </w:r>
          </w:p>
          <w:p w14:paraId="5121E888">
            <w:pPr>
              <w:autoSpaceDE w:val="0"/>
              <w:autoSpaceDN w:val="0"/>
              <w:adjustRightInd w:val="0"/>
              <w:spacing w:line="420" w:lineRule="exact"/>
              <w:rPr>
                <w:rFonts w:cs="仿宋_GB2312" w:asciiTheme="minorEastAsia" w:hAnsiTheme="minorEastAsia"/>
                <w:color w:val="auto"/>
                <w:szCs w:val="21"/>
              </w:rPr>
            </w:pPr>
            <w:r>
              <w:rPr>
                <w:rFonts w:hint="eastAsia" w:cs="宋体" w:asciiTheme="minorEastAsia" w:hAnsiTheme="minorEastAsia"/>
                <w:b/>
                <w:bCs/>
                <w:color w:val="auto"/>
                <w:szCs w:val="21"/>
                <w:lang w:val="zh-CN"/>
              </w:rPr>
              <w:t>□</w:t>
            </w:r>
            <w:r>
              <w:rPr>
                <w:rFonts w:hint="eastAsia" w:ascii="新宋体" w:hAnsi="新宋体" w:eastAsia="新宋体"/>
                <w:color w:val="auto"/>
                <w:szCs w:val="21"/>
              </w:rPr>
              <w:t>纸质响应文件：响应文件封面加盖供应商公章（响应文件是指供应商电子响应文件制作完成后生成的后缀名为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14:paraId="0BC9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409FC98">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14:paraId="362E8515">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谈判小组组建</w:t>
            </w:r>
          </w:p>
        </w:tc>
        <w:tc>
          <w:tcPr>
            <w:tcW w:w="6813" w:type="dxa"/>
            <w:vAlign w:val="center"/>
          </w:tcPr>
          <w:p w14:paraId="24E8B5F9">
            <w:pPr>
              <w:autoSpaceDE w:val="0"/>
              <w:autoSpaceDN w:val="0"/>
              <w:adjustRightInd w:val="0"/>
              <w:spacing w:line="360" w:lineRule="auto"/>
              <w:rPr>
                <w:rFonts w:ascii="宋体" w:hAnsi="宋体" w:cs="仿宋_GB2312"/>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b/>
                <w:color w:val="auto"/>
                <w:szCs w:val="21"/>
              </w:rPr>
              <w:t xml:space="preserve"> </w:t>
            </w:r>
            <w:r>
              <w:rPr>
                <w:rFonts w:hint="eastAsia" w:ascii="新宋体" w:hAnsi="新宋体" w:eastAsia="新宋体"/>
                <w:bCs/>
                <w:color w:val="auto"/>
                <w:szCs w:val="21"/>
              </w:rPr>
              <w:t>谈</w:t>
            </w:r>
            <w:r>
              <w:rPr>
                <w:rFonts w:hint="eastAsia" w:ascii="宋体" w:hAnsi="宋体" w:cs="仿宋_GB2312"/>
                <w:color w:val="auto"/>
                <w:szCs w:val="21"/>
                <w:lang w:val="zh-CN"/>
              </w:rPr>
              <w:t>判小组 共3人（其中采购人代表1人，评审专家2人），评审专家从政府采购评审专家库中随机抽取。</w:t>
            </w:r>
          </w:p>
          <w:p w14:paraId="64566480">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仿宋_GB2312"/>
                <w:color w:val="auto"/>
                <w:szCs w:val="21"/>
                <w:lang w:val="zh-CN"/>
              </w:rPr>
              <w:t>□由评审专家组成。评审专家从政府采购评审专家库中随机抽取。</w:t>
            </w:r>
          </w:p>
        </w:tc>
      </w:tr>
      <w:tr w14:paraId="6DB2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58804A2">
            <w:pPr>
              <w:autoSpaceDE w:val="0"/>
              <w:autoSpaceDN w:val="0"/>
              <w:adjustRightInd w:val="0"/>
              <w:spacing w:line="276" w:lineRule="auto"/>
              <w:jc w:val="center"/>
              <w:rPr>
                <w:rFonts w:cs="TimesNewRomanPSMT"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14:paraId="4C91B99C">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14:paraId="71815AEE">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质量和服务均能满足谈判文件实质性响应要求且最后报价最低的原则确定成交供应商</w:t>
            </w:r>
            <w:r>
              <w:rPr>
                <w:rFonts w:hint="eastAsia" w:ascii="新宋体" w:hAnsi="新宋体" w:eastAsia="新宋体"/>
                <w:color w:val="auto"/>
                <w:szCs w:val="21"/>
              </w:rPr>
              <w:t>。</w:t>
            </w:r>
          </w:p>
        </w:tc>
      </w:tr>
      <w:tr w14:paraId="3885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4AE10A33">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14:paraId="3F84E385">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14:paraId="4E5AECD1">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2B5E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8947D13">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14:paraId="692E8427">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14:paraId="6E4F8E40">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14:paraId="718CD296">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w:t>
            </w:r>
            <w:r>
              <w:rPr>
                <w:rFonts w:hint="eastAsia" w:cs="宋体" w:asciiTheme="minorEastAsia" w:hAnsiTheme="minorEastAsia"/>
                <w:color w:val="auto"/>
                <w:szCs w:val="21"/>
              </w:rPr>
              <w:t>。成交供应商以支票、汇票、本票或者金融机构、担保机构出具的保函等非现金形式向采购人提交。</w:t>
            </w:r>
          </w:p>
        </w:tc>
      </w:tr>
      <w:tr w14:paraId="4909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218816A">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14:paraId="49C6942F">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中小企业有关政策</w:t>
            </w:r>
          </w:p>
        </w:tc>
        <w:tc>
          <w:tcPr>
            <w:tcW w:w="6813" w:type="dxa"/>
            <w:vAlign w:val="center"/>
          </w:tcPr>
          <w:p w14:paraId="65B4C7D4">
            <w:pPr>
              <w:autoSpaceDE w:val="0"/>
              <w:autoSpaceDN w:val="0"/>
              <w:adjustRightInd w:val="0"/>
              <w:spacing w:line="360" w:lineRule="auto"/>
              <w:contextualSpacing/>
              <w:rPr>
                <w:rFonts w:ascii="ˎ̥" w:hAnsi="ˎ̥"/>
                <w:color w:val="auto"/>
              </w:rPr>
            </w:pPr>
            <w:r>
              <w:rPr>
                <w:rFonts w:hint="eastAsia" w:ascii="ˎ̥" w:hAnsi="ˎ̥"/>
                <w:color w:val="auto"/>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rPr>
              <w:t>否则不得享受相关中小企业扶持政策。</w:t>
            </w:r>
          </w:p>
          <w:p w14:paraId="48E67617">
            <w:pPr>
              <w:autoSpaceDE w:val="0"/>
              <w:autoSpaceDN w:val="0"/>
              <w:adjustRightInd w:val="0"/>
              <w:spacing w:line="360" w:lineRule="auto"/>
              <w:contextualSpacing/>
              <w:rPr>
                <w:rFonts w:ascii="ˎ̥" w:hAnsi="ˎ̥"/>
                <w:color w:val="auto"/>
              </w:rPr>
            </w:pPr>
            <w:r>
              <w:rPr>
                <w:rFonts w:hint="eastAsia" w:ascii="ˎ̥" w:hAnsi="ˎ̥"/>
                <w:color w:val="auto"/>
              </w:rPr>
              <w:t>2、本次</w:t>
            </w:r>
            <w:r>
              <w:rPr>
                <w:color w:val="auto"/>
              </w:rPr>
              <w:t>采购标的对应的中小企业划分标准所属行业</w:t>
            </w:r>
            <w:r>
              <w:rPr>
                <w:rFonts w:hint="eastAsia"/>
                <w:color w:val="auto"/>
              </w:rPr>
              <w:t xml:space="preserve">：其他未列明行业 </w:t>
            </w:r>
          </w:p>
          <w:p w14:paraId="55ABB17E">
            <w:pPr>
              <w:autoSpaceDE w:val="0"/>
              <w:autoSpaceDN w:val="0"/>
              <w:adjustRightInd w:val="0"/>
              <w:spacing w:line="360" w:lineRule="auto"/>
              <w:contextualSpacing/>
              <w:rPr>
                <w:rFonts w:ascii="ˎ̥" w:hAnsi="ˎ̥"/>
                <w:color w:val="auto"/>
              </w:rPr>
            </w:pPr>
            <w:r>
              <w:rPr>
                <w:rFonts w:hint="eastAsia" w:ascii="ˎ̥" w:hAnsi="ˎ̥"/>
                <w:color w:val="auto"/>
              </w:rPr>
              <w:t>3、</w:t>
            </w:r>
            <w:r>
              <w:rPr>
                <w:rFonts w:hint="eastAsia"/>
                <w:color w:val="auto"/>
              </w:rPr>
              <w:t>本项目属于专门面向中小企业采购的项目（不再执行价格评审优惠的扶持政策）。</w:t>
            </w:r>
          </w:p>
          <w:p w14:paraId="235E1A8D">
            <w:pPr>
              <w:autoSpaceDE w:val="0"/>
              <w:autoSpaceDN w:val="0"/>
              <w:adjustRightInd w:val="0"/>
              <w:spacing w:line="360" w:lineRule="auto"/>
              <w:contextualSpacing/>
              <w:rPr>
                <w:rFonts w:ascii="ˎ̥" w:hAnsi="ˎ̥"/>
                <w:color w:val="auto"/>
              </w:rPr>
            </w:pPr>
            <w:r>
              <w:rPr>
                <w:rFonts w:hint="eastAsia" w:ascii="ˎ̥" w:hAnsi="ˎ̥"/>
                <w:color w:val="auto"/>
              </w:rPr>
              <w:t>4、提供由省级以上监狱管理局、戒毒管理局（含新疆生产建设兵团）出具的属于监狱企业证明文件的，视同为小型和微型企业。</w:t>
            </w:r>
          </w:p>
          <w:p w14:paraId="04D179D8">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5、符合享受政府采购支持政策的残疾人福利性单位条件且提供《残疾人福利性单位声明函》的，视同为小型和微型企业。</w:t>
            </w:r>
          </w:p>
        </w:tc>
      </w:tr>
      <w:tr w14:paraId="43B1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ABF0E9">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14:paraId="74049378">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color w:val="auto"/>
                <w:szCs w:val="21"/>
                <w:lang w:val="zh-CN"/>
              </w:rPr>
              <w:t>代理服务费</w:t>
            </w:r>
          </w:p>
        </w:tc>
        <w:tc>
          <w:tcPr>
            <w:tcW w:w="6813" w:type="dxa"/>
            <w:vAlign w:val="center"/>
          </w:tcPr>
          <w:p w14:paraId="4591F044">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招标代理服务费由中标人支付，按照豫招协〔2023〕002《河南省招标代理服务收费指导意见》收取，由中标单位在领取中标通知书时一次性支付给代理机构。</w:t>
            </w:r>
          </w:p>
          <w:p w14:paraId="70C4C06D">
            <w:pPr>
              <w:autoSpaceDE w:val="0"/>
              <w:autoSpaceDN w:val="0"/>
              <w:adjustRightInd w:val="0"/>
              <w:spacing w:line="360" w:lineRule="auto"/>
              <w:rPr>
                <w:rFonts w:ascii="宋体" w:hAnsi="宋体" w:eastAsia="宋体" w:cs="宋体"/>
                <w:color w:val="auto"/>
                <w:szCs w:val="21"/>
              </w:rPr>
            </w:pPr>
            <w:r>
              <w:rPr>
                <w:rFonts w:hint="eastAsia" w:ascii="宋体" w:hAnsi="宋体" w:eastAsia="宋体" w:cs="宋体"/>
                <w:color w:val="auto"/>
                <w:szCs w:val="21"/>
              </w:rPr>
              <w:t>招标代理服务收费按差额定率累计法计算：</w:t>
            </w:r>
          </w:p>
          <w:tbl>
            <w:tblPr>
              <w:tblStyle w:val="28"/>
              <w:tblW w:w="6461" w:type="dxa"/>
              <w:tblInd w:w="0" w:type="dxa"/>
              <w:shd w:val="clear" w:color="auto" w:fill="FFFFFF"/>
              <w:tblLayout w:type="fixed"/>
              <w:tblCellMar>
                <w:top w:w="0" w:type="dxa"/>
                <w:left w:w="0" w:type="dxa"/>
                <w:bottom w:w="0" w:type="dxa"/>
                <w:right w:w="0" w:type="dxa"/>
              </w:tblCellMar>
            </w:tblPr>
            <w:tblGrid>
              <w:gridCol w:w="3227"/>
              <w:gridCol w:w="992"/>
              <w:gridCol w:w="993"/>
              <w:gridCol w:w="1249"/>
            </w:tblGrid>
            <w:tr w14:paraId="56A0C6C8">
              <w:tblPrEx>
                <w:tblCellMar>
                  <w:top w:w="0" w:type="dxa"/>
                  <w:left w:w="0" w:type="dxa"/>
                  <w:bottom w:w="0" w:type="dxa"/>
                  <w:right w:w="0" w:type="dxa"/>
                </w:tblCellMar>
              </w:tblPrEx>
              <w:trPr>
                <w:trHeight w:val="721" w:hRule="atLeast"/>
              </w:trPr>
              <w:tc>
                <w:tcPr>
                  <w:tcW w:w="32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1F73B6B5">
                  <w:pPr>
                    <w:pStyle w:val="27"/>
                    <w:spacing w:line="383" w:lineRule="atLeast"/>
                    <w:rPr>
                      <w:color w:val="auto"/>
                      <w:sz w:val="18"/>
                      <w:szCs w:val="18"/>
                    </w:rPr>
                  </w:pPr>
                  <w:r>
                    <w:rPr>
                      <w:rFonts w:hint="eastAsia"/>
                      <w:color w:val="auto"/>
                      <w:spacing w:val="8"/>
                      <w:sz w:val="18"/>
                      <w:szCs w:val="18"/>
                    </w:rPr>
                    <w:t>费率      项目类型</w:t>
                  </w:r>
                </w:p>
                <w:p w14:paraId="1B730282">
                  <w:pPr>
                    <w:pStyle w:val="27"/>
                    <w:wordWrap w:val="0"/>
                    <w:spacing w:line="383" w:lineRule="atLeast"/>
                    <w:rPr>
                      <w:color w:val="auto"/>
                      <w:sz w:val="18"/>
                      <w:szCs w:val="18"/>
                    </w:rPr>
                  </w:pPr>
                  <w:r>
                    <w:rPr>
                      <w:rFonts w:hint="eastAsia"/>
                      <w:color w:val="auto"/>
                      <w:spacing w:val="8"/>
                      <w:sz w:val="18"/>
                      <w:szCs w:val="18"/>
                    </w:rPr>
                    <w:t>预算金额（万元）</w:t>
                  </w:r>
                </w:p>
              </w:tc>
              <w:tc>
                <w:tcPr>
                  <w:tcW w:w="99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08F21F1">
                  <w:pPr>
                    <w:pStyle w:val="27"/>
                    <w:wordWrap w:val="0"/>
                    <w:spacing w:line="383" w:lineRule="atLeast"/>
                    <w:jc w:val="center"/>
                    <w:textAlignment w:val="top"/>
                    <w:rPr>
                      <w:color w:val="auto"/>
                      <w:sz w:val="18"/>
                      <w:szCs w:val="18"/>
                    </w:rPr>
                  </w:pPr>
                  <w:r>
                    <w:rPr>
                      <w:rFonts w:hint="eastAsia"/>
                      <w:color w:val="auto"/>
                      <w:spacing w:val="8"/>
                      <w:sz w:val="18"/>
                      <w:szCs w:val="18"/>
                    </w:rPr>
                    <w:t>工程</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8DBB28E">
                  <w:pPr>
                    <w:pStyle w:val="27"/>
                    <w:wordWrap w:val="0"/>
                    <w:spacing w:line="383" w:lineRule="atLeast"/>
                    <w:jc w:val="center"/>
                    <w:textAlignment w:val="top"/>
                    <w:rPr>
                      <w:color w:val="auto"/>
                      <w:sz w:val="18"/>
                      <w:szCs w:val="18"/>
                    </w:rPr>
                  </w:pPr>
                  <w:r>
                    <w:rPr>
                      <w:rFonts w:hint="eastAsia"/>
                      <w:color w:val="auto"/>
                      <w:spacing w:val="8"/>
                      <w:sz w:val="18"/>
                      <w:szCs w:val="18"/>
                    </w:rPr>
                    <w:t>货物</w:t>
                  </w:r>
                </w:p>
              </w:tc>
              <w:tc>
                <w:tcPr>
                  <w:tcW w:w="124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4D46711">
                  <w:pPr>
                    <w:pStyle w:val="27"/>
                    <w:wordWrap w:val="0"/>
                    <w:spacing w:line="383" w:lineRule="atLeast"/>
                    <w:jc w:val="center"/>
                    <w:rPr>
                      <w:color w:val="auto"/>
                      <w:sz w:val="18"/>
                      <w:szCs w:val="18"/>
                    </w:rPr>
                  </w:pPr>
                  <w:r>
                    <w:rPr>
                      <w:rFonts w:hint="eastAsia"/>
                      <w:color w:val="auto"/>
                      <w:spacing w:val="8"/>
                      <w:sz w:val="18"/>
                      <w:szCs w:val="18"/>
                    </w:rPr>
                    <w:t>服务</w:t>
                  </w:r>
                </w:p>
              </w:tc>
            </w:tr>
            <w:tr w14:paraId="3D700068">
              <w:tblPrEx>
                <w:shd w:val="clear" w:color="auto" w:fill="FFFFFF"/>
                <w:tblCellMar>
                  <w:top w:w="0" w:type="dxa"/>
                  <w:left w:w="0" w:type="dxa"/>
                  <w:bottom w:w="0" w:type="dxa"/>
                  <w:right w:w="0" w:type="dxa"/>
                </w:tblCellMar>
              </w:tblPrEx>
              <w:trPr>
                <w:trHeight w:val="474"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B5308CE">
                  <w:pPr>
                    <w:pStyle w:val="27"/>
                    <w:wordWrap w:val="0"/>
                    <w:spacing w:line="383" w:lineRule="atLeast"/>
                    <w:jc w:val="center"/>
                    <w:textAlignment w:val="center"/>
                    <w:rPr>
                      <w:color w:val="auto"/>
                      <w:sz w:val="18"/>
                      <w:szCs w:val="18"/>
                    </w:rPr>
                  </w:pPr>
                  <w:r>
                    <w:rPr>
                      <w:rFonts w:hint="eastAsia"/>
                      <w:color w:val="auto"/>
                      <w:spacing w:val="8"/>
                      <w:sz w:val="18"/>
                      <w:szCs w:val="18"/>
                    </w:rPr>
                    <w:t>100万元以下（含100万元）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510318">
                  <w:pPr>
                    <w:pStyle w:val="27"/>
                    <w:wordWrap w:val="0"/>
                    <w:spacing w:line="383" w:lineRule="atLeast"/>
                    <w:jc w:val="center"/>
                    <w:textAlignment w:val="top"/>
                    <w:rPr>
                      <w:color w:val="auto"/>
                      <w:sz w:val="18"/>
                      <w:szCs w:val="18"/>
                    </w:rPr>
                  </w:pPr>
                  <w:r>
                    <w:rPr>
                      <w:rFonts w:hint="eastAsia"/>
                      <w:color w:val="auto"/>
                      <w:spacing w:val="8"/>
                      <w:sz w:val="18"/>
                      <w:szCs w:val="18"/>
                    </w:rPr>
                    <w:t>1.2%</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5FB545B">
                  <w:pPr>
                    <w:pStyle w:val="27"/>
                    <w:wordWrap w:val="0"/>
                    <w:spacing w:line="383" w:lineRule="atLeast"/>
                    <w:jc w:val="center"/>
                    <w:textAlignment w:val="top"/>
                    <w:rPr>
                      <w:color w:val="auto"/>
                      <w:sz w:val="18"/>
                      <w:szCs w:val="18"/>
                    </w:rPr>
                  </w:pPr>
                  <w:r>
                    <w:rPr>
                      <w:rFonts w:hint="eastAsia"/>
                      <w:color w:val="auto"/>
                      <w:spacing w:val="8"/>
                      <w:sz w:val="18"/>
                      <w:szCs w:val="18"/>
                    </w:rPr>
                    <w:t>1.7%</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0CA2246">
                  <w:pPr>
                    <w:pStyle w:val="27"/>
                    <w:wordWrap w:val="0"/>
                    <w:spacing w:line="383" w:lineRule="atLeast"/>
                    <w:jc w:val="center"/>
                    <w:textAlignment w:val="top"/>
                    <w:rPr>
                      <w:color w:val="auto"/>
                      <w:sz w:val="18"/>
                      <w:szCs w:val="18"/>
                    </w:rPr>
                  </w:pPr>
                  <w:r>
                    <w:rPr>
                      <w:rFonts w:hint="eastAsia"/>
                      <w:color w:val="auto"/>
                      <w:spacing w:val="8"/>
                      <w:sz w:val="18"/>
                      <w:szCs w:val="18"/>
                    </w:rPr>
                    <w:t>1.7%</w:t>
                  </w:r>
                </w:p>
              </w:tc>
            </w:tr>
            <w:tr w14:paraId="46273284">
              <w:tblPrEx>
                <w:shd w:val="clear" w:color="auto" w:fill="FFFFFF"/>
                <w:tblCellMar>
                  <w:top w:w="0" w:type="dxa"/>
                  <w:left w:w="0" w:type="dxa"/>
                  <w:bottom w:w="0" w:type="dxa"/>
                  <w:right w:w="0" w:type="dxa"/>
                </w:tblCellMar>
              </w:tblPrEx>
              <w:trPr>
                <w:trHeight w:val="474"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F1DE71F">
                  <w:pPr>
                    <w:pStyle w:val="27"/>
                    <w:wordWrap w:val="0"/>
                    <w:spacing w:line="383" w:lineRule="atLeast"/>
                    <w:jc w:val="center"/>
                    <w:textAlignment w:val="center"/>
                    <w:rPr>
                      <w:color w:val="auto"/>
                      <w:sz w:val="18"/>
                      <w:szCs w:val="18"/>
                    </w:rPr>
                  </w:pPr>
                  <w:r>
                    <w:rPr>
                      <w:rFonts w:hint="eastAsia"/>
                      <w:color w:val="auto"/>
                      <w:spacing w:val="8"/>
                      <w:sz w:val="18"/>
                      <w:szCs w:val="18"/>
                    </w:rPr>
                    <w:t>100万-500万元（含500万元）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1E13AA4">
                  <w:pPr>
                    <w:pStyle w:val="27"/>
                    <w:wordWrap w:val="0"/>
                    <w:spacing w:line="383" w:lineRule="atLeast"/>
                    <w:jc w:val="center"/>
                    <w:textAlignment w:val="top"/>
                    <w:rPr>
                      <w:color w:val="auto"/>
                      <w:sz w:val="18"/>
                      <w:szCs w:val="18"/>
                    </w:rPr>
                  </w:pPr>
                  <w:r>
                    <w:rPr>
                      <w:rFonts w:hint="eastAsia"/>
                      <w:color w:val="auto"/>
                      <w:spacing w:val="8"/>
                      <w:sz w:val="18"/>
                      <w:szCs w:val="18"/>
                    </w:rPr>
                    <w:t>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3AB1879">
                  <w:pPr>
                    <w:pStyle w:val="27"/>
                    <w:wordWrap w:val="0"/>
                    <w:spacing w:line="383" w:lineRule="atLeast"/>
                    <w:jc w:val="center"/>
                    <w:textAlignment w:val="top"/>
                    <w:rPr>
                      <w:color w:val="auto"/>
                      <w:sz w:val="18"/>
                      <w:szCs w:val="18"/>
                    </w:rPr>
                  </w:pPr>
                  <w:r>
                    <w:rPr>
                      <w:rFonts w:hint="eastAsia"/>
                      <w:color w:val="auto"/>
                      <w:spacing w:val="8"/>
                      <w:sz w:val="18"/>
                      <w:szCs w:val="18"/>
                    </w:rPr>
                    <w:t>1.2%</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D078005">
                  <w:pPr>
                    <w:pStyle w:val="27"/>
                    <w:wordWrap w:val="0"/>
                    <w:spacing w:line="383" w:lineRule="atLeast"/>
                    <w:jc w:val="center"/>
                    <w:textAlignment w:val="top"/>
                    <w:rPr>
                      <w:color w:val="auto"/>
                      <w:sz w:val="18"/>
                      <w:szCs w:val="18"/>
                    </w:rPr>
                  </w:pPr>
                  <w:r>
                    <w:rPr>
                      <w:rFonts w:hint="eastAsia"/>
                      <w:color w:val="auto"/>
                      <w:spacing w:val="8"/>
                      <w:sz w:val="18"/>
                      <w:szCs w:val="18"/>
                    </w:rPr>
                    <w:t>1.2%</w:t>
                  </w:r>
                </w:p>
              </w:tc>
            </w:tr>
            <w:tr w14:paraId="6713FC92">
              <w:tblPrEx>
                <w:shd w:val="clear" w:color="auto" w:fill="FFFFFF"/>
                <w:tblCellMar>
                  <w:top w:w="0" w:type="dxa"/>
                  <w:left w:w="0" w:type="dxa"/>
                  <w:bottom w:w="0" w:type="dxa"/>
                  <w:right w:w="0" w:type="dxa"/>
                </w:tblCellMar>
              </w:tblPrEx>
              <w:trPr>
                <w:trHeight w:val="408"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8C150A2">
                  <w:pPr>
                    <w:pStyle w:val="27"/>
                    <w:wordWrap w:val="0"/>
                    <w:spacing w:line="383" w:lineRule="atLeast"/>
                    <w:jc w:val="center"/>
                    <w:textAlignment w:val="center"/>
                    <w:rPr>
                      <w:color w:val="auto"/>
                      <w:sz w:val="18"/>
                      <w:szCs w:val="18"/>
                    </w:rPr>
                  </w:pPr>
                  <w:r>
                    <w:rPr>
                      <w:rFonts w:hint="eastAsia"/>
                      <w:color w:val="auto"/>
                      <w:spacing w:val="8"/>
                      <w:sz w:val="18"/>
                      <w:szCs w:val="18"/>
                    </w:rPr>
                    <w:t>500万-1000万元（含1000万元）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23D907E2">
                  <w:pPr>
                    <w:pStyle w:val="27"/>
                    <w:wordWrap w:val="0"/>
                    <w:spacing w:line="383" w:lineRule="atLeast"/>
                    <w:jc w:val="center"/>
                    <w:textAlignment w:val="top"/>
                    <w:rPr>
                      <w:color w:val="auto"/>
                      <w:sz w:val="18"/>
                      <w:szCs w:val="18"/>
                    </w:rPr>
                  </w:pPr>
                  <w:r>
                    <w:rPr>
                      <w:rFonts w:hint="eastAsia"/>
                      <w:color w:val="auto"/>
                      <w:spacing w:val="8"/>
                      <w:sz w:val="18"/>
                      <w:szCs w:val="18"/>
                    </w:rPr>
                    <w:t>0.7%</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96CD642">
                  <w:pPr>
                    <w:pStyle w:val="27"/>
                    <w:wordWrap w:val="0"/>
                    <w:spacing w:line="383" w:lineRule="atLeast"/>
                    <w:jc w:val="center"/>
                    <w:textAlignment w:val="top"/>
                    <w:rPr>
                      <w:color w:val="auto"/>
                      <w:sz w:val="18"/>
                      <w:szCs w:val="18"/>
                    </w:rPr>
                  </w:pPr>
                  <w:r>
                    <w:rPr>
                      <w:rFonts w:hint="eastAsia"/>
                      <w:color w:val="auto"/>
                      <w:spacing w:val="8"/>
                      <w:sz w:val="18"/>
                      <w:szCs w:val="18"/>
                    </w:rPr>
                    <w:t>0.8%</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1B2750A">
                  <w:pPr>
                    <w:pStyle w:val="27"/>
                    <w:wordWrap w:val="0"/>
                    <w:spacing w:line="383" w:lineRule="atLeast"/>
                    <w:jc w:val="center"/>
                    <w:textAlignment w:val="top"/>
                    <w:rPr>
                      <w:color w:val="auto"/>
                      <w:sz w:val="18"/>
                      <w:szCs w:val="18"/>
                    </w:rPr>
                  </w:pPr>
                  <w:r>
                    <w:rPr>
                      <w:rFonts w:hint="eastAsia"/>
                      <w:color w:val="auto"/>
                      <w:spacing w:val="8"/>
                      <w:sz w:val="18"/>
                      <w:szCs w:val="18"/>
                    </w:rPr>
                    <w:t>0.7%</w:t>
                  </w:r>
                </w:p>
              </w:tc>
            </w:tr>
            <w:tr w14:paraId="603AF181">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D0D415F">
                  <w:pPr>
                    <w:pStyle w:val="27"/>
                    <w:wordWrap w:val="0"/>
                    <w:spacing w:line="383" w:lineRule="atLeast"/>
                    <w:textAlignment w:val="center"/>
                    <w:rPr>
                      <w:color w:val="auto"/>
                      <w:sz w:val="18"/>
                      <w:szCs w:val="18"/>
                    </w:rPr>
                  </w:pPr>
                  <w:r>
                    <w:rPr>
                      <w:rFonts w:hint="eastAsia"/>
                      <w:color w:val="auto"/>
                      <w:spacing w:val="8"/>
                      <w:sz w:val="18"/>
                      <w:szCs w:val="18"/>
                    </w:rPr>
                    <w:t>1000万-5000万元（含5000万元）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0B58B71">
                  <w:pPr>
                    <w:pStyle w:val="27"/>
                    <w:wordWrap w:val="0"/>
                    <w:spacing w:line="383" w:lineRule="atLeast"/>
                    <w:jc w:val="center"/>
                    <w:textAlignment w:val="top"/>
                    <w:rPr>
                      <w:color w:val="auto"/>
                      <w:sz w:val="18"/>
                      <w:szCs w:val="18"/>
                    </w:rPr>
                  </w:pPr>
                  <w:r>
                    <w:rPr>
                      <w:rFonts w:hint="eastAsia"/>
                      <w:color w:val="auto"/>
                      <w:spacing w:val="8"/>
                      <w:sz w:val="18"/>
                      <w:szCs w:val="18"/>
                    </w:rPr>
                    <w:t>0.4%</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5F8AABF">
                  <w:pPr>
                    <w:pStyle w:val="27"/>
                    <w:wordWrap w:val="0"/>
                    <w:spacing w:line="383" w:lineRule="atLeast"/>
                    <w:jc w:val="center"/>
                    <w:textAlignment w:val="top"/>
                    <w:rPr>
                      <w:color w:val="auto"/>
                      <w:sz w:val="18"/>
                      <w:szCs w:val="18"/>
                    </w:rPr>
                  </w:pPr>
                  <w:r>
                    <w:rPr>
                      <w:rFonts w:hint="eastAsia"/>
                      <w:color w:val="auto"/>
                      <w:spacing w:val="8"/>
                      <w:sz w:val="18"/>
                      <w:szCs w:val="18"/>
                    </w:rPr>
                    <w:t>0.5%</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A8ABB61">
                  <w:pPr>
                    <w:pStyle w:val="27"/>
                    <w:wordWrap w:val="0"/>
                    <w:spacing w:line="383" w:lineRule="atLeast"/>
                    <w:jc w:val="center"/>
                    <w:textAlignment w:val="top"/>
                    <w:rPr>
                      <w:color w:val="auto"/>
                      <w:sz w:val="18"/>
                      <w:szCs w:val="18"/>
                    </w:rPr>
                  </w:pPr>
                  <w:r>
                    <w:rPr>
                      <w:rFonts w:hint="eastAsia"/>
                      <w:color w:val="auto"/>
                      <w:spacing w:val="8"/>
                      <w:sz w:val="18"/>
                      <w:szCs w:val="18"/>
                    </w:rPr>
                    <w:t>0.4%</w:t>
                  </w:r>
                </w:p>
              </w:tc>
            </w:tr>
            <w:tr w14:paraId="76752013">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409DEA6">
                  <w:pPr>
                    <w:pStyle w:val="27"/>
                    <w:wordWrap w:val="0"/>
                    <w:spacing w:line="383" w:lineRule="atLeast"/>
                    <w:jc w:val="center"/>
                    <w:textAlignment w:val="center"/>
                    <w:rPr>
                      <w:color w:val="auto"/>
                      <w:sz w:val="18"/>
                      <w:szCs w:val="18"/>
                    </w:rPr>
                  </w:pPr>
                  <w:r>
                    <w:rPr>
                      <w:rFonts w:hint="eastAsia"/>
                      <w:color w:val="auto"/>
                      <w:spacing w:val="8"/>
                      <w:sz w:val="18"/>
                      <w:szCs w:val="18"/>
                    </w:rPr>
                    <w:t>5000万元-1亿元（含1亿元）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20BAC28">
                  <w:pPr>
                    <w:pStyle w:val="27"/>
                    <w:wordWrap w:val="0"/>
                    <w:spacing w:line="383" w:lineRule="atLeast"/>
                    <w:jc w:val="center"/>
                    <w:textAlignment w:val="top"/>
                    <w:rPr>
                      <w:color w:val="auto"/>
                      <w:sz w:val="18"/>
                      <w:szCs w:val="18"/>
                    </w:rPr>
                  </w:pPr>
                  <w:r>
                    <w:rPr>
                      <w:rFonts w:hint="eastAsia"/>
                      <w:color w:val="auto"/>
                      <w:spacing w:val="8"/>
                      <w:sz w:val="18"/>
                      <w:szCs w:val="18"/>
                    </w:rPr>
                    <w:t>0.25%</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E24E8BD">
                  <w:pPr>
                    <w:pStyle w:val="27"/>
                    <w:wordWrap w:val="0"/>
                    <w:spacing w:line="383" w:lineRule="atLeast"/>
                    <w:jc w:val="center"/>
                    <w:textAlignment w:val="top"/>
                    <w:rPr>
                      <w:color w:val="auto"/>
                      <w:sz w:val="18"/>
                      <w:szCs w:val="18"/>
                    </w:rPr>
                  </w:pPr>
                  <w:r>
                    <w:rPr>
                      <w:rFonts w:hint="eastAsia"/>
                      <w:color w:val="auto"/>
                      <w:spacing w:val="8"/>
                      <w:sz w:val="18"/>
                      <w:szCs w:val="18"/>
                    </w:rPr>
                    <w:t>0.30%</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5A1309B">
                  <w:pPr>
                    <w:pStyle w:val="27"/>
                    <w:wordWrap w:val="0"/>
                    <w:spacing w:line="383" w:lineRule="atLeast"/>
                    <w:jc w:val="center"/>
                    <w:textAlignment w:val="top"/>
                    <w:rPr>
                      <w:color w:val="auto"/>
                      <w:sz w:val="18"/>
                      <w:szCs w:val="18"/>
                    </w:rPr>
                  </w:pPr>
                  <w:r>
                    <w:rPr>
                      <w:rFonts w:hint="eastAsia"/>
                      <w:color w:val="auto"/>
                      <w:spacing w:val="8"/>
                      <w:sz w:val="18"/>
                      <w:szCs w:val="18"/>
                    </w:rPr>
                    <w:t>0.250%</w:t>
                  </w:r>
                </w:p>
              </w:tc>
            </w:tr>
            <w:tr w14:paraId="072A6F96">
              <w:tblPrEx>
                <w:shd w:val="clear" w:color="auto" w:fill="FFFFFF"/>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FD53203">
                  <w:pPr>
                    <w:pStyle w:val="27"/>
                    <w:wordWrap w:val="0"/>
                    <w:spacing w:line="383" w:lineRule="atLeast"/>
                    <w:jc w:val="center"/>
                    <w:textAlignment w:val="center"/>
                    <w:rPr>
                      <w:color w:val="auto"/>
                      <w:sz w:val="18"/>
                      <w:szCs w:val="18"/>
                    </w:rPr>
                  </w:pPr>
                  <w:r>
                    <w:rPr>
                      <w:rFonts w:hint="eastAsia"/>
                      <w:color w:val="auto"/>
                      <w:spacing w:val="8"/>
                      <w:sz w:val="18"/>
                      <w:szCs w:val="18"/>
                    </w:rPr>
                    <w:t>1亿-5亿元（含5亿元）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FB99181">
                  <w:pPr>
                    <w:pStyle w:val="27"/>
                    <w:wordWrap w:val="0"/>
                    <w:spacing w:line="383" w:lineRule="atLeast"/>
                    <w:jc w:val="center"/>
                    <w:textAlignment w:val="top"/>
                    <w:rPr>
                      <w:color w:val="auto"/>
                      <w:sz w:val="18"/>
                      <w:szCs w:val="18"/>
                    </w:rPr>
                  </w:pPr>
                  <w:r>
                    <w:rPr>
                      <w:rFonts w:hint="eastAsia"/>
                      <w:color w:val="auto"/>
                      <w:spacing w:val="8"/>
                      <w:sz w:val="18"/>
                      <w:szCs w:val="18"/>
                    </w:rPr>
                    <w:t>0.10%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2D3C195">
                  <w:pPr>
                    <w:pStyle w:val="27"/>
                    <w:wordWrap w:val="0"/>
                    <w:spacing w:line="383" w:lineRule="atLeast"/>
                    <w:jc w:val="center"/>
                    <w:textAlignment w:val="top"/>
                    <w:rPr>
                      <w:color w:val="auto"/>
                      <w:sz w:val="18"/>
                      <w:szCs w:val="18"/>
                    </w:rPr>
                  </w:pPr>
                  <w:r>
                    <w:rPr>
                      <w:rFonts w:hint="eastAsia"/>
                      <w:color w:val="auto"/>
                      <w:spacing w:val="8"/>
                      <w:sz w:val="18"/>
                      <w:szCs w:val="18"/>
                    </w:rPr>
                    <w:t>0.10%</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5012CB1">
                  <w:pPr>
                    <w:pStyle w:val="27"/>
                    <w:wordWrap w:val="0"/>
                    <w:spacing w:line="383" w:lineRule="atLeast"/>
                    <w:jc w:val="center"/>
                    <w:textAlignment w:val="top"/>
                    <w:rPr>
                      <w:color w:val="auto"/>
                      <w:sz w:val="18"/>
                      <w:szCs w:val="18"/>
                    </w:rPr>
                  </w:pPr>
                  <w:r>
                    <w:rPr>
                      <w:rFonts w:hint="eastAsia"/>
                      <w:color w:val="auto"/>
                      <w:spacing w:val="8"/>
                      <w:sz w:val="18"/>
                      <w:szCs w:val="18"/>
                    </w:rPr>
                    <w:t>0.10%</w:t>
                  </w:r>
                </w:p>
              </w:tc>
            </w:tr>
            <w:tr w14:paraId="5EEF18FC">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4AF5767">
                  <w:pPr>
                    <w:pStyle w:val="27"/>
                    <w:wordWrap w:val="0"/>
                    <w:spacing w:line="383" w:lineRule="atLeast"/>
                    <w:jc w:val="center"/>
                    <w:textAlignment w:val="center"/>
                    <w:rPr>
                      <w:color w:val="auto"/>
                      <w:sz w:val="18"/>
                      <w:szCs w:val="18"/>
                    </w:rPr>
                  </w:pPr>
                  <w:r>
                    <w:rPr>
                      <w:rFonts w:hint="eastAsia"/>
                      <w:color w:val="auto"/>
                      <w:spacing w:val="8"/>
                      <w:sz w:val="18"/>
                      <w:szCs w:val="18"/>
                    </w:rPr>
                    <w:t>5亿-10亿元（含10亿元）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3E20D090">
                  <w:pPr>
                    <w:pStyle w:val="27"/>
                    <w:wordWrap w:val="0"/>
                    <w:spacing w:line="383" w:lineRule="atLeast"/>
                    <w:jc w:val="center"/>
                    <w:textAlignment w:val="top"/>
                    <w:rPr>
                      <w:color w:val="auto"/>
                      <w:sz w:val="18"/>
                      <w:szCs w:val="18"/>
                    </w:rPr>
                  </w:pPr>
                  <w:r>
                    <w:rPr>
                      <w:rFonts w:hint="eastAsia"/>
                      <w:color w:val="auto"/>
                      <w:spacing w:val="8"/>
                      <w:sz w:val="18"/>
                      <w:szCs w:val="18"/>
                    </w:rPr>
                    <w:t>0.045%</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F0484F2">
                  <w:pPr>
                    <w:pStyle w:val="27"/>
                    <w:wordWrap w:val="0"/>
                    <w:spacing w:line="383" w:lineRule="atLeast"/>
                    <w:jc w:val="center"/>
                    <w:textAlignment w:val="top"/>
                    <w:rPr>
                      <w:color w:val="auto"/>
                      <w:sz w:val="18"/>
                      <w:szCs w:val="18"/>
                    </w:rPr>
                  </w:pPr>
                  <w:r>
                    <w:rPr>
                      <w:rFonts w:hint="eastAsia"/>
                      <w:color w:val="auto"/>
                      <w:spacing w:val="8"/>
                      <w:sz w:val="18"/>
                      <w:szCs w:val="18"/>
                    </w:rPr>
                    <w:t>0.045%</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47CFE32E">
                  <w:pPr>
                    <w:pStyle w:val="27"/>
                    <w:wordWrap w:val="0"/>
                    <w:spacing w:line="383" w:lineRule="atLeast"/>
                    <w:jc w:val="center"/>
                    <w:textAlignment w:val="top"/>
                    <w:rPr>
                      <w:color w:val="auto"/>
                      <w:sz w:val="18"/>
                      <w:szCs w:val="18"/>
                    </w:rPr>
                  </w:pPr>
                  <w:r>
                    <w:rPr>
                      <w:rFonts w:hint="eastAsia"/>
                      <w:color w:val="auto"/>
                      <w:spacing w:val="8"/>
                      <w:sz w:val="18"/>
                      <w:szCs w:val="18"/>
                    </w:rPr>
                    <w:t>0.045%</w:t>
                  </w:r>
                </w:p>
              </w:tc>
            </w:tr>
            <w:tr w14:paraId="414A0514">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217CDA2">
                  <w:pPr>
                    <w:pStyle w:val="27"/>
                    <w:wordWrap w:val="0"/>
                    <w:spacing w:line="383" w:lineRule="atLeast"/>
                    <w:jc w:val="center"/>
                    <w:textAlignment w:val="center"/>
                    <w:rPr>
                      <w:color w:val="auto"/>
                      <w:sz w:val="18"/>
                      <w:szCs w:val="18"/>
                    </w:rPr>
                  </w:pPr>
                  <w:r>
                    <w:rPr>
                      <w:rFonts w:hint="eastAsia"/>
                      <w:color w:val="auto"/>
                      <w:spacing w:val="8"/>
                      <w:sz w:val="18"/>
                      <w:szCs w:val="18"/>
                    </w:rPr>
                    <w:t>10亿-50亿元（含50亿元）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41E6C2D">
                  <w:pPr>
                    <w:pStyle w:val="27"/>
                    <w:wordWrap w:val="0"/>
                    <w:spacing w:line="383" w:lineRule="atLeast"/>
                    <w:jc w:val="center"/>
                    <w:textAlignment w:val="top"/>
                    <w:rPr>
                      <w:color w:val="auto"/>
                      <w:sz w:val="18"/>
                      <w:szCs w:val="18"/>
                    </w:rPr>
                  </w:pPr>
                  <w:r>
                    <w:rPr>
                      <w:rFonts w:hint="eastAsia"/>
                      <w:color w:val="auto"/>
                      <w:spacing w:val="8"/>
                      <w:sz w:val="18"/>
                      <w:szCs w:val="18"/>
                    </w:rPr>
                    <w:t>0.010%</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7F473856">
                  <w:pPr>
                    <w:pStyle w:val="27"/>
                    <w:wordWrap w:val="0"/>
                    <w:spacing w:line="383" w:lineRule="atLeast"/>
                    <w:jc w:val="center"/>
                    <w:textAlignment w:val="top"/>
                    <w:rPr>
                      <w:color w:val="auto"/>
                      <w:sz w:val="18"/>
                      <w:szCs w:val="18"/>
                    </w:rPr>
                  </w:pPr>
                  <w:r>
                    <w:rPr>
                      <w:rFonts w:hint="eastAsia"/>
                      <w:color w:val="auto"/>
                      <w:spacing w:val="8"/>
                      <w:sz w:val="18"/>
                      <w:szCs w:val="18"/>
                    </w:rPr>
                    <w:t>0.01%</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4BA4CEC4">
                  <w:pPr>
                    <w:pStyle w:val="27"/>
                    <w:wordWrap w:val="0"/>
                    <w:spacing w:line="383" w:lineRule="atLeast"/>
                    <w:jc w:val="center"/>
                    <w:textAlignment w:val="top"/>
                    <w:rPr>
                      <w:color w:val="auto"/>
                      <w:sz w:val="18"/>
                      <w:szCs w:val="18"/>
                    </w:rPr>
                  </w:pPr>
                  <w:r>
                    <w:rPr>
                      <w:rFonts w:hint="eastAsia"/>
                      <w:color w:val="auto"/>
                      <w:spacing w:val="8"/>
                      <w:sz w:val="18"/>
                      <w:szCs w:val="18"/>
                    </w:rPr>
                    <w:t>0.010%</w:t>
                  </w:r>
                </w:p>
              </w:tc>
            </w:tr>
            <w:tr w14:paraId="33EB847F">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7D7A0B3">
                  <w:pPr>
                    <w:pStyle w:val="27"/>
                    <w:wordWrap w:val="0"/>
                    <w:spacing w:line="383" w:lineRule="atLeast"/>
                    <w:jc w:val="center"/>
                    <w:textAlignment w:val="center"/>
                    <w:rPr>
                      <w:color w:val="auto"/>
                      <w:sz w:val="18"/>
                      <w:szCs w:val="18"/>
                    </w:rPr>
                  </w:pPr>
                  <w:r>
                    <w:rPr>
                      <w:rFonts w:hint="eastAsia"/>
                      <w:color w:val="auto"/>
                      <w:spacing w:val="8"/>
                      <w:sz w:val="18"/>
                      <w:szCs w:val="18"/>
                    </w:rPr>
                    <w:t>50亿-100亿元（含100亿元）</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1884F60C">
                  <w:pPr>
                    <w:pStyle w:val="27"/>
                    <w:wordWrap w:val="0"/>
                    <w:spacing w:line="383" w:lineRule="atLeast"/>
                    <w:jc w:val="center"/>
                    <w:textAlignment w:val="top"/>
                    <w:rPr>
                      <w:color w:val="auto"/>
                      <w:sz w:val="18"/>
                      <w:szCs w:val="18"/>
                    </w:rPr>
                  </w:pPr>
                  <w:r>
                    <w:rPr>
                      <w:rFonts w:hint="eastAsia"/>
                      <w:color w:val="auto"/>
                      <w:spacing w:val="8"/>
                      <w:sz w:val="18"/>
                      <w:szCs w:val="18"/>
                    </w:rPr>
                    <w:t>0.008%</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6FF312AB">
                  <w:pPr>
                    <w:pStyle w:val="27"/>
                    <w:wordWrap w:val="0"/>
                    <w:spacing w:line="383" w:lineRule="atLeast"/>
                    <w:jc w:val="center"/>
                    <w:textAlignment w:val="top"/>
                    <w:rPr>
                      <w:color w:val="auto"/>
                      <w:sz w:val="18"/>
                      <w:szCs w:val="18"/>
                    </w:rPr>
                  </w:pPr>
                  <w:r>
                    <w:rPr>
                      <w:rFonts w:hint="eastAsia"/>
                      <w:color w:val="auto"/>
                      <w:spacing w:val="8"/>
                      <w:sz w:val="18"/>
                      <w:szCs w:val="18"/>
                    </w:rPr>
                    <w:t>0.008%</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8DC96E">
                  <w:pPr>
                    <w:pStyle w:val="27"/>
                    <w:wordWrap w:val="0"/>
                    <w:spacing w:line="383" w:lineRule="atLeast"/>
                    <w:jc w:val="center"/>
                    <w:textAlignment w:val="top"/>
                    <w:rPr>
                      <w:color w:val="auto"/>
                      <w:sz w:val="18"/>
                      <w:szCs w:val="18"/>
                    </w:rPr>
                  </w:pPr>
                  <w:r>
                    <w:rPr>
                      <w:rFonts w:hint="eastAsia"/>
                      <w:color w:val="auto"/>
                      <w:spacing w:val="8"/>
                      <w:sz w:val="18"/>
                      <w:szCs w:val="18"/>
                    </w:rPr>
                    <w:t>0.008%</w:t>
                  </w:r>
                </w:p>
              </w:tc>
            </w:tr>
            <w:tr w14:paraId="7A4AAF0C">
              <w:tblPrEx>
                <w:tblCellMar>
                  <w:top w:w="0" w:type="dxa"/>
                  <w:left w:w="0" w:type="dxa"/>
                  <w:bottom w:w="0" w:type="dxa"/>
                  <w:right w:w="0" w:type="dxa"/>
                </w:tblCellMar>
              </w:tblPrEx>
              <w:trPr>
                <w:trHeight w:val="113" w:hRule="atLeast"/>
              </w:trPr>
              <w:tc>
                <w:tcPr>
                  <w:tcW w:w="32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1D287FD">
                  <w:pPr>
                    <w:pStyle w:val="27"/>
                    <w:wordWrap w:val="0"/>
                    <w:spacing w:line="383" w:lineRule="atLeast"/>
                    <w:jc w:val="center"/>
                    <w:textAlignment w:val="center"/>
                    <w:rPr>
                      <w:color w:val="auto"/>
                      <w:sz w:val="18"/>
                      <w:szCs w:val="18"/>
                    </w:rPr>
                  </w:pPr>
                  <w:r>
                    <w:rPr>
                      <w:rFonts w:hint="eastAsia"/>
                      <w:color w:val="auto"/>
                      <w:spacing w:val="8"/>
                      <w:sz w:val="18"/>
                      <w:szCs w:val="18"/>
                    </w:rPr>
                    <w:t>100亿元以上</w:t>
                  </w:r>
                </w:p>
              </w:tc>
              <w:tc>
                <w:tcPr>
                  <w:tcW w:w="9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1A10D0A">
                  <w:pPr>
                    <w:pStyle w:val="27"/>
                    <w:wordWrap w:val="0"/>
                    <w:spacing w:line="383" w:lineRule="atLeast"/>
                    <w:jc w:val="center"/>
                    <w:textAlignment w:val="center"/>
                    <w:rPr>
                      <w:color w:val="auto"/>
                      <w:sz w:val="18"/>
                      <w:szCs w:val="18"/>
                    </w:rPr>
                  </w:pPr>
                  <w:r>
                    <w:rPr>
                      <w:rFonts w:hint="eastAsia"/>
                      <w:color w:val="auto"/>
                      <w:spacing w:val="8"/>
                      <w:sz w:val="18"/>
                      <w:szCs w:val="18"/>
                    </w:rPr>
                    <w:t>0.004%</w:t>
                  </w:r>
                </w:p>
              </w:tc>
              <w:tc>
                <w:tcPr>
                  <w:tcW w:w="993"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59A6AD78">
                  <w:pPr>
                    <w:pStyle w:val="27"/>
                    <w:wordWrap w:val="0"/>
                    <w:spacing w:line="383" w:lineRule="atLeast"/>
                    <w:jc w:val="center"/>
                    <w:textAlignment w:val="top"/>
                    <w:rPr>
                      <w:color w:val="auto"/>
                      <w:sz w:val="18"/>
                      <w:szCs w:val="18"/>
                    </w:rPr>
                  </w:pPr>
                  <w:r>
                    <w:rPr>
                      <w:rFonts w:hint="eastAsia"/>
                      <w:color w:val="auto"/>
                      <w:spacing w:val="8"/>
                      <w:sz w:val="18"/>
                      <w:szCs w:val="18"/>
                    </w:rPr>
                    <w:t>0.004%</w:t>
                  </w:r>
                </w:p>
              </w:tc>
              <w:tc>
                <w:tcPr>
                  <w:tcW w:w="1249" w:type="dxa"/>
                  <w:tcBorders>
                    <w:top w:val="nil"/>
                    <w:left w:val="single" w:color="auto" w:sz="8" w:space="0"/>
                    <w:bottom w:val="single" w:color="auto" w:sz="8" w:space="0"/>
                    <w:right w:val="single" w:color="auto" w:sz="8" w:space="0"/>
                  </w:tcBorders>
                  <w:shd w:val="clear" w:color="auto" w:fill="FFFFFF"/>
                  <w:tcMar>
                    <w:left w:w="108" w:type="dxa"/>
                    <w:right w:w="108" w:type="dxa"/>
                  </w:tcMar>
                </w:tcPr>
                <w:p w14:paraId="0F3BD5CD">
                  <w:pPr>
                    <w:pStyle w:val="27"/>
                    <w:wordWrap w:val="0"/>
                    <w:spacing w:line="383" w:lineRule="atLeast"/>
                    <w:jc w:val="center"/>
                    <w:textAlignment w:val="top"/>
                    <w:rPr>
                      <w:color w:val="auto"/>
                      <w:sz w:val="18"/>
                      <w:szCs w:val="18"/>
                    </w:rPr>
                  </w:pPr>
                  <w:r>
                    <w:rPr>
                      <w:rFonts w:hint="eastAsia"/>
                      <w:color w:val="auto"/>
                      <w:spacing w:val="8"/>
                      <w:sz w:val="18"/>
                      <w:szCs w:val="18"/>
                    </w:rPr>
                    <w:t>0.004%</w:t>
                  </w:r>
                </w:p>
              </w:tc>
            </w:tr>
          </w:tbl>
          <w:p w14:paraId="679CD5AA">
            <w:pPr>
              <w:pStyle w:val="2"/>
              <w:spacing w:line="360" w:lineRule="auto"/>
              <w:ind w:firstLine="0" w:firstLineChars="0"/>
              <w:rPr>
                <w:rFonts w:ascii="ˎ̥" w:hAnsi="ˎ̥" w:eastAsiaTheme="minorEastAsia" w:cstheme="minorBidi"/>
                <w:color w:val="auto"/>
                <w:kern w:val="2"/>
                <w:sz w:val="21"/>
                <w:szCs w:val="22"/>
                <w:lang w:val="zh-CN"/>
              </w:rPr>
            </w:pPr>
          </w:p>
        </w:tc>
      </w:tr>
      <w:tr w14:paraId="6F66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06" w:type="dxa"/>
            <w:vAlign w:val="center"/>
          </w:tcPr>
          <w:p w14:paraId="54FE7B4E">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14:paraId="58376A15">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14:paraId="1BB69784">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供应商响应时须成功上传、加密电子响应文件。供应商资质、业绩、荣誉及相关人员证明材料等资料原件谈判现场不再提供。</w:t>
            </w:r>
          </w:p>
          <w:p w14:paraId="4DADCA7C">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□否。供应商响应时须提供纸质响应文件。供应商资质、业绩、荣誉及相关人员证明材料等资料原件根据谈判文件要求提供。</w:t>
            </w:r>
          </w:p>
        </w:tc>
      </w:tr>
      <w:tr w14:paraId="6848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jc w:val="center"/>
        </w:trPr>
        <w:tc>
          <w:tcPr>
            <w:tcW w:w="806" w:type="dxa"/>
            <w:vAlign w:val="center"/>
          </w:tcPr>
          <w:p w14:paraId="64553E1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28</w:t>
            </w:r>
          </w:p>
        </w:tc>
        <w:tc>
          <w:tcPr>
            <w:tcW w:w="2268" w:type="dxa"/>
            <w:vAlign w:val="center"/>
          </w:tcPr>
          <w:p w14:paraId="17A60FC3">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bCs/>
                <w:color w:val="auto"/>
                <w:szCs w:val="21"/>
                <w:lang w:val="zh-CN"/>
              </w:rPr>
              <w:t>最后报价</w:t>
            </w:r>
          </w:p>
        </w:tc>
        <w:tc>
          <w:tcPr>
            <w:tcW w:w="6813" w:type="dxa"/>
            <w:vAlign w:val="center"/>
          </w:tcPr>
          <w:p w14:paraId="0806D5DD">
            <w:pPr>
              <w:wordWrap w:val="0"/>
              <w:autoSpaceDE w:val="0"/>
              <w:autoSpaceDN w:val="0"/>
              <w:adjustRightInd w:val="0"/>
              <w:spacing w:line="360" w:lineRule="auto"/>
              <w:contextualSpacing/>
              <w:rPr>
                <w:rFonts w:ascii="ˎ̥" w:hAnsi="ˎ̥"/>
                <w:color w:val="auto"/>
              </w:rPr>
            </w:pPr>
            <w:r>
              <w:rPr>
                <w:rFonts w:hint="eastAsia" w:ascii="ˎ̥" w:hAnsi="ˎ̥"/>
                <w:color w:val="auto"/>
              </w:rPr>
              <w:t>根据谈判小组要求，供应商须使用</w:t>
            </w:r>
            <w:r>
              <w:rPr>
                <w:rFonts w:ascii="ˎ̥" w:hAnsi="ˎ̥"/>
                <w:color w:val="auto"/>
              </w:rPr>
              <w:t>CA数字证书</w:t>
            </w:r>
            <w:r>
              <w:rPr>
                <w:rFonts w:hint="eastAsia" w:ascii="ˎ̥" w:hAnsi="ˎ̥"/>
                <w:color w:val="auto"/>
              </w:rPr>
              <w:t>登录</w:t>
            </w:r>
            <w:r>
              <w:rPr>
                <w:rFonts w:hint="eastAsia" w:hAnsi="宋体"/>
                <w:color w:val="auto"/>
                <w:szCs w:val="21"/>
              </w:rPr>
              <w:t>《全国公共资源交易平台（河南省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rFonts w:hint="eastAsia" w:ascii="宋体" w:hAnsi="宋体" w:eastAsia="宋体"/>
                <w:color w:val="auto"/>
                <w:szCs w:val="21"/>
              </w:rPr>
              <w:t>（</w:t>
            </w:r>
            <w:r>
              <w:rPr>
                <w:rFonts w:hint="eastAsia" w:ascii="宋体" w:hAnsi="宋体" w:eastAsia="宋体"/>
                <w:color w:val="auto"/>
                <w:szCs w:val="21"/>
                <w:lang w:eastAsia="zh-CN"/>
              </w:rPr>
              <w:t>https://ggzy.xuchang.gov.cn/</w:t>
            </w:r>
            <w:r>
              <w:rPr>
                <w:rFonts w:hint="eastAsia" w:ascii="宋体" w:hAnsi="宋体" w:eastAsia="宋体"/>
                <w:color w:val="auto"/>
                <w:szCs w:val="21"/>
              </w:rPr>
              <w:t>）</w:t>
            </w:r>
            <w:r>
              <w:rPr>
                <w:rFonts w:hint="eastAsia" w:hAnsi="宋体"/>
                <w:color w:val="auto"/>
                <w:szCs w:val="21"/>
              </w:rPr>
              <w:t>进行最后报价，</w:t>
            </w:r>
            <w:r>
              <w:rPr>
                <w:rFonts w:hint="eastAsia" w:ascii="ˎ̥" w:hAnsi="ˎ̥"/>
                <w:color w:val="auto"/>
              </w:rPr>
              <w:t>最后报价应包括：</w:t>
            </w:r>
            <w:r>
              <w:rPr>
                <w:rFonts w:hint="eastAsia" w:asciiTheme="minorEastAsia" w:hAnsiTheme="minorEastAsia"/>
                <w:color w:val="auto"/>
              </w:rPr>
              <w:t>①总报价</w:t>
            </w:r>
            <w:r>
              <w:rPr>
                <w:rFonts w:hint="eastAsia" w:ascii="宋体" w:hAnsi="宋体" w:eastAsia="宋体"/>
                <w:color w:val="auto"/>
              </w:rPr>
              <w:t>②</w:t>
            </w:r>
            <w:r>
              <w:rPr>
                <w:rFonts w:hint="eastAsia" w:ascii="ˎ̥" w:hAnsi="ˎ̥"/>
                <w:color w:val="auto"/>
              </w:rPr>
              <w:t>分项报价。</w:t>
            </w:r>
          </w:p>
          <w:p w14:paraId="5EB06DB5">
            <w:pPr>
              <w:autoSpaceDE w:val="0"/>
              <w:autoSpaceDN w:val="0"/>
              <w:adjustRightInd w:val="0"/>
              <w:spacing w:line="360" w:lineRule="auto"/>
              <w:ind w:right="-11"/>
              <w:rPr>
                <w:rFonts w:ascii="ˎ̥" w:hAnsi="ˎ̥"/>
                <w:color w:val="auto"/>
              </w:rPr>
            </w:pPr>
            <w:r>
              <w:rPr>
                <w:rFonts w:hint="eastAsia" w:ascii="ˎ̥" w:hAnsi="ˎ̥"/>
                <w:color w:val="auto"/>
              </w:rPr>
              <w:t>注：</w:t>
            </w:r>
          </w:p>
          <w:p w14:paraId="1FD9BD7C">
            <w:pPr>
              <w:autoSpaceDE w:val="0"/>
              <w:autoSpaceDN w:val="0"/>
              <w:adjustRightInd w:val="0"/>
              <w:spacing w:line="360" w:lineRule="auto"/>
              <w:ind w:right="-11"/>
              <w:rPr>
                <w:rFonts w:ascii="ˎ̥" w:hAnsi="ˎ̥"/>
                <w:color w:val="auto"/>
              </w:rPr>
            </w:pPr>
            <w:r>
              <w:rPr>
                <w:rFonts w:hint="eastAsia" w:ascii="ˎ̥" w:hAnsi="ˎ̥"/>
                <w:color w:val="auto"/>
              </w:rPr>
              <w:t>①谈判小组要求供应商提交最后报价时，在谈判小组规定时间内，供应商未提交最后报价则以其初次提交响应文件报价为最后报价。</w:t>
            </w:r>
          </w:p>
          <w:p w14:paraId="760E1252">
            <w:pPr>
              <w:autoSpaceDE w:val="0"/>
              <w:autoSpaceDN w:val="0"/>
              <w:adjustRightInd w:val="0"/>
              <w:spacing w:line="360" w:lineRule="auto"/>
              <w:ind w:right="-11"/>
              <w:rPr>
                <w:rFonts w:ascii="ˎ̥" w:hAnsi="ˎ̥"/>
                <w:color w:val="auto"/>
              </w:rPr>
            </w:pPr>
            <w:r>
              <w:rPr>
                <w:rFonts w:hint="eastAsia" w:ascii="ˎ̥" w:hAnsi="ˎ̥"/>
                <w:color w:val="auto"/>
              </w:rPr>
              <w:t>②采购文件第二章“采购需求”中“采购清单”以工程量清单提供的，供应商应以工程量清单方式提交最后报价。</w:t>
            </w:r>
          </w:p>
          <w:p w14:paraId="7EA2EB57">
            <w:pPr>
              <w:autoSpaceDE w:val="0"/>
              <w:autoSpaceDN w:val="0"/>
              <w:adjustRightInd w:val="0"/>
              <w:spacing w:line="360" w:lineRule="auto"/>
              <w:ind w:right="-11"/>
              <w:rPr>
                <w:rFonts w:cs="宋体" w:asciiTheme="minorEastAsia" w:hAnsiTheme="minorEastAsia"/>
                <w:color w:val="auto"/>
                <w:szCs w:val="21"/>
                <w:lang w:val="zh-CN"/>
              </w:rPr>
            </w:pPr>
            <w:r>
              <w:rPr>
                <w:rFonts w:hint="eastAsia" w:ascii="ˎ̥" w:hAnsi="ˎ̥"/>
                <w:color w:val="auto"/>
              </w:rPr>
              <w:t>③请供应商根据项目情况，可提前准备分项报价。</w:t>
            </w:r>
          </w:p>
        </w:tc>
      </w:tr>
      <w:tr w14:paraId="62F6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06" w:type="dxa"/>
            <w:vAlign w:val="center"/>
          </w:tcPr>
          <w:p w14:paraId="5BDBE798">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29</w:t>
            </w:r>
          </w:p>
        </w:tc>
        <w:tc>
          <w:tcPr>
            <w:tcW w:w="2268" w:type="dxa"/>
            <w:vAlign w:val="center"/>
          </w:tcPr>
          <w:p w14:paraId="00D35A15">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14:paraId="1BBE8EF4">
            <w:pPr>
              <w:autoSpaceDE w:val="0"/>
              <w:autoSpaceDN w:val="0"/>
              <w:adjustRightInd w:val="0"/>
              <w:spacing w:line="360" w:lineRule="auto"/>
              <w:contextualSpacing/>
              <w:rPr>
                <w:color w:val="auto"/>
              </w:rPr>
            </w:pPr>
            <w:r>
              <w:rPr>
                <w:rFonts w:hint="eastAsia"/>
                <w:color w:val="auto"/>
              </w:rPr>
              <w:t>1、按照《关于推进全流程电子化交易和在线监管工作有关问题的通知》（许公管办〔2019〕3号）规定：</w:t>
            </w:r>
          </w:p>
          <w:p w14:paraId="6B353AD9">
            <w:pPr>
              <w:autoSpaceDE w:val="0"/>
              <w:autoSpaceDN w:val="0"/>
              <w:adjustRightInd w:val="0"/>
              <w:spacing w:line="360" w:lineRule="auto"/>
              <w:contextualSpacing/>
              <w:rPr>
                <w:color w:val="auto"/>
              </w:rPr>
            </w:pPr>
            <w:r>
              <w:rPr>
                <w:rFonts w:hint="eastAsia"/>
                <w:color w:val="auto"/>
              </w:rPr>
              <w:t>不同供应商电子投标文件制作硬件特征码（网卡MAC地址、CPU序号、硬盘序列号）均一致时，视为‘</w:t>
            </w:r>
            <w:r>
              <w:rPr>
                <w:color w:val="auto"/>
              </w:rPr>
              <w:t>不同</w:t>
            </w:r>
            <w:r>
              <w:rPr>
                <w:rFonts w:hint="eastAsia"/>
                <w:color w:val="auto"/>
              </w:rPr>
              <w:t>投标人的投标</w:t>
            </w:r>
            <w:r>
              <w:rPr>
                <w:color w:val="auto"/>
              </w:rPr>
              <w:t>文件由同一单位或者个人编制</w:t>
            </w:r>
            <w:r>
              <w:rPr>
                <w:rFonts w:hint="eastAsia"/>
                <w:color w:val="auto"/>
              </w:rPr>
              <w:t>’或‘</w:t>
            </w:r>
            <w:r>
              <w:rPr>
                <w:color w:val="auto"/>
              </w:rPr>
              <w:t>不同</w:t>
            </w:r>
            <w:r>
              <w:rPr>
                <w:rFonts w:hint="eastAsia"/>
                <w:color w:val="auto"/>
              </w:rPr>
              <w:t>投标人</w:t>
            </w:r>
            <w:r>
              <w:rPr>
                <w:color w:val="auto"/>
              </w:rPr>
              <w:t>委托同一单位或者个人办理</w:t>
            </w:r>
            <w:r>
              <w:rPr>
                <w:rFonts w:hint="eastAsia"/>
                <w:color w:val="auto"/>
              </w:rPr>
              <w:t>响应</w:t>
            </w:r>
            <w:r>
              <w:rPr>
                <w:color w:val="auto"/>
              </w:rPr>
              <w:t>事宜</w:t>
            </w:r>
            <w:r>
              <w:rPr>
                <w:rFonts w:hint="eastAsia"/>
                <w:color w:val="auto"/>
              </w:rPr>
              <w:t>’，其投标无效。</w:t>
            </w:r>
          </w:p>
          <w:p w14:paraId="5442B62F">
            <w:pPr>
              <w:autoSpaceDE w:val="0"/>
              <w:autoSpaceDN w:val="0"/>
              <w:adjustRightInd w:val="0"/>
              <w:spacing w:line="360" w:lineRule="auto"/>
              <w:contextualSpacing/>
              <w:rPr>
                <w:color w:val="auto"/>
              </w:rPr>
            </w:pPr>
            <w:r>
              <w:rPr>
                <w:rFonts w:hint="eastAsia"/>
                <w:color w:val="auto"/>
              </w:rPr>
              <w:t>评审专家应严格按照要求查看“硬件特征码”相关信息并进行评审，在评审报告中显示“不同投标人电子投标文件制作硬件特征码”是否雷同的分析及判定结果。</w:t>
            </w:r>
          </w:p>
          <w:p w14:paraId="279803B7">
            <w:pPr>
              <w:autoSpaceDE w:val="0"/>
              <w:autoSpaceDN w:val="0"/>
              <w:adjustRightInd w:val="0"/>
              <w:spacing w:line="360" w:lineRule="auto"/>
              <w:contextualSpacing/>
              <w:rPr>
                <w:rFonts w:ascii="ˎ̥" w:hAnsi="ˎ̥"/>
                <w:color w:val="auto"/>
                <w:szCs w:val="21"/>
              </w:rPr>
            </w:pPr>
            <w:r>
              <w:rPr>
                <w:rFonts w:hint="eastAsia" w:ascii="ˎ̥" w:hAnsi="ˎ̥"/>
                <w:color w:val="auto"/>
                <w:szCs w:val="21"/>
              </w:rPr>
              <w:t>2、项目编号以本谈判文件中的采购编号为准。</w:t>
            </w:r>
          </w:p>
          <w:p w14:paraId="145E12A3">
            <w:pPr>
              <w:autoSpaceDE w:val="0"/>
              <w:autoSpaceDN w:val="0"/>
              <w:adjustRightInd w:val="0"/>
              <w:spacing w:line="360" w:lineRule="auto"/>
              <w:contextualSpacing/>
              <w:rPr>
                <w:rFonts w:cs="宋体" w:asciiTheme="minorEastAsia" w:hAnsiTheme="minorEastAsia"/>
                <w:color w:val="auto"/>
                <w:szCs w:val="21"/>
              </w:rPr>
            </w:pPr>
            <w:r>
              <w:rPr>
                <w:rFonts w:hint="eastAsia" w:ascii="ˎ̥" w:hAnsi="ˎ̥"/>
                <w:color w:val="auto"/>
                <w:szCs w:val="21"/>
              </w:rPr>
              <w:t>3、谈判文件第八章  响应文件有关格式的先后顺序不作无效响应。</w:t>
            </w:r>
          </w:p>
        </w:tc>
      </w:tr>
      <w:tr w14:paraId="1802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EDC262">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30</w:t>
            </w:r>
          </w:p>
        </w:tc>
        <w:tc>
          <w:tcPr>
            <w:tcW w:w="2268" w:type="dxa"/>
            <w:vAlign w:val="center"/>
          </w:tcPr>
          <w:p w14:paraId="2AD17B2A">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14:paraId="153451A7">
            <w:pPr>
              <w:autoSpaceDE w:val="0"/>
              <w:autoSpaceDN w:val="0"/>
              <w:adjustRightInd w:val="0"/>
              <w:spacing w:line="360" w:lineRule="auto"/>
              <w:jc w:val="center"/>
              <w:rPr>
                <w:rFonts w:cs="宋体" w:asciiTheme="minorEastAsia" w:hAnsiTheme="minorEastAsia"/>
                <w:color w:val="auto"/>
                <w:szCs w:val="21"/>
                <w:lang w:val="zh-CN"/>
              </w:rPr>
            </w:pPr>
            <w:r>
              <w:rPr>
                <w:rFonts w:hint="eastAsia" w:ascii="宋体" w:hAnsi="宋体" w:eastAsia="宋体" w:cs="宋体"/>
                <w:color w:val="auto"/>
                <w:kern w:val="0"/>
                <w:szCs w:val="21"/>
              </w:rPr>
              <w:t>融资政策告知函</w:t>
            </w:r>
          </w:p>
        </w:tc>
        <w:tc>
          <w:tcPr>
            <w:tcW w:w="6813" w:type="dxa"/>
            <w:vAlign w:val="center"/>
          </w:tcPr>
          <w:p w14:paraId="10C50206">
            <w:pPr>
              <w:autoSpaceDE w:val="0"/>
              <w:autoSpaceDN w:val="0"/>
              <w:adjustRightInd w:val="0"/>
              <w:spacing w:line="360" w:lineRule="auto"/>
              <w:ind w:right="-11"/>
              <w:rPr>
                <w:rFonts w:cs="宋体" w:asciiTheme="minorEastAsia" w:hAnsiTheme="minorEastAsia"/>
                <w:color w:val="auto"/>
                <w:szCs w:val="21"/>
                <w:lang w:val="zh-CN"/>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5184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EFC5D9C">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31</w:t>
            </w:r>
          </w:p>
        </w:tc>
        <w:tc>
          <w:tcPr>
            <w:tcW w:w="2268" w:type="dxa"/>
            <w:vAlign w:val="center"/>
          </w:tcPr>
          <w:p w14:paraId="77E0F2DD">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eastAsia="宋体" w:cs="宋体"/>
                <w:color w:val="auto"/>
                <w:kern w:val="0"/>
                <w:szCs w:val="21"/>
                <w:lang w:val="zh-CN"/>
              </w:rPr>
              <w:t>节能环保</w:t>
            </w:r>
            <w:r>
              <w:rPr>
                <w:rFonts w:hint="eastAsia" w:ascii="宋体" w:hAnsi="宋体" w:eastAsia="宋体" w:cs="宋体"/>
                <w:color w:val="auto"/>
                <w:kern w:val="0"/>
                <w:szCs w:val="21"/>
              </w:rPr>
              <w:t>等</w:t>
            </w:r>
            <w:r>
              <w:rPr>
                <w:rFonts w:hint="eastAsia" w:ascii="宋体" w:hAnsi="宋体" w:eastAsia="宋体" w:cs="宋体"/>
                <w:color w:val="auto"/>
                <w:kern w:val="0"/>
                <w:szCs w:val="21"/>
                <w:lang w:val="zh-CN"/>
              </w:rPr>
              <w:t>要求</w:t>
            </w:r>
          </w:p>
        </w:tc>
        <w:tc>
          <w:tcPr>
            <w:tcW w:w="6813" w:type="dxa"/>
            <w:vAlign w:val="center"/>
          </w:tcPr>
          <w:p w14:paraId="5E65FA2C">
            <w:pPr>
              <w:autoSpaceDE w:val="0"/>
              <w:autoSpaceDN w:val="0"/>
              <w:adjustRightInd w:val="0"/>
              <w:spacing w:line="360" w:lineRule="auto"/>
              <w:rPr>
                <w:rFonts w:ascii="宋体" w:hAnsi="宋体" w:eastAsia="宋体" w:cs="宋体"/>
                <w:color w:val="auto"/>
                <w:kern w:val="0"/>
                <w:szCs w:val="21"/>
                <w:lang w:val="zh-CN"/>
              </w:rPr>
            </w:pPr>
            <w:r>
              <w:rPr>
                <w:rFonts w:hint="eastAsia" w:ascii="宋体" w:hAnsi="宋体" w:eastAsia="宋体" w:cs="宋体"/>
                <w:color w:val="auto"/>
                <w:kern w:val="0"/>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7ABD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7EF0157">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32</w:t>
            </w:r>
          </w:p>
        </w:tc>
        <w:tc>
          <w:tcPr>
            <w:tcW w:w="2268" w:type="dxa"/>
            <w:vAlign w:val="center"/>
          </w:tcPr>
          <w:p w14:paraId="5A1DEB3D">
            <w:pPr>
              <w:autoSpaceDE w:val="0"/>
              <w:autoSpaceDN w:val="0"/>
              <w:adjustRightInd w:val="0"/>
              <w:spacing w:line="360" w:lineRule="auto"/>
              <w:jc w:val="center"/>
              <w:rPr>
                <w:rFonts w:cs="宋体" w:asciiTheme="minorEastAsia" w:hAnsiTheme="minorEastAsia"/>
                <w:bCs/>
                <w:color w:val="auto"/>
                <w:szCs w:val="21"/>
                <w:lang w:val="zh-CN"/>
              </w:rPr>
            </w:pPr>
            <w:r>
              <w:rPr>
                <w:rFonts w:hint="eastAsia" w:ascii="宋体" w:hAnsi="宋体" w:eastAsia="宋体" w:cs="宋体"/>
                <w:color w:val="auto"/>
                <w:kern w:val="0"/>
                <w:szCs w:val="21"/>
              </w:rPr>
              <w:t>加快推广绿色建材发展应用</w:t>
            </w:r>
          </w:p>
        </w:tc>
        <w:tc>
          <w:tcPr>
            <w:tcW w:w="6813" w:type="dxa"/>
            <w:vAlign w:val="center"/>
          </w:tcPr>
          <w:p w14:paraId="1096D679">
            <w:pPr>
              <w:autoSpaceDE w:val="0"/>
              <w:autoSpaceDN w:val="0"/>
              <w:adjustRightInd w:val="0"/>
              <w:spacing w:line="360" w:lineRule="auto"/>
              <w:ind w:right="-11"/>
              <w:rPr>
                <w:rFonts w:cs="宋体" w:asciiTheme="minorEastAsia" w:hAnsiTheme="minorEastAsia"/>
                <w:bCs/>
                <w:color w:val="auto"/>
                <w:szCs w:val="21"/>
                <w:lang w:val="zh-CN"/>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13A4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ADB1145">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3</w:t>
            </w:r>
            <w:r>
              <w:rPr>
                <w:rFonts w:hint="eastAsia" w:cs="黑体" w:asciiTheme="minorEastAsia" w:hAnsiTheme="minorEastAsia"/>
                <w:color w:val="auto"/>
                <w:szCs w:val="21"/>
                <w:lang w:val="en-US" w:eastAsia="zh-CN"/>
              </w:rPr>
              <w:t>3</w:t>
            </w:r>
          </w:p>
        </w:tc>
        <w:tc>
          <w:tcPr>
            <w:tcW w:w="2268" w:type="dxa"/>
            <w:vAlign w:val="center"/>
          </w:tcPr>
          <w:p w14:paraId="61322F97">
            <w:pPr>
              <w:autoSpaceDE w:val="0"/>
              <w:autoSpaceDN w:val="0"/>
              <w:adjustRightInd w:val="0"/>
              <w:spacing w:line="276"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rPr>
              <w:t>投诉渠道</w:t>
            </w:r>
          </w:p>
        </w:tc>
        <w:tc>
          <w:tcPr>
            <w:tcW w:w="6813" w:type="dxa"/>
            <w:vAlign w:val="center"/>
          </w:tcPr>
          <w:p w14:paraId="28A29C5B">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供应商在评标结果和中标结果公示期间， 按照《政府采购质疑和投诉办法》的有关规定，已质疑的供应商可以依法向财政部门提起书面投诉。</w:t>
            </w:r>
          </w:p>
          <w:p w14:paraId="46499DDE">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受理部门：禹州市财政局政府采购监督管理办公室</w:t>
            </w:r>
          </w:p>
          <w:p w14:paraId="63E8B7A0">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受理电话：0374-8112523   </w:t>
            </w:r>
          </w:p>
          <w:p w14:paraId="055CFFF6">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   电子邮箱：yzscgb8112523@163.com</w:t>
            </w:r>
          </w:p>
          <w:p w14:paraId="1225C310">
            <w:pPr>
              <w:autoSpaceDE w:val="0"/>
              <w:autoSpaceDN w:val="0"/>
              <w:spacing w:line="360" w:lineRule="auto"/>
              <w:contextualSpacing/>
              <w:rPr>
                <w:rFonts w:eastAsia="宋体"/>
                <w:color w:val="auto"/>
              </w:rPr>
            </w:pPr>
            <w:r>
              <w:rPr>
                <w:rFonts w:hint="eastAsia" w:cs="宋体" w:asciiTheme="minorEastAsia" w:hAnsiTheme="minorEastAsia"/>
                <w:color w:val="auto"/>
                <w:kern w:val="0"/>
                <w:szCs w:val="21"/>
              </w:rPr>
              <w:t xml:space="preserve">   通讯地址：禹州市行政北路2号禹州市财政局1305房间</w:t>
            </w:r>
          </w:p>
        </w:tc>
      </w:tr>
      <w:tr w14:paraId="2364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EB30F65">
            <w:pPr>
              <w:autoSpaceDE w:val="0"/>
              <w:autoSpaceDN w:val="0"/>
              <w:adjustRightInd w:val="0"/>
              <w:spacing w:line="276" w:lineRule="auto"/>
              <w:jc w:val="center"/>
              <w:rPr>
                <w:rFonts w:hint="eastAsia" w:cs="黑体" w:asciiTheme="minorEastAsia" w:hAnsiTheme="minorEastAsia" w:eastAsiaTheme="minorEastAsia"/>
                <w:color w:val="auto"/>
                <w:szCs w:val="21"/>
                <w:lang w:eastAsia="zh-CN"/>
              </w:rPr>
            </w:pPr>
            <w:r>
              <w:rPr>
                <w:rFonts w:hint="eastAsia" w:cs="黑体" w:asciiTheme="minorEastAsia" w:hAnsiTheme="minorEastAsia"/>
                <w:color w:val="auto"/>
                <w:szCs w:val="21"/>
              </w:rPr>
              <w:t>3</w:t>
            </w:r>
            <w:r>
              <w:rPr>
                <w:rFonts w:hint="eastAsia" w:cs="黑体" w:asciiTheme="minorEastAsia" w:hAnsiTheme="minorEastAsia"/>
                <w:color w:val="auto"/>
                <w:szCs w:val="21"/>
                <w:lang w:val="en-US" w:eastAsia="zh-CN"/>
              </w:rPr>
              <w:t>4</w:t>
            </w:r>
          </w:p>
        </w:tc>
        <w:tc>
          <w:tcPr>
            <w:tcW w:w="9081" w:type="dxa"/>
            <w:gridSpan w:val="2"/>
            <w:vAlign w:val="center"/>
          </w:tcPr>
          <w:p w14:paraId="3CD06933">
            <w:pPr>
              <w:autoSpaceDE w:val="0"/>
              <w:autoSpaceDN w:val="0"/>
              <w:spacing w:line="360" w:lineRule="auto"/>
              <w:contextualSpacing/>
              <w:jc w:val="center"/>
              <w:rPr>
                <w:color w:val="auto"/>
              </w:rPr>
            </w:pPr>
            <w:r>
              <w:rPr>
                <w:rFonts w:hint="eastAsia" w:ascii="宋体" w:hAnsi="宋体" w:eastAsia="宋体" w:cs="宋体"/>
                <w:color w:val="auto"/>
                <w:position w:val="6"/>
                <w:szCs w:val="21"/>
              </w:rPr>
              <w:t>未尽事宜，按国家有关规定执行。</w:t>
            </w:r>
          </w:p>
        </w:tc>
      </w:tr>
    </w:tbl>
    <w:p w14:paraId="6448B28D">
      <w:pPr>
        <w:pStyle w:val="2"/>
        <w:ind w:firstLine="0" w:firstLineChars="0"/>
        <w:rPr>
          <w:color w:val="auto"/>
        </w:rPr>
      </w:pPr>
    </w:p>
    <w:p w14:paraId="52850C59">
      <w:pPr>
        <w:pStyle w:val="6"/>
        <w:ind w:left="420" w:firstLine="480"/>
        <w:rPr>
          <w:rFonts w:hint="default"/>
          <w:color w:val="auto"/>
          <w:lang w:eastAsia="zh-CN"/>
        </w:rPr>
      </w:pPr>
    </w:p>
    <w:p w14:paraId="310A5E4D">
      <w:pPr>
        <w:rPr>
          <w:rFonts w:hint="default"/>
          <w:color w:val="auto"/>
          <w:lang w:eastAsia="zh-CN"/>
        </w:rPr>
      </w:pPr>
    </w:p>
    <w:p w14:paraId="471FB4E9">
      <w:pPr>
        <w:pStyle w:val="2"/>
        <w:rPr>
          <w:rFonts w:hint="default"/>
          <w:color w:val="auto"/>
          <w:lang w:eastAsia="zh-CN"/>
        </w:rPr>
      </w:pPr>
    </w:p>
    <w:p w14:paraId="29E6C1F1">
      <w:pPr>
        <w:pStyle w:val="6"/>
        <w:rPr>
          <w:rFonts w:hint="default"/>
          <w:color w:val="auto"/>
          <w:lang w:eastAsia="zh-CN"/>
        </w:rPr>
      </w:pPr>
    </w:p>
    <w:p w14:paraId="75DFC244">
      <w:pPr>
        <w:rPr>
          <w:rFonts w:hint="default"/>
          <w:color w:val="auto"/>
          <w:lang w:eastAsia="zh-CN"/>
        </w:rPr>
      </w:pPr>
    </w:p>
    <w:p w14:paraId="1BC08A09">
      <w:pPr>
        <w:pStyle w:val="2"/>
        <w:rPr>
          <w:rFonts w:hint="default"/>
          <w:color w:val="auto"/>
          <w:lang w:eastAsia="zh-CN"/>
        </w:rPr>
      </w:pPr>
    </w:p>
    <w:p w14:paraId="2FBAE153">
      <w:pPr>
        <w:pStyle w:val="6"/>
        <w:rPr>
          <w:rFonts w:hint="default"/>
          <w:color w:val="auto"/>
          <w:lang w:eastAsia="zh-CN"/>
        </w:rPr>
      </w:pPr>
    </w:p>
    <w:p w14:paraId="797F2D47">
      <w:pPr>
        <w:rPr>
          <w:rFonts w:hint="default"/>
          <w:color w:val="auto"/>
          <w:lang w:eastAsia="zh-CN"/>
        </w:rPr>
      </w:pPr>
    </w:p>
    <w:p w14:paraId="6DDAF1C2">
      <w:pPr>
        <w:pStyle w:val="2"/>
        <w:rPr>
          <w:rFonts w:hint="default"/>
          <w:color w:val="auto"/>
          <w:lang w:eastAsia="zh-CN"/>
        </w:rPr>
      </w:pPr>
    </w:p>
    <w:p w14:paraId="4EB42EDE">
      <w:pPr>
        <w:pStyle w:val="6"/>
        <w:rPr>
          <w:rFonts w:hint="default"/>
          <w:color w:val="auto"/>
          <w:lang w:eastAsia="zh-CN"/>
        </w:rPr>
      </w:pPr>
    </w:p>
    <w:p w14:paraId="645B0321">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14:paraId="12D9C071">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14:paraId="0CCC68AE">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 适用范围</w:t>
      </w:r>
    </w:p>
    <w:p w14:paraId="2F1BE72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 本谈判文件仅适用于本次“采购邀请”</w:t>
      </w:r>
      <w:r>
        <w:rPr>
          <w:rFonts w:hint="eastAsia" w:ascii="宋体" w:hAnsi="宋体"/>
          <w:color w:val="auto"/>
          <w:szCs w:val="21"/>
        </w:rPr>
        <w:t xml:space="preserve"> 和“供应商须知前附表”中所述采购项目的采购。</w:t>
      </w:r>
    </w:p>
    <w:p w14:paraId="64333BC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 本谈判文件解释权属于“采购邀请”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所述的采购人、采购代理机构。</w:t>
      </w:r>
    </w:p>
    <w:p w14:paraId="5DC3CE72">
      <w:pPr>
        <w:pStyle w:val="54"/>
        <w:autoSpaceDE w:val="0"/>
        <w:autoSpaceDN w:val="0"/>
        <w:spacing w:line="360" w:lineRule="auto"/>
        <w:ind w:left="-424" w:leftChars="-202" w:firstLine="424" w:firstLineChars="201"/>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2.定义</w:t>
      </w:r>
    </w:p>
    <w:p w14:paraId="67AC91D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2.1“采购项目”：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14:paraId="5704198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2.2“采购人、采购代理机构”：</w:t>
      </w:r>
      <w:r>
        <w:rPr>
          <w:rFonts w:hint="eastAsia" w:ascii="宋体" w:hAnsi="宋体"/>
          <w:color w:val="auto"/>
          <w:szCs w:val="21"/>
        </w:rPr>
        <w:t>系指“供应商须知前附表”中所述的组织本次采购的采购招标代理机构和采购人。</w:t>
      </w:r>
    </w:p>
    <w:p w14:paraId="5DAD5B72">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2.3“供应商”系指从采购人、采购代理机构处按规定获取谈判文件，并按照谈判文件向采购人、采购代理机构提交响应文件的供应商。</w:t>
      </w:r>
    </w:p>
    <w:p w14:paraId="7BA55C33">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2.4“成交供应商”系指成交的供应商。</w:t>
      </w:r>
    </w:p>
    <w:p w14:paraId="7643DB88">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2.5“甲方”系指采购人。</w:t>
      </w:r>
    </w:p>
    <w:p w14:paraId="68FA5C71">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2.6“乙方”系指成交并向采购人提供服务的供应商。</w:t>
      </w:r>
    </w:p>
    <w:p w14:paraId="33C1F25E">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2.7“服务”系指谈判文件规定的供应商为完成采购项目所需承担的全部义务。</w:t>
      </w:r>
    </w:p>
    <w:p w14:paraId="62BBA3C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  “进口产品”：是指通过中国海关报关验放进入中国境内且产自关境外的产品，包括已经进入中国境内的进口产品。详见《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财库</w:t>
      </w:r>
      <w:r>
        <w:rPr>
          <w:rFonts w:hint="eastAsia" w:cs="宋体" w:asciiTheme="minorEastAsia" w:hAnsiTheme="minorEastAsia"/>
          <w:color w:val="auto"/>
          <w:kern w:val="0"/>
          <w:szCs w:val="21"/>
          <w:lang w:eastAsia="zh-CN"/>
        </w:rPr>
        <w:t>〔2007〕119号）</w:t>
      </w:r>
      <w:r>
        <w:rPr>
          <w:rFonts w:hint="eastAsia" w:cs="宋体" w:asciiTheme="minorEastAsia" w:hAnsiTheme="minorEastAsia"/>
          <w:color w:val="auto"/>
          <w:kern w:val="0"/>
          <w:szCs w:val="21"/>
        </w:rPr>
        <w:t>、《关于政府采购进口产品管理有关问题的通知》（财办库</w:t>
      </w:r>
      <w:r>
        <w:rPr>
          <w:rFonts w:hint="eastAsia" w:cs="宋体" w:asciiTheme="minorEastAsia" w:hAnsiTheme="minorEastAsia"/>
          <w:color w:val="auto"/>
          <w:kern w:val="0"/>
          <w:szCs w:val="21"/>
          <w:lang w:eastAsia="zh-CN"/>
        </w:rPr>
        <w:t>〔2008〕</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14:paraId="53A604D0">
      <w:pPr>
        <w:autoSpaceDE w:val="0"/>
        <w:autoSpaceDN w:val="0"/>
        <w:spacing w:line="360" w:lineRule="auto"/>
        <w:ind w:left="1415" w:leftChars="199" w:hanging="997" w:hangingChars="475"/>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2.8.1  谈判</w:t>
      </w:r>
      <w:r>
        <w:rPr>
          <w:rFonts w:cs="宋体" w:asciiTheme="minorEastAsia" w:hAnsiTheme="minorEastAsia"/>
          <w:color w:val="auto"/>
          <w:kern w:val="0"/>
          <w:szCs w:val="21"/>
        </w:rPr>
        <w:t>文件列明不允许或未列明允许进口产品参加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w:t>
      </w:r>
    </w:p>
    <w:p w14:paraId="1A75DBF0">
      <w:pPr>
        <w:autoSpaceDE w:val="0"/>
        <w:autoSpaceDN w:val="0"/>
        <w:spacing w:line="360" w:lineRule="auto"/>
        <w:ind w:left="1415" w:leftChars="199" w:hanging="997" w:hangingChars="4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p>
    <w:p w14:paraId="4817569A">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14:paraId="7774ADB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2.9 谈判文件中凡标有“★”的条款均系实质性要求条款。</w:t>
      </w:r>
    </w:p>
    <w:p w14:paraId="7855493E">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3.合格的供应商</w:t>
      </w:r>
    </w:p>
    <w:p w14:paraId="305534F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3.1在中华人民共和国境内注册，具有本项目生产、制造、供应或实施能力，符合、承认并承诺履行本谈判文件各项规定的法人、其他组织或者自然人。</w:t>
      </w:r>
    </w:p>
    <w:p w14:paraId="5C83A26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3.2符合本项目“投标邀请”和“供应商须知前附表”中规定的合格供应商所必须具备的条件。</w:t>
      </w:r>
    </w:p>
    <w:p w14:paraId="2A336A0B">
      <w:pPr>
        <w:pStyle w:val="54"/>
        <w:autoSpaceDE w:val="0"/>
        <w:autoSpaceDN w:val="0"/>
        <w:spacing w:line="360" w:lineRule="auto"/>
        <w:contextualSpacing/>
        <w:rPr>
          <w:rFonts w:cs="宋体" w:asciiTheme="minorEastAsia" w:hAnsiTheme="minorEastAsia"/>
          <w:color w:val="auto"/>
          <w:kern w:val="0"/>
          <w:szCs w:val="21"/>
        </w:rPr>
      </w:pPr>
      <w:r>
        <w:rPr>
          <w:rFonts w:hint="eastAsia" w:ascii="宋体" w:hAnsi="宋体"/>
          <w:color w:val="auto"/>
          <w:szCs w:val="21"/>
        </w:rPr>
        <w:t>3.3按照财政部《</w:t>
      </w:r>
      <w:r>
        <w:rPr>
          <w:rFonts w:hint="eastAsia" w:ascii="宋体" w:hAnsi="宋体" w:cs="微软雅黑"/>
          <w:bCs/>
          <w:color w:val="auto"/>
          <w:szCs w:val="21"/>
        </w:rPr>
        <w:t>关于在政府采购活动中查询及使用信用记录有关问题的通知</w:t>
      </w:r>
      <w:r>
        <w:rPr>
          <w:rFonts w:hint="eastAsia" w:ascii="宋体" w:hAnsi="宋体"/>
          <w:color w:val="auto"/>
          <w:szCs w:val="21"/>
        </w:rPr>
        <w:t>》（财库</w:t>
      </w:r>
      <w:r>
        <w:rPr>
          <w:rFonts w:hint="eastAsia" w:ascii="宋体" w:hAnsi="宋体" w:cs="微软雅黑"/>
          <w:bCs/>
          <w:color w:val="auto"/>
          <w:szCs w:val="21"/>
        </w:rPr>
        <w:t>〔2016〕</w:t>
      </w:r>
      <w:r>
        <w:rPr>
          <w:rFonts w:hint="eastAsia" w:ascii="宋体" w:hAnsi="宋体"/>
          <w:color w:val="auto"/>
          <w:szCs w:val="21"/>
        </w:rPr>
        <w:t>125号）要求，</w:t>
      </w:r>
      <w:r>
        <w:rPr>
          <w:rFonts w:hint="eastAsia" w:cs="宋体" w:asciiTheme="minorEastAsia" w:hAnsiTheme="minorEastAsia"/>
          <w:color w:val="auto"/>
          <w:kern w:val="0"/>
          <w:szCs w:val="21"/>
        </w:rPr>
        <w:t>政府采购活动中查询及使用供应商信用记录的具体要求为：供应商未被列入失信被执行人、</w:t>
      </w:r>
      <w:r>
        <w:rPr>
          <w:color w:val="auto"/>
        </w:rPr>
        <w:t>重大税收违法</w:t>
      </w:r>
      <w:r>
        <w:rPr>
          <w:rFonts w:hint="eastAsia"/>
          <w:color w:val="auto"/>
        </w:rPr>
        <w:t>失信主体</w:t>
      </w:r>
      <w:r>
        <w:rPr>
          <w:rFonts w:hint="eastAsia" w:cs="宋体" w:asciiTheme="minorEastAsia" w:hAnsiTheme="minorEastAsia"/>
          <w:color w:val="auto"/>
          <w:kern w:val="0"/>
          <w:szCs w:val="21"/>
        </w:rPr>
        <w:t>名单、</w:t>
      </w:r>
      <w:r>
        <w:rPr>
          <w:rFonts w:cs="仿宋_GB2312" w:asciiTheme="minorEastAsia" w:hAnsiTheme="minorEastAsia"/>
          <w:color w:val="auto"/>
          <w:szCs w:val="21"/>
          <w:shd w:val="clear" w:color="auto" w:fill="FFFFFF"/>
        </w:rPr>
        <w:t>政府采购严重违法失信行为记录名单</w:t>
      </w:r>
      <w:r>
        <w:rPr>
          <w:rFonts w:hint="eastAsia" w:cs="仿宋_GB2312" w:asciiTheme="minorEastAsia" w:hAnsiTheme="minorEastAsia"/>
          <w:color w:val="auto"/>
          <w:szCs w:val="21"/>
          <w:shd w:val="clear" w:color="auto" w:fill="FFFFFF"/>
        </w:rPr>
        <w:t>、</w:t>
      </w:r>
      <w:r>
        <w:rPr>
          <w:rFonts w:hint="eastAsia" w:cs="宋体" w:asciiTheme="minorEastAsia" w:hAnsiTheme="minorEastAsia"/>
          <w:color w:val="auto"/>
          <w:kern w:val="0"/>
          <w:szCs w:val="21"/>
        </w:rPr>
        <w:t>严重违法失信社会组织名单（联合体形式投标的，联合体成员存在不良信用记录，视同联合体存在不良信用记录）。</w:t>
      </w:r>
    </w:p>
    <w:p w14:paraId="7DA3A28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）、“中国社会组织政务服务平台”网站（</w:t>
      </w:r>
      <w:r>
        <w:rPr>
          <w:rFonts w:hint="eastAsia" w:ascii="宋体" w:hAnsi="宋体" w:eastAsia="宋体" w:cs="宋体"/>
          <w:color w:val="auto"/>
          <w:szCs w:val="21"/>
        </w:rPr>
        <w:t>chinanpo.mca.gov.cn</w:t>
      </w:r>
      <w:r>
        <w:rPr>
          <w:rFonts w:hint="eastAsia" w:cs="宋体" w:asciiTheme="minorEastAsia" w:hAnsiTheme="minorEastAsia"/>
          <w:color w:val="auto"/>
          <w:kern w:val="0"/>
          <w:szCs w:val="21"/>
        </w:rPr>
        <w:t>）；</w:t>
      </w:r>
    </w:p>
    <w:p w14:paraId="2049581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3.4单位负责人为同一人或者存在直接控股、管理关系的不同供应商，不得同时参加本项目响应。违反规定的，相关响应均无效。</w:t>
      </w:r>
    </w:p>
    <w:p w14:paraId="0C730B4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3.5为采购项目提供整体设计、规范编制或者项目管理、监理、检测等服务的供应商，不得再参加该采购项目的其他采购活动。</w:t>
      </w:r>
    </w:p>
    <w:p w14:paraId="6E16A5D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3.6“投标邀请”和“供应商须知前附表”规定接受联合体投标的，除应符合本章第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14:paraId="2429A62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3.6.1在响应文件中向采购人提交联合体协议书，明确联合体各方承担的工作和义务；</w:t>
      </w:r>
    </w:p>
    <w:p w14:paraId="03AF50B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3.6.2联合体中有同类资质的供应商按联合体分工承担相同工作的，应当按照资质等级较低的供应商确定资质等级；</w:t>
      </w:r>
    </w:p>
    <w:p w14:paraId="32C1F6E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3.6.3采购人根据采购项目的特殊要求规定供应商特定条件的，联合体各方中至少应当有一方符合采购规定的特定条件；</w:t>
      </w:r>
    </w:p>
    <w:p w14:paraId="698C100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3.6.4联合体各方不得再单独参加或者与其他供应商另外组成联合体参加同一合同项下的政府采购活动；</w:t>
      </w:r>
    </w:p>
    <w:p w14:paraId="589D879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3.6.5</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cs="宋体" w:asciiTheme="minorEastAsia" w:hAnsiTheme="minorEastAsia"/>
          <w:color w:val="auto"/>
          <w:kern w:val="0"/>
          <w:szCs w:val="21"/>
        </w:rPr>
        <w:t>承担连带责任</w:t>
      </w:r>
      <w:r>
        <w:rPr>
          <w:rFonts w:cs="宋体" w:asciiTheme="minorEastAsia" w:hAnsiTheme="minorEastAsia"/>
          <w:color w:val="auto"/>
          <w:kern w:val="0"/>
          <w:szCs w:val="21"/>
        </w:rPr>
        <w:fldChar w:fldCharType="end"/>
      </w:r>
      <w:r>
        <w:rPr>
          <w:rFonts w:hint="eastAsia"/>
          <w:color w:val="auto"/>
        </w:rPr>
        <w:t>。</w:t>
      </w:r>
    </w:p>
    <w:p w14:paraId="5244FE8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3.7法律、行政法规规定的其他条件。</w:t>
      </w:r>
    </w:p>
    <w:p w14:paraId="65A006C4">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4 .合格的货物和服务</w:t>
      </w:r>
    </w:p>
    <w:p w14:paraId="1179C99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68C1187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4.2供应商所提供的服务应当没有侵犯任何第三方的知识产权、技术秘密等合法权利。</w:t>
      </w:r>
    </w:p>
    <w:p w14:paraId="1813011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2CB8CB77">
      <w:pPr>
        <w:pStyle w:val="54"/>
        <w:autoSpaceDE w:val="0"/>
        <w:autoSpaceDN w:val="0"/>
        <w:spacing w:line="360" w:lineRule="auto"/>
        <w:contextualSpacing/>
        <w:rPr>
          <w:rFonts w:cs="宋体" w:asciiTheme="minorEastAsia" w:hAnsiTheme="minorEastAsia"/>
          <w:color w:val="auto"/>
          <w:kern w:val="0"/>
          <w:szCs w:val="21"/>
        </w:rPr>
      </w:pPr>
      <w:r>
        <w:rPr>
          <w:rFonts w:hint="eastAsia"/>
          <w:color w:val="auto"/>
          <w:szCs w:val="21"/>
          <w:shd w:val="clear" w:color="auto" w:fill="FFFFFF"/>
        </w:rPr>
        <w:t>4.4根据《强制性产品认证管理规定》（质检总局第117号令）要求，</w:t>
      </w: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14:paraId="331AB0E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4.5根据财政部、工业和信息化部、国家质检总局、国家认监委联合发布</w:t>
      </w:r>
      <w:bookmarkStart w:id="5" w:name="baidusnap0"/>
      <w:bookmarkEnd w:id="5"/>
      <w:r>
        <w:rPr>
          <w:rFonts w:hint="eastAsia" w:cs="宋体" w:asciiTheme="minorEastAsia" w:hAnsiTheme="minorEastAsia"/>
          <w:color w:val="auto"/>
          <w:kern w:val="0"/>
          <w:szCs w:val="21"/>
        </w:rPr>
        <w:t>《关于信息安全产品实施政府采购的通知》（财库</w:t>
      </w:r>
      <w:r>
        <w:rPr>
          <w:rFonts w:hint="eastAsia" w:cs="宋体" w:asciiTheme="minorEastAsia" w:hAnsiTheme="minorEastAsia"/>
          <w:color w:val="auto"/>
          <w:kern w:val="0"/>
          <w:szCs w:val="21"/>
          <w:lang w:eastAsia="zh-CN"/>
        </w:rPr>
        <w:t>〔2010〕48号</w:t>
      </w:r>
      <w:r>
        <w:rPr>
          <w:rFonts w:hint="eastAsia" w:cs="宋体" w:asciiTheme="minorEastAsia" w:hAnsiTheme="minorEastAsia"/>
          <w:color w:val="auto"/>
          <w:kern w:val="0"/>
          <w:szCs w:val="21"/>
        </w:rPr>
        <w:t>）要求，供应商所投产品如被列入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14:paraId="4638B45A">
      <w:pPr>
        <w:pStyle w:val="54"/>
        <w:autoSpaceDE w:val="0"/>
        <w:autoSpaceDN w:val="0"/>
        <w:spacing w:line="360" w:lineRule="auto"/>
        <w:contextualSpacing/>
        <w:rPr>
          <w:rFonts w:cs="宋体" w:asciiTheme="minorEastAsia" w:hAnsiTheme="minorEastAsia"/>
          <w:color w:val="auto"/>
          <w:kern w:val="0"/>
          <w:szCs w:val="21"/>
        </w:rPr>
      </w:pPr>
      <w:r>
        <w:rPr>
          <w:rFonts w:ascii="宋体" w:hAnsi="宋体" w:cs="宋体"/>
          <w:color w:val="auto"/>
          <w:kern w:val="0"/>
          <w:szCs w:val="21"/>
        </w:rPr>
        <w:t xml:space="preserve">4.6 </w:t>
      </w:r>
      <w:r>
        <w:rPr>
          <w:rFonts w:hint="eastAsia" w:ascii="宋体" w:hAnsi="宋体" w:cs="宋体"/>
          <w:color w:val="auto"/>
          <w:kern w:val="0"/>
          <w:szCs w:val="21"/>
        </w:rPr>
        <w:t>成交单位由于自身原因造成项目延期交付使用，造成采购人损失由成交单位承担，对此作出承诺，否则按未实质性影响招标文件，无效标处理。</w:t>
      </w:r>
    </w:p>
    <w:p w14:paraId="4CFAC324">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5 .谈判费用</w:t>
      </w:r>
    </w:p>
    <w:p w14:paraId="2178F56E">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不论采购的结果如何，供应商均应自行承担所有与谈判有关的全部费用，采购人、采购代理机构在任何情况下均无义务和责任承担这些费用。</w:t>
      </w:r>
    </w:p>
    <w:p w14:paraId="54252C86">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6 .信息发布</w:t>
      </w:r>
    </w:p>
    <w:p w14:paraId="2D94E76B">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本采购项目需要公开的有关信息，包括谈判公告、谈判文件澄清或修改公告、成交公告以及延长响应文件提交截止时间等与采购活动有关的通知，采购人、采购代理机构均将通过在《河南省政府采购网</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4FD20347">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7.代理费用</w:t>
      </w:r>
    </w:p>
    <w:p w14:paraId="51E038B0">
      <w:pPr>
        <w:spacing w:line="420" w:lineRule="exact"/>
        <w:ind w:firstLine="420" w:firstLineChars="200"/>
        <w:rPr>
          <w:rFonts w:ascii="宋体" w:hAnsi="宋体" w:eastAsia="宋体" w:cs="宋体"/>
          <w:color w:val="auto"/>
        </w:rPr>
      </w:pPr>
      <w:r>
        <w:rPr>
          <w:rFonts w:hint="eastAsia" w:ascii="宋体" w:hAnsi="宋体" w:eastAsia="宋体" w:cs="宋体"/>
          <w:color w:val="auto"/>
        </w:rPr>
        <w:t>招标代理服务费由中标人支付，按照豫招协【2023】002 《河南省招标代理服务收费指导意见》收取，由中标单位在领取中标通知书时一次性支付给代理机构。</w:t>
      </w:r>
    </w:p>
    <w:p w14:paraId="6656E335">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8 .其他</w:t>
      </w:r>
    </w:p>
    <w:p w14:paraId="175E15C3">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采购需求</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供应商须知前附表”和“对响应文件审查与评审”就同一内容的表述不一致的，以“采购邀请</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 xml:space="preserve"> 采购需求</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供应商须知前附表”和“对响应文件审查与评审”中规定的内容为准。</w:t>
      </w:r>
    </w:p>
    <w:p w14:paraId="502F8D67">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二、谈判文件说明</w:t>
      </w:r>
    </w:p>
    <w:p w14:paraId="5F46F2EF">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9. 谈判文件构成</w:t>
      </w:r>
    </w:p>
    <w:p w14:paraId="5DEA69F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9.1谈判文件由以下部分组成：</w:t>
      </w:r>
    </w:p>
    <w:p w14:paraId="413095FB">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w:t>
      </w:r>
    </w:p>
    <w:p w14:paraId="6D1461A6">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14:paraId="760CE051">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14:paraId="2BED7BC2">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14:paraId="28178901">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14:paraId="57A1D1F4">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（6）对响应文件审查与评审</w:t>
      </w:r>
    </w:p>
    <w:p w14:paraId="24DEFBEC">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14:paraId="5EFCB2A3">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14:paraId="63B2195C">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（9）本项目谈判文件的澄清、答复、修改、补充内容（如有的话）</w:t>
      </w:r>
    </w:p>
    <w:p w14:paraId="6D2E4D1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5AD8C7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7E4581D6">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10 .谈判文件的澄清或修改</w:t>
      </w:r>
    </w:p>
    <w:p w14:paraId="488D071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10.1在谈判响应截止期前，无论出于何种原因，采购人可主动地或在解答供应商提出的澄清问题时对谈判文件进行修改。</w:t>
      </w:r>
    </w:p>
    <w:p w14:paraId="0A3AABF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10.2采购人、采购代理机构可以对已发出的谈判文件进行必要的澄清或者修改。澄清或者修改的内容可能影响响应文件编制的，采购人将在响应文件提交截止之日3个工作日前，在《</w:t>
      </w:r>
      <w:r>
        <w:rPr>
          <w:rFonts w:hint="eastAsia" w:ascii="宋体" w:hAnsi="宋体" w:cs="宋体"/>
          <w:bCs/>
          <w:color w:val="auto"/>
          <w:szCs w:val="21"/>
        </w:rPr>
        <w:t>全国公共资源交易平台（河南省·许昌市）</w:t>
      </w:r>
      <w:r>
        <w:rPr>
          <w:rFonts w:hint="eastAsia" w:cs="宋体" w:asciiTheme="minorEastAsia" w:hAnsiTheme="minorEastAsia"/>
          <w:color w:val="auto"/>
          <w:kern w:val="0"/>
          <w:szCs w:val="21"/>
        </w:rPr>
        <w:t>》《河南省政府采购网》发布更正公告。</w:t>
      </w:r>
    </w:p>
    <w:p w14:paraId="73F04B7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10.3澄清或修改公告的内容为谈判文件的组成部分，并对供应商具有约束力。当谈判文件与澄清或修改公告就同一内容的表述不一致时，以最后发出的文件内容为准。</w:t>
      </w:r>
    </w:p>
    <w:p w14:paraId="683F012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10.4如果澄清或者修改发出的时间距规定的谈判响应截止时间不足3个工作日的，采购人、采购代理机构将顺延提交响应文件的截止时间。</w:t>
      </w:r>
    </w:p>
    <w:p w14:paraId="375537A7">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14:paraId="517052F7">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11 .响应文件的语言及计量单位</w:t>
      </w:r>
    </w:p>
    <w:p w14:paraId="740BAE2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312E2DC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11.2响应文件计量单位，谈判文件已有明确规定的，使用谈判文件规定的计量单位；谈判文件没有规定的，一律采用中华人民共和国法定计量单位。</w:t>
      </w:r>
    </w:p>
    <w:p w14:paraId="41860B0A">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12 .报价</w:t>
      </w:r>
    </w:p>
    <w:p w14:paraId="3F70E4B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12.1本次谈判项目的报价均以人民币为计算单位。</w:t>
      </w:r>
    </w:p>
    <w:p w14:paraId="7A9D8B3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12.2采购人不得向供应商索要或者接受其给予的赠品、回扣或者与采购无关的其他商品、服务。</w:t>
      </w:r>
    </w:p>
    <w:p w14:paraId="25DF98A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12.3供应商应对项目要求的全部内容进行报价，少报漏报将导致其响应为非实质性响应予以拒绝。</w:t>
      </w:r>
    </w:p>
    <w:p w14:paraId="47509F0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6F7ADFE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12.5本项目所涉及的运输、施工、安装、集成、调试、验收、备品和工具等费用均包含在响应报价中。</w:t>
      </w:r>
    </w:p>
    <w:p w14:paraId="12E105F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12.6报价不得高于本项目预算金额，且不低于成本价。供应商的响应报价高于预算金额（项目控制金额上限）的，该供应商的响应文件将被视为非实质性响应予以拒绝。</w:t>
      </w:r>
    </w:p>
    <w:p w14:paraId="3DE8507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12.7最低报价</w:t>
      </w:r>
      <w:r>
        <w:rPr>
          <w:rFonts w:hint="eastAsia" w:cs="宋体" w:asciiTheme="minorEastAsia" w:hAnsiTheme="minorEastAsia"/>
          <w:color w:val="auto"/>
          <w:kern w:val="0"/>
          <w:szCs w:val="21"/>
          <w:lang w:eastAsia="zh-CN"/>
        </w:rPr>
        <w:t>不能作为</w:t>
      </w:r>
      <w:r>
        <w:rPr>
          <w:rFonts w:hint="eastAsia" w:cs="宋体" w:asciiTheme="minorEastAsia" w:hAnsiTheme="minorEastAsia"/>
          <w:color w:val="auto"/>
          <w:kern w:val="0"/>
          <w:szCs w:val="21"/>
        </w:rPr>
        <w:t>成交的保证。</w:t>
      </w:r>
    </w:p>
    <w:p w14:paraId="105BF9A8">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13 .响应文件有效期</w:t>
      </w:r>
    </w:p>
    <w:p w14:paraId="5B8E8D6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71BA204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7854E05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13.3成交供应商的响应文件作为项目合同的附件，其有效期至成交供应商全部合同义务履行完毕为止。</w:t>
      </w:r>
    </w:p>
    <w:p w14:paraId="5FD1D18F">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14 .响应文件构成</w:t>
      </w:r>
    </w:p>
    <w:p w14:paraId="5B2CE52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14.1响应文件的构成应符合法律法规及谈判文件的要求。</w:t>
      </w:r>
    </w:p>
    <w:p w14:paraId="1E65A31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14.2供应商应当按照谈判文件的要求编制响应文件。响应文件应当对谈判文件提出的要求和条件作出明确响应。</w:t>
      </w:r>
    </w:p>
    <w:p w14:paraId="3E6249B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14.3响应文件由资格证明材料、符合性证明材料、</w:t>
      </w:r>
      <w:r>
        <w:rPr>
          <w:rFonts w:hint="eastAsia" w:cs="宋体" w:asciiTheme="minorEastAsia" w:hAnsiTheme="minorEastAsia"/>
          <w:color w:val="auto"/>
          <w:kern w:val="0"/>
          <w:szCs w:val="21"/>
          <w:lang w:eastAsia="zh-CN"/>
        </w:rPr>
        <w:t>其他</w:t>
      </w:r>
      <w:r>
        <w:rPr>
          <w:rFonts w:hint="eastAsia" w:cs="宋体" w:asciiTheme="minorEastAsia" w:hAnsiTheme="minorEastAsia"/>
          <w:color w:val="auto"/>
          <w:kern w:val="0"/>
          <w:szCs w:val="21"/>
        </w:rPr>
        <w:t>材料等组成。</w:t>
      </w:r>
    </w:p>
    <w:p w14:paraId="178F8C5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6B7E9EEB">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15 .响应文件格式</w:t>
      </w:r>
    </w:p>
    <w:p w14:paraId="62A2788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15.1响应文件应参照谈判文件第八章（响应文件有关格式）的内容要求、编排顺序和格式要求。</w:t>
      </w:r>
    </w:p>
    <w:p w14:paraId="7F760E6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15.2供应商应按谈判文件提供的格式编写响应文件。谈判文件未提供标准格式的供应商可自行拟定。</w:t>
      </w:r>
    </w:p>
    <w:p w14:paraId="3F25AF26">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16 .谈判保证金</w:t>
      </w:r>
    </w:p>
    <w:p w14:paraId="7AB70F3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16.1本项目不收取谈判保证金。</w:t>
      </w:r>
    </w:p>
    <w:p w14:paraId="0D2B89A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16.2供应商应提供谈判承诺函。</w:t>
      </w:r>
    </w:p>
    <w:p w14:paraId="065BC695">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17 .谈判文件的数量和签署盖章</w:t>
      </w:r>
    </w:p>
    <w:p w14:paraId="2A49E2C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17.1供应商应提交响应文件份数见“供应商须知前附表”。</w:t>
      </w:r>
    </w:p>
    <w:p w14:paraId="4252C6AB">
      <w:pPr>
        <w:pStyle w:val="54"/>
        <w:autoSpaceDE w:val="0"/>
        <w:autoSpaceDN w:val="0"/>
        <w:spacing w:line="360" w:lineRule="auto"/>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17.2在谈判文件中已明示需盖章及签名之处，应按谈判文件要求盖章、签名。</w:t>
      </w:r>
    </w:p>
    <w:p w14:paraId="23FD2AEB">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四、响应文件的提交</w:t>
      </w:r>
    </w:p>
    <w:p w14:paraId="7EF8ADE8">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18 .谈判响应截止时间</w:t>
      </w:r>
    </w:p>
    <w:p w14:paraId="1E659C4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18.1供应商必须在“采购邀请”和“供应商须知前附表”中规定的响应截止时间前，将</w:t>
      </w:r>
      <w:r>
        <w:rPr>
          <w:rFonts w:hint="eastAsia" w:cs="仿宋_GB2312" w:asciiTheme="minorEastAsia" w:hAnsiTheme="minorEastAsia"/>
          <w:color w:val="auto"/>
          <w:szCs w:val="21"/>
        </w:rPr>
        <w:t>加密电子响应文件</w:t>
      </w:r>
      <w:r>
        <w:rPr>
          <w:rFonts w:hint="eastAsia" w:cs="宋体" w:asciiTheme="minorEastAsia" w:hAnsiTheme="minorEastAsia"/>
          <w:color w:val="auto"/>
          <w:szCs w:val="21"/>
        </w:rPr>
        <w:t>（</w:t>
      </w:r>
      <w:r>
        <w:rPr>
          <w:rFonts w:asciiTheme="minorEastAsia" w:hAnsiTheme="minorEastAsia"/>
          <w:color w:val="auto"/>
          <w:szCs w:val="21"/>
        </w:rPr>
        <w:t>.file</w:t>
      </w:r>
      <w:r>
        <w:rPr>
          <w:rFonts w:hint="eastAsia" w:cs="宋体" w:asciiTheme="minorEastAsia" w:hAnsiTheme="minorEastAsia"/>
          <w:color w:val="auto"/>
          <w:szCs w:val="21"/>
        </w:rPr>
        <w:t>格式）</w:t>
      </w:r>
      <w:r>
        <w:rPr>
          <w:rFonts w:hint="eastAsia" w:cs="仿宋_GB2312" w:asciiTheme="minorEastAsia" w:hAnsiTheme="minorEastAsia"/>
          <w:color w:val="auto"/>
          <w:szCs w:val="21"/>
        </w:rPr>
        <w:t>通过《全国公共资源交易平台</w:t>
      </w:r>
      <w:r>
        <w:rPr>
          <w:rFonts w:hint="eastAsia" w:cs="仿宋_GB2312" w:asciiTheme="minorEastAsia" w:hAnsiTheme="minorEastAsia"/>
          <w:color w:val="auto"/>
          <w:szCs w:val="21"/>
          <w:lang w:eastAsia="zh-CN"/>
        </w:rPr>
        <w:t>（</w:t>
      </w:r>
      <w:r>
        <w:rPr>
          <w:rFonts w:hint="eastAsia" w:cs="仿宋_GB2312" w:asciiTheme="minorEastAsia" w:hAnsiTheme="minorEastAsia"/>
          <w:color w:val="auto"/>
          <w:szCs w:val="21"/>
        </w:rPr>
        <w:t>河南省</w:t>
      </w:r>
      <w:r>
        <w:rPr>
          <w:rFonts w:hint="eastAsia" w:ascii="MS Mincho" w:hAnsi="MS Mincho" w:eastAsia="MS Mincho" w:cs="MS Mincho"/>
          <w:color w:val="auto"/>
          <w:szCs w:val="21"/>
        </w:rPr>
        <w:t>▪</w:t>
      </w:r>
      <w:r>
        <w:rPr>
          <w:rFonts w:hint="eastAsia" w:ascii="宋体" w:hAnsi="宋体" w:cs="宋体"/>
          <w:color w:val="auto"/>
          <w:szCs w:val="21"/>
        </w:rPr>
        <w:t>许昌市</w:t>
      </w:r>
      <w:r>
        <w:rPr>
          <w:rFonts w:hint="eastAsia" w:ascii="宋体" w:hAnsi="宋体" w:cs="宋体"/>
          <w:color w:val="auto"/>
          <w:szCs w:val="21"/>
          <w:lang w:eastAsia="zh-CN"/>
        </w:rPr>
        <w:t>）</w:t>
      </w:r>
      <w:r>
        <w:rPr>
          <w:rFonts w:hint="eastAsia" w:cs="仿宋_GB2312" w:asciiTheme="minorEastAsia" w:hAnsiTheme="minorEastAsia"/>
          <w:color w:val="auto"/>
          <w:szCs w:val="21"/>
        </w:rPr>
        <w:t>》公共资源交易系统成功上传</w:t>
      </w:r>
      <w:r>
        <w:rPr>
          <w:rFonts w:hint="eastAsia" w:cs="宋体" w:asciiTheme="minorEastAsia" w:hAnsiTheme="minorEastAsia"/>
          <w:color w:val="auto"/>
          <w:kern w:val="0"/>
          <w:szCs w:val="21"/>
        </w:rPr>
        <w:t>。</w:t>
      </w:r>
      <w:r>
        <w:rPr>
          <w:rFonts w:hint="eastAsia" w:cs="微软雅黑"/>
          <w:color w:val="auto"/>
        </w:rPr>
        <w:t>在提交截止时间以后上传的响应文件，</w:t>
      </w:r>
      <w:r>
        <w:rPr>
          <w:rFonts w:hint="eastAsia" w:cs="宋体" w:asciiTheme="minorEastAsia" w:hAnsiTheme="minorEastAsia"/>
          <w:color w:val="auto"/>
          <w:kern w:val="0"/>
          <w:szCs w:val="21"/>
        </w:rPr>
        <w:t>采购人、采购代理机构</w:t>
      </w:r>
      <w:r>
        <w:rPr>
          <w:rFonts w:hint="eastAsia" w:cs="微软雅黑"/>
          <w:color w:val="auto"/>
        </w:rPr>
        <w:t>将予以拒绝。</w:t>
      </w:r>
    </w:p>
    <w:p w14:paraId="722A431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5D01123">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19 .迟交的响应文件</w:t>
      </w:r>
    </w:p>
    <w:p w14:paraId="73002779">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谈判响应文件截止时间之后上传的响应文件，采购人、采购代理机构将拒绝接收。</w:t>
      </w:r>
    </w:p>
    <w:p w14:paraId="40094141">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20 .响应文件的修改和撤回</w:t>
      </w:r>
    </w:p>
    <w:p w14:paraId="1B580B6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20.1供应商在谈判响应截止时间前，对所提交的响应文件进行补充、修改或者撤回的，须书面通知采购人和采购代理机构。</w:t>
      </w:r>
    </w:p>
    <w:p w14:paraId="1616CFCE">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供应商应当在谈判响应截止时间前完成电子响应文件的提交，可以补充、修改或撤回。谈判响应截止时间前未完成电子响应文件提交的，视为撤回响应文件。</w:t>
      </w:r>
    </w:p>
    <w:p w14:paraId="19F4C93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20.2供应商补充、修改的内容并作为响应文件的组成部分。补充或修改应当按谈判文件要求签署、盖章、提交，并应注明“修改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14:paraId="5EDC6EC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20.3供应商不得在响应有效期内撤销响应文件，否则供应商将承担违背响应承诺函的责任追究。</w:t>
      </w:r>
    </w:p>
    <w:p w14:paraId="4CB2371C">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21.除供应商须知前附表另有规定外，供应商所提交的响应文件不予退还。</w:t>
      </w:r>
    </w:p>
    <w:p w14:paraId="492FDAC0">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五、谈判和评审</w:t>
      </w:r>
    </w:p>
    <w:p w14:paraId="3032F591">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22.响应文件解密</w:t>
      </w:r>
    </w:p>
    <w:p w14:paraId="3D6789B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22.1采购人将按谈判文件规定的</w:t>
      </w:r>
      <w:r>
        <w:rPr>
          <w:rFonts w:hint="eastAsia" w:cs="仿宋_GB2312" w:asciiTheme="minorEastAsia" w:hAnsiTheme="minorEastAsia"/>
          <w:color w:val="auto"/>
          <w:szCs w:val="21"/>
        </w:rPr>
        <w:t>谈判响应截止时间</w:t>
      </w:r>
      <w:r>
        <w:rPr>
          <w:rFonts w:hint="eastAsia" w:cs="宋体" w:asciiTheme="minorEastAsia" w:hAnsiTheme="minorEastAsia"/>
          <w:color w:val="auto"/>
          <w:kern w:val="0"/>
          <w:szCs w:val="21"/>
        </w:rPr>
        <w:t>和地点解密电子响应文件。由代理机构主持，供应商无须到现场。</w:t>
      </w:r>
    </w:p>
    <w:p w14:paraId="551624E3">
      <w:pPr>
        <w:pStyle w:val="54"/>
        <w:autoSpaceDE w:val="0"/>
        <w:autoSpaceDN w:val="0"/>
        <w:spacing w:line="360" w:lineRule="auto"/>
        <w:contextualSpacing/>
        <w:rPr>
          <w:rFonts w:cs="宋体" w:asciiTheme="minorEastAsia" w:hAnsiTheme="minorEastAsia"/>
          <w:color w:val="auto"/>
          <w:kern w:val="0"/>
          <w:szCs w:val="21"/>
        </w:rPr>
      </w:pPr>
      <w:r>
        <w:rPr>
          <w:rFonts w:hint="eastAsia" w:cs="仿宋_GB2312" w:asciiTheme="minorEastAsia" w:hAnsiTheme="minorEastAsia"/>
          <w:color w:val="auto"/>
          <w:szCs w:val="21"/>
        </w:rPr>
        <w:t>22.2谈判响应截止时间</w:t>
      </w:r>
      <w:r>
        <w:rPr>
          <w:rFonts w:hint="eastAsia" w:cs="宋体" w:asciiTheme="minorEastAsia" w:hAnsiTheme="minorEastAsia"/>
          <w:color w:val="auto"/>
          <w:kern w:val="0"/>
          <w:szCs w:val="21"/>
        </w:rPr>
        <w:t>，由代理机构开通远程不见面开标大厅及开启“文字互动”等功能；供应商、代理机构进行电子响应文件的解密。解密后</w:t>
      </w:r>
      <w:r>
        <w:rPr>
          <w:rFonts w:hint="eastAsia" w:asciiTheme="minorEastAsia" w:hAnsiTheme="minorEastAsia"/>
          <w:color w:val="auto"/>
          <w:szCs w:val="21"/>
        </w:rPr>
        <w:t>供应商选择功能栏“开标记录”按钮可查看</w:t>
      </w:r>
      <w:r>
        <w:rPr>
          <w:rFonts w:hint="eastAsia" w:cs="宋体" w:asciiTheme="minorEastAsia" w:hAnsiTheme="minorEastAsia"/>
          <w:color w:val="auto"/>
          <w:kern w:val="0"/>
          <w:szCs w:val="21"/>
        </w:rPr>
        <w:t>供应商名称、修改和撤回投标的通知（如有的话）和谈判文件规定的需要宣布的其他内容。</w:t>
      </w:r>
    </w:p>
    <w:p w14:paraId="1ACB270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22.2.1电子响应文件的解密：全流程电子化交易项目电子响应文件采用双重加密。解密需分标段进行两次解密。</w:t>
      </w:r>
    </w:p>
    <w:p w14:paraId="2155195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22.2.1.1供应商解密：供应商使用本单位CA数字证书进行远程解密。</w:t>
      </w:r>
    </w:p>
    <w:p w14:paraId="6E311CD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22.2.1.2采购代理机构解密：采购代理机构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14:paraId="798D2042">
      <w:pPr>
        <w:pStyle w:val="54"/>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22.2.1.3供应商未在规定时间内解密或</w:t>
      </w:r>
      <w:r>
        <w:rPr>
          <w:rFonts w:hint="eastAsia" w:cs="宋体" w:asciiTheme="minorEastAsia" w:hAnsiTheme="minorEastAsia"/>
          <w:color w:val="auto"/>
          <w:kern w:val="0"/>
          <w:szCs w:val="21"/>
        </w:rPr>
        <w:t>因供应商原因解密失败的，其响应文件将被拒绝。</w:t>
      </w:r>
    </w:p>
    <w:p w14:paraId="37A8D04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22.3 供应商不足3家的，本项目谈判活动终止。（如符合《政府采购非招标采购方式管理办法》（财政部令第74号）第二十七条第二款中的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14:paraId="19739C5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22.4 响应文件解密过程由采购代理机构负责记录。</w:t>
      </w:r>
    </w:p>
    <w:p w14:paraId="4B1B4D5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22.5 供应商对解密过程和记录有疑义，以及认为采购人、采购代理机构相关工作人员有需要回避的情形的，应当场提出询问或者回避申请。采购人、采购代理机构对供应商提出的询问或者回避申请应当及时处理。</w:t>
      </w:r>
    </w:p>
    <w:p w14:paraId="201635C7">
      <w:pPr>
        <w:pStyle w:val="54"/>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color w:val="auto"/>
          <w:szCs w:val="21"/>
        </w:rPr>
        <w:t>22.6 响应文件</w:t>
      </w:r>
      <w:r>
        <w:rPr>
          <w:rFonts w:hint="eastAsia" w:hAnsi="宋体"/>
          <w:color w:val="auto"/>
          <w:szCs w:val="21"/>
        </w:rPr>
        <w:t>解密活动结束时，供应商应在《开标记录表》上进行电子签章。供应商未签章的，视同认可解密结果。</w:t>
      </w:r>
    </w:p>
    <w:p w14:paraId="10136629">
      <w:pPr>
        <w:pStyle w:val="5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谈判小组组成</w:t>
      </w:r>
    </w:p>
    <w:p w14:paraId="6020DF9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23.1采购人将依法组建谈判小组，谈判小组</w:t>
      </w:r>
      <w:r>
        <w:rPr>
          <w:rFonts w:ascii="ˎ̥" w:hAnsi="ˎ̥"/>
          <w:color w:val="auto"/>
        </w:rPr>
        <w:t>由采购人代表和评审专家共3人以上单数组成，其中评审专家人数不得少于竞争性谈判小组成员总数</w:t>
      </w:r>
      <w:r>
        <w:rPr>
          <w:rFonts w:hint="eastAsia" w:cs="宋体" w:asciiTheme="minorEastAsia" w:hAnsiTheme="minorEastAsia"/>
          <w:color w:val="auto"/>
          <w:kern w:val="0"/>
          <w:szCs w:val="21"/>
        </w:rPr>
        <w:t>的三分之二。评审专家依法从政府采购评审专家库中随机抽取。</w:t>
      </w:r>
    </w:p>
    <w:p w14:paraId="4E98178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23.1.1采购人将依法组建谈判小组，谈判小组由评审专家组成，成员人数应当为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14:paraId="17724F5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23.1.2</w:t>
      </w:r>
      <w:r>
        <w:rPr>
          <w:rFonts w:ascii="ˎ̥" w:hAnsi="ˎ̥"/>
          <w:color w:val="auto"/>
        </w:rPr>
        <w:t>达到公开招标数额标准的货物或者服务采购项目，或者达到招标规模标准的政府采购工程，竞争性谈判小组应当由5人以上单数组成</w:t>
      </w:r>
      <w:r>
        <w:rPr>
          <w:rFonts w:hint="eastAsia" w:ascii="ˎ̥" w:hAnsi="ˎ̥"/>
          <w:color w:val="auto"/>
        </w:rPr>
        <w:t>。</w:t>
      </w:r>
    </w:p>
    <w:p w14:paraId="5D93E749">
      <w:pPr>
        <w:pStyle w:val="54"/>
        <w:numPr>
          <w:ilvl w:val="1"/>
          <w:numId w:val="6"/>
        </w:numPr>
        <w:autoSpaceDE w:val="0"/>
        <w:autoSpaceDN w:val="0"/>
        <w:spacing w:line="360" w:lineRule="auto"/>
        <w:ind w:firstLineChars="0"/>
        <w:contextualSpacing/>
        <w:rPr>
          <w:rFonts w:ascii="ˎ̥" w:hAnsi="ˎ̥"/>
          <w:vanish/>
          <w:color w:val="auto"/>
        </w:rPr>
      </w:pPr>
    </w:p>
    <w:p w14:paraId="11395AA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23.1.3 </w:t>
      </w: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14:paraId="1B77123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23.1.4谈判小组成员与供应商存在下列利害关系之一的</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应当回避：</w:t>
      </w:r>
    </w:p>
    <w:p w14:paraId="035A3DB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23.1.5参加采购活动前三年内</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与供应商存在劳动关系</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或者担任过供应商的董事、监事</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或者是供应商的控股股东或实际控制人；</w:t>
      </w:r>
    </w:p>
    <w:p w14:paraId="2DD2A98F">
      <w:pPr>
        <w:pStyle w:val="54"/>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23.1.6与供</w:t>
      </w:r>
      <w:r>
        <w:rPr>
          <w:rFonts w:hint="eastAsia" w:ascii="ˎ̥" w:hAnsi="ˎ̥"/>
          <w:color w:val="auto"/>
        </w:rPr>
        <w:t>应商的法定代表人或者负责人有夫妻、直系血亲、三代以内旁系血亲或者近姻亲关系；</w:t>
      </w:r>
    </w:p>
    <w:p w14:paraId="1D3FE768">
      <w:pPr>
        <w:pStyle w:val="54"/>
        <w:autoSpaceDE w:val="0"/>
        <w:autoSpaceDN w:val="0"/>
        <w:spacing w:line="360" w:lineRule="auto"/>
        <w:contextualSpacing/>
        <w:rPr>
          <w:rFonts w:ascii="ˎ̥" w:hAnsi="ˎ̥"/>
          <w:color w:val="auto"/>
        </w:rPr>
      </w:pPr>
      <w:r>
        <w:rPr>
          <w:rFonts w:hint="eastAsia" w:cs="宋体" w:asciiTheme="minorEastAsia" w:hAnsiTheme="minorEastAsia"/>
          <w:color w:val="auto"/>
          <w:kern w:val="0"/>
          <w:szCs w:val="21"/>
        </w:rPr>
        <w:t>23.1.7</w:t>
      </w:r>
      <w:r>
        <w:rPr>
          <w:rFonts w:hint="eastAsia" w:ascii="ˎ̥" w:hAnsi="ˎ̥"/>
          <w:color w:val="auto"/>
        </w:rPr>
        <w:t>与供应商有其他可能影响政府采购活动公平、公正进行的关系。</w:t>
      </w:r>
    </w:p>
    <w:p w14:paraId="2E8421F1">
      <w:pPr>
        <w:pStyle w:val="54"/>
        <w:numPr>
          <w:ilvl w:val="0"/>
          <w:numId w:val="7"/>
        </w:numPr>
        <w:autoSpaceDE w:val="0"/>
        <w:autoSpaceDN w:val="0"/>
        <w:spacing w:line="360" w:lineRule="auto"/>
        <w:ind w:firstLineChars="0"/>
        <w:contextualSpacing/>
        <w:rPr>
          <w:rFonts w:cs="宋体" w:asciiTheme="minorEastAsia" w:hAnsiTheme="minorEastAsia"/>
          <w:vanish/>
          <w:color w:val="auto"/>
          <w:kern w:val="0"/>
          <w:szCs w:val="21"/>
        </w:rPr>
      </w:pPr>
    </w:p>
    <w:p w14:paraId="04512EC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23.2评审专家发现本人与参加采购活动的供应商有利害关系的</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应当主动提出回避。采购人或者采购代理机构发现评审专家与参加采购活动的供应商有利害关系的</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应当要求其回避。</w:t>
      </w:r>
    </w:p>
    <w:p w14:paraId="1E8679B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23.3采购人不得担任谈判小组组长。</w:t>
      </w:r>
    </w:p>
    <w:p w14:paraId="46347BB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23.4谈判小组成员名单在成交结果公告前应当保密。</w:t>
      </w:r>
    </w:p>
    <w:p w14:paraId="28C41FE8">
      <w:pPr>
        <w:pStyle w:val="54"/>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资格审查和符合性审查</w:t>
      </w:r>
    </w:p>
    <w:p w14:paraId="75895FB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24.1资格审查：谈判小组依据有关法律法规和谈判文件的规定对供应商的资格进行审查。</w:t>
      </w:r>
    </w:p>
    <w:p w14:paraId="23680F18">
      <w:pPr>
        <w:pStyle w:val="54"/>
        <w:autoSpaceDE w:val="0"/>
        <w:autoSpaceDN w:val="0"/>
        <w:spacing w:line="360" w:lineRule="auto"/>
        <w:ind w:firstLine="422"/>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14:paraId="5E11614C">
      <w:pPr>
        <w:pStyle w:val="54"/>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14:paraId="5299AD32">
      <w:pPr>
        <w:pStyle w:val="54"/>
        <w:numPr>
          <w:ilvl w:val="0"/>
          <w:numId w:val="8"/>
        </w:numPr>
        <w:autoSpaceDE w:val="0"/>
        <w:autoSpaceDN w:val="0"/>
        <w:spacing w:line="360" w:lineRule="auto"/>
        <w:ind w:firstLineChars="0"/>
        <w:contextualSpacing/>
        <w:rPr>
          <w:rFonts w:cs="宋体" w:asciiTheme="minorEastAsia" w:hAnsiTheme="minorEastAsia"/>
          <w:vanish/>
          <w:color w:val="auto"/>
          <w:kern w:val="0"/>
          <w:szCs w:val="21"/>
        </w:rPr>
      </w:pPr>
    </w:p>
    <w:p w14:paraId="0AB2DC7C">
      <w:pPr>
        <w:pStyle w:val="54"/>
        <w:numPr>
          <w:ilvl w:val="1"/>
          <w:numId w:val="8"/>
        </w:numPr>
        <w:autoSpaceDE w:val="0"/>
        <w:autoSpaceDN w:val="0"/>
        <w:spacing w:line="360" w:lineRule="auto"/>
        <w:ind w:firstLineChars="0"/>
        <w:contextualSpacing/>
        <w:rPr>
          <w:rFonts w:cs="宋体" w:asciiTheme="minorEastAsia" w:hAnsiTheme="minorEastAsia"/>
          <w:vanish/>
          <w:color w:val="auto"/>
          <w:kern w:val="0"/>
          <w:szCs w:val="21"/>
        </w:rPr>
      </w:pPr>
    </w:p>
    <w:p w14:paraId="355AD07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24.2符合性审查：依据谈判文件的规定，从响应文件的有效性、完整性和对谈判文件的响应程度进行审查，以确定是否对谈判文件的全部实质性要求作出响应。</w:t>
      </w:r>
    </w:p>
    <w:p w14:paraId="13A3AFA6">
      <w:pPr>
        <w:pStyle w:val="54"/>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响应文件的澄清</w:t>
      </w:r>
    </w:p>
    <w:p w14:paraId="6057983B">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25.1谈</w:t>
      </w:r>
      <w:r>
        <w:rPr>
          <w:rFonts w:ascii="ˎ̥" w:hAnsi="ˎ̥"/>
          <w:color w:val="auto"/>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r>
        <w:rPr>
          <w:rFonts w:hint="eastAsia" w:ascii="ˎ̥" w:hAnsi="ˎ̥"/>
          <w:color w:val="auto"/>
        </w:rPr>
        <w:t>。</w:t>
      </w:r>
    </w:p>
    <w:p w14:paraId="4046841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25.2供应商的澄清、说明或者更正应当采用书面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。供应商的澄清、说明或者补正不得超出</w:t>
      </w:r>
      <w:r>
        <w:rPr>
          <w:rFonts w:hint="eastAsia" w:cs="宋体" w:asciiTheme="minorEastAsia" w:hAnsiTheme="minorEastAsia"/>
          <w:color w:val="auto"/>
          <w:kern w:val="0"/>
          <w:szCs w:val="21"/>
        </w:rPr>
        <w:t>投标文件的范围或者改变响应文件的实质性内容。</w:t>
      </w:r>
    </w:p>
    <w:p w14:paraId="3B67FF8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25.3供应商的澄清文件是其响应文件的组成部分。</w:t>
      </w:r>
    </w:p>
    <w:p w14:paraId="004AC28F">
      <w:pPr>
        <w:pStyle w:val="54"/>
        <w:numPr>
          <w:ilvl w:val="0"/>
          <w:numId w:val="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响应文件报价出现前后不一致的修正</w:t>
      </w:r>
    </w:p>
    <w:p w14:paraId="142E84A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26.1大写金额和小写金额不一致的，以大写金额为准；</w:t>
      </w:r>
    </w:p>
    <w:p w14:paraId="1FC3B7CD">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26.2单价金额小数点或者百分比有明显错位的，以开标一览表的总价为准，并修改单价；</w:t>
      </w:r>
    </w:p>
    <w:p w14:paraId="25FC943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61B69D8F">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27.响应无效情形</w:t>
      </w:r>
    </w:p>
    <w:p w14:paraId="3CE440A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27.1响应文件属下列情况之一的，按照无效响应处理：</w:t>
      </w:r>
    </w:p>
    <w:p w14:paraId="263A37CD">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3C325265">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0A3361A0">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2EC635AA">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64C21B1">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3F9C988E">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6232F2DB">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3D71D138">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762F4B6B">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3877FC7D">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DA0A1AF">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B997AF0">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976FEA4">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758F0A99">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33BBE75A">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016CA107">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16951555">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62E415A2">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04F870BB">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2F7B01DF">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77598203">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38DB984A">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488FE90D">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7D43B05C">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687F23F9">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529A2AC0">
      <w:pPr>
        <w:pStyle w:val="54"/>
        <w:numPr>
          <w:ilvl w:val="0"/>
          <w:numId w:val="9"/>
        </w:numPr>
        <w:autoSpaceDE w:val="0"/>
        <w:autoSpaceDN w:val="0"/>
        <w:spacing w:line="360" w:lineRule="auto"/>
        <w:ind w:firstLine="0" w:firstLineChars="0"/>
        <w:contextualSpacing/>
        <w:rPr>
          <w:rFonts w:cs="宋体" w:asciiTheme="minorEastAsia" w:hAnsiTheme="minorEastAsia"/>
          <w:vanish/>
          <w:color w:val="auto"/>
          <w:kern w:val="0"/>
          <w:szCs w:val="21"/>
        </w:rPr>
      </w:pPr>
    </w:p>
    <w:p w14:paraId="4BCE2CB6">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27.1.1未按照谈判文件的规定提交谈判承诺函的；</w:t>
      </w:r>
    </w:p>
    <w:p w14:paraId="2D1805BF">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27.1.2响应文件未按谈判文件要求签署、盖章的；</w:t>
      </w:r>
    </w:p>
    <w:p w14:paraId="4F957BE9">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27.1.3不具备谈判文件中规定的资格要求的；</w:t>
      </w:r>
    </w:p>
    <w:p w14:paraId="1BB07DDD">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27.1.4报价超过谈判文件中规定的预算金额的；</w:t>
      </w:r>
    </w:p>
    <w:p w14:paraId="5B508FC2">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27.1.5投标文件内容模糊不清，无法辨认的；</w:t>
      </w:r>
    </w:p>
    <w:p w14:paraId="119FB3FC">
      <w:pPr>
        <w:pStyle w:val="54"/>
        <w:autoSpaceDE w:val="0"/>
        <w:autoSpaceDN w:val="0"/>
        <w:spacing w:line="360" w:lineRule="auto"/>
        <w:ind w:left="3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27.1.6响应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14:paraId="65B875B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27.2有下列情形之一的，视为供应商串通谈判，其响应无效：</w:t>
      </w:r>
    </w:p>
    <w:p w14:paraId="77D6124A">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27.2.1不同供应商的响应文件由同一单位或者个人编制；</w:t>
      </w:r>
    </w:p>
    <w:p w14:paraId="6982F46C">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27.2.2不同供应商委托同一单位或者个人办理响应事宜；</w:t>
      </w:r>
    </w:p>
    <w:p w14:paraId="341E6E1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27.2.3不同供应商的响应文件载明的项目管理成员或者联系人员为同一人；</w:t>
      </w:r>
    </w:p>
    <w:p w14:paraId="3C7B503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27.2.4不同供应商的响应文件异常一致或者投标报价呈规律性差异；</w:t>
      </w:r>
    </w:p>
    <w:p w14:paraId="5FDA69A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27.2.5不同供应商的响应文件相互混装。</w:t>
      </w:r>
    </w:p>
    <w:p w14:paraId="0CD5782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27.3按照《关于推进全流程电子化交易和在线监管工作有关问题的通知》（许公管办</w:t>
      </w:r>
      <w:r>
        <w:rPr>
          <w:rFonts w:hint="eastAsia" w:cs="宋体" w:asciiTheme="minorEastAsia" w:hAnsiTheme="minorEastAsia"/>
          <w:color w:val="auto"/>
          <w:kern w:val="0"/>
          <w:szCs w:val="21"/>
          <w:lang w:eastAsia="zh-CN"/>
        </w:rPr>
        <w:t>〔2019〕3号</w:t>
      </w:r>
      <w:r>
        <w:rPr>
          <w:rFonts w:hint="eastAsia" w:cs="宋体" w:asciiTheme="minorEastAsia" w:hAnsiTheme="minorEastAsia"/>
          <w:color w:val="auto"/>
          <w:kern w:val="0"/>
          <w:szCs w:val="21"/>
        </w:rPr>
        <w:t>）规定，不同供应商电子响应文件制作硬件特征码（网卡MAC地址、CPU序号、硬盘序列号）均一致时，视为‘</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的</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文件由同一单位或者个人编制</w:t>
      </w:r>
      <w:r>
        <w:rPr>
          <w:rFonts w:hint="eastAsia" w:cs="宋体" w:asciiTheme="minorEastAsia" w:hAnsiTheme="minorEastAsia"/>
          <w:color w:val="auto"/>
          <w:kern w:val="0"/>
          <w:szCs w:val="21"/>
        </w:rPr>
        <w:t>’或‘</w:t>
      </w:r>
      <w:r>
        <w:rPr>
          <w:rFonts w:cs="宋体" w:asciiTheme="minorEastAsia" w:hAnsiTheme="minorEastAsia"/>
          <w:color w:val="auto"/>
          <w:kern w:val="0"/>
          <w:szCs w:val="21"/>
        </w:rPr>
        <w:t>不同</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委托同一单位或者个人办理</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事宜</w:t>
      </w:r>
      <w:r>
        <w:rPr>
          <w:rFonts w:hint="eastAsia" w:cs="宋体" w:asciiTheme="minorEastAsia" w:hAnsiTheme="minorEastAsia"/>
          <w:color w:val="auto"/>
          <w:kern w:val="0"/>
          <w:szCs w:val="21"/>
        </w:rPr>
        <w:t>’，其谈判响应无效。</w:t>
      </w:r>
    </w:p>
    <w:p w14:paraId="688BFFD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27.4</w:t>
      </w: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r>
        <w:rPr>
          <w:rFonts w:hint="eastAsia" w:cs="宋体" w:asciiTheme="minorEastAsia" w:hAnsiTheme="minorEastAsia"/>
          <w:color w:val="auto"/>
          <w:kern w:val="0"/>
          <w:szCs w:val="21"/>
        </w:rPr>
        <w:t>。</w:t>
      </w:r>
    </w:p>
    <w:p w14:paraId="04970AEB">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28.响应文件评审与谈判</w:t>
      </w:r>
    </w:p>
    <w:p w14:paraId="70AA661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w:t>
      </w:r>
      <w:r>
        <w:rPr>
          <w:rFonts w:cs="宋体" w:asciiTheme="minorEastAsia" w:hAnsiTheme="minorEastAsia"/>
          <w:color w:val="auto"/>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rPr>
        <w:t>。</w:t>
      </w:r>
    </w:p>
    <w:p w14:paraId="7EC082A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28.2谈判小组所有成员应当集中与单一供应商分别进行谈判，并给予所有参加谈判的供应商平等的谈判机会。</w:t>
      </w:r>
    </w:p>
    <w:p w14:paraId="3D23550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28.3在谈判中，谈判的任何一方不得透露与谈判有关的其他供应商的技术资料、价格和其他信息。</w:t>
      </w:r>
    </w:p>
    <w:p w14:paraId="4852657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3D141F8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7F3A231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解决方案的，谈判结束后，谈判小组应当按照少数服从多数的原则投票推荐3家以上供应商的解决方案，并要求其在规定时间内提交最后报价。</w:t>
      </w:r>
    </w:p>
    <w:p w14:paraId="5FEF37F7">
      <w:pPr>
        <w:pStyle w:val="54"/>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28.7最后报价是供应商响应文件的有效组成部分。</w:t>
      </w:r>
    </w:p>
    <w:p w14:paraId="6E613E72">
      <w:pPr>
        <w:pStyle w:val="54"/>
        <w:autoSpaceDE w:val="0"/>
        <w:autoSpaceDN w:val="0"/>
        <w:spacing w:line="360" w:lineRule="auto"/>
        <w:ind w:left="-29"/>
        <w:contextualSpacing/>
        <w:rPr>
          <w:rFonts w:ascii="宋体" w:hAnsi="宋体" w:eastAsia="宋体" w:cs="宋体"/>
          <w:color w:val="auto"/>
        </w:rPr>
      </w:pPr>
      <w:r>
        <w:rPr>
          <w:rFonts w:hint="eastAsia" w:ascii="宋体" w:hAnsi="宋体" w:eastAsia="宋体" w:cs="宋体"/>
          <w:color w:val="auto"/>
        </w:rPr>
        <w:t>28.8已提交响应文件的供应商，在提交最后报价之前，可以根据谈判情况退出谈判。</w:t>
      </w:r>
    </w:p>
    <w:p w14:paraId="6CE8FF81">
      <w:pPr>
        <w:pStyle w:val="54"/>
        <w:autoSpaceDE w:val="0"/>
        <w:autoSpaceDN w:val="0"/>
        <w:spacing w:line="360" w:lineRule="auto"/>
        <w:ind w:left="-29"/>
        <w:contextualSpacing/>
        <w:rPr>
          <w:rFonts w:ascii="ˎ̥" w:hAnsi="ˎ̥"/>
          <w:color w:val="auto"/>
        </w:rPr>
      </w:pPr>
      <w:r>
        <w:rPr>
          <w:rFonts w:hint="eastAsia" w:ascii="宋体" w:hAnsi="宋体" w:eastAsia="宋体" w:cs="宋体"/>
          <w:color w:val="auto"/>
        </w:rPr>
        <w:t>28.9按</w:t>
      </w:r>
      <w:r>
        <w:rPr>
          <w:rFonts w:hint="eastAsia" w:ascii="ˎ̥" w:hAnsi="ˎ̥"/>
          <w:color w:val="auto"/>
        </w:rPr>
        <w:t>照《关于推进全流程电子化交易和在线监管工作有关问题的通知》（许公管办</w:t>
      </w:r>
      <w:r>
        <w:rPr>
          <w:rFonts w:hint="eastAsia" w:ascii="ˎ̥" w:hAnsi="ˎ̥"/>
          <w:color w:val="auto"/>
          <w:lang w:eastAsia="zh-CN"/>
        </w:rPr>
        <w:t>〔2019〕3号</w:t>
      </w:r>
      <w:r>
        <w:rPr>
          <w:rFonts w:hint="eastAsia" w:ascii="ˎ̥" w:hAnsi="ˎ̥"/>
          <w:color w:val="auto"/>
        </w:rPr>
        <w:t>）规定，评审专家应严格按照要求查看“硬件特征</w:t>
      </w:r>
      <w:r>
        <w:rPr>
          <w:rFonts w:hint="eastAsia" w:ascii="ˎ̥" w:hAnsi="ˎ̥"/>
          <w:color w:val="auto"/>
          <w:lang w:eastAsia="zh-CN"/>
        </w:rPr>
        <w:t>码</w:t>
      </w:r>
      <w:r>
        <w:rPr>
          <w:rFonts w:hint="eastAsia" w:ascii="ˎ̥" w:hAnsi="ˎ̥"/>
          <w:color w:val="auto"/>
        </w:rPr>
        <w:t>”相关信息并进行评审。</w:t>
      </w:r>
    </w:p>
    <w:p w14:paraId="777C28F9">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29.评审方法与提出成交候选人</w:t>
      </w:r>
    </w:p>
    <w:p w14:paraId="471FD0E1">
      <w:pPr>
        <w:pStyle w:val="54"/>
        <w:autoSpaceDE w:val="0"/>
        <w:autoSpaceDN w:val="0"/>
        <w:spacing w:line="360" w:lineRule="auto"/>
        <w:contextualSpacing/>
        <w:rPr>
          <w:rFonts w:cs="宋体" w:asciiTheme="minorEastAsia" w:hAnsiTheme="minorEastAsia"/>
          <w:color w:val="auto"/>
          <w:kern w:val="0"/>
          <w:szCs w:val="21"/>
        </w:rPr>
      </w:pPr>
      <w:r>
        <w:rPr>
          <w:rFonts w:ascii="ˎ̥" w:hAnsi="ˎ̥"/>
          <w:color w:val="auto"/>
        </w:rPr>
        <w:t>谈判小组应当从质量和服务均能满足采购文件实质性响应要求的供应商中，按照最后报价由低到高的顺序提出3名以上成交候选人，并编写评审报告。</w:t>
      </w:r>
    </w:p>
    <w:p w14:paraId="341703A1">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14:paraId="40E855AE">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30 .确定成交供应商</w:t>
      </w:r>
    </w:p>
    <w:p w14:paraId="6D401C90">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30.1采购人应当在收到评审报告后5个工作日内，从评审报告提出的成交候选人中，根据质量和服务均能满足采购文件实质性响应要求且最后报价最低的原则确定成交供应商。</w:t>
      </w:r>
    </w:p>
    <w:p w14:paraId="28F73324">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30.2采购</w:t>
      </w:r>
      <w:r>
        <w:rPr>
          <w:rFonts w:ascii="ˎ̥" w:hAnsi="ˎ̥"/>
          <w:color w:val="auto"/>
        </w:rPr>
        <w:t>人逾期未确定成交供应商且不提出异议的，视为确定评审报告提出的最后报价最低的供应商为成交供应商</w:t>
      </w:r>
      <w:r>
        <w:rPr>
          <w:rFonts w:hint="eastAsia" w:ascii="ˎ̥" w:hAnsi="ˎ̥"/>
          <w:color w:val="auto"/>
        </w:rPr>
        <w:t>。</w:t>
      </w:r>
    </w:p>
    <w:p w14:paraId="2F5108FB">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31 .终止采购活动的情形</w:t>
      </w:r>
    </w:p>
    <w:p w14:paraId="750FE6A5">
      <w:pPr>
        <w:pStyle w:val="54"/>
        <w:autoSpaceDE w:val="0"/>
        <w:autoSpaceDN w:val="0"/>
        <w:spacing w:line="360" w:lineRule="auto"/>
        <w:contextualSpacing/>
        <w:rPr>
          <w:rFonts w:cs="宋体" w:asciiTheme="minorEastAsia" w:hAnsiTheme="minorEastAsia"/>
          <w:b/>
          <w:color w:val="auto"/>
          <w:kern w:val="0"/>
          <w:szCs w:val="21"/>
        </w:rPr>
      </w:pPr>
      <w:r>
        <w:rPr>
          <w:rFonts w:hint="eastAsia" w:cs="微软雅黑"/>
          <w:color w:val="auto"/>
        </w:rPr>
        <w:t>在谈判采购中，出现下列情形之一的，采购人应当终止竞争性谈判采购活动，发布项目终止公告并说明原因，重新开展采购活动：</w:t>
      </w:r>
    </w:p>
    <w:p w14:paraId="184370AF">
      <w:pPr>
        <w:pStyle w:val="54"/>
        <w:numPr>
          <w:ilvl w:val="0"/>
          <w:numId w:val="10"/>
        </w:numPr>
        <w:autoSpaceDE w:val="0"/>
        <w:autoSpaceDN w:val="0"/>
        <w:spacing w:line="360" w:lineRule="auto"/>
        <w:ind w:firstLineChars="0"/>
        <w:contextualSpacing/>
        <w:rPr>
          <w:rFonts w:cs="宋体" w:asciiTheme="minorEastAsia" w:hAnsiTheme="minorEastAsia"/>
          <w:vanish/>
          <w:color w:val="auto"/>
          <w:kern w:val="0"/>
          <w:szCs w:val="21"/>
        </w:rPr>
      </w:pPr>
    </w:p>
    <w:p w14:paraId="28AA8B34">
      <w:pPr>
        <w:pStyle w:val="54"/>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31.1</w:t>
      </w:r>
      <w:r>
        <w:rPr>
          <w:rFonts w:asciiTheme="minorEastAsia" w:hAnsiTheme="minorEastAsia"/>
          <w:color w:val="auto"/>
        </w:rPr>
        <w:t>因情况变化，不再符合规定的竞争性谈判采购方式适用情形的；</w:t>
      </w:r>
    </w:p>
    <w:p w14:paraId="4BA846CC">
      <w:pPr>
        <w:pStyle w:val="54"/>
        <w:autoSpaceDE w:val="0"/>
        <w:autoSpaceDN w:val="0"/>
        <w:spacing w:line="360" w:lineRule="auto"/>
        <w:contextualSpacing/>
        <w:rPr>
          <w:rFonts w:asciiTheme="minorEastAsia" w:hAnsiTheme="minorEastAsia"/>
          <w:color w:val="auto"/>
        </w:rPr>
      </w:pPr>
      <w:r>
        <w:rPr>
          <w:rFonts w:hint="eastAsia" w:asciiTheme="minorEastAsia" w:hAnsiTheme="minorEastAsia"/>
          <w:color w:val="auto"/>
        </w:rPr>
        <w:t>31.2</w:t>
      </w:r>
      <w:r>
        <w:rPr>
          <w:rFonts w:asciiTheme="minorEastAsia" w:hAnsiTheme="minorEastAsia"/>
          <w:color w:val="auto"/>
        </w:rPr>
        <w:t>出现影响采购公正的违法、违规行为的</w:t>
      </w:r>
      <w:r>
        <w:rPr>
          <w:rFonts w:hint="eastAsia" w:asciiTheme="minorEastAsia" w:hAnsiTheme="minorEastAsia"/>
          <w:color w:val="auto"/>
        </w:rPr>
        <w:t>；</w:t>
      </w:r>
    </w:p>
    <w:p w14:paraId="21E3CEF5">
      <w:pPr>
        <w:pStyle w:val="54"/>
        <w:autoSpaceDE w:val="0"/>
        <w:autoSpaceDN w:val="0"/>
        <w:spacing w:line="360" w:lineRule="auto"/>
        <w:contextualSpacing/>
        <w:rPr>
          <w:rFonts w:ascii="ˎ̥" w:hAnsi="ˎ̥"/>
          <w:color w:val="auto"/>
        </w:rPr>
      </w:pPr>
      <w:r>
        <w:rPr>
          <w:rFonts w:hint="eastAsia" w:asciiTheme="minorEastAsia" w:hAnsiTheme="minorEastAsia"/>
          <w:color w:val="auto"/>
        </w:rPr>
        <w:t>31.3在采购过程中符合竞争要求的供应商或者报价未超过采购预算的供应商不足3家的，但《政府采购非招标采购方式管理办法》第二十七条第二款规定的情形除外。</w:t>
      </w:r>
    </w:p>
    <w:p w14:paraId="50E9F8FE">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32 .成交公告、发出成交通知书</w:t>
      </w:r>
    </w:p>
    <w:p w14:paraId="165BE2B8">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32.1采购人确认成交供应商后，采购人在公告成交结果的同时，向成交供应商发出成交通知书。</w:t>
      </w:r>
    </w:p>
    <w:p w14:paraId="31D20686">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32.2成交通知书发出后，采购人不得违法改变成交结果，成交供应商无正当理由不得放弃成交。</w:t>
      </w:r>
    </w:p>
    <w:p w14:paraId="7870FD6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39E2FE59">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33 .质疑提出与答复</w:t>
      </w:r>
    </w:p>
    <w:p w14:paraId="68167452">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33.1供应商认为谈判文件、采购过程和成交结果使自己的权益受到损害的，可以按照《政府采购质疑和投诉办法》（财政部令第94号）提出质疑。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14:paraId="36A65631">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33.1.1对谈判文件提出质疑的，供应商应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w:t>
      </w:r>
      <w:r>
        <w:rPr>
          <w:rFonts w:hint="eastAsia" w:cs="宋体" w:asciiTheme="minorEastAsia" w:hAnsiTheme="minorEastAsia"/>
          <w:color w:val="auto"/>
          <w:kern w:val="0"/>
          <w:szCs w:val="21"/>
        </w:rPr>
        <w:t>，且应当在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文件或者</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49913C27">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33.1.2对采购过程提出质疑的，为各采购程序环节结束之日起七个工作日内，以书面形式向采购人和采购代理机构一次性提出；</w:t>
      </w:r>
    </w:p>
    <w:p w14:paraId="3E684A79">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33.1.3对成交结果提出质疑的，为成交结果公告期限届满之日起七个工作日内，以书面形式向采购人和采购代理机构一次性提出。</w:t>
      </w:r>
    </w:p>
    <w:p w14:paraId="640B9D1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w:t>
      </w: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结果的，按照下列情况处理：</w:t>
      </w:r>
    </w:p>
    <w:p w14:paraId="30D3A0E3">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33.2.1</w:t>
      </w:r>
      <w:r>
        <w:rPr>
          <w:rFonts w:cs="宋体" w:asciiTheme="minorEastAsia" w:hAnsiTheme="minorEastAsia"/>
          <w:color w:val="auto"/>
          <w:kern w:val="0"/>
          <w:szCs w:val="21"/>
        </w:rPr>
        <w:t>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文件提出的质疑，依法通过澄</w:t>
      </w:r>
      <w:r>
        <w:rPr>
          <w:rFonts w:hint="eastAsia" w:cs="宋体" w:asciiTheme="minorEastAsia" w:hAnsiTheme="minorEastAsia"/>
          <w:color w:val="auto"/>
          <w:kern w:val="0"/>
          <w:szCs w:val="21"/>
          <w:lang w:val="en-US" w:eastAsia="zh-CN"/>
        </w:rPr>
        <w:t xml:space="preserve"> </w:t>
      </w:r>
      <w:r>
        <w:rPr>
          <w:rFonts w:cs="宋体" w:asciiTheme="minorEastAsia" w:hAnsiTheme="minorEastAsia"/>
          <w:color w:val="auto"/>
          <w:kern w:val="0"/>
          <w:szCs w:val="21"/>
        </w:rPr>
        <w:t>清或者修改可以继续开展采购活动的，澄清或者修改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文件后继续开展采购活动；否则应当修改</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文件后重新开展采购活动。</w:t>
      </w:r>
    </w:p>
    <w:p w14:paraId="2A827AEF">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33.2.2</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r>
        <w:rPr>
          <w:rFonts w:hint="eastAsia" w:cs="宋体" w:asciiTheme="minorEastAsia" w:hAnsiTheme="minorEastAsia"/>
          <w:color w:val="auto"/>
          <w:kern w:val="0"/>
          <w:szCs w:val="21"/>
        </w:rPr>
        <w:t>。</w:t>
      </w:r>
    </w:p>
    <w:p w14:paraId="76DE493E">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34 .签订合同</w:t>
      </w:r>
    </w:p>
    <w:p w14:paraId="41C93225">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w:t>
      </w: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14:paraId="2D80169E">
      <w:pPr>
        <w:pStyle w:val="54"/>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34.2</w:t>
      </w: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谈判</w:t>
      </w:r>
      <w:r>
        <w:rPr>
          <w:rFonts w:cs="宋体" w:asciiTheme="minorEastAsia" w:hAnsiTheme="minorEastAsia"/>
          <w:color w:val="auto"/>
          <w:kern w:val="0"/>
          <w:szCs w:val="21"/>
        </w:rPr>
        <w:t>文件确定的合同文本以及采购标的、规格型号、采购金额、采购数量、技术和服务要求等实质性内容的协议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14:paraId="6C47240E">
      <w:pPr>
        <w:pStyle w:val="54"/>
        <w:autoSpaceDE w:val="0"/>
        <w:autoSpaceDN w:val="0"/>
        <w:spacing w:line="360" w:lineRule="auto"/>
        <w:ind w:firstLine="0"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35 .履约保证金</w:t>
      </w:r>
    </w:p>
    <w:p w14:paraId="7F486B38">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6AA7BD2E">
      <w:pPr>
        <w:pStyle w:val="54"/>
        <w:autoSpaceDE w:val="0"/>
        <w:autoSpaceDN w:val="0"/>
        <w:spacing w:line="360" w:lineRule="auto"/>
        <w:ind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36. 政府采购合同融资</w:t>
      </w:r>
    </w:p>
    <w:p w14:paraId="649D7B26">
      <w:pPr>
        <w:pStyle w:val="54"/>
        <w:numPr>
          <w:ilvl w:val="1"/>
          <w:numId w:val="11"/>
        </w:numPr>
        <w:wordWrap w:val="0"/>
        <w:topLinePunct/>
        <w:autoSpaceDE w:val="0"/>
        <w:autoSpaceDN w:val="0"/>
        <w:adjustRightInd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缓解中小企业融资难题</w:t>
      </w:r>
    </w:p>
    <w:p w14:paraId="6641A7EA">
      <w:pPr>
        <w:autoSpaceDE w:val="0"/>
        <w:autoSpaceDN w:val="0"/>
        <w:spacing w:line="360" w:lineRule="auto"/>
        <w:ind w:firstLine="420" w:firstLineChars="2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3C914098">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36.2  合作金融机构（排名不分先后）</w:t>
      </w:r>
    </w:p>
    <w:p w14:paraId="1F4F3CF1">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合作金融机构名称：中原银行许昌分行（小微金融部）</w:t>
      </w:r>
    </w:p>
    <w:p w14:paraId="64702C39">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联系人及电话：陈阳 13137407575   方金龙  15836539901</w:t>
      </w:r>
    </w:p>
    <w:p w14:paraId="171DB927">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地址：许昌市建安大道与紫云路交汇处中原银行</w:t>
      </w:r>
    </w:p>
    <w:p w14:paraId="06264644">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合作金融机构名称：浦发银行许昌分行</w:t>
      </w:r>
    </w:p>
    <w:p w14:paraId="00919FCE">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联系人及电话：赵勇  0374-7313569、7313502 18937459920</w:t>
      </w:r>
    </w:p>
    <w:p w14:paraId="4DD3FD30">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地址：许昌市许继大道1163号许继花园</w:t>
      </w:r>
    </w:p>
    <w:p w14:paraId="252D16F3">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合作金融机构名称：交通银行许昌分行</w:t>
      </w:r>
    </w:p>
    <w:p w14:paraId="444928C4">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联系人：宋纪刚  0374-2369912  13733951305</w:t>
      </w:r>
    </w:p>
    <w:p w14:paraId="0C2150B3">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地址：许昌市莲城大道114号</w:t>
      </w:r>
    </w:p>
    <w:p w14:paraId="50554E95">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合作金融机构名称：光大银行许昌分行</w:t>
      </w:r>
    </w:p>
    <w:p w14:paraId="0570FC9D">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联系人：李东磊  0374-2928168 18569936868</w:t>
      </w:r>
    </w:p>
    <w:p w14:paraId="1D306194">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地址：许昌市魏都区八一路文峰路交叉口西北角</w:t>
      </w:r>
    </w:p>
    <w:p w14:paraId="643DF035">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合作金融机构名称：招商银行许昌分行</w:t>
      </w:r>
    </w:p>
    <w:p w14:paraId="18801C05">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联系人及电话：崔星迪  0374-5376058  18839983051</w:t>
      </w:r>
    </w:p>
    <w:p w14:paraId="586499D5">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地址：许昌市建安大道中段新天下AB座</w:t>
      </w:r>
    </w:p>
    <w:p w14:paraId="5DECFCA5">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合作金融机构名称：邮储银行许昌市分行</w:t>
      </w:r>
    </w:p>
    <w:p w14:paraId="717CA872">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联系人及电话：张彦峰13839001972 武松涛18839902679</w:t>
      </w:r>
    </w:p>
    <w:p w14:paraId="300A16FD">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徐亚爽15038297574</w:t>
      </w:r>
    </w:p>
    <w:p w14:paraId="5EF995C8">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地址：许昌市莲城大道邮储银行莲城支行二楼</w:t>
      </w:r>
    </w:p>
    <w:p w14:paraId="0AC034AF">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合作金融机构名称：中国银行许昌分行</w:t>
      </w:r>
    </w:p>
    <w:p w14:paraId="6BDAACC6">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联系人及电话：白炜 13938772680   刘晓飞  0374-3338596</w:t>
      </w:r>
    </w:p>
    <w:p w14:paraId="64DA0066">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地址：许昌市魏都区建设路1488号</w:t>
      </w:r>
    </w:p>
    <w:p w14:paraId="33AD504B">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合作金融机构名称：中信银行郑州红专路支行</w:t>
      </w:r>
    </w:p>
    <w:p w14:paraId="5A0DA257">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联系人：韩晨  13253490679</w:t>
      </w:r>
    </w:p>
    <w:p w14:paraId="141E146C">
      <w:pPr>
        <w:autoSpaceDE w:val="0"/>
        <w:autoSpaceDN w:val="0"/>
        <w:spacing w:line="360" w:lineRule="auto"/>
        <w:ind w:left="964"/>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地址：郑州市金水区经三路北26号中信银行郑州红专路支行</w:t>
      </w:r>
    </w:p>
    <w:p w14:paraId="17845E80">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36.3 “许昌市政府采购合同融资金融产品推介名录”链接</w:t>
      </w:r>
    </w:p>
    <w:p w14:paraId="2405AAFE">
      <w:pPr>
        <w:autoSpaceDE w:val="0"/>
        <w:autoSpaceDN w:val="0"/>
        <w:spacing w:line="360" w:lineRule="auto"/>
        <w:ind w:firstLine="840" w:firstLineChars="400"/>
        <w:contextualSpacing/>
        <w:jc w:val="left"/>
        <w:rPr>
          <w:rFonts w:cs="宋体" w:asciiTheme="minorEastAsia" w:hAnsiTheme="minorEastAsia"/>
          <w:color w:val="auto"/>
          <w:kern w:val="0"/>
          <w:szCs w:val="21"/>
        </w:rPr>
      </w:pPr>
      <w:r>
        <w:rPr>
          <w:rFonts w:hint="eastAsia" w:cs="宋体" w:asciiTheme="minorEastAsia" w:hAnsiTheme="minorEastAsia"/>
          <w:color w:val="auto"/>
          <w:kern w:val="0"/>
          <w:szCs w:val="21"/>
        </w:rPr>
        <w:t>http://xuchang.hngp.gov.cn/xuchang/content?infoId=1606365368231095&amp;channelCode=H711001</w:t>
      </w:r>
    </w:p>
    <w:p w14:paraId="4D2A3AB0">
      <w:pPr>
        <w:pStyle w:val="83"/>
        <w:rPr>
          <w:color w:val="auto"/>
        </w:rPr>
      </w:pPr>
    </w:p>
    <w:p w14:paraId="534474D5">
      <w:pPr>
        <w:pStyle w:val="13"/>
        <w:ind w:firstLine="0"/>
        <w:rPr>
          <w:rFonts w:cs="宋体" w:asciiTheme="majorEastAsia" w:hAnsiTheme="majorEastAsia" w:eastAsiaTheme="majorEastAsia"/>
          <w:b/>
          <w:color w:val="auto"/>
          <w:kern w:val="0"/>
          <w:sz w:val="32"/>
          <w:szCs w:val="32"/>
        </w:rPr>
      </w:pPr>
    </w:p>
    <w:p w14:paraId="612B3113">
      <w:pPr>
        <w:pStyle w:val="13"/>
        <w:ind w:firstLine="0"/>
        <w:rPr>
          <w:rFonts w:cs="宋体" w:asciiTheme="majorEastAsia" w:hAnsiTheme="majorEastAsia" w:eastAsiaTheme="majorEastAsia"/>
          <w:b/>
          <w:color w:val="auto"/>
          <w:kern w:val="0"/>
          <w:sz w:val="32"/>
          <w:szCs w:val="32"/>
        </w:rPr>
      </w:pPr>
    </w:p>
    <w:p w14:paraId="14C313B1">
      <w:pPr>
        <w:pStyle w:val="13"/>
        <w:ind w:firstLine="0"/>
        <w:rPr>
          <w:rFonts w:cs="宋体" w:asciiTheme="majorEastAsia" w:hAnsiTheme="majorEastAsia" w:eastAsiaTheme="majorEastAsia"/>
          <w:b/>
          <w:color w:val="auto"/>
          <w:kern w:val="0"/>
          <w:sz w:val="32"/>
          <w:szCs w:val="32"/>
        </w:rPr>
      </w:pPr>
    </w:p>
    <w:p w14:paraId="35ABC5A5">
      <w:pPr>
        <w:pStyle w:val="13"/>
        <w:ind w:firstLine="0"/>
        <w:rPr>
          <w:rFonts w:cs="宋体" w:asciiTheme="majorEastAsia" w:hAnsiTheme="majorEastAsia" w:eastAsiaTheme="majorEastAsia"/>
          <w:b/>
          <w:color w:val="auto"/>
          <w:kern w:val="0"/>
          <w:sz w:val="32"/>
          <w:szCs w:val="32"/>
        </w:rPr>
      </w:pPr>
    </w:p>
    <w:p w14:paraId="296EB5E2">
      <w:pPr>
        <w:pStyle w:val="13"/>
        <w:ind w:firstLine="0"/>
        <w:rPr>
          <w:rFonts w:cs="宋体" w:asciiTheme="majorEastAsia" w:hAnsiTheme="majorEastAsia" w:eastAsiaTheme="majorEastAsia"/>
          <w:b/>
          <w:color w:val="auto"/>
          <w:kern w:val="0"/>
          <w:sz w:val="32"/>
          <w:szCs w:val="32"/>
        </w:rPr>
      </w:pPr>
    </w:p>
    <w:p w14:paraId="32847ACA">
      <w:pPr>
        <w:pStyle w:val="13"/>
        <w:ind w:firstLine="0"/>
        <w:rPr>
          <w:rFonts w:cs="宋体" w:asciiTheme="majorEastAsia" w:hAnsiTheme="majorEastAsia" w:eastAsiaTheme="majorEastAsia"/>
          <w:b/>
          <w:color w:val="auto"/>
          <w:kern w:val="0"/>
          <w:sz w:val="32"/>
          <w:szCs w:val="32"/>
        </w:rPr>
      </w:pPr>
    </w:p>
    <w:p w14:paraId="0CAD9EBE">
      <w:pPr>
        <w:pStyle w:val="13"/>
        <w:ind w:firstLine="0"/>
        <w:rPr>
          <w:rFonts w:cs="宋体" w:asciiTheme="majorEastAsia" w:hAnsiTheme="majorEastAsia" w:eastAsiaTheme="majorEastAsia"/>
          <w:b/>
          <w:color w:val="auto"/>
          <w:kern w:val="0"/>
          <w:sz w:val="32"/>
          <w:szCs w:val="32"/>
        </w:rPr>
      </w:pPr>
    </w:p>
    <w:p w14:paraId="3F1818C3">
      <w:pPr>
        <w:pStyle w:val="13"/>
        <w:ind w:firstLine="0"/>
        <w:rPr>
          <w:rFonts w:cs="宋体" w:asciiTheme="majorEastAsia" w:hAnsiTheme="majorEastAsia" w:eastAsiaTheme="majorEastAsia"/>
          <w:b/>
          <w:color w:val="auto"/>
          <w:kern w:val="0"/>
          <w:sz w:val="32"/>
          <w:szCs w:val="32"/>
        </w:rPr>
      </w:pPr>
    </w:p>
    <w:p w14:paraId="27D410E8">
      <w:pPr>
        <w:pStyle w:val="13"/>
        <w:ind w:firstLine="0"/>
        <w:rPr>
          <w:rFonts w:cs="宋体" w:asciiTheme="majorEastAsia" w:hAnsiTheme="majorEastAsia" w:eastAsiaTheme="majorEastAsia"/>
          <w:b/>
          <w:color w:val="auto"/>
          <w:kern w:val="0"/>
          <w:sz w:val="32"/>
          <w:szCs w:val="32"/>
        </w:rPr>
      </w:pPr>
    </w:p>
    <w:p w14:paraId="71340892">
      <w:pPr>
        <w:pStyle w:val="13"/>
        <w:ind w:firstLine="0"/>
        <w:rPr>
          <w:rFonts w:cs="宋体" w:asciiTheme="majorEastAsia" w:hAnsiTheme="majorEastAsia" w:eastAsiaTheme="majorEastAsia"/>
          <w:b/>
          <w:color w:val="auto"/>
          <w:kern w:val="0"/>
          <w:sz w:val="32"/>
          <w:szCs w:val="32"/>
        </w:rPr>
      </w:pPr>
    </w:p>
    <w:p w14:paraId="1E90B6F9">
      <w:pPr>
        <w:pStyle w:val="13"/>
        <w:ind w:firstLine="0"/>
        <w:rPr>
          <w:rFonts w:cs="宋体" w:asciiTheme="majorEastAsia" w:hAnsiTheme="majorEastAsia" w:eastAsiaTheme="majorEastAsia"/>
          <w:b/>
          <w:color w:val="auto"/>
          <w:kern w:val="0"/>
          <w:sz w:val="32"/>
          <w:szCs w:val="32"/>
        </w:rPr>
      </w:pPr>
    </w:p>
    <w:p w14:paraId="1E513D25">
      <w:pPr>
        <w:pStyle w:val="13"/>
        <w:ind w:firstLine="0"/>
        <w:rPr>
          <w:rFonts w:cs="宋体" w:asciiTheme="majorEastAsia" w:hAnsiTheme="majorEastAsia" w:eastAsiaTheme="majorEastAsia"/>
          <w:b/>
          <w:color w:val="auto"/>
          <w:kern w:val="0"/>
          <w:sz w:val="32"/>
          <w:szCs w:val="32"/>
        </w:rPr>
      </w:pPr>
    </w:p>
    <w:p w14:paraId="4976FBA2">
      <w:pPr>
        <w:pStyle w:val="13"/>
        <w:ind w:firstLine="0"/>
        <w:rPr>
          <w:rFonts w:cs="宋体" w:asciiTheme="majorEastAsia" w:hAnsiTheme="majorEastAsia" w:eastAsiaTheme="majorEastAsia"/>
          <w:b/>
          <w:color w:val="auto"/>
          <w:kern w:val="0"/>
          <w:sz w:val="32"/>
          <w:szCs w:val="32"/>
        </w:rPr>
      </w:pPr>
    </w:p>
    <w:p w14:paraId="193580CA">
      <w:pPr>
        <w:pStyle w:val="13"/>
        <w:ind w:firstLine="0"/>
        <w:rPr>
          <w:rFonts w:cs="宋体" w:asciiTheme="majorEastAsia" w:hAnsiTheme="majorEastAsia" w:eastAsiaTheme="majorEastAsia"/>
          <w:b/>
          <w:color w:val="auto"/>
          <w:kern w:val="0"/>
          <w:sz w:val="32"/>
          <w:szCs w:val="32"/>
        </w:rPr>
      </w:pPr>
    </w:p>
    <w:p w14:paraId="176B4334">
      <w:pPr>
        <w:pStyle w:val="13"/>
        <w:ind w:firstLine="0"/>
        <w:rPr>
          <w:rFonts w:cs="宋体" w:asciiTheme="majorEastAsia" w:hAnsiTheme="majorEastAsia" w:eastAsiaTheme="majorEastAsia"/>
          <w:b/>
          <w:color w:val="auto"/>
          <w:kern w:val="0"/>
          <w:sz w:val="32"/>
          <w:szCs w:val="32"/>
        </w:rPr>
      </w:pPr>
    </w:p>
    <w:p w14:paraId="3F67AA17">
      <w:pPr>
        <w:autoSpaceDE w:val="0"/>
        <w:autoSpaceDN w:val="0"/>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2"/>
          <w:szCs w:val="32"/>
        </w:rPr>
        <w:t>第五章 政府采购政策功能</w:t>
      </w:r>
    </w:p>
    <w:p w14:paraId="10B0CF1C">
      <w:pPr>
        <w:pStyle w:val="19"/>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329C448F">
      <w:pPr>
        <w:pStyle w:val="19"/>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w:t>
      </w:r>
      <w:r>
        <w:rPr>
          <w:rFonts w:hint="eastAsia" w:cs="仿宋_GB2312" w:asciiTheme="minorEastAsia" w:hAnsiTheme="minorEastAsia" w:eastAsiaTheme="minorEastAsia"/>
          <w:b/>
          <w:color w:val="auto"/>
          <w:sz w:val="21"/>
          <w:szCs w:val="21"/>
        </w:rPr>
        <w:t>约</w:t>
      </w:r>
      <w:r>
        <w:rPr>
          <w:rFonts w:hint="eastAsia" w:cs="仿宋_GB2312" w:asciiTheme="minorEastAsia" w:hAnsiTheme="minorEastAsia" w:eastAsiaTheme="minorEastAsia"/>
          <w:b/>
          <w:color w:val="auto"/>
          <w:sz w:val="21"/>
          <w:szCs w:val="21"/>
          <w:lang w:val="zh-CN"/>
        </w:rPr>
        <w:t>能源、保护环境</w:t>
      </w:r>
    </w:p>
    <w:p w14:paraId="58081950">
      <w:pPr>
        <w:pStyle w:val="19"/>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w:t>
      </w:r>
      <w:r>
        <w:rPr>
          <w:rFonts w:hint="eastAsia" w:cs="仿宋_GB2312" w:asciiTheme="minorEastAsia" w:hAnsiTheme="minorEastAsia" w:eastAsiaTheme="minorEastAsia"/>
          <w:color w:val="auto"/>
          <w:sz w:val="21"/>
          <w:szCs w:val="21"/>
          <w:lang w:eastAsia="zh-CN"/>
        </w:rPr>
        <w:t>〔2019〕18号</w:t>
      </w:r>
      <w:r>
        <w:rPr>
          <w:rFonts w:hint="eastAsia" w:cs="仿宋_GB2312" w:asciiTheme="minorEastAsia" w:hAnsiTheme="minorEastAsia" w:eastAsiaTheme="minorEastAsia"/>
          <w:color w:val="auto"/>
          <w:sz w:val="21"/>
          <w:szCs w:val="21"/>
        </w:rPr>
        <w:t>）以及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w:t>
      </w:r>
      <w:r>
        <w:rPr>
          <w:rFonts w:hint="eastAsia" w:cs="仿宋_GB2312" w:asciiTheme="minorEastAsia" w:hAnsiTheme="minorEastAsia" w:eastAsiaTheme="minorEastAsia"/>
          <w:color w:val="auto"/>
          <w:sz w:val="21"/>
          <w:szCs w:val="21"/>
          <w:lang w:eastAsia="zh-CN"/>
        </w:rPr>
        <w:t>〔2019〕19号</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2C9FA0CB">
      <w:pPr>
        <w:pStyle w:val="19"/>
        <w:numPr>
          <w:ilvl w:val="0"/>
          <w:numId w:val="12"/>
        </w:numPr>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b/>
          <w:color w:val="auto"/>
          <w:sz w:val="21"/>
          <w:szCs w:val="21"/>
          <w:lang w:val="zh-CN"/>
        </w:rPr>
        <w:t>促进中小企业发展（不含民办非企业）</w:t>
      </w:r>
    </w:p>
    <w:p w14:paraId="1ACFF8C7">
      <w:pPr>
        <w:pStyle w:val="19"/>
        <w:spacing w:line="360" w:lineRule="auto"/>
        <w:ind w:left="420" w:leftChars="200"/>
        <w:contextualSpacing/>
        <w:rPr>
          <w:rFonts w:cs="仿宋_GB2312" w:asciiTheme="minorEastAsia" w:hAnsiTheme="minorEastAsia"/>
          <w:bCs/>
          <w:color w:val="auto"/>
          <w:sz w:val="21"/>
          <w:szCs w:val="21"/>
          <w:lang w:val="zh-CN"/>
        </w:rPr>
      </w:pPr>
      <w:r>
        <w:rPr>
          <w:rFonts w:hint="eastAsia" w:cs="仿宋_GB2312" w:asciiTheme="minorEastAsia" w:hAnsiTheme="minorEastAsia"/>
          <w:bCs/>
          <w:color w:val="auto"/>
          <w:sz w:val="21"/>
          <w:szCs w:val="21"/>
          <w:lang w:val="zh-CN"/>
        </w:rPr>
        <w:t xml:space="preserve">（一）专门面向中小企业预留采购份额（不再执行价格评审优惠的扶持政策） </w:t>
      </w:r>
    </w:p>
    <w:p w14:paraId="614410AC">
      <w:pPr>
        <w:pStyle w:val="19"/>
        <w:spacing w:line="360" w:lineRule="auto"/>
        <w:ind w:left="420" w:leftChars="200"/>
        <w:contextualSpacing/>
        <w:rPr>
          <w:rFonts w:cs="仿宋_GB2312" w:asciiTheme="minorEastAsia" w:hAnsiTheme="minorEastAsia"/>
          <w:bCs/>
          <w:color w:val="auto"/>
          <w:sz w:val="21"/>
          <w:szCs w:val="21"/>
          <w:lang w:val="zh-CN"/>
        </w:rPr>
      </w:pPr>
      <w:r>
        <w:rPr>
          <w:rFonts w:hint="eastAsia" w:cs="仿宋_GB2312" w:asciiTheme="minorEastAsia" w:hAnsiTheme="minorEastAsia"/>
          <w:bCs/>
          <w:color w:val="auto"/>
          <w:sz w:val="21"/>
          <w:szCs w:val="21"/>
          <w:lang w:val="zh-CN"/>
        </w:rPr>
        <w:t>（二）非专门面向中小企业预留采购份额</w:t>
      </w:r>
    </w:p>
    <w:p w14:paraId="7315156D">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根据财政部、工业和信息化部《政府采购促进中小企业发展管理办法》（财库〔2020〕46号）、</w:t>
      </w:r>
      <w:r>
        <w:rPr>
          <w:rFonts w:hint="eastAsia" w:cs="仿宋_GB2312" w:asciiTheme="minorEastAsia" w:hAnsiTheme="minorEastAsia"/>
          <w:color w:val="auto"/>
          <w:szCs w:val="21"/>
        </w:rPr>
        <w:t>《关于进一步加大政府采购支持中小企业力度的通知》（财库〔2022〕19号）</w:t>
      </w:r>
      <w:r>
        <w:rPr>
          <w:rFonts w:hint="eastAsia" w:cs="仿宋_GB2312" w:asciiTheme="minorEastAsia" w:hAnsiTheme="minorEastAsia"/>
          <w:color w:val="auto"/>
          <w:szCs w:val="21"/>
          <w:lang w:val="zh-CN"/>
        </w:rPr>
        <w:t>规定，对符合该办法规定的小型和微型企业报价给予</w:t>
      </w:r>
      <w:r>
        <w:rPr>
          <w:rFonts w:hint="eastAsia" w:cs="仿宋_GB2312" w:asciiTheme="minorEastAsia" w:hAnsiTheme="minorEastAsia"/>
          <w:color w:val="auto"/>
          <w:szCs w:val="21"/>
        </w:rPr>
        <w:t>5%</w:t>
      </w:r>
      <w:r>
        <w:rPr>
          <w:rFonts w:hint="eastAsia" w:cs="仿宋_GB2312" w:asciiTheme="minorEastAsia" w:hAnsiTheme="minorEastAsia"/>
          <w:color w:val="auto"/>
          <w:szCs w:val="21"/>
          <w:lang w:val="zh-CN"/>
        </w:rPr>
        <w:t>的扣除，用扣除后的价格参与评审。</w:t>
      </w:r>
    </w:p>
    <w:p w14:paraId="1642A0F4">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2、在货物采购项目中，供应商提供的货物既有中小企业制造货物，也有大型企业制造货物的，不享受</w:t>
      </w:r>
      <w:r>
        <w:rPr>
          <w:rFonts w:hint="eastAsia" w:cs="仿宋_GB2312" w:asciiTheme="minorEastAsia" w:hAnsiTheme="minorEastAsia"/>
          <w:color w:val="auto"/>
          <w:szCs w:val="21"/>
          <w:lang w:val="zh-CN"/>
        </w:rPr>
        <w:t>《政府采购促进中小企业发展管理办法》（财库〔2020〕46号）</w:t>
      </w:r>
      <w:r>
        <w:rPr>
          <w:rFonts w:hint="eastAsia" w:cs="仿宋_GB2312" w:asciiTheme="minorEastAsia" w:hAnsiTheme="minorEastAsia"/>
          <w:color w:val="auto"/>
          <w:szCs w:val="21"/>
        </w:rPr>
        <w:t>规定的中小企业扶持政策。</w:t>
      </w:r>
    </w:p>
    <w:p w14:paraId="388564E5">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3、以联合体形式参加政府采购活动，联合体各方均为中小企业的，联合体视同中小企业。其中，联合体各方均为小微企业的，联合体视同小微企业。</w:t>
      </w:r>
    </w:p>
    <w:p w14:paraId="24F37A84">
      <w:pPr>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3FE0A59">
      <w:pPr>
        <w:topLinePunct/>
        <w:spacing w:line="360" w:lineRule="auto"/>
        <w:ind w:firstLine="420" w:firstLineChars="200"/>
        <w:contextualSpacing/>
        <w:rPr>
          <w:rFonts w:cs="仿宋_GB2312" w:asciiTheme="minorEastAsia" w:hAnsiTheme="minorEastAsia"/>
          <w:color w:val="auto"/>
          <w:szCs w:val="21"/>
        </w:rPr>
      </w:pPr>
      <w:r>
        <w:rPr>
          <w:rFonts w:hint="eastAsia" w:cs="仿宋_GB2312" w:asciiTheme="minorEastAsia" w:hAnsiTheme="minorEastAsia"/>
          <w:color w:val="auto"/>
          <w:szCs w:val="21"/>
        </w:rPr>
        <w:t>5、按照本次采购标的所属行业的划定标准，符合条件的中小企业应按照招标文件格式要求提供《中小企业声明函》，否则不得享受相关中小企业扶持政策。</w:t>
      </w:r>
    </w:p>
    <w:p w14:paraId="130F7800">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14:paraId="7CE456E6">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6" w:name="OLE_LINK6"/>
      <w:r>
        <w:rPr>
          <w:rFonts w:hint="eastAsia" w:cs="仿宋_GB2312" w:asciiTheme="minorEastAsia" w:hAnsiTheme="minorEastAsia"/>
          <w:color w:val="auto"/>
          <w:szCs w:val="21"/>
          <w:lang w:val="zh-CN"/>
        </w:rPr>
        <w:t>财库〔2014〕68号</w:t>
      </w:r>
      <w:bookmarkEnd w:id="6"/>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03ED7807">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14:paraId="44D920B1">
      <w:pPr>
        <w:pStyle w:val="19"/>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14:paraId="3A33A0FC">
      <w:pPr>
        <w:pStyle w:val="19"/>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B151FEE">
      <w:pPr>
        <w:pStyle w:val="19"/>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14:paraId="78D32EF8">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14:paraId="672E123A">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4A5111CA">
      <w:pPr>
        <w:topLinePunct/>
        <w:spacing w:line="360" w:lineRule="auto"/>
        <w:ind w:firstLine="420" w:firstLineChars="200"/>
        <w:contextualSpacing/>
        <w:rPr>
          <w:rFonts w:cs="宋体" w:asciiTheme="majorEastAsia" w:hAnsiTheme="majorEastAsia" w:eastAsiaTheme="majorEastAsia"/>
          <w:b/>
          <w:color w:val="auto"/>
          <w:kern w:val="0"/>
          <w:sz w:val="32"/>
          <w:szCs w:val="32"/>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428DE9CC">
      <w:pPr>
        <w:pStyle w:val="2"/>
        <w:ind w:firstLine="340"/>
        <w:rPr>
          <w:color w:val="auto"/>
        </w:rPr>
      </w:pPr>
    </w:p>
    <w:p w14:paraId="76720C2A">
      <w:pPr>
        <w:pStyle w:val="6"/>
        <w:ind w:left="420" w:firstLine="480"/>
        <w:rPr>
          <w:rFonts w:hint="default"/>
          <w:color w:val="auto"/>
          <w:lang w:eastAsia="zh-CN"/>
        </w:rPr>
      </w:pPr>
    </w:p>
    <w:p w14:paraId="45859436">
      <w:pPr>
        <w:rPr>
          <w:color w:val="auto"/>
        </w:rPr>
      </w:pPr>
    </w:p>
    <w:p w14:paraId="25FB1EFB">
      <w:pPr>
        <w:pStyle w:val="2"/>
        <w:ind w:firstLine="340"/>
        <w:rPr>
          <w:color w:val="auto"/>
        </w:rPr>
      </w:pPr>
    </w:p>
    <w:p w14:paraId="2DD00726">
      <w:pPr>
        <w:pStyle w:val="6"/>
        <w:ind w:left="420" w:firstLine="480"/>
        <w:rPr>
          <w:rFonts w:hint="default"/>
          <w:color w:val="auto"/>
          <w:lang w:eastAsia="zh-CN"/>
        </w:rPr>
      </w:pPr>
    </w:p>
    <w:p w14:paraId="7BBF530E">
      <w:pPr>
        <w:pStyle w:val="6"/>
        <w:ind w:left="420" w:firstLine="480"/>
        <w:rPr>
          <w:rFonts w:hint="default"/>
          <w:color w:val="auto"/>
          <w:lang w:eastAsia="zh-CN"/>
        </w:rPr>
      </w:pPr>
    </w:p>
    <w:p w14:paraId="01722C57">
      <w:pPr>
        <w:rPr>
          <w:color w:val="auto"/>
        </w:rPr>
      </w:pPr>
    </w:p>
    <w:p w14:paraId="5EF13A6F">
      <w:pPr>
        <w:pStyle w:val="2"/>
        <w:rPr>
          <w:color w:val="auto"/>
        </w:rPr>
      </w:pPr>
    </w:p>
    <w:p w14:paraId="67A09968">
      <w:pPr>
        <w:tabs>
          <w:tab w:val="left" w:pos="1260"/>
        </w:tabs>
        <w:autoSpaceDE w:val="0"/>
        <w:autoSpaceDN w:val="0"/>
        <w:adjustRightInd w:val="0"/>
        <w:spacing w:line="360" w:lineRule="auto"/>
        <w:contextualSpacing/>
        <w:jc w:val="center"/>
        <w:rPr>
          <w:rFonts w:cs="仿宋_GB2312" w:asciiTheme="minorEastAsia" w:hAnsiTheme="minorEastAsia"/>
          <w:color w:val="auto"/>
          <w:lang w:val="zh-CN"/>
        </w:rPr>
      </w:pPr>
      <w:r>
        <w:rPr>
          <w:rFonts w:hint="eastAsia" w:cs="宋体" w:asciiTheme="majorEastAsia" w:hAnsiTheme="majorEastAsia" w:eastAsiaTheme="majorEastAsia"/>
          <w:b/>
          <w:color w:val="auto"/>
          <w:kern w:val="0"/>
          <w:sz w:val="32"/>
          <w:szCs w:val="32"/>
        </w:rPr>
        <w:t>第六章 对响应文件审查与评审</w:t>
      </w:r>
    </w:p>
    <w:p w14:paraId="7F4AB7C5">
      <w:pPr>
        <w:pStyle w:val="19"/>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14:paraId="6DE88F0F">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谈判小组依法对供应商资格进行审查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（如符合《政府采购非招标采购方式管理办法》（财政部令第74号）第二十七条第二款中的</w:t>
      </w:r>
      <w:r>
        <w:rPr>
          <w:rFonts w:hint="eastAsia" w:ascii="Arial" w:hAnsi="Arial" w:cs="Arial"/>
          <w:color w:val="auto"/>
          <w:szCs w:val="21"/>
          <w:shd w:val="clear" w:color="auto" w:fill="FFFFFF"/>
        </w:rPr>
        <w:t>情形的，</w:t>
      </w:r>
      <w:r>
        <w:rPr>
          <w:rFonts w:hint="eastAsia" w:cs="宋体" w:asciiTheme="minorEastAsia" w:hAnsiTheme="minorEastAsia"/>
          <w:color w:val="auto"/>
          <w:kern w:val="0"/>
          <w:szCs w:val="21"/>
        </w:rPr>
        <w:t>供应商最低数量可以为两家）</w:t>
      </w:r>
    </w:p>
    <w:p w14:paraId="5D812644">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注：（1）资格证明材料（本栏所列内容为本项目的资格审查条件，如有一项不符合要求，则不能进入下一步评审）。</w:t>
      </w:r>
    </w:p>
    <w:p w14:paraId="72F92C4E">
      <w:pPr>
        <w:spacing w:line="360" w:lineRule="auto"/>
        <w:ind w:right="420" w:rightChars="200" w:firstLine="420" w:firstLineChars="200"/>
        <w:contextualSpacing/>
        <w:rPr>
          <w:rFonts w:asciiTheme="minorEastAsia" w:hAnsiTheme="minorEastAsia"/>
          <w:bCs/>
          <w:color w:val="auto"/>
          <w:szCs w:val="21"/>
          <w:lang w:val="zh-CN"/>
        </w:rPr>
      </w:pPr>
      <w:r>
        <w:rPr>
          <w:rFonts w:hint="eastAsia" w:asciiTheme="minorEastAsia" w:hAnsiTheme="minorEastAsia"/>
          <w:bCs/>
          <w:color w:val="auto"/>
          <w:szCs w:val="21"/>
          <w:lang w:val="zh-CN"/>
        </w:rPr>
        <w:t>（2）资格审查中所涉及的证书及材料，均须在电子投标文件中提供原件扫描件（或图片）。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544E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4EF44F0">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14:paraId="0469F34B">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14:paraId="4E33A414">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14:paraId="426A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2BB7ADB">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14:paraId="659C6C3F">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14:paraId="11186D9C">
            <w:pPr>
              <w:spacing w:line="360" w:lineRule="auto"/>
              <w:rPr>
                <w:rFonts w:asciiTheme="minorEastAsia" w:hAnsiTheme="minorEastAsia"/>
                <w:b/>
                <w:color w:val="auto"/>
                <w:szCs w:val="21"/>
              </w:rPr>
            </w:pPr>
            <w:r>
              <w:rPr>
                <w:rFonts w:hint="eastAsia" w:ascii="宋体" w:hAnsi="宋体" w:cs="微软雅黑"/>
                <w:bCs/>
                <w:color w:val="auto"/>
                <w:szCs w:val="21"/>
              </w:rPr>
              <w:t>参考谈判文件第八章3.1格式填写</w:t>
            </w:r>
          </w:p>
        </w:tc>
      </w:tr>
      <w:tr w14:paraId="7016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265803D">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14:paraId="08EC1E9E">
            <w:pPr>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禹州</w:t>
            </w:r>
            <w:r>
              <w:rPr>
                <w:rFonts w:cs="宋体" w:asciiTheme="minorEastAsia" w:hAnsiTheme="minorEastAsia"/>
                <w:b/>
                <w:color w:val="auto"/>
                <w:szCs w:val="21"/>
                <w:lang w:val="zh-CN"/>
              </w:rPr>
              <w:t>市政府采购</w:t>
            </w:r>
          </w:p>
          <w:p w14:paraId="2AA39476">
            <w:pPr>
              <w:spacing w:line="360" w:lineRule="auto"/>
              <w:jc w:val="center"/>
              <w:rPr>
                <w:rFonts w:cs="宋体" w:asciiTheme="minorEastAsia" w:hAnsiTheme="minorEastAsia"/>
                <w:b/>
                <w:color w:val="auto"/>
                <w:szCs w:val="21"/>
                <w:lang w:val="zh-CN"/>
              </w:rPr>
            </w:pPr>
            <w:r>
              <w:rPr>
                <w:rFonts w:cs="宋体" w:asciiTheme="minorEastAsia" w:hAnsiTheme="minorEastAsia"/>
                <w:b/>
                <w:color w:val="auto"/>
                <w:szCs w:val="21"/>
                <w:lang w:val="zh-CN"/>
              </w:rPr>
              <w:t>供应商信用承诺函</w:t>
            </w:r>
          </w:p>
        </w:tc>
        <w:tc>
          <w:tcPr>
            <w:tcW w:w="5954" w:type="dxa"/>
            <w:vAlign w:val="center"/>
          </w:tcPr>
          <w:p w14:paraId="7EDECBD6">
            <w:pPr>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按照招标文件第八章3.</w:t>
            </w:r>
            <w:r>
              <w:rPr>
                <w:rFonts w:hint="eastAsia" w:cs="宋体" w:asciiTheme="minorEastAsia" w:hAnsiTheme="minorEastAsia"/>
                <w:bCs/>
                <w:color w:val="auto"/>
                <w:szCs w:val="21"/>
              </w:rPr>
              <w:t>4</w:t>
            </w:r>
            <w:r>
              <w:rPr>
                <w:rFonts w:hint="eastAsia" w:cs="宋体" w:asciiTheme="minorEastAsia" w:hAnsiTheme="minorEastAsia"/>
                <w:bCs/>
                <w:color w:val="auto"/>
                <w:szCs w:val="21"/>
                <w:lang w:val="zh-CN"/>
              </w:rPr>
              <w:t>格式填写</w:t>
            </w:r>
          </w:p>
        </w:tc>
      </w:tr>
      <w:tr w14:paraId="1514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FBA9FD4">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14:paraId="35FB3FBE">
            <w:pPr>
              <w:spacing w:line="360" w:lineRule="auto"/>
              <w:jc w:val="center"/>
              <w:rPr>
                <w:rFonts w:asciiTheme="minorEastAsia" w:hAnsiTheme="minorEastAsia"/>
                <w:b/>
                <w:color w:val="auto"/>
                <w:szCs w:val="21"/>
              </w:rPr>
            </w:pPr>
            <w:r>
              <w:rPr>
                <w:rFonts w:hint="eastAsia" w:asciiTheme="minorEastAsia" w:hAnsiTheme="minorEastAsia"/>
                <w:b/>
                <w:bCs/>
                <w:color w:val="auto"/>
                <w:szCs w:val="21"/>
              </w:rPr>
              <w:t>中小企业</w:t>
            </w:r>
          </w:p>
        </w:tc>
        <w:tc>
          <w:tcPr>
            <w:tcW w:w="5954" w:type="dxa"/>
            <w:vAlign w:val="center"/>
          </w:tcPr>
          <w:p w14:paraId="3A7D7D9B">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（1）中小型企业出具《中小企业声明函》</w:t>
            </w:r>
          </w:p>
          <w:p w14:paraId="2F1613E2">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（2）残疾人福利性单位出具《残疾人福利企业声明函》</w:t>
            </w:r>
          </w:p>
          <w:p w14:paraId="082BF0D3">
            <w:pPr>
              <w:spacing w:line="360" w:lineRule="auto"/>
              <w:jc w:val="left"/>
              <w:rPr>
                <w:rFonts w:asciiTheme="minorEastAsia" w:hAnsiTheme="minorEastAsia"/>
                <w:bCs/>
                <w:color w:val="auto"/>
                <w:szCs w:val="21"/>
              </w:rPr>
            </w:pPr>
            <w:r>
              <w:rPr>
                <w:rFonts w:hint="eastAsia" w:asciiTheme="minorEastAsia" w:hAnsiTheme="minorEastAsia"/>
                <w:bCs/>
                <w:color w:val="auto"/>
                <w:szCs w:val="21"/>
              </w:rPr>
              <w:t xml:space="preserve">（3）监狱企业提供由省级以上监狱管理局、戒毒管理局（含新 </w:t>
            </w:r>
          </w:p>
          <w:p w14:paraId="24F439EE">
            <w:pPr>
              <w:spacing w:line="360" w:lineRule="auto"/>
              <w:jc w:val="left"/>
              <w:rPr>
                <w:rFonts w:asciiTheme="minorEastAsia" w:hAnsiTheme="minorEastAsia"/>
                <w:bCs/>
                <w:color w:val="auto"/>
                <w:szCs w:val="21"/>
              </w:rPr>
            </w:pPr>
            <w:r>
              <w:rPr>
                <w:rFonts w:hint="eastAsia" w:asciiTheme="minorEastAsia" w:hAnsiTheme="minorEastAsia"/>
                <w:bCs/>
                <w:color w:val="auto"/>
                <w:szCs w:val="21"/>
              </w:rPr>
              <w:t>疆生产建设兵团）出具的属于监狱企业的证明文件</w:t>
            </w:r>
          </w:p>
        </w:tc>
      </w:tr>
      <w:tr w14:paraId="06B2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031B84A">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14:paraId="1FCC3BB2">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供应商具备的特殊资质证书</w:t>
            </w:r>
          </w:p>
        </w:tc>
        <w:tc>
          <w:tcPr>
            <w:tcW w:w="5954" w:type="dxa"/>
            <w:vAlign w:val="center"/>
          </w:tcPr>
          <w:p w14:paraId="4A1612E5">
            <w:pPr>
              <w:spacing w:line="360" w:lineRule="auto"/>
              <w:jc w:val="left"/>
              <w:rPr>
                <w:rFonts w:asciiTheme="minorEastAsia" w:hAnsiTheme="minorEastAsia"/>
                <w:bCs/>
                <w:color w:val="auto"/>
                <w:szCs w:val="21"/>
              </w:rPr>
            </w:pPr>
            <w:r>
              <w:rPr>
                <w:rFonts w:hint="eastAsia" w:asciiTheme="minorEastAsia" w:hAnsiTheme="minorEastAsia"/>
                <w:bCs/>
                <w:color w:val="auto"/>
                <w:szCs w:val="21"/>
              </w:rPr>
              <w:t>详见谈判公告</w:t>
            </w:r>
          </w:p>
        </w:tc>
      </w:tr>
      <w:tr w14:paraId="6362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3A10A41">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14:paraId="4B7F9AC1">
            <w:pPr>
              <w:spacing w:line="360" w:lineRule="auto"/>
              <w:jc w:val="center"/>
              <w:rPr>
                <w:rFonts w:asciiTheme="minorEastAsia" w:hAnsiTheme="minorEastAsia"/>
                <w:b/>
                <w:color w:val="auto"/>
                <w:szCs w:val="21"/>
              </w:rPr>
            </w:pPr>
            <w:r>
              <w:rPr>
                <w:rFonts w:hint="eastAsia" w:asciiTheme="minorEastAsia" w:hAnsiTheme="minorEastAsia"/>
                <w:b/>
                <w:color w:val="auto"/>
                <w:szCs w:val="21"/>
              </w:rPr>
              <w:t>谈判</w:t>
            </w:r>
            <w:r>
              <w:rPr>
                <w:rFonts w:hint="eastAsia" w:cs="仿宋_GB2312" w:asciiTheme="minorEastAsia" w:hAnsiTheme="minorEastAsia"/>
                <w:b/>
                <w:color w:val="auto"/>
                <w:szCs w:val="21"/>
                <w:lang w:val="zh-CN"/>
              </w:rPr>
              <w:t>报价</w:t>
            </w:r>
          </w:p>
        </w:tc>
        <w:tc>
          <w:tcPr>
            <w:tcW w:w="5954" w:type="dxa"/>
          </w:tcPr>
          <w:p w14:paraId="46B65165">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响应报价是否超出谈判文件中规定的最高限价，超出最高限价的报价无效。</w:t>
            </w:r>
          </w:p>
        </w:tc>
      </w:tr>
      <w:tr w14:paraId="7C27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1D9060EC">
            <w:pPr>
              <w:spacing w:line="360" w:lineRule="auto"/>
              <w:jc w:val="center"/>
              <w:rPr>
                <w:rFonts w:asciiTheme="minorEastAsia" w:hAnsiTheme="minorEastAsia"/>
                <w:b/>
                <w:color w:val="auto"/>
                <w:szCs w:val="21"/>
              </w:rPr>
            </w:pPr>
            <w:r>
              <w:rPr>
                <w:rFonts w:hint="eastAsia" w:asciiTheme="minorEastAsia" w:hAnsiTheme="minorEastAsia"/>
                <w:b/>
                <w:color w:val="auto"/>
                <w:szCs w:val="21"/>
              </w:rPr>
              <w:t>6</w:t>
            </w:r>
          </w:p>
        </w:tc>
        <w:tc>
          <w:tcPr>
            <w:tcW w:w="2410" w:type="dxa"/>
            <w:vAlign w:val="center"/>
          </w:tcPr>
          <w:p w14:paraId="081FAE5C">
            <w:pPr>
              <w:spacing w:line="360" w:lineRule="auto"/>
              <w:jc w:val="center"/>
              <w:rPr>
                <w:rFonts w:asciiTheme="minorEastAsia" w:hAnsiTheme="minorEastAsia"/>
                <w:b/>
                <w:color w:val="auto"/>
                <w:szCs w:val="21"/>
              </w:rPr>
            </w:pPr>
            <w:r>
              <w:rPr>
                <w:rFonts w:hint="eastAsia" w:asciiTheme="minorEastAsia" w:hAnsiTheme="minorEastAsia"/>
                <w:b/>
                <w:color w:val="auto"/>
                <w:szCs w:val="21"/>
              </w:rPr>
              <w:t>谈判承诺函</w:t>
            </w:r>
          </w:p>
        </w:tc>
        <w:tc>
          <w:tcPr>
            <w:tcW w:w="5954" w:type="dxa"/>
            <w:vAlign w:val="center"/>
          </w:tcPr>
          <w:p w14:paraId="253A5197">
            <w:pPr>
              <w:spacing w:line="360" w:lineRule="auto"/>
              <w:rPr>
                <w:rFonts w:asciiTheme="minorEastAsia" w:hAnsiTheme="minorEastAsia"/>
                <w:b/>
                <w:color w:val="auto"/>
                <w:szCs w:val="21"/>
              </w:rPr>
            </w:pPr>
            <w:r>
              <w:rPr>
                <w:rFonts w:hint="eastAsia" w:asciiTheme="minorEastAsia" w:hAnsiTheme="minorEastAsia"/>
                <w:color w:val="auto"/>
                <w:szCs w:val="21"/>
              </w:rPr>
              <w:t>供应商以谈判承诺函的形式替代谈判保证金。</w:t>
            </w:r>
          </w:p>
        </w:tc>
      </w:tr>
      <w:tr w14:paraId="0A6F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88CCDBD">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7</w:t>
            </w:r>
          </w:p>
        </w:tc>
        <w:tc>
          <w:tcPr>
            <w:tcW w:w="2410" w:type="dxa"/>
            <w:vAlign w:val="center"/>
          </w:tcPr>
          <w:p w14:paraId="415CDC5A">
            <w:pPr>
              <w:spacing w:line="360" w:lineRule="auto"/>
              <w:jc w:val="center"/>
              <w:rPr>
                <w:rFonts w:asciiTheme="minorEastAsia" w:hAnsiTheme="minorEastAsia"/>
                <w:b/>
                <w:color w:val="auto"/>
                <w:szCs w:val="21"/>
              </w:rPr>
            </w:pPr>
            <w:r>
              <w:rPr>
                <w:rFonts w:hint="eastAsia" w:asciiTheme="minorEastAsia" w:hAnsiTheme="minorEastAsia"/>
                <w:b/>
                <w:color w:val="auto"/>
                <w:szCs w:val="21"/>
              </w:rPr>
              <w:t>联合体协议</w:t>
            </w:r>
          </w:p>
        </w:tc>
        <w:tc>
          <w:tcPr>
            <w:tcW w:w="5954" w:type="dxa"/>
          </w:tcPr>
          <w:p w14:paraId="3F0A272F">
            <w:pPr>
              <w:spacing w:line="360" w:lineRule="auto"/>
              <w:rPr>
                <w:rFonts w:asciiTheme="minorEastAsia" w:hAnsiTheme="minorEastAsia"/>
                <w:b/>
                <w:bCs/>
                <w:color w:val="auto"/>
                <w:szCs w:val="21"/>
              </w:rPr>
            </w:pPr>
            <w:r>
              <w:rPr>
                <w:rFonts w:hint="eastAsia" w:asciiTheme="minorEastAsia" w:hAnsiTheme="minorEastAsia"/>
                <w:bCs/>
                <w:color w:val="auto"/>
                <w:szCs w:val="21"/>
              </w:rPr>
              <w:t>谈判文件接收联合体响应且供应商为联合体的，供应商应提供本协议；否则无须提供。</w:t>
            </w:r>
          </w:p>
        </w:tc>
      </w:tr>
      <w:tr w14:paraId="1E3E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999CE23">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8</w:t>
            </w:r>
          </w:p>
        </w:tc>
        <w:tc>
          <w:tcPr>
            <w:tcW w:w="2410" w:type="dxa"/>
            <w:vAlign w:val="center"/>
          </w:tcPr>
          <w:p w14:paraId="3EFE4995">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14:paraId="25A375C1">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14:paraId="1444D2CD">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14:paraId="397A8993">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注：</w:t>
            </w:r>
          </w:p>
          <w:p w14:paraId="7EDDF7A8">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①企业（银行、保险、石油石化、电力、电信等行业除外）、事业单位和社会团体以法人身份参加谈判的，法定代表人应与实际提交的“营业执照等证明文件”载明的一致。</w:t>
            </w:r>
          </w:p>
          <w:p w14:paraId="0186221E">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35F1BE60">
            <w:pPr>
              <w:spacing w:line="360" w:lineRule="auto"/>
              <w:rPr>
                <w:rFonts w:asciiTheme="minorEastAsia" w:hAnsiTheme="minorEastAsia"/>
                <w:b/>
                <w:color w:val="auto"/>
                <w:szCs w:val="21"/>
              </w:rPr>
            </w:pPr>
            <w:r>
              <w:rPr>
                <w:rFonts w:hint="eastAsia" w:cs="仿宋_GB2312" w:asciiTheme="minorEastAsia" w:hAnsiTheme="minorEastAsia"/>
                <w:color w:val="auto"/>
                <w:szCs w:val="21"/>
                <w:lang w:val="zh-CN"/>
              </w:rPr>
              <w:t>③供应商为自然人的，无需填写法定代表人授权书。</w:t>
            </w:r>
          </w:p>
        </w:tc>
      </w:tr>
      <w:tr w14:paraId="487F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2CC1AD2">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9</w:t>
            </w:r>
          </w:p>
        </w:tc>
        <w:tc>
          <w:tcPr>
            <w:tcW w:w="2410" w:type="dxa"/>
            <w:vAlign w:val="center"/>
          </w:tcPr>
          <w:p w14:paraId="50B3C2C4">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14:paraId="7824F1DB">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供应商提供与参加本项目响应的其他供应商之间，单位负责人不为同一人并且不存在直接控股、管理关系承诺函（承诺函格式自拟）。</w:t>
            </w:r>
          </w:p>
          <w:p w14:paraId="2DC6927F">
            <w:pPr>
              <w:spacing w:line="360" w:lineRule="auto"/>
              <w:rPr>
                <w:rFonts w:cs="仿宋_GB2312" w:asciiTheme="minorEastAsia" w:hAnsiTheme="minorEastAsia"/>
                <w:color w:val="auto"/>
                <w:szCs w:val="21"/>
                <w:lang w:val="zh-CN"/>
              </w:rPr>
            </w:pPr>
          </w:p>
        </w:tc>
      </w:tr>
      <w:tr w14:paraId="69B5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4462943">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10</w:t>
            </w:r>
          </w:p>
        </w:tc>
        <w:tc>
          <w:tcPr>
            <w:tcW w:w="2410" w:type="dxa"/>
            <w:vAlign w:val="center"/>
          </w:tcPr>
          <w:p w14:paraId="64D189A1">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为本项目提供整体设计、规范编制或者项目管理、监理、检测等服务的供应商不得参加本项目响应</w:t>
            </w:r>
          </w:p>
        </w:tc>
        <w:tc>
          <w:tcPr>
            <w:tcW w:w="5954" w:type="dxa"/>
          </w:tcPr>
          <w:p w14:paraId="2A788652">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14:paraId="56FAFD4D">
            <w:pPr>
              <w:spacing w:line="360" w:lineRule="auto"/>
              <w:rPr>
                <w:rFonts w:asciiTheme="minorEastAsia" w:hAnsiTheme="minorEastAsia"/>
                <w:bCs/>
                <w:color w:val="auto"/>
                <w:szCs w:val="21"/>
              </w:rPr>
            </w:pPr>
          </w:p>
        </w:tc>
      </w:tr>
    </w:tbl>
    <w:p w14:paraId="3DFCF2BA">
      <w:pPr>
        <w:pStyle w:val="19"/>
        <w:spacing w:line="380" w:lineRule="exact"/>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二、对响应文件评审</w:t>
      </w:r>
    </w:p>
    <w:p w14:paraId="5D5410C3">
      <w:pPr>
        <w:pStyle w:val="19"/>
        <w:spacing w:line="380" w:lineRule="exact"/>
        <w:ind w:firstLine="422" w:firstLineChars="200"/>
        <w:contextualSpacing/>
        <w:rPr>
          <w:rFonts w:asciiTheme="minorEastAsia" w:hAnsiTheme="minorEastAsia" w:eastAsiaTheme="minorEastAsia"/>
          <w:bCs/>
          <w:color w:val="auto"/>
          <w:sz w:val="21"/>
          <w:szCs w:val="21"/>
        </w:rPr>
      </w:pPr>
      <w:r>
        <w:rPr>
          <w:rFonts w:hint="eastAsia" w:cs="仿宋_GB2312" w:asciiTheme="minorEastAsia" w:hAnsiTheme="minorEastAsia" w:eastAsiaTheme="minorEastAsia"/>
          <w:b/>
          <w:color w:val="auto"/>
          <w:sz w:val="21"/>
          <w:szCs w:val="21"/>
          <w:lang w:val="zh-CN"/>
        </w:rPr>
        <w:t>（一）审查响应文件</w:t>
      </w:r>
    </w:p>
    <w:p w14:paraId="6ADFB530">
      <w:pPr>
        <w:pStyle w:val="19"/>
        <w:spacing w:line="380" w:lineRule="exact"/>
        <w:ind w:firstLine="422" w:firstLineChars="200"/>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审查</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文件是否符合</w:t>
      </w:r>
      <w:r>
        <w:rPr>
          <w:rFonts w:hint="eastAsia" w:cs="仿宋_GB2312" w:asciiTheme="minorEastAsia" w:hAnsiTheme="minorEastAsia" w:eastAsiaTheme="minorEastAsia"/>
          <w:b/>
          <w:color w:val="auto"/>
          <w:sz w:val="21"/>
          <w:szCs w:val="21"/>
          <w:lang w:val="zh-CN"/>
        </w:rPr>
        <w:t>谈判</w:t>
      </w:r>
      <w:r>
        <w:rPr>
          <w:rFonts w:cs="仿宋_GB2312" w:asciiTheme="minorEastAsia" w:hAnsiTheme="minorEastAsia" w:eastAsiaTheme="minorEastAsia"/>
          <w:b/>
          <w:color w:val="auto"/>
          <w:sz w:val="21"/>
          <w:szCs w:val="21"/>
          <w:lang w:val="zh-CN"/>
        </w:rPr>
        <w:t>文件的商务、技术等实质性要求；</w:t>
      </w:r>
    </w:p>
    <w:p w14:paraId="1D00185D">
      <w:pPr>
        <w:pStyle w:val="19"/>
        <w:spacing w:line="380" w:lineRule="exact"/>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谈判小组对符合资格的投标人的响应文件进行审查，以确定其是否满足谈判文件的商务、技术等实质性要求。</w:t>
      </w:r>
    </w:p>
    <w:p w14:paraId="7E2615E1">
      <w:pPr>
        <w:pStyle w:val="19"/>
        <w:spacing w:line="380" w:lineRule="exact"/>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注：审查中所涉及的证书及材料，均应在电子响应文件中提供原件扫描件（或图片）。</w:t>
      </w:r>
    </w:p>
    <w:p w14:paraId="5C136E70">
      <w:pPr>
        <w:pStyle w:val="19"/>
        <w:spacing w:line="380" w:lineRule="exact"/>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2、</w:t>
      </w:r>
      <w:r>
        <w:rPr>
          <w:rFonts w:cs="仿宋_GB2312" w:asciiTheme="minorEastAsia" w:hAnsiTheme="minorEastAsia" w:eastAsiaTheme="minorEastAsia"/>
          <w:b/>
          <w:color w:val="auto"/>
          <w:sz w:val="21"/>
          <w:szCs w:val="21"/>
          <w:lang w:val="zh-CN"/>
        </w:rPr>
        <w:t>要求</w:t>
      </w:r>
      <w:r>
        <w:rPr>
          <w:rFonts w:hint="eastAsia" w:cs="仿宋_GB2312" w:asciiTheme="minorEastAsia" w:hAnsiTheme="minorEastAsia" w:eastAsiaTheme="minorEastAsia"/>
          <w:b/>
          <w:color w:val="auto"/>
          <w:sz w:val="21"/>
          <w:szCs w:val="21"/>
          <w:lang w:val="zh-CN"/>
        </w:rPr>
        <w:t>供应商</w:t>
      </w:r>
      <w:r>
        <w:rPr>
          <w:rFonts w:cs="仿宋_GB2312" w:asciiTheme="minorEastAsia" w:hAnsiTheme="minorEastAsia" w:eastAsiaTheme="minorEastAsia"/>
          <w:b/>
          <w:color w:val="auto"/>
          <w:sz w:val="21"/>
          <w:szCs w:val="21"/>
          <w:lang w:val="zh-CN"/>
        </w:rPr>
        <w:t>对</w:t>
      </w:r>
      <w:r>
        <w:rPr>
          <w:rFonts w:hint="eastAsia" w:cs="仿宋_GB2312" w:asciiTheme="minorEastAsia" w:hAnsiTheme="minorEastAsia" w:eastAsiaTheme="minorEastAsia"/>
          <w:b/>
          <w:color w:val="auto"/>
          <w:sz w:val="21"/>
          <w:szCs w:val="21"/>
          <w:lang w:val="zh-CN"/>
        </w:rPr>
        <w:t>响应</w:t>
      </w:r>
      <w:r>
        <w:rPr>
          <w:rFonts w:cs="仿宋_GB2312" w:asciiTheme="minorEastAsia" w:hAnsiTheme="minorEastAsia" w:eastAsiaTheme="minorEastAsia"/>
          <w:b/>
          <w:color w:val="auto"/>
          <w:sz w:val="21"/>
          <w:szCs w:val="21"/>
          <w:lang w:val="zh-CN"/>
        </w:rPr>
        <w:t>文件有关事项作出澄清或者说明；</w:t>
      </w:r>
    </w:p>
    <w:p w14:paraId="6F4DF197">
      <w:pPr>
        <w:pStyle w:val="19"/>
        <w:spacing w:line="380" w:lineRule="exact"/>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DC2FE8">
      <w:pPr>
        <w:pStyle w:val="19"/>
        <w:spacing w:line="380" w:lineRule="exact"/>
        <w:ind w:firstLine="420" w:firstLineChars="200"/>
        <w:contextualSpacing/>
        <w:rPr>
          <w:rFonts w:ascii="Arial" w:hAnsi="Arial" w:cs="Arial"/>
          <w:color w:val="auto"/>
          <w:sz w:val="21"/>
          <w:szCs w:val="21"/>
          <w:shd w:val="clear" w:color="auto" w:fill="FFFFFF"/>
        </w:rPr>
      </w:pPr>
      <w:r>
        <w:rPr>
          <w:rFonts w:hint="eastAsia" w:ascii="Arial" w:hAnsi="Arial" w:cs="Arial"/>
          <w:color w:val="auto"/>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527EAA9">
      <w:pPr>
        <w:pStyle w:val="19"/>
        <w:spacing w:line="360" w:lineRule="auto"/>
        <w:ind w:firstLine="422" w:firstLineChars="200"/>
        <w:contextualSpacing/>
        <w:rPr>
          <w:rFonts w:ascii="宋体" w:hAnsi="宋体" w:cs="仿宋_GB2312"/>
          <w:b/>
          <w:color w:val="auto"/>
          <w:sz w:val="21"/>
          <w:szCs w:val="21"/>
          <w:lang w:val="zh-CN"/>
        </w:rPr>
      </w:pPr>
      <w:r>
        <w:rPr>
          <w:rFonts w:ascii="宋体" w:hAnsi="宋体" w:cs="仿宋_GB2312"/>
          <w:b/>
          <w:color w:val="auto"/>
          <w:sz w:val="21"/>
          <w:szCs w:val="21"/>
          <w:lang w:val="zh-CN"/>
        </w:rPr>
        <w:t>3、投标无效情形</w:t>
      </w:r>
    </w:p>
    <w:p w14:paraId="17EFCF0B">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1）供应商应当遵循公平竞争的原则，不得恶意串通，不得妨碍其他投标人的竞争行为，不得损害采购人或者其他投标人的合法权益。在评标过程中发现投标人有上述情形的，谈判小组应当认定其投标无效。</w:t>
      </w:r>
    </w:p>
    <w:p w14:paraId="7A2BF419">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2）符合性审查资料未按采购文件要求签署、盖章的；</w:t>
      </w:r>
    </w:p>
    <w:p w14:paraId="32CF6C08">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3）有下列情形之一的，视为投标人串通投标，其投标无效：</w:t>
      </w:r>
    </w:p>
    <w:p w14:paraId="2ECB5C94">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a.不同供应商的投标文件由同一单位或者个人编制；</w:t>
      </w:r>
    </w:p>
    <w:p w14:paraId="5913176F">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b.不同供应商委托同一单位或者个人办理投标事宜；</w:t>
      </w:r>
    </w:p>
    <w:p w14:paraId="015703FE">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c.不同供应商的投标文件载明的项目管理成员或者联系人员为同一人；</w:t>
      </w:r>
    </w:p>
    <w:p w14:paraId="6C4AD83D">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d.不同供应商的投标文件异常一致或者投标报价呈规律性差异；</w:t>
      </w:r>
    </w:p>
    <w:p w14:paraId="1C4BA918">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e.不同供应商的投标文件相互混装；</w:t>
      </w:r>
    </w:p>
    <w:p w14:paraId="634E3FF7">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E1F6C71">
      <w:pPr>
        <w:pStyle w:val="19"/>
        <w:spacing w:line="360" w:lineRule="auto"/>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5）法律法规和招标文件规定的其他无效情形。</w:t>
      </w:r>
    </w:p>
    <w:p w14:paraId="5CBF651D">
      <w:pPr>
        <w:pStyle w:val="19"/>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三、评审方法</w:t>
      </w:r>
    </w:p>
    <w:p w14:paraId="4D2238E3">
      <w:pPr>
        <w:wordWrap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从质量和服务均能满足采购文件实质性响应要求的供应商中，按照报价由低到高的顺序提出</w:t>
      </w:r>
      <w:r>
        <w:rPr>
          <w:rFonts w:cs="仿宋_GB2312" w:asciiTheme="minorEastAsia" w:hAnsiTheme="minorEastAsia"/>
          <w:color w:val="auto"/>
          <w:szCs w:val="21"/>
          <w:lang w:val="zh-CN"/>
        </w:rPr>
        <w:t>3</w:t>
      </w:r>
      <w:r>
        <w:rPr>
          <w:rFonts w:hint="eastAsia" w:cs="仿宋_GB2312" w:asciiTheme="minorEastAsia" w:hAnsiTheme="minorEastAsia"/>
          <w:color w:val="auto"/>
          <w:szCs w:val="21"/>
          <w:lang w:val="zh-CN"/>
        </w:rPr>
        <w:t>名成交候选人</w:t>
      </w:r>
      <w:r>
        <w:rPr>
          <w:rFonts w:hint="eastAsia" w:ascii="宋体" w:hAnsi="宋体" w:cs="仿宋_GB2312"/>
          <w:color w:val="auto"/>
          <w:szCs w:val="21"/>
          <w:lang w:val="zh-CN"/>
        </w:rPr>
        <w:t>。</w:t>
      </w:r>
    </w:p>
    <w:p w14:paraId="4F27C83D">
      <w:pPr>
        <w:pStyle w:val="19"/>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四、谈判小组编写评审报告。</w:t>
      </w:r>
    </w:p>
    <w:p w14:paraId="3BE990AF">
      <w:pPr>
        <w:pStyle w:val="19"/>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cs="宋体"/>
          <w:bCs/>
          <w:color w:val="auto"/>
          <w:sz w:val="21"/>
          <w:szCs w:val="21"/>
          <w:lang w:val="zh-CN"/>
        </w:rPr>
        <w:t>为进一步优化营商环境，加快政府采购实施进度，采购人委托评审委员会在推荐的中标候选人名单中直接按顺序确定中标人。</w:t>
      </w:r>
    </w:p>
    <w:p w14:paraId="165DF934">
      <w:pPr>
        <w:spacing w:line="360" w:lineRule="auto"/>
        <w:rPr>
          <w:rFonts w:ascii="宋体" w:hAnsi="Calibri" w:eastAsia="宋体" w:cs="仿宋_GB2312"/>
          <w:b/>
          <w:color w:val="auto"/>
          <w:szCs w:val="21"/>
          <w:lang w:val="zh-CN"/>
        </w:rPr>
      </w:pPr>
      <w:r>
        <w:rPr>
          <w:rFonts w:hint="eastAsia" w:cs="仿宋_GB2312" w:asciiTheme="minorEastAsia" w:hAnsiTheme="minorEastAsia"/>
          <w:color w:val="auto"/>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2E8AFA79">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14:paraId="6D9338C6">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14:paraId="580D2894">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14:paraId="61EDA409">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14:paraId="301255F9">
      <w:pPr>
        <w:tabs>
          <w:tab w:val="left" w:pos="1260"/>
        </w:tabs>
        <w:autoSpaceDE w:val="0"/>
        <w:autoSpaceDN w:val="0"/>
        <w:adjustRightInd w:val="0"/>
        <w:spacing w:line="360" w:lineRule="auto"/>
        <w:contextualSpacing/>
        <w:jc w:val="center"/>
        <w:rPr>
          <w:rFonts w:hint="eastAsia" w:ascii="宋体" w:hAnsi="宋体" w:cs="宋体"/>
          <w:b/>
          <w:color w:val="auto"/>
          <w:kern w:val="0"/>
          <w:sz w:val="32"/>
          <w:szCs w:val="32"/>
        </w:rPr>
      </w:pPr>
    </w:p>
    <w:p w14:paraId="4DBC1D8A">
      <w:pPr>
        <w:tabs>
          <w:tab w:val="left" w:pos="1260"/>
        </w:tabs>
        <w:autoSpaceDE w:val="0"/>
        <w:autoSpaceDN w:val="0"/>
        <w:adjustRightInd w:val="0"/>
        <w:spacing w:line="360" w:lineRule="auto"/>
        <w:contextualSpacing/>
        <w:jc w:val="center"/>
        <w:rPr>
          <w:rFonts w:ascii="宋体" w:hAnsi="宋体" w:cs="宋体"/>
          <w:b/>
          <w:color w:val="auto"/>
          <w:kern w:val="0"/>
          <w:sz w:val="32"/>
          <w:szCs w:val="32"/>
        </w:rPr>
      </w:pPr>
      <w:r>
        <w:rPr>
          <w:rFonts w:hint="eastAsia" w:ascii="宋体" w:hAnsi="宋体" w:cs="宋体"/>
          <w:b/>
          <w:color w:val="auto"/>
          <w:kern w:val="0"/>
          <w:sz w:val="32"/>
          <w:szCs w:val="32"/>
        </w:rPr>
        <w:t xml:space="preserve">第七章 </w:t>
      </w:r>
      <w:r>
        <w:rPr>
          <w:rFonts w:hint="eastAsia" w:cs="宋体" w:asciiTheme="majorEastAsia" w:hAnsiTheme="majorEastAsia" w:eastAsiaTheme="majorEastAsia"/>
          <w:b/>
          <w:color w:val="auto"/>
          <w:kern w:val="0"/>
          <w:sz w:val="32"/>
          <w:szCs w:val="32"/>
        </w:rPr>
        <w:t>拟签订的合同文本</w:t>
      </w:r>
    </w:p>
    <w:p w14:paraId="47BBC224">
      <w:pPr>
        <w:numPr>
          <w:ilvl w:val="0"/>
          <w:numId w:val="0"/>
        </w:numPr>
        <w:shd w:val="clea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28"/>
          <w:szCs w:val="28"/>
          <w:highlight w:val="none"/>
          <w:lang w:eastAsia="zh-CN"/>
        </w:rPr>
      </w:pPr>
      <w:r>
        <w:rPr>
          <w:rFonts w:hint="eastAsia" w:cs="宋体" w:asciiTheme="majorEastAsia" w:hAnsiTheme="majorEastAsia" w:eastAsiaTheme="majorEastAsia"/>
          <w:b/>
          <w:color w:val="auto"/>
          <w:kern w:val="0"/>
          <w:sz w:val="28"/>
          <w:szCs w:val="28"/>
          <w:highlight w:val="none"/>
          <w:lang w:eastAsia="zh-CN"/>
        </w:rPr>
        <w:t>（供参考，以实际签订合同为准）</w:t>
      </w:r>
    </w:p>
    <w:p w14:paraId="45403463">
      <w:pPr>
        <w:pStyle w:val="2"/>
        <w:numPr>
          <w:ilvl w:val="0"/>
          <w:numId w:val="0"/>
        </w:numPr>
        <w:ind w:firstLine="2380" w:firstLineChars="700"/>
        <w:rPr>
          <w:color w:val="auto"/>
          <w:spacing w:val="0"/>
          <w:w w:val="100"/>
          <w:position w:val="0"/>
        </w:rPr>
      </w:pPr>
      <w:bookmarkStart w:id="7" w:name="bookmark108"/>
      <w:bookmarkStart w:id="8" w:name="bookmark109"/>
      <w:bookmarkStart w:id="9" w:name="bookmark107"/>
      <w:r>
        <w:rPr>
          <w:color w:val="auto"/>
          <w:spacing w:val="0"/>
          <w:w w:val="100"/>
          <w:position w:val="0"/>
        </w:rPr>
        <w:t>本合同□是/□否中小企业预留合同</w:t>
      </w:r>
      <w:bookmarkEnd w:id="7"/>
      <w:bookmarkEnd w:id="8"/>
      <w:bookmarkEnd w:id="9"/>
    </w:p>
    <w:p w14:paraId="07FB6965">
      <w:pPr>
        <w:pStyle w:val="84"/>
        <w:keepNext/>
        <w:keepLines/>
        <w:widowControl w:val="0"/>
        <w:shd w:val="clear" w:color="auto" w:fill="auto"/>
        <w:bidi w:val="0"/>
        <w:spacing w:before="0" w:after="540" w:line="240" w:lineRule="auto"/>
        <w:ind w:left="0" w:right="0" w:firstLine="0"/>
        <w:jc w:val="center"/>
        <w:rPr>
          <w:color w:val="auto"/>
        </w:rPr>
      </w:pPr>
      <w:bookmarkStart w:id="10" w:name="bookmark61"/>
      <w:bookmarkStart w:id="11" w:name="bookmark59"/>
      <w:bookmarkStart w:id="12" w:name="bookmark60"/>
      <w:r>
        <w:rPr>
          <w:color w:val="auto"/>
          <w:spacing w:val="0"/>
          <w:w w:val="100"/>
          <w:position w:val="0"/>
        </w:rPr>
        <w:t>政府采购服务合同（范本）</w:t>
      </w:r>
      <w:bookmarkEnd w:id="10"/>
      <w:bookmarkEnd w:id="11"/>
      <w:bookmarkEnd w:id="12"/>
    </w:p>
    <w:p w14:paraId="7B86AF48">
      <w:pPr>
        <w:pStyle w:val="85"/>
        <w:keepNext w:val="0"/>
        <w:keepLines w:val="0"/>
        <w:widowControl w:val="0"/>
        <w:shd w:val="clear" w:color="auto" w:fill="auto"/>
        <w:tabs>
          <w:tab w:val="left" w:pos="4622"/>
        </w:tabs>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55D1DE3C">
      <w:pPr>
        <w:pStyle w:val="85"/>
        <w:keepNext w:val="0"/>
        <w:keepLines w:val="0"/>
        <w:widowControl w:val="0"/>
        <w:shd w:val="clear" w:color="auto" w:fill="auto"/>
        <w:tabs>
          <w:tab w:val="left" w:pos="4008"/>
          <w:tab w:val="left" w:leader="underscore" w:pos="4618"/>
        </w:tabs>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签订地：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ab/>
      </w:r>
    </w:p>
    <w:p w14:paraId="2CE736D9">
      <w:pPr>
        <w:pStyle w:val="85"/>
        <w:keepNext w:val="0"/>
        <w:keepLines w:val="0"/>
        <w:widowControl w:val="0"/>
        <w:shd w:val="clear" w:color="auto" w:fill="auto"/>
        <w:tabs>
          <w:tab w:val="left" w:pos="4598"/>
        </w:tabs>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甲方（采购人）：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4AA99EF5">
      <w:pPr>
        <w:pStyle w:val="85"/>
        <w:keepNext w:val="0"/>
        <w:keepLines w:val="0"/>
        <w:widowControl w:val="0"/>
        <w:shd w:val="clear" w:color="auto" w:fill="auto"/>
        <w:tabs>
          <w:tab w:val="left" w:pos="4627"/>
        </w:tabs>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住所地：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01EDBEF9">
      <w:pPr>
        <w:pStyle w:val="85"/>
        <w:keepNext w:val="0"/>
        <w:keepLines w:val="0"/>
        <w:widowControl w:val="0"/>
        <w:shd w:val="clear" w:color="auto" w:fill="auto"/>
        <w:tabs>
          <w:tab w:val="left" w:pos="4608"/>
        </w:tabs>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乙方（中标人）：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779FBC7F">
      <w:pPr>
        <w:pStyle w:val="85"/>
        <w:keepNext w:val="0"/>
        <w:keepLines w:val="0"/>
        <w:widowControl w:val="0"/>
        <w:shd w:val="clear" w:color="auto" w:fill="auto"/>
        <w:tabs>
          <w:tab w:val="left" w:pos="4627"/>
        </w:tabs>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住所地：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p>
    <w:p w14:paraId="430E1B58">
      <w:pPr>
        <w:pStyle w:val="85"/>
        <w:keepNext w:val="0"/>
        <w:keepLines w:val="0"/>
        <w:widowControl w:val="0"/>
        <w:shd w:val="clear" w:color="auto" w:fill="auto"/>
        <w:bidi w:val="0"/>
        <w:spacing w:before="0" w:after="0" w:line="398" w:lineRule="exact"/>
        <w:ind w:left="0" w:right="0" w:firstLine="50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乙方于</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 xml:space="preserve">日参加了 </w:t>
      </w:r>
      <w:r>
        <w:rPr>
          <w:rFonts w:hint="eastAsia" w:ascii="宋体" w:hAnsi="宋体" w:eastAsia="宋体" w:cs="宋体"/>
          <w:color w:val="auto"/>
          <w:spacing w:val="0"/>
          <w:w w:val="100"/>
          <w:position w:val="0"/>
          <w:sz w:val="21"/>
          <w:szCs w:val="21"/>
          <w:u w:val="single"/>
        </w:rPr>
        <w:t>（</w:t>
      </w:r>
      <w:r>
        <w:rPr>
          <w:rFonts w:hint="eastAsia" w:ascii="宋体" w:hAnsi="宋体" w:eastAsia="宋体" w:cs="宋体"/>
          <w:color w:val="auto"/>
          <w:spacing w:val="0"/>
          <w:w w:val="100"/>
          <w:position w:val="0"/>
          <w:sz w:val="21"/>
          <w:szCs w:val="21"/>
          <w:u w:val="single"/>
          <w:lang w:eastAsia="zh-CN"/>
        </w:rPr>
        <w:t>采</w:t>
      </w:r>
      <w:r>
        <w:rPr>
          <w:rFonts w:hint="eastAsia" w:ascii="宋体" w:hAnsi="宋体" w:eastAsia="宋体" w:cs="宋体"/>
          <w:color w:val="auto"/>
          <w:spacing w:val="0"/>
          <w:w w:val="100"/>
          <w:position w:val="0"/>
          <w:sz w:val="21"/>
          <w:szCs w:val="21"/>
          <w:u w:val="single"/>
        </w:rPr>
        <w:t>购代理机构）</w:t>
      </w:r>
      <w:r>
        <w:rPr>
          <w:rFonts w:hint="eastAsia" w:ascii="宋体" w:hAnsi="宋体" w:eastAsia="宋体" w:cs="宋体"/>
          <w:color w:val="auto"/>
          <w:spacing w:val="0"/>
          <w:w w:val="100"/>
          <w:position w:val="0"/>
          <w:sz w:val="21"/>
          <w:szCs w:val="21"/>
        </w:rPr>
        <w:t>组织的</w:t>
      </w:r>
      <w:r>
        <w:rPr>
          <w:rFonts w:hint="eastAsia" w:ascii="宋体" w:hAnsi="宋体" w:eastAsia="宋体" w:cs="宋体"/>
          <w:color w:val="auto"/>
          <w:spacing w:val="0"/>
          <w:w w:val="100"/>
          <w:position w:val="0"/>
          <w:sz w:val="21"/>
          <w:szCs w:val="21"/>
          <w:u w:val="single"/>
        </w:rPr>
        <w:t>（项目名称及 项目编号）</w:t>
      </w:r>
      <w:r>
        <w:rPr>
          <w:rFonts w:hint="eastAsia" w:ascii="宋体" w:hAnsi="宋体" w:eastAsia="宋体" w:cs="宋体"/>
          <w:color w:val="auto"/>
          <w:spacing w:val="0"/>
          <w:w w:val="100"/>
          <w:position w:val="0"/>
          <w:sz w:val="21"/>
          <w:szCs w:val="21"/>
        </w:rPr>
        <w:t>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活动，经评标委）会评审确定乙方为</w:t>
      </w:r>
      <w:r>
        <w:rPr>
          <w:rFonts w:hint="eastAsia" w:ascii="宋体" w:hAnsi="宋体" w:eastAsia="宋体" w:cs="宋体"/>
          <w:color w:val="auto"/>
          <w:spacing w:val="0"/>
          <w:w w:val="100"/>
          <w:position w:val="0"/>
          <w:sz w:val="21"/>
          <w:szCs w:val="21"/>
          <w:u w:val="single"/>
        </w:rPr>
        <w:t>（包及包名称）</w:t>
      </w:r>
      <w:r>
        <w:rPr>
          <w:rFonts w:hint="eastAsia" w:ascii="宋体" w:hAnsi="宋体" w:eastAsia="宋体" w:cs="宋体"/>
          <w:color w:val="auto"/>
          <w:spacing w:val="0"/>
          <w:w w:val="100"/>
          <w:position w:val="0"/>
          <w:sz w:val="21"/>
          <w:szCs w:val="21"/>
        </w:rPr>
        <w:t>中 标人，按照《中华人民共和国民法典</w:t>
      </w: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中华人民共和国政府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法》和相关的法律法规规定，以及招标文件规定，经甲乙双方协商一致，签订本政府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w:t>
      </w:r>
    </w:p>
    <w:p w14:paraId="05A75A39">
      <w:pPr>
        <w:pStyle w:val="85"/>
        <w:keepNext w:val="0"/>
        <w:keepLines w:val="0"/>
        <w:widowControl w:val="0"/>
        <w:shd w:val="clear" w:color="auto" w:fill="auto"/>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第一条合同标的</w:t>
      </w:r>
    </w:p>
    <w:p w14:paraId="0F6920C3">
      <w:pPr>
        <w:pStyle w:val="85"/>
        <w:keepNext w:val="0"/>
        <w:keepLines w:val="0"/>
        <w:widowControl w:val="0"/>
        <w:shd w:val="clear" w:color="auto" w:fill="auto"/>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服务名称：</w:t>
      </w:r>
    </w:p>
    <w:p w14:paraId="2B071B8A">
      <w:pPr>
        <w:pStyle w:val="85"/>
        <w:keepNext w:val="0"/>
        <w:keepLines w:val="0"/>
        <w:widowControl w:val="0"/>
        <w:shd w:val="clear" w:color="auto" w:fill="auto"/>
        <w:tabs>
          <w:tab w:val="left" w:leader="dot" w:pos="2573"/>
        </w:tabs>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服务内容：</w:t>
      </w:r>
      <w:r>
        <w:rPr>
          <w:rFonts w:hint="eastAsia" w:ascii="宋体" w:hAnsi="宋体" w:eastAsia="宋体" w:cs="宋体"/>
          <w:color w:val="auto"/>
          <w:spacing w:val="0"/>
          <w:w w:val="100"/>
          <w:position w:val="0"/>
          <w:sz w:val="21"/>
          <w:szCs w:val="21"/>
          <w:lang w:val="en-US" w:eastAsia="en-US" w:bidi="en-US"/>
        </w:rPr>
        <w:tab/>
      </w:r>
    </w:p>
    <w:p w14:paraId="28B7A6B7">
      <w:pPr>
        <w:pStyle w:val="85"/>
        <w:keepNext w:val="0"/>
        <w:keepLines w:val="0"/>
        <w:widowControl w:val="0"/>
        <w:shd w:val="clear" w:color="auto" w:fill="auto"/>
        <w:tabs>
          <w:tab w:val="left" w:leader="dot" w:pos="2098"/>
        </w:tabs>
        <w:bidi w:val="0"/>
        <w:spacing w:before="0" w:after="0" w:line="398"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技术标准：</w:t>
      </w:r>
      <w:r>
        <w:rPr>
          <w:rFonts w:hint="eastAsia" w:ascii="宋体" w:hAnsi="宋体" w:eastAsia="宋体" w:cs="宋体"/>
          <w:color w:val="auto"/>
          <w:spacing w:val="0"/>
          <w:w w:val="100"/>
          <w:position w:val="0"/>
          <w:sz w:val="21"/>
          <w:szCs w:val="21"/>
          <w:lang w:val="en-US" w:eastAsia="en-US" w:bidi="en-US"/>
        </w:rPr>
        <w:tab/>
      </w:r>
    </w:p>
    <w:p w14:paraId="2F584698">
      <w:pPr>
        <w:pStyle w:val="85"/>
        <w:keepNext w:val="0"/>
        <w:keepLines w:val="0"/>
        <w:widowControl w:val="0"/>
        <w:shd w:val="clear" w:color="auto" w:fill="auto"/>
        <w:bidi w:val="0"/>
        <w:spacing w:before="0" w:after="0" w:line="398" w:lineRule="exact"/>
        <w:ind w:left="0" w:right="0" w:firstLine="48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第二条合同总金额</w:t>
      </w:r>
    </w:p>
    <w:p w14:paraId="3CDD132E">
      <w:pPr>
        <w:pStyle w:val="85"/>
        <w:keepNext w:val="0"/>
        <w:keepLines w:val="0"/>
        <w:widowControl w:val="0"/>
        <w:shd w:val="clear" w:color="auto" w:fill="auto"/>
        <w:tabs>
          <w:tab w:val="left" w:pos="5218"/>
          <w:tab w:val="left" w:pos="6639"/>
        </w:tabs>
        <w:bidi w:val="0"/>
        <w:spacing w:before="0" w:after="0" w:line="392" w:lineRule="exact"/>
        <w:ind w:left="0" w:right="0" w:firstLine="50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合同总金额为人民币（大写）：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41F4BF9B">
      <w:pPr>
        <w:pStyle w:val="85"/>
        <w:keepNext w:val="0"/>
        <w:keepLines w:val="0"/>
        <w:widowControl w:val="0"/>
        <w:shd w:val="clear" w:color="auto" w:fill="auto"/>
        <w:tabs>
          <w:tab w:val="left" w:leader="dot" w:pos="5875"/>
        </w:tabs>
        <w:bidi w:val="0"/>
        <w:spacing w:before="0" w:after="0" w:line="392" w:lineRule="exact"/>
        <w:ind w:left="0" w:right="0" w:firstLine="50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此价格为合同执行不变价，不因国家政策变化而变化，该价款包括了货物及与之配套的设计、制造、正版软件、检验、包装、运输、保险、税费以及安装、 组织验收、培训、技术服务（包括技术资料、图纸提供等）、质保期服务等全部价款，除此之外，甲方不再向乙方支付其他任何费用。</w:t>
      </w:r>
      <w:r>
        <w:rPr>
          <w:rFonts w:hint="eastAsia" w:ascii="宋体" w:hAnsi="宋体" w:eastAsia="宋体" w:cs="宋体"/>
          <w:color w:val="auto"/>
          <w:spacing w:val="0"/>
          <w:w w:val="100"/>
          <w:position w:val="0"/>
          <w:sz w:val="21"/>
          <w:szCs w:val="21"/>
          <w:lang w:val="en-US" w:eastAsia="en-US" w:bidi="en-US"/>
        </w:rPr>
        <w:tab/>
      </w:r>
    </w:p>
    <w:p w14:paraId="453E8BF3">
      <w:pPr>
        <w:pStyle w:val="85"/>
        <w:keepNext w:val="0"/>
        <w:keepLines w:val="0"/>
        <w:widowControl w:val="0"/>
        <w:shd w:val="clear" w:color="auto" w:fill="auto"/>
        <w:bidi w:val="0"/>
        <w:spacing w:before="0" w:after="160" w:line="392" w:lineRule="exact"/>
        <w:ind w:left="0" w:right="0" w:firstLine="50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第三条服务交付</w:t>
      </w:r>
    </w:p>
    <w:p w14:paraId="72B13ECB">
      <w:pPr>
        <w:pStyle w:val="85"/>
        <w:keepNext w:val="0"/>
        <w:keepLines w:val="0"/>
        <w:widowControl w:val="0"/>
        <w:shd w:val="clear" w:color="auto" w:fill="auto"/>
        <w:tabs>
          <w:tab w:val="left" w:pos="878"/>
        </w:tabs>
        <w:bidi w:val="0"/>
        <w:spacing w:before="0" w:after="0" w:line="372" w:lineRule="auto"/>
        <w:ind w:left="0" w:right="0" w:firstLine="500"/>
        <w:jc w:val="both"/>
        <w:rPr>
          <w:rFonts w:hint="eastAsia" w:ascii="宋体" w:hAnsi="宋体" w:eastAsia="宋体" w:cs="宋体"/>
          <w:color w:val="auto"/>
          <w:sz w:val="21"/>
          <w:szCs w:val="21"/>
        </w:rPr>
      </w:pPr>
      <w:bookmarkStart w:id="13" w:name="bookmark62"/>
      <w:r>
        <w:rPr>
          <w:rFonts w:hint="eastAsia" w:ascii="宋体" w:hAnsi="宋体" w:eastAsia="宋体" w:cs="宋体"/>
          <w:color w:val="auto"/>
          <w:spacing w:val="0"/>
          <w:w w:val="100"/>
          <w:position w:val="0"/>
          <w:sz w:val="21"/>
          <w:szCs w:val="21"/>
        </w:rPr>
        <w:t>1</w:t>
      </w:r>
      <w:bookmarkEnd w:id="13"/>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交付日期：</w:t>
      </w:r>
    </w:p>
    <w:p w14:paraId="10B7F308">
      <w:pPr>
        <w:pStyle w:val="85"/>
        <w:keepNext w:val="0"/>
        <w:keepLines w:val="0"/>
        <w:widowControl w:val="0"/>
        <w:shd w:val="clear" w:color="auto" w:fill="auto"/>
        <w:tabs>
          <w:tab w:val="left" w:pos="892"/>
          <w:tab w:val="left" w:leader="dot" w:pos="2478"/>
        </w:tabs>
        <w:bidi w:val="0"/>
        <w:spacing w:before="0" w:after="0" w:line="372" w:lineRule="auto"/>
        <w:ind w:left="0" w:right="0" w:firstLine="500"/>
        <w:jc w:val="both"/>
        <w:rPr>
          <w:rFonts w:hint="eastAsia" w:ascii="宋体" w:hAnsi="宋体" w:eastAsia="宋体" w:cs="宋体"/>
          <w:color w:val="auto"/>
          <w:sz w:val="21"/>
          <w:szCs w:val="21"/>
        </w:rPr>
      </w:pPr>
      <w:bookmarkStart w:id="14" w:name="bookmark63"/>
      <w:r>
        <w:rPr>
          <w:rFonts w:hint="eastAsia" w:ascii="宋体" w:hAnsi="宋体" w:eastAsia="宋体" w:cs="宋体"/>
          <w:color w:val="auto"/>
          <w:spacing w:val="0"/>
          <w:w w:val="100"/>
          <w:position w:val="0"/>
          <w:sz w:val="21"/>
          <w:szCs w:val="21"/>
        </w:rPr>
        <w:t>2</w:t>
      </w:r>
      <w:bookmarkEnd w:id="14"/>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交付地点</w:t>
      </w: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lang w:val="en-US" w:eastAsia="en-US" w:bidi="en-US"/>
        </w:rPr>
        <w:tab/>
      </w:r>
    </w:p>
    <w:p w14:paraId="61C31EEC">
      <w:pPr>
        <w:pStyle w:val="85"/>
        <w:keepNext w:val="0"/>
        <w:keepLines w:val="0"/>
        <w:widowControl w:val="0"/>
        <w:shd w:val="clear" w:color="auto" w:fill="auto"/>
        <w:bidi w:val="0"/>
        <w:spacing w:before="0" w:after="0" w:line="391" w:lineRule="exact"/>
        <w:ind w:left="0" w:right="0" w:firstLine="50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第四条交付验收</w:t>
      </w:r>
    </w:p>
    <w:p w14:paraId="1007EE2D">
      <w:pPr>
        <w:pStyle w:val="85"/>
        <w:keepNext w:val="0"/>
        <w:keepLines w:val="0"/>
        <w:widowControl w:val="0"/>
        <w:numPr>
          <w:ilvl w:val="0"/>
          <w:numId w:val="13"/>
        </w:numPr>
        <w:shd w:val="clear" w:color="auto" w:fill="auto"/>
        <w:bidi w:val="0"/>
        <w:spacing w:before="0" w:after="80" w:line="391" w:lineRule="exact"/>
        <w:ind w:left="0" w:right="0" w:firstLine="500"/>
        <w:jc w:val="both"/>
        <w:rPr>
          <w:rFonts w:hint="eastAsia" w:ascii="宋体" w:hAnsi="宋体" w:eastAsia="宋体" w:cs="宋体"/>
          <w:color w:val="auto"/>
          <w:spacing w:val="0"/>
          <w:w w:val="100"/>
          <w:position w:val="0"/>
          <w:sz w:val="21"/>
          <w:szCs w:val="21"/>
        </w:rPr>
        <w:sectPr>
          <w:footerReference r:id="rId3" w:type="default"/>
          <w:footnotePr>
            <w:numFmt w:val="decimal"/>
          </w:footnotePr>
          <w:pgSz w:w="11900" w:h="16840"/>
          <w:pgMar w:top="1559" w:right="1502" w:bottom="1559" w:left="1502" w:header="1131" w:footer="964" w:gutter="0"/>
          <w:pgNumType w:fmt="decimal" w:start="1"/>
          <w:cols w:space="0" w:num="1"/>
          <w:rtlGutter w:val="0"/>
          <w:docGrid w:linePitch="360" w:charSpace="0"/>
        </w:sectPr>
      </w:pPr>
      <w:r>
        <w:rPr>
          <w:rFonts w:hint="eastAsia" w:ascii="宋体" w:hAnsi="宋体" w:eastAsia="宋体" w:cs="宋体"/>
          <w:color w:val="auto"/>
          <w:spacing w:val="0"/>
          <w:w w:val="100"/>
          <w:position w:val="0"/>
          <w:sz w:val="21"/>
          <w:szCs w:val="21"/>
        </w:rPr>
        <w:t>甲方应当根据国家、行业验收标准，以及合同约定验收方案，明确验收时间、方式、程序和内容等事项，组成验收小组，在收到乙方项目验收建议之日起1个工作日内，对采购项目进行实质性验收（验收建议有明显不当的除外）。乙方应对提交的服务成果</w:t>
      </w:r>
    </w:p>
    <w:p w14:paraId="2848271F">
      <w:pPr>
        <w:pStyle w:val="85"/>
        <w:keepNext w:val="0"/>
        <w:keepLines w:val="0"/>
        <w:widowControl w:val="0"/>
        <w:shd w:val="clear" w:color="auto" w:fill="auto"/>
        <w:bidi w:val="0"/>
        <w:spacing w:before="0" w:after="0" w:line="400" w:lineRule="exact"/>
        <w:ind w:left="0" w:right="0" w:firstLine="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作出全面检查和整理，并列出清单，作为甲方验收和使用技术条件依据，清单应随提交的服务成果交给甲方。</w:t>
      </w:r>
    </w:p>
    <w:p w14:paraId="0B10CD42">
      <w:pPr>
        <w:pStyle w:val="85"/>
        <w:keepNext w:val="0"/>
        <w:keepLines w:val="0"/>
        <w:widowControl w:val="0"/>
        <w:shd w:val="clear" w:color="auto" w:fill="auto"/>
        <w:tabs>
          <w:tab w:val="left" w:pos="848"/>
        </w:tabs>
        <w:bidi w:val="0"/>
        <w:spacing w:before="0" w:after="0" w:line="400" w:lineRule="exact"/>
        <w:ind w:left="0" w:right="0" w:firstLine="480"/>
        <w:jc w:val="both"/>
        <w:rPr>
          <w:rFonts w:hint="eastAsia" w:ascii="宋体" w:hAnsi="宋体" w:eastAsia="宋体" w:cs="宋体"/>
          <w:color w:val="auto"/>
          <w:sz w:val="21"/>
          <w:szCs w:val="21"/>
        </w:rPr>
      </w:pPr>
      <w:bookmarkStart w:id="15" w:name="bookmark64"/>
      <w:r>
        <w:rPr>
          <w:rFonts w:hint="eastAsia" w:ascii="宋体" w:hAnsi="宋体" w:eastAsia="宋体" w:cs="宋体"/>
          <w:color w:val="auto"/>
          <w:spacing w:val="0"/>
          <w:w w:val="100"/>
          <w:position w:val="0"/>
          <w:sz w:val="21"/>
          <w:szCs w:val="21"/>
        </w:rPr>
        <w:t>2</w:t>
      </w:r>
      <w:bookmarkEnd w:id="15"/>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对大型或复杂的政府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项目，甲方应当邀请国家认可的质量检测机构参与验收工作，并出具验收报告，相关费用负担由甲乙双方约定。</w:t>
      </w:r>
    </w:p>
    <w:p w14:paraId="52833903">
      <w:pPr>
        <w:pStyle w:val="85"/>
        <w:keepNext w:val="0"/>
        <w:keepLines w:val="0"/>
        <w:widowControl w:val="0"/>
        <w:shd w:val="clear" w:color="auto" w:fill="auto"/>
        <w:tabs>
          <w:tab w:val="left" w:pos="862"/>
        </w:tabs>
        <w:bidi w:val="0"/>
        <w:spacing w:before="0" w:after="0" w:line="400" w:lineRule="exact"/>
        <w:ind w:left="0" w:right="0" w:firstLine="480"/>
        <w:jc w:val="both"/>
        <w:rPr>
          <w:rFonts w:hint="eastAsia" w:ascii="宋体" w:hAnsi="宋体" w:eastAsia="宋体" w:cs="宋体"/>
          <w:color w:val="auto"/>
          <w:sz w:val="21"/>
          <w:szCs w:val="21"/>
        </w:rPr>
      </w:pPr>
      <w:bookmarkStart w:id="16" w:name="bookmark65"/>
      <w:r>
        <w:rPr>
          <w:rFonts w:hint="eastAsia" w:ascii="宋体" w:hAnsi="宋体" w:eastAsia="宋体" w:cs="宋体"/>
          <w:color w:val="auto"/>
          <w:spacing w:val="0"/>
          <w:w w:val="100"/>
          <w:position w:val="0"/>
          <w:sz w:val="21"/>
          <w:szCs w:val="21"/>
        </w:rPr>
        <w:t>3</w:t>
      </w:r>
      <w:bookmarkEnd w:id="16"/>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乙方在指定地点提交服务成果后，甲乙双方应依据招标文件、投标文件等文件材料的要求共同验收，并且出具书面验收报告，履约验收报告应当依法依规及时在</w:t>
      </w:r>
      <w:r>
        <w:rPr>
          <w:rFonts w:hint="eastAsia" w:ascii="宋体" w:hAnsi="宋体" w:eastAsia="宋体" w:cs="宋体"/>
          <w:color w:val="auto"/>
          <w:spacing w:val="0"/>
          <w:w w:val="100"/>
          <w:position w:val="0"/>
          <w:sz w:val="21"/>
          <w:szCs w:val="21"/>
          <w:lang w:eastAsia="zh-CN"/>
        </w:rPr>
        <w:t>河南省</w:t>
      </w:r>
      <w:r>
        <w:rPr>
          <w:rFonts w:hint="eastAsia" w:ascii="宋体" w:hAnsi="宋体" w:eastAsia="宋体" w:cs="宋体"/>
          <w:color w:val="auto"/>
          <w:spacing w:val="0"/>
          <w:w w:val="100"/>
          <w:position w:val="0"/>
          <w:sz w:val="21"/>
          <w:szCs w:val="21"/>
        </w:rPr>
        <w:t>政府采购网公开发布。</w:t>
      </w:r>
    </w:p>
    <w:p w14:paraId="1377F670">
      <w:pPr>
        <w:pStyle w:val="85"/>
        <w:keepNext w:val="0"/>
        <w:keepLines w:val="0"/>
        <w:widowControl w:val="0"/>
        <w:shd w:val="clear" w:color="auto" w:fill="auto"/>
        <w:tabs>
          <w:tab w:val="left" w:pos="853"/>
          <w:tab w:val="left" w:pos="5846"/>
        </w:tabs>
        <w:bidi w:val="0"/>
        <w:spacing w:before="0" w:after="0" w:line="400" w:lineRule="exact"/>
        <w:ind w:left="0" w:right="0" w:firstLine="480"/>
        <w:jc w:val="both"/>
        <w:rPr>
          <w:rFonts w:hint="eastAsia" w:ascii="宋体" w:hAnsi="宋体" w:eastAsia="宋体" w:cs="宋体"/>
          <w:color w:val="auto"/>
          <w:sz w:val="21"/>
          <w:szCs w:val="21"/>
        </w:rPr>
      </w:pPr>
      <w:bookmarkStart w:id="17" w:name="bookmark66"/>
      <w:r>
        <w:rPr>
          <w:rFonts w:hint="eastAsia" w:ascii="宋体" w:hAnsi="宋体" w:eastAsia="宋体" w:cs="宋体"/>
          <w:color w:val="auto"/>
          <w:spacing w:val="0"/>
          <w:w w:val="100"/>
          <w:position w:val="0"/>
          <w:sz w:val="21"/>
          <w:szCs w:val="21"/>
        </w:rPr>
        <w:t>4</w:t>
      </w:r>
      <w:bookmarkEnd w:id="17"/>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根据财政部等三部门《关于印发</w:t>
      </w:r>
      <w:r>
        <w:rPr>
          <w:rFonts w:hint="eastAsia" w:ascii="宋体" w:hAnsi="宋体" w:eastAsia="宋体" w:cs="宋体"/>
          <w:color w:val="auto"/>
          <w:spacing w:val="0"/>
          <w:w w:val="100"/>
          <w:position w:val="0"/>
          <w:sz w:val="21"/>
          <w:szCs w:val="21"/>
          <w:lang w:val="zh-CN" w:eastAsia="zh-CN" w:bidi="zh-CN"/>
        </w:rPr>
        <w:t>〈商</w:t>
      </w:r>
      <w:r>
        <w:rPr>
          <w:rFonts w:hint="eastAsia" w:ascii="宋体" w:hAnsi="宋体" w:eastAsia="宋体" w:cs="宋体"/>
          <w:color w:val="auto"/>
          <w:spacing w:val="0"/>
          <w:w w:val="100"/>
          <w:position w:val="0"/>
          <w:sz w:val="21"/>
          <w:szCs w:val="21"/>
        </w:rPr>
        <w:t>品包装政府采购需求标准（试行）〉、〈 快递包装政府采购需求标准（试行）〉的通知》规定，</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文件对商品包装和快递包装提出具体要求的，对乙方所提供包装的履约验收要求（必要时要求乙方在履约验收环节出具检测报告）：</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1BC8EBC5">
      <w:pPr>
        <w:pStyle w:val="85"/>
        <w:keepNext w:val="0"/>
        <w:keepLines w:val="0"/>
        <w:widowControl w:val="0"/>
        <w:shd w:val="clear" w:color="auto" w:fill="auto"/>
        <w:bidi w:val="0"/>
        <w:spacing w:before="0" w:after="140" w:line="400"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第五条权利瑕疵担当</w:t>
      </w:r>
    </w:p>
    <w:p w14:paraId="0DC226F1">
      <w:pPr>
        <w:pStyle w:val="85"/>
        <w:keepNext w:val="0"/>
        <w:keepLines w:val="0"/>
        <w:widowControl w:val="0"/>
        <w:numPr>
          <w:ilvl w:val="0"/>
          <w:numId w:val="14"/>
        </w:numPr>
        <w:shd w:val="clear" w:color="auto" w:fill="auto"/>
        <w:tabs>
          <w:tab w:val="left" w:pos="819"/>
        </w:tabs>
        <w:bidi w:val="0"/>
        <w:spacing w:before="0" w:after="0"/>
        <w:ind w:left="0" w:right="0" w:firstLine="480"/>
        <w:jc w:val="both"/>
        <w:rPr>
          <w:rFonts w:hint="eastAsia" w:ascii="宋体" w:hAnsi="宋体" w:eastAsia="宋体" w:cs="宋体"/>
          <w:color w:val="auto"/>
          <w:sz w:val="21"/>
          <w:szCs w:val="21"/>
        </w:rPr>
      </w:pPr>
      <w:bookmarkStart w:id="18" w:name="bookmark67"/>
      <w:bookmarkEnd w:id="18"/>
      <w:r>
        <w:rPr>
          <w:rFonts w:hint="eastAsia" w:ascii="宋体" w:hAnsi="宋体" w:eastAsia="宋体" w:cs="宋体"/>
          <w:color w:val="auto"/>
          <w:spacing w:val="0"/>
          <w:w w:val="100"/>
          <w:position w:val="0"/>
          <w:sz w:val="21"/>
          <w:szCs w:val="21"/>
        </w:rPr>
        <w:t>乙方保证对其出售的标的物享有合法的权利；</w:t>
      </w:r>
    </w:p>
    <w:p w14:paraId="0B1CE96F">
      <w:pPr>
        <w:pStyle w:val="85"/>
        <w:keepNext w:val="0"/>
        <w:keepLines w:val="0"/>
        <w:widowControl w:val="0"/>
        <w:numPr>
          <w:ilvl w:val="0"/>
          <w:numId w:val="14"/>
        </w:numPr>
        <w:shd w:val="clear" w:color="auto" w:fill="auto"/>
        <w:tabs>
          <w:tab w:val="left" w:pos="824"/>
        </w:tabs>
        <w:bidi w:val="0"/>
        <w:spacing w:before="0" w:after="0" w:line="400" w:lineRule="exact"/>
        <w:ind w:left="0" w:right="0" w:firstLine="480"/>
        <w:jc w:val="both"/>
        <w:rPr>
          <w:rFonts w:hint="eastAsia" w:ascii="宋体" w:hAnsi="宋体" w:eastAsia="宋体" w:cs="宋体"/>
          <w:color w:val="auto"/>
          <w:sz w:val="21"/>
          <w:szCs w:val="21"/>
        </w:rPr>
      </w:pPr>
      <w:bookmarkStart w:id="19" w:name="bookmark68"/>
      <w:bookmarkEnd w:id="19"/>
      <w:r>
        <w:rPr>
          <w:rFonts w:hint="eastAsia" w:ascii="宋体" w:hAnsi="宋体" w:eastAsia="宋体" w:cs="宋体"/>
          <w:color w:val="auto"/>
          <w:spacing w:val="0"/>
          <w:w w:val="100"/>
          <w:position w:val="0"/>
          <w:sz w:val="21"/>
          <w:szCs w:val="21"/>
        </w:rPr>
        <w:t>乙方应保证在其出售的标的物上不存在任何未曾向甲方透露的担保物权，如抵押权、质押权、留置权等；</w:t>
      </w:r>
    </w:p>
    <w:p w14:paraId="28680927">
      <w:pPr>
        <w:pStyle w:val="85"/>
        <w:keepNext w:val="0"/>
        <w:keepLines w:val="0"/>
        <w:widowControl w:val="0"/>
        <w:numPr>
          <w:ilvl w:val="0"/>
          <w:numId w:val="14"/>
        </w:numPr>
        <w:shd w:val="clear" w:color="auto" w:fill="auto"/>
        <w:tabs>
          <w:tab w:val="left" w:pos="819"/>
        </w:tabs>
        <w:bidi w:val="0"/>
        <w:spacing w:before="0" w:after="140" w:line="400" w:lineRule="exact"/>
        <w:ind w:left="0" w:right="0" w:firstLine="480"/>
        <w:jc w:val="both"/>
        <w:rPr>
          <w:rFonts w:hint="eastAsia" w:ascii="宋体" w:hAnsi="宋体" w:eastAsia="宋体" w:cs="宋体"/>
          <w:color w:val="auto"/>
          <w:sz w:val="21"/>
          <w:szCs w:val="21"/>
        </w:rPr>
      </w:pPr>
      <w:bookmarkStart w:id="20" w:name="bookmark69"/>
      <w:bookmarkEnd w:id="20"/>
      <w:r>
        <w:rPr>
          <w:rFonts w:hint="eastAsia" w:ascii="宋体" w:hAnsi="宋体" w:eastAsia="宋体" w:cs="宋体"/>
          <w:color w:val="auto"/>
          <w:spacing w:val="0"/>
          <w:w w:val="100"/>
          <w:position w:val="0"/>
          <w:sz w:val="21"/>
          <w:szCs w:val="21"/>
        </w:rPr>
        <w:t>乙方应保证其所出售的标的物没有侵害任何第三人的知识产权和商业秘密等权利；</w:t>
      </w:r>
    </w:p>
    <w:p w14:paraId="2E1BF73D">
      <w:pPr>
        <w:pStyle w:val="85"/>
        <w:keepNext w:val="0"/>
        <w:keepLines w:val="0"/>
        <w:widowControl w:val="0"/>
        <w:numPr>
          <w:ilvl w:val="0"/>
          <w:numId w:val="14"/>
        </w:numPr>
        <w:shd w:val="clear" w:color="auto" w:fill="auto"/>
        <w:tabs>
          <w:tab w:val="left" w:pos="834"/>
        </w:tabs>
        <w:bidi w:val="0"/>
        <w:spacing w:before="0" w:after="0"/>
        <w:ind w:left="0" w:right="0" w:firstLine="480"/>
        <w:jc w:val="both"/>
        <w:rPr>
          <w:rFonts w:hint="eastAsia" w:ascii="宋体" w:hAnsi="宋体" w:eastAsia="宋体" w:cs="宋体"/>
          <w:color w:val="auto"/>
          <w:sz w:val="21"/>
          <w:szCs w:val="21"/>
        </w:rPr>
      </w:pPr>
      <w:bookmarkStart w:id="21" w:name="bookmark70"/>
      <w:bookmarkEnd w:id="21"/>
      <w:r>
        <w:rPr>
          <w:rFonts w:hint="eastAsia" w:ascii="宋体" w:hAnsi="宋体" w:eastAsia="宋体" w:cs="宋体"/>
          <w:color w:val="auto"/>
          <w:spacing w:val="0"/>
          <w:w w:val="100"/>
          <w:position w:val="0"/>
          <w:sz w:val="21"/>
          <w:szCs w:val="21"/>
        </w:rPr>
        <w:t>如甲方使用该标的物构成上述侵权的，则由乙方承担全部责任。</w:t>
      </w:r>
    </w:p>
    <w:p w14:paraId="35E1E1C9">
      <w:pPr>
        <w:pStyle w:val="85"/>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第六条所有权归属</w:t>
      </w:r>
    </w:p>
    <w:p w14:paraId="4F33BE81">
      <w:pPr>
        <w:pStyle w:val="85"/>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乙方将服务成果交付甲方，并且经甲乙双方共同验收合格后所有权转移给甲方，在所有权转移之前，标的物损毁、灭失的风险归乙方，乙方保证所交付的服务成果的所有权完全属于乙方且无任何抵押、查封等</w:t>
      </w:r>
      <w:r>
        <w:rPr>
          <w:rFonts w:hint="eastAsia" w:ascii="宋体" w:hAnsi="宋体" w:eastAsia="宋体" w:cs="宋体"/>
          <w:color w:val="auto"/>
          <w:spacing w:val="0"/>
          <w:w w:val="100"/>
          <w:position w:val="0"/>
          <w:sz w:val="21"/>
          <w:szCs w:val="21"/>
          <w:lang w:eastAsia="zh-CN"/>
        </w:rPr>
        <w:t>产权</w:t>
      </w:r>
      <w:r>
        <w:rPr>
          <w:rFonts w:hint="eastAsia" w:ascii="宋体" w:hAnsi="宋体" w:eastAsia="宋体" w:cs="宋体"/>
          <w:color w:val="auto"/>
          <w:spacing w:val="0"/>
          <w:w w:val="100"/>
          <w:position w:val="0"/>
          <w:sz w:val="21"/>
          <w:szCs w:val="21"/>
        </w:rPr>
        <w:t>瑕疵。</w:t>
      </w:r>
    </w:p>
    <w:p w14:paraId="075B85FF">
      <w:pPr>
        <w:pStyle w:val="85"/>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14:paraId="1130A3C2">
      <w:pPr>
        <w:pStyle w:val="85"/>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第七条包装、装运及运输</w:t>
      </w:r>
    </w:p>
    <w:p w14:paraId="5B092EAA">
      <w:pPr>
        <w:pStyle w:val="85"/>
        <w:keepNext w:val="0"/>
        <w:keepLines w:val="0"/>
        <w:widowControl w:val="0"/>
        <w:shd w:val="clear" w:color="auto" w:fill="auto"/>
        <w:tabs>
          <w:tab w:val="left" w:pos="862"/>
        </w:tabs>
        <w:bidi w:val="0"/>
        <w:spacing w:before="0" w:after="140" w:line="400" w:lineRule="exact"/>
        <w:ind w:left="0" w:right="0" w:firstLine="480"/>
        <w:jc w:val="both"/>
        <w:rPr>
          <w:rFonts w:hint="eastAsia" w:ascii="宋体" w:hAnsi="宋体" w:eastAsia="宋体" w:cs="宋体"/>
          <w:color w:val="auto"/>
          <w:sz w:val="21"/>
          <w:szCs w:val="21"/>
        </w:rPr>
      </w:pPr>
      <w:bookmarkStart w:id="22" w:name="bookmark71"/>
      <w:r>
        <w:rPr>
          <w:rFonts w:hint="eastAsia" w:ascii="宋体" w:hAnsi="宋体" w:eastAsia="宋体" w:cs="宋体"/>
          <w:color w:val="auto"/>
          <w:spacing w:val="0"/>
          <w:w w:val="100"/>
          <w:position w:val="0"/>
          <w:sz w:val="21"/>
          <w:szCs w:val="21"/>
        </w:rPr>
        <w:t>1</w:t>
      </w:r>
      <w:bookmarkEnd w:id="22"/>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乙方负责包装、装运和运输，由于不适当的包装、装运和运输造成任何损坏均由乙方负责。</w:t>
      </w:r>
    </w:p>
    <w:p w14:paraId="6EBD4963">
      <w:pPr>
        <w:pStyle w:val="85"/>
        <w:keepNext w:val="0"/>
        <w:keepLines w:val="0"/>
        <w:widowControl w:val="0"/>
        <w:shd w:val="clear" w:color="auto" w:fill="auto"/>
        <w:tabs>
          <w:tab w:val="left" w:pos="872"/>
        </w:tabs>
        <w:bidi w:val="0"/>
        <w:spacing w:before="0" w:after="0"/>
        <w:ind w:left="0" w:right="0" w:firstLine="480"/>
        <w:jc w:val="both"/>
        <w:rPr>
          <w:rFonts w:hint="eastAsia" w:ascii="宋体" w:hAnsi="宋体" w:eastAsia="宋体" w:cs="宋体"/>
          <w:color w:val="auto"/>
          <w:sz w:val="21"/>
          <w:szCs w:val="21"/>
        </w:rPr>
      </w:pPr>
      <w:bookmarkStart w:id="23" w:name="bookmark72"/>
      <w:r>
        <w:rPr>
          <w:rFonts w:hint="eastAsia" w:ascii="宋体" w:hAnsi="宋体" w:eastAsia="宋体" w:cs="宋体"/>
          <w:color w:val="auto"/>
          <w:spacing w:val="0"/>
          <w:w w:val="100"/>
          <w:position w:val="0"/>
          <w:sz w:val="21"/>
          <w:szCs w:val="21"/>
        </w:rPr>
        <w:t>2</w:t>
      </w:r>
      <w:bookmarkEnd w:id="23"/>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包装费、运费及相关费用已包含在合同总金额内。</w:t>
      </w:r>
    </w:p>
    <w:p w14:paraId="2B3F9BAD">
      <w:pPr>
        <w:pStyle w:val="85"/>
        <w:keepNext w:val="0"/>
        <w:keepLines w:val="0"/>
        <w:widowControl w:val="0"/>
        <w:shd w:val="clear" w:color="auto" w:fill="auto"/>
        <w:tabs>
          <w:tab w:val="left" w:pos="867"/>
        </w:tabs>
        <w:bidi w:val="0"/>
        <w:spacing w:before="0" w:after="0" w:line="400" w:lineRule="exact"/>
        <w:ind w:left="0" w:right="0" w:firstLine="480"/>
        <w:jc w:val="both"/>
        <w:rPr>
          <w:rFonts w:hint="eastAsia" w:ascii="宋体" w:hAnsi="宋体" w:eastAsia="宋体" w:cs="宋体"/>
          <w:color w:val="auto"/>
          <w:sz w:val="21"/>
          <w:szCs w:val="21"/>
        </w:rPr>
      </w:pPr>
      <w:bookmarkStart w:id="24" w:name="bookmark73"/>
      <w:r>
        <w:rPr>
          <w:rFonts w:hint="eastAsia" w:ascii="宋体" w:hAnsi="宋体" w:eastAsia="宋体" w:cs="宋体"/>
          <w:color w:val="auto"/>
          <w:spacing w:val="0"/>
          <w:w w:val="100"/>
          <w:position w:val="0"/>
          <w:sz w:val="21"/>
          <w:szCs w:val="21"/>
        </w:rPr>
        <w:t>3</w:t>
      </w:r>
      <w:bookmarkEnd w:id="24"/>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根据财政部等三部门《关于印发</w:t>
      </w:r>
      <w:r>
        <w:rPr>
          <w:rFonts w:hint="eastAsia" w:ascii="宋体" w:hAnsi="宋体" w:eastAsia="宋体" w:cs="宋体"/>
          <w:color w:val="auto"/>
          <w:spacing w:val="0"/>
          <w:w w:val="100"/>
          <w:position w:val="0"/>
          <w:sz w:val="21"/>
          <w:szCs w:val="21"/>
          <w:lang w:val="zh-CN" w:eastAsia="zh-CN" w:bidi="zh-CN"/>
        </w:rPr>
        <w:t>〈商</w:t>
      </w:r>
      <w:r>
        <w:rPr>
          <w:rFonts w:hint="eastAsia" w:ascii="宋体" w:hAnsi="宋体" w:eastAsia="宋体" w:cs="宋体"/>
          <w:color w:val="auto"/>
          <w:spacing w:val="0"/>
          <w:w w:val="100"/>
          <w:position w:val="0"/>
          <w:sz w:val="21"/>
          <w:szCs w:val="21"/>
        </w:rPr>
        <w:t>品包装政府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需求标准（试行）＞、〈 快递包装政府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需求标准（试行）〉的通知》规定，对乙方提出的具体包装要求：</w:t>
      </w:r>
    </w:p>
    <w:p w14:paraId="06D3E95F">
      <w:pPr>
        <w:pStyle w:val="85"/>
        <w:keepNext w:val="0"/>
        <w:keepLines w:val="0"/>
        <w:widowControl w:val="0"/>
        <w:shd w:val="clear" w:color="auto" w:fill="auto"/>
        <w:bidi w:val="0"/>
        <w:spacing w:before="0" w:after="140" w:line="400"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第八条款项支付</w:t>
      </w:r>
    </w:p>
    <w:p w14:paraId="5ACAB435">
      <w:pPr>
        <w:pStyle w:val="85"/>
        <w:keepNext w:val="0"/>
        <w:keepLines w:val="0"/>
        <w:widowControl w:val="0"/>
        <w:shd w:val="clear" w:color="auto" w:fill="auto"/>
        <w:tabs>
          <w:tab w:val="left" w:pos="842"/>
        </w:tabs>
        <w:bidi w:val="0"/>
        <w:spacing w:before="0" w:after="0"/>
        <w:ind w:left="0" w:right="0" w:firstLine="460"/>
        <w:jc w:val="both"/>
        <w:rPr>
          <w:rFonts w:hint="eastAsia" w:ascii="宋体" w:hAnsi="宋体" w:eastAsia="宋体" w:cs="宋体"/>
          <w:color w:val="auto"/>
          <w:sz w:val="21"/>
          <w:szCs w:val="21"/>
        </w:rPr>
      </w:pPr>
      <w:bookmarkStart w:id="25" w:name="bookmark74"/>
      <w:r>
        <w:rPr>
          <w:rFonts w:hint="eastAsia" w:ascii="宋体" w:hAnsi="宋体" w:eastAsia="宋体" w:cs="宋体"/>
          <w:color w:val="auto"/>
          <w:spacing w:val="0"/>
          <w:w w:val="100"/>
          <w:position w:val="0"/>
          <w:sz w:val="21"/>
          <w:szCs w:val="21"/>
        </w:rPr>
        <w:t>1</w:t>
      </w:r>
      <w:bookmarkEnd w:id="25"/>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服务成果交付甲方，经甲乙双方共同验收合格后由甲方负责办理支付手续。</w:t>
      </w:r>
    </w:p>
    <w:p w14:paraId="3107386F">
      <w:pPr>
        <w:pStyle w:val="85"/>
        <w:keepNext w:val="0"/>
        <w:keepLines w:val="0"/>
        <w:widowControl w:val="0"/>
        <w:shd w:val="clear" w:color="auto" w:fill="auto"/>
        <w:tabs>
          <w:tab w:val="left" w:pos="392"/>
        </w:tabs>
        <w:bidi w:val="0"/>
        <w:spacing w:before="0" w:after="160"/>
        <w:ind w:left="0" w:right="0" w:firstLine="460"/>
        <w:jc w:val="both"/>
        <w:rPr>
          <w:rFonts w:hint="eastAsia" w:ascii="宋体" w:hAnsi="宋体" w:eastAsia="宋体" w:cs="宋体"/>
          <w:color w:val="auto"/>
          <w:sz w:val="21"/>
          <w:szCs w:val="21"/>
        </w:rPr>
      </w:pPr>
      <w:bookmarkStart w:id="26" w:name="bookmark75"/>
      <w:r>
        <w:rPr>
          <w:rFonts w:hint="eastAsia" w:ascii="宋体" w:hAnsi="宋体" w:eastAsia="宋体" w:cs="宋体"/>
          <w:color w:val="auto"/>
          <w:spacing w:val="0"/>
          <w:w w:val="100"/>
          <w:position w:val="0"/>
          <w:sz w:val="21"/>
          <w:szCs w:val="21"/>
        </w:rPr>
        <w:t>2</w:t>
      </w:r>
      <w:bookmarkEnd w:id="26"/>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允许并鼓励乙方提供电子发票，甲方自收到发票之日起2个工作日内支付资金，并不得附加未经约定的其他条件。</w:t>
      </w:r>
    </w:p>
    <w:p w14:paraId="75DB76DB">
      <w:pPr>
        <w:pStyle w:val="85"/>
        <w:keepNext w:val="0"/>
        <w:keepLines w:val="0"/>
        <w:widowControl w:val="0"/>
        <w:shd w:val="clear" w:color="auto" w:fill="auto"/>
        <w:bidi w:val="0"/>
        <w:spacing w:before="0" w:after="0" w:line="382" w:lineRule="auto"/>
        <w:ind w:left="0" w:right="0" w:firstLine="480"/>
        <w:jc w:val="both"/>
        <w:rPr>
          <w:rFonts w:hint="eastAsia" w:ascii="宋体" w:hAnsi="宋体" w:eastAsia="宋体" w:cs="宋体"/>
          <w:color w:val="auto"/>
          <w:sz w:val="21"/>
          <w:szCs w:val="21"/>
        </w:rPr>
      </w:pPr>
      <w:bookmarkStart w:id="27" w:name="bookmark76"/>
      <w:r>
        <w:rPr>
          <w:rFonts w:hint="eastAsia" w:ascii="宋体" w:hAnsi="宋体" w:eastAsia="宋体" w:cs="宋体"/>
          <w:color w:val="auto"/>
          <w:spacing w:val="0"/>
          <w:w w:val="100"/>
          <w:position w:val="0"/>
          <w:sz w:val="21"/>
          <w:szCs w:val="21"/>
        </w:rPr>
        <w:t>3</w:t>
      </w:r>
      <w:bookmarkEnd w:id="27"/>
      <w:r>
        <w:rPr>
          <w:rFonts w:hint="eastAsia" w:ascii="宋体" w:hAnsi="宋体" w:eastAsia="宋体" w:cs="宋体"/>
          <w:color w:val="auto"/>
          <w:spacing w:val="0"/>
          <w:w w:val="100"/>
          <w:position w:val="0"/>
          <w:sz w:val="21"/>
          <w:szCs w:val="21"/>
        </w:rPr>
        <w:t>、付款方式</w:t>
      </w:r>
    </w:p>
    <w:p w14:paraId="385428E8">
      <w:pPr>
        <w:pStyle w:val="85"/>
        <w:keepNext w:val="0"/>
        <w:keepLines w:val="0"/>
        <w:widowControl w:val="0"/>
        <w:shd w:val="clear" w:color="auto" w:fill="auto"/>
        <w:tabs>
          <w:tab w:val="left" w:leader="dot" w:pos="2088"/>
        </w:tabs>
        <w:bidi w:val="0"/>
        <w:spacing w:before="0" w:after="0" w:line="401"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3.1</w:t>
      </w:r>
      <w:r>
        <w:rPr>
          <w:rFonts w:hint="eastAsia" w:ascii="宋体" w:hAnsi="宋体" w:eastAsia="宋体" w:cs="宋体"/>
          <w:color w:val="auto"/>
          <w:spacing w:val="0"/>
          <w:w w:val="100"/>
          <w:position w:val="0"/>
          <w:sz w:val="21"/>
          <w:szCs w:val="21"/>
        </w:rPr>
        <w:t>预付款比例：</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lang w:eastAsia="zh-CN"/>
        </w:rPr>
        <w:t>，</w:t>
      </w:r>
      <w:r>
        <w:rPr>
          <w:rFonts w:hint="eastAsia" w:ascii="宋体" w:hAnsi="宋体" w:eastAsia="宋体" w:cs="宋体"/>
          <w:color w:val="auto"/>
          <w:spacing w:val="0"/>
          <w:w w:val="100"/>
          <w:position w:val="0"/>
          <w:sz w:val="21"/>
          <w:szCs w:val="21"/>
        </w:rPr>
        <w:t>于政府采购合同签订生效并具备实施条件后2个工作日内支付。</w:t>
      </w:r>
      <w:r>
        <w:rPr>
          <w:rFonts w:hint="eastAsia" w:ascii="宋体" w:hAnsi="宋体" w:eastAsia="宋体" w:cs="宋体"/>
          <w:color w:val="auto"/>
          <w:spacing w:val="0"/>
          <w:w w:val="100"/>
          <w:position w:val="0"/>
          <w:sz w:val="21"/>
          <w:szCs w:val="21"/>
          <w:lang w:val="en-US" w:eastAsia="en-US" w:bidi="en-US"/>
        </w:rPr>
        <w:tab/>
      </w:r>
    </w:p>
    <w:p w14:paraId="317D2083">
      <w:pPr>
        <w:pStyle w:val="85"/>
        <w:keepNext w:val="0"/>
        <w:keepLines w:val="0"/>
        <w:widowControl w:val="0"/>
        <w:shd w:val="clear" w:color="auto" w:fill="auto"/>
        <w:bidi w:val="0"/>
        <w:spacing w:before="0" w:after="0" w:line="401"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第九条履约保证金</w:t>
      </w:r>
    </w:p>
    <w:p w14:paraId="2670C2BE">
      <w:pPr>
        <w:pStyle w:val="85"/>
        <w:keepNext w:val="0"/>
        <w:keepLines w:val="0"/>
        <w:widowControl w:val="0"/>
        <w:shd w:val="clear" w:color="auto" w:fill="auto"/>
        <w:bidi w:val="0"/>
        <w:spacing w:before="0" w:after="0" w:line="401" w:lineRule="exact"/>
        <w:ind w:left="460" w:right="0" w:firstLine="20"/>
        <w:jc w:val="both"/>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 xml:space="preserve">根据许昌市优化政府采购营商环境要求，项目不收取履约保证金。…… </w:t>
      </w:r>
    </w:p>
    <w:p w14:paraId="0FFAD080">
      <w:pPr>
        <w:pStyle w:val="85"/>
        <w:keepNext w:val="0"/>
        <w:keepLines w:val="0"/>
        <w:widowControl w:val="0"/>
        <w:shd w:val="clear" w:color="auto" w:fill="auto"/>
        <w:bidi w:val="0"/>
        <w:spacing w:before="0" w:after="0" w:line="401" w:lineRule="exact"/>
        <w:ind w:left="460" w:right="0" w:firstLine="2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第十条售后服务及承诺</w:t>
      </w:r>
    </w:p>
    <w:p w14:paraId="5D02FDD5">
      <w:pPr>
        <w:pStyle w:val="85"/>
        <w:keepNext w:val="0"/>
        <w:keepLines w:val="0"/>
        <w:widowControl w:val="0"/>
        <w:shd w:val="clear" w:color="auto" w:fill="auto"/>
        <w:tabs>
          <w:tab w:val="left" w:pos="843"/>
          <w:tab w:val="left" w:pos="6134"/>
        </w:tabs>
        <w:bidi w:val="0"/>
        <w:spacing w:before="0" w:after="0" w:line="401" w:lineRule="exact"/>
        <w:ind w:left="0" w:right="0" w:firstLine="480"/>
        <w:jc w:val="both"/>
        <w:rPr>
          <w:rFonts w:hint="eastAsia" w:ascii="宋体" w:hAnsi="宋体" w:eastAsia="宋体" w:cs="宋体"/>
          <w:color w:val="auto"/>
          <w:sz w:val="21"/>
          <w:szCs w:val="21"/>
        </w:rPr>
      </w:pPr>
      <w:bookmarkStart w:id="28" w:name="bookmark77"/>
      <w:r>
        <w:rPr>
          <w:rFonts w:hint="eastAsia" w:ascii="宋体" w:hAnsi="宋体" w:eastAsia="宋体" w:cs="宋体"/>
          <w:color w:val="auto"/>
          <w:spacing w:val="0"/>
          <w:w w:val="100"/>
          <w:position w:val="0"/>
          <w:sz w:val="21"/>
          <w:szCs w:val="21"/>
        </w:rPr>
        <w:t>1</w:t>
      </w:r>
      <w:bookmarkEnd w:id="28"/>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服务质量保证期限自提交服务验收合格之日起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年，在质量保证期内， 乙方应对服务出现的问题负责处理并承担一切费用，并且赔偿甲方的损失。</w:t>
      </w:r>
    </w:p>
    <w:p w14:paraId="44125B04">
      <w:pPr>
        <w:pStyle w:val="85"/>
        <w:keepNext w:val="0"/>
        <w:keepLines w:val="0"/>
        <w:widowControl w:val="0"/>
        <w:shd w:val="clear" w:color="auto" w:fill="auto"/>
        <w:tabs>
          <w:tab w:val="left" w:pos="867"/>
        </w:tabs>
        <w:bidi w:val="0"/>
        <w:spacing w:before="0" w:after="0" w:line="401" w:lineRule="exact"/>
        <w:ind w:left="0" w:right="0" w:firstLine="480"/>
        <w:jc w:val="both"/>
        <w:rPr>
          <w:rFonts w:hint="eastAsia" w:ascii="宋体" w:hAnsi="宋体" w:eastAsia="宋体" w:cs="宋体"/>
          <w:color w:val="auto"/>
          <w:sz w:val="21"/>
          <w:szCs w:val="21"/>
        </w:rPr>
      </w:pPr>
      <w:bookmarkStart w:id="29" w:name="bookmark78"/>
      <w:r>
        <w:rPr>
          <w:rFonts w:hint="eastAsia" w:ascii="宋体" w:hAnsi="宋体" w:eastAsia="宋体" w:cs="宋体"/>
          <w:color w:val="auto"/>
          <w:spacing w:val="0"/>
          <w:w w:val="100"/>
          <w:position w:val="0"/>
          <w:sz w:val="21"/>
          <w:szCs w:val="21"/>
        </w:rPr>
        <w:t>2</w:t>
      </w:r>
      <w:bookmarkEnd w:id="29"/>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乙方有完善的服务体系，有能力提供持续的、本地化售后服务。</w:t>
      </w:r>
    </w:p>
    <w:p w14:paraId="08526597">
      <w:pPr>
        <w:pStyle w:val="85"/>
        <w:keepNext w:val="0"/>
        <w:keepLines w:val="0"/>
        <w:widowControl w:val="0"/>
        <w:shd w:val="clear" w:color="auto" w:fill="auto"/>
        <w:tabs>
          <w:tab w:val="left" w:pos="862"/>
        </w:tabs>
        <w:bidi w:val="0"/>
        <w:spacing w:before="0" w:after="0" w:line="401" w:lineRule="exact"/>
        <w:ind w:left="0" w:right="0" w:firstLine="480"/>
        <w:jc w:val="both"/>
        <w:rPr>
          <w:rFonts w:hint="eastAsia" w:ascii="宋体" w:hAnsi="宋体" w:eastAsia="宋体" w:cs="宋体"/>
          <w:color w:val="auto"/>
          <w:sz w:val="21"/>
          <w:szCs w:val="21"/>
        </w:rPr>
      </w:pPr>
      <w:bookmarkStart w:id="30" w:name="bookmark79"/>
      <w:r>
        <w:rPr>
          <w:rFonts w:hint="eastAsia" w:ascii="宋体" w:hAnsi="宋体" w:eastAsia="宋体" w:cs="宋体"/>
          <w:color w:val="auto"/>
          <w:spacing w:val="0"/>
          <w:w w:val="100"/>
          <w:position w:val="0"/>
          <w:sz w:val="21"/>
          <w:szCs w:val="21"/>
        </w:rPr>
        <w:t>3</w:t>
      </w:r>
      <w:bookmarkEnd w:id="30"/>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乙方负责系统安装和调试以及操作人员培训，并制定详细的培训计划，使操作人员能独立进行管理、操作、维护和故障处理等工作，做好相关记录及技术文档收集整理，待验收后移交。</w:t>
      </w:r>
    </w:p>
    <w:p w14:paraId="184FD7F5">
      <w:pPr>
        <w:pStyle w:val="85"/>
        <w:keepNext w:val="0"/>
        <w:keepLines w:val="0"/>
        <w:widowControl w:val="0"/>
        <w:shd w:val="clear" w:color="auto" w:fill="auto"/>
        <w:tabs>
          <w:tab w:val="left" w:pos="877"/>
        </w:tabs>
        <w:bidi w:val="0"/>
        <w:spacing w:before="0" w:after="0" w:line="401" w:lineRule="exact"/>
        <w:ind w:left="0" w:right="0" w:firstLine="480"/>
        <w:jc w:val="both"/>
        <w:rPr>
          <w:rFonts w:hint="eastAsia" w:ascii="宋体" w:hAnsi="宋体" w:eastAsia="宋体" w:cs="宋体"/>
          <w:color w:val="auto"/>
          <w:sz w:val="21"/>
          <w:szCs w:val="21"/>
        </w:rPr>
      </w:pPr>
      <w:bookmarkStart w:id="31" w:name="bookmark80"/>
      <w:r>
        <w:rPr>
          <w:rFonts w:hint="eastAsia" w:ascii="宋体" w:hAnsi="宋体" w:eastAsia="宋体" w:cs="宋体"/>
          <w:color w:val="auto"/>
          <w:spacing w:val="0"/>
          <w:w w:val="100"/>
          <w:position w:val="0"/>
          <w:sz w:val="21"/>
          <w:szCs w:val="21"/>
        </w:rPr>
        <w:t>4</w:t>
      </w:r>
      <w:bookmarkEnd w:id="31"/>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服务范围：负责招标文件所</w:t>
      </w:r>
      <w:r>
        <w:rPr>
          <w:rFonts w:hint="eastAsia" w:ascii="宋体" w:hAnsi="宋体" w:eastAsia="宋体" w:cs="宋体"/>
          <w:color w:val="auto"/>
          <w:spacing w:val="0"/>
          <w:w w:val="100"/>
          <w:position w:val="0"/>
          <w:sz w:val="21"/>
          <w:szCs w:val="21"/>
          <w:lang w:eastAsia="zh-CN"/>
        </w:rPr>
        <w:t>涉及的</w:t>
      </w:r>
      <w:r>
        <w:rPr>
          <w:rFonts w:hint="eastAsia" w:ascii="宋体" w:hAnsi="宋体" w:eastAsia="宋体" w:cs="宋体"/>
          <w:color w:val="auto"/>
          <w:spacing w:val="0"/>
          <w:w w:val="100"/>
          <w:position w:val="0"/>
          <w:sz w:val="21"/>
          <w:szCs w:val="21"/>
        </w:rPr>
        <w:t>所有服务。……</w:t>
      </w:r>
    </w:p>
    <w:p w14:paraId="4316AB61">
      <w:pPr>
        <w:pStyle w:val="85"/>
        <w:keepNext w:val="0"/>
        <w:keepLines w:val="0"/>
        <w:widowControl w:val="0"/>
        <w:shd w:val="clear" w:color="auto" w:fill="auto"/>
        <w:bidi w:val="0"/>
        <w:spacing w:before="0" w:after="0" w:line="401"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第十一条知识产权</w:t>
      </w:r>
    </w:p>
    <w:p w14:paraId="3498530C">
      <w:pPr>
        <w:pStyle w:val="85"/>
        <w:keepNext w:val="0"/>
        <w:keepLines w:val="0"/>
        <w:widowControl w:val="0"/>
        <w:shd w:val="clear" w:color="auto" w:fill="auto"/>
        <w:tabs>
          <w:tab w:val="left" w:pos="862"/>
        </w:tabs>
        <w:bidi w:val="0"/>
        <w:spacing w:before="0" w:after="0" w:line="401" w:lineRule="exact"/>
        <w:ind w:left="0" w:right="0" w:firstLine="480"/>
        <w:jc w:val="both"/>
        <w:rPr>
          <w:rFonts w:hint="eastAsia" w:ascii="宋体" w:hAnsi="宋体" w:eastAsia="宋体" w:cs="宋体"/>
          <w:color w:val="auto"/>
          <w:sz w:val="21"/>
          <w:szCs w:val="21"/>
        </w:rPr>
      </w:pPr>
      <w:bookmarkStart w:id="32" w:name="bookmark81"/>
      <w:r>
        <w:rPr>
          <w:rFonts w:hint="eastAsia" w:ascii="宋体" w:hAnsi="宋体" w:eastAsia="宋体" w:cs="宋体"/>
          <w:color w:val="auto"/>
          <w:spacing w:val="0"/>
          <w:w w:val="100"/>
          <w:position w:val="0"/>
          <w:sz w:val="21"/>
          <w:szCs w:val="21"/>
        </w:rPr>
        <w:t>1</w:t>
      </w:r>
      <w:bookmarkEnd w:id="32"/>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乙方保证，甲方在享受服务或者服务的任何一部分时，免受第三方提出的侵犯其专利权、商标权或其他知识产权的起诉。如发生此类纠纷，由乙方承担一切责任；如因此给甲方造成损失的，乙方负责全额赔偿。</w:t>
      </w:r>
    </w:p>
    <w:p w14:paraId="0EE5FCBE">
      <w:pPr>
        <w:pStyle w:val="85"/>
        <w:keepNext w:val="0"/>
        <w:keepLines w:val="0"/>
        <w:widowControl w:val="0"/>
        <w:shd w:val="clear" w:color="auto" w:fill="auto"/>
        <w:tabs>
          <w:tab w:val="left" w:pos="858"/>
          <w:tab w:val="left" w:leader="dot" w:pos="1848"/>
        </w:tabs>
        <w:bidi w:val="0"/>
        <w:spacing w:before="0" w:after="0" w:line="401" w:lineRule="exact"/>
        <w:ind w:left="0" w:right="0" w:firstLine="480"/>
        <w:jc w:val="both"/>
        <w:rPr>
          <w:rFonts w:hint="eastAsia" w:ascii="宋体" w:hAnsi="宋体" w:eastAsia="宋体" w:cs="宋体"/>
          <w:color w:val="auto"/>
          <w:sz w:val="21"/>
          <w:szCs w:val="21"/>
        </w:rPr>
      </w:pPr>
      <w:bookmarkStart w:id="33" w:name="bookmark82"/>
      <w:r>
        <w:rPr>
          <w:rFonts w:hint="eastAsia" w:ascii="宋体" w:hAnsi="宋体" w:eastAsia="宋体" w:cs="宋体"/>
          <w:color w:val="auto"/>
          <w:spacing w:val="0"/>
          <w:w w:val="100"/>
          <w:position w:val="0"/>
          <w:sz w:val="21"/>
          <w:szCs w:val="21"/>
        </w:rPr>
        <w:t>2</w:t>
      </w:r>
      <w:bookmarkEnd w:id="33"/>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乙方为执行本合同而提供的技术资料或者其他相关资料、软件等由甲方永久免费使用。</w:t>
      </w:r>
      <w:r>
        <w:rPr>
          <w:rFonts w:hint="eastAsia" w:ascii="宋体" w:hAnsi="宋体" w:eastAsia="宋体" w:cs="宋体"/>
          <w:color w:val="auto"/>
          <w:spacing w:val="0"/>
          <w:w w:val="100"/>
          <w:position w:val="0"/>
          <w:sz w:val="21"/>
          <w:szCs w:val="21"/>
          <w:lang w:val="en-US" w:eastAsia="en-US" w:bidi="en-US"/>
        </w:rPr>
        <w:tab/>
      </w:r>
    </w:p>
    <w:p w14:paraId="2EC1CF23">
      <w:pPr>
        <w:pStyle w:val="85"/>
        <w:keepNext w:val="0"/>
        <w:keepLines w:val="0"/>
        <w:widowControl w:val="0"/>
        <w:shd w:val="clear" w:color="auto" w:fill="auto"/>
        <w:bidi w:val="0"/>
        <w:spacing w:before="0" w:after="160" w:line="400"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第十二条甲方责任</w:t>
      </w:r>
    </w:p>
    <w:p w14:paraId="292EF870">
      <w:pPr>
        <w:pStyle w:val="85"/>
        <w:keepNext w:val="0"/>
        <w:keepLines w:val="0"/>
        <w:widowControl w:val="0"/>
        <w:shd w:val="clear" w:color="auto" w:fill="auto"/>
        <w:tabs>
          <w:tab w:val="left" w:pos="853"/>
        </w:tabs>
        <w:bidi w:val="0"/>
        <w:spacing w:before="0" w:after="0"/>
        <w:ind w:left="0" w:right="0" w:firstLine="480"/>
        <w:jc w:val="both"/>
        <w:rPr>
          <w:rFonts w:hint="eastAsia" w:ascii="宋体" w:hAnsi="宋体" w:eastAsia="宋体" w:cs="宋体"/>
          <w:color w:val="auto"/>
          <w:sz w:val="21"/>
          <w:szCs w:val="21"/>
        </w:rPr>
      </w:pPr>
      <w:bookmarkStart w:id="34" w:name="bookmark83"/>
      <w:r>
        <w:rPr>
          <w:rFonts w:hint="eastAsia" w:ascii="宋体" w:hAnsi="宋体" w:eastAsia="宋体" w:cs="宋体"/>
          <w:color w:val="auto"/>
          <w:spacing w:val="0"/>
          <w:w w:val="100"/>
          <w:position w:val="0"/>
          <w:sz w:val="21"/>
          <w:szCs w:val="21"/>
        </w:rPr>
        <w:t>1</w:t>
      </w:r>
      <w:bookmarkEnd w:id="34"/>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及时办理付款手续。</w:t>
      </w:r>
    </w:p>
    <w:p w14:paraId="4DFF73A6">
      <w:pPr>
        <w:pStyle w:val="85"/>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sz w:val="21"/>
          <w:szCs w:val="21"/>
        </w:rPr>
      </w:pPr>
      <w:bookmarkStart w:id="35" w:name="bookmark84"/>
      <w:r>
        <w:rPr>
          <w:rFonts w:hint="eastAsia" w:ascii="宋体" w:hAnsi="宋体" w:eastAsia="宋体" w:cs="宋体"/>
          <w:color w:val="auto"/>
          <w:spacing w:val="0"/>
          <w:w w:val="100"/>
          <w:position w:val="0"/>
          <w:sz w:val="21"/>
          <w:szCs w:val="21"/>
        </w:rPr>
        <w:t>2</w:t>
      </w:r>
      <w:bookmarkEnd w:id="35"/>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负责提供工作场地，协助乙方办理有关事宜。</w:t>
      </w:r>
    </w:p>
    <w:p w14:paraId="28E0DD4F">
      <w:pPr>
        <w:pStyle w:val="85"/>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sz w:val="21"/>
          <w:szCs w:val="21"/>
        </w:rPr>
      </w:pPr>
      <w:bookmarkStart w:id="36" w:name="bookmark85"/>
      <w:r>
        <w:rPr>
          <w:rFonts w:hint="eastAsia" w:ascii="宋体" w:hAnsi="宋体" w:eastAsia="宋体" w:cs="宋体"/>
          <w:color w:val="auto"/>
          <w:spacing w:val="0"/>
          <w:w w:val="100"/>
          <w:position w:val="0"/>
          <w:sz w:val="21"/>
          <w:szCs w:val="21"/>
        </w:rPr>
        <w:t>3</w:t>
      </w:r>
      <w:bookmarkEnd w:id="36"/>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对合同条款及所知悉的乙方商业秘密负有保密义务。……</w:t>
      </w:r>
    </w:p>
    <w:p w14:paraId="1FAED77F">
      <w:pPr>
        <w:pStyle w:val="85"/>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第十三条乙方责任</w:t>
      </w:r>
    </w:p>
    <w:p w14:paraId="5CA1D60F">
      <w:pPr>
        <w:pStyle w:val="85"/>
        <w:keepNext w:val="0"/>
        <w:keepLines w:val="0"/>
        <w:widowControl w:val="0"/>
        <w:shd w:val="clear" w:color="auto" w:fill="auto"/>
        <w:tabs>
          <w:tab w:val="left" w:pos="853"/>
        </w:tabs>
        <w:bidi w:val="0"/>
        <w:spacing w:before="0" w:after="0" w:line="400" w:lineRule="exact"/>
        <w:ind w:left="0" w:right="0" w:firstLine="480"/>
        <w:jc w:val="both"/>
        <w:rPr>
          <w:rFonts w:hint="eastAsia" w:ascii="宋体" w:hAnsi="宋体" w:eastAsia="宋体" w:cs="宋体"/>
          <w:color w:val="auto"/>
          <w:sz w:val="21"/>
          <w:szCs w:val="21"/>
        </w:rPr>
      </w:pPr>
      <w:bookmarkStart w:id="37" w:name="bookmark86"/>
      <w:r>
        <w:rPr>
          <w:rFonts w:hint="eastAsia" w:ascii="宋体" w:hAnsi="宋体" w:eastAsia="宋体" w:cs="宋体"/>
          <w:color w:val="auto"/>
          <w:spacing w:val="0"/>
          <w:w w:val="100"/>
          <w:position w:val="0"/>
          <w:sz w:val="21"/>
          <w:szCs w:val="21"/>
        </w:rPr>
        <w:t>1</w:t>
      </w:r>
      <w:bookmarkEnd w:id="37"/>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保证所提供服务为投标文件承诺服务，符合相关法律法规规定并且满足甲方的需求，保证其配套项目部件为全新的未使用的且符合相关的质量要求。</w:t>
      </w:r>
    </w:p>
    <w:p w14:paraId="7818F828">
      <w:pPr>
        <w:pStyle w:val="85"/>
        <w:keepNext w:val="0"/>
        <w:keepLines w:val="0"/>
        <w:widowControl w:val="0"/>
        <w:shd w:val="clear" w:color="auto" w:fill="auto"/>
        <w:tabs>
          <w:tab w:val="left" w:pos="843"/>
        </w:tabs>
        <w:bidi w:val="0"/>
        <w:spacing w:before="0" w:after="0" w:line="400" w:lineRule="exact"/>
        <w:ind w:left="0" w:right="0" w:firstLine="480"/>
        <w:jc w:val="both"/>
        <w:rPr>
          <w:rFonts w:hint="eastAsia" w:ascii="宋体" w:hAnsi="宋体" w:eastAsia="宋体" w:cs="宋体"/>
          <w:color w:val="auto"/>
          <w:sz w:val="21"/>
          <w:szCs w:val="21"/>
        </w:rPr>
      </w:pPr>
      <w:bookmarkStart w:id="38" w:name="bookmark87"/>
      <w:r>
        <w:rPr>
          <w:rFonts w:hint="eastAsia" w:ascii="宋体" w:hAnsi="宋体" w:eastAsia="宋体" w:cs="宋体"/>
          <w:color w:val="auto"/>
          <w:spacing w:val="0"/>
          <w:w w:val="100"/>
          <w:position w:val="0"/>
          <w:sz w:val="21"/>
          <w:szCs w:val="21"/>
        </w:rPr>
        <w:t>2</w:t>
      </w:r>
      <w:bookmarkEnd w:id="38"/>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保证所提供服务的售后服务，严格依据投标文件及相关承诺，对服务以及与之配套的项目进行保修、维护等服务。</w:t>
      </w:r>
    </w:p>
    <w:p w14:paraId="1C3C367F">
      <w:pPr>
        <w:pStyle w:val="85"/>
        <w:keepNext w:val="0"/>
        <w:keepLines w:val="0"/>
        <w:widowControl w:val="0"/>
        <w:shd w:val="clear" w:color="auto" w:fill="auto"/>
        <w:tabs>
          <w:tab w:val="left" w:pos="834"/>
          <w:tab w:val="left" w:leader="dot" w:pos="1814"/>
        </w:tabs>
        <w:bidi w:val="0"/>
        <w:spacing w:before="0" w:after="0" w:line="400" w:lineRule="exact"/>
        <w:ind w:left="0" w:right="0" w:firstLine="480"/>
        <w:jc w:val="both"/>
        <w:rPr>
          <w:rFonts w:hint="eastAsia" w:ascii="宋体" w:hAnsi="宋体" w:eastAsia="宋体" w:cs="宋体"/>
          <w:color w:val="auto"/>
          <w:sz w:val="21"/>
          <w:szCs w:val="21"/>
        </w:rPr>
      </w:pPr>
      <w:bookmarkStart w:id="39" w:name="bookmark88"/>
      <w:r>
        <w:rPr>
          <w:rFonts w:hint="eastAsia" w:ascii="宋体" w:hAnsi="宋体" w:eastAsia="宋体" w:cs="宋体"/>
          <w:color w:val="auto"/>
          <w:spacing w:val="0"/>
          <w:w w:val="100"/>
          <w:position w:val="0"/>
          <w:sz w:val="21"/>
          <w:szCs w:val="21"/>
        </w:rPr>
        <w:t>3</w:t>
      </w:r>
      <w:bookmarkEnd w:id="39"/>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保证其</w:t>
      </w:r>
      <w:r>
        <w:rPr>
          <w:rFonts w:hint="eastAsia" w:cs="宋体"/>
          <w:color w:val="auto"/>
          <w:spacing w:val="0"/>
          <w:w w:val="100"/>
          <w:position w:val="0"/>
          <w:sz w:val="21"/>
          <w:szCs w:val="21"/>
          <w:lang w:eastAsia="zh-CN"/>
        </w:rPr>
        <w:t>所提</w:t>
      </w:r>
      <w:r>
        <w:rPr>
          <w:rFonts w:hint="eastAsia" w:ascii="宋体" w:hAnsi="宋体" w:eastAsia="宋体" w:cs="宋体"/>
          <w:color w:val="auto"/>
          <w:spacing w:val="0"/>
          <w:w w:val="100"/>
          <w:position w:val="0"/>
          <w:sz w:val="21"/>
          <w:szCs w:val="21"/>
        </w:rPr>
        <w:t>供服务不存在侵犯第三方知识产权的行为，否则由此产生的损失由乙方承担。</w:t>
      </w:r>
      <w:r>
        <w:rPr>
          <w:rFonts w:hint="eastAsia" w:ascii="宋体" w:hAnsi="宋体" w:eastAsia="宋体" w:cs="宋体"/>
          <w:color w:val="auto"/>
          <w:spacing w:val="0"/>
          <w:w w:val="100"/>
          <w:position w:val="0"/>
          <w:sz w:val="21"/>
          <w:szCs w:val="21"/>
          <w:lang w:val="en-US" w:eastAsia="en-US" w:bidi="en-US"/>
        </w:rPr>
        <w:tab/>
      </w:r>
    </w:p>
    <w:p w14:paraId="6E600975">
      <w:pPr>
        <w:pStyle w:val="85"/>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第十四条违约责任</w:t>
      </w:r>
    </w:p>
    <w:p w14:paraId="610E994B">
      <w:pPr>
        <w:pStyle w:val="85"/>
        <w:keepNext w:val="0"/>
        <w:keepLines w:val="0"/>
        <w:widowControl w:val="0"/>
        <w:shd w:val="clear" w:color="auto" w:fill="auto"/>
        <w:bidi w:val="0"/>
        <w:spacing w:before="0" w:after="0" w:line="400" w:lineRule="exact"/>
        <w:ind w:left="0" w:right="0" w:firstLine="480"/>
        <w:jc w:val="both"/>
        <w:rPr>
          <w:rFonts w:hint="eastAsia" w:ascii="宋体" w:hAnsi="宋体" w:eastAsia="宋体" w:cs="宋体"/>
          <w:color w:val="auto"/>
          <w:sz w:val="21"/>
          <w:szCs w:val="21"/>
        </w:rPr>
      </w:pPr>
      <w:bookmarkStart w:id="40" w:name="bookmark89"/>
      <w:r>
        <w:rPr>
          <w:rFonts w:hint="eastAsia" w:ascii="宋体" w:hAnsi="宋体" w:eastAsia="宋体" w:cs="宋体"/>
          <w:color w:val="auto"/>
          <w:spacing w:val="0"/>
          <w:w w:val="100"/>
          <w:position w:val="0"/>
          <w:sz w:val="21"/>
          <w:szCs w:val="21"/>
        </w:rPr>
        <w:t>1</w:t>
      </w:r>
      <w:bookmarkEnd w:id="40"/>
      <w:r>
        <w:rPr>
          <w:rFonts w:hint="eastAsia" w:ascii="宋体" w:hAnsi="宋体" w:eastAsia="宋体" w:cs="宋体"/>
          <w:color w:val="auto"/>
          <w:spacing w:val="0"/>
          <w:w w:val="100"/>
          <w:position w:val="0"/>
          <w:sz w:val="21"/>
          <w:szCs w:val="21"/>
        </w:rPr>
        <w:t>、乙方所供服务成果及与之配套项目等不符合合同约定标准，甲方有权拒收。 同时，乙方向甲方支付合同总金额</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%的违约金。</w:t>
      </w:r>
    </w:p>
    <w:p w14:paraId="49A84D10">
      <w:pPr>
        <w:pStyle w:val="85"/>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sz w:val="21"/>
          <w:szCs w:val="21"/>
        </w:rPr>
      </w:pPr>
      <w:bookmarkStart w:id="41" w:name="bookmark90"/>
      <w:r>
        <w:rPr>
          <w:rFonts w:hint="eastAsia" w:ascii="宋体" w:hAnsi="宋体" w:eastAsia="宋体" w:cs="宋体"/>
          <w:color w:val="auto"/>
          <w:spacing w:val="0"/>
          <w:w w:val="100"/>
          <w:position w:val="0"/>
          <w:sz w:val="21"/>
          <w:szCs w:val="21"/>
          <w:lang w:val="zh-CN" w:eastAsia="zh-CN" w:bidi="zh-CN"/>
        </w:rPr>
        <w:t>2</w:t>
      </w:r>
      <w:bookmarkEnd w:id="41"/>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lang w:val="zh-CN" w:eastAsia="zh-CN" w:bidi="zh-CN"/>
        </w:rPr>
        <w:tab/>
      </w:r>
      <w:r>
        <w:rPr>
          <w:rFonts w:hint="eastAsia" w:ascii="宋体" w:hAnsi="宋体" w:eastAsia="宋体" w:cs="宋体"/>
          <w:color w:val="auto"/>
          <w:spacing w:val="0"/>
          <w:w w:val="100"/>
          <w:position w:val="0"/>
          <w:sz w:val="21"/>
          <w:szCs w:val="21"/>
        </w:rPr>
        <w:t>乙方不能交付服务成果时，乙方向甲方支付合同总金额_%的违约金。</w:t>
      </w:r>
    </w:p>
    <w:p w14:paraId="5CEF8DCE">
      <w:pPr>
        <w:pStyle w:val="85"/>
        <w:keepNext w:val="0"/>
        <w:keepLines w:val="0"/>
        <w:widowControl w:val="0"/>
        <w:shd w:val="clear" w:color="auto" w:fill="auto"/>
        <w:tabs>
          <w:tab w:val="left" w:pos="872"/>
        </w:tabs>
        <w:bidi w:val="0"/>
        <w:spacing w:before="0" w:after="0" w:line="400" w:lineRule="exact"/>
        <w:ind w:left="0" w:right="0" w:firstLine="480"/>
        <w:jc w:val="both"/>
        <w:rPr>
          <w:rFonts w:hint="eastAsia" w:ascii="宋体" w:hAnsi="宋体" w:eastAsia="宋体" w:cs="宋体"/>
          <w:color w:val="auto"/>
          <w:sz w:val="21"/>
          <w:szCs w:val="21"/>
        </w:rPr>
      </w:pPr>
      <w:bookmarkStart w:id="42" w:name="bookmark91"/>
      <w:r>
        <w:rPr>
          <w:rFonts w:hint="eastAsia" w:ascii="宋体" w:hAnsi="宋体" w:eastAsia="宋体" w:cs="宋体"/>
          <w:color w:val="auto"/>
          <w:spacing w:val="0"/>
          <w:w w:val="100"/>
          <w:position w:val="0"/>
          <w:sz w:val="21"/>
          <w:szCs w:val="21"/>
        </w:rPr>
        <w:t>3</w:t>
      </w:r>
      <w:bookmarkEnd w:id="42"/>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乙方逾期交付服务成果时，每逾</w:t>
      </w:r>
      <w:r>
        <w:rPr>
          <w:rFonts w:hint="eastAsia" w:ascii="宋体" w:hAnsi="宋体" w:eastAsia="宋体" w:cs="宋体"/>
          <w:color w:val="auto"/>
          <w:spacing w:val="0"/>
          <w:w w:val="100"/>
          <w:position w:val="0"/>
          <w:sz w:val="21"/>
          <w:szCs w:val="21"/>
          <w:lang w:val="zh-CN" w:eastAsia="zh-CN" w:bidi="zh-CN"/>
        </w:rPr>
        <w:t>—</w:t>
      </w:r>
      <w:r>
        <w:rPr>
          <w:rFonts w:hint="eastAsia" w:ascii="宋体" w:hAnsi="宋体" w:eastAsia="宋体" w:cs="宋体"/>
          <w:color w:val="auto"/>
          <w:spacing w:val="0"/>
          <w:w w:val="100"/>
          <w:position w:val="0"/>
          <w:sz w:val="21"/>
          <w:szCs w:val="21"/>
        </w:rPr>
        <w:t>日乙方向甲方支付合同总金额</w:t>
      </w:r>
      <w:r>
        <w:rPr>
          <w:rFonts w:hint="eastAsia" w:ascii="宋体" w:hAnsi="宋体" w:eastAsia="宋体" w:cs="宋体"/>
          <w:color w:val="auto"/>
          <w:spacing w:val="0"/>
          <w:w w:val="100"/>
          <w:position w:val="0"/>
          <w:sz w:val="21"/>
          <w:szCs w:val="21"/>
          <w:lang w:val="en-US" w:eastAsia="en-US" w:bidi="en-US"/>
        </w:rPr>
        <w:t>_%o</w:t>
      </w:r>
      <w:r>
        <w:rPr>
          <w:rFonts w:hint="eastAsia" w:ascii="宋体" w:hAnsi="宋体" w:eastAsia="宋体" w:cs="宋体"/>
          <w:color w:val="auto"/>
          <w:spacing w:val="0"/>
          <w:w w:val="100"/>
          <w:position w:val="0"/>
          <w:sz w:val="21"/>
          <w:szCs w:val="21"/>
        </w:rPr>
        <w:t>的滞纳金。逾期交付超过</w:t>
      </w:r>
      <w:r>
        <w:rPr>
          <w:rFonts w:hint="eastAsia" w:ascii="宋体" w:hAnsi="宋体" w:eastAsia="宋体" w:cs="宋体"/>
          <w:color w:val="auto"/>
          <w:spacing w:val="0"/>
          <w:w w:val="100"/>
          <w:position w:val="0"/>
          <w:sz w:val="21"/>
          <w:szCs w:val="21"/>
          <w:u w:val="single"/>
          <w:lang w:val="en-US" w:eastAsia="zh-CN"/>
        </w:rPr>
        <w:t xml:space="preserve">    ，</w:t>
      </w:r>
      <w:r>
        <w:rPr>
          <w:rFonts w:hint="eastAsia" w:ascii="宋体" w:hAnsi="宋体" w:eastAsia="宋体" w:cs="宋体"/>
          <w:color w:val="auto"/>
          <w:spacing w:val="0"/>
          <w:w w:val="100"/>
          <w:position w:val="0"/>
          <w:sz w:val="21"/>
          <w:szCs w:val="21"/>
        </w:rPr>
        <w:t>甲方有权决定是否继续履行合同，如甲方决定终止履行合同的，乙方向甲方支付合同总金额</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%的违约金，并且赔偿甲方因此遭受的损失。</w:t>
      </w:r>
    </w:p>
    <w:p w14:paraId="20001328">
      <w:pPr>
        <w:pStyle w:val="85"/>
        <w:keepNext w:val="0"/>
        <w:keepLines w:val="0"/>
        <w:widowControl w:val="0"/>
        <w:numPr>
          <w:ilvl w:val="0"/>
          <w:numId w:val="15"/>
        </w:numPr>
        <w:shd w:val="clear" w:color="auto" w:fill="auto"/>
        <w:tabs>
          <w:tab w:val="left" w:pos="867"/>
        </w:tabs>
        <w:bidi w:val="0"/>
        <w:spacing w:before="0" w:after="140" w:line="400" w:lineRule="exact"/>
        <w:ind w:left="0" w:right="0" w:firstLine="480"/>
        <w:jc w:val="both"/>
        <w:rPr>
          <w:rFonts w:hint="eastAsia" w:ascii="宋体" w:hAnsi="宋体" w:eastAsia="宋体" w:cs="宋体"/>
          <w:color w:val="auto"/>
          <w:sz w:val="21"/>
          <w:szCs w:val="21"/>
        </w:rPr>
      </w:pPr>
      <w:bookmarkStart w:id="43" w:name="bookmark92"/>
      <w:bookmarkEnd w:id="43"/>
      <w:r>
        <w:rPr>
          <w:rFonts w:hint="eastAsia" w:ascii="宋体" w:hAnsi="宋体" w:eastAsia="宋体" w:cs="宋体"/>
          <w:color w:val="auto"/>
          <w:spacing w:val="0"/>
          <w:w w:val="100"/>
          <w:position w:val="0"/>
          <w:sz w:val="21"/>
          <w:szCs w:val="21"/>
        </w:rPr>
        <w:t>甲方逾期退还履约保证金的违约责任：采购人延迟退还供应商缴纳的履约保证金的，应当支付逾期利息。双方对逾期利息的利率有约定的，约定利率不得低于合同订立时</w:t>
      </w:r>
      <w:r>
        <w:rPr>
          <w:rFonts w:hint="eastAsia" w:ascii="宋体" w:hAnsi="宋体" w:eastAsia="宋体" w:cs="宋体"/>
          <w:color w:val="auto"/>
          <w:spacing w:val="0"/>
          <w:w w:val="100"/>
          <w:position w:val="0"/>
          <w:sz w:val="21"/>
          <w:szCs w:val="21"/>
          <w:lang w:val="zh-CN" w:eastAsia="zh-CN" w:bidi="zh-CN"/>
        </w:rPr>
        <w:t>—年期</w:t>
      </w:r>
      <w:r>
        <w:rPr>
          <w:rFonts w:hint="eastAsia" w:ascii="宋体" w:hAnsi="宋体" w:eastAsia="宋体" w:cs="宋体"/>
          <w:color w:val="auto"/>
          <w:spacing w:val="0"/>
          <w:w w:val="100"/>
          <w:position w:val="0"/>
          <w:sz w:val="21"/>
          <w:szCs w:val="21"/>
        </w:rPr>
        <w:t>贷款市场报价利率；未作约定的，按照每日利率</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支付逾期利息。</w:t>
      </w:r>
    </w:p>
    <w:p w14:paraId="707C607D">
      <w:pPr>
        <w:pStyle w:val="85"/>
        <w:keepNext w:val="0"/>
        <w:keepLines w:val="0"/>
        <w:widowControl w:val="0"/>
        <w:numPr>
          <w:ilvl w:val="0"/>
          <w:numId w:val="15"/>
        </w:numPr>
        <w:shd w:val="clear" w:color="auto" w:fill="auto"/>
        <w:tabs>
          <w:tab w:val="left" w:pos="843"/>
          <w:tab w:val="left" w:pos="5501"/>
        </w:tabs>
        <w:bidi w:val="0"/>
        <w:spacing w:before="0" w:after="0" w:line="382" w:lineRule="auto"/>
        <w:ind w:left="0" w:right="0" w:firstLine="480"/>
        <w:jc w:val="both"/>
        <w:rPr>
          <w:rFonts w:hint="eastAsia" w:ascii="宋体" w:hAnsi="宋体" w:eastAsia="宋体" w:cs="宋体"/>
          <w:color w:val="auto"/>
          <w:sz w:val="21"/>
          <w:szCs w:val="21"/>
        </w:rPr>
      </w:pPr>
      <w:bookmarkStart w:id="44" w:name="bookmark93"/>
      <w:bookmarkEnd w:id="44"/>
      <w:r>
        <w:rPr>
          <w:rFonts w:hint="eastAsia" w:ascii="宋体" w:hAnsi="宋体" w:eastAsia="宋体" w:cs="宋体"/>
          <w:color w:val="auto"/>
          <w:spacing w:val="0"/>
          <w:w w:val="100"/>
          <w:position w:val="0"/>
          <w:sz w:val="21"/>
          <w:szCs w:val="21"/>
        </w:rPr>
        <w:t>甲方逾期支付资金的违约责任：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pacing w:val="0"/>
          <w:w w:val="100"/>
          <w:position w:val="0"/>
          <w:sz w:val="21"/>
          <w:szCs w:val="21"/>
        </w:rPr>
        <w:t>。</w:t>
      </w:r>
    </w:p>
    <w:p w14:paraId="64C1D701">
      <w:pPr>
        <w:pStyle w:val="85"/>
        <w:keepNext w:val="0"/>
        <w:keepLines w:val="0"/>
        <w:widowControl w:val="0"/>
        <w:numPr>
          <w:ilvl w:val="0"/>
          <w:numId w:val="15"/>
        </w:numPr>
        <w:shd w:val="clear" w:color="auto" w:fill="auto"/>
        <w:tabs>
          <w:tab w:val="left" w:pos="823"/>
          <w:tab w:val="left" w:pos="4301"/>
        </w:tabs>
        <w:bidi w:val="0"/>
        <w:spacing w:before="0" w:after="0" w:line="402" w:lineRule="exact"/>
        <w:ind w:left="0" w:right="0" w:firstLine="480"/>
        <w:jc w:val="both"/>
        <w:rPr>
          <w:rFonts w:hint="eastAsia" w:ascii="宋体" w:hAnsi="宋体" w:eastAsia="宋体" w:cs="宋体"/>
          <w:color w:val="auto"/>
          <w:sz w:val="21"/>
          <w:szCs w:val="21"/>
        </w:rPr>
      </w:pPr>
      <w:bookmarkStart w:id="45" w:name="bookmark94"/>
      <w:bookmarkEnd w:id="45"/>
      <w:r>
        <w:rPr>
          <w:rFonts w:hint="eastAsia" w:ascii="宋体" w:hAnsi="宋体" w:eastAsia="宋体" w:cs="宋体"/>
          <w:color w:val="auto"/>
          <w:spacing w:val="0"/>
          <w:w w:val="100"/>
          <w:position w:val="0"/>
          <w:sz w:val="21"/>
          <w:szCs w:val="21"/>
        </w:rPr>
        <w:t>因甲方原因导致变更、中止或者终止政府采购合同的，甲方对供应商受到的损失予以赔偿或者补偿：</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i/>
          <w:iCs/>
          <w:color w:val="auto"/>
          <w:spacing w:val="0"/>
          <w:w w:val="100"/>
          <w:position w:val="0"/>
          <w:sz w:val="21"/>
          <w:szCs w:val="21"/>
        </w:rPr>
        <w:t>。</w:t>
      </w:r>
    </w:p>
    <w:p w14:paraId="5E28ACA9">
      <w:pPr>
        <w:pStyle w:val="85"/>
        <w:keepNext w:val="0"/>
        <w:keepLines w:val="0"/>
        <w:widowControl w:val="0"/>
        <w:shd w:val="clear" w:color="auto" w:fill="auto"/>
        <w:tabs>
          <w:tab w:val="left" w:pos="872"/>
          <w:tab w:val="left" w:leader="dot" w:pos="6302"/>
        </w:tabs>
        <w:bidi w:val="0"/>
        <w:spacing w:before="0" w:after="0" w:line="402" w:lineRule="exact"/>
        <w:ind w:left="0" w:right="0" w:firstLine="480"/>
        <w:jc w:val="both"/>
        <w:rPr>
          <w:rFonts w:hint="eastAsia" w:ascii="宋体" w:hAnsi="宋体" w:eastAsia="宋体" w:cs="宋体"/>
          <w:color w:val="auto"/>
          <w:sz w:val="21"/>
          <w:szCs w:val="21"/>
        </w:rPr>
      </w:pPr>
      <w:bookmarkStart w:id="46" w:name="bookmark95"/>
      <w:r>
        <w:rPr>
          <w:rFonts w:hint="eastAsia" w:ascii="宋体" w:hAnsi="宋体" w:eastAsia="宋体" w:cs="宋体"/>
          <w:color w:val="auto"/>
          <w:spacing w:val="0"/>
          <w:w w:val="100"/>
          <w:position w:val="0"/>
          <w:sz w:val="21"/>
          <w:szCs w:val="21"/>
        </w:rPr>
        <w:t>7</w:t>
      </w:r>
      <w:bookmarkEnd w:id="46"/>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因甲方过错而给乙方造成的损失，由甲方负担。</w:t>
      </w:r>
      <w:r>
        <w:rPr>
          <w:rFonts w:hint="eastAsia" w:ascii="宋体" w:hAnsi="宋体" w:eastAsia="宋体" w:cs="宋体"/>
          <w:color w:val="auto"/>
          <w:spacing w:val="0"/>
          <w:w w:val="100"/>
          <w:position w:val="0"/>
          <w:sz w:val="21"/>
          <w:szCs w:val="21"/>
          <w:lang w:val="en-US" w:eastAsia="en-US" w:bidi="en-US"/>
        </w:rPr>
        <w:tab/>
      </w:r>
    </w:p>
    <w:p w14:paraId="53068F7F">
      <w:pPr>
        <w:pStyle w:val="85"/>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第十五条不可抗力</w:t>
      </w:r>
    </w:p>
    <w:p w14:paraId="6BA1817A">
      <w:pPr>
        <w:pStyle w:val="85"/>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甲乙双方的任何一方由于不可抗力不能履行合同时，应当及时通知对方不能履行或不能完全履行的情况和理由；在取得有关主管机关证明以后，允许延期履行、部分履行或者终止履行合同的，根据情况</w:t>
      </w:r>
      <w:r>
        <w:rPr>
          <w:rFonts w:hint="eastAsia" w:cs="宋体"/>
          <w:color w:val="auto"/>
          <w:spacing w:val="0"/>
          <w:w w:val="100"/>
          <w:position w:val="0"/>
          <w:sz w:val="21"/>
          <w:szCs w:val="21"/>
          <w:lang w:eastAsia="zh-CN"/>
        </w:rPr>
        <w:t>可以</w:t>
      </w:r>
      <w:r>
        <w:rPr>
          <w:rFonts w:hint="eastAsia" w:ascii="宋体" w:hAnsi="宋体" w:eastAsia="宋体" w:cs="宋体"/>
          <w:color w:val="auto"/>
          <w:spacing w:val="0"/>
          <w:w w:val="100"/>
          <w:position w:val="0"/>
          <w:sz w:val="21"/>
          <w:szCs w:val="21"/>
        </w:rPr>
        <w:t>部分或全部</w:t>
      </w:r>
      <w:r>
        <w:rPr>
          <w:rFonts w:hint="eastAsia" w:ascii="宋体" w:hAnsi="宋体" w:eastAsia="宋体" w:cs="宋体"/>
          <w:color w:val="auto"/>
          <w:spacing w:val="0"/>
          <w:w w:val="100"/>
          <w:position w:val="0"/>
          <w:sz w:val="21"/>
          <w:szCs w:val="21"/>
          <w:lang w:eastAsia="zh-CN"/>
        </w:rPr>
        <w:t>免于</w:t>
      </w:r>
      <w:r>
        <w:rPr>
          <w:rFonts w:hint="eastAsia" w:ascii="宋体" w:hAnsi="宋体" w:eastAsia="宋体" w:cs="宋体"/>
          <w:color w:val="auto"/>
          <w:spacing w:val="0"/>
          <w:w w:val="100"/>
          <w:position w:val="0"/>
          <w:sz w:val="21"/>
          <w:szCs w:val="21"/>
        </w:rPr>
        <w:t>承担违约责任。</w:t>
      </w:r>
    </w:p>
    <w:p w14:paraId="5ACE6B60">
      <w:pPr>
        <w:pStyle w:val="85"/>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第十六条保密</w:t>
      </w:r>
    </w:p>
    <w:p w14:paraId="48E1B449">
      <w:pPr>
        <w:pStyle w:val="85"/>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乙方在合同履行期间知悉甲方的工作秘密（包括相关业务信息），不得透露或 以其他方式提供给合同双方以外的其他方（包括乙方内部与本合同无关的任何人 员），乙方的保密责任不因本合同的终止而终止。</w:t>
      </w:r>
    </w:p>
    <w:p w14:paraId="216D3A3F">
      <w:pPr>
        <w:pStyle w:val="85"/>
        <w:keepNext w:val="0"/>
        <w:keepLines w:val="0"/>
        <w:widowControl w:val="0"/>
        <w:shd w:val="clear" w:color="auto" w:fill="auto"/>
        <w:bidi w:val="0"/>
        <w:spacing w:before="0" w:after="0" w:line="402" w:lineRule="exact"/>
        <w:ind w:left="455" w:leftChars="198" w:right="0" w:hanging="39" w:hangingChars="19"/>
        <w:jc w:val="left"/>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 xml:space="preserve">乙方违反本合同所规定的保密义务，应按照本合同总金额的_%支付违约金。 </w:t>
      </w:r>
    </w:p>
    <w:p w14:paraId="7291F87D">
      <w:pPr>
        <w:pStyle w:val="85"/>
        <w:keepNext w:val="0"/>
        <w:keepLines w:val="0"/>
        <w:widowControl w:val="0"/>
        <w:shd w:val="clear" w:color="auto" w:fill="auto"/>
        <w:bidi w:val="0"/>
        <w:spacing w:before="0" w:after="0" w:line="402" w:lineRule="exact"/>
        <w:ind w:left="446" w:leftChars="94" w:right="0" w:hanging="249" w:hangingChars="119"/>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第十七条争议解决</w:t>
      </w:r>
    </w:p>
    <w:p w14:paraId="48074E34">
      <w:pPr>
        <w:pStyle w:val="85"/>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甲乙双方在合同履行中发生争议，应通过协商解决。如协商不成，可以向合同签订地法院提起诉讼。……</w:t>
      </w:r>
    </w:p>
    <w:p w14:paraId="149F02CE">
      <w:pPr>
        <w:pStyle w:val="85"/>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第十八条合同生效及其他</w:t>
      </w:r>
    </w:p>
    <w:p w14:paraId="08BF1444">
      <w:pPr>
        <w:pStyle w:val="85"/>
        <w:keepNext w:val="0"/>
        <w:keepLines w:val="0"/>
        <w:widowControl w:val="0"/>
        <w:shd w:val="clear" w:color="auto" w:fill="auto"/>
        <w:tabs>
          <w:tab w:val="left" w:pos="862"/>
        </w:tabs>
        <w:bidi w:val="0"/>
        <w:spacing w:before="0" w:after="0" w:line="402" w:lineRule="exact"/>
        <w:ind w:left="0" w:right="0" w:firstLine="480"/>
        <w:jc w:val="both"/>
        <w:rPr>
          <w:rFonts w:hint="eastAsia" w:ascii="宋体" w:hAnsi="宋体" w:eastAsia="宋体" w:cs="宋体"/>
          <w:color w:val="auto"/>
          <w:sz w:val="21"/>
          <w:szCs w:val="21"/>
        </w:rPr>
      </w:pPr>
      <w:bookmarkStart w:id="47" w:name="bookmark96"/>
      <w:r>
        <w:rPr>
          <w:rFonts w:hint="eastAsia" w:ascii="宋体" w:hAnsi="宋体" w:eastAsia="宋体" w:cs="宋体"/>
          <w:color w:val="auto"/>
          <w:spacing w:val="0"/>
          <w:w w:val="100"/>
          <w:position w:val="0"/>
          <w:sz w:val="21"/>
          <w:szCs w:val="21"/>
        </w:rPr>
        <w:t>1</w:t>
      </w:r>
      <w:bookmarkEnd w:id="47"/>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除招标文件规定且甲方事先书面同意外，乙方不得部分或者全部转让、分包履行其应履行的合同项下的义务。</w:t>
      </w:r>
    </w:p>
    <w:p w14:paraId="2CCF485B">
      <w:pPr>
        <w:pStyle w:val="85"/>
        <w:keepNext w:val="0"/>
        <w:keepLines w:val="0"/>
        <w:widowControl w:val="0"/>
        <w:shd w:val="clear" w:color="auto" w:fill="auto"/>
        <w:tabs>
          <w:tab w:val="left" w:pos="877"/>
        </w:tabs>
        <w:bidi w:val="0"/>
        <w:spacing w:before="0" w:after="0" w:line="402" w:lineRule="exact"/>
        <w:ind w:left="0" w:right="0" w:firstLine="480"/>
        <w:jc w:val="both"/>
        <w:rPr>
          <w:rFonts w:hint="eastAsia" w:ascii="宋体" w:hAnsi="宋体" w:eastAsia="宋体" w:cs="宋体"/>
          <w:color w:val="auto"/>
          <w:sz w:val="21"/>
          <w:szCs w:val="21"/>
        </w:rPr>
      </w:pPr>
      <w:bookmarkStart w:id="48" w:name="bookmark97"/>
      <w:r>
        <w:rPr>
          <w:rFonts w:hint="eastAsia" w:ascii="宋体" w:hAnsi="宋体" w:eastAsia="宋体" w:cs="宋体"/>
          <w:color w:val="auto"/>
          <w:spacing w:val="0"/>
          <w:w w:val="100"/>
          <w:position w:val="0"/>
          <w:sz w:val="21"/>
          <w:szCs w:val="21"/>
        </w:rPr>
        <w:t>2</w:t>
      </w:r>
      <w:bookmarkEnd w:id="48"/>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合同由甲、乙双方法定代表人（或者被授权代表）签字并加盖单位公章。</w:t>
      </w:r>
    </w:p>
    <w:p w14:paraId="6A7431F7">
      <w:pPr>
        <w:pStyle w:val="85"/>
        <w:keepNext w:val="0"/>
        <w:keepLines w:val="0"/>
        <w:widowControl w:val="0"/>
        <w:shd w:val="clear" w:color="auto" w:fill="auto"/>
        <w:tabs>
          <w:tab w:val="left" w:pos="877"/>
          <w:tab w:val="left" w:leader="dot" w:pos="5578"/>
        </w:tabs>
        <w:bidi w:val="0"/>
        <w:spacing w:before="0" w:after="0" w:line="402" w:lineRule="exact"/>
        <w:ind w:left="0" w:right="0" w:firstLine="480"/>
        <w:jc w:val="both"/>
        <w:rPr>
          <w:rFonts w:hint="eastAsia" w:ascii="宋体" w:hAnsi="宋体" w:eastAsia="宋体" w:cs="宋体"/>
          <w:color w:val="auto"/>
          <w:sz w:val="21"/>
          <w:szCs w:val="21"/>
        </w:rPr>
      </w:pPr>
      <w:bookmarkStart w:id="49" w:name="bookmark98"/>
      <w:r>
        <w:rPr>
          <w:rFonts w:hint="eastAsia" w:ascii="宋体" w:hAnsi="宋体" w:eastAsia="宋体" w:cs="宋体"/>
          <w:color w:val="auto"/>
          <w:spacing w:val="0"/>
          <w:w w:val="100"/>
          <w:position w:val="0"/>
          <w:sz w:val="21"/>
          <w:szCs w:val="21"/>
        </w:rPr>
        <w:t>3</w:t>
      </w:r>
      <w:bookmarkEnd w:id="49"/>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本合同一式</w:t>
      </w:r>
      <w:r>
        <w:rPr>
          <w:rFonts w:hint="eastAsia" w:ascii="宋体" w:hAnsi="宋体" w:eastAsia="宋体" w:cs="宋体"/>
          <w:color w:val="auto"/>
          <w:spacing w:val="0"/>
          <w:w w:val="100"/>
          <w:position w:val="0"/>
          <w:sz w:val="21"/>
          <w:szCs w:val="21"/>
          <w:lang w:val="zh-CN" w:eastAsia="zh-CN" w:bidi="zh-CN"/>
        </w:rPr>
        <w:t>—份，</w:t>
      </w:r>
      <w:r>
        <w:rPr>
          <w:rFonts w:hint="eastAsia" w:ascii="宋体" w:hAnsi="宋体" w:eastAsia="宋体" w:cs="宋体"/>
          <w:color w:val="auto"/>
          <w:spacing w:val="0"/>
          <w:w w:val="100"/>
          <w:position w:val="0"/>
          <w:sz w:val="21"/>
          <w:szCs w:val="21"/>
        </w:rPr>
        <w:t>甲方</w:t>
      </w:r>
      <w:r>
        <w:rPr>
          <w:rFonts w:hint="eastAsia" w:ascii="宋体" w:hAnsi="宋体" w:eastAsia="宋体" w:cs="宋体"/>
          <w:color w:val="auto"/>
          <w:spacing w:val="0"/>
          <w:w w:val="100"/>
          <w:position w:val="0"/>
          <w:sz w:val="21"/>
          <w:szCs w:val="21"/>
          <w:lang w:val="zh-CN" w:eastAsia="zh-CN" w:bidi="zh-CN"/>
        </w:rPr>
        <w:t>—份，</w:t>
      </w:r>
      <w:r>
        <w:rPr>
          <w:rFonts w:hint="eastAsia" w:ascii="宋体" w:hAnsi="宋体" w:eastAsia="宋体" w:cs="宋体"/>
          <w:color w:val="auto"/>
          <w:spacing w:val="0"/>
          <w:w w:val="100"/>
          <w:position w:val="0"/>
          <w:sz w:val="21"/>
          <w:szCs w:val="21"/>
        </w:rPr>
        <w:t>乙方</w:t>
      </w:r>
      <w:r>
        <w:rPr>
          <w:rFonts w:hint="eastAsia" w:ascii="宋体" w:hAnsi="宋体" w:eastAsia="宋体" w:cs="宋体"/>
          <w:color w:val="auto"/>
          <w:spacing w:val="0"/>
          <w:w w:val="100"/>
          <w:position w:val="0"/>
          <w:sz w:val="21"/>
          <w:szCs w:val="21"/>
          <w:lang w:val="zh-CN" w:eastAsia="zh-CN" w:bidi="zh-CN"/>
        </w:rPr>
        <w:t>—份。</w:t>
      </w:r>
      <w:r>
        <w:rPr>
          <w:rFonts w:hint="eastAsia" w:ascii="宋体" w:hAnsi="宋体" w:eastAsia="宋体" w:cs="宋体"/>
          <w:color w:val="auto"/>
          <w:spacing w:val="0"/>
          <w:w w:val="100"/>
          <w:position w:val="0"/>
          <w:sz w:val="21"/>
          <w:szCs w:val="21"/>
          <w:lang w:val="en-US" w:eastAsia="en-US" w:bidi="en-US"/>
        </w:rPr>
        <w:tab/>
      </w:r>
    </w:p>
    <w:p w14:paraId="0FD53FFD">
      <w:pPr>
        <w:pStyle w:val="85"/>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第十九条服务期限</w:t>
      </w:r>
    </w:p>
    <w:p w14:paraId="12BF70AF">
      <w:pPr>
        <w:pStyle w:val="85"/>
        <w:keepNext w:val="0"/>
        <w:keepLines w:val="0"/>
        <w:widowControl w:val="0"/>
        <w:shd w:val="clear" w:color="auto" w:fill="auto"/>
        <w:bidi w:val="0"/>
        <w:spacing w:before="0" w:after="0" w:line="402" w:lineRule="exact"/>
        <w:ind w:left="0" w:right="0" w:firstLine="480"/>
        <w:jc w:val="both"/>
        <w:rPr>
          <w:rFonts w:hint="eastAsia" w:ascii="宋体" w:hAnsi="宋体" w:eastAsia="宋体" w:cs="宋体"/>
          <w:color w:val="auto"/>
          <w:sz w:val="21"/>
          <w:szCs w:val="21"/>
        </w:rPr>
        <w:sectPr>
          <w:footerReference r:id="rId4" w:type="default"/>
          <w:footerReference r:id="rId5" w:type="even"/>
          <w:footnotePr>
            <w:numFmt w:val="decimal"/>
          </w:footnotePr>
          <w:type w:val="continuous"/>
          <w:pgSz w:w="11900" w:h="16840"/>
          <w:pgMar w:top="1559" w:right="1680" w:bottom="1358" w:left="1709" w:header="1131" w:footer="1111" w:gutter="0"/>
          <w:pgNumType w:fmt="decimal"/>
          <w:cols w:space="720" w:num="1"/>
          <w:rtlGutter w:val="0"/>
          <w:docGrid w:linePitch="360" w:charSpace="0"/>
        </w:sectPr>
      </w:pPr>
      <w:r>
        <w:rPr>
          <w:rFonts w:hint="eastAsia" w:ascii="宋体" w:hAnsi="宋体" w:eastAsia="宋体" w:cs="宋体"/>
          <w:color w:val="auto"/>
          <w:spacing w:val="0"/>
          <w:w w:val="100"/>
          <w:position w:val="0"/>
          <w:sz w:val="21"/>
          <w:szCs w:val="21"/>
        </w:rPr>
        <w:t>本合同服务期限为</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lang w:val="zh-CN" w:eastAsia="zh-CN" w:bidi="zh-CN"/>
        </w:rPr>
        <w:t>年；</w:t>
      </w:r>
      <w:r>
        <w:rPr>
          <w:rFonts w:hint="eastAsia" w:ascii="宋体" w:hAnsi="宋体" w:eastAsia="宋体" w:cs="宋体"/>
          <w:color w:val="auto"/>
          <w:spacing w:val="0"/>
          <w:w w:val="100"/>
          <w:position w:val="0"/>
          <w:sz w:val="21"/>
          <w:szCs w:val="21"/>
        </w:rPr>
        <w:t>服务期限自</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日起至</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年</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月</w:t>
      </w:r>
      <w:r>
        <w:rPr>
          <w:rFonts w:hint="eastAsia" w:ascii="宋体" w:hAnsi="宋体" w:eastAsia="宋体" w:cs="宋体"/>
          <w:color w:val="auto"/>
          <w:spacing w:val="0"/>
          <w:w w:val="100"/>
          <w:position w:val="0"/>
          <w:sz w:val="21"/>
          <w:szCs w:val="21"/>
          <w:u w:val="single"/>
          <w:lang w:val="en-US" w:eastAsia="zh-CN" w:bidi="zh-CN"/>
        </w:rPr>
        <w:t xml:space="preserve">  </w:t>
      </w:r>
      <w:r>
        <w:rPr>
          <w:rFonts w:hint="eastAsia" w:ascii="宋体" w:hAnsi="宋体" w:eastAsia="宋体" w:cs="宋体"/>
          <w:color w:val="auto"/>
          <w:spacing w:val="0"/>
          <w:w w:val="100"/>
          <w:position w:val="0"/>
          <w:sz w:val="21"/>
          <w:szCs w:val="21"/>
        </w:rPr>
        <w:t>日止。本合同期限届满，如需续签，根据《政府采购目录》有关规定，经财政部门批准，双方可以根据法律及各项规定另行签订书面合同。</w:t>
      </w:r>
    </w:p>
    <w:p w14:paraId="5C68D265">
      <w:pPr>
        <w:pStyle w:val="85"/>
        <w:keepNext w:val="0"/>
        <w:keepLines w:val="0"/>
        <w:widowControl w:val="0"/>
        <w:shd w:val="clear" w:color="auto" w:fill="auto"/>
        <w:bidi w:val="0"/>
        <w:spacing w:before="0" w:after="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第二十条政府采购合同融资</w:t>
      </w:r>
    </w:p>
    <w:p w14:paraId="72401B82">
      <w:pPr>
        <w:pStyle w:val="85"/>
        <w:keepNext w:val="0"/>
        <w:keepLines w:val="0"/>
        <w:widowControl w:val="0"/>
        <w:numPr>
          <w:ilvl w:val="0"/>
          <w:numId w:val="16"/>
        </w:numPr>
        <w:shd w:val="clear" w:color="auto" w:fill="auto"/>
        <w:tabs>
          <w:tab w:val="left" w:pos="791"/>
        </w:tabs>
        <w:bidi w:val="0"/>
        <w:spacing w:before="0" w:after="0" w:line="399" w:lineRule="exact"/>
        <w:ind w:left="0" w:right="0" w:firstLine="460"/>
        <w:jc w:val="both"/>
        <w:rPr>
          <w:rFonts w:hint="eastAsia" w:ascii="宋体" w:hAnsi="宋体" w:eastAsia="宋体" w:cs="宋体"/>
          <w:color w:val="auto"/>
          <w:sz w:val="21"/>
          <w:szCs w:val="21"/>
        </w:rPr>
      </w:pPr>
      <w:bookmarkStart w:id="50" w:name="bookmark99"/>
      <w:bookmarkEnd w:id="50"/>
      <w:r>
        <w:rPr>
          <w:rFonts w:hint="eastAsia" w:ascii="宋体" w:hAnsi="宋体" w:eastAsia="宋体" w:cs="宋体"/>
          <w:color w:val="auto"/>
          <w:spacing w:val="0"/>
          <w:w w:val="100"/>
          <w:position w:val="0"/>
          <w:sz w:val="21"/>
          <w:szCs w:val="21"/>
        </w:rPr>
        <w:t>政府采购合同签订前开展融资业务的。中标（成交）供应商持政府采购中标（成交）通知书提前与金融机构进行合同融资商洽，双方达成融资意向后，中标（成交）供应商与</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人签订政府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合同，合同中供应商的银行账户要与合同融资的回款账户一致。中标（成交）供应商和贷款金融机构要及时将政府采购合同作为融资质押的信息告知</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人。采购人要从严加强合同付款账户管理，未经贷款银行同意，不随意更改合同付款账户。</w:t>
      </w:r>
    </w:p>
    <w:p w14:paraId="3C8385A7">
      <w:pPr>
        <w:pStyle w:val="85"/>
        <w:keepNext w:val="0"/>
        <w:keepLines w:val="0"/>
        <w:widowControl w:val="0"/>
        <w:numPr>
          <w:ilvl w:val="0"/>
          <w:numId w:val="16"/>
        </w:numPr>
        <w:shd w:val="clear" w:color="auto" w:fill="auto"/>
        <w:tabs>
          <w:tab w:val="left" w:pos="800"/>
        </w:tabs>
        <w:bidi w:val="0"/>
        <w:spacing w:before="0" w:after="0" w:line="399" w:lineRule="exact"/>
        <w:ind w:left="0" w:right="0" w:firstLine="460"/>
        <w:jc w:val="both"/>
        <w:rPr>
          <w:rFonts w:hint="eastAsia" w:ascii="宋体" w:hAnsi="宋体" w:eastAsia="宋体" w:cs="宋体"/>
          <w:color w:val="auto"/>
          <w:sz w:val="21"/>
          <w:szCs w:val="21"/>
        </w:rPr>
      </w:pPr>
      <w:bookmarkStart w:id="51" w:name="bookmark100"/>
      <w:bookmarkEnd w:id="51"/>
      <w:r>
        <w:rPr>
          <w:rFonts w:hint="eastAsia" w:ascii="宋体" w:hAnsi="宋体" w:eastAsia="宋体" w:cs="宋体"/>
          <w:color w:val="auto"/>
          <w:spacing w:val="0"/>
          <w:w w:val="100"/>
          <w:position w:val="0"/>
          <w:sz w:val="21"/>
          <w:szCs w:val="21"/>
        </w:rPr>
        <w:t>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合同签订后开展融资的账户管理。在合同履约期间，中标（成交） 供应商持已签订的政府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合同向金融机构申请合同融资，可能出现政府采购合同中供应商收款的银行账户与拟贷款银行回款账户不一致的情形。为支持供应商通过政府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合同成功获得银行贷款，采购人应积极协助供应商及时变更政府</w:t>
      </w:r>
      <w:r>
        <w:rPr>
          <w:rFonts w:hint="eastAsia" w:ascii="宋体" w:hAnsi="宋体" w:eastAsia="宋体" w:cs="宋体"/>
          <w:color w:val="auto"/>
          <w:spacing w:val="0"/>
          <w:w w:val="100"/>
          <w:position w:val="0"/>
          <w:sz w:val="21"/>
          <w:szCs w:val="21"/>
          <w:lang w:eastAsia="zh-CN"/>
        </w:rPr>
        <w:t>采</w:t>
      </w:r>
      <w:r>
        <w:rPr>
          <w:rFonts w:hint="eastAsia" w:ascii="宋体" w:hAnsi="宋体" w:eastAsia="宋体" w:cs="宋体"/>
          <w:color w:val="auto"/>
          <w:spacing w:val="0"/>
          <w:w w:val="100"/>
          <w:position w:val="0"/>
          <w:sz w:val="21"/>
          <w:szCs w:val="21"/>
        </w:rPr>
        <w:t>购合同中的供应商收款银行账户，保障供应商收款的银行账户与拟贷款银行回款账户一致。</w:t>
      </w:r>
    </w:p>
    <w:p w14:paraId="639DA7EB">
      <w:pPr>
        <w:pStyle w:val="85"/>
        <w:keepNext w:val="0"/>
        <w:keepLines w:val="0"/>
        <w:widowControl w:val="0"/>
        <w:numPr>
          <w:ilvl w:val="0"/>
          <w:numId w:val="16"/>
        </w:numPr>
        <w:shd w:val="clear" w:color="auto" w:fill="auto"/>
        <w:tabs>
          <w:tab w:val="left" w:pos="800"/>
        </w:tabs>
        <w:bidi w:val="0"/>
        <w:spacing w:before="0" w:after="0" w:line="399" w:lineRule="exact"/>
        <w:ind w:left="0" w:right="0" w:firstLine="460"/>
        <w:jc w:val="both"/>
        <w:rPr>
          <w:rFonts w:hint="eastAsia" w:ascii="宋体" w:hAnsi="宋体" w:eastAsia="宋体" w:cs="宋体"/>
          <w:color w:val="auto"/>
          <w:sz w:val="21"/>
          <w:szCs w:val="21"/>
        </w:rPr>
      </w:pPr>
      <w:bookmarkStart w:id="52" w:name="bookmark101"/>
      <w:bookmarkEnd w:id="52"/>
      <w:r>
        <w:rPr>
          <w:rFonts w:hint="eastAsia" w:ascii="宋体" w:hAnsi="宋体" w:eastAsia="宋体" w:cs="宋体"/>
          <w:color w:val="auto"/>
          <w:spacing w:val="0"/>
          <w:w w:val="100"/>
          <w:position w:val="0"/>
          <w:sz w:val="21"/>
          <w:szCs w:val="21"/>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06E13FF8">
      <w:pPr>
        <w:pStyle w:val="85"/>
        <w:keepNext w:val="0"/>
        <w:keepLines w:val="0"/>
        <w:widowControl w:val="0"/>
        <w:shd w:val="clear" w:color="auto" w:fill="auto"/>
        <w:bidi w:val="0"/>
        <w:spacing w:before="0" w:after="0" w:line="399" w:lineRule="exact"/>
        <w:ind w:left="0" w:right="0" w:firstLine="460"/>
        <w:jc w:val="both"/>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第二十一条下列文件为本合同不可分割部分</w:t>
      </w:r>
    </w:p>
    <w:p w14:paraId="7B7CBB3A">
      <w:pPr>
        <w:pStyle w:val="85"/>
        <w:keepNext w:val="0"/>
        <w:keepLines w:val="0"/>
        <w:widowControl w:val="0"/>
        <w:shd w:val="clear" w:color="auto" w:fill="auto"/>
        <w:tabs>
          <w:tab w:val="left" w:pos="814"/>
        </w:tabs>
        <w:bidi w:val="0"/>
        <w:spacing w:before="0" w:after="120" w:line="399" w:lineRule="exact"/>
        <w:ind w:left="0" w:right="0" w:firstLine="460"/>
        <w:jc w:val="both"/>
        <w:rPr>
          <w:rFonts w:hint="eastAsia" w:ascii="宋体" w:hAnsi="宋体" w:eastAsia="宋体" w:cs="宋体"/>
          <w:color w:val="auto"/>
          <w:sz w:val="21"/>
          <w:szCs w:val="21"/>
        </w:rPr>
      </w:pPr>
      <w:bookmarkStart w:id="53" w:name="bookmark102"/>
      <w:r>
        <w:rPr>
          <w:rFonts w:hint="eastAsia" w:ascii="宋体" w:hAnsi="宋体" w:eastAsia="宋体" w:cs="宋体"/>
          <w:color w:val="auto"/>
          <w:spacing w:val="0"/>
          <w:w w:val="100"/>
          <w:position w:val="0"/>
          <w:sz w:val="21"/>
          <w:szCs w:val="21"/>
        </w:rPr>
        <w:t>1</w:t>
      </w:r>
      <w:bookmarkEnd w:id="53"/>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招标文件（包括澄清、修改）；</w:t>
      </w:r>
    </w:p>
    <w:p w14:paraId="5B0F45F9">
      <w:pPr>
        <w:pStyle w:val="85"/>
        <w:keepNext w:val="0"/>
        <w:keepLines w:val="0"/>
        <w:widowControl w:val="0"/>
        <w:shd w:val="clear" w:color="auto" w:fill="auto"/>
        <w:tabs>
          <w:tab w:val="left" w:pos="828"/>
        </w:tabs>
        <w:bidi w:val="0"/>
        <w:spacing w:before="0" w:after="0"/>
        <w:ind w:left="0" w:right="0" w:firstLine="460"/>
        <w:jc w:val="both"/>
        <w:rPr>
          <w:rFonts w:hint="eastAsia" w:ascii="宋体" w:hAnsi="宋体" w:eastAsia="宋体" w:cs="宋体"/>
          <w:color w:val="auto"/>
          <w:sz w:val="21"/>
          <w:szCs w:val="21"/>
        </w:rPr>
      </w:pPr>
      <w:bookmarkStart w:id="54" w:name="bookmark103"/>
      <w:r>
        <w:rPr>
          <w:rFonts w:hint="eastAsia" w:ascii="宋体" w:hAnsi="宋体" w:eastAsia="宋体" w:cs="宋体"/>
          <w:color w:val="auto"/>
          <w:spacing w:val="0"/>
          <w:w w:val="100"/>
          <w:position w:val="0"/>
          <w:sz w:val="21"/>
          <w:szCs w:val="21"/>
        </w:rPr>
        <w:t>2</w:t>
      </w:r>
      <w:bookmarkEnd w:id="54"/>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乙方投标文件；</w:t>
      </w:r>
    </w:p>
    <w:p w14:paraId="1324F01F">
      <w:pPr>
        <w:pStyle w:val="85"/>
        <w:keepNext w:val="0"/>
        <w:keepLines w:val="0"/>
        <w:widowControl w:val="0"/>
        <w:shd w:val="clear" w:color="auto" w:fill="auto"/>
        <w:tabs>
          <w:tab w:val="left" w:pos="828"/>
        </w:tabs>
        <w:bidi w:val="0"/>
        <w:spacing w:before="0" w:after="0" w:line="399" w:lineRule="exact"/>
        <w:ind w:left="0" w:right="0" w:firstLine="460"/>
        <w:jc w:val="both"/>
        <w:rPr>
          <w:rFonts w:hint="eastAsia" w:ascii="宋体" w:hAnsi="宋体" w:eastAsia="宋体" w:cs="宋体"/>
          <w:color w:val="auto"/>
          <w:sz w:val="21"/>
          <w:szCs w:val="21"/>
        </w:rPr>
      </w:pPr>
      <w:bookmarkStart w:id="55" w:name="bookmark104"/>
      <w:r>
        <w:rPr>
          <w:rFonts w:hint="eastAsia" w:ascii="宋体" w:hAnsi="宋体" w:eastAsia="宋体" w:cs="宋体"/>
          <w:color w:val="auto"/>
          <w:spacing w:val="0"/>
          <w:w w:val="100"/>
          <w:position w:val="0"/>
          <w:sz w:val="21"/>
          <w:szCs w:val="21"/>
        </w:rPr>
        <w:t>3</w:t>
      </w:r>
      <w:bookmarkEnd w:id="55"/>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中标（成交）通知书；</w:t>
      </w:r>
    </w:p>
    <w:p w14:paraId="486DA2D3">
      <w:pPr>
        <w:pStyle w:val="85"/>
        <w:keepNext w:val="0"/>
        <w:keepLines w:val="0"/>
        <w:widowControl w:val="0"/>
        <w:shd w:val="clear" w:color="auto" w:fill="auto"/>
        <w:tabs>
          <w:tab w:val="left" w:pos="833"/>
        </w:tabs>
        <w:bidi w:val="0"/>
        <w:spacing w:before="0" w:after="0" w:line="399" w:lineRule="exact"/>
        <w:ind w:left="0" w:right="0" w:firstLine="460"/>
        <w:jc w:val="both"/>
        <w:rPr>
          <w:rFonts w:hint="eastAsia" w:ascii="宋体" w:hAnsi="宋体" w:eastAsia="宋体" w:cs="宋体"/>
          <w:color w:val="auto"/>
          <w:sz w:val="21"/>
          <w:szCs w:val="21"/>
        </w:rPr>
      </w:pPr>
      <w:bookmarkStart w:id="56" w:name="bookmark105"/>
      <w:r>
        <w:rPr>
          <w:rFonts w:hint="eastAsia" w:ascii="宋体" w:hAnsi="宋体" w:eastAsia="宋体" w:cs="宋体"/>
          <w:color w:val="auto"/>
          <w:spacing w:val="0"/>
          <w:w w:val="100"/>
          <w:position w:val="0"/>
          <w:sz w:val="21"/>
          <w:szCs w:val="21"/>
        </w:rPr>
        <w:t>4</w:t>
      </w:r>
      <w:bookmarkEnd w:id="56"/>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中标人在评标过程中</w:t>
      </w:r>
      <w:r>
        <w:rPr>
          <w:rFonts w:hint="eastAsia" w:ascii="宋体" w:hAnsi="宋体" w:eastAsia="宋体" w:cs="宋体"/>
          <w:color w:val="auto"/>
          <w:spacing w:val="0"/>
          <w:w w:val="100"/>
          <w:position w:val="0"/>
          <w:sz w:val="21"/>
          <w:szCs w:val="21"/>
          <w:lang w:eastAsia="zh-CN"/>
        </w:rPr>
        <w:t>作出</w:t>
      </w:r>
      <w:r>
        <w:rPr>
          <w:rFonts w:hint="eastAsia" w:ascii="宋体" w:hAnsi="宋体" w:eastAsia="宋体" w:cs="宋体"/>
          <w:color w:val="auto"/>
          <w:spacing w:val="0"/>
          <w:w w:val="100"/>
          <w:position w:val="0"/>
          <w:sz w:val="21"/>
          <w:szCs w:val="21"/>
        </w:rPr>
        <w:t>的有关澄清、说明、承诺或者补正文件；</w:t>
      </w:r>
    </w:p>
    <w:p w14:paraId="5EF98179">
      <w:pPr>
        <w:pStyle w:val="85"/>
        <w:keepNext w:val="0"/>
        <w:keepLines w:val="0"/>
        <w:widowControl w:val="0"/>
        <w:shd w:val="clear" w:color="auto" w:fill="auto"/>
        <w:tabs>
          <w:tab w:val="left" w:pos="833"/>
        </w:tabs>
        <w:bidi w:val="0"/>
        <w:spacing w:before="0" w:after="0" w:line="399" w:lineRule="exact"/>
        <w:ind w:left="0" w:right="0" w:firstLine="460"/>
        <w:jc w:val="both"/>
        <w:rPr>
          <w:rFonts w:hint="eastAsia" w:ascii="宋体" w:hAnsi="宋体" w:eastAsia="宋体" w:cs="宋体"/>
          <w:color w:val="auto"/>
          <w:sz w:val="21"/>
          <w:szCs w:val="21"/>
        </w:rPr>
        <w:sectPr>
          <w:footerReference r:id="rId6" w:type="default"/>
          <w:footerReference r:id="rId7" w:type="even"/>
          <w:footnotePr>
            <w:numFmt w:val="decimal"/>
          </w:footnotePr>
          <w:type w:val="continuous"/>
          <w:pgSz w:w="11900" w:h="16840"/>
          <w:pgMar w:top="1559" w:right="1680" w:bottom="1358" w:left="1709" w:header="1131" w:footer="1128" w:gutter="0"/>
          <w:pgNumType w:fmt="decimal"/>
          <w:cols w:space="720" w:num="1"/>
          <w:rtlGutter w:val="0"/>
          <w:docGrid w:linePitch="360" w:charSpace="0"/>
        </w:sectPr>
      </w:pPr>
      <w:bookmarkStart w:id="57" w:name="bookmark106"/>
      <w:r>
        <w:rPr>
          <w:rFonts w:hint="eastAsia" w:ascii="宋体" w:hAnsi="宋体" w:eastAsia="宋体" w:cs="宋体"/>
          <w:color w:val="auto"/>
          <w:spacing w:val="0"/>
          <w:w w:val="100"/>
          <w:position w:val="0"/>
          <w:sz w:val="21"/>
          <w:szCs w:val="21"/>
        </w:rPr>
        <w:t>5</w:t>
      </w:r>
      <w:bookmarkEnd w:id="57"/>
      <w:r>
        <w:rPr>
          <w:rFonts w:hint="eastAsia" w:ascii="宋体" w:hAnsi="宋体" w:eastAsia="宋体" w:cs="宋体"/>
          <w:color w:val="auto"/>
          <w:spacing w:val="0"/>
          <w:w w:val="100"/>
          <w:position w:val="0"/>
          <w:sz w:val="21"/>
          <w:szCs w:val="21"/>
        </w:rPr>
        <w:t>、</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政府</w:t>
      </w:r>
      <w:r>
        <w:rPr>
          <w:rFonts w:hint="eastAsia" w:ascii="宋体" w:hAnsi="宋体" w:eastAsia="宋体" w:cs="宋体"/>
          <w:color w:val="auto"/>
          <w:spacing w:val="0"/>
          <w:w w:val="100"/>
          <w:position w:val="0"/>
          <w:sz w:val="21"/>
          <w:szCs w:val="21"/>
          <w:lang w:eastAsia="zh-CN"/>
        </w:rPr>
        <w:t>采购</w:t>
      </w:r>
      <w:r>
        <w:rPr>
          <w:rFonts w:hint="eastAsia" w:ascii="宋体" w:hAnsi="宋体" w:eastAsia="宋体" w:cs="宋体"/>
          <w:color w:val="auto"/>
          <w:spacing w:val="0"/>
          <w:w w:val="100"/>
          <w:position w:val="0"/>
          <w:sz w:val="21"/>
          <w:szCs w:val="21"/>
        </w:rPr>
        <w:t>委托协议书。</w:t>
      </w:r>
    </w:p>
    <w:p w14:paraId="0C6A853A">
      <w:pPr>
        <w:widowControl w:val="0"/>
        <w:spacing w:before="75" w:after="75" w:line="240" w:lineRule="exact"/>
        <w:rPr>
          <w:rFonts w:hint="eastAsia" w:ascii="宋体" w:hAnsi="宋体" w:eastAsia="宋体" w:cs="宋体"/>
          <w:color w:val="auto"/>
          <w:sz w:val="21"/>
          <w:szCs w:val="21"/>
        </w:rPr>
      </w:pPr>
    </w:p>
    <w:p w14:paraId="73FB60C4">
      <w:pPr>
        <w:widowControl w:val="0"/>
        <w:spacing w:line="1" w:lineRule="exact"/>
        <w:rPr>
          <w:rFonts w:hint="eastAsia" w:ascii="宋体" w:hAnsi="宋体" w:eastAsia="宋体" w:cs="宋体"/>
          <w:color w:val="auto"/>
          <w:sz w:val="21"/>
          <w:szCs w:val="21"/>
        </w:rPr>
        <w:sectPr>
          <w:footnotePr>
            <w:numFmt w:val="decimal"/>
          </w:footnotePr>
          <w:type w:val="continuous"/>
          <w:pgSz w:w="11900" w:h="16840"/>
          <w:pgMar w:top="1734" w:right="0" w:bottom="1734" w:left="0" w:header="0" w:footer="3" w:gutter="0"/>
          <w:pgNumType w:fmt="decimal"/>
          <w:cols w:space="720" w:num="1"/>
          <w:rtlGutter w:val="0"/>
          <w:docGrid w:linePitch="360" w:charSpace="0"/>
        </w:sectPr>
      </w:pPr>
    </w:p>
    <w:p w14:paraId="43585CC1">
      <w:pPr>
        <w:pStyle w:val="85"/>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甲 方：</w:t>
      </w:r>
    </w:p>
    <w:p w14:paraId="49C71DB2">
      <w:pPr>
        <w:pStyle w:val="85"/>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单位名称（公章）：</w:t>
      </w:r>
    </w:p>
    <w:p w14:paraId="5F50C4A4">
      <w:pPr>
        <w:pStyle w:val="85"/>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法定代表人（被授权代表）签字</w:t>
      </w:r>
      <w:r>
        <w:rPr>
          <w:rFonts w:hint="eastAsia" w:ascii="宋体" w:hAnsi="宋体" w:eastAsia="宋体" w:cs="宋体"/>
          <w:color w:val="auto"/>
          <w:spacing w:val="0"/>
          <w:w w:val="100"/>
          <w:position w:val="0"/>
          <w:sz w:val="21"/>
          <w:szCs w:val="21"/>
          <w:lang w:eastAsia="zh-CN"/>
        </w:rPr>
        <w:t>：</w:t>
      </w:r>
    </w:p>
    <w:p w14:paraId="1BB73958">
      <w:pPr>
        <w:pStyle w:val="85"/>
        <w:keepNext w:val="0"/>
        <w:keepLines w:val="0"/>
        <w:widowControl w:val="0"/>
        <w:shd w:val="clear" w:color="auto" w:fill="auto"/>
        <w:bidi w:val="0"/>
        <w:spacing w:before="0" w:after="540" w:line="240"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电 话：</w:t>
      </w:r>
    </w:p>
    <w:p w14:paraId="7558F344">
      <w:pPr>
        <w:pStyle w:val="85"/>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年 月 日</w:t>
      </w:r>
    </w:p>
    <w:p w14:paraId="64425A9B">
      <w:pPr>
        <w:pStyle w:val="85"/>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乙 方：</w:t>
      </w:r>
    </w:p>
    <w:p w14:paraId="12FD5C37">
      <w:pPr>
        <w:pStyle w:val="85"/>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单位名称（公章）：</w:t>
      </w:r>
    </w:p>
    <w:p w14:paraId="6D6D7975">
      <w:pPr>
        <w:pStyle w:val="85"/>
        <w:keepNext w:val="0"/>
        <w:keepLines w:val="0"/>
        <w:widowControl w:val="0"/>
        <w:shd w:val="clear" w:color="auto" w:fill="auto"/>
        <w:bidi w:val="0"/>
        <w:spacing w:before="0" w:after="140" w:line="240" w:lineRule="auto"/>
        <w:ind w:left="0" w:right="0" w:firstLine="0"/>
        <w:jc w:val="left"/>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法定代表人（被授权代表）签字</w:t>
      </w:r>
      <w:r>
        <w:rPr>
          <w:rFonts w:hint="eastAsia" w:ascii="宋体" w:hAnsi="宋体" w:eastAsia="宋体" w:cs="宋体"/>
          <w:color w:val="auto"/>
          <w:spacing w:val="0"/>
          <w:w w:val="100"/>
          <w:position w:val="0"/>
          <w:sz w:val="21"/>
          <w:szCs w:val="21"/>
          <w:lang w:eastAsia="zh-CN"/>
        </w:rPr>
        <w:t>：</w:t>
      </w:r>
    </w:p>
    <w:p w14:paraId="617F5193">
      <w:pPr>
        <w:pStyle w:val="85"/>
        <w:keepNext w:val="0"/>
        <w:keepLines w:val="0"/>
        <w:widowControl w:val="0"/>
        <w:shd w:val="clear" w:color="auto" w:fill="auto"/>
        <w:bidi w:val="0"/>
        <w:spacing w:before="0" w:after="540" w:line="240" w:lineRule="auto"/>
        <w:ind w:left="0" w:right="0" w:firstLine="0"/>
        <w:jc w:val="left"/>
        <w:rPr>
          <w:color w:val="auto"/>
          <w:sz w:val="21"/>
          <w:szCs w:val="21"/>
        </w:rPr>
      </w:pPr>
      <w:r>
        <w:rPr>
          <w:color w:val="auto"/>
          <w:spacing w:val="0"/>
          <w:w w:val="100"/>
          <w:position w:val="0"/>
          <w:sz w:val="21"/>
          <w:szCs w:val="21"/>
        </w:rPr>
        <w:t>电 话：</w:t>
      </w:r>
    </w:p>
    <w:p w14:paraId="6561F345">
      <w:pPr>
        <w:pStyle w:val="85"/>
        <w:keepNext w:val="0"/>
        <w:keepLines w:val="0"/>
        <w:widowControl w:val="0"/>
        <w:shd w:val="clear" w:color="auto" w:fill="auto"/>
        <w:bidi w:val="0"/>
        <w:spacing w:before="0" w:after="140" w:line="240" w:lineRule="auto"/>
        <w:ind w:left="0" w:right="0" w:firstLine="0"/>
        <w:jc w:val="left"/>
        <w:rPr>
          <w:color w:val="auto"/>
          <w:sz w:val="21"/>
          <w:szCs w:val="21"/>
        </w:rPr>
        <w:sectPr>
          <w:footnotePr>
            <w:numFmt w:val="decimal"/>
          </w:footnotePr>
          <w:type w:val="continuous"/>
          <w:pgSz w:w="11900" w:h="16840"/>
          <w:pgMar w:top="1734" w:right="1791" w:bottom="1734" w:left="2189" w:header="0" w:footer="3" w:gutter="0"/>
          <w:pgNumType w:fmt="decimal"/>
          <w:cols w:space="1171" w:num="2"/>
          <w:rtlGutter w:val="0"/>
          <w:docGrid w:linePitch="360" w:charSpace="0"/>
        </w:sectPr>
      </w:pPr>
      <w:r>
        <w:rPr>
          <w:color w:val="auto"/>
          <w:spacing w:val="0"/>
          <w:w w:val="100"/>
          <w:position w:val="0"/>
          <w:sz w:val="21"/>
          <w:szCs w:val="21"/>
        </w:rPr>
        <w:t>年 月 日</w:t>
      </w:r>
    </w:p>
    <w:p w14:paraId="6FEE180E">
      <w:pPr>
        <w:pStyle w:val="19"/>
        <w:spacing w:line="360" w:lineRule="auto"/>
        <w:contextualSpacing/>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第八章 响应文件有关格式</w:t>
      </w:r>
    </w:p>
    <w:p w14:paraId="495FDB5D">
      <w:pP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rPr>
      </w:pPr>
      <w:r>
        <w:rPr>
          <w:rFonts w:hint="eastAsia" w:cs="宋体" w:asciiTheme="majorEastAsia" w:hAnsiTheme="majorEastAsia" w:eastAsiaTheme="majorEastAsia"/>
          <w:b/>
          <w:color w:val="auto"/>
          <w:kern w:val="0"/>
          <w:sz w:val="24"/>
          <w:szCs w:val="24"/>
        </w:rPr>
        <w:t>（如涉及本项目的提供）</w:t>
      </w:r>
    </w:p>
    <w:p w14:paraId="44C69407">
      <w:pPr>
        <w:spacing w:line="480" w:lineRule="exact"/>
        <w:ind w:firstLine="540" w:firstLineChars="192"/>
        <w:rPr>
          <w:rFonts w:ascii="宋体" w:hAnsi="宋体" w:eastAsia="宋体" w:cs="黑体"/>
          <w:b/>
          <w:color w:val="auto"/>
          <w:kern w:val="0"/>
          <w:sz w:val="28"/>
          <w:szCs w:val="28"/>
        </w:rPr>
      </w:pPr>
      <w:r>
        <w:rPr>
          <w:rFonts w:hint="eastAsia" w:ascii="宋体" w:hAnsi="宋体" w:eastAsia="宋体" w:cs="黑体"/>
          <w:b/>
          <w:color w:val="auto"/>
          <w:kern w:val="0"/>
          <w:sz w:val="28"/>
          <w:szCs w:val="28"/>
        </w:rPr>
        <w:t>注：</w:t>
      </w:r>
    </w:p>
    <w:p w14:paraId="6052CB0B">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1.以下的响应文件格式为通用的格式，投标人在制作响应文件时应以谈判文件内容要求为准，选择相应的响应文件格式。</w:t>
      </w:r>
    </w:p>
    <w:p w14:paraId="335B56B7">
      <w:pPr>
        <w:spacing w:line="480" w:lineRule="exact"/>
        <w:ind w:firstLine="463" w:firstLineChars="192"/>
        <w:rPr>
          <w:rFonts w:ascii="宋体" w:hAnsi="宋体" w:eastAsia="宋体" w:cs="黑体"/>
          <w:b/>
          <w:color w:val="auto"/>
          <w:kern w:val="0"/>
          <w:sz w:val="24"/>
          <w:szCs w:val="24"/>
        </w:rPr>
      </w:pPr>
      <w:r>
        <w:rPr>
          <w:rFonts w:hint="eastAsia" w:ascii="宋体" w:hAnsi="宋体" w:eastAsia="宋体" w:cs="黑体"/>
          <w:b/>
          <w:color w:val="auto"/>
          <w:kern w:val="0"/>
          <w:sz w:val="24"/>
          <w:szCs w:val="24"/>
        </w:rPr>
        <w:t>2.没有给定格式的，投标人可以自行设计。</w:t>
      </w:r>
    </w:p>
    <w:p w14:paraId="2747F071">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14:paraId="00A56A07">
      <w:pPr>
        <w:pStyle w:val="40"/>
        <w:ind w:firstLine="0" w:firstLineChars="0"/>
        <w:jc w:val="center"/>
        <w:rPr>
          <w:rFonts w:ascii="宋体" w:hAnsi="宋体" w:cs="宋体"/>
          <w:color w:val="auto"/>
          <w:sz w:val="24"/>
        </w:rPr>
      </w:pPr>
      <w:r>
        <w:rPr>
          <w:rFonts w:hint="eastAsia" w:ascii="宋体" w:hAnsi="宋体" w:cs="宋体"/>
          <w:color w:val="auto"/>
          <w:sz w:val="36"/>
          <w:szCs w:val="36"/>
          <w:u w:val="single"/>
        </w:rPr>
        <w:t xml:space="preserve">                    （项目名称）</w:t>
      </w:r>
    </w:p>
    <w:p w14:paraId="151AD166">
      <w:pPr>
        <w:spacing w:line="380" w:lineRule="exact"/>
        <w:rPr>
          <w:rFonts w:ascii="宋体" w:hAnsi="宋体" w:cs="宋体"/>
          <w:color w:val="auto"/>
          <w:sz w:val="24"/>
        </w:rPr>
      </w:pPr>
    </w:p>
    <w:p w14:paraId="298BA1CB">
      <w:pPr>
        <w:spacing w:line="380" w:lineRule="exact"/>
        <w:rPr>
          <w:rFonts w:ascii="宋体" w:hAnsi="宋体" w:cs="宋体"/>
          <w:color w:val="auto"/>
          <w:sz w:val="24"/>
        </w:rPr>
      </w:pPr>
    </w:p>
    <w:p w14:paraId="6DE37936">
      <w:pPr>
        <w:spacing w:line="380" w:lineRule="exact"/>
        <w:rPr>
          <w:rFonts w:ascii="宋体" w:hAnsi="宋体" w:cs="宋体"/>
          <w:color w:val="auto"/>
          <w:sz w:val="24"/>
        </w:rPr>
      </w:pPr>
    </w:p>
    <w:p w14:paraId="1C4A7487">
      <w:pPr>
        <w:spacing w:line="380" w:lineRule="exact"/>
        <w:rPr>
          <w:rFonts w:ascii="宋体" w:hAnsi="宋体" w:cs="宋体"/>
          <w:color w:val="auto"/>
          <w:sz w:val="24"/>
        </w:rPr>
      </w:pPr>
    </w:p>
    <w:p w14:paraId="3EBA2582">
      <w:pPr>
        <w:spacing w:line="380" w:lineRule="exact"/>
        <w:jc w:val="center"/>
        <w:rPr>
          <w:rFonts w:ascii="宋体" w:hAnsi="宋体" w:cs="宋体"/>
          <w:b/>
          <w:bCs/>
          <w:color w:val="auto"/>
          <w:sz w:val="48"/>
          <w:szCs w:val="48"/>
        </w:rPr>
      </w:pPr>
    </w:p>
    <w:p w14:paraId="0347E0C9">
      <w:pPr>
        <w:spacing w:line="380" w:lineRule="exact"/>
        <w:rPr>
          <w:rFonts w:ascii="宋体" w:hAnsi="宋体" w:cs="宋体"/>
          <w:b/>
          <w:bCs/>
          <w:color w:val="auto"/>
          <w:sz w:val="48"/>
          <w:szCs w:val="48"/>
        </w:rPr>
      </w:pPr>
    </w:p>
    <w:p w14:paraId="67AE3567">
      <w:pPr>
        <w:spacing w:line="380" w:lineRule="exact"/>
        <w:jc w:val="center"/>
        <w:rPr>
          <w:rFonts w:ascii="宋体" w:hAnsi="宋体" w:cs="宋体"/>
          <w:b/>
          <w:bCs/>
          <w:color w:val="auto"/>
          <w:sz w:val="48"/>
          <w:szCs w:val="48"/>
        </w:rPr>
      </w:pPr>
    </w:p>
    <w:p w14:paraId="69E41B76">
      <w:pPr>
        <w:spacing w:line="480" w:lineRule="auto"/>
        <w:jc w:val="center"/>
        <w:rPr>
          <w:rFonts w:ascii="宋体" w:hAnsi="宋体" w:cs="宋体"/>
          <w:b/>
          <w:bCs/>
          <w:color w:val="auto"/>
          <w:sz w:val="72"/>
          <w:szCs w:val="72"/>
        </w:rPr>
      </w:pPr>
      <w:r>
        <w:rPr>
          <w:rFonts w:hint="eastAsia" w:ascii="宋体" w:hAnsi="宋体" w:cs="宋体"/>
          <w:b/>
          <w:bCs/>
          <w:color w:val="auto"/>
          <w:sz w:val="72"/>
          <w:szCs w:val="72"/>
        </w:rPr>
        <w:t>响 应 文 件</w:t>
      </w:r>
    </w:p>
    <w:p w14:paraId="529B88AE">
      <w:pPr>
        <w:spacing w:line="380" w:lineRule="exact"/>
        <w:rPr>
          <w:rFonts w:ascii="宋体" w:hAnsi="宋体" w:cs="宋体"/>
          <w:color w:val="auto"/>
          <w:sz w:val="24"/>
        </w:rPr>
      </w:pPr>
    </w:p>
    <w:p w14:paraId="207D1F99">
      <w:pPr>
        <w:spacing w:line="380" w:lineRule="exact"/>
        <w:jc w:val="center"/>
        <w:rPr>
          <w:rFonts w:ascii="宋体" w:hAnsi="宋体" w:cs="宋体"/>
          <w:color w:val="auto"/>
          <w:sz w:val="28"/>
          <w:szCs w:val="28"/>
        </w:rPr>
      </w:pPr>
      <w:r>
        <w:rPr>
          <w:rFonts w:hint="eastAsia" w:ascii="宋体" w:hAnsi="宋体" w:cs="宋体"/>
          <w:color w:val="auto"/>
          <w:sz w:val="28"/>
          <w:szCs w:val="28"/>
        </w:rPr>
        <w:t>项目编号</w:t>
      </w:r>
      <w:r>
        <w:rPr>
          <w:rFonts w:hint="eastAsia" w:ascii="宋体" w:hAnsi="宋体" w:cs="宋体"/>
          <w:bCs/>
          <w:color w:val="auto"/>
          <w:sz w:val="28"/>
          <w:szCs w:val="28"/>
        </w:rPr>
        <w:t>：</w:t>
      </w:r>
    </w:p>
    <w:p w14:paraId="76D0997E">
      <w:pPr>
        <w:pStyle w:val="2"/>
        <w:ind w:firstLine="340"/>
        <w:rPr>
          <w:color w:val="auto"/>
        </w:rPr>
      </w:pPr>
    </w:p>
    <w:p w14:paraId="2E94D16D">
      <w:pPr>
        <w:spacing w:line="380" w:lineRule="exact"/>
        <w:rPr>
          <w:rFonts w:ascii="宋体" w:hAnsi="宋体" w:cs="宋体"/>
          <w:color w:val="auto"/>
          <w:sz w:val="24"/>
        </w:rPr>
      </w:pPr>
    </w:p>
    <w:p w14:paraId="5E50DCC2">
      <w:pPr>
        <w:pStyle w:val="3"/>
        <w:rPr>
          <w:rFonts w:ascii="宋体" w:hAnsi="宋体" w:cs="宋体"/>
          <w:color w:val="auto"/>
          <w:sz w:val="24"/>
        </w:rPr>
      </w:pPr>
    </w:p>
    <w:p w14:paraId="1BC582DB">
      <w:pPr>
        <w:pStyle w:val="25"/>
        <w:rPr>
          <w:color w:val="auto"/>
        </w:rPr>
      </w:pPr>
    </w:p>
    <w:p w14:paraId="15DACA0C">
      <w:pPr>
        <w:spacing w:line="380" w:lineRule="exact"/>
        <w:rPr>
          <w:rFonts w:ascii="宋体" w:hAnsi="宋体" w:cs="宋体"/>
          <w:color w:val="auto"/>
          <w:sz w:val="24"/>
        </w:rPr>
      </w:pPr>
    </w:p>
    <w:p w14:paraId="198853B9">
      <w:pPr>
        <w:spacing w:line="380" w:lineRule="exact"/>
        <w:rPr>
          <w:rFonts w:ascii="宋体" w:hAnsi="宋体" w:cs="宋体"/>
          <w:color w:val="auto"/>
          <w:sz w:val="24"/>
        </w:rPr>
      </w:pPr>
    </w:p>
    <w:p w14:paraId="6C350EA5">
      <w:pPr>
        <w:spacing w:line="480" w:lineRule="auto"/>
        <w:ind w:firstLine="1405" w:firstLineChars="500"/>
        <w:rPr>
          <w:rFonts w:ascii="宋体" w:hAnsi="宋体" w:cs="宋体"/>
          <w:b/>
          <w:bCs/>
          <w:color w:val="auto"/>
          <w:sz w:val="28"/>
          <w:szCs w:val="24"/>
        </w:rPr>
      </w:pPr>
      <w:bookmarkStart w:id="58" w:name="_Toc27760_WPSOffice_Level1"/>
      <w:bookmarkStart w:id="59" w:name="_Toc7428_WPSOffice_Level1"/>
      <w:r>
        <w:rPr>
          <w:rFonts w:hint="eastAsia" w:ascii="宋体" w:hAnsi="宋体" w:cs="宋体"/>
          <w:b/>
          <w:bCs/>
          <w:color w:val="auto"/>
          <w:sz w:val="28"/>
          <w:szCs w:val="24"/>
        </w:rPr>
        <w:t>供应商：（全称并加盖公章）</w:t>
      </w:r>
      <w:bookmarkEnd w:id="58"/>
      <w:bookmarkEnd w:id="59"/>
    </w:p>
    <w:p w14:paraId="43295F4E">
      <w:pPr>
        <w:spacing w:line="480" w:lineRule="auto"/>
        <w:ind w:firstLine="1405" w:firstLineChars="500"/>
        <w:rPr>
          <w:rFonts w:ascii="宋体" w:hAnsi="宋体" w:cs="宋体"/>
          <w:b/>
          <w:bCs/>
          <w:color w:val="auto"/>
          <w:sz w:val="28"/>
          <w:szCs w:val="24"/>
        </w:rPr>
      </w:pPr>
      <w:bookmarkStart w:id="60" w:name="_Toc28157_WPSOffice_Level1"/>
      <w:bookmarkStart w:id="61" w:name="_Toc4840_WPSOffice_Level1"/>
      <w:r>
        <w:rPr>
          <w:rFonts w:hint="eastAsia" w:ascii="宋体" w:hAnsi="宋体" w:cs="宋体"/>
          <w:b/>
          <w:bCs/>
          <w:color w:val="auto"/>
          <w:sz w:val="28"/>
          <w:szCs w:val="24"/>
        </w:rPr>
        <w:t>法定代表人或委托代理人（签字）：</w:t>
      </w:r>
      <w:bookmarkEnd w:id="60"/>
      <w:bookmarkEnd w:id="61"/>
    </w:p>
    <w:p w14:paraId="60A429A1">
      <w:pPr>
        <w:spacing w:line="480" w:lineRule="auto"/>
        <w:ind w:firstLine="1405" w:firstLineChars="500"/>
        <w:rPr>
          <w:rFonts w:ascii="宋体" w:hAnsi="宋体" w:cs="宋体"/>
          <w:b/>
          <w:bCs/>
          <w:color w:val="auto"/>
          <w:sz w:val="28"/>
          <w:szCs w:val="24"/>
        </w:rPr>
      </w:pPr>
      <w:bookmarkStart w:id="62" w:name="_Toc15640_WPSOffice_Level1"/>
      <w:bookmarkStart w:id="63" w:name="_Toc2311_WPSOffice_Level1"/>
      <w:r>
        <w:rPr>
          <w:rFonts w:hint="eastAsia" w:ascii="宋体" w:hAnsi="宋体" w:cs="宋体"/>
          <w:b/>
          <w:bCs/>
          <w:color w:val="auto"/>
          <w:sz w:val="28"/>
          <w:szCs w:val="24"/>
        </w:rPr>
        <w:t>日    期：      年     月     日</w:t>
      </w:r>
      <w:bookmarkEnd w:id="62"/>
      <w:bookmarkEnd w:id="63"/>
    </w:p>
    <w:p w14:paraId="15DE660D">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目录</w:t>
      </w:r>
    </w:p>
    <w:p w14:paraId="59D0F522">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auto"/>
          <w:sz w:val="32"/>
          <w:szCs w:val="32"/>
          <w:lang w:val="zh-CN"/>
        </w:rPr>
      </w:pPr>
    </w:p>
    <w:p w14:paraId="3211877A">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一、</w:t>
      </w:r>
      <w:r>
        <w:rPr>
          <w:rFonts w:hint="eastAsia" w:ascii="宋体" w:hAnsi="宋体" w:cs="黑体"/>
          <w:b/>
          <w:bCs/>
          <w:color w:val="auto"/>
          <w:sz w:val="32"/>
          <w:szCs w:val="32"/>
        </w:rPr>
        <w:t>供应商</w:t>
      </w:r>
      <w:r>
        <w:rPr>
          <w:rFonts w:hint="eastAsia" w:ascii="宋体" w:hAnsi="宋体" w:cs="黑体"/>
          <w:b/>
          <w:bCs/>
          <w:color w:val="auto"/>
          <w:sz w:val="32"/>
          <w:szCs w:val="32"/>
          <w:lang w:val="zh-CN"/>
        </w:rPr>
        <w:t>应答索引表</w:t>
      </w:r>
    </w:p>
    <w:p w14:paraId="666690A3">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二、报价一览表</w:t>
      </w:r>
    </w:p>
    <w:p w14:paraId="49FE684B">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三、资格审查证明材料</w:t>
      </w:r>
    </w:p>
    <w:p w14:paraId="6F9DEAC6">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四、符合性审查证明材料</w:t>
      </w:r>
    </w:p>
    <w:p w14:paraId="66692831">
      <w:pPr>
        <w:autoSpaceDE w:val="0"/>
        <w:autoSpaceDN w:val="0"/>
        <w:adjustRightInd w:val="0"/>
        <w:spacing w:line="360" w:lineRule="auto"/>
        <w:ind w:firstLine="643" w:firstLineChars="200"/>
        <w:jc w:val="left"/>
        <w:rPr>
          <w:rFonts w:ascii="宋体" w:hAnsi="宋体" w:cs="黑体"/>
          <w:b/>
          <w:bCs/>
          <w:color w:val="auto"/>
          <w:sz w:val="32"/>
          <w:szCs w:val="32"/>
          <w:lang w:val="zh-CN"/>
        </w:rPr>
      </w:pPr>
      <w:r>
        <w:rPr>
          <w:rFonts w:hint="eastAsia" w:ascii="宋体" w:hAnsi="宋体" w:cs="黑体"/>
          <w:b/>
          <w:bCs/>
          <w:color w:val="auto"/>
          <w:sz w:val="32"/>
          <w:szCs w:val="32"/>
          <w:lang w:val="zh-CN"/>
        </w:rPr>
        <w:t>五、</w:t>
      </w:r>
      <w:r>
        <w:rPr>
          <w:rFonts w:ascii="宋体" w:hAnsi="宋体" w:cs="黑体"/>
          <w:b/>
          <w:bCs/>
          <w:color w:val="auto"/>
          <w:sz w:val="32"/>
          <w:szCs w:val="32"/>
          <w:lang w:val="zh-CN"/>
        </w:rPr>
        <w:t>其他资料（若有）</w:t>
      </w:r>
    </w:p>
    <w:p w14:paraId="582CC9A7">
      <w:pPr>
        <w:pStyle w:val="6"/>
        <w:ind w:left="420" w:firstLine="480"/>
        <w:rPr>
          <w:rFonts w:hint="default"/>
          <w:color w:val="auto"/>
          <w:lang w:eastAsia="zh-CN"/>
        </w:rPr>
      </w:pPr>
    </w:p>
    <w:p w14:paraId="42CF277D">
      <w:pPr>
        <w:pStyle w:val="6"/>
        <w:ind w:left="420" w:firstLine="480"/>
        <w:rPr>
          <w:rFonts w:hint="default"/>
          <w:color w:val="auto"/>
          <w:lang w:eastAsia="zh-CN"/>
        </w:rPr>
      </w:pPr>
    </w:p>
    <w:p w14:paraId="41A9E227">
      <w:pPr>
        <w:rPr>
          <w:rFonts w:hint="default"/>
          <w:color w:val="auto"/>
          <w:lang w:eastAsia="zh-CN"/>
        </w:rPr>
      </w:pPr>
    </w:p>
    <w:p w14:paraId="53C5AAD4">
      <w:pPr>
        <w:pStyle w:val="2"/>
        <w:rPr>
          <w:rFonts w:hint="default"/>
          <w:color w:val="auto"/>
          <w:lang w:eastAsia="zh-CN"/>
        </w:rPr>
      </w:pPr>
    </w:p>
    <w:p w14:paraId="2F82EB33">
      <w:pPr>
        <w:pStyle w:val="6"/>
        <w:rPr>
          <w:rFonts w:hint="default"/>
          <w:color w:val="auto"/>
          <w:lang w:eastAsia="zh-CN"/>
        </w:rPr>
      </w:pPr>
    </w:p>
    <w:p w14:paraId="5492362C">
      <w:pPr>
        <w:rPr>
          <w:rFonts w:hint="default"/>
          <w:color w:val="auto"/>
          <w:lang w:eastAsia="zh-CN"/>
        </w:rPr>
      </w:pPr>
    </w:p>
    <w:p w14:paraId="7E5FC961">
      <w:pPr>
        <w:pStyle w:val="2"/>
        <w:rPr>
          <w:rFonts w:hint="default"/>
          <w:color w:val="auto"/>
          <w:lang w:eastAsia="zh-CN"/>
        </w:rPr>
      </w:pPr>
    </w:p>
    <w:p w14:paraId="34EF8650">
      <w:pPr>
        <w:pStyle w:val="6"/>
        <w:rPr>
          <w:rFonts w:hint="default"/>
          <w:color w:val="auto"/>
          <w:lang w:eastAsia="zh-CN"/>
        </w:rPr>
      </w:pPr>
    </w:p>
    <w:p w14:paraId="686837DC">
      <w:pPr>
        <w:rPr>
          <w:rFonts w:hint="default"/>
          <w:color w:val="auto"/>
          <w:lang w:eastAsia="zh-CN"/>
        </w:rPr>
      </w:pPr>
    </w:p>
    <w:p w14:paraId="1B9250A9">
      <w:pPr>
        <w:pStyle w:val="2"/>
        <w:rPr>
          <w:rFonts w:hint="default"/>
          <w:color w:val="auto"/>
          <w:lang w:eastAsia="zh-CN"/>
        </w:rPr>
      </w:pPr>
    </w:p>
    <w:p w14:paraId="3F8BCFFF">
      <w:pPr>
        <w:pStyle w:val="6"/>
        <w:rPr>
          <w:rFonts w:hint="default"/>
          <w:color w:val="auto"/>
          <w:lang w:eastAsia="zh-CN"/>
        </w:rPr>
      </w:pPr>
    </w:p>
    <w:p w14:paraId="37A292DA">
      <w:pPr>
        <w:rPr>
          <w:rFonts w:hint="default"/>
          <w:color w:val="auto"/>
          <w:lang w:eastAsia="zh-CN"/>
        </w:rPr>
      </w:pPr>
    </w:p>
    <w:p w14:paraId="15BB5CA8">
      <w:pPr>
        <w:pStyle w:val="2"/>
        <w:rPr>
          <w:rFonts w:hint="default"/>
          <w:color w:val="auto"/>
          <w:lang w:eastAsia="zh-CN"/>
        </w:rPr>
      </w:pPr>
    </w:p>
    <w:p w14:paraId="54A5B84B">
      <w:pPr>
        <w:pStyle w:val="6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64" w:name="_Hlk61874509"/>
      <w:r>
        <w:rPr>
          <w:rFonts w:hint="eastAsia" w:cs="黑体" w:asciiTheme="minorEastAsia" w:hAnsiTheme="minorEastAsia" w:eastAsiaTheme="minorEastAsia"/>
          <w:color w:val="auto"/>
          <w:kern w:val="2"/>
          <w:sz w:val="28"/>
          <w:szCs w:val="28"/>
          <w:lang w:val="zh-CN"/>
        </w:rPr>
        <w:t>一、供应商应答索引表</w:t>
      </w:r>
    </w:p>
    <w:bookmarkEnd w:id="64"/>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1F65A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89B1803">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vAlign w:val="center"/>
          </w:tcPr>
          <w:p w14:paraId="297E9CC1">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vAlign w:val="center"/>
          </w:tcPr>
          <w:p w14:paraId="4F6A876D">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供应商应答</w:t>
            </w:r>
          </w:p>
          <w:p w14:paraId="08BF0551">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vAlign w:val="center"/>
          </w:tcPr>
          <w:p w14:paraId="4D2052A4">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响应文件中所在页码</w:t>
            </w:r>
          </w:p>
        </w:tc>
        <w:tc>
          <w:tcPr>
            <w:tcW w:w="2018" w:type="dxa"/>
            <w:vAlign w:val="center"/>
          </w:tcPr>
          <w:p w14:paraId="7753EACD">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14:paraId="07C3E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A19F715">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vAlign w:val="center"/>
          </w:tcPr>
          <w:p w14:paraId="1161D4EE">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vAlign w:val="center"/>
          </w:tcPr>
          <w:p w14:paraId="4335A0F6">
            <w:pPr>
              <w:snapToGrid w:val="0"/>
              <w:spacing w:line="400" w:lineRule="exact"/>
              <w:jc w:val="center"/>
              <w:rPr>
                <w:rFonts w:ascii="宋体" w:hAnsi="宋体" w:cs="微软雅黑"/>
                <w:color w:val="auto"/>
                <w:szCs w:val="21"/>
              </w:rPr>
            </w:pPr>
          </w:p>
        </w:tc>
        <w:tc>
          <w:tcPr>
            <w:tcW w:w="1560" w:type="dxa"/>
            <w:vAlign w:val="center"/>
          </w:tcPr>
          <w:p w14:paraId="2EAE2B81">
            <w:pPr>
              <w:snapToGrid w:val="0"/>
              <w:spacing w:line="400" w:lineRule="exact"/>
              <w:rPr>
                <w:rFonts w:ascii="宋体" w:hAnsi="宋体" w:cs="微软雅黑"/>
                <w:color w:val="auto"/>
                <w:szCs w:val="21"/>
              </w:rPr>
            </w:pPr>
          </w:p>
        </w:tc>
        <w:tc>
          <w:tcPr>
            <w:tcW w:w="2018" w:type="dxa"/>
            <w:vAlign w:val="center"/>
          </w:tcPr>
          <w:p w14:paraId="275CE87B">
            <w:pPr>
              <w:snapToGrid w:val="0"/>
              <w:spacing w:line="400" w:lineRule="exact"/>
              <w:rPr>
                <w:rFonts w:ascii="宋体" w:hAnsi="宋体" w:cs="微软雅黑"/>
                <w:color w:val="auto"/>
                <w:szCs w:val="21"/>
              </w:rPr>
            </w:pPr>
          </w:p>
        </w:tc>
      </w:tr>
      <w:tr w14:paraId="54D5A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5393A9C">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vAlign w:val="center"/>
          </w:tcPr>
          <w:p w14:paraId="352618BC">
            <w:pPr>
              <w:pStyle w:val="19"/>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vAlign w:val="center"/>
          </w:tcPr>
          <w:p w14:paraId="5C8B8955">
            <w:pPr>
              <w:snapToGrid w:val="0"/>
              <w:spacing w:line="400" w:lineRule="exact"/>
              <w:jc w:val="center"/>
              <w:rPr>
                <w:rFonts w:ascii="宋体" w:hAnsi="宋体" w:cs="微软雅黑"/>
                <w:color w:val="auto"/>
                <w:szCs w:val="21"/>
              </w:rPr>
            </w:pPr>
          </w:p>
        </w:tc>
        <w:tc>
          <w:tcPr>
            <w:tcW w:w="1560" w:type="dxa"/>
            <w:vAlign w:val="center"/>
          </w:tcPr>
          <w:p w14:paraId="2D9A05D8">
            <w:pPr>
              <w:snapToGrid w:val="0"/>
              <w:spacing w:line="400" w:lineRule="exact"/>
              <w:rPr>
                <w:rFonts w:ascii="宋体" w:hAnsi="宋体" w:cs="微软雅黑"/>
                <w:color w:val="auto"/>
                <w:szCs w:val="21"/>
              </w:rPr>
            </w:pPr>
          </w:p>
        </w:tc>
        <w:tc>
          <w:tcPr>
            <w:tcW w:w="2018" w:type="dxa"/>
            <w:vAlign w:val="center"/>
          </w:tcPr>
          <w:p w14:paraId="219691B8">
            <w:pPr>
              <w:snapToGrid w:val="0"/>
              <w:spacing w:line="400" w:lineRule="exact"/>
              <w:rPr>
                <w:rFonts w:ascii="宋体" w:hAnsi="宋体" w:cs="微软雅黑"/>
                <w:color w:val="auto"/>
                <w:szCs w:val="21"/>
              </w:rPr>
            </w:pPr>
          </w:p>
        </w:tc>
      </w:tr>
      <w:tr w14:paraId="6FF6C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BDE5F85">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vAlign w:val="center"/>
          </w:tcPr>
          <w:p w14:paraId="1CD38609">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报价函</w:t>
            </w:r>
          </w:p>
        </w:tc>
        <w:tc>
          <w:tcPr>
            <w:tcW w:w="1559" w:type="dxa"/>
            <w:vAlign w:val="center"/>
          </w:tcPr>
          <w:p w14:paraId="7DF6DA1F">
            <w:pPr>
              <w:snapToGrid w:val="0"/>
              <w:spacing w:line="400" w:lineRule="exact"/>
              <w:jc w:val="center"/>
              <w:rPr>
                <w:rFonts w:ascii="宋体" w:hAnsi="宋体" w:cs="微软雅黑"/>
                <w:color w:val="auto"/>
                <w:szCs w:val="21"/>
              </w:rPr>
            </w:pPr>
          </w:p>
        </w:tc>
        <w:tc>
          <w:tcPr>
            <w:tcW w:w="1560" w:type="dxa"/>
            <w:vAlign w:val="center"/>
          </w:tcPr>
          <w:p w14:paraId="52E9CBBB">
            <w:pPr>
              <w:snapToGrid w:val="0"/>
              <w:spacing w:line="400" w:lineRule="exact"/>
              <w:rPr>
                <w:rFonts w:ascii="宋体" w:hAnsi="宋体" w:cs="微软雅黑"/>
                <w:color w:val="auto"/>
                <w:szCs w:val="21"/>
              </w:rPr>
            </w:pPr>
          </w:p>
        </w:tc>
        <w:tc>
          <w:tcPr>
            <w:tcW w:w="2018" w:type="dxa"/>
            <w:vAlign w:val="center"/>
          </w:tcPr>
          <w:p w14:paraId="6D5A6045">
            <w:pPr>
              <w:snapToGrid w:val="0"/>
              <w:spacing w:line="400" w:lineRule="exact"/>
              <w:rPr>
                <w:rFonts w:ascii="宋体" w:hAnsi="宋体" w:cs="微软雅黑"/>
                <w:color w:val="auto"/>
                <w:szCs w:val="21"/>
              </w:rPr>
            </w:pPr>
          </w:p>
        </w:tc>
      </w:tr>
      <w:tr w14:paraId="361A9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D2D995A">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vAlign w:val="center"/>
          </w:tcPr>
          <w:p w14:paraId="4726E77B">
            <w:pPr>
              <w:pStyle w:val="19"/>
              <w:kinsoku w:val="0"/>
              <w:overflowPunct w:val="0"/>
              <w:autoSpaceDE w:val="0"/>
              <w:autoSpaceDN w:val="0"/>
              <w:spacing w:line="320" w:lineRule="exact"/>
              <w:rPr>
                <w:rFonts w:hAnsi="宋体"/>
                <w:color w:val="auto"/>
                <w:kern w:val="0"/>
                <w:sz w:val="21"/>
                <w:szCs w:val="21"/>
              </w:rPr>
            </w:pPr>
            <w:r>
              <w:rPr>
                <w:rFonts w:hint="eastAsia" w:asciiTheme="majorEastAsia" w:hAnsiTheme="majorEastAsia" w:eastAsiaTheme="majorEastAsia" w:cstheme="majorEastAsia"/>
                <w:bCs/>
                <w:color w:val="auto"/>
                <w:sz w:val="21"/>
                <w:szCs w:val="21"/>
                <w:lang w:val="zh-CN"/>
              </w:rPr>
              <w:t>法定代表人（单位负责人）</w:t>
            </w:r>
            <w:r>
              <w:rPr>
                <w:rFonts w:asciiTheme="majorEastAsia" w:hAnsiTheme="majorEastAsia" w:eastAsiaTheme="majorEastAsia" w:cstheme="majorEastAsia"/>
                <w:bCs/>
                <w:color w:val="auto"/>
                <w:sz w:val="21"/>
                <w:szCs w:val="21"/>
                <w:lang w:val="zh-CN"/>
              </w:rPr>
              <w:t>资</w:t>
            </w:r>
            <w:r>
              <w:rPr>
                <w:rFonts w:hint="eastAsia" w:asciiTheme="majorEastAsia" w:hAnsiTheme="majorEastAsia" w:eastAsiaTheme="majorEastAsia" w:cstheme="majorEastAsia"/>
                <w:bCs/>
                <w:color w:val="auto"/>
                <w:sz w:val="21"/>
                <w:szCs w:val="21"/>
                <w:lang w:val="zh-CN"/>
              </w:rPr>
              <w:t>格</w:t>
            </w:r>
            <w:r>
              <w:rPr>
                <w:rFonts w:asciiTheme="majorEastAsia" w:hAnsiTheme="majorEastAsia" w:eastAsiaTheme="majorEastAsia" w:cstheme="majorEastAsia"/>
                <w:bCs/>
                <w:color w:val="auto"/>
                <w:sz w:val="21"/>
                <w:szCs w:val="21"/>
                <w:lang w:val="zh-CN"/>
              </w:rPr>
              <w:t>证</w:t>
            </w:r>
            <w:r>
              <w:rPr>
                <w:rFonts w:hint="eastAsia" w:asciiTheme="majorEastAsia" w:hAnsiTheme="majorEastAsia" w:eastAsiaTheme="majorEastAsia" w:cstheme="majorEastAsia"/>
                <w:bCs/>
                <w:color w:val="auto"/>
                <w:sz w:val="21"/>
                <w:szCs w:val="21"/>
                <w:lang w:val="zh-CN"/>
              </w:rPr>
              <w:t>明</w:t>
            </w:r>
            <w:r>
              <w:rPr>
                <w:rFonts w:asciiTheme="majorEastAsia" w:hAnsiTheme="majorEastAsia" w:eastAsiaTheme="majorEastAsia" w:cstheme="majorEastAsia"/>
                <w:bCs/>
                <w:color w:val="auto"/>
                <w:sz w:val="21"/>
                <w:szCs w:val="21"/>
                <w:lang w:val="zh-CN"/>
              </w:rPr>
              <w:t>书</w:t>
            </w:r>
          </w:p>
        </w:tc>
        <w:tc>
          <w:tcPr>
            <w:tcW w:w="1559" w:type="dxa"/>
            <w:vAlign w:val="center"/>
          </w:tcPr>
          <w:p w14:paraId="56DD1502">
            <w:pPr>
              <w:snapToGrid w:val="0"/>
              <w:spacing w:line="400" w:lineRule="exact"/>
              <w:jc w:val="center"/>
              <w:rPr>
                <w:rFonts w:ascii="宋体" w:hAnsi="宋体" w:cs="微软雅黑"/>
                <w:color w:val="auto"/>
                <w:szCs w:val="21"/>
              </w:rPr>
            </w:pPr>
          </w:p>
        </w:tc>
        <w:tc>
          <w:tcPr>
            <w:tcW w:w="1560" w:type="dxa"/>
            <w:vAlign w:val="center"/>
          </w:tcPr>
          <w:p w14:paraId="09663D12">
            <w:pPr>
              <w:snapToGrid w:val="0"/>
              <w:spacing w:line="400" w:lineRule="exact"/>
              <w:rPr>
                <w:rFonts w:ascii="宋体" w:hAnsi="宋体" w:cs="微软雅黑"/>
                <w:color w:val="auto"/>
                <w:szCs w:val="21"/>
              </w:rPr>
            </w:pPr>
          </w:p>
        </w:tc>
        <w:tc>
          <w:tcPr>
            <w:tcW w:w="2018" w:type="dxa"/>
            <w:vAlign w:val="center"/>
          </w:tcPr>
          <w:p w14:paraId="5CB68961">
            <w:pPr>
              <w:snapToGrid w:val="0"/>
              <w:spacing w:line="400" w:lineRule="exact"/>
              <w:rPr>
                <w:rFonts w:ascii="宋体" w:hAnsi="宋体" w:cs="微软雅黑"/>
                <w:color w:val="auto"/>
                <w:szCs w:val="21"/>
              </w:rPr>
            </w:pPr>
          </w:p>
        </w:tc>
      </w:tr>
      <w:tr w14:paraId="70893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B957681">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vAlign w:val="center"/>
          </w:tcPr>
          <w:p w14:paraId="08B2A125">
            <w:pPr>
              <w:pStyle w:val="19"/>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vAlign w:val="center"/>
          </w:tcPr>
          <w:p w14:paraId="3B85FD1F">
            <w:pPr>
              <w:snapToGrid w:val="0"/>
              <w:spacing w:line="400" w:lineRule="exact"/>
              <w:jc w:val="center"/>
              <w:rPr>
                <w:rFonts w:ascii="宋体" w:hAnsi="宋体" w:cs="微软雅黑"/>
                <w:color w:val="auto"/>
                <w:szCs w:val="21"/>
              </w:rPr>
            </w:pPr>
          </w:p>
        </w:tc>
        <w:tc>
          <w:tcPr>
            <w:tcW w:w="1560" w:type="dxa"/>
            <w:vAlign w:val="center"/>
          </w:tcPr>
          <w:p w14:paraId="2A55727A">
            <w:pPr>
              <w:snapToGrid w:val="0"/>
              <w:spacing w:line="400" w:lineRule="exact"/>
              <w:rPr>
                <w:rFonts w:ascii="宋体" w:hAnsi="宋体" w:cs="微软雅黑"/>
                <w:color w:val="auto"/>
                <w:szCs w:val="21"/>
              </w:rPr>
            </w:pPr>
          </w:p>
        </w:tc>
        <w:tc>
          <w:tcPr>
            <w:tcW w:w="2018" w:type="dxa"/>
            <w:vAlign w:val="center"/>
          </w:tcPr>
          <w:p w14:paraId="6296AAEA">
            <w:pPr>
              <w:snapToGrid w:val="0"/>
              <w:spacing w:line="400" w:lineRule="exact"/>
              <w:rPr>
                <w:rFonts w:ascii="宋体" w:hAnsi="宋体" w:cs="微软雅黑"/>
                <w:color w:val="auto"/>
                <w:szCs w:val="21"/>
              </w:rPr>
            </w:pPr>
          </w:p>
        </w:tc>
      </w:tr>
      <w:tr w14:paraId="26D9C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5C23EF9">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vAlign w:val="center"/>
          </w:tcPr>
          <w:p w14:paraId="020FA373">
            <w:pPr>
              <w:pStyle w:val="19"/>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禹州市政府采购供应商信用承诺函</w:t>
            </w:r>
          </w:p>
        </w:tc>
        <w:tc>
          <w:tcPr>
            <w:tcW w:w="1559" w:type="dxa"/>
            <w:vAlign w:val="center"/>
          </w:tcPr>
          <w:p w14:paraId="575E6104">
            <w:pPr>
              <w:snapToGrid w:val="0"/>
              <w:spacing w:line="400" w:lineRule="exact"/>
              <w:jc w:val="center"/>
              <w:rPr>
                <w:rFonts w:ascii="宋体" w:hAnsi="宋体" w:cs="微软雅黑"/>
                <w:color w:val="auto"/>
                <w:szCs w:val="21"/>
              </w:rPr>
            </w:pPr>
          </w:p>
        </w:tc>
        <w:tc>
          <w:tcPr>
            <w:tcW w:w="1560" w:type="dxa"/>
            <w:vAlign w:val="center"/>
          </w:tcPr>
          <w:p w14:paraId="350A6215">
            <w:pPr>
              <w:snapToGrid w:val="0"/>
              <w:spacing w:line="400" w:lineRule="exact"/>
              <w:rPr>
                <w:rFonts w:ascii="宋体" w:hAnsi="宋体" w:cs="微软雅黑"/>
                <w:color w:val="auto"/>
                <w:szCs w:val="21"/>
              </w:rPr>
            </w:pPr>
          </w:p>
        </w:tc>
        <w:tc>
          <w:tcPr>
            <w:tcW w:w="2018" w:type="dxa"/>
            <w:vAlign w:val="center"/>
          </w:tcPr>
          <w:p w14:paraId="6C5B9533">
            <w:pPr>
              <w:snapToGrid w:val="0"/>
              <w:spacing w:line="400" w:lineRule="exact"/>
              <w:rPr>
                <w:rFonts w:ascii="宋体" w:hAnsi="宋体" w:cs="微软雅黑"/>
                <w:color w:val="auto"/>
                <w:szCs w:val="21"/>
              </w:rPr>
            </w:pPr>
          </w:p>
        </w:tc>
      </w:tr>
      <w:tr w14:paraId="14D0E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6E09AF4">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vAlign w:val="center"/>
          </w:tcPr>
          <w:p w14:paraId="507651CC">
            <w:pPr>
              <w:pStyle w:val="19"/>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vAlign w:val="center"/>
          </w:tcPr>
          <w:p w14:paraId="1EDD26DD">
            <w:pPr>
              <w:jc w:val="center"/>
              <w:rPr>
                <w:color w:val="auto"/>
                <w:szCs w:val="21"/>
              </w:rPr>
            </w:pPr>
          </w:p>
        </w:tc>
        <w:tc>
          <w:tcPr>
            <w:tcW w:w="1560" w:type="dxa"/>
            <w:vAlign w:val="center"/>
          </w:tcPr>
          <w:p w14:paraId="23B3F9F5">
            <w:pPr>
              <w:snapToGrid w:val="0"/>
              <w:spacing w:line="400" w:lineRule="exact"/>
              <w:rPr>
                <w:rFonts w:ascii="宋体" w:hAnsi="宋体" w:cs="微软雅黑"/>
                <w:color w:val="auto"/>
                <w:szCs w:val="21"/>
              </w:rPr>
            </w:pPr>
          </w:p>
        </w:tc>
        <w:tc>
          <w:tcPr>
            <w:tcW w:w="2018" w:type="dxa"/>
            <w:vAlign w:val="center"/>
          </w:tcPr>
          <w:p w14:paraId="28D06F5F">
            <w:pPr>
              <w:snapToGrid w:val="0"/>
              <w:spacing w:line="400" w:lineRule="exact"/>
              <w:rPr>
                <w:rFonts w:ascii="宋体" w:hAnsi="宋体" w:cs="微软雅黑"/>
                <w:color w:val="auto"/>
                <w:szCs w:val="21"/>
              </w:rPr>
            </w:pPr>
          </w:p>
        </w:tc>
      </w:tr>
      <w:tr w14:paraId="0790D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7A7F5DD">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3751" w:type="dxa"/>
            <w:vAlign w:val="center"/>
          </w:tcPr>
          <w:p w14:paraId="562F383F">
            <w:pPr>
              <w:pStyle w:val="19"/>
              <w:kinsoku w:val="0"/>
              <w:overflowPunct w:val="0"/>
              <w:autoSpaceDE w:val="0"/>
              <w:autoSpaceDN w:val="0"/>
              <w:spacing w:line="320" w:lineRule="exact"/>
              <w:rPr>
                <w:rFonts w:hAnsi="宋体" w:cs="微软雅黑"/>
                <w:bCs/>
                <w:color w:val="auto"/>
                <w:kern w:val="0"/>
                <w:sz w:val="21"/>
                <w:szCs w:val="21"/>
              </w:rPr>
            </w:pPr>
            <w:r>
              <w:rPr>
                <w:rFonts w:hint="eastAsia" w:asciiTheme="majorEastAsia" w:hAnsiTheme="majorEastAsia" w:eastAsiaTheme="majorEastAsia" w:cstheme="majorEastAsia"/>
                <w:bCs/>
                <w:color w:val="auto"/>
                <w:sz w:val="21"/>
                <w:szCs w:val="21"/>
                <w:lang w:val="zh-CN"/>
              </w:rPr>
              <w:t>谈判承诺函</w:t>
            </w:r>
          </w:p>
        </w:tc>
        <w:tc>
          <w:tcPr>
            <w:tcW w:w="1559" w:type="dxa"/>
            <w:vAlign w:val="center"/>
          </w:tcPr>
          <w:p w14:paraId="218EAE56">
            <w:pPr>
              <w:jc w:val="center"/>
              <w:rPr>
                <w:color w:val="auto"/>
                <w:szCs w:val="21"/>
              </w:rPr>
            </w:pPr>
          </w:p>
        </w:tc>
        <w:tc>
          <w:tcPr>
            <w:tcW w:w="1560" w:type="dxa"/>
            <w:vAlign w:val="center"/>
          </w:tcPr>
          <w:p w14:paraId="2631F568">
            <w:pPr>
              <w:snapToGrid w:val="0"/>
              <w:spacing w:line="400" w:lineRule="exact"/>
              <w:rPr>
                <w:rFonts w:ascii="宋体" w:hAnsi="宋体" w:cs="微软雅黑"/>
                <w:color w:val="auto"/>
                <w:szCs w:val="21"/>
              </w:rPr>
            </w:pPr>
          </w:p>
        </w:tc>
        <w:tc>
          <w:tcPr>
            <w:tcW w:w="2018" w:type="dxa"/>
            <w:vAlign w:val="center"/>
          </w:tcPr>
          <w:p w14:paraId="39EEBC94">
            <w:pPr>
              <w:snapToGrid w:val="0"/>
              <w:spacing w:line="400" w:lineRule="exact"/>
              <w:rPr>
                <w:rFonts w:ascii="宋体" w:hAnsi="宋体" w:cs="微软雅黑"/>
                <w:color w:val="auto"/>
                <w:szCs w:val="21"/>
              </w:rPr>
            </w:pPr>
          </w:p>
        </w:tc>
      </w:tr>
      <w:tr w14:paraId="3A6CE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89154F1">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vAlign w:val="center"/>
          </w:tcPr>
          <w:p w14:paraId="72B558D1">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联合体协议</w:t>
            </w:r>
          </w:p>
        </w:tc>
        <w:tc>
          <w:tcPr>
            <w:tcW w:w="1559" w:type="dxa"/>
            <w:vAlign w:val="center"/>
          </w:tcPr>
          <w:p w14:paraId="65D7CA8E">
            <w:pPr>
              <w:jc w:val="center"/>
              <w:rPr>
                <w:color w:val="auto"/>
                <w:szCs w:val="21"/>
              </w:rPr>
            </w:pPr>
          </w:p>
        </w:tc>
        <w:tc>
          <w:tcPr>
            <w:tcW w:w="1560" w:type="dxa"/>
            <w:vAlign w:val="center"/>
          </w:tcPr>
          <w:p w14:paraId="54BDDC42">
            <w:pPr>
              <w:snapToGrid w:val="0"/>
              <w:spacing w:line="400" w:lineRule="exact"/>
              <w:rPr>
                <w:rFonts w:ascii="宋体" w:hAnsi="宋体" w:cs="微软雅黑"/>
                <w:color w:val="auto"/>
                <w:szCs w:val="21"/>
              </w:rPr>
            </w:pPr>
          </w:p>
        </w:tc>
        <w:tc>
          <w:tcPr>
            <w:tcW w:w="2018" w:type="dxa"/>
            <w:vAlign w:val="center"/>
          </w:tcPr>
          <w:p w14:paraId="631D1804">
            <w:pPr>
              <w:snapToGrid w:val="0"/>
              <w:spacing w:line="400" w:lineRule="exact"/>
              <w:rPr>
                <w:rFonts w:ascii="宋体" w:hAnsi="宋体" w:cs="微软雅黑"/>
                <w:color w:val="auto"/>
                <w:szCs w:val="21"/>
              </w:rPr>
            </w:pPr>
          </w:p>
        </w:tc>
      </w:tr>
      <w:tr w14:paraId="6ADAA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6019B71">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10</w:t>
            </w:r>
          </w:p>
        </w:tc>
        <w:tc>
          <w:tcPr>
            <w:tcW w:w="3751" w:type="dxa"/>
            <w:vAlign w:val="center"/>
          </w:tcPr>
          <w:p w14:paraId="3CDC81A6">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asciiTheme="majorEastAsia" w:hAnsiTheme="majorEastAsia" w:eastAsiaTheme="majorEastAsia" w:cstheme="majorEastAsia"/>
                <w:bCs/>
                <w:color w:val="auto"/>
                <w:sz w:val="21"/>
                <w:szCs w:val="21"/>
                <w:lang w:val="zh-CN"/>
              </w:rPr>
              <w:t>供应商与参加本项目响应的其他供应商之间，单位负责人不为同一人并且不存在直接控股、管理关系承诺函</w:t>
            </w:r>
          </w:p>
        </w:tc>
        <w:tc>
          <w:tcPr>
            <w:tcW w:w="1559" w:type="dxa"/>
            <w:vAlign w:val="center"/>
          </w:tcPr>
          <w:p w14:paraId="17727EC1">
            <w:pPr>
              <w:jc w:val="center"/>
              <w:rPr>
                <w:color w:val="auto"/>
                <w:szCs w:val="21"/>
              </w:rPr>
            </w:pPr>
          </w:p>
        </w:tc>
        <w:tc>
          <w:tcPr>
            <w:tcW w:w="1560" w:type="dxa"/>
            <w:vAlign w:val="center"/>
          </w:tcPr>
          <w:p w14:paraId="19EA8831">
            <w:pPr>
              <w:snapToGrid w:val="0"/>
              <w:spacing w:line="400" w:lineRule="exact"/>
              <w:rPr>
                <w:rFonts w:ascii="宋体" w:hAnsi="宋体" w:cs="微软雅黑"/>
                <w:color w:val="auto"/>
                <w:szCs w:val="21"/>
              </w:rPr>
            </w:pPr>
          </w:p>
        </w:tc>
        <w:tc>
          <w:tcPr>
            <w:tcW w:w="2018" w:type="dxa"/>
            <w:vAlign w:val="center"/>
          </w:tcPr>
          <w:p w14:paraId="25F74F4B">
            <w:pPr>
              <w:snapToGrid w:val="0"/>
              <w:spacing w:line="400" w:lineRule="exact"/>
              <w:rPr>
                <w:rFonts w:ascii="宋体" w:hAnsi="宋体" w:cs="微软雅黑"/>
                <w:color w:val="auto"/>
                <w:szCs w:val="21"/>
              </w:rPr>
            </w:pPr>
          </w:p>
        </w:tc>
      </w:tr>
      <w:tr w14:paraId="025A6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2BC0D1">
            <w:pPr>
              <w:adjustRightInd w:val="0"/>
              <w:snapToGrid w:val="0"/>
              <w:spacing w:line="400" w:lineRule="exact"/>
              <w:jc w:val="center"/>
              <w:textAlignment w:val="baseline"/>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11</w:t>
            </w:r>
          </w:p>
        </w:tc>
        <w:tc>
          <w:tcPr>
            <w:tcW w:w="3751" w:type="dxa"/>
            <w:vAlign w:val="center"/>
          </w:tcPr>
          <w:p w14:paraId="211A784A">
            <w:pPr>
              <w:pStyle w:val="19"/>
              <w:kinsoku w:val="0"/>
              <w:overflowPunct w:val="0"/>
              <w:autoSpaceDE w:val="0"/>
              <w:autoSpaceDN w:val="0"/>
              <w:spacing w:line="320" w:lineRule="exact"/>
              <w:rPr>
                <w:rFonts w:asciiTheme="majorEastAsia" w:hAnsiTheme="majorEastAsia" w:eastAsiaTheme="majorEastAsia" w:cstheme="majorEastAsia"/>
                <w:bCs/>
                <w:color w:val="auto"/>
                <w:sz w:val="21"/>
                <w:szCs w:val="21"/>
                <w:lang w:val="zh-CN"/>
              </w:rPr>
            </w:pPr>
            <w:r>
              <w:rPr>
                <w:rFonts w:hint="eastAsia" w:cs="仿宋_GB2312" w:asciiTheme="minorEastAsia" w:hAnsiTheme="minorEastAsia"/>
                <w:color w:val="auto"/>
                <w:sz w:val="21"/>
                <w:szCs w:val="21"/>
                <w:lang w:val="zh-CN"/>
              </w:rPr>
              <w:t>供应商未为本项目提供整体设计、规范编制或者项目管理、监理、检测等服务承诺函</w:t>
            </w:r>
          </w:p>
        </w:tc>
        <w:tc>
          <w:tcPr>
            <w:tcW w:w="1559" w:type="dxa"/>
            <w:vAlign w:val="center"/>
          </w:tcPr>
          <w:p w14:paraId="11D01AB7">
            <w:pPr>
              <w:jc w:val="center"/>
              <w:rPr>
                <w:color w:val="auto"/>
                <w:szCs w:val="21"/>
              </w:rPr>
            </w:pPr>
          </w:p>
        </w:tc>
        <w:tc>
          <w:tcPr>
            <w:tcW w:w="1560" w:type="dxa"/>
            <w:vAlign w:val="center"/>
          </w:tcPr>
          <w:p w14:paraId="551D1AD8">
            <w:pPr>
              <w:snapToGrid w:val="0"/>
              <w:spacing w:line="400" w:lineRule="exact"/>
              <w:rPr>
                <w:rFonts w:ascii="宋体" w:hAnsi="宋体" w:cs="微软雅黑"/>
                <w:color w:val="auto"/>
                <w:szCs w:val="21"/>
              </w:rPr>
            </w:pPr>
          </w:p>
        </w:tc>
        <w:tc>
          <w:tcPr>
            <w:tcW w:w="2018" w:type="dxa"/>
            <w:vAlign w:val="center"/>
          </w:tcPr>
          <w:p w14:paraId="2287B419">
            <w:pPr>
              <w:snapToGrid w:val="0"/>
              <w:spacing w:line="400" w:lineRule="exact"/>
              <w:rPr>
                <w:rFonts w:ascii="宋体" w:hAnsi="宋体" w:cs="微软雅黑"/>
                <w:color w:val="auto"/>
                <w:szCs w:val="21"/>
              </w:rPr>
            </w:pPr>
          </w:p>
        </w:tc>
      </w:tr>
      <w:tr w14:paraId="227CD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B14CB2">
            <w:pPr>
              <w:adjustRightInd w:val="0"/>
              <w:snapToGrid w:val="0"/>
              <w:spacing w:line="400" w:lineRule="exact"/>
              <w:jc w:val="center"/>
              <w:textAlignment w:val="baseline"/>
              <w:rPr>
                <w:rFonts w:asciiTheme="majorEastAsia" w:hAnsiTheme="majorEastAsia" w:eastAsiaTheme="majorEastAsia" w:cstheme="majorEastAsia"/>
                <w:bCs/>
                <w:color w:val="auto"/>
                <w:szCs w:val="21"/>
                <w:lang w:val="zh-CN"/>
              </w:rPr>
            </w:pPr>
            <w:r>
              <w:rPr>
                <w:rFonts w:hint="eastAsia" w:asciiTheme="majorEastAsia" w:hAnsiTheme="majorEastAsia" w:eastAsiaTheme="majorEastAsia" w:cstheme="majorEastAsia"/>
                <w:bCs/>
                <w:color w:val="auto"/>
                <w:szCs w:val="21"/>
                <w:lang w:val="zh-CN"/>
              </w:rPr>
              <w:t>1</w:t>
            </w:r>
            <w:r>
              <w:rPr>
                <w:rFonts w:hint="eastAsia" w:asciiTheme="majorEastAsia" w:hAnsiTheme="majorEastAsia" w:eastAsiaTheme="majorEastAsia" w:cstheme="majorEastAsia"/>
                <w:bCs/>
                <w:color w:val="auto"/>
                <w:szCs w:val="21"/>
              </w:rPr>
              <w:t>2</w:t>
            </w:r>
          </w:p>
        </w:tc>
        <w:tc>
          <w:tcPr>
            <w:tcW w:w="3751" w:type="dxa"/>
            <w:vAlign w:val="center"/>
          </w:tcPr>
          <w:p w14:paraId="560DF6E3">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分项报价表</w:t>
            </w:r>
          </w:p>
        </w:tc>
        <w:tc>
          <w:tcPr>
            <w:tcW w:w="1559" w:type="dxa"/>
            <w:vAlign w:val="center"/>
          </w:tcPr>
          <w:p w14:paraId="0CC9C910">
            <w:pPr>
              <w:jc w:val="center"/>
              <w:rPr>
                <w:color w:val="auto"/>
                <w:szCs w:val="21"/>
              </w:rPr>
            </w:pPr>
          </w:p>
        </w:tc>
        <w:tc>
          <w:tcPr>
            <w:tcW w:w="1560" w:type="dxa"/>
            <w:vAlign w:val="center"/>
          </w:tcPr>
          <w:p w14:paraId="0BCCE50B">
            <w:pPr>
              <w:snapToGrid w:val="0"/>
              <w:spacing w:line="400" w:lineRule="exact"/>
              <w:rPr>
                <w:rFonts w:ascii="宋体" w:hAnsi="宋体" w:cs="微软雅黑"/>
                <w:color w:val="auto"/>
                <w:szCs w:val="21"/>
              </w:rPr>
            </w:pPr>
          </w:p>
        </w:tc>
        <w:tc>
          <w:tcPr>
            <w:tcW w:w="2018" w:type="dxa"/>
            <w:vAlign w:val="center"/>
          </w:tcPr>
          <w:p w14:paraId="0DB2E2C6">
            <w:pPr>
              <w:snapToGrid w:val="0"/>
              <w:spacing w:line="400" w:lineRule="exact"/>
              <w:rPr>
                <w:rFonts w:ascii="宋体" w:hAnsi="宋体" w:cs="微软雅黑"/>
                <w:color w:val="auto"/>
                <w:szCs w:val="21"/>
              </w:rPr>
            </w:pPr>
          </w:p>
        </w:tc>
      </w:tr>
      <w:tr w14:paraId="799C9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4341F4B3">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13</w:t>
            </w:r>
          </w:p>
        </w:tc>
        <w:tc>
          <w:tcPr>
            <w:tcW w:w="3751" w:type="dxa"/>
            <w:tcBorders>
              <w:top w:val="double" w:color="auto" w:sz="4" w:space="0"/>
            </w:tcBorders>
            <w:vAlign w:val="center"/>
          </w:tcPr>
          <w:p w14:paraId="0F62C19B">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tcBorders>
              <w:top w:val="double" w:color="auto" w:sz="4" w:space="0"/>
            </w:tcBorders>
            <w:vAlign w:val="center"/>
          </w:tcPr>
          <w:p w14:paraId="09926A99">
            <w:pPr>
              <w:jc w:val="center"/>
              <w:rPr>
                <w:color w:val="auto"/>
                <w:szCs w:val="21"/>
              </w:rPr>
            </w:pPr>
          </w:p>
        </w:tc>
        <w:tc>
          <w:tcPr>
            <w:tcW w:w="1560" w:type="dxa"/>
            <w:tcBorders>
              <w:top w:val="double" w:color="auto" w:sz="4" w:space="0"/>
            </w:tcBorders>
            <w:vAlign w:val="center"/>
          </w:tcPr>
          <w:p w14:paraId="0F7605D4">
            <w:pPr>
              <w:snapToGrid w:val="0"/>
              <w:spacing w:line="400" w:lineRule="exact"/>
              <w:rPr>
                <w:rFonts w:ascii="宋体" w:hAnsi="宋体" w:cs="微软雅黑"/>
                <w:color w:val="auto"/>
                <w:szCs w:val="21"/>
              </w:rPr>
            </w:pPr>
          </w:p>
        </w:tc>
        <w:tc>
          <w:tcPr>
            <w:tcW w:w="2018" w:type="dxa"/>
            <w:tcBorders>
              <w:top w:val="double" w:color="auto" w:sz="4" w:space="0"/>
            </w:tcBorders>
            <w:vAlign w:val="center"/>
          </w:tcPr>
          <w:p w14:paraId="52676EFD">
            <w:pPr>
              <w:snapToGrid w:val="0"/>
              <w:spacing w:line="400" w:lineRule="exact"/>
              <w:rPr>
                <w:rFonts w:ascii="宋体" w:hAnsi="宋体" w:cs="微软雅黑"/>
                <w:color w:val="auto"/>
                <w:szCs w:val="21"/>
              </w:rPr>
            </w:pPr>
          </w:p>
        </w:tc>
      </w:tr>
      <w:tr w14:paraId="507F3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3F1594">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14</w:t>
            </w:r>
          </w:p>
        </w:tc>
        <w:tc>
          <w:tcPr>
            <w:tcW w:w="3751" w:type="dxa"/>
            <w:vAlign w:val="center"/>
          </w:tcPr>
          <w:p w14:paraId="6E4008E3">
            <w:pPr>
              <w:pStyle w:val="19"/>
              <w:kinsoku w:val="0"/>
              <w:overflowPunct w:val="0"/>
              <w:autoSpaceDE w:val="0"/>
              <w:autoSpaceDN w:val="0"/>
              <w:spacing w:line="320" w:lineRule="exact"/>
              <w:rPr>
                <w:rFonts w:hint="eastAsia" w:hAnsi="宋体" w:eastAsia="宋体" w:cs="微软雅黑"/>
                <w:bCs/>
                <w:color w:val="auto"/>
                <w:kern w:val="0"/>
                <w:sz w:val="21"/>
                <w:szCs w:val="21"/>
                <w:lang w:eastAsia="zh-CN"/>
              </w:rPr>
            </w:pPr>
            <w:r>
              <w:rPr>
                <w:rFonts w:hint="eastAsia" w:hAnsi="宋体" w:cs="微软雅黑"/>
                <w:bCs/>
                <w:color w:val="auto"/>
                <w:kern w:val="0"/>
                <w:sz w:val="21"/>
                <w:szCs w:val="21"/>
              </w:rPr>
              <w:t>服务</w:t>
            </w:r>
            <w:r>
              <w:rPr>
                <w:rFonts w:hint="eastAsia" w:hAnsi="宋体" w:cs="微软雅黑"/>
                <w:bCs/>
                <w:color w:val="auto"/>
                <w:kern w:val="0"/>
                <w:sz w:val="21"/>
                <w:szCs w:val="21"/>
                <w:lang w:val="en-US" w:eastAsia="zh-CN"/>
              </w:rPr>
              <w:t>承诺</w:t>
            </w:r>
          </w:p>
        </w:tc>
        <w:tc>
          <w:tcPr>
            <w:tcW w:w="1559" w:type="dxa"/>
            <w:vAlign w:val="center"/>
          </w:tcPr>
          <w:p w14:paraId="517C3942">
            <w:pPr>
              <w:jc w:val="center"/>
              <w:rPr>
                <w:color w:val="auto"/>
                <w:szCs w:val="21"/>
              </w:rPr>
            </w:pPr>
          </w:p>
        </w:tc>
        <w:tc>
          <w:tcPr>
            <w:tcW w:w="1560" w:type="dxa"/>
            <w:vAlign w:val="center"/>
          </w:tcPr>
          <w:p w14:paraId="1CD60804">
            <w:pPr>
              <w:snapToGrid w:val="0"/>
              <w:spacing w:line="400" w:lineRule="exact"/>
              <w:rPr>
                <w:rFonts w:ascii="宋体" w:hAnsi="宋体" w:cs="微软雅黑"/>
                <w:color w:val="auto"/>
                <w:szCs w:val="21"/>
              </w:rPr>
            </w:pPr>
          </w:p>
        </w:tc>
        <w:tc>
          <w:tcPr>
            <w:tcW w:w="2018" w:type="dxa"/>
            <w:vAlign w:val="center"/>
          </w:tcPr>
          <w:p w14:paraId="0AD19A5C">
            <w:pPr>
              <w:snapToGrid w:val="0"/>
              <w:spacing w:line="400" w:lineRule="exact"/>
              <w:rPr>
                <w:rFonts w:ascii="宋体" w:hAnsi="宋体" w:cs="微软雅黑"/>
                <w:color w:val="auto"/>
                <w:szCs w:val="21"/>
              </w:rPr>
            </w:pPr>
          </w:p>
        </w:tc>
      </w:tr>
      <w:tr w14:paraId="13A8A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A019006">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15</w:t>
            </w:r>
          </w:p>
        </w:tc>
        <w:tc>
          <w:tcPr>
            <w:tcW w:w="3751" w:type="dxa"/>
            <w:vAlign w:val="center"/>
          </w:tcPr>
          <w:p w14:paraId="6B0DE957">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vAlign w:val="center"/>
          </w:tcPr>
          <w:p w14:paraId="77BEB2CE">
            <w:pPr>
              <w:jc w:val="center"/>
              <w:rPr>
                <w:color w:val="auto"/>
                <w:szCs w:val="21"/>
              </w:rPr>
            </w:pPr>
          </w:p>
        </w:tc>
        <w:tc>
          <w:tcPr>
            <w:tcW w:w="1560" w:type="dxa"/>
            <w:tcBorders>
              <w:top w:val="single" w:color="auto" w:sz="4" w:space="0"/>
            </w:tcBorders>
            <w:vAlign w:val="center"/>
          </w:tcPr>
          <w:p w14:paraId="7035862F">
            <w:pPr>
              <w:snapToGrid w:val="0"/>
              <w:spacing w:line="400" w:lineRule="exact"/>
              <w:rPr>
                <w:rFonts w:ascii="宋体" w:hAnsi="宋体" w:cs="微软雅黑"/>
                <w:color w:val="auto"/>
                <w:szCs w:val="21"/>
              </w:rPr>
            </w:pPr>
          </w:p>
        </w:tc>
        <w:tc>
          <w:tcPr>
            <w:tcW w:w="2018" w:type="dxa"/>
            <w:tcBorders>
              <w:top w:val="single" w:color="auto" w:sz="4" w:space="0"/>
            </w:tcBorders>
            <w:vAlign w:val="center"/>
          </w:tcPr>
          <w:p w14:paraId="4815E6B6">
            <w:pPr>
              <w:snapToGrid w:val="0"/>
              <w:spacing w:line="400" w:lineRule="exact"/>
              <w:rPr>
                <w:rFonts w:ascii="宋体" w:hAnsi="宋体" w:cs="微软雅黑"/>
                <w:color w:val="auto"/>
                <w:szCs w:val="21"/>
              </w:rPr>
            </w:pPr>
          </w:p>
        </w:tc>
      </w:tr>
      <w:tr w14:paraId="4C769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3E043DD">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16</w:t>
            </w:r>
          </w:p>
        </w:tc>
        <w:tc>
          <w:tcPr>
            <w:tcW w:w="3751" w:type="dxa"/>
            <w:vAlign w:val="center"/>
          </w:tcPr>
          <w:p w14:paraId="505A4EB3">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vAlign w:val="center"/>
          </w:tcPr>
          <w:p w14:paraId="46F683BC">
            <w:pPr>
              <w:jc w:val="center"/>
              <w:rPr>
                <w:color w:val="auto"/>
                <w:szCs w:val="21"/>
              </w:rPr>
            </w:pPr>
          </w:p>
        </w:tc>
        <w:tc>
          <w:tcPr>
            <w:tcW w:w="1560" w:type="dxa"/>
            <w:vAlign w:val="center"/>
          </w:tcPr>
          <w:p w14:paraId="37397FDC">
            <w:pPr>
              <w:snapToGrid w:val="0"/>
              <w:spacing w:line="400" w:lineRule="exact"/>
              <w:rPr>
                <w:rFonts w:ascii="宋体" w:hAnsi="宋体" w:cs="微软雅黑"/>
                <w:color w:val="auto"/>
                <w:szCs w:val="21"/>
              </w:rPr>
            </w:pPr>
          </w:p>
        </w:tc>
        <w:tc>
          <w:tcPr>
            <w:tcW w:w="2018" w:type="dxa"/>
            <w:vAlign w:val="center"/>
          </w:tcPr>
          <w:p w14:paraId="1C4F83CD">
            <w:pPr>
              <w:snapToGrid w:val="0"/>
              <w:spacing w:line="400" w:lineRule="exact"/>
              <w:rPr>
                <w:rFonts w:ascii="宋体" w:hAnsi="宋体" w:cs="微软雅黑"/>
                <w:color w:val="auto"/>
                <w:szCs w:val="21"/>
              </w:rPr>
            </w:pPr>
          </w:p>
        </w:tc>
      </w:tr>
      <w:tr w14:paraId="6E6D2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88237E3">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17</w:t>
            </w:r>
          </w:p>
        </w:tc>
        <w:tc>
          <w:tcPr>
            <w:tcW w:w="3751" w:type="dxa"/>
            <w:vAlign w:val="center"/>
          </w:tcPr>
          <w:p w14:paraId="0593E6DE">
            <w:pPr>
              <w:pStyle w:val="19"/>
              <w:kinsoku w:val="0"/>
              <w:overflowPunct w:val="0"/>
              <w:autoSpaceDE w:val="0"/>
              <w:autoSpaceDN w:val="0"/>
              <w:spacing w:line="320" w:lineRule="exact"/>
              <w:rPr>
                <w:rFonts w:hAnsi="宋体" w:cs="微软雅黑"/>
                <w:bCs/>
                <w:color w:val="auto"/>
                <w:kern w:val="0"/>
                <w:sz w:val="21"/>
                <w:szCs w:val="21"/>
              </w:rPr>
            </w:pPr>
            <w:r>
              <w:rPr>
                <w:rFonts w:hint="eastAsia" w:cs="仿宋_GB2312" w:asciiTheme="minorEastAsia" w:hAnsiTheme="minorEastAsia" w:eastAsiaTheme="minorEastAsia"/>
                <w:color w:val="auto"/>
                <w:sz w:val="21"/>
                <w:szCs w:val="21"/>
                <w:lang w:val="zh-CN"/>
              </w:rPr>
              <w:t>残疾人福利性单位声明函</w:t>
            </w:r>
          </w:p>
        </w:tc>
        <w:tc>
          <w:tcPr>
            <w:tcW w:w="1559" w:type="dxa"/>
            <w:vAlign w:val="center"/>
          </w:tcPr>
          <w:p w14:paraId="1CE6CA19">
            <w:pPr>
              <w:jc w:val="center"/>
              <w:rPr>
                <w:color w:val="auto"/>
                <w:szCs w:val="21"/>
              </w:rPr>
            </w:pPr>
          </w:p>
        </w:tc>
        <w:tc>
          <w:tcPr>
            <w:tcW w:w="1560" w:type="dxa"/>
            <w:vAlign w:val="center"/>
          </w:tcPr>
          <w:p w14:paraId="747D33E6">
            <w:pPr>
              <w:snapToGrid w:val="0"/>
              <w:spacing w:line="400" w:lineRule="exact"/>
              <w:rPr>
                <w:rFonts w:ascii="宋体" w:hAnsi="宋体" w:cs="微软雅黑"/>
                <w:color w:val="auto"/>
                <w:szCs w:val="21"/>
              </w:rPr>
            </w:pPr>
          </w:p>
        </w:tc>
        <w:tc>
          <w:tcPr>
            <w:tcW w:w="2018" w:type="dxa"/>
            <w:vAlign w:val="center"/>
          </w:tcPr>
          <w:p w14:paraId="1A42B55B">
            <w:pPr>
              <w:snapToGrid w:val="0"/>
              <w:spacing w:line="400" w:lineRule="exact"/>
              <w:rPr>
                <w:rFonts w:ascii="宋体" w:hAnsi="宋体" w:cs="微软雅黑"/>
                <w:color w:val="auto"/>
                <w:szCs w:val="21"/>
              </w:rPr>
            </w:pPr>
          </w:p>
        </w:tc>
      </w:tr>
      <w:tr w14:paraId="4966F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712508C">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18</w:t>
            </w:r>
          </w:p>
        </w:tc>
        <w:tc>
          <w:tcPr>
            <w:tcW w:w="3751" w:type="dxa"/>
            <w:vAlign w:val="center"/>
          </w:tcPr>
          <w:p w14:paraId="127E878C">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vAlign w:val="center"/>
          </w:tcPr>
          <w:p w14:paraId="76DCDC50">
            <w:pPr>
              <w:jc w:val="center"/>
              <w:rPr>
                <w:color w:val="auto"/>
                <w:szCs w:val="21"/>
              </w:rPr>
            </w:pPr>
          </w:p>
        </w:tc>
        <w:tc>
          <w:tcPr>
            <w:tcW w:w="1560" w:type="dxa"/>
            <w:vAlign w:val="center"/>
          </w:tcPr>
          <w:p w14:paraId="4E9AD866">
            <w:pPr>
              <w:snapToGrid w:val="0"/>
              <w:spacing w:line="400" w:lineRule="exact"/>
              <w:rPr>
                <w:rFonts w:ascii="宋体" w:hAnsi="宋体" w:cs="微软雅黑"/>
                <w:color w:val="auto"/>
                <w:szCs w:val="21"/>
              </w:rPr>
            </w:pPr>
          </w:p>
        </w:tc>
        <w:tc>
          <w:tcPr>
            <w:tcW w:w="2018" w:type="dxa"/>
            <w:vAlign w:val="center"/>
          </w:tcPr>
          <w:p w14:paraId="1A697762">
            <w:pPr>
              <w:snapToGrid w:val="0"/>
              <w:spacing w:line="400" w:lineRule="exact"/>
              <w:rPr>
                <w:rFonts w:ascii="宋体" w:hAnsi="宋体" w:cs="微软雅黑"/>
                <w:color w:val="auto"/>
                <w:szCs w:val="21"/>
              </w:rPr>
            </w:pPr>
          </w:p>
        </w:tc>
      </w:tr>
      <w:tr w14:paraId="122A2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12AB34">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19</w:t>
            </w:r>
          </w:p>
        </w:tc>
        <w:tc>
          <w:tcPr>
            <w:tcW w:w="3751" w:type="dxa"/>
            <w:vAlign w:val="center"/>
          </w:tcPr>
          <w:p w14:paraId="5CC18F82">
            <w:pPr>
              <w:pStyle w:val="19"/>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lang w:eastAsia="zh-CN"/>
              </w:rPr>
              <w:t>其他</w:t>
            </w:r>
            <w:r>
              <w:rPr>
                <w:rFonts w:hint="eastAsia" w:hAnsi="宋体" w:cs="微软雅黑"/>
                <w:bCs/>
                <w:color w:val="auto"/>
                <w:kern w:val="0"/>
                <w:sz w:val="21"/>
                <w:szCs w:val="21"/>
              </w:rPr>
              <w:t>资料</w:t>
            </w:r>
          </w:p>
        </w:tc>
        <w:tc>
          <w:tcPr>
            <w:tcW w:w="1559" w:type="dxa"/>
            <w:vAlign w:val="center"/>
          </w:tcPr>
          <w:p w14:paraId="373B2867">
            <w:pPr>
              <w:jc w:val="center"/>
              <w:rPr>
                <w:color w:val="auto"/>
                <w:szCs w:val="21"/>
              </w:rPr>
            </w:pPr>
          </w:p>
        </w:tc>
        <w:tc>
          <w:tcPr>
            <w:tcW w:w="1560" w:type="dxa"/>
            <w:vAlign w:val="center"/>
          </w:tcPr>
          <w:p w14:paraId="15557B44">
            <w:pPr>
              <w:snapToGrid w:val="0"/>
              <w:spacing w:line="400" w:lineRule="exact"/>
              <w:rPr>
                <w:rFonts w:ascii="宋体" w:hAnsi="宋体" w:cs="微软雅黑"/>
                <w:color w:val="auto"/>
                <w:szCs w:val="21"/>
              </w:rPr>
            </w:pPr>
          </w:p>
        </w:tc>
        <w:tc>
          <w:tcPr>
            <w:tcW w:w="2018" w:type="dxa"/>
            <w:vAlign w:val="center"/>
          </w:tcPr>
          <w:p w14:paraId="488E4661">
            <w:pPr>
              <w:snapToGrid w:val="0"/>
              <w:spacing w:line="400" w:lineRule="exact"/>
              <w:rPr>
                <w:rFonts w:ascii="宋体" w:hAnsi="宋体" w:cs="微软雅黑"/>
                <w:color w:val="auto"/>
                <w:szCs w:val="21"/>
              </w:rPr>
            </w:pPr>
          </w:p>
        </w:tc>
      </w:tr>
    </w:tbl>
    <w:p w14:paraId="493FE9AD">
      <w:pPr>
        <w:tabs>
          <w:tab w:val="left" w:pos="1260"/>
        </w:tabs>
        <w:autoSpaceDE w:val="0"/>
        <w:autoSpaceDN w:val="0"/>
        <w:adjustRightInd w:val="0"/>
        <w:spacing w:line="360" w:lineRule="auto"/>
        <w:ind w:left="424" w:leftChars="202"/>
        <w:contextualSpacing/>
        <w:rPr>
          <w:rFonts w:ascii="宋体" w:hAnsi="Calibri" w:eastAsia="宋体" w:cs="Times New Roman"/>
          <w:color w:val="auto"/>
          <w:sz w:val="24"/>
          <w:szCs w:val="24"/>
        </w:rPr>
      </w:pPr>
    </w:p>
    <w:p w14:paraId="6298063B">
      <w:pPr>
        <w:pStyle w:val="2"/>
        <w:ind w:firstLine="340"/>
        <w:rPr>
          <w:color w:val="auto"/>
        </w:rPr>
      </w:pPr>
    </w:p>
    <w:p w14:paraId="2C259BDA">
      <w:pPr>
        <w:pStyle w:val="6"/>
        <w:ind w:left="420" w:firstLine="480"/>
        <w:rPr>
          <w:rFonts w:hint="default"/>
          <w:color w:val="auto"/>
          <w:lang w:eastAsia="zh-CN"/>
        </w:rPr>
      </w:pPr>
    </w:p>
    <w:p w14:paraId="7255BBCC">
      <w:pPr>
        <w:pStyle w:val="19"/>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二、第一次报价一览表</w:t>
      </w:r>
    </w:p>
    <w:p w14:paraId="16F22B37">
      <w:pPr>
        <w:spacing w:before="50" w:afterLines="50" w:line="360" w:lineRule="auto"/>
        <w:contextualSpacing/>
        <w:jc w:val="left"/>
        <w:rPr>
          <w:rFonts w:ascii="宋体" w:hAnsi="宋体" w:eastAsia="宋体" w:cs="Times New Roman"/>
          <w:color w:val="auto"/>
          <w:szCs w:val="21"/>
        </w:rPr>
      </w:pPr>
    </w:p>
    <w:p w14:paraId="54531DD3">
      <w:pPr>
        <w:spacing w:before="50" w:afterLines="50" w:line="360" w:lineRule="auto"/>
        <w:contextualSpacing/>
        <w:jc w:val="left"/>
        <w:rPr>
          <w:rFonts w:ascii="宋体" w:hAnsi="宋体" w:eastAsia="宋体" w:cs="Times New Roman"/>
          <w:color w:val="auto"/>
          <w:szCs w:val="21"/>
        </w:rPr>
      </w:pPr>
      <w:r>
        <w:rPr>
          <w:rFonts w:hint="eastAsia" w:ascii="宋体" w:hAnsi="宋体" w:eastAsia="宋体" w:cs="Times New Roman"/>
          <w:color w:val="auto"/>
          <w:szCs w:val="21"/>
        </w:rPr>
        <w:t>项目编号：</w:t>
      </w:r>
    </w:p>
    <w:p w14:paraId="663F35A8">
      <w:pPr>
        <w:spacing w:line="360" w:lineRule="auto"/>
        <w:contextualSpacing/>
        <w:rPr>
          <w:rFonts w:ascii="宋体" w:hAnsi="宋体" w:eastAsia="宋体" w:cs="Times New Roman"/>
          <w:color w:val="auto"/>
          <w:szCs w:val="21"/>
        </w:rPr>
      </w:pPr>
      <w:r>
        <w:rPr>
          <w:rFonts w:hint="eastAsia" w:ascii="宋体" w:hAnsi="宋体" w:eastAsia="宋体" w:cs="Times New Roman"/>
          <w:color w:val="auto"/>
          <w:szCs w:val="21"/>
        </w:rPr>
        <w:t xml:space="preserve">项目名称：                                                      </w:t>
      </w:r>
      <w:r>
        <w:rPr>
          <w:rFonts w:hint="eastAsia" w:ascii="宋体" w:hAnsi="宋体" w:eastAsia="宋体" w:cs="Arial"/>
          <w:color w:val="auto"/>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0D313F9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14:paraId="7DB632D9">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18BB1231">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14:paraId="031E2473">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0B1614FC">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058D743A">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14:paraId="5AC6D5FD">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592EF98D">
            <w:pPr>
              <w:autoSpaceDE w:val="0"/>
              <w:autoSpaceDN w:val="0"/>
              <w:adjustRightInd w:val="0"/>
              <w:spacing w:line="480" w:lineRule="exact"/>
              <w:ind w:firstLine="240"/>
              <w:rPr>
                <w:rFonts w:ascii="宋体" w:hAnsi="宋体" w:eastAsia="宋体" w:cs="Times New Roman"/>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7AF9A8E1">
            <w:pPr>
              <w:autoSpaceDE w:val="0"/>
              <w:autoSpaceDN w:val="0"/>
              <w:adjustRightInd w:val="0"/>
              <w:spacing w:line="480" w:lineRule="exact"/>
              <w:ind w:firstLine="240"/>
              <w:rPr>
                <w:rFonts w:ascii="宋体" w:hAnsi="宋体" w:eastAsia="宋体" w:cs="Times New Roman"/>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F9ECFF2">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14D74D6">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82D7268">
            <w:pPr>
              <w:autoSpaceDE w:val="0"/>
              <w:autoSpaceDN w:val="0"/>
              <w:adjustRightInd w:val="0"/>
              <w:spacing w:line="480" w:lineRule="exact"/>
              <w:ind w:firstLine="240"/>
              <w:rPr>
                <w:rFonts w:ascii="宋体" w:hAnsi="宋体" w:eastAsia="宋体" w:cs="宋体"/>
                <w:color w:val="auto"/>
                <w:szCs w:val="21"/>
                <w:lang w:val="zh-CN"/>
              </w:rPr>
            </w:pPr>
          </w:p>
        </w:tc>
      </w:tr>
    </w:tbl>
    <w:p w14:paraId="5F92DD33">
      <w:pPr>
        <w:autoSpaceDE w:val="0"/>
        <w:autoSpaceDN w:val="0"/>
        <w:adjustRightInd w:val="0"/>
        <w:spacing w:line="480" w:lineRule="auto"/>
        <w:rPr>
          <w:rFonts w:ascii="宋体" w:hAnsi="宋体" w:eastAsia="宋体" w:cs="宋体"/>
          <w:color w:val="auto"/>
          <w:szCs w:val="21"/>
        </w:rPr>
      </w:pPr>
    </w:p>
    <w:p w14:paraId="6424CB97">
      <w:pPr>
        <w:autoSpaceDE w:val="0"/>
        <w:autoSpaceDN w:val="0"/>
        <w:adjustRightInd w:val="0"/>
        <w:spacing w:line="480" w:lineRule="auto"/>
        <w:ind w:firstLine="2310" w:firstLineChars="1100"/>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14:paraId="2D33180B">
      <w:pPr>
        <w:autoSpaceDE w:val="0"/>
        <w:autoSpaceDN w:val="0"/>
        <w:adjustRightInd w:val="0"/>
        <w:spacing w:line="480" w:lineRule="auto"/>
        <w:ind w:firstLine="2310" w:firstLineChars="1100"/>
        <w:rPr>
          <w:rFonts w:cs="宋体" w:asciiTheme="minorEastAsia" w:hAnsiTheme="minorEastAsia"/>
          <w:color w:val="auto"/>
          <w:szCs w:val="21"/>
          <w:lang w:val="zh-CN"/>
        </w:rPr>
      </w:pPr>
      <w:r>
        <w:rPr>
          <w:rFonts w:hint="eastAsia" w:ascii="宋体" w:hAnsi="宋体" w:eastAsia="宋体" w:cs="宋体"/>
          <w:color w:val="auto"/>
          <w:szCs w:val="21"/>
          <w:lang w:val="zh-CN"/>
        </w:rPr>
        <w:t xml:space="preserve">日期：  </w:t>
      </w:r>
      <w:r>
        <w:rPr>
          <w:rFonts w:hint="eastAsia" w:cs="宋体" w:asciiTheme="minorEastAsia" w:hAnsiTheme="minorEastAsia"/>
          <w:color w:val="auto"/>
          <w:szCs w:val="21"/>
          <w:lang w:val="zh-CN"/>
        </w:rPr>
        <w:t xml:space="preserve">  年    月     日</w:t>
      </w:r>
    </w:p>
    <w:p w14:paraId="68127C45">
      <w:pPr>
        <w:autoSpaceDE w:val="0"/>
        <w:autoSpaceDN w:val="0"/>
        <w:adjustRightInd w:val="0"/>
        <w:spacing w:line="480" w:lineRule="auto"/>
        <w:ind w:firstLine="2310" w:firstLineChars="1100"/>
        <w:rPr>
          <w:rFonts w:cs="宋体" w:asciiTheme="minorEastAsia" w:hAnsiTheme="minorEastAsia"/>
          <w:color w:val="auto"/>
          <w:szCs w:val="21"/>
          <w:lang w:val="zh-CN"/>
        </w:rPr>
      </w:pPr>
      <w:r>
        <w:rPr>
          <w:rFonts w:hint="eastAsia" w:cs="宋体" w:asciiTheme="minorEastAsia" w:hAnsiTheme="minorEastAsia"/>
          <w:color w:val="auto"/>
          <w:szCs w:val="21"/>
          <w:lang w:val="zh-CN"/>
        </w:rPr>
        <w:t>参加谈判的法定代表人或授权代表</w:t>
      </w:r>
    </w:p>
    <w:p w14:paraId="21028803">
      <w:pPr>
        <w:autoSpaceDE w:val="0"/>
        <w:autoSpaceDN w:val="0"/>
        <w:adjustRightInd w:val="0"/>
        <w:spacing w:line="480" w:lineRule="auto"/>
        <w:ind w:firstLine="2310" w:firstLineChars="1100"/>
        <w:rPr>
          <w:rFonts w:cs="宋体" w:asciiTheme="minorEastAsia" w:hAnsiTheme="minorEastAsia"/>
          <w:color w:val="auto"/>
          <w:szCs w:val="21"/>
        </w:rPr>
      </w:pPr>
      <w:r>
        <w:rPr>
          <w:rFonts w:hint="eastAsia" w:cs="宋体" w:asciiTheme="minorEastAsia" w:hAnsiTheme="minorEastAsia"/>
          <w:color w:val="auto"/>
          <w:szCs w:val="21"/>
          <w:lang w:val="zh-CN"/>
        </w:rPr>
        <w:t>姓名：</w:t>
      </w:r>
      <w:r>
        <w:rPr>
          <w:rFonts w:hint="eastAsia" w:cs="宋体" w:asciiTheme="minorEastAsia" w:hAnsiTheme="minorEastAsia"/>
          <w:color w:val="auto"/>
          <w:szCs w:val="21"/>
        </w:rPr>
        <w:t xml:space="preserve">                      联系电话（手机）：</w:t>
      </w:r>
    </w:p>
    <w:p w14:paraId="4DD004AA">
      <w:pPr>
        <w:autoSpaceDE w:val="0"/>
        <w:autoSpaceDN w:val="0"/>
        <w:adjustRightInd w:val="0"/>
        <w:spacing w:line="480" w:lineRule="auto"/>
        <w:rPr>
          <w:rFonts w:ascii="宋体" w:hAnsi="Calibri" w:eastAsia="宋体" w:cs="宋体"/>
          <w:color w:val="auto"/>
          <w:szCs w:val="21"/>
          <w:lang w:val="zh-CN"/>
        </w:rPr>
      </w:pPr>
      <w:r>
        <w:rPr>
          <w:rFonts w:hint="eastAsia" w:ascii="宋体" w:hAnsi="宋体" w:eastAsia="宋体" w:cs="宋体"/>
          <w:color w:val="auto"/>
          <w:szCs w:val="21"/>
          <w:lang w:val="zh-CN"/>
        </w:rPr>
        <w:t>注：1、合同履行期限指完成该项目的最终时间。</w:t>
      </w:r>
    </w:p>
    <w:p w14:paraId="7C486C2B">
      <w:pPr>
        <w:autoSpaceDE w:val="0"/>
        <w:autoSpaceDN w:val="0"/>
        <w:adjustRightInd w:val="0"/>
        <w:spacing w:line="480" w:lineRule="auto"/>
        <w:ind w:firstLine="420" w:firstLineChars="200"/>
        <w:rPr>
          <w:rFonts w:ascii="宋体" w:hAnsi="Calibri" w:eastAsia="宋体" w:cs="宋体"/>
          <w:color w:val="auto"/>
          <w:szCs w:val="21"/>
          <w:lang w:val="zh-CN"/>
        </w:rPr>
      </w:pPr>
      <w:r>
        <w:rPr>
          <w:rFonts w:hint="eastAsia" w:ascii="宋体" w:hAnsi="宋体" w:eastAsia="宋体" w:cs="宋体"/>
          <w:color w:val="auto"/>
          <w:szCs w:val="21"/>
          <w:lang w:val="zh-CN"/>
        </w:rPr>
        <w:t>2、如谈判公告明确项目合同履行期限以年为单位，本表应填写完成该项目的年限。</w:t>
      </w:r>
    </w:p>
    <w:p w14:paraId="5ADACAAF">
      <w:pPr>
        <w:autoSpaceDE w:val="0"/>
        <w:autoSpaceDN w:val="0"/>
        <w:adjustRightInd w:val="0"/>
        <w:spacing w:line="360" w:lineRule="auto"/>
        <w:rPr>
          <w:rFonts w:ascii="宋体" w:cs="宋体"/>
          <w:color w:val="auto"/>
          <w:sz w:val="24"/>
          <w:lang w:val="zh-CN"/>
        </w:rPr>
      </w:pPr>
    </w:p>
    <w:p w14:paraId="6A10F7AC">
      <w:pPr>
        <w:autoSpaceDE w:val="0"/>
        <w:autoSpaceDN w:val="0"/>
        <w:adjustRightInd w:val="0"/>
        <w:spacing w:line="360" w:lineRule="auto"/>
        <w:rPr>
          <w:rFonts w:ascii="宋体" w:cs="宋体"/>
          <w:color w:val="auto"/>
          <w:sz w:val="24"/>
          <w:lang w:val="zh-CN"/>
        </w:rPr>
      </w:pPr>
    </w:p>
    <w:p w14:paraId="49B17320">
      <w:pPr>
        <w:autoSpaceDE w:val="0"/>
        <w:autoSpaceDN w:val="0"/>
        <w:adjustRightInd w:val="0"/>
        <w:spacing w:line="360" w:lineRule="auto"/>
        <w:rPr>
          <w:rFonts w:ascii="宋体" w:cs="宋体"/>
          <w:color w:val="auto"/>
          <w:sz w:val="24"/>
          <w:lang w:val="zh-CN"/>
        </w:rPr>
      </w:pPr>
    </w:p>
    <w:p w14:paraId="0DB6D3B2">
      <w:pPr>
        <w:pStyle w:val="2"/>
        <w:ind w:firstLine="340"/>
        <w:rPr>
          <w:color w:val="auto"/>
          <w:lang w:val="zh-CN"/>
        </w:rPr>
      </w:pPr>
    </w:p>
    <w:p w14:paraId="4C1BDF35">
      <w:pPr>
        <w:autoSpaceDE w:val="0"/>
        <w:autoSpaceDN w:val="0"/>
        <w:adjustRightInd w:val="0"/>
        <w:spacing w:line="360" w:lineRule="auto"/>
        <w:rPr>
          <w:rFonts w:cs="黑体" w:asciiTheme="minorEastAsia" w:hAnsiTheme="minorEastAsia"/>
          <w:b/>
          <w:bCs/>
          <w:color w:val="auto"/>
          <w:sz w:val="44"/>
          <w:szCs w:val="44"/>
          <w:lang w:val="zh-CN"/>
        </w:rPr>
      </w:pPr>
    </w:p>
    <w:p w14:paraId="4D157CD5">
      <w:pPr>
        <w:pStyle w:val="39"/>
        <w:rPr>
          <w:rFonts w:cs="黑体" w:asciiTheme="minorEastAsia" w:hAnsiTheme="minorEastAsia"/>
          <w:b/>
          <w:bCs/>
          <w:color w:val="auto"/>
          <w:sz w:val="44"/>
          <w:szCs w:val="44"/>
        </w:rPr>
      </w:pPr>
    </w:p>
    <w:p w14:paraId="74760B6C">
      <w:pPr>
        <w:pStyle w:val="39"/>
        <w:rPr>
          <w:rFonts w:cs="黑体" w:asciiTheme="minorEastAsia" w:hAnsiTheme="minorEastAsia"/>
          <w:b/>
          <w:bCs/>
          <w:color w:val="auto"/>
          <w:sz w:val="44"/>
          <w:szCs w:val="44"/>
        </w:rPr>
      </w:pPr>
    </w:p>
    <w:p w14:paraId="10AF17ED">
      <w:pPr>
        <w:pStyle w:val="39"/>
        <w:rPr>
          <w:rFonts w:cs="黑体" w:asciiTheme="minorEastAsia" w:hAnsiTheme="minorEastAsia"/>
          <w:b/>
          <w:bCs/>
          <w:color w:val="auto"/>
          <w:sz w:val="44"/>
          <w:szCs w:val="44"/>
        </w:rPr>
      </w:pPr>
    </w:p>
    <w:p w14:paraId="2E445FDD">
      <w:pPr>
        <w:pStyle w:val="39"/>
        <w:rPr>
          <w:rFonts w:cs="黑体" w:asciiTheme="minorEastAsia" w:hAnsiTheme="minorEastAsia"/>
          <w:b/>
          <w:bCs/>
          <w:color w:val="auto"/>
          <w:sz w:val="44"/>
          <w:szCs w:val="44"/>
        </w:rPr>
      </w:pPr>
    </w:p>
    <w:p w14:paraId="1FA426EB">
      <w:pPr>
        <w:autoSpaceDE w:val="0"/>
        <w:autoSpaceDN w:val="0"/>
        <w:adjustRightInd w:val="0"/>
        <w:spacing w:line="360" w:lineRule="auto"/>
        <w:jc w:val="center"/>
        <w:rPr>
          <w:rFonts w:cs="黑体" w:asciiTheme="minorEastAsia" w:hAnsiTheme="minorEastAsia"/>
          <w:b/>
          <w:bCs/>
          <w:color w:val="auto"/>
          <w:sz w:val="28"/>
          <w:szCs w:val="28"/>
          <w:lang w:val="zh-CN"/>
        </w:rPr>
      </w:pPr>
      <w:bookmarkStart w:id="65" w:name="_Hlk61874583"/>
      <w:r>
        <w:rPr>
          <w:rFonts w:hint="eastAsia" w:cs="黑体" w:asciiTheme="minorEastAsia" w:hAnsiTheme="minorEastAsia"/>
          <w:b/>
          <w:bCs/>
          <w:color w:val="auto"/>
          <w:sz w:val="28"/>
          <w:szCs w:val="28"/>
          <w:lang w:val="zh-CN"/>
        </w:rPr>
        <w:t>三、资格审查证明材料</w:t>
      </w:r>
    </w:p>
    <w:p w14:paraId="2713E1D9">
      <w:pPr>
        <w:pStyle w:val="19"/>
        <w:spacing w:line="360" w:lineRule="auto"/>
        <w:jc w:val="center"/>
        <w:rPr>
          <w:rFonts w:asciiTheme="majorEastAsia" w:hAnsiTheme="majorEastAsia" w:eastAsiaTheme="majorEastAsia"/>
          <w:b/>
          <w:snapToGrid w:val="0"/>
          <w:color w:val="auto"/>
          <w:kern w:val="0"/>
          <w:szCs w:val="24"/>
        </w:rPr>
      </w:pPr>
    </w:p>
    <w:p w14:paraId="6AF12742">
      <w:pPr>
        <w:pStyle w:val="19"/>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Cs w:val="24"/>
        </w:rPr>
        <w:t>3.1 报 价 函</w:t>
      </w:r>
    </w:p>
    <w:p w14:paraId="08A8C7D0">
      <w:pPr>
        <w:adjustRightInd w:val="0"/>
        <w:spacing w:line="360" w:lineRule="auto"/>
        <w:contextualSpacing/>
        <w:rPr>
          <w:rFonts w:asciiTheme="minorEastAsia" w:hAnsiTheme="minorEastAsia"/>
          <w:b/>
          <w:snapToGrid w:val="0"/>
          <w:color w:val="auto"/>
          <w:kern w:val="0"/>
          <w:szCs w:val="21"/>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（采购人）</w:t>
      </w:r>
    </w:p>
    <w:p w14:paraId="31B848F1">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 xml:space="preserve">根据贵方 </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（项目名称、项目编号）采购的竞争性谈判公告及谈判邀请，</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（姓名和职务）被正式授权并代表供应商</w:t>
      </w:r>
      <w:r>
        <w:rPr>
          <w:rFonts w:hint="eastAsia" w:asciiTheme="minorEastAsia" w:hAnsiTheme="minorEastAsia"/>
          <w:snapToGrid w:val="0"/>
          <w:color w:val="auto"/>
          <w:kern w:val="0"/>
          <w:szCs w:val="21"/>
          <w:u w:val="single"/>
        </w:rPr>
        <w:t xml:space="preserve">           </w:t>
      </w:r>
      <w:r>
        <w:rPr>
          <w:rFonts w:hint="eastAsia" w:asciiTheme="minorEastAsia" w:hAnsiTheme="minorEastAsia"/>
          <w:snapToGrid w:val="0"/>
          <w:color w:val="auto"/>
          <w:kern w:val="0"/>
          <w:szCs w:val="21"/>
        </w:rPr>
        <w:t>（供应商名称、地址）提交。</w:t>
      </w:r>
    </w:p>
    <w:p w14:paraId="6B2C5244">
      <w:pPr>
        <w:pStyle w:val="19"/>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w:t>
      </w:r>
      <w:r>
        <w:rPr>
          <w:rFonts w:hint="eastAsia" w:asciiTheme="minorEastAsia" w:hAnsiTheme="minorEastAsia"/>
          <w:snapToGrid w:val="0"/>
          <w:color w:val="auto"/>
          <w:kern w:val="0"/>
          <w:szCs w:val="21"/>
          <w:u w:val="single"/>
        </w:rPr>
        <w:t xml:space="preserve">          </w:t>
      </w:r>
      <w:r>
        <w:rPr>
          <w:rFonts w:hint="eastAsia" w:asciiTheme="minorEastAsia" w:hAnsiTheme="minorEastAsia" w:eastAsiaTheme="minorEastAsia"/>
          <w:snapToGrid w:val="0"/>
          <w:color w:val="auto"/>
          <w:kern w:val="0"/>
          <w:sz w:val="21"/>
          <w:szCs w:val="21"/>
        </w:rPr>
        <w:t>（项目名称、项目编号）谈判文件的全部内容，拟派项目负责人</w:t>
      </w:r>
      <w:r>
        <w:rPr>
          <w:rFonts w:hint="eastAsia" w:asciiTheme="minorEastAsia" w:hAnsiTheme="minorEastAsia" w:eastAsiaTheme="minorEastAsia"/>
          <w:snapToGrid w:val="0"/>
          <w:color w:val="auto"/>
          <w:kern w:val="0"/>
          <w:sz w:val="21"/>
          <w:szCs w:val="21"/>
          <w:u w:val="single"/>
        </w:rPr>
        <w:t xml:space="preserve">       </w:t>
      </w:r>
      <w:r>
        <w:rPr>
          <w:rFonts w:hint="eastAsia" w:asciiTheme="minorEastAsia" w:hAnsiTheme="minorEastAsia" w:eastAsiaTheme="minorEastAsia"/>
          <w:snapToGrid w:val="0"/>
          <w:color w:val="auto"/>
          <w:kern w:val="0"/>
          <w:sz w:val="21"/>
          <w:szCs w:val="21"/>
        </w:rPr>
        <w:t>（签字）。</w:t>
      </w:r>
    </w:p>
    <w:p w14:paraId="674462D7">
      <w:pPr>
        <w:pStyle w:val="19"/>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rPr>
        <w:t>已完全理解并接受谈判文件的各项规定和要求及资金支付规定，对谈判文件的合理性、合法性不再有异议。</w:t>
      </w:r>
    </w:p>
    <w:p w14:paraId="4B8D1C1B">
      <w:pPr>
        <w:adjustRightInd w:val="0"/>
        <w:spacing w:line="360" w:lineRule="auto"/>
        <w:ind w:firstLine="525" w:firstLineChars="25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我方已完全明白谈判文件的所有条款要求，并申明如下：</w:t>
      </w:r>
    </w:p>
    <w:p w14:paraId="3B66F758">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一、按谈判文件提供的全部工程与相关服务的响应总价详见《报价一览表》。</w:t>
      </w:r>
    </w:p>
    <w:p w14:paraId="28516B27">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我方同意在本项目谈判文件中规定的开标日起</w:t>
      </w:r>
      <w:r>
        <w:rPr>
          <w:rFonts w:hint="eastAsia" w:ascii="宋体" w:hAnsi="宋体"/>
          <w:color w:val="auto"/>
          <w:szCs w:val="21"/>
          <w:u w:val="single"/>
        </w:rPr>
        <w:t>90</w:t>
      </w:r>
      <w:r>
        <w:rPr>
          <w:rFonts w:hint="eastAsia" w:ascii="宋体" w:hAnsi="宋体"/>
          <w:color w:val="auto"/>
          <w:szCs w:val="21"/>
        </w:rPr>
        <w:t>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3393E312">
      <w:pPr>
        <w:pStyle w:val="27"/>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三、我方明白并同意，在规定的谈判响应时间截止之后，响应有效期之内撤销谈判响应的，则我方承担违背响应承诺的责任追究。</w:t>
      </w:r>
    </w:p>
    <w:p w14:paraId="3DDEE11E">
      <w:pPr>
        <w:pStyle w:val="27"/>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四、我方同意按照贵方可能提出的要求而提供与谈判响应有关的任何其他数据、信息或资料。</w:t>
      </w:r>
    </w:p>
    <w:p w14:paraId="4480CD72">
      <w:pPr>
        <w:pStyle w:val="27"/>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五、我方理解贵方不一定接受最低响应报价。</w:t>
      </w:r>
    </w:p>
    <w:p w14:paraId="159DB4EF">
      <w:pPr>
        <w:pStyle w:val="27"/>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六、我方如果成交，将保证履行谈判文件及其澄清、修改文件（如果有）中的全部责任和义务，按质、按量、按期完成《采购需求》及《合同书》中的全部任务。</w:t>
      </w:r>
    </w:p>
    <w:p w14:paraId="6B5F19D2">
      <w:pPr>
        <w:pStyle w:val="27"/>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14:paraId="3766626F">
      <w:pPr>
        <w:pStyle w:val="19"/>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 </w:t>
      </w:r>
    </w:p>
    <w:p w14:paraId="64702742">
      <w:pPr>
        <w:pStyle w:val="19"/>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w:t>
      </w:r>
      <w:r>
        <w:rPr>
          <w:rFonts w:hint="eastAsia" w:asciiTheme="majorEastAsia" w:hAnsiTheme="majorEastAsia" w:eastAsiaTheme="majorEastAsia" w:cstheme="majorEastAsia"/>
          <w:color w:val="auto"/>
          <w:szCs w:val="21"/>
        </w:rPr>
        <w:t>《中华人民共和国政府采购法》</w:t>
      </w:r>
      <w:r>
        <w:rPr>
          <w:rFonts w:hint="eastAsia" w:cs="Arial" w:asciiTheme="minorEastAsia" w:hAnsiTheme="minorEastAsia" w:eastAsiaTheme="minorEastAsia"/>
          <w:color w:val="auto"/>
          <w:sz w:val="21"/>
          <w:szCs w:val="21"/>
        </w:rPr>
        <w:t>第二十二条规定的条件；承诺如下：</w:t>
      </w:r>
    </w:p>
    <w:p w14:paraId="447C4485">
      <w:pPr>
        <w:pStyle w:val="19"/>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14:paraId="7ED7E533">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我方已依法缴纳了各项税费及社会保险费用，如有需要，可随时向采购人提供近六个月内的相关缴费证明，以便核查。</w:t>
      </w:r>
    </w:p>
    <w:p w14:paraId="6137E187">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14:paraId="671A8071">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14:paraId="10BB0D2C">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14:paraId="0099AB5A">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以上内容如有虚假或与事实不符的，谈判小组可将</w:t>
      </w:r>
      <w:r>
        <w:rPr>
          <w:rFonts w:hint="eastAsia" w:cs="Arial" w:asciiTheme="minorEastAsia" w:hAnsiTheme="minorEastAsia"/>
          <w:color w:val="auto"/>
          <w:szCs w:val="21"/>
        </w:rPr>
        <w:t>我方作无效投标处理，我方愿意承担相应的法律责任。</w:t>
      </w:r>
    </w:p>
    <w:p w14:paraId="5B9FF4EB">
      <w:pPr>
        <w:pStyle w:val="19"/>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14:paraId="5272286A">
      <w:pPr>
        <w:pStyle w:val="19"/>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14:paraId="66B16E16">
      <w:pPr>
        <w:pStyle w:val="19"/>
        <w:adjustRightInd w:val="0"/>
        <w:snapToGrid w:val="0"/>
        <w:spacing w:line="360" w:lineRule="auto"/>
        <w:rPr>
          <w:rFonts w:asciiTheme="minorEastAsia" w:hAnsiTheme="minorEastAsia" w:eastAsiaTheme="minorEastAsia"/>
          <w:color w:val="auto"/>
          <w:sz w:val="21"/>
          <w:szCs w:val="21"/>
        </w:rPr>
      </w:pPr>
    </w:p>
    <w:p w14:paraId="2DB19874">
      <w:pPr>
        <w:pStyle w:val="19"/>
        <w:adjustRightInd w:val="0"/>
        <w:snapToGrid w:val="0"/>
        <w:spacing w:line="360" w:lineRule="auto"/>
        <w:rPr>
          <w:rFonts w:asciiTheme="minorEastAsia" w:hAnsiTheme="minorEastAsia" w:eastAsiaTheme="minorEastAsia"/>
          <w:color w:val="auto"/>
          <w:sz w:val="21"/>
          <w:szCs w:val="21"/>
        </w:rPr>
      </w:pPr>
    </w:p>
    <w:p w14:paraId="1E848DE1">
      <w:pPr>
        <w:pStyle w:val="19"/>
        <w:adjustRightInd w:val="0"/>
        <w:snapToGrid w:val="0"/>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所有与本项目谈判有关的一切正式往来请寄：</w:t>
      </w:r>
    </w:p>
    <w:p w14:paraId="52C75E69">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地    址：</w:t>
      </w:r>
      <w:r>
        <w:rPr>
          <w:rFonts w:hint="eastAsia" w:asciiTheme="minorEastAsia" w:hAnsiTheme="minorEastAsia"/>
          <w:snapToGrid w:val="0"/>
          <w:color w:val="auto"/>
          <w:kern w:val="0"/>
          <w:szCs w:val="21"/>
          <w:u w:val="single"/>
        </w:rPr>
        <w:t xml:space="preserve">                 </w:t>
      </w:r>
      <w:r>
        <w:rPr>
          <w:rFonts w:hint="eastAsia" w:cs="宋体" w:asciiTheme="minorEastAsia" w:hAnsiTheme="minorEastAsia"/>
          <w:color w:val="auto"/>
          <w:szCs w:val="21"/>
        </w:rPr>
        <w:t xml:space="preserve">  邮政编码：</w:t>
      </w:r>
      <w:r>
        <w:rPr>
          <w:rFonts w:hint="eastAsia" w:asciiTheme="minorEastAsia" w:hAnsiTheme="minorEastAsia"/>
          <w:snapToGrid w:val="0"/>
          <w:color w:val="auto"/>
          <w:kern w:val="0"/>
          <w:szCs w:val="21"/>
          <w:u w:val="single"/>
        </w:rPr>
        <w:t xml:space="preserve">                </w:t>
      </w:r>
    </w:p>
    <w:p w14:paraId="2732B1AC">
      <w:pPr>
        <w:adjustRightInd w:val="0"/>
        <w:snapToGrid w:val="0"/>
        <w:spacing w:line="360" w:lineRule="auto"/>
        <w:ind w:firstLine="420" w:firstLineChars="200"/>
        <w:rPr>
          <w:rFonts w:cs="宋体" w:asciiTheme="minorEastAsia" w:hAnsiTheme="minorEastAsia"/>
          <w:color w:val="auto"/>
          <w:szCs w:val="21"/>
        </w:rPr>
      </w:pPr>
      <w:r>
        <w:rPr>
          <w:rFonts w:hint="eastAsia" w:cs="宋体" w:asciiTheme="minorEastAsia" w:hAnsiTheme="minorEastAsia"/>
          <w:color w:val="auto"/>
          <w:szCs w:val="21"/>
        </w:rPr>
        <w:t>电    话：</w:t>
      </w:r>
      <w:r>
        <w:rPr>
          <w:rFonts w:hint="eastAsia" w:asciiTheme="minorEastAsia" w:hAnsiTheme="minorEastAsia"/>
          <w:snapToGrid w:val="0"/>
          <w:color w:val="auto"/>
          <w:kern w:val="0"/>
          <w:szCs w:val="21"/>
          <w:u w:val="single"/>
        </w:rPr>
        <w:t xml:space="preserve">                  </w:t>
      </w:r>
      <w:r>
        <w:rPr>
          <w:rFonts w:hint="eastAsia" w:cs="宋体" w:asciiTheme="minorEastAsia" w:hAnsiTheme="minorEastAsia"/>
          <w:color w:val="auto"/>
          <w:szCs w:val="21"/>
        </w:rPr>
        <w:t xml:space="preserve"> 传    真：</w:t>
      </w:r>
      <w:r>
        <w:rPr>
          <w:rFonts w:hint="eastAsia" w:asciiTheme="minorEastAsia" w:hAnsiTheme="minorEastAsia"/>
          <w:snapToGrid w:val="0"/>
          <w:color w:val="auto"/>
          <w:kern w:val="0"/>
          <w:szCs w:val="21"/>
          <w:u w:val="single"/>
        </w:rPr>
        <w:t xml:space="preserve">                </w:t>
      </w:r>
    </w:p>
    <w:p w14:paraId="7FBF0DA4">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供应商代表姓名：</w:t>
      </w:r>
      <w:r>
        <w:rPr>
          <w:rFonts w:hint="eastAsia" w:asciiTheme="minorEastAsia" w:hAnsiTheme="minorEastAsia"/>
          <w:snapToGrid w:val="0"/>
          <w:color w:val="auto"/>
          <w:kern w:val="0"/>
          <w:szCs w:val="21"/>
          <w:u w:val="single"/>
        </w:rPr>
        <w:t xml:space="preserve">            </w:t>
      </w:r>
      <w:r>
        <w:rPr>
          <w:rFonts w:hint="eastAsia" w:cs="宋体" w:asciiTheme="minorEastAsia" w:hAnsiTheme="minorEastAsia"/>
          <w:color w:val="auto"/>
          <w:szCs w:val="21"/>
        </w:rPr>
        <w:t xml:space="preserve"> 职    务：</w:t>
      </w:r>
      <w:r>
        <w:rPr>
          <w:rFonts w:hint="eastAsia" w:asciiTheme="minorEastAsia" w:hAnsiTheme="minorEastAsia"/>
          <w:snapToGrid w:val="0"/>
          <w:color w:val="auto"/>
          <w:kern w:val="0"/>
          <w:szCs w:val="21"/>
          <w:u w:val="single"/>
        </w:rPr>
        <w:t xml:space="preserve">                </w:t>
      </w:r>
    </w:p>
    <w:p w14:paraId="1E577C5E">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投标人法定代表人（或法定代表人授权代表）签字和盖章：</w:t>
      </w:r>
    </w:p>
    <w:p w14:paraId="70470A4D">
      <w:pPr>
        <w:adjustRightInd w:val="0"/>
        <w:snapToGrid w:val="0"/>
        <w:spacing w:line="360" w:lineRule="auto"/>
        <w:ind w:firstLine="420" w:firstLineChars="200"/>
        <w:rPr>
          <w:rFonts w:cs="宋体" w:asciiTheme="minorEastAsia" w:hAnsiTheme="minorEastAsia"/>
          <w:color w:val="auto"/>
          <w:szCs w:val="21"/>
          <w:u w:val="single"/>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r>
        <w:rPr>
          <w:rFonts w:hint="eastAsia" w:cs="宋体" w:asciiTheme="minorEastAsia" w:hAnsiTheme="minorEastAsia"/>
          <w:color w:val="auto"/>
          <w:szCs w:val="21"/>
          <w:u w:val="single"/>
        </w:rPr>
        <w:t xml:space="preserve">                 </w:t>
      </w:r>
    </w:p>
    <w:p w14:paraId="724A156B">
      <w:pPr>
        <w:adjustRightInd w:val="0"/>
        <w:snapToGrid w:val="0"/>
        <w:spacing w:line="360" w:lineRule="auto"/>
        <w:ind w:firstLine="4305" w:firstLineChars="2050"/>
        <w:rPr>
          <w:rFonts w:cs="宋体" w:asciiTheme="minorEastAsia" w:hAnsiTheme="minorEastAsia"/>
          <w:color w:val="auto"/>
          <w:szCs w:val="21"/>
        </w:rPr>
      </w:pPr>
    </w:p>
    <w:p w14:paraId="5394C07B">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 xml:space="preserve">日期：    年   </w:t>
      </w:r>
      <w:r>
        <w:rPr>
          <w:rFonts w:hint="eastAsia" w:asciiTheme="minorEastAsia" w:hAnsiTheme="minorEastAsia"/>
          <w:snapToGrid w:val="0"/>
          <w:color w:val="auto"/>
          <w:kern w:val="0"/>
          <w:szCs w:val="21"/>
        </w:rPr>
        <w:t xml:space="preserve"> </w:t>
      </w:r>
      <w:r>
        <w:rPr>
          <w:rFonts w:hint="eastAsia" w:cs="宋体" w:asciiTheme="minorEastAsia" w:hAnsiTheme="minorEastAsia"/>
          <w:color w:val="auto"/>
          <w:szCs w:val="21"/>
        </w:rPr>
        <w:t xml:space="preserve">月 </w:t>
      </w:r>
      <w:r>
        <w:rPr>
          <w:rFonts w:hint="eastAsia" w:asciiTheme="minorEastAsia" w:hAnsiTheme="minorEastAsia"/>
          <w:snapToGrid w:val="0"/>
          <w:color w:val="auto"/>
          <w:kern w:val="0"/>
          <w:szCs w:val="21"/>
        </w:rPr>
        <w:t xml:space="preserve">   </w:t>
      </w:r>
      <w:r>
        <w:rPr>
          <w:rFonts w:hint="eastAsia" w:cs="宋体" w:asciiTheme="minorEastAsia" w:hAnsiTheme="minorEastAsia"/>
          <w:color w:val="auto"/>
          <w:szCs w:val="21"/>
        </w:rPr>
        <w:t>日</w:t>
      </w:r>
    </w:p>
    <w:p w14:paraId="475E5424">
      <w:pPr>
        <w:pStyle w:val="40"/>
        <w:rPr>
          <w:rFonts w:cs="宋体" w:asciiTheme="minorEastAsia" w:hAnsiTheme="minorEastAsia"/>
          <w:color w:val="auto"/>
          <w:szCs w:val="21"/>
        </w:rPr>
      </w:pPr>
    </w:p>
    <w:p w14:paraId="76753F8E">
      <w:pPr>
        <w:pStyle w:val="40"/>
        <w:rPr>
          <w:rFonts w:cs="宋体" w:asciiTheme="minorEastAsia" w:hAnsiTheme="minorEastAsia"/>
          <w:color w:val="auto"/>
          <w:szCs w:val="21"/>
        </w:rPr>
      </w:pPr>
    </w:p>
    <w:p w14:paraId="66C8EE7C">
      <w:pPr>
        <w:pStyle w:val="40"/>
        <w:rPr>
          <w:rFonts w:cs="宋体" w:asciiTheme="minorEastAsia" w:hAnsiTheme="minorEastAsia"/>
          <w:color w:val="auto"/>
          <w:szCs w:val="21"/>
        </w:rPr>
      </w:pPr>
    </w:p>
    <w:p w14:paraId="550381A6">
      <w:pPr>
        <w:pStyle w:val="40"/>
        <w:rPr>
          <w:rFonts w:cs="宋体" w:asciiTheme="minorEastAsia" w:hAnsiTheme="minorEastAsia"/>
          <w:color w:val="auto"/>
          <w:szCs w:val="21"/>
        </w:rPr>
      </w:pPr>
    </w:p>
    <w:p w14:paraId="62F2380A">
      <w:pPr>
        <w:pStyle w:val="40"/>
        <w:rPr>
          <w:rFonts w:cs="宋体" w:asciiTheme="minorEastAsia" w:hAnsiTheme="minorEastAsia"/>
          <w:color w:val="auto"/>
          <w:szCs w:val="21"/>
        </w:rPr>
      </w:pPr>
    </w:p>
    <w:p w14:paraId="6FDA7C78">
      <w:pPr>
        <w:pStyle w:val="40"/>
        <w:rPr>
          <w:rFonts w:cs="宋体" w:asciiTheme="minorEastAsia" w:hAnsiTheme="minorEastAsia"/>
          <w:color w:val="auto"/>
          <w:szCs w:val="21"/>
        </w:rPr>
      </w:pPr>
    </w:p>
    <w:p w14:paraId="769B190C">
      <w:pPr>
        <w:pStyle w:val="40"/>
        <w:rPr>
          <w:rFonts w:cs="宋体" w:asciiTheme="minorEastAsia" w:hAnsiTheme="minorEastAsia"/>
          <w:color w:val="auto"/>
          <w:szCs w:val="21"/>
        </w:rPr>
      </w:pPr>
    </w:p>
    <w:p w14:paraId="394403A7">
      <w:pPr>
        <w:pStyle w:val="40"/>
        <w:rPr>
          <w:rFonts w:cs="宋体" w:asciiTheme="minorEastAsia" w:hAnsiTheme="minorEastAsia"/>
          <w:color w:val="auto"/>
          <w:szCs w:val="21"/>
        </w:rPr>
      </w:pPr>
    </w:p>
    <w:p w14:paraId="22655113">
      <w:pPr>
        <w:pStyle w:val="40"/>
        <w:rPr>
          <w:rFonts w:cs="宋体" w:asciiTheme="minorEastAsia" w:hAnsiTheme="minorEastAsia"/>
          <w:color w:val="auto"/>
          <w:szCs w:val="21"/>
        </w:rPr>
      </w:pPr>
    </w:p>
    <w:p w14:paraId="7D204127">
      <w:pPr>
        <w:pStyle w:val="40"/>
        <w:rPr>
          <w:rFonts w:cs="宋体" w:asciiTheme="minorEastAsia" w:hAnsiTheme="minorEastAsia"/>
          <w:color w:val="auto"/>
          <w:szCs w:val="21"/>
        </w:rPr>
      </w:pPr>
    </w:p>
    <w:p w14:paraId="1A94E146">
      <w:pPr>
        <w:pStyle w:val="40"/>
        <w:rPr>
          <w:rFonts w:cs="宋体" w:asciiTheme="minorEastAsia" w:hAnsiTheme="minorEastAsia"/>
          <w:color w:val="auto"/>
          <w:szCs w:val="21"/>
        </w:rPr>
      </w:pPr>
    </w:p>
    <w:p w14:paraId="1A6E578F">
      <w:pPr>
        <w:pStyle w:val="40"/>
        <w:rPr>
          <w:rFonts w:cs="宋体" w:asciiTheme="minorEastAsia" w:hAnsiTheme="minorEastAsia"/>
          <w:color w:val="auto"/>
          <w:szCs w:val="21"/>
        </w:rPr>
      </w:pPr>
    </w:p>
    <w:p w14:paraId="4896904D">
      <w:pPr>
        <w:pStyle w:val="40"/>
        <w:rPr>
          <w:rFonts w:cs="宋体" w:asciiTheme="minorEastAsia" w:hAnsiTheme="minorEastAsia"/>
          <w:color w:val="auto"/>
          <w:szCs w:val="21"/>
        </w:rPr>
      </w:pPr>
    </w:p>
    <w:p w14:paraId="1449CF64">
      <w:pPr>
        <w:pStyle w:val="40"/>
        <w:rPr>
          <w:rFonts w:cs="宋体" w:asciiTheme="minorEastAsia" w:hAnsiTheme="minorEastAsia"/>
          <w:color w:val="auto"/>
          <w:szCs w:val="21"/>
        </w:rPr>
      </w:pPr>
    </w:p>
    <w:p w14:paraId="4D4E07D9">
      <w:pPr>
        <w:pStyle w:val="40"/>
        <w:rPr>
          <w:rFonts w:cs="宋体" w:asciiTheme="minorEastAsia" w:hAnsiTheme="minorEastAsia"/>
          <w:color w:val="auto"/>
          <w:szCs w:val="21"/>
        </w:rPr>
      </w:pPr>
    </w:p>
    <w:p w14:paraId="70C80B29">
      <w:pPr>
        <w:pStyle w:val="40"/>
        <w:rPr>
          <w:rFonts w:cs="宋体" w:asciiTheme="minorEastAsia" w:hAnsiTheme="minorEastAsia"/>
          <w:color w:val="auto"/>
          <w:szCs w:val="21"/>
        </w:rPr>
      </w:pPr>
    </w:p>
    <w:p w14:paraId="7782D53E">
      <w:pPr>
        <w:pStyle w:val="40"/>
        <w:rPr>
          <w:rFonts w:cs="宋体" w:asciiTheme="minorEastAsia" w:hAnsiTheme="minorEastAsia"/>
          <w:color w:val="auto"/>
          <w:szCs w:val="21"/>
        </w:rPr>
      </w:pPr>
    </w:p>
    <w:p w14:paraId="0378F5C0">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14:paraId="4B0DD30F">
      <w:pPr>
        <w:autoSpaceDE w:val="0"/>
        <w:autoSpaceDN w:val="0"/>
        <w:adjustRightInd w:val="0"/>
        <w:spacing w:line="480" w:lineRule="auto"/>
        <w:ind w:firstLine="616" w:firstLineChars="257"/>
        <w:rPr>
          <w:rFonts w:ascii="宋体" w:hAnsi="宋体"/>
          <w:color w:val="auto"/>
          <w:sz w:val="24"/>
          <w:szCs w:val="24"/>
        </w:rPr>
      </w:pPr>
    </w:p>
    <w:p w14:paraId="21EC98FB">
      <w:pPr>
        <w:pStyle w:val="56"/>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14:paraId="7A66819F">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14:paraId="6B1AF537">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14:paraId="33813FD1">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color w:val="auto"/>
          <w:sz w:val="21"/>
          <w:szCs w:val="21"/>
          <w:u w:val="single"/>
        </w:rPr>
        <w:t xml:space="preserve"> （</w:t>
      </w:r>
      <w:r>
        <w:rPr>
          <w:rFonts w:hint="eastAsia" w:asciiTheme="minorEastAsia" w:hAnsiTheme="minorEastAsia"/>
          <w:snapToGrid w:val="0"/>
          <w:color w:val="auto"/>
          <w:sz w:val="21"/>
          <w:szCs w:val="21"/>
          <w:u w:val="single"/>
        </w:rPr>
        <w:t>供应商名</w:t>
      </w:r>
      <w:r>
        <w:rPr>
          <w:rFonts w:asciiTheme="minorEastAsia" w:hAnsiTheme="minorEastAsia"/>
          <w:snapToGrid w:val="0"/>
          <w:color w:val="auto"/>
          <w:sz w:val="21"/>
          <w:szCs w:val="21"/>
          <w:u w:val="single"/>
        </w:rPr>
        <w:t>称</w:t>
      </w:r>
      <w:r>
        <w:rPr>
          <w:rFonts w:hint="eastAsia" w:asciiTheme="minorEastAsia" w:hAnsiTheme="minorEastAsia"/>
          <w:snapToGrid w:val="0"/>
          <w:color w:val="auto"/>
          <w:sz w:val="21"/>
          <w:szCs w:val="21"/>
          <w:u w:val="single"/>
        </w:rPr>
        <w:t xml:space="preserve"> </w:t>
      </w:r>
      <w:r>
        <w:rPr>
          <w:rFonts w:hint="eastAsia" w:asciiTheme="minorEastAsia" w:hAnsiTheme="minorEastAsia"/>
          <w:color w:val="auto"/>
          <w:sz w:val="21"/>
          <w:szCs w:val="21"/>
          <w:u w:val="single"/>
        </w:rPr>
        <w:t>）</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hint="eastAsia" w:asciiTheme="minorEastAsia" w:hAnsiTheme="minorEastAsia"/>
          <w:color w:val="auto"/>
          <w:sz w:val="21"/>
          <w:szCs w:val="21"/>
          <w:u w:val="single"/>
        </w:rPr>
        <w:t xml:space="preserve"> （</w:t>
      </w:r>
      <w:r>
        <w:rPr>
          <w:rFonts w:asciiTheme="minorEastAsia" w:hAnsiTheme="minorEastAsia"/>
          <w:color w:val="auto"/>
          <w:sz w:val="21"/>
          <w:szCs w:val="21"/>
          <w:u w:val="single"/>
        </w:rPr>
        <w:t>项目编号</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的</w:t>
      </w:r>
      <w:r>
        <w:rPr>
          <w:rFonts w:hint="eastAsia" w:asciiTheme="minorEastAsia" w:hAnsiTheme="minorEastAsia"/>
          <w:color w:val="auto"/>
          <w:sz w:val="21"/>
          <w:szCs w:val="21"/>
          <w:u w:val="single"/>
        </w:rPr>
        <w:t xml:space="preserve"> （</w:t>
      </w:r>
      <w:r>
        <w:rPr>
          <w:rFonts w:asciiTheme="minorEastAsia" w:hAnsiTheme="minorEastAsia"/>
          <w:color w:val="auto"/>
          <w:sz w:val="21"/>
          <w:szCs w:val="21"/>
          <w:u w:val="single"/>
        </w:rPr>
        <w:t>项目</w:t>
      </w:r>
      <w:r>
        <w:rPr>
          <w:rFonts w:hint="eastAsia" w:asciiTheme="minorEastAsia" w:hAnsiTheme="minorEastAsia"/>
          <w:color w:val="auto"/>
          <w:sz w:val="21"/>
          <w:szCs w:val="21"/>
          <w:u w:val="single"/>
        </w:rPr>
        <w:t>名</w:t>
      </w:r>
      <w:r>
        <w:rPr>
          <w:rFonts w:asciiTheme="minorEastAsia" w:hAnsiTheme="minorEastAsia"/>
          <w:color w:val="auto"/>
          <w:sz w:val="21"/>
          <w:szCs w:val="21"/>
          <w:u w:val="single"/>
        </w:rPr>
        <w:t>称</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竞争性谈判</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14:paraId="3D597FEF">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14:paraId="05E97804">
      <w:pPr>
        <w:pStyle w:val="5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法定代表人（单位负责人）联系电话（手机）：</w:t>
      </w:r>
    </w:p>
    <w:p w14:paraId="0E74DB57">
      <w:pPr>
        <w:pStyle w:val="56"/>
        <w:spacing w:line="480" w:lineRule="auto"/>
        <w:ind w:firstLine="472" w:firstLineChars="225"/>
        <w:jc w:val="left"/>
        <w:rPr>
          <w:rFonts w:asciiTheme="minorEastAsia" w:hAnsiTheme="minorEastAsia"/>
          <w:color w:val="auto"/>
          <w:sz w:val="21"/>
          <w:szCs w:val="21"/>
        </w:rPr>
      </w:pPr>
    </w:p>
    <w:p w14:paraId="31652D14">
      <w:pPr>
        <w:pStyle w:val="56"/>
        <w:spacing w:line="480" w:lineRule="auto"/>
        <w:ind w:firstLine="472" w:firstLineChars="225"/>
        <w:jc w:val="left"/>
        <w:rPr>
          <w:rFonts w:asciiTheme="minorEastAsia" w:hAnsiTheme="minorEastAsia"/>
          <w:color w:val="auto"/>
          <w:sz w:val="21"/>
          <w:szCs w:val="21"/>
        </w:rPr>
      </w:pPr>
    </w:p>
    <w:p w14:paraId="0B390C21">
      <w:pPr>
        <w:pStyle w:val="56"/>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w:t>
      </w:r>
      <w:r>
        <w:rPr>
          <w:rFonts w:hint="eastAsia" w:asciiTheme="minorEastAsia" w:hAnsiTheme="minorEastAsia"/>
          <w:bCs/>
          <w:color w:val="auto"/>
          <w:sz w:val="21"/>
          <w:szCs w:val="21"/>
        </w:rPr>
        <w:t>扫描件，需清晰反映身份证有效期限】</w:t>
      </w:r>
    </w:p>
    <w:p w14:paraId="4239865E">
      <w:pPr>
        <w:pStyle w:val="56"/>
        <w:spacing w:line="480" w:lineRule="auto"/>
        <w:ind w:left="-538" w:leftChars="-256" w:firstLine="539" w:firstLineChars="257"/>
        <w:jc w:val="center"/>
        <w:rPr>
          <w:rFonts w:asciiTheme="minorEastAsia" w:hAnsiTheme="minorEastAsia"/>
          <w:bCs/>
          <w:color w:val="auto"/>
          <w:sz w:val="21"/>
          <w:szCs w:val="21"/>
        </w:rPr>
      </w:pPr>
    </w:p>
    <w:p w14:paraId="42729D0A">
      <w:pPr>
        <w:autoSpaceDE w:val="0"/>
        <w:autoSpaceDN w:val="0"/>
        <w:adjustRightInd w:val="0"/>
        <w:spacing w:line="360" w:lineRule="auto"/>
        <w:ind w:right="-11"/>
        <w:rPr>
          <w:rFonts w:cs="宋体" w:asciiTheme="minorEastAsia" w:hAnsiTheme="minorEastAsia"/>
          <w:color w:val="auto"/>
          <w:szCs w:val="21"/>
          <w:lang w:val="zh-CN"/>
        </w:rPr>
      </w:pPr>
    </w:p>
    <w:p w14:paraId="24721630">
      <w:pPr>
        <w:autoSpaceDE w:val="0"/>
        <w:autoSpaceDN w:val="0"/>
        <w:adjustRightInd w:val="0"/>
        <w:spacing w:line="360" w:lineRule="auto"/>
        <w:ind w:right="-11"/>
        <w:rPr>
          <w:rFonts w:cs="宋体" w:asciiTheme="minorEastAsia" w:hAnsiTheme="minorEastAsia"/>
          <w:color w:val="auto"/>
          <w:szCs w:val="21"/>
          <w:lang w:val="zh-CN"/>
        </w:rPr>
      </w:pPr>
    </w:p>
    <w:p w14:paraId="74F1EFC1">
      <w:pPr>
        <w:autoSpaceDE w:val="0"/>
        <w:autoSpaceDN w:val="0"/>
        <w:adjustRightInd w:val="0"/>
        <w:spacing w:line="360" w:lineRule="auto"/>
        <w:ind w:right="-11"/>
        <w:rPr>
          <w:rFonts w:cs="宋体" w:asciiTheme="minorEastAsia" w:hAnsiTheme="minorEastAsia"/>
          <w:color w:val="auto"/>
          <w:szCs w:val="21"/>
          <w:lang w:val="zh-CN"/>
        </w:rPr>
      </w:pPr>
    </w:p>
    <w:p w14:paraId="4E32A878">
      <w:pPr>
        <w:adjustRightInd w:val="0"/>
        <w:snapToGrid w:val="0"/>
        <w:spacing w:line="360" w:lineRule="auto"/>
        <w:ind w:firstLine="3885" w:firstLineChars="1850"/>
        <w:rPr>
          <w:rFonts w:cs="宋体" w:asciiTheme="minorEastAsia" w:hAnsiTheme="minorEastAsia"/>
          <w:color w:val="auto"/>
          <w:szCs w:val="21"/>
        </w:rPr>
      </w:pPr>
      <w:r>
        <w:rPr>
          <w:rFonts w:hint="eastAsia" w:cs="宋体" w:asciiTheme="minorEastAsia" w:hAnsiTheme="minorEastAsia"/>
          <w:color w:val="auto"/>
          <w:szCs w:val="21"/>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rPr>
        <w:t>）：</w:t>
      </w:r>
    </w:p>
    <w:p w14:paraId="01B2EE58">
      <w:pPr>
        <w:pStyle w:val="59"/>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14:paraId="2667B35B">
      <w:pPr>
        <w:pStyle w:val="58"/>
        <w:spacing w:line="480" w:lineRule="auto"/>
        <w:rPr>
          <w:rFonts w:cs="Arial" w:asciiTheme="minorEastAsia" w:hAnsiTheme="minorEastAsia"/>
          <w:color w:val="auto"/>
          <w:sz w:val="21"/>
          <w:szCs w:val="21"/>
        </w:rPr>
      </w:pPr>
    </w:p>
    <w:p w14:paraId="63A35867">
      <w:pPr>
        <w:rPr>
          <w:color w:val="auto"/>
          <w:szCs w:val="21"/>
        </w:rPr>
      </w:pPr>
    </w:p>
    <w:p w14:paraId="384E5809">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加本竞争性谈判</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w:t>
      </w:r>
      <w:r>
        <w:rPr>
          <w:rFonts w:hint="eastAsia" w:asciiTheme="minorEastAsia" w:hAnsiTheme="minorEastAsia"/>
          <w:bCs/>
          <w:color w:val="auto"/>
          <w:kern w:val="12"/>
          <w:szCs w:val="21"/>
        </w:rPr>
        <w:t>需出具此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14:paraId="7EA712C1">
      <w:pPr>
        <w:pStyle w:val="40"/>
        <w:rPr>
          <w:rFonts w:asciiTheme="minorEastAsia" w:hAnsiTheme="minorEastAsia"/>
          <w:bCs/>
          <w:color w:val="auto"/>
          <w:kern w:val="12"/>
          <w:szCs w:val="21"/>
        </w:rPr>
      </w:pPr>
    </w:p>
    <w:p w14:paraId="045F861C">
      <w:pPr>
        <w:pStyle w:val="40"/>
        <w:rPr>
          <w:rFonts w:asciiTheme="minorEastAsia" w:hAnsiTheme="minorEastAsia"/>
          <w:bCs/>
          <w:color w:val="auto"/>
          <w:kern w:val="12"/>
          <w:szCs w:val="21"/>
        </w:rPr>
      </w:pPr>
    </w:p>
    <w:p w14:paraId="1B3A0DB0">
      <w:pPr>
        <w:pStyle w:val="40"/>
        <w:rPr>
          <w:rFonts w:asciiTheme="minorEastAsia" w:hAnsiTheme="minorEastAsia"/>
          <w:bCs/>
          <w:color w:val="auto"/>
          <w:kern w:val="12"/>
          <w:szCs w:val="21"/>
        </w:rPr>
      </w:pPr>
    </w:p>
    <w:p w14:paraId="7189E5F6">
      <w:pPr>
        <w:pStyle w:val="40"/>
        <w:rPr>
          <w:rFonts w:asciiTheme="minorEastAsia" w:hAnsiTheme="minorEastAsia"/>
          <w:bCs/>
          <w:color w:val="auto"/>
          <w:kern w:val="12"/>
          <w:szCs w:val="21"/>
        </w:rPr>
      </w:pPr>
    </w:p>
    <w:p w14:paraId="20155DD1">
      <w:pPr>
        <w:pStyle w:val="40"/>
        <w:rPr>
          <w:rFonts w:asciiTheme="minorEastAsia" w:hAnsiTheme="minorEastAsia"/>
          <w:bCs/>
          <w:color w:val="auto"/>
          <w:kern w:val="12"/>
          <w:szCs w:val="21"/>
        </w:rPr>
      </w:pPr>
    </w:p>
    <w:p w14:paraId="21B3626D">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14:paraId="0C592DAC">
      <w:pPr>
        <w:spacing w:line="480" w:lineRule="exact"/>
        <w:jc w:val="center"/>
        <w:rPr>
          <w:rFonts w:ascii="宋体" w:hAnsi="宋体"/>
          <w:b/>
          <w:bCs/>
          <w:color w:val="auto"/>
          <w:sz w:val="36"/>
          <w:szCs w:val="36"/>
        </w:rPr>
      </w:pPr>
    </w:p>
    <w:p w14:paraId="2063CE0A">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snapToGrid w:val="0"/>
          <w:color w:val="auto"/>
          <w:szCs w:val="21"/>
          <w:u w:val="single"/>
        </w:rPr>
        <w:t xml:space="preserve">法人姓名 </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snapToGrid w:val="0"/>
          <w:color w:val="auto"/>
          <w:szCs w:val="21"/>
          <w:u w:val="single"/>
        </w:rPr>
        <w:t xml:space="preserve">姓名，职务 </w:t>
      </w:r>
      <w:r>
        <w:rPr>
          <w:rFonts w:hint="eastAsia" w:cs="Arial" w:asciiTheme="minorEastAsia" w:hAnsiTheme="minorEastAsia"/>
          <w:color w:val="auto"/>
          <w:szCs w:val="21"/>
        </w:rPr>
        <w:t xml:space="preserve">以我方的名义参加贵方 </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 xml:space="preserve"> 项目的谈判响应活动，并代表我方全权办理针对上述项目的谈判、响应文件澄清、签约等一切具体事务和签署相关文件。</w:t>
      </w:r>
    </w:p>
    <w:p w14:paraId="4E8A87CB">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14:paraId="30DEE602">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F5186BF">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14:paraId="74BBDA76">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（并加盖单位公章）</w:t>
      </w:r>
    </w:p>
    <w:p w14:paraId="33CCA0F5">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cs="Arial" w:asciiTheme="minorEastAsia" w:hAnsiTheme="minorEastAsia"/>
          <w:color w:val="auto"/>
          <w:szCs w:val="21"/>
          <w:u w:val="single"/>
        </w:rPr>
        <w:t xml:space="preserve">             </w:t>
      </w:r>
      <w:r>
        <w:rPr>
          <w:rFonts w:hint="eastAsia" w:cs="Arial" w:asciiTheme="minorEastAsia" w:hAnsiTheme="minorEastAsia"/>
          <w:color w:val="auto"/>
          <w:szCs w:val="21"/>
        </w:rPr>
        <w:t xml:space="preserve"> （签字或加盖名章）</w:t>
      </w:r>
    </w:p>
    <w:p w14:paraId="47D3BCD8">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w:t>
      </w:r>
      <w:r>
        <w:rPr>
          <w:rFonts w:hint="eastAsia" w:asciiTheme="minorEastAsia" w:hAnsiTheme="minorEastAsia"/>
          <w:color w:val="auto"/>
          <w:szCs w:val="21"/>
          <w:u w:val="single"/>
        </w:rPr>
        <w:t xml:space="preserve">      </w:t>
      </w:r>
      <w:r>
        <w:rPr>
          <w:rFonts w:hint="eastAsia" w:asciiTheme="minorEastAsia" w:hAnsiTheme="minorEastAsia"/>
          <w:color w:val="auto"/>
          <w:szCs w:val="21"/>
        </w:rPr>
        <w:t>（签字或加盖名章）</w:t>
      </w:r>
    </w:p>
    <w:p w14:paraId="3A118ED9">
      <w:pPr>
        <w:spacing w:line="480" w:lineRule="auto"/>
        <w:ind w:firstLine="420" w:firstLineChars="200"/>
        <w:rPr>
          <w:rFonts w:asciiTheme="minorEastAsia" w:hAnsiTheme="minorEastAsia"/>
          <w:color w:val="auto"/>
          <w:szCs w:val="21"/>
          <w:u w:val="single"/>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授权代表联系电话（手机）：</w:t>
      </w:r>
      <w:r>
        <w:rPr>
          <w:rFonts w:hint="eastAsia" w:asciiTheme="minorEastAsia" w:hAnsiTheme="minorEastAsia"/>
          <w:color w:val="auto"/>
          <w:szCs w:val="21"/>
          <w:u w:val="single"/>
        </w:rPr>
        <w:t xml:space="preserve">       </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5C6E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68AE8982">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14:paraId="096FF789">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14:paraId="54C2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03CFDA6">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14:paraId="25CBDFEB">
            <w:pPr>
              <w:jc w:val="center"/>
              <w:rPr>
                <w:rFonts w:asciiTheme="minorEastAsia" w:hAnsiTheme="minorEastAsia"/>
                <w:color w:val="auto"/>
                <w:szCs w:val="21"/>
              </w:rPr>
            </w:pPr>
            <w:r>
              <w:rPr>
                <w:rFonts w:hint="eastAsia" w:asciiTheme="minorEastAsia" w:hAnsiTheme="minorEastAsia"/>
                <w:color w:val="auto"/>
                <w:szCs w:val="21"/>
              </w:rPr>
              <w:t>（正面）</w:t>
            </w:r>
          </w:p>
        </w:tc>
        <w:tc>
          <w:tcPr>
            <w:tcW w:w="4492" w:type="dxa"/>
            <w:gridSpan w:val="2"/>
            <w:vAlign w:val="center"/>
          </w:tcPr>
          <w:p w14:paraId="4808323C">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14:paraId="186E85B5">
            <w:pPr>
              <w:jc w:val="center"/>
              <w:rPr>
                <w:rFonts w:asciiTheme="minorEastAsia" w:hAnsiTheme="minorEastAsia"/>
                <w:color w:val="auto"/>
                <w:szCs w:val="21"/>
              </w:rPr>
            </w:pPr>
            <w:r>
              <w:rPr>
                <w:rFonts w:hint="eastAsia" w:asciiTheme="minorEastAsia" w:hAnsiTheme="minorEastAsia"/>
                <w:color w:val="auto"/>
                <w:szCs w:val="21"/>
              </w:rPr>
              <w:t>（反面）</w:t>
            </w:r>
          </w:p>
        </w:tc>
      </w:tr>
    </w:tbl>
    <w:p w14:paraId="41AA2AA5">
      <w:pPr>
        <w:widowControl/>
        <w:spacing w:before="100" w:beforeAutospacing="1" w:after="100" w:afterAutospacing="1" w:line="360" w:lineRule="auto"/>
        <w:rPr>
          <w:rFonts w:ascii="宋体" w:hAnsi="宋体"/>
          <w:b/>
          <w:bCs/>
          <w:color w:val="auto"/>
          <w:sz w:val="24"/>
          <w:szCs w:val="24"/>
        </w:rPr>
      </w:pPr>
    </w:p>
    <w:p w14:paraId="684B9F19">
      <w:pPr>
        <w:widowControl/>
        <w:spacing w:before="100" w:beforeAutospacing="1" w:after="100" w:afterAutospacing="1" w:line="360" w:lineRule="auto"/>
        <w:rPr>
          <w:rFonts w:ascii="宋体" w:hAnsi="宋体"/>
          <w:b/>
          <w:bCs/>
          <w:color w:val="auto"/>
          <w:sz w:val="24"/>
          <w:szCs w:val="24"/>
        </w:rPr>
      </w:pPr>
    </w:p>
    <w:p w14:paraId="44DC5E00">
      <w:pPr>
        <w:autoSpaceDE w:val="0"/>
        <w:autoSpaceDN w:val="0"/>
        <w:adjustRightInd w:val="0"/>
        <w:spacing w:line="360" w:lineRule="auto"/>
        <w:jc w:val="center"/>
        <w:outlineLvl w:val="0"/>
        <w:rPr>
          <w:rFonts w:cs="Arial" w:asciiTheme="minorEastAsia" w:hAnsiTheme="minorEastAsia"/>
          <w:color w:val="auto"/>
          <w:szCs w:val="21"/>
        </w:rPr>
      </w:pPr>
      <w:r>
        <w:rPr>
          <w:rFonts w:hint="eastAsia" w:ascii="宋体" w:hAnsi="宋体"/>
          <w:b/>
          <w:bCs/>
          <w:color w:val="auto"/>
          <w:sz w:val="24"/>
          <w:szCs w:val="24"/>
        </w:rPr>
        <w:t>3.4 禹州市政府采购供应商信用承诺函</w:t>
      </w:r>
    </w:p>
    <w:p w14:paraId="6D530317">
      <w:pPr>
        <w:adjustRightInd w:val="0"/>
        <w:spacing w:line="360" w:lineRule="auto"/>
        <w:contextualSpacing/>
        <w:rPr>
          <w:rFonts w:cs="Arial" w:asciiTheme="minorEastAsia" w:hAnsiTheme="minorEastAsia"/>
          <w:color w:val="auto"/>
          <w:szCs w:val="21"/>
        </w:rPr>
      </w:pPr>
      <w:r>
        <w:rPr>
          <w:rFonts w:hint="eastAsia" w:cs="Arial" w:asciiTheme="minorEastAsia" w:hAnsiTheme="minorEastAsia"/>
          <w:color w:val="auto"/>
          <w:szCs w:val="21"/>
        </w:rPr>
        <w:t xml:space="preserve">致（采购人或采购代理机构） ：         </w:t>
      </w:r>
    </w:p>
    <w:p w14:paraId="3B5FFB06">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单位名称（自然人姓名） ：  </w:t>
      </w:r>
    </w:p>
    <w:p w14:paraId="0C7A101D">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统一社会信用代码（身份证号码） ： </w:t>
      </w:r>
    </w:p>
    <w:p w14:paraId="5FCF0DA1">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法定代表人（负责人） ：            </w:t>
      </w:r>
    </w:p>
    <w:p w14:paraId="7608F103">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 xml:space="preserve">联系地址和电话 ：                               </w:t>
      </w:r>
    </w:p>
    <w:p w14:paraId="6383E89E">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为维护公平、公正、公开的政府采购市场秩序，树立诚实守信的政府采购供应商形象，我单位（本人）自愿作出以下承诺：</w:t>
      </w:r>
    </w:p>
    <w:p w14:paraId="314CB46C">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一、我单位（本人）自愿参加本次政府采购活动，严格遵守《中华人民共和国政府采购法》及相关法律法规，依法诚信 经营，无条件遵守本次政府采购活动的各项规定，我单位（本人）郑重承诺，我单位（本人）符合《中华人民共和国政府采购法》第二十二条规定和采购文件、本承诺书的条件：</w:t>
      </w:r>
    </w:p>
    <w:p w14:paraId="746CC936">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（一）具有独立承担民事责任的能力；</w:t>
      </w:r>
    </w:p>
    <w:p w14:paraId="42029C6C">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（二）具有良好的商业信誉和健全的财务会计制度；</w:t>
      </w:r>
    </w:p>
    <w:p w14:paraId="40067358">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（三）具有履行合同所必需的设备和专业技术能力；</w:t>
      </w:r>
    </w:p>
    <w:p w14:paraId="366106EE">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（四）有依法缴纳税收和社会保障资金的良好记录；</w:t>
      </w:r>
    </w:p>
    <w:p w14:paraId="00A3D685">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（五）参加政府采购活动前三年内，在经营活动中没有重大违法记录；</w:t>
      </w:r>
    </w:p>
    <w:p w14:paraId="1EA561B5">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（六）未被列入经营异常名录或者严重违法失信名单、失信被执行人，重大税收违法案件当事人名单、政府采购严重违法失信行为记录名单；</w:t>
      </w:r>
    </w:p>
    <w:p w14:paraId="769E0241">
      <w:pPr>
        <w:adjustRightInd w:val="0"/>
        <w:spacing w:line="360" w:lineRule="auto"/>
        <w:ind w:firstLine="420" w:firstLineChars="200"/>
        <w:contextualSpacing/>
        <w:rPr>
          <w:rFonts w:cs="Arial" w:asciiTheme="minorEastAsia" w:hAnsiTheme="minorEastAsia"/>
          <w:color w:val="auto"/>
          <w:szCs w:val="21"/>
        </w:rPr>
      </w:pPr>
      <w:r>
        <w:rPr>
          <w:rFonts w:hint="eastAsia" w:cs="Arial" w:asciiTheme="minorEastAsia" w:hAnsiTheme="minorEastAsia"/>
          <w:color w:val="auto"/>
          <w:szCs w:val="21"/>
        </w:rPr>
        <w:t>（七）未被相关监管部门作出行政处罚且尚在处罚有效期的；</w:t>
      </w:r>
    </w:p>
    <w:p w14:paraId="05F9AD89">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（八）未曾作出虚假采购承诺；</w:t>
      </w:r>
    </w:p>
    <w:p w14:paraId="547EBF0B">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（九）符合法律、行政法规规定的其他条件。</w:t>
      </w:r>
    </w:p>
    <w:p w14:paraId="298BFB84">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asciiTheme="majorEastAsia" w:hAnsiTheme="majorEastAsia" w:eastAsiaTheme="majorEastAsia" w:cstheme="majorEastAsia"/>
          <w:color w:val="auto"/>
          <w:szCs w:val="21"/>
        </w:rPr>
        <w:t>《中华人民共和国政府采购法》</w:t>
      </w:r>
      <w:r>
        <w:rPr>
          <w:rFonts w:hint="eastAsia" w:cs="Arial" w:asciiTheme="minorEastAsia" w:hAnsiTheme="minorEastAsia"/>
          <w:color w:val="auto"/>
          <w:szCs w:val="21"/>
        </w:rPr>
        <w:t>第七十七条、第七十九条规定，处以采购金额千分之五以上千分之十以下的罚款，列入不良行为记录名单，在一至三年内禁止参加政府采购活动</w:t>
      </w:r>
      <w:r>
        <w:rPr>
          <w:rFonts w:hint="eastAsia" w:cs="Arial" w:asciiTheme="minorEastAsia" w:hAnsiTheme="minorEastAsia"/>
          <w:color w:val="auto"/>
          <w:szCs w:val="21"/>
          <w:lang w:eastAsia="zh-CN"/>
        </w:rPr>
        <w:t>，有</w:t>
      </w:r>
      <w:r>
        <w:rPr>
          <w:rFonts w:hint="eastAsia" w:cs="Arial" w:asciiTheme="minorEastAsia" w:hAnsiTheme="minorEastAsia"/>
          <w:color w:val="auto"/>
          <w:szCs w:val="21"/>
        </w:rPr>
        <w:t>违法所得的，并处没收违法所得，情节严重的，由市场监管部门吊销营业执照；构成犯罪的，依法追究刑事责任；给他人造成损失的，并应依照有关民事法律规定承担民事责任。</w:t>
      </w:r>
    </w:p>
    <w:p w14:paraId="066D90B8">
      <w:pPr>
        <w:adjustRightInd w:val="0"/>
        <w:spacing w:line="360" w:lineRule="auto"/>
        <w:ind w:firstLine="441" w:firstLineChars="210"/>
        <w:contextualSpacing/>
        <w:rPr>
          <w:rFonts w:cs="Arial" w:asciiTheme="minorEastAsia" w:hAnsiTheme="minorEastAsia"/>
          <w:color w:val="auto"/>
          <w:szCs w:val="21"/>
          <w:lang w:val="zh-CN"/>
        </w:rPr>
      </w:pPr>
      <w:r>
        <w:rPr>
          <w:rFonts w:hint="eastAsia" w:cs="Arial" w:asciiTheme="minorEastAsia" w:hAnsiTheme="minorEastAsia"/>
          <w:color w:val="auto"/>
          <w:szCs w:val="21"/>
          <w:lang w:val="zh-CN"/>
        </w:rPr>
        <w:t>供应商（电子章）：</w:t>
      </w:r>
    </w:p>
    <w:p w14:paraId="238AC2DC">
      <w:pPr>
        <w:adjustRightInd w:val="0"/>
        <w:spacing w:line="360" w:lineRule="auto"/>
        <w:ind w:firstLine="441" w:firstLineChars="210"/>
        <w:contextualSpacing/>
        <w:rPr>
          <w:rFonts w:cs="Arial" w:asciiTheme="minorEastAsia" w:hAnsiTheme="minorEastAsia"/>
          <w:color w:val="auto"/>
          <w:szCs w:val="21"/>
          <w:lang w:val="zh-CN"/>
        </w:rPr>
      </w:pPr>
      <w:r>
        <w:rPr>
          <w:rFonts w:hint="eastAsia" w:cs="Arial" w:asciiTheme="minorEastAsia" w:hAnsiTheme="minorEastAsia"/>
          <w:color w:val="auto"/>
          <w:szCs w:val="21"/>
          <w:lang w:val="zh-CN"/>
        </w:rPr>
        <w:t>法定代表人、负责人、本人或授权代表（签字或电子印章）：</w:t>
      </w:r>
    </w:p>
    <w:p w14:paraId="6AA27137">
      <w:pPr>
        <w:adjustRightInd w:val="0"/>
        <w:spacing w:line="360" w:lineRule="auto"/>
        <w:ind w:firstLine="441" w:firstLineChars="210"/>
        <w:contextualSpacing/>
        <w:rPr>
          <w:rFonts w:cs="Arial" w:asciiTheme="minorEastAsia" w:hAnsiTheme="minorEastAsia"/>
          <w:color w:val="auto"/>
          <w:szCs w:val="21"/>
          <w:lang w:val="zh-CN"/>
        </w:rPr>
      </w:pPr>
      <w:r>
        <w:rPr>
          <w:rFonts w:hint="eastAsia" w:cs="Arial" w:asciiTheme="minorEastAsia" w:hAnsiTheme="minorEastAsia"/>
          <w:color w:val="auto"/>
          <w:szCs w:val="21"/>
          <w:lang w:val="zh-CN"/>
        </w:rPr>
        <w:t>日期：    年    月      日</w:t>
      </w:r>
    </w:p>
    <w:p w14:paraId="1A8EA585">
      <w:pPr>
        <w:rPr>
          <w:rFonts w:ascii="仿宋" w:hAnsi="仿宋" w:eastAsia="仿宋" w:cs="华文仿宋"/>
          <w:color w:val="auto"/>
          <w:szCs w:val="21"/>
        </w:rPr>
      </w:pPr>
    </w:p>
    <w:p w14:paraId="1A9935FE">
      <w:pPr>
        <w:ind w:firstLine="420" w:firstLineChars="200"/>
        <w:rPr>
          <w:rFonts w:ascii="仿宋" w:hAnsi="仿宋" w:eastAsia="仿宋"/>
          <w:color w:val="auto"/>
        </w:rPr>
      </w:pPr>
      <w:r>
        <w:rPr>
          <w:rFonts w:ascii="仿宋" w:hAnsi="仿宋" w:eastAsia="仿宋" w:cs="华文仿宋"/>
          <w:color w:val="auto"/>
          <w:szCs w:val="21"/>
        </w:rPr>
        <w:t>注：1.供应商须在</w:t>
      </w:r>
      <w:r>
        <w:rPr>
          <w:rFonts w:hint="eastAsia" w:ascii="仿宋" w:hAnsi="仿宋" w:eastAsia="仿宋" w:cs="华文仿宋"/>
          <w:color w:val="auto"/>
          <w:szCs w:val="21"/>
        </w:rPr>
        <w:t>谈判</w:t>
      </w:r>
      <w:r>
        <w:rPr>
          <w:rFonts w:ascii="仿宋" w:hAnsi="仿宋" w:eastAsia="仿宋" w:cs="华文仿宋"/>
          <w:color w:val="auto"/>
          <w:szCs w:val="21"/>
        </w:rPr>
        <w:t>文件中按此模板提供承诺函，未提供视为未实质性响应</w:t>
      </w:r>
      <w:r>
        <w:rPr>
          <w:rFonts w:hint="eastAsia" w:ascii="仿宋" w:hAnsi="仿宋" w:eastAsia="仿宋" w:cs="华文仿宋"/>
          <w:color w:val="auto"/>
          <w:szCs w:val="21"/>
        </w:rPr>
        <w:t>谈判</w:t>
      </w:r>
      <w:r>
        <w:rPr>
          <w:rFonts w:ascii="仿宋" w:hAnsi="仿宋" w:eastAsia="仿宋" w:cs="华文仿宋"/>
          <w:color w:val="auto"/>
          <w:szCs w:val="21"/>
        </w:rPr>
        <w:t>文件要求，按无效投标处理。</w:t>
      </w:r>
    </w:p>
    <w:p w14:paraId="2AA2462E">
      <w:pPr>
        <w:ind w:firstLine="420" w:firstLineChars="200"/>
        <w:rPr>
          <w:rFonts w:cs="宋体" w:asciiTheme="minorEastAsia" w:hAnsiTheme="minorEastAsia"/>
          <w:color w:val="auto"/>
          <w:sz w:val="24"/>
          <w:szCs w:val="24"/>
          <w:lang w:val="zh-CN"/>
        </w:rPr>
      </w:pPr>
      <w:r>
        <w:rPr>
          <w:rFonts w:ascii="仿宋" w:hAnsi="仿宋" w:eastAsia="仿宋" w:cs="华文仿宋"/>
          <w:color w:val="auto"/>
          <w:szCs w:val="21"/>
        </w:rPr>
        <w:t>2.供应商的法定代表人或者授权代表的签字或盖章应真实、有效，如由授权代表签字或盖章的，应提供“法定代表人授权书”</w:t>
      </w:r>
    </w:p>
    <w:p w14:paraId="443E931C">
      <w:pPr>
        <w:autoSpaceDE w:val="0"/>
        <w:autoSpaceDN w:val="0"/>
        <w:adjustRightInd w:val="0"/>
        <w:spacing w:line="360" w:lineRule="auto"/>
        <w:jc w:val="center"/>
        <w:outlineLvl w:val="0"/>
        <w:rPr>
          <w:rFonts w:ascii="宋体" w:hAnsi="宋体"/>
          <w:b/>
          <w:bCs/>
          <w:color w:val="auto"/>
          <w:sz w:val="24"/>
          <w:szCs w:val="24"/>
        </w:rPr>
      </w:pPr>
    </w:p>
    <w:p w14:paraId="2F085586">
      <w:pPr>
        <w:autoSpaceDE w:val="0"/>
        <w:autoSpaceDN w:val="0"/>
        <w:adjustRightInd w:val="0"/>
        <w:spacing w:line="360" w:lineRule="auto"/>
        <w:jc w:val="center"/>
        <w:outlineLvl w:val="0"/>
        <w:rPr>
          <w:rFonts w:ascii="宋体" w:hAnsi="宋体"/>
          <w:b/>
          <w:bCs/>
          <w:color w:val="auto"/>
          <w:sz w:val="24"/>
          <w:szCs w:val="24"/>
        </w:rPr>
      </w:pPr>
    </w:p>
    <w:p w14:paraId="7A7AE686">
      <w:pPr>
        <w:autoSpaceDE w:val="0"/>
        <w:autoSpaceDN w:val="0"/>
        <w:adjustRightInd w:val="0"/>
        <w:spacing w:line="360" w:lineRule="auto"/>
        <w:jc w:val="center"/>
        <w:outlineLvl w:val="0"/>
        <w:rPr>
          <w:rFonts w:ascii="宋体" w:hAnsi="宋体"/>
          <w:b/>
          <w:bCs/>
          <w:color w:val="auto"/>
          <w:sz w:val="24"/>
          <w:szCs w:val="24"/>
        </w:rPr>
      </w:pPr>
    </w:p>
    <w:p w14:paraId="70DA5DF4">
      <w:pPr>
        <w:autoSpaceDE w:val="0"/>
        <w:autoSpaceDN w:val="0"/>
        <w:adjustRightInd w:val="0"/>
        <w:spacing w:line="360" w:lineRule="auto"/>
        <w:jc w:val="center"/>
        <w:outlineLvl w:val="0"/>
        <w:rPr>
          <w:rFonts w:ascii="宋体" w:hAnsi="宋体"/>
          <w:b/>
          <w:bCs/>
          <w:color w:val="auto"/>
          <w:sz w:val="24"/>
          <w:szCs w:val="24"/>
        </w:rPr>
      </w:pPr>
    </w:p>
    <w:p w14:paraId="0B8B7C3B">
      <w:pPr>
        <w:autoSpaceDE w:val="0"/>
        <w:autoSpaceDN w:val="0"/>
        <w:adjustRightInd w:val="0"/>
        <w:spacing w:line="360" w:lineRule="auto"/>
        <w:jc w:val="center"/>
        <w:outlineLvl w:val="0"/>
        <w:rPr>
          <w:rFonts w:ascii="宋体" w:hAnsi="宋体"/>
          <w:b/>
          <w:bCs/>
          <w:color w:val="auto"/>
          <w:sz w:val="24"/>
          <w:szCs w:val="24"/>
        </w:rPr>
      </w:pPr>
    </w:p>
    <w:p w14:paraId="47B6E9FA">
      <w:pPr>
        <w:autoSpaceDE w:val="0"/>
        <w:autoSpaceDN w:val="0"/>
        <w:adjustRightInd w:val="0"/>
        <w:spacing w:line="360" w:lineRule="auto"/>
        <w:jc w:val="center"/>
        <w:outlineLvl w:val="0"/>
        <w:rPr>
          <w:rFonts w:ascii="宋体" w:hAnsi="宋体"/>
          <w:b/>
          <w:bCs/>
          <w:color w:val="auto"/>
          <w:sz w:val="24"/>
          <w:szCs w:val="24"/>
        </w:rPr>
      </w:pPr>
    </w:p>
    <w:p w14:paraId="735CB48A">
      <w:pPr>
        <w:autoSpaceDE w:val="0"/>
        <w:autoSpaceDN w:val="0"/>
        <w:adjustRightInd w:val="0"/>
        <w:spacing w:line="360" w:lineRule="auto"/>
        <w:jc w:val="center"/>
        <w:outlineLvl w:val="0"/>
        <w:rPr>
          <w:rFonts w:ascii="宋体" w:hAnsi="宋体"/>
          <w:b/>
          <w:bCs/>
          <w:color w:val="auto"/>
          <w:sz w:val="24"/>
          <w:szCs w:val="24"/>
        </w:rPr>
      </w:pPr>
    </w:p>
    <w:p w14:paraId="2C6F0A35">
      <w:pPr>
        <w:autoSpaceDE w:val="0"/>
        <w:autoSpaceDN w:val="0"/>
        <w:adjustRightInd w:val="0"/>
        <w:spacing w:line="360" w:lineRule="auto"/>
        <w:jc w:val="center"/>
        <w:outlineLvl w:val="0"/>
        <w:rPr>
          <w:rFonts w:ascii="宋体" w:hAnsi="宋体"/>
          <w:b/>
          <w:bCs/>
          <w:color w:val="auto"/>
          <w:sz w:val="24"/>
          <w:szCs w:val="24"/>
        </w:rPr>
      </w:pPr>
    </w:p>
    <w:p w14:paraId="06B953A9">
      <w:pPr>
        <w:autoSpaceDE w:val="0"/>
        <w:autoSpaceDN w:val="0"/>
        <w:adjustRightInd w:val="0"/>
        <w:spacing w:line="360" w:lineRule="auto"/>
        <w:jc w:val="center"/>
        <w:outlineLvl w:val="0"/>
        <w:rPr>
          <w:rFonts w:ascii="宋体" w:hAnsi="宋体"/>
          <w:b/>
          <w:bCs/>
          <w:color w:val="auto"/>
          <w:sz w:val="24"/>
          <w:szCs w:val="24"/>
        </w:rPr>
      </w:pPr>
    </w:p>
    <w:p w14:paraId="1D566DE0">
      <w:pPr>
        <w:autoSpaceDE w:val="0"/>
        <w:autoSpaceDN w:val="0"/>
        <w:adjustRightInd w:val="0"/>
        <w:spacing w:line="360" w:lineRule="auto"/>
        <w:jc w:val="center"/>
        <w:outlineLvl w:val="0"/>
        <w:rPr>
          <w:rFonts w:ascii="宋体" w:hAnsi="宋体"/>
          <w:b/>
          <w:bCs/>
          <w:color w:val="auto"/>
          <w:sz w:val="24"/>
          <w:szCs w:val="24"/>
        </w:rPr>
      </w:pPr>
    </w:p>
    <w:p w14:paraId="31B852A1">
      <w:pPr>
        <w:autoSpaceDE w:val="0"/>
        <w:autoSpaceDN w:val="0"/>
        <w:adjustRightInd w:val="0"/>
        <w:spacing w:line="360" w:lineRule="auto"/>
        <w:jc w:val="center"/>
        <w:outlineLvl w:val="0"/>
        <w:rPr>
          <w:rFonts w:ascii="宋体" w:hAnsi="宋体"/>
          <w:b/>
          <w:bCs/>
          <w:color w:val="auto"/>
          <w:sz w:val="24"/>
          <w:szCs w:val="24"/>
        </w:rPr>
      </w:pPr>
    </w:p>
    <w:p w14:paraId="32F4B44E">
      <w:pPr>
        <w:autoSpaceDE w:val="0"/>
        <w:autoSpaceDN w:val="0"/>
        <w:adjustRightInd w:val="0"/>
        <w:spacing w:line="360" w:lineRule="auto"/>
        <w:jc w:val="center"/>
        <w:outlineLvl w:val="0"/>
        <w:rPr>
          <w:rFonts w:ascii="宋体" w:hAnsi="宋体"/>
          <w:b/>
          <w:bCs/>
          <w:color w:val="auto"/>
          <w:sz w:val="24"/>
          <w:szCs w:val="24"/>
        </w:rPr>
      </w:pPr>
    </w:p>
    <w:p w14:paraId="2DD1B5F7">
      <w:pPr>
        <w:autoSpaceDE w:val="0"/>
        <w:autoSpaceDN w:val="0"/>
        <w:adjustRightInd w:val="0"/>
        <w:spacing w:line="360" w:lineRule="auto"/>
        <w:jc w:val="center"/>
        <w:outlineLvl w:val="0"/>
        <w:rPr>
          <w:rFonts w:ascii="宋体" w:hAnsi="宋体"/>
          <w:b/>
          <w:bCs/>
          <w:color w:val="auto"/>
          <w:sz w:val="24"/>
          <w:szCs w:val="24"/>
        </w:rPr>
      </w:pPr>
    </w:p>
    <w:p w14:paraId="7E03D34F">
      <w:pPr>
        <w:autoSpaceDE w:val="0"/>
        <w:autoSpaceDN w:val="0"/>
        <w:adjustRightInd w:val="0"/>
        <w:spacing w:line="360" w:lineRule="auto"/>
        <w:jc w:val="center"/>
        <w:outlineLvl w:val="0"/>
        <w:rPr>
          <w:rFonts w:ascii="宋体" w:hAnsi="宋体"/>
          <w:b/>
          <w:bCs/>
          <w:color w:val="auto"/>
          <w:sz w:val="24"/>
          <w:szCs w:val="24"/>
        </w:rPr>
      </w:pPr>
    </w:p>
    <w:p w14:paraId="597C3CA9">
      <w:pPr>
        <w:autoSpaceDE w:val="0"/>
        <w:autoSpaceDN w:val="0"/>
        <w:adjustRightInd w:val="0"/>
        <w:spacing w:line="360" w:lineRule="auto"/>
        <w:jc w:val="center"/>
        <w:outlineLvl w:val="0"/>
        <w:rPr>
          <w:rFonts w:ascii="宋体" w:hAnsi="宋体"/>
          <w:b/>
          <w:bCs/>
          <w:color w:val="auto"/>
          <w:sz w:val="24"/>
          <w:szCs w:val="24"/>
        </w:rPr>
      </w:pPr>
    </w:p>
    <w:p w14:paraId="70EA814D">
      <w:pPr>
        <w:autoSpaceDE w:val="0"/>
        <w:autoSpaceDN w:val="0"/>
        <w:adjustRightInd w:val="0"/>
        <w:spacing w:line="360" w:lineRule="auto"/>
        <w:jc w:val="center"/>
        <w:outlineLvl w:val="0"/>
        <w:rPr>
          <w:rFonts w:ascii="宋体" w:hAnsi="宋体"/>
          <w:b/>
          <w:bCs/>
          <w:color w:val="auto"/>
          <w:sz w:val="24"/>
          <w:szCs w:val="24"/>
        </w:rPr>
      </w:pPr>
    </w:p>
    <w:p w14:paraId="34A7B487">
      <w:pPr>
        <w:autoSpaceDE w:val="0"/>
        <w:autoSpaceDN w:val="0"/>
        <w:adjustRightInd w:val="0"/>
        <w:spacing w:line="360" w:lineRule="auto"/>
        <w:jc w:val="center"/>
        <w:outlineLvl w:val="0"/>
        <w:rPr>
          <w:rFonts w:ascii="宋体" w:hAnsi="宋体"/>
          <w:b/>
          <w:bCs/>
          <w:color w:val="auto"/>
          <w:sz w:val="24"/>
          <w:szCs w:val="24"/>
        </w:rPr>
      </w:pPr>
    </w:p>
    <w:p w14:paraId="71B433A8">
      <w:pPr>
        <w:autoSpaceDE w:val="0"/>
        <w:autoSpaceDN w:val="0"/>
        <w:adjustRightInd w:val="0"/>
        <w:spacing w:line="360" w:lineRule="auto"/>
        <w:jc w:val="center"/>
        <w:outlineLvl w:val="0"/>
        <w:rPr>
          <w:rFonts w:ascii="宋体" w:hAnsi="宋体"/>
          <w:b/>
          <w:bCs/>
          <w:color w:val="auto"/>
          <w:sz w:val="24"/>
          <w:szCs w:val="24"/>
        </w:rPr>
      </w:pPr>
    </w:p>
    <w:p w14:paraId="20B5102C">
      <w:pPr>
        <w:autoSpaceDE w:val="0"/>
        <w:autoSpaceDN w:val="0"/>
        <w:adjustRightInd w:val="0"/>
        <w:spacing w:line="360" w:lineRule="auto"/>
        <w:jc w:val="center"/>
        <w:outlineLvl w:val="0"/>
        <w:rPr>
          <w:rFonts w:ascii="宋体" w:hAnsi="宋体"/>
          <w:b/>
          <w:bCs/>
          <w:color w:val="auto"/>
          <w:sz w:val="24"/>
          <w:szCs w:val="24"/>
        </w:rPr>
      </w:pPr>
    </w:p>
    <w:p w14:paraId="6A2F486E">
      <w:pPr>
        <w:autoSpaceDE w:val="0"/>
        <w:autoSpaceDN w:val="0"/>
        <w:adjustRightInd w:val="0"/>
        <w:spacing w:line="360" w:lineRule="auto"/>
        <w:jc w:val="center"/>
        <w:outlineLvl w:val="0"/>
        <w:rPr>
          <w:rFonts w:ascii="宋体" w:hAnsi="宋体"/>
          <w:b/>
          <w:bCs/>
          <w:color w:val="auto"/>
          <w:sz w:val="24"/>
          <w:szCs w:val="24"/>
        </w:rPr>
      </w:pPr>
    </w:p>
    <w:p w14:paraId="2C130E7E">
      <w:pPr>
        <w:autoSpaceDE w:val="0"/>
        <w:autoSpaceDN w:val="0"/>
        <w:adjustRightInd w:val="0"/>
        <w:spacing w:line="360" w:lineRule="auto"/>
        <w:jc w:val="center"/>
        <w:outlineLvl w:val="0"/>
        <w:rPr>
          <w:rFonts w:ascii="宋体" w:hAnsi="宋体"/>
          <w:b/>
          <w:bCs/>
          <w:color w:val="auto"/>
          <w:sz w:val="24"/>
          <w:szCs w:val="24"/>
        </w:rPr>
      </w:pPr>
    </w:p>
    <w:p w14:paraId="1F5A345B">
      <w:pPr>
        <w:autoSpaceDE w:val="0"/>
        <w:autoSpaceDN w:val="0"/>
        <w:adjustRightInd w:val="0"/>
        <w:spacing w:line="360" w:lineRule="auto"/>
        <w:jc w:val="center"/>
        <w:outlineLvl w:val="0"/>
        <w:rPr>
          <w:rFonts w:ascii="宋体" w:hAnsi="宋体"/>
          <w:b/>
          <w:bCs/>
          <w:color w:val="auto"/>
          <w:sz w:val="24"/>
          <w:szCs w:val="24"/>
        </w:rPr>
      </w:pPr>
    </w:p>
    <w:p w14:paraId="13637457">
      <w:pPr>
        <w:autoSpaceDE w:val="0"/>
        <w:autoSpaceDN w:val="0"/>
        <w:adjustRightInd w:val="0"/>
        <w:spacing w:line="360" w:lineRule="auto"/>
        <w:jc w:val="center"/>
        <w:outlineLvl w:val="0"/>
        <w:rPr>
          <w:rFonts w:ascii="宋体" w:hAnsi="宋体"/>
          <w:b/>
          <w:bCs/>
          <w:color w:val="auto"/>
          <w:sz w:val="24"/>
          <w:szCs w:val="24"/>
        </w:rPr>
      </w:pPr>
    </w:p>
    <w:p w14:paraId="2945D327">
      <w:pPr>
        <w:autoSpaceDE w:val="0"/>
        <w:autoSpaceDN w:val="0"/>
        <w:adjustRightInd w:val="0"/>
        <w:spacing w:line="360" w:lineRule="auto"/>
        <w:jc w:val="center"/>
        <w:outlineLvl w:val="0"/>
        <w:rPr>
          <w:rFonts w:ascii="宋体" w:hAnsi="宋体"/>
          <w:b/>
          <w:bCs/>
          <w:color w:val="auto"/>
          <w:sz w:val="24"/>
          <w:szCs w:val="24"/>
        </w:rPr>
      </w:pPr>
    </w:p>
    <w:p w14:paraId="126D51A8">
      <w:pPr>
        <w:autoSpaceDE w:val="0"/>
        <w:autoSpaceDN w:val="0"/>
        <w:adjustRightInd w:val="0"/>
        <w:spacing w:line="360" w:lineRule="auto"/>
        <w:jc w:val="center"/>
        <w:outlineLvl w:val="0"/>
        <w:rPr>
          <w:rFonts w:ascii="宋体" w:hAnsi="宋体"/>
          <w:b/>
          <w:bCs/>
          <w:color w:val="auto"/>
          <w:sz w:val="24"/>
          <w:szCs w:val="24"/>
        </w:rPr>
      </w:pPr>
    </w:p>
    <w:p w14:paraId="2BA50AD1">
      <w:pPr>
        <w:autoSpaceDE w:val="0"/>
        <w:autoSpaceDN w:val="0"/>
        <w:adjustRightInd w:val="0"/>
        <w:spacing w:line="360" w:lineRule="auto"/>
        <w:jc w:val="center"/>
        <w:outlineLvl w:val="0"/>
        <w:rPr>
          <w:rFonts w:ascii="宋体" w:hAnsi="宋体"/>
          <w:b/>
          <w:bCs/>
          <w:color w:val="auto"/>
          <w:sz w:val="24"/>
          <w:szCs w:val="24"/>
        </w:rPr>
      </w:pPr>
    </w:p>
    <w:p w14:paraId="3B0DA94E">
      <w:pPr>
        <w:autoSpaceDE w:val="0"/>
        <w:autoSpaceDN w:val="0"/>
        <w:adjustRightInd w:val="0"/>
        <w:spacing w:line="360" w:lineRule="auto"/>
        <w:jc w:val="center"/>
        <w:outlineLvl w:val="0"/>
        <w:rPr>
          <w:rFonts w:ascii="宋体" w:hAnsi="宋体"/>
          <w:b/>
          <w:bCs/>
          <w:color w:val="auto"/>
          <w:sz w:val="24"/>
          <w:szCs w:val="24"/>
        </w:rPr>
      </w:pPr>
    </w:p>
    <w:p w14:paraId="214A4467">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谈判承诺函</w:t>
      </w:r>
    </w:p>
    <w:p w14:paraId="319A9756">
      <w:pPr>
        <w:autoSpaceDE w:val="0"/>
        <w:autoSpaceDN w:val="0"/>
        <w:snapToGrid w:val="0"/>
        <w:spacing w:line="360" w:lineRule="auto"/>
        <w:jc w:val="center"/>
        <w:rPr>
          <w:rFonts w:ascii="宋体" w:hAnsi="宋体"/>
          <w:b/>
          <w:bCs/>
          <w:color w:val="auto"/>
          <w:sz w:val="24"/>
          <w:szCs w:val="24"/>
        </w:rPr>
      </w:pPr>
    </w:p>
    <w:p w14:paraId="050ED774">
      <w:pPr>
        <w:spacing w:beforeLines="50" w:afterLines="50" w:line="360" w:lineRule="auto"/>
        <w:contextualSpacing/>
        <w:rPr>
          <w:rFonts w:ascii="宋体" w:hAnsi="宋体" w:eastAsia="宋体" w:cs="宋体"/>
          <w:color w:val="auto"/>
          <w:szCs w:val="21"/>
        </w:rPr>
      </w:pPr>
      <w:r>
        <w:rPr>
          <w:rFonts w:hint="eastAsia" w:ascii="宋体" w:hAnsi="宋体" w:eastAsia="宋体" w:cs="宋体"/>
          <w:color w:val="auto"/>
          <w:szCs w:val="21"/>
        </w:rPr>
        <w:t>致：</w:t>
      </w:r>
      <w:r>
        <w:rPr>
          <w:rFonts w:hint="eastAsia" w:ascii="宋体" w:hAnsi="宋体" w:eastAsia="宋体" w:cs="宋体"/>
          <w:color w:val="auto"/>
          <w:szCs w:val="21"/>
          <w:u w:val="single"/>
        </w:rPr>
        <w:t xml:space="preserve">（采购人）    </w:t>
      </w:r>
    </w:p>
    <w:p w14:paraId="06F4894B">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hint="eastAsia" w:ascii="宋体" w:hAnsi="宋体" w:eastAsia="宋体" w:cs="宋体"/>
          <w:color w:val="auto"/>
          <w:szCs w:val="21"/>
          <w:u w:val="single"/>
        </w:rPr>
        <w:t xml:space="preserve">      </w:t>
      </w:r>
      <w:r>
        <w:rPr>
          <w:rFonts w:ascii="宋体" w:hAnsi="宋体" w:eastAsia="宋体" w:cs="宋体"/>
          <w:color w:val="auto"/>
          <w:szCs w:val="21"/>
          <w:lang w:val="zh-CN"/>
        </w:rPr>
        <w:t>年</w:t>
      </w:r>
      <w:r>
        <w:rPr>
          <w:rFonts w:hint="eastAsia" w:ascii="宋体" w:hAnsi="宋体" w:eastAsia="宋体" w:cs="宋体"/>
          <w:color w:val="auto"/>
          <w:szCs w:val="21"/>
          <w:u w:val="single"/>
        </w:rPr>
        <w:t xml:space="preserve">      </w:t>
      </w:r>
      <w:r>
        <w:rPr>
          <w:rFonts w:ascii="宋体" w:hAnsi="宋体" w:eastAsia="宋体" w:cs="宋体"/>
          <w:color w:val="auto"/>
          <w:szCs w:val="21"/>
          <w:lang w:val="zh-CN"/>
        </w:rPr>
        <w:t>月</w:t>
      </w:r>
      <w:r>
        <w:rPr>
          <w:rFonts w:hint="eastAsia" w:ascii="宋体" w:hAnsi="宋体" w:eastAsia="宋体" w:cs="宋体"/>
          <w:color w:val="auto"/>
          <w:szCs w:val="21"/>
          <w:u w:val="single"/>
        </w:rPr>
        <w:t xml:space="preserve">      </w:t>
      </w:r>
      <w:r>
        <w:rPr>
          <w:rFonts w:ascii="宋体" w:hAnsi="宋体" w:eastAsia="宋体" w:cs="宋体"/>
          <w:color w:val="auto"/>
          <w:szCs w:val="21"/>
          <w:lang w:val="zh-CN"/>
        </w:rPr>
        <w:t>日</w:t>
      </w:r>
      <w:r>
        <w:rPr>
          <w:rFonts w:hint="eastAsia" w:ascii="宋体" w:hAnsi="宋体" w:eastAsia="宋体" w:cs="宋体"/>
          <w:color w:val="auto"/>
          <w:szCs w:val="21"/>
          <w:u w:val="single"/>
        </w:rPr>
        <w:t xml:space="preserve">             </w:t>
      </w:r>
      <w:r>
        <w:rPr>
          <w:rFonts w:hint="eastAsia" w:cs="宋体" w:asciiTheme="minorEastAsia" w:hAnsiTheme="minorEastAsia"/>
          <w:color w:val="auto"/>
          <w:szCs w:val="21"/>
          <w:lang w:val="zh-CN"/>
        </w:rPr>
        <w:t>（项目编号、项目名称）的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响应</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14:paraId="6EC562CA">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一、在响应有效期内撤销响应文件；</w:t>
      </w:r>
    </w:p>
    <w:p w14:paraId="1F8802C2">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二、在响应文件中提供虚假材料；</w:t>
      </w:r>
    </w:p>
    <w:p w14:paraId="6279EBB8">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三、除因不可抗力或谈判文件认可的情形以外，成交后不与采购人签订合同；</w:t>
      </w:r>
    </w:p>
    <w:p w14:paraId="3074E45F">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四、与采购人、其他供应商或者采购代理机构恶意串通；</w:t>
      </w:r>
    </w:p>
    <w:p w14:paraId="0D74B54F">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五、法律法规及本谈判文件规定的其他严重违法行为。</w:t>
      </w:r>
    </w:p>
    <w:p w14:paraId="071BC5D7">
      <w:pPr>
        <w:rPr>
          <w:color w:val="auto"/>
          <w:sz w:val="28"/>
          <w:szCs w:val="28"/>
          <w:u w:val="single"/>
        </w:rPr>
      </w:pPr>
    </w:p>
    <w:p w14:paraId="30ECC73D">
      <w:pPr>
        <w:rPr>
          <w:color w:val="auto"/>
          <w:sz w:val="28"/>
          <w:szCs w:val="28"/>
          <w:u w:val="single"/>
        </w:rPr>
      </w:pPr>
    </w:p>
    <w:p w14:paraId="27D716A6">
      <w:pPr>
        <w:spacing w:line="480" w:lineRule="auto"/>
        <w:ind w:firstLine="4357" w:firstLineChars="2075"/>
        <w:rPr>
          <w:rFonts w:cs="Arial" w:asciiTheme="minorEastAsia" w:hAnsiTheme="minorEastAsia"/>
          <w:color w:val="auto"/>
          <w:szCs w:val="21"/>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r>
        <w:rPr>
          <w:rFonts w:hint="eastAsia" w:cs="Arial" w:asciiTheme="minorEastAsia" w:hAnsiTheme="minorEastAsia"/>
          <w:color w:val="auto"/>
          <w:szCs w:val="21"/>
        </w:rPr>
        <w:t>　　　　　　　　　</w:t>
      </w:r>
    </w:p>
    <w:p w14:paraId="4E956D62">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14:paraId="6CDD0483">
      <w:pPr>
        <w:autoSpaceDE w:val="0"/>
        <w:autoSpaceDN w:val="0"/>
        <w:adjustRightInd w:val="0"/>
        <w:spacing w:line="360" w:lineRule="auto"/>
        <w:jc w:val="center"/>
        <w:outlineLvl w:val="0"/>
        <w:rPr>
          <w:rFonts w:ascii="宋体" w:hAnsi="宋体"/>
          <w:b/>
          <w:bCs/>
          <w:color w:val="auto"/>
          <w:sz w:val="24"/>
          <w:szCs w:val="24"/>
        </w:rPr>
      </w:pPr>
    </w:p>
    <w:p w14:paraId="4F0E889C">
      <w:pPr>
        <w:pStyle w:val="2"/>
        <w:ind w:firstLine="241"/>
        <w:rPr>
          <w:rFonts w:hAnsi="宋体"/>
          <w:b/>
          <w:bCs/>
          <w:color w:val="auto"/>
          <w:sz w:val="24"/>
          <w:szCs w:val="24"/>
        </w:rPr>
      </w:pPr>
    </w:p>
    <w:p w14:paraId="7755E783">
      <w:pPr>
        <w:pStyle w:val="6"/>
        <w:ind w:left="420" w:firstLine="482"/>
        <w:rPr>
          <w:rFonts w:hint="default" w:ascii="宋体" w:hAnsi="宋体"/>
          <w:b/>
          <w:bCs/>
          <w:color w:val="auto"/>
          <w:szCs w:val="24"/>
          <w:lang w:eastAsia="zh-CN"/>
        </w:rPr>
      </w:pPr>
    </w:p>
    <w:p w14:paraId="4EE4D21B">
      <w:pPr>
        <w:rPr>
          <w:rFonts w:ascii="宋体" w:hAnsi="宋体"/>
          <w:b/>
          <w:bCs/>
          <w:color w:val="auto"/>
          <w:sz w:val="24"/>
          <w:szCs w:val="24"/>
        </w:rPr>
      </w:pPr>
    </w:p>
    <w:p w14:paraId="16ECF3E7">
      <w:pPr>
        <w:pStyle w:val="2"/>
        <w:ind w:firstLine="241"/>
        <w:rPr>
          <w:rFonts w:hAnsi="宋体"/>
          <w:b/>
          <w:bCs/>
          <w:color w:val="auto"/>
          <w:sz w:val="24"/>
          <w:szCs w:val="24"/>
        </w:rPr>
      </w:pPr>
    </w:p>
    <w:p w14:paraId="0E236080">
      <w:pPr>
        <w:pStyle w:val="6"/>
        <w:ind w:left="420" w:firstLine="482"/>
        <w:rPr>
          <w:rFonts w:hint="default" w:ascii="宋体" w:hAnsi="宋体"/>
          <w:b/>
          <w:bCs/>
          <w:color w:val="auto"/>
          <w:szCs w:val="24"/>
          <w:lang w:eastAsia="zh-CN"/>
        </w:rPr>
      </w:pPr>
    </w:p>
    <w:p w14:paraId="7FF32701">
      <w:pPr>
        <w:rPr>
          <w:color w:val="auto"/>
        </w:rPr>
      </w:pPr>
    </w:p>
    <w:p w14:paraId="008C6A21">
      <w:pPr>
        <w:autoSpaceDE w:val="0"/>
        <w:autoSpaceDN w:val="0"/>
        <w:adjustRightInd w:val="0"/>
        <w:spacing w:line="360" w:lineRule="auto"/>
        <w:jc w:val="center"/>
        <w:outlineLvl w:val="0"/>
        <w:rPr>
          <w:rFonts w:ascii="宋体" w:hAnsi="宋体" w:eastAsia="宋体" w:cs="Times New Roman"/>
          <w:b/>
          <w:bCs/>
          <w:color w:val="auto"/>
          <w:sz w:val="24"/>
          <w:szCs w:val="24"/>
        </w:rPr>
      </w:pPr>
      <w:r>
        <w:rPr>
          <w:rFonts w:hint="eastAsia" w:ascii="宋体" w:hAnsi="宋体" w:eastAsia="宋体" w:cs="Times New Roman"/>
          <w:b/>
          <w:bCs/>
          <w:color w:val="auto"/>
          <w:sz w:val="24"/>
          <w:szCs w:val="24"/>
        </w:rPr>
        <w:t>3</w:t>
      </w:r>
      <w:r>
        <w:rPr>
          <w:rFonts w:ascii="宋体" w:hAnsi="宋体" w:eastAsia="宋体" w:cs="Times New Roman"/>
          <w:b/>
          <w:bCs/>
          <w:color w:val="auto"/>
          <w:sz w:val="24"/>
          <w:szCs w:val="24"/>
        </w:rPr>
        <w:t xml:space="preserve">.6 </w:t>
      </w:r>
      <w:r>
        <w:rPr>
          <w:rFonts w:hint="eastAsia" w:ascii="宋体" w:hAnsi="宋体" w:eastAsia="宋体" w:cs="Times New Roman"/>
          <w:b/>
          <w:bCs/>
          <w:color w:val="auto"/>
          <w:sz w:val="24"/>
          <w:szCs w:val="24"/>
        </w:rPr>
        <w:t>中小企业声明函（服务）</w:t>
      </w:r>
    </w:p>
    <w:p w14:paraId="1D624C44">
      <w:pPr>
        <w:spacing w:line="360" w:lineRule="auto"/>
        <w:jc w:val="center"/>
        <w:rPr>
          <w:rFonts w:ascii="宋体" w:hAnsi="Calibri" w:eastAsia="宋体" w:cs="Times New Roman"/>
          <w:b/>
          <w:bCs/>
          <w:color w:val="auto"/>
          <w:szCs w:val="21"/>
        </w:rPr>
      </w:pPr>
    </w:p>
    <w:p w14:paraId="2B5A7C2E">
      <w:pPr>
        <w:widowControl/>
        <w:adjustRightInd w:val="0"/>
        <w:snapToGrid w:val="0"/>
        <w:spacing w:beforeLines="50"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szCs w:val="21"/>
        </w:rPr>
        <w:t>本公司郑重声明，根据《政府采购促进中小企业发展管理办法》（财库</w:t>
      </w:r>
      <w:r>
        <w:rPr>
          <w:rFonts w:hint="eastAsia" w:ascii="宋体" w:hAnsi="宋体" w:eastAsia="宋体" w:cs="宋体"/>
          <w:color w:val="auto"/>
          <w:szCs w:val="21"/>
          <w:lang w:eastAsia="zh-CN"/>
        </w:rPr>
        <w:t>〔2020〕46号</w:t>
      </w:r>
      <w:r>
        <w:rPr>
          <w:rFonts w:hint="eastAsia" w:ascii="宋体" w:hAnsi="宋体" w:eastAsia="宋体" w:cs="宋体"/>
          <w:color w:val="auto"/>
          <w:szCs w:val="21"/>
        </w:rPr>
        <w:t>）的规定，本公司为参加</w:t>
      </w:r>
      <w:r>
        <w:rPr>
          <w:rFonts w:hint="eastAsia" w:ascii="宋体" w:hAnsi="宋体" w:eastAsia="宋体" w:cs="宋体"/>
          <w:color w:val="auto"/>
          <w:szCs w:val="21"/>
          <w:u w:val="single"/>
        </w:rPr>
        <w:t xml:space="preserve">（招标单位名称） </w:t>
      </w:r>
      <w:r>
        <w:rPr>
          <w:rFonts w:hint="eastAsia" w:ascii="宋体" w:hAnsi="宋体" w:eastAsia="宋体" w:cs="宋体"/>
          <w:color w:val="auto"/>
          <w:szCs w:val="21"/>
        </w:rPr>
        <w:t>的</w:t>
      </w:r>
      <w:r>
        <w:rPr>
          <w:rFonts w:hint="eastAsia" w:ascii="宋体" w:hAnsi="宋体" w:eastAsia="宋体" w:cs="宋体"/>
          <w:color w:val="auto"/>
          <w:szCs w:val="21"/>
          <w:u w:val="single"/>
        </w:rPr>
        <w:t xml:space="preserve">（项目名称） </w:t>
      </w:r>
      <w:r>
        <w:rPr>
          <w:rFonts w:hint="eastAsia" w:ascii="宋体" w:hAnsi="宋体" w:eastAsia="宋体" w:cs="宋体"/>
          <w:color w:val="auto"/>
          <w:szCs w:val="21"/>
        </w:rPr>
        <w:t>采购活动，服务全部由符合政策要求的中小企业承接。相关企业的具体情况如下：</w:t>
      </w:r>
    </w:p>
    <w:p w14:paraId="687DA5EC">
      <w:pPr>
        <w:widowControl/>
        <w:adjustRightInd w:val="0"/>
        <w:snapToGrid w:val="0"/>
        <w:spacing w:beforeLines="50"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szCs w:val="21"/>
        </w:rPr>
        <w:t>1、</w:t>
      </w:r>
      <w:r>
        <w:rPr>
          <w:rFonts w:hint="eastAsia" w:ascii="宋体" w:hAnsi="宋体" w:eastAsia="宋体" w:cs="宋体"/>
          <w:color w:val="auto"/>
          <w:szCs w:val="21"/>
          <w:u w:val="single"/>
        </w:rPr>
        <w:t xml:space="preserve">（标的名称） </w:t>
      </w:r>
      <w:r>
        <w:rPr>
          <w:rFonts w:hint="eastAsia" w:ascii="宋体" w:hAnsi="宋体" w:eastAsia="宋体" w:cs="宋体"/>
          <w:color w:val="auto"/>
          <w:szCs w:val="21"/>
        </w:rPr>
        <w:t>，属于</w:t>
      </w:r>
      <w:r>
        <w:rPr>
          <w:rFonts w:hint="eastAsia" w:ascii="宋体" w:hAnsi="宋体" w:eastAsia="宋体" w:cs="宋体"/>
          <w:color w:val="auto"/>
          <w:szCs w:val="21"/>
          <w:u w:val="single"/>
        </w:rPr>
        <w:t>（采购文件中明确的所属行业）</w:t>
      </w:r>
      <w:r>
        <w:rPr>
          <w:rFonts w:hint="eastAsia" w:ascii="宋体" w:hAnsi="宋体" w:eastAsia="宋体" w:cs="宋体"/>
          <w:color w:val="auto"/>
          <w:szCs w:val="21"/>
        </w:rPr>
        <w:t>；承接企业为</w:t>
      </w:r>
      <w:r>
        <w:rPr>
          <w:rFonts w:hint="eastAsia" w:ascii="宋体" w:hAnsi="宋体" w:eastAsia="宋体" w:cs="宋体"/>
          <w:color w:val="auto"/>
          <w:szCs w:val="21"/>
          <w:u w:val="single"/>
        </w:rPr>
        <w:t>（企业名称）</w:t>
      </w:r>
      <w:r>
        <w:rPr>
          <w:rFonts w:hint="eastAsia" w:ascii="宋体" w:hAnsi="宋体" w:eastAsia="宋体" w:cs="宋体"/>
          <w:color w:val="auto"/>
          <w:szCs w:val="21"/>
        </w:rPr>
        <w:t>，从业人员人，营业收入为万元，资产总额为万元，属于（中型企业、小型企业、微型企业）。</w:t>
      </w:r>
    </w:p>
    <w:p w14:paraId="6DC8051F">
      <w:pPr>
        <w:widowControl/>
        <w:autoSpaceDE w:val="0"/>
        <w:spacing w:line="360" w:lineRule="auto"/>
        <w:jc w:val="left"/>
        <w:rPr>
          <w:rFonts w:ascii="宋体" w:hAnsi="宋体" w:eastAsia="宋体" w:cs="宋体"/>
          <w:color w:val="auto"/>
          <w:szCs w:val="21"/>
        </w:rPr>
      </w:pPr>
    </w:p>
    <w:p w14:paraId="044E4FFE">
      <w:pPr>
        <w:widowControl/>
        <w:autoSpaceDE w:val="0"/>
        <w:spacing w:line="360" w:lineRule="auto"/>
        <w:ind w:firstLine="630" w:firstLineChars="300"/>
        <w:jc w:val="left"/>
        <w:rPr>
          <w:rFonts w:ascii="宋体" w:hAnsi="宋体" w:eastAsia="宋体" w:cs="宋体"/>
          <w:color w:val="auto"/>
          <w:szCs w:val="21"/>
        </w:rPr>
      </w:pPr>
      <w:r>
        <w:rPr>
          <w:rFonts w:hint="eastAsia" w:ascii="宋体" w:hAnsi="宋体" w:eastAsia="宋体" w:cs="宋体"/>
          <w:color w:val="auto"/>
          <w:szCs w:val="21"/>
        </w:rPr>
        <w:t xml:space="preserve">以上企业，不属于大企业的分支机构，不存在控股股东为大企业的情形，也不存在与大企业的负责人为同一人的情形。 </w:t>
      </w:r>
    </w:p>
    <w:p w14:paraId="041AB2A0">
      <w:pPr>
        <w:spacing w:after="120" w:line="360" w:lineRule="auto"/>
        <w:rPr>
          <w:rFonts w:ascii="Calibri" w:hAnsi="Calibri" w:eastAsia="宋体" w:cs="Times New Roman"/>
          <w:color w:val="auto"/>
          <w:szCs w:val="21"/>
        </w:rPr>
      </w:pPr>
      <w:r>
        <w:rPr>
          <w:rFonts w:hint="eastAsia" w:ascii="Calibri" w:hAnsi="Calibri" w:eastAsia="宋体" w:cs="Times New Roman"/>
          <w:color w:val="auto"/>
          <w:szCs w:val="21"/>
        </w:rPr>
        <w:t>本企业对上述声明内容的真实性负责。如有虚假，将依法承担相应责任。</w:t>
      </w:r>
    </w:p>
    <w:p w14:paraId="7B785A5F">
      <w:pPr>
        <w:widowControl/>
        <w:autoSpaceDE w:val="0"/>
        <w:spacing w:line="400" w:lineRule="exact"/>
        <w:jc w:val="left"/>
        <w:rPr>
          <w:rFonts w:ascii="宋体" w:hAnsi="宋体" w:eastAsia="宋体" w:cs="宋体"/>
          <w:color w:val="auto"/>
          <w:szCs w:val="21"/>
          <w:highlight w:val="yellow"/>
        </w:rPr>
      </w:pPr>
    </w:p>
    <w:p w14:paraId="52213F9E">
      <w:pPr>
        <w:widowControl/>
        <w:autoSpaceDE w:val="0"/>
        <w:spacing w:line="400" w:lineRule="exact"/>
        <w:jc w:val="left"/>
        <w:rPr>
          <w:rFonts w:ascii="宋体" w:hAnsi="宋体" w:eastAsia="宋体" w:cs="宋体"/>
          <w:color w:val="auto"/>
          <w:szCs w:val="21"/>
          <w:highlight w:val="yellow"/>
        </w:rPr>
      </w:pPr>
    </w:p>
    <w:p w14:paraId="2EEA80AD">
      <w:pPr>
        <w:widowControl/>
        <w:autoSpaceDE w:val="0"/>
        <w:spacing w:line="400" w:lineRule="exact"/>
        <w:jc w:val="left"/>
        <w:rPr>
          <w:rFonts w:ascii="宋体" w:hAnsi="宋体" w:eastAsia="宋体" w:cs="宋体"/>
          <w:color w:val="auto"/>
          <w:szCs w:val="21"/>
        </w:rPr>
      </w:pPr>
      <w:r>
        <w:rPr>
          <w:rFonts w:hint="eastAsia" w:ascii="宋体" w:hAnsi="宋体" w:eastAsia="宋体" w:cs="宋体"/>
          <w:color w:val="auto"/>
          <w:szCs w:val="21"/>
        </w:rPr>
        <w:t>注：1、“企业类型”请如实选择填写：中型、小型、微型。</w:t>
      </w:r>
    </w:p>
    <w:p w14:paraId="2A3ED707">
      <w:pPr>
        <w:pStyle w:val="2"/>
        <w:ind w:firstLineChars="200"/>
        <w:rPr>
          <w:color w:val="auto"/>
          <w:sz w:val="21"/>
          <w:szCs w:val="21"/>
        </w:rPr>
      </w:pPr>
      <w:r>
        <w:rPr>
          <w:rFonts w:hint="eastAsia" w:hAnsi="宋体" w:cs="宋体"/>
          <w:color w:val="auto"/>
          <w:kern w:val="2"/>
          <w:sz w:val="21"/>
          <w:szCs w:val="21"/>
        </w:rPr>
        <w:t>2、从业人员、营业收入、资产总额填报上一年度数据，无上一年度数据的新成立企业可不填报。</w:t>
      </w:r>
    </w:p>
    <w:p w14:paraId="41616C16">
      <w:pPr>
        <w:widowControl/>
        <w:spacing w:line="400" w:lineRule="exact"/>
        <w:ind w:firstLine="2100" w:firstLineChars="1000"/>
        <w:jc w:val="left"/>
        <w:rPr>
          <w:rFonts w:ascii="宋体" w:hAnsi="宋体" w:eastAsia="宋体" w:cs="宋体"/>
          <w:color w:val="auto"/>
          <w:szCs w:val="21"/>
        </w:rPr>
      </w:pPr>
    </w:p>
    <w:p w14:paraId="1376BD6D">
      <w:pPr>
        <w:widowControl/>
        <w:spacing w:line="400" w:lineRule="exact"/>
        <w:rPr>
          <w:rFonts w:ascii="宋体" w:hAnsi="宋体" w:eastAsia="宋体" w:cs="宋体"/>
          <w:color w:val="auto"/>
          <w:szCs w:val="21"/>
        </w:rPr>
      </w:pPr>
      <w:r>
        <w:rPr>
          <w:rFonts w:hint="eastAsia" w:ascii="宋体" w:hAnsi="宋体" w:eastAsia="宋体" w:cs="宋体"/>
          <w:color w:val="auto"/>
          <w:szCs w:val="21"/>
        </w:rPr>
        <w:t xml:space="preserve">                    供应商：（全称并加盖公章）</w:t>
      </w:r>
    </w:p>
    <w:p w14:paraId="3B3A3700">
      <w:pPr>
        <w:widowControl/>
        <w:spacing w:line="400" w:lineRule="exact"/>
        <w:ind w:firstLine="4410" w:firstLineChars="2100"/>
        <w:jc w:val="left"/>
        <w:rPr>
          <w:rFonts w:ascii="宋体" w:hAnsi="宋体" w:eastAsia="宋体" w:cs="宋体"/>
          <w:color w:val="auto"/>
          <w:szCs w:val="21"/>
        </w:rPr>
      </w:pPr>
      <w:r>
        <w:rPr>
          <w:rFonts w:hint="eastAsia" w:ascii="宋体" w:hAnsi="宋体" w:eastAsia="宋体" w:cs="宋体"/>
          <w:color w:val="auto"/>
          <w:szCs w:val="21"/>
        </w:rPr>
        <w:t xml:space="preserve">         年  月  日</w:t>
      </w:r>
    </w:p>
    <w:p w14:paraId="58C22261">
      <w:pPr>
        <w:pStyle w:val="6"/>
        <w:ind w:left="0" w:leftChars="0" w:firstLine="0" w:firstLineChars="0"/>
        <w:rPr>
          <w:rFonts w:hint="default"/>
          <w:color w:val="auto"/>
          <w:lang w:eastAsia="zh-CN"/>
        </w:rPr>
      </w:pPr>
    </w:p>
    <w:p w14:paraId="423EB374">
      <w:pPr>
        <w:rPr>
          <w:color w:val="auto"/>
        </w:rPr>
      </w:pPr>
    </w:p>
    <w:p w14:paraId="5FCF9930">
      <w:pPr>
        <w:pStyle w:val="2"/>
        <w:ind w:firstLine="340"/>
        <w:rPr>
          <w:color w:val="auto"/>
        </w:rPr>
      </w:pPr>
    </w:p>
    <w:p w14:paraId="51C312FD">
      <w:pPr>
        <w:pStyle w:val="6"/>
        <w:ind w:left="420" w:firstLine="480"/>
        <w:rPr>
          <w:rFonts w:hint="default"/>
          <w:color w:val="auto"/>
          <w:lang w:eastAsia="zh-CN"/>
        </w:rPr>
      </w:pPr>
    </w:p>
    <w:p w14:paraId="7A01BBDA">
      <w:pPr>
        <w:rPr>
          <w:color w:val="auto"/>
        </w:rPr>
      </w:pPr>
    </w:p>
    <w:p w14:paraId="390B1F61">
      <w:pPr>
        <w:pStyle w:val="2"/>
        <w:ind w:firstLine="340"/>
        <w:rPr>
          <w:color w:val="auto"/>
        </w:rPr>
      </w:pPr>
    </w:p>
    <w:p w14:paraId="7E3800EB">
      <w:pPr>
        <w:pStyle w:val="6"/>
        <w:ind w:left="420" w:firstLine="480"/>
        <w:rPr>
          <w:rFonts w:hint="default"/>
          <w:color w:val="auto"/>
          <w:lang w:eastAsia="zh-CN"/>
        </w:rPr>
      </w:pPr>
    </w:p>
    <w:p w14:paraId="08F2DC1F">
      <w:pPr>
        <w:rPr>
          <w:color w:val="auto"/>
        </w:rPr>
      </w:pPr>
    </w:p>
    <w:p w14:paraId="5ECD2E46">
      <w:pPr>
        <w:autoSpaceDE w:val="0"/>
        <w:autoSpaceDN w:val="0"/>
        <w:adjustRightInd w:val="0"/>
        <w:spacing w:line="360" w:lineRule="auto"/>
        <w:jc w:val="center"/>
        <w:outlineLvl w:val="0"/>
        <w:rPr>
          <w:rFonts w:ascii="宋体" w:hAnsi="宋体" w:eastAsia="宋体" w:cs="Times New Roman"/>
          <w:b/>
          <w:bCs/>
          <w:color w:val="auto"/>
          <w:sz w:val="28"/>
          <w:szCs w:val="28"/>
        </w:rPr>
      </w:pPr>
      <w:r>
        <w:rPr>
          <w:rFonts w:hint="eastAsia" w:ascii="宋体" w:hAnsi="宋体" w:eastAsia="宋体" w:cs="Times New Roman"/>
          <w:b/>
          <w:bCs/>
          <w:color w:val="auto"/>
          <w:sz w:val="24"/>
          <w:szCs w:val="24"/>
        </w:rPr>
        <w:t>3.</w:t>
      </w:r>
      <w:r>
        <w:rPr>
          <w:rFonts w:ascii="宋体" w:hAnsi="宋体" w:eastAsia="宋体" w:cs="Times New Roman"/>
          <w:b/>
          <w:bCs/>
          <w:color w:val="auto"/>
          <w:sz w:val="24"/>
          <w:szCs w:val="24"/>
        </w:rPr>
        <w:t>7</w:t>
      </w:r>
      <w:r>
        <w:rPr>
          <w:rFonts w:hint="eastAsia" w:ascii="宋体" w:hAnsi="宋体" w:eastAsia="宋体" w:cs="Times New Roman"/>
          <w:b/>
          <w:bCs/>
          <w:color w:val="auto"/>
          <w:sz w:val="24"/>
          <w:szCs w:val="24"/>
        </w:rPr>
        <w:t xml:space="preserve"> 残疾人福利性单位声明函</w:t>
      </w:r>
    </w:p>
    <w:p w14:paraId="539BABA1">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7C444FE">
      <w:pPr>
        <w:spacing w:line="360" w:lineRule="auto"/>
        <w:ind w:firstLine="420" w:firstLineChars="200"/>
        <w:rPr>
          <w:rFonts w:ascii="宋体" w:hAnsi="Calibri" w:eastAsia="宋体" w:cs="Times New Roman"/>
          <w:color w:val="auto"/>
          <w:szCs w:val="21"/>
        </w:rPr>
      </w:pPr>
      <w:r>
        <w:rPr>
          <w:rFonts w:hint="eastAsia" w:ascii="宋体" w:hAnsi="宋体" w:eastAsia="宋体" w:cs="Times New Roman"/>
          <w:color w:val="auto"/>
          <w:szCs w:val="21"/>
        </w:rPr>
        <w:t>本单位对上述声明的真实性负责。如有虚假，将依法承担相应责任。</w:t>
      </w:r>
    </w:p>
    <w:p w14:paraId="0C88495A">
      <w:pPr>
        <w:spacing w:line="360" w:lineRule="auto"/>
        <w:rPr>
          <w:rFonts w:ascii="宋体" w:hAnsi="Calibri" w:eastAsia="宋体" w:cs="Times New Roman"/>
          <w:color w:val="auto"/>
          <w:szCs w:val="21"/>
        </w:rPr>
      </w:pPr>
    </w:p>
    <w:p w14:paraId="482DD654">
      <w:pPr>
        <w:spacing w:line="360" w:lineRule="auto"/>
        <w:ind w:firstLine="3780" w:firstLineChars="1800"/>
        <w:rPr>
          <w:rFonts w:ascii="宋体" w:hAnsi="Calibri" w:eastAsia="宋体" w:cs="Times New Roman"/>
          <w:color w:val="auto"/>
          <w:szCs w:val="21"/>
        </w:rPr>
      </w:pPr>
      <w:r>
        <w:rPr>
          <w:rFonts w:hint="eastAsia" w:ascii="宋体" w:hAnsi="宋体" w:eastAsia="宋体" w:cs="宋体"/>
          <w:color w:val="auto"/>
          <w:szCs w:val="21"/>
          <w:lang w:val="zh-CN"/>
        </w:rPr>
        <w:t>单位名称（盖章）：</w:t>
      </w:r>
    </w:p>
    <w:p w14:paraId="53FCC18F">
      <w:pPr>
        <w:spacing w:line="360" w:lineRule="auto"/>
        <w:rPr>
          <w:rFonts w:ascii="宋体" w:hAnsi="Calibri" w:eastAsia="宋体" w:cs="Times New Roman"/>
          <w:color w:val="auto"/>
          <w:szCs w:val="21"/>
        </w:rPr>
      </w:pPr>
      <w:r>
        <w:rPr>
          <w:rFonts w:hint="eastAsia" w:ascii="宋体" w:hAnsi="宋体" w:eastAsia="宋体" w:cs="Times New Roman"/>
          <w:color w:val="auto"/>
          <w:szCs w:val="21"/>
        </w:rPr>
        <w:t xml:space="preserve">                                    日    期：      </w:t>
      </w:r>
      <w:r>
        <w:rPr>
          <w:rFonts w:hint="eastAsia" w:ascii="宋体" w:hAnsi="宋体" w:eastAsia="宋体" w:cs="宋体"/>
          <w:color w:val="auto"/>
          <w:szCs w:val="21"/>
        </w:rPr>
        <w:t>年    月    日</w:t>
      </w:r>
    </w:p>
    <w:p w14:paraId="5E455934">
      <w:pPr>
        <w:autoSpaceDE w:val="0"/>
        <w:autoSpaceDN w:val="0"/>
        <w:adjustRightInd w:val="0"/>
        <w:spacing w:line="360" w:lineRule="auto"/>
        <w:jc w:val="center"/>
        <w:outlineLvl w:val="0"/>
        <w:rPr>
          <w:rFonts w:ascii="宋体" w:hAnsi="宋体"/>
          <w:b/>
          <w:bCs/>
          <w:color w:val="auto"/>
          <w:sz w:val="24"/>
          <w:szCs w:val="24"/>
        </w:rPr>
      </w:pPr>
    </w:p>
    <w:p w14:paraId="0EE55EFA">
      <w:pPr>
        <w:pStyle w:val="39"/>
        <w:rPr>
          <w:rFonts w:ascii="宋体" w:hAnsi="宋体"/>
          <w:b/>
          <w:bCs/>
          <w:color w:val="auto"/>
          <w:sz w:val="24"/>
        </w:rPr>
      </w:pPr>
    </w:p>
    <w:p w14:paraId="333920DF">
      <w:pPr>
        <w:spacing w:line="360" w:lineRule="auto"/>
        <w:jc w:val="center"/>
        <w:rPr>
          <w:rFonts w:ascii="宋体" w:hAnsi="宋体"/>
          <w:b/>
          <w:bCs/>
          <w:color w:val="auto"/>
          <w:sz w:val="24"/>
          <w:szCs w:val="24"/>
        </w:rPr>
      </w:pPr>
      <w:r>
        <w:rPr>
          <w:rFonts w:hint="eastAsia" w:ascii="宋体" w:hAnsi="宋体"/>
          <w:b/>
          <w:bCs/>
          <w:color w:val="auto"/>
          <w:sz w:val="24"/>
          <w:szCs w:val="24"/>
        </w:rPr>
        <w:t>3.8 投标人提供与参加本项目投标的其他供应商之间，单位负责人不为同一人并且不存在直接控股、管理关系承诺函</w:t>
      </w:r>
    </w:p>
    <w:p w14:paraId="62280AA1">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14:paraId="43926973">
      <w:pPr>
        <w:autoSpaceDE w:val="0"/>
        <w:autoSpaceDN w:val="0"/>
        <w:adjustRightInd w:val="0"/>
        <w:spacing w:line="360" w:lineRule="auto"/>
        <w:jc w:val="center"/>
        <w:outlineLvl w:val="0"/>
        <w:rPr>
          <w:rFonts w:ascii="宋体" w:hAnsi="宋体"/>
          <w:b/>
          <w:bCs/>
          <w:color w:val="auto"/>
          <w:sz w:val="24"/>
          <w:szCs w:val="24"/>
        </w:rPr>
      </w:pPr>
    </w:p>
    <w:p w14:paraId="4A7F7A33">
      <w:pPr>
        <w:autoSpaceDE w:val="0"/>
        <w:autoSpaceDN w:val="0"/>
        <w:adjustRightInd w:val="0"/>
        <w:spacing w:line="360" w:lineRule="auto"/>
        <w:jc w:val="center"/>
        <w:rPr>
          <w:rFonts w:ascii="宋体" w:hAnsi="宋体" w:cs="宋体"/>
          <w:color w:val="auto"/>
          <w:sz w:val="24"/>
          <w:szCs w:val="24"/>
          <w:lang w:val="zh-CN"/>
        </w:rPr>
      </w:pPr>
    </w:p>
    <w:p w14:paraId="2069304C">
      <w:pPr>
        <w:autoSpaceDE w:val="0"/>
        <w:autoSpaceDN w:val="0"/>
        <w:adjustRightInd w:val="0"/>
        <w:spacing w:line="360" w:lineRule="auto"/>
        <w:jc w:val="center"/>
        <w:rPr>
          <w:rFonts w:ascii="宋体" w:hAnsi="宋体" w:cs="宋体"/>
          <w:color w:val="auto"/>
          <w:sz w:val="24"/>
          <w:szCs w:val="24"/>
          <w:lang w:val="zh-CN"/>
        </w:rPr>
      </w:pPr>
    </w:p>
    <w:p w14:paraId="7E4B6433">
      <w:pPr>
        <w:autoSpaceDE w:val="0"/>
        <w:autoSpaceDN w:val="0"/>
        <w:adjustRightInd w:val="0"/>
        <w:spacing w:line="360" w:lineRule="auto"/>
        <w:jc w:val="center"/>
        <w:rPr>
          <w:rFonts w:ascii="宋体" w:hAnsi="宋体" w:cs="宋体"/>
          <w:color w:val="auto"/>
          <w:sz w:val="24"/>
          <w:szCs w:val="24"/>
          <w:lang w:val="zh-CN"/>
        </w:rPr>
      </w:pPr>
    </w:p>
    <w:p w14:paraId="11102164">
      <w:pPr>
        <w:spacing w:line="360" w:lineRule="auto"/>
        <w:jc w:val="center"/>
        <w:rPr>
          <w:rFonts w:ascii="宋体" w:hAnsi="宋体"/>
          <w:b/>
          <w:bCs/>
          <w:color w:val="auto"/>
          <w:sz w:val="24"/>
          <w:szCs w:val="24"/>
        </w:rPr>
      </w:pPr>
      <w:r>
        <w:rPr>
          <w:rFonts w:hint="eastAsia" w:ascii="宋体" w:hAnsi="宋体"/>
          <w:b/>
          <w:bCs/>
          <w:color w:val="auto"/>
          <w:sz w:val="24"/>
          <w:szCs w:val="24"/>
        </w:rPr>
        <w:t>3.9投标人提供未为本项目提供整体设计、规范编制或者项目管理、监理、检测等服务承诺函</w:t>
      </w:r>
    </w:p>
    <w:p w14:paraId="0B398EF7">
      <w:pPr>
        <w:spacing w:line="360" w:lineRule="auto"/>
        <w:jc w:val="center"/>
        <w:rPr>
          <w:rFonts w:ascii="宋体" w:hAnsi="宋体"/>
          <w:bCs/>
          <w:color w:val="auto"/>
          <w:sz w:val="24"/>
          <w:szCs w:val="24"/>
        </w:rPr>
      </w:pPr>
      <w:r>
        <w:rPr>
          <w:rFonts w:hint="eastAsia" w:ascii="宋体" w:hAnsi="宋体"/>
          <w:bCs/>
          <w:color w:val="auto"/>
          <w:sz w:val="24"/>
          <w:szCs w:val="24"/>
        </w:rPr>
        <w:t>（承诺函格式自拟）</w:t>
      </w:r>
    </w:p>
    <w:p w14:paraId="7608F72B">
      <w:pPr>
        <w:autoSpaceDE w:val="0"/>
        <w:autoSpaceDN w:val="0"/>
        <w:adjustRightInd w:val="0"/>
        <w:spacing w:line="360" w:lineRule="auto"/>
        <w:jc w:val="center"/>
        <w:outlineLvl w:val="0"/>
        <w:rPr>
          <w:rFonts w:ascii="宋体" w:hAnsi="宋体"/>
          <w:b/>
          <w:bCs/>
          <w:color w:val="auto"/>
          <w:sz w:val="24"/>
          <w:szCs w:val="24"/>
        </w:rPr>
      </w:pPr>
    </w:p>
    <w:p w14:paraId="6C766D97">
      <w:pPr>
        <w:pStyle w:val="36"/>
        <w:rPr>
          <w:color w:val="auto"/>
          <w:lang w:val="zh-CN"/>
        </w:rPr>
      </w:pPr>
    </w:p>
    <w:p w14:paraId="76C2F6C5">
      <w:pPr>
        <w:pStyle w:val="37"/>
        <w:rPr>
          <w:color w:val="auto"/>
          <w:lang w:val="zh-CN"/>
        </w:rPr>
      </w:pPr>
    </w:p>
    <w:p w14:paraId="06D3E3E6">
      <w:pPr>
        <w:rPr>
          <w:color w:val="auto"/>
          <w:lang w:val="zh-CN"/>
        </w:rPr>
      </w:pPr>
    </w:p>
    <w:p w14:paraId="54759C7D">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3.10其他资格证书或材料</w:t>
      </w:r>
    </w:p>
    <w:p w14:paraId="6625C5F3">
      <w:pPr>
        <w:autoSpaceDE w:val="0"/>
        <w:autoSpaceDN w:val="0"/>
        <w:adjustRightInd w:val="0"/>
        <w:spacing w:line="360" w:lineRule="auto"/>
        <w:rPr>
          <w:rFonts w:cs="黑体" w:asciiTheme="minorEastAsia" w:hAnsiTheme="minorEastAsia"/>
          <w:b/>
          <w:bCs/>
          <w:color w:val="auto"/>
          <w:sz w:val="28"/>
          <w:szCs w:val="28"/>
          <w:lang w:val="zh-CN"/>
        </w:rPr>
      </w:pPr>
    </w:p>
    <w:p w14:paraId="1EBFE833">
      <w:pPr>
        <w:autoSpaceDE w:val="0"/>
        <w:autoSpaceDN w:val="0"/>
        <w:adjustRightInd w:val="0"/>
        <w:spacing w:line="360" w:lineRule="auto"/>
        <w:jc w:val="center"/>
        <w:rPr>
          <w:rFonts w:cs="黑体" w:asciiTheme="minorEastAsia" w:hAnsiTheme="minorEastAsia"/>
          <w:b/>
          <w:bCs/>
          <w:color w:val="auto"/>
          <w:sz w:val="28"/>
          <w:szCs w:val="28"/>
          <w:lang w:val="zh-CN"/>
        </w:rPr>
      </w:pPr>
    </w:p>
    <w:p w14:paraId="28F6A352">
      <w:pPr>
        <w:pStyle w:val="2"/>
        <w:ind w:firstLine="281"/>
        <w:rPr>
          <w:rFonts w:cs="黑体" w:asciiTheme="minorEastAsia" w:hAnsiTheme="minorEastAsia"/>
          <w:b/>
          <w:bCs/>
          <w:color w:val="auto"/>
          <w:sz w:val="28"/>
          <w:szCs w:val="28"/>
          <w:lang w:val="zh-CN"/>
        </w:rPr>
      </w:pPr>
    </w:p>
    <w:bookmarkEnd w:id="65"/>
    <w:p w14:paraId="576654C7">
      <w:pPr>
        <w:autoSpaceDE w:val="0"/>
        <w:autoSpaceDN w:val="0"/>
        <w:adjustRightInd w:val="0"/>
        <w:spacing w:line="360" w:lineRule="auto"/>
        <w:jc w:val="center"/>
        <w:outlineLvl w:val="0"/>
        <w:rPr>
          <w:rFonts w:cs="黑体" w:asciiTheme="minorEastAsia" w:hAnsiTheme="minorEastAsia"/>
          <w:b/>
          <w:bCs/>
          <w:color w:val="auto"/>
          <w:sz w:val="28"/>
          <w:szCs w:val="28"/>
        </w:rPr>
      </w:pPr>
      <w:bookmarkStart w:id="66" w:name="_Hlk61874645"/>
      <w:r>
        <w:rPr>
          <w:rFonts w:hint="eastAsia" w:cs="黑体" w:asciiTheme="minorEastAsia" w:hAnsiTheme="minorEastAsia"/>
          <w:b/>
          <w:bCs/>
          <w:color w:val="auto"/>
          <w:sz w:val="28"/>
          <w:szCs w:val="28"/>
          <w:lang w:val="zh-CN"/>
        </w:rPr>
        <w:t>四、响应文件审查相关材料</w:t>
      </w:r>
    </w:p>
    <w:p w14:paraId="331FF765">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4.1分项报价表（格式自拟）</w:t>
      </w:r>
    </w:p>
    <w:p w14:paraId="1D4FDDEE">
      <w:pPr>
        <w:autoSpaceDE w:val="0"/>
        <w:autoSpaceDN w:val="0"/>
        <w:adjustRightInd w:val="0"/>
        <w:spacing w:line="360" w:lineRule="auto"/>
        <w:outlineLvl w:val="0"/>
        <w:rPr>
          <w:rFonts w:hAnsi="宋体" w:eastAsia="宋体"/>
          <w:b/>
          <w:snapToGrid w:val="0"/>
          <w:color w:val="auto"/>
          <w:kern w:val="0"/>
          <w:szCs w:val="21"/>
        </w:rPr>
      </w:pPr>
    </w:p>
    <w:p w14:paraId="662873AD">
      <w:pPr>
        <w:autoSpaceDE w:val="0"/>
        <w:autoSpaceDN w:val="0"/>
        <w:adjustRightInd w:val="0"/>
        <w:spacing w:line="480" w:lineRule="auto"/>
        <w:rPr>
          <w:rFonts w:cs="宋体" w:asciiTheme="minorEastAsia" w:hAnsiTheme="minorEastAsia"/>
          <w:color w:val="auto"/>
          <w:szCs w:val="21"/>
          <w:lang w:val="zh-CN"/>
        </w:rPr>
      </w:pPr>
    </w:p>
    <w:p w14:paraId="33A0CFFA">
      <w:pPr>
        <w:rPr>
          <w:color w:val="auto"/>
          <w:lang w:val="zh-CN"/>
        </w:rPr>
      </w:pPr>
    </w:p>
    <w:p w14:paraId="75D72488">
      <w:pPr>
        <w:pStyle w:val="2"/>
        <w:ind w:firstLine="340"/>
        <w:rPr>
          <w:color w:val="auto"/>
          <w:lang w:val="zh-CN"/>
        </w:rPr>
      </w:pPr>
    </w:p>
    <w:p w14:paraId="3B7CC184">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w:t>
      </w:r>
    </w:p>
    <w:p w14:paraId="3A72D961">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14:paraId="61AF03C9">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8697" w:type="dxa"/>
        <w:tblInd w:w="0" w:type="dxa"/>
        <w:tblLayout w:type="fixed"/>
        <w:tblCellMar>
          <w:top w:w="0" w:type="dxa"/>
          <w:left w:w="108" w:type="dxa"/>
          <w:bottom w:w="0" w:type="dxa"/>
          <w:right w:w="108" w:type="dxa"/>
        </w:tblCellMar>
      </w:tblPr>
      <w:tblGrid>
        <w:gridCol w:w="729"/>
        <w:gridCol w:w="1533"/>
        <w:gridCol w:w="1685"/>
        <w:gridCol w:w="1532"/>
        <w:gridCol w:w="1686"/>
        <w:gridCol w:w="1532"/>
      </w:tblGrid>
      <w:tr w14:paraId="2DA275B2">
        <w:tblPrEx>
          <w:tblCellMar>
            <w:top w:w="0" w:type="dxa"/>
            <w:left w:w="108" w:type="dxa"/>
            <w:bottom w:w="0" w:type="dxa"/>
            <w:right w:w="108" w:type="dxa"/>
          </w:tblCellMar>
        </w:tblPrEx>
        <w:trPr>
          <w:trHeight w:val="936" w:hRule="atLeast"/>
        </w:trPr>
        <w:tc>
          <w:tcPr>
            <w:tcW w:w="72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10701D9">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5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300A52A">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服务</w:t>
            </w:r>
          </w:p>
          <w:p w14:paraId="0AE4FCE3">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C7D4F3">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谈判文件</w:t>
            </w:r>
          </w:p>
          <w:p w14:paraId="50529118">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53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9516A">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响应文件</w:t>
            </w:r>
          </w:p>
          <w:p w14:paraId="086D6750">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68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3AA386C">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14:paraId="032D5A29">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53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F28C783">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14:paraId="1568D062">
            <w:pPr>
              <w:pStyle w:val="14"/>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14:paraId="5043292F">
        <w:tblPrEx>
          <w:tblCellMar>
            <w:top w:w="0" w:type="dxa"/>
            <w:left w:w="108" w:type="dxa"/>
            <w:bottom w:w="0" w:type="dxa"/>
            <w:right w:w="108" w:type="dxa"/>
          </w:tblCellMar>
        </w:tblPrEx>
        <w:trPr>
          <w:trHeight w:val="852" w:hRule="atLeast"/>
        </w:trPr>
        <w:tc>
          <w:tcPr>
            <w:tcW w:w="729" w:type="dxa"/>
            <w:tcBorders>
              <w:top w:val="single" w:color="auto" w:sz="6" w:space="0"/>
              <w:left w:val="single" w:color="auto" w:sz="6" w:space="0"/>
              <w:bottom w:val="single" w:color="auto" w:sz="6" w:space="0"/>
              <w:right w:val="single" w:color="auto" w:sz="6" w:space="0"/>
            </w:tcBorders>
            <w:vAlign w:val="center"/>
          </w:tcPr>
          <w:p w14:paraId="7F0709C6">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533" w:type="dxa"/>
            <w:tcBorders>
              <w:top w:val="single" w:color="auto" w:sz="6" w:space="0"/>
              <w:left w:val="single" w:color="auto" w:sz="6" w:space="0"/>
              <w:bottom w:val="single" w:color="auto" w:sz="6" w:space="0"/>
              <w:right w:val="single" w:color="auto" w:sz="6" w:space="0"/>
            </w:tcBorders>
          </w:tcPr>
          <w:p w14:paraId="21DA60E7">
            <w:pPr>
              <w:autoSpaceDE w:val="0"/>
              <w:autoSpaceDN w:val="0"/>
              <w:adjustRightInd w:val="0"/>
              <w:spacing w:line="480" w:lineRule="exact"/>
              <w:rPr>
                <w:rFonts w:asciiTheme="minorEastAsia" w:hAnsiTheme="minorEastAsia"/>
                <w:b/>
                <w:bCs/>
                <w:color w:val="auto"/>
                <w:szCs w:val="21"/>
              </w:rPr>
            </w:pPr>
          </w:p>
        </w:tc>
        <w:tc>
          <w:tcPr>
            <w:tcW w:w="1685" w:type="dxa"/>
            <w:tcBorders>
              <w:top w:val="single" w:color="auto" w:sz="6" w:space="0"/>
              <w:left w:val="single" w:color="auto" w:sz="6" w:space="0"/>
              <w:bottom w:val="single" w:color="auto" w:sz="6" w:space="0"/>
              <w:right w:val="single" w:color="auto" w:sz="6" w:space="0"/>
            </w:tcBorders>
          </w:tcPr>
          <w:p w14:paraId="78DCAD1D">
            <w:pPr>
              <w:autoSpaceDE w:val="0"/>
              <w:autoSpaceDN w:val="0"/>
              <w:adjustRightInd w:val="0"/>
              <w:spacing w:line="480" w:lineRule="exact"/>
              <w:rPr>
                <w:rFonts w:asciiTheme="minorEastAsia" w:hAnsiTheme="minorEastAsia"/>
                <w:b/>
                <w:bCs/>
                <w:color w:val="auto"/>
                <w:szCs w:val="21"/>
              </w:rPr>
            </w:pPr>
          </w:p>
        </w:tc>
        <w:tc>
          <w:tcPr>
            <w:tcW w:w="1532" w:type="dxa"/>
            <w:tcBorders>
              <w:top w:val="single" w:color="auto" w:sz="6" w:space="0"/>
              <w:left w:val="single" w:color="auto" w:sz="6" w:space="0"/>
              <w:bottom w:val="single" w:color="auto" w:sz="6" w:space="0"/>
              <w:right w:val="single" w:color="auto" w:sz="6" w:space="0"/>
            </w:tcBorders>
          </w:tcPr>
          <w:p w14:paraId="75B2E88C">
            <w:pPr>
              <w:autoSpaceDE w:val="0"/>
              <w:autoSpaceDN w:val="0"/>
              <w:adjustRightInd w:val="0"/>
              <w:spacing w:line="480" w:lineRule="exact"/>
              <w:rPr>
                <w:rFonts w:asciiTheme="minorEastAsia" w:hAnsiTheme="minorEastAsia"/>
                <w:b/>
                <w:bCs/>
                <w:color w:val="auto"/>
                <w:szCs w:val="21"/>
              </w:rPr>
            </w:pPr>
          </w:p>
        </w:tc>
        <w:tc>
          <w:tcPr>
            <w:tcW w:w="1686" w:type="dxa"/>
            <w:tcBorders>
              <w:top w:val="single" w:color="auto" w:sz="6" w:space="0"/>
              <w:left w:val="single" w:color="auto" w:sz="6" w:space="0"/>
              <w:bottom w:val="single" w:color="auto" w:sz="6" w:space="0"/>
              <w:right w:val="single" w:color="auto" w:sz="6" w:space="0"/>
            </w:tcBorders>
          </w:tcPr>
          <w:p w14:paraId="307C8C5D">
            <w:pPr>
              <w:autoSpaceDE w:val="0"/>
              <w:autoSpaceDN w:val="0"/>
              <w:adjustRightInd w:val="0"/>
              <w:spacing w:line="480" w:lineRule="exact"/>
              <w:rPr>
                <w:rFonts w:asciiTheme="minorEastAsia" w:hAnsiTheme="minorEastAsia"/>
                <w:b/>
                <w:bCs/>
                <w:color w:val="auto"/>
                <w:szCs w:val="21"/>
              </w:rPr>
            </w:pPr>
          </w:p>
        </w:tc>
        <w:tc>
          <w:tcPr>
            <w:tcW w:w="1532" w:type="dxa"/>
            <w:tcBorders>
              <w:top w:val="single" w:color="auto" w:sz="6" w:space="0"/>
              <w:left w:val="single" w:color="auto" w:sz="6" w:space="0"/>
              <w:bottom w:val="single" w:color="auto" w:sz="6" w:space="0"/>
              <w:right w:val="single" w:color="auto" w:sz="6" w:space="0"/>
            </w:tcBorders>
            <w:vAlign w:val="center"/>
          </w:tcPr>
          <w:p w14:paraId="5D8F1525">
            <w:pPr>
              <w:autoSpaceDE w:val="0"/>
              <w:autoSpaceDN w:val="0"/>
              <w:adjustRightInd w:val="0"/>
              <w:spacing w:line="480" w:lineRule="exact"/>
              <w:jc w:val="center"/>
              <w:rPr>
                <w:rFonts w:asciiTheme="minorEastAsia" w:hAnsiTheme="minorEastAsia"/>
                <w:b/>
                <w:bCs/>
                <w:color w:val="auto"/>
                <w:szCs w:val="21"/>
              </w:rPr>
            </w:pPr>
          </w:p>
        </w:tc>
      </w:tr>
      <w:tr w14:paraId="6FE01A5D">
        <w:tblPrEx>
          <w:tblCellMar>
            <w:top w:w="0" w:type="dxa"/>
            <w:left w:w="108" w:type="dxa"/>
            <w:bottom w:w="0" w:type="dxa"/>
            <w:right w:w="108" w:type="dxa"/>
          </w:tblCellMar>
        </w:tblPrEx>
        <w:trPr>
          <w:trHeight w:val="867" w:hRule="atLeast"/>
        </w:trPr>
        <w:tc>
          <w:tcPr>
            <w:tcW w:w="729" w:type="dxa"/>
            <w:tcBorders>
              <w:top w:val="single" w:color="auto" w:sz="6" w:space="0"/>
              <w:left w:val="single" w:color="auto" w:sz="6" w:space="0"/>
              <w:bottom w:val="single" w:color="auto" w:sz="6" w:space="0"/>
              <w:right w:val="single" w:color="auto" w:sz="6" w:space="0"/>
            </w:tcBorders>
            <w:vAlign w:val="center"/>
          </w:tcPr>
          <w:p w14:paraId="57AD5A6B">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533" w:type="dxa"/>
            <w:tcBorders>
              <w:top w:val="single" w:color="auto" w:sz="6" w:space="0"/>
              <w:left w:val="single" w:color="auto" w:sz="6" w:space="0"/>
              <w:bottom w:val="single" w:color="auto" w:sz="6" w:space="0"/>
              <w:right w:val="single" w:color="auto" w:sz="6" w:space="0"/>
            </w:tcBorders>
          </w:tcPr>
          <w:p w14:paraId="5B3E4706">
            <w:pPr>
              <w:autoSpaceDE w:val="0"/>
              <w:autoSpaceDN w:val="0"/>
              <w:adjustRightInd w:val="0"/>
              <w:spacing w:line="480" w:lineRule="exact"/>
              <w:rPr>
                <w:rFonts w:asciiTheme="minorEastAsia" w:hAnsiTheme="minorEastAsia"/>
                <w:b/>
                <w:bCs/>
                <w:color w:val="auto"/>
                <w:szCs w:val="21"/>
              </w:rPr>
            </w:pPr>
          </w:p>
        </w:tc>
        <w:tc>
          <w:tcPr>
            <w:tcW w:w="1685" w:type="dxa"/>
            <w:tcBorders>
              <w:top w:val="single" w:color="auto" w:sz="6" w:space="0"/>
              <w:left w:val="single" w:color="auto" w:sz="6" w:space="0"/>
              <w:bottom w:val="single" w:color="auto" w:sz="6" w:space="0"/>
              <w:right w:val="single" w:color="auto" w:sz="6" w:space="0"/>
            </w:tcBorders>
          </w:tcPr>
          <w:p w14:paraId="03457E5C">
            <w:pPr>
              <w:autoSpaceDE w:val="0"/>
              <w:autoSpaceDN w:val="0"/>
              <w:adjustRightInd w:val="0"/>
              <w:spacing w:line="480" w:lineRule="exact"/>
              <w:rPr>
                <w:rFonts w:asciiTheme="minorEastAsia" w:hAnsiTheme="minorEastAsia"/>
                <w:b/>
                <w:bCs/>
                <w:color w:val="auto"/>
                <w:szCs w:val="21"/>
              </w:rPr>
            </w:pPr>
          </w:p>
        </w:tc>
        <w:tc>
          <w:tcPr>
            <w:tcW w:w="1532" w:type="dxa"/>
            <w:tcBorders>
              <w:top w:val="single" w:color="auto" w:sz="6" w:space="0"/>
              <w:left w:val="single" w:color="auto" w:sz="6" w:space="0"/>
              <w:bottom w:val="single" w:color="auto" w:sz="6" w:space="0"/>
              <w:right w:val="single" w:color="auto" w:sz="6" w:space="0"/>
            </w:tcBorders>
          </w:tcPr>
          <w:p w14:paraId="22A862C4">
            <w:pPr>
              <w:autoSpaceDE w:val="0"/>
              <w:autoSpaceDN w:val="0"/>
              <w:adjustRightInd w:val="0"/>
              <w:spacing w:line="480" w:lineRule="exact"/>
              <w:rPr>
                <w:rFonts w:asciiTheme="minorEastAsia" w:hAnsiTheme="minorEastAsia"/>
                <w:b/>
                <w:bCs/>
                <w:color w:val="auto"/>
                <w:szCs w:val="21"/>
              </w:rPr>
            </w:pPr>
          </w:p>
        </w:tc>
        <w:tc>
          <w:tcPr>
            <w:tcW w:w="1686" w:type="dxa"/>
            <w:tcBorders>
              <w:top w:val="single" w:color="auto" w:sz="6" w:space="0"/>
              <w:left w:val="single" w:color="auto" w:sz="6" w:space="0"/>
              <w:bottom w:val="single" w:color="auto" w:sz="6" w:space="0"/>
              <w:right w:val="single" w:color="auto" w:sz="6" w:space="0"/>
            </w:tcBorders>
          </w:tcPr>
          <w:p w14:paraId="6A1FFE21">
            <w:pPr>
              <w:autoSpaceDE w:val="0"/>
              <w:autoSpaceDN w:val="0"/>
              <w:adjustRightInd w:val="0"/>
              <w:spacing w:line="480" w:lineRule="exact"/>
              <w:rPr>
                <w:rFonts w:asciiTheme="minorEastAsia" w:hAnsiTheme="minorEastAsia"/>
                <w:b/>
                <w:bCs/>
                <w:color w:val="auto"/>
                <w:szCs w:val="21"/>
              </w:rPr>
            </w:pPr>
          </w:p>
        </w:tc>
        <w:tc>
          <w:tcPr>
            <w:tcW w:w="1532" w:type="dxa"/>
            <w:tcBorders>
              <w:top w:val="single" w:color="auto" w:sz="6" w:space="0"/>
              <w:left w:val="single" w:color="auto" w:sz="6" w:space="0"/>
              <w:bottom w:val="single" w:color="auto" w:sz="6" w:space="0"/>
              <w:right w:val="single" w:color="auto" w:sz="6" w:space="0"/>
            </w:tcBorders>
            <w:vAlign w:val="center"/>
          </w:tcPr>
          <w:p w14:paraId="32F5C4C8">
            <w:pPr>
              <w:autoSpaceDE w:val="0"/>
              <w:autoSpaceDN w:val="0"/>
              <w:adjustRightInd w:val="0"/>
              <w:spacing w:line="480" w:lineRule="exact"/>
              <w:jc w:val="center"/>
              <w:rPr>
                <w:rFonts w:asciiTheme="minorEastAsia" w:hAnsiTheme="minorEastAsia"/>
                <w:b/>
                <w:bCs/>
                <w:color w:val="auto"/>
                <w:szCs w:val="21"/>
              </w:rPr>
            </w:pPr>
          </w:p>
        </w:tc>
      </w:tr>
    </w:tbl>
    <w:p w14:paraId="50639334">
      <w:pPr>
        <w:autoSpaceDE w:val="0"/>
        <w:autoSpaceDN w:val="0"/>
        <w:adjustRightInd w:val="0"/>
        <w:spacing w:line="480" w:lineRule="auto"/>
        <w:rPr>
          <w:rFonts w:cs="宋体" w:asciiTheme="minorEastAsia" w:hAnsiTheme="minorEastAsia"/>
          <w:color w:val="auto"/>
          <w:szCs w:val="21"/>
          <w:lang w:val="zh-CN"/>
        </w:rPr>
      </w:pPr>
    </w:p>
    <w:p w14:paraId="061F2FAC">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Arial" w:asciiTheme="minorEastAsia" w:hAnsiTheme="minorEastAsia"/>
          <w:color w:val="auto"/>
          <w:szCs w:val="21"/>
        </w:rPr>
        <w:t>并加盖公章</w:t>
      </w:r>
      <w:r>
        <w:rPr>
          <w:rFonts w:hint="eastAsia" w:cs="宋体" w:asciiTheme="minorEastAsia" w:hAnsiTheme="minorEastAsia"/>
          <w:color w:val="auto"/>
          <w:szCs w:val="21"/>
          <w:lang w:val="zh-CN"/>
        </w:rPr>
        <w:t>）：</w:t>
      </w:r>
    </w:p>
    <w:p w14:paraId="2FB40BD5">
      <w:pPr>
        <w:autoSpaceDE w:val="0"/>
        <w:autoSpaceDN w:val="0"/>
        <w:adjustRightInd w:val="0"/>
        <w:spacing w:line="360" w:lineRule="auto"/>
        <w:jc w:val="center"/>
        <w:outlineLvl w:val="0"/>
        <w:rPr>
          <w:rFonts w:ascii="仿宋" w:hAnsi="仿宋" w:eastAsia="仿宋" w:cs="仿宋"/>
          <w:color w:val="auto"/>
          <w:sz w:val="24"/>
          <w:szCs w:val="24"/>
        </w:rPr>
      </w:pPr>
    </w:p>
    <w:p w14:paraId="71314C3E">
      <w:pPr>
        <w:autoSpaceDE w:val="0"/>
        <w:autoSpaceDN w:val="0"/>
        <w:adjustRightInd w:val="0"/>
        <w:spacing w:line="360" w:lineRule="auto"/>
        <w:jc w:val="center"/>
        <w:outlineLvl w:val="0"/>
        <w:rPr>
          <w:rFonts w:ascii="仿宋" w:hAnsi="仿宋" w:eastAsia="仿宋" w:cs="仿宋"/>
          <w:color w:val="auto"/>
          <w:sz w:val="24"/>
          <w:szCs w:val="24"/>
        </w:rPr>
      </w:pPr>
    </w:p>
    <w:p w14:paraId="289E9DE1">
      <w:pPr>
        <w:autoSpaceDE w:val="0"/>
        <w:autoSpaceDN w:val="0"/>
        <w:adjustRightInd w:val="0"/>
        <w:spacing w:line="360" w:lineRule="auto"/>
        <w:jc w:val="center"/>
        <w:outlineLvl w:val="0"/>
        <w:rPr>
          <w:rFonts w:ascii="仿宋" w:hAnsi="仿宋" w:eastAsia="仿宋" w:cs="仿宋"/>
          <w:color w:val="auto"/>
          <w:sz w:val="24"/>
          <w:szCs w:val="24"/>
        </w:rPr>
      </w:pPr>
    </w:p>
    <w:p w14:paraId="1E7A7777">
      <w:pPr>
        <w:autoSpaceDE w:val="0"/>
        <w:autoSpaceDN w:val="0"/>
        <w:adjustRightInd w:val="0"/>
        <w:spacing w:line="360" w:lineRule="auto"/>
        <w:jc w:val="center"/>
        <w:outlineLvl w:val="0"/>
        <w:rPr>
          <w:rFonts w:ascii="仿宋" w:hAnsi="仿宋" w:eastAsia="仿宋" w:cs="仿宋"/>
          <w:color w:val="auto"/>
          <w:sz w:val="24"/>
          <w:szCs w:val="24"/>
        </w:rPr>
      </w:pPr>
    </w:p>
    <w:p w14:paraId="76505773">
      <w:pPr>
        <w:autoSpaceDE w:val="0"/>
        <w:autoSpaceDN w:val="0"/>
        <w:adjustRightInd w:val="0"/>
        <w:spacing w:line="360" w:lineRule="auto"/>
        <w:jc w:val="center"/>
        <w:outlineLvl w:val="0"/>
        <w:rPr>
          <w:rFonts w:ascii="仿宋" w:hAnsi="仿宋" w:eastAsia="仿宋" w:cs="仿宋"/>
          <w:color w:val="auto"/>
          <w:sz w:val="24"/>
          <w:szCs w:val="24"/>
        </w:rPr>
      </w:pPr>
    </w:p>
    <w:p w14:paraId="3BC40D22">
      <w:pPr>
        <w:autoSpaceDE w:val="0"/>
        <w:autoSpaceDN w:val="0"/>
        <w:adjustRightInd w:val="0"/>
        <w:spacing w:line="360" w:lineRule="auto"/>
        <w:jc w:val="center"/>
        <w:outlineLvl w:val="0"/>
        <w:rPr>
          <w:rFonts w:ascii="仿宋" w:hAnsi="仿宋" w:eastAsia="仿宋" w:cs="仿宋"/>
          <w:color w:val="auto"/>
          <w:sz w:val="24"/>
          <w:szCs w:val="24"/>
        </w:rPr>
      </w:pPr>
    </w:p>
    <w:p w14:paraId="6C43FD4E">
      <w:pPr>
        <w:autoSpaceDE w:val="0"/>
        <w:autoSpaceDN w:val="0"/>
        <w:adjustRightInd w:val="0"/>
        <w:spacing w:line="360" w:lineRule="auto"/>
        <w:jc w:val="center"/>
        <w:outlineLvl w:val="0"/>
        <w:rPr>
          <w:rFonts w:ascii="仿宋" w:hAnsi="仿宋" w:eastAsia="仿宋" w:cs="仿宋"/>
          <w:color w:val="auto"/>
          <w:sz w:val="24"/>
          <w:szCs w:val="24"/>
        </w:rPr>
      </w:pPr>
    </w:p>
    <w:p w14:paraId="13BACAB9">
      <w:pPr>
        <w:autoSpaceDE w:val="0"/>
        <w:autoSpaceDN w:val="0"/>
        <w:adjustRightInd w:val="0"/>
        <w:spacing w:line="360" w:lineRule="auto"/>
        <w:jc w:val="center"/>
        <w:outlineLvl w:val="0"/>
        <w:rPr>
          <w:rFonts w:ascii="仿宋" w:hAnsi="仿宋" w:eastAsia="仿宋" w:cs="仿宋"/>
          <w:color w:val="auto"/>
          <w:sz w:val="24"/>
          <w:szCs w:val="24"/>
        </w:rPr>
      </w:pPr>
    </w:p>
    <w:p w14:paraId="4224848C">
      <w:pPr>
        <w:autoSpaceDE w:val="0"/>
        <w:autoSpaceDN w:val="0"/>
        <w:adjustRightInd w:val="0"/>
        <w:spacing w:line="360" w:lineRule="auto"/>
        <w:jc w:val="center"/>
        <w:outlineLvl w:val="0"/>
        <w:rPr>
          <w:rFonts w:ascii="仿宋" w:hAnsi="仿宋" w:eastAsia="仿宋" w:cs="仿宋"/>
          <w:color w:val="auto"/>
          <w:sz w:val="24"/>
          <w:szCs w:val="24"/>
        </w:rPr>
      </w:pPr>
    </w:p>
    <w:p w14:paraId="7627B77B">
      <w:pPr>
        <w:autoSpaceDE w:val="0"/>
        <w:autoSpaceDN w:val="0"/>
        <w:adjustRightInd w:val="0"/>
        <w:spacing w:line="360" w:lineRule="auto"/>
        <w:jc w:val="center"/>
        <w:outlineLvl w:val="0"/>
        <w:rPr>
          <w:rFonts w:ascii="仿宋" w:hAnsi="仿宋" w:eastAsia="仿宋" w:cs="仿宋"/>
          <w:color w:val="auto"/>
          <w:sz w:val="24"/>
          <w:szCs w:val="24"/>
        </w:rPr>
      </w:pPr>
    </w:p>
    <w:p w14:paraId="218715FC">
      <w:pPr>
        <w:autoSpaceDE w:val="0"/>
        <w:autoSpaceDN w:val="0"/>
        <w:adjustRightInd w:val="0"/>
        <w:spacing w:line="360" w:lineRule="auto"/>
        <w:jc w:val="center"/>
        <w:outlineLvl w:val="0"/>
        <w:rPr>
          <w:rFonts w:ascii="仿宋" w:hAnsi="仿宋" w:eastAsia="仿宋" w:cs="仿宋"/>
          <w:color w:val="auto"/>
          <w:sz w:val="24"/>
          <w:szCs w:val="24"/>
        </w:rPr>
      </w:pPr>
    </w:p>
    <w:p w14:paraId="51351825">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仿宋" w:hAnsi="仿宋" w:eastAsia="仿宋" w:cs="仿宋"/>
          <w:b/>
          <w:color w:val="auto"/>
          <w:sz w:val="24"/>
          <w:szCs w:val="24"/>
        </w:rPr>
        <w:t>4.3</w:t>
      </w:r>
      <w:r>
        <w:rPr>
          <w:rFonts w:hint="eastAsia" w:ascii="宋体" w:hAnsi="宋体" w:eastAsia="宋体" w:cs="Times New Roman"/>
          <w:b/>
          <w:bCs/>
          <w:color w:val="auto"/>
          <w:sz w:val="24"/>
          <w:szCs w:val="24"/>
        </w:rPr>
        <w:t xml:space="preserve"> 实施方案 </w:t>
      </w:r>
    </w:p>
    <w:p w14:paraId="1320827D">
      <w:pPr>
        <w:snapToGrid w:val="0"/>
        <w:spacing w:line="360" w:lineRule="auto"/>
        <w:jc w:val="center"/>
        <w:rPr>
          <w:rFonts w:ascii="宋体" w:hAnsi="Calibri" w:eastAsia="宋体" w:cs="Times New Roman"/>
          <w:b/>
          <w:snapToGrid w:val="0"/>
          <w:color w:val="auto"/>
          <w:kern w:val="0"/>
          <w:sz w:val="36"/>
          <w:szCs w:val="36"/>
        </w:rPr>
      </w:pPr>
    </w:p>
    <w:p w14:paraId="6AD70C8E">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14:paraId="42868E33">
      <w:pPr>
        <w:autoSpaceDE w:val="0"/>
        <w:autoSpaceDN w:val="0"/>
        <w:adjustRightInd w:val="0"/>
        <w:spacing w:line="360" w:lineRule="auto"/>
        <w:jc w:val="center"/>
        <w:outlineLvl w:val="0"/>
        <w:rPr>
          <w:rFonts w:ascii="宋体" w:hAnsi="宋体" w:eastAsia="宋体" w:cs="Times New Roman"/>
          <w:b/>
          <w:bCs/>
          <w:color w:val="auto"/>
          <w:sz w:val="28"/>
          <w:szCs w:val="28"/>
        </w:rPr>
      </w:pPr>
    </w:p>
    <w:p w14:paraId="6829A504">
      <w:pPr>
        <w:pStyle w:val="2"/>
        <w:ind w:firstLine="340"/>
        <w:rPr>
          <w:color w:val="auto"/>
        </w:rPr>
      </w:pPr>
    </w:p>
    <w:p w14:paraId="5D59A25D">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4.4 业绩情况表</w:t>
      </w:r>
    </w:p>
    <w:p w14:paraId="7AC785F4">
      <w:pPr>
        <w:spacing w:line="360" w:lineRule="auto"/>
        <w:contextualSpacing/>
        <w:jc w:val="left"/>
        <w:rPr>
          <w:rFonts w:ascii="宋体" w:hAnsi="Calibri" w:eastAsia="宋体" w:cs="Times New Roman"/>
          <w:color w:val="auto"/>
          <w:szCs w:val="21"/>
        </w:rPr>
      </w:pPr>
      <w:r>
        <w:rPr>
          <w:rFonts w:hint="eastAsia" w:ascii="宋体" w:hAnsi="宋体" w:eastAsia="宋体" w:cs="Times New Roman"/>
          <w:color w:val="auto"/>
          <w:szCs w:val="21"/>
        </w:rPr>
        <w:t>项目编号：</w:t>
      </w:r>
    </w:p>
    <w:p w14:paraId="03AB16B8">
      <w:pPr>
        <w:snapToGrid w:val="0"/>
        <w:spacing w:line="360" w:lineRule="auto"/>
        <w:rPr>
          <w:rFonts w:ascii="宋体" w:hAnsi="Calibri" w:eastAsia="宋体" w:cs="Times New Roman"/>
          <w:b/>
          <w:snapToGrid w:val="0"/>
          <w:color w:val="auto"/>
          <w:kern w:val="0"/>
          <w:szCs w:val="21"/>
        </w:rPr>
      </w:pPr>
      <w:r>
        <w:rPr>
          <w:rFonts w:hint="eastAsia" w:ascii="宋体" w:hAnsi="宋体" w:eastAsia="宋体" w:cs="Times New Roman"/>
          <w:color w:val="auto"/>
          <w:szCs w:val="21"/>
        </w:rPr>
        <w:t xml:space="preserve">项目名称：   </w:t>
      </w:r>
    </w:p>
    <w:tbl>
      <w:tblPr>
        <w:tblStyle w:val="2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4F99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0A3EF5DB">
            <w:pPr>
              <w:jc w:val="center"/>
              <w:rPr>
                <w:rFonts w:ascii="宋体" w:hAnsi="宋体" w:eastAsia="宋体" w:cs="Times New Roman"/>
                <w:b/>
                <w:bCs/>
                <w:color w:val="auto"/>
                <w:szCs w:val="21"/>
              </w:rPr>
            </w:pPr>
            <w:r>
              <w:rPr>
                <w:rFonts w:hint="eastAsia" w:ascii="宋体" w:hAnsi="宋体" w:eastAsia="宋体" w:cs="宋体"/>
                <w:b/>
                <w:bCs/>
                <w:color w:val="auto"/>
                <w:szCs w:val="21"/>
              </w:rPr>
              <w:t>序号</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07F51027">
            <w:pPr>
              <w:jc w:val="center"/>
              <w:rPr>
                <w:rFonts w:ascii="宋体" w:hAnsi="宋体" w:eastAsia="宋体" w:cs="Times New Roman"/>
                <w:b/>
                <w:bCs/>
                <w:color w:val="auto"/>
                <w:szCs w:val="21"/>
              </w:rPr>
            </w:pPr>
            <w:r>
              <w:rPr>
                <w:rFonts w:hint="eastAsia" w:ascii="宋体" w:hAnsi="宋体" w:eastAsia="宋体" w:cs="宋体"/>
                <w:b/>
                <w:bCs/>
                <w:color w:val="auto"/>
                <w:szCs w:val="21"/>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auto"/>
            <w:vAlign w:val="center"/>
          </w:tcPr>
          <w:p w14:paraId="47094B65">
            <w:pPr>
              <w:jc w:val="center"/>
              <w:rPr>
                <w:rFonts w:ascii="宋体" w:hAnsi="宋体" w:eastAsia="宋体" w:cs="Times New Roman"/>
                <w:b/>
                <w:bCs/>
                <w:color w:val="auto"/>
                <w:szCs w:val="21"/>
              </w:rPr>
            </w:pPr>
            <w:r>
              <w:rPr>
                <w:rFonts w:hint="eastAsia" w:ascii="宋体" w:hAnsi="宋体" w:eastAsia="宋体" w:cs="宋体"/>
                <w:b/>
                <w:bCs/>
                <w:color w:val="auto"/>
                <w:szCs w:val="21"/>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14:paraId="4106820B">
            <w:pPr>
              <w:jc w:val="center"/>
              <w:rPr>
                <w:rFonts w:ascii="宋体" w:hAnsi="宋体" w:eastAsia="宋体" w:cs="宋体"/>
                <w:b/>
                <w:bCs/>
                <w:color w:val="auto"/>
                <w:szCs w:val="21"/>
              </w:rPr>
            </w:pPr>
            <w:r>
              <w:rPr>
                <w:rFonts w:hint="eastAsia" w:ascii="宋体" w:hAnsi="宋体" w:eastAsia="宋体" w:cs="宋体"/>
                <w:b/>
                <w:bCs/>
                <w:color w:val="auto"/>
                <w:szCs w:val="21"/>
              </w:rPr>
              <w:t>合同金额</w:t>
            </w:r>
          </w:p>
          <w:p w14:paraId="55DA1258">
            <w:pPr>
              <w:jc w:val="center"/>
              <w:rPr>
                <w:rFonts w:ascii="宋体" w:hAnsi="宋体" w:eastAsia="宋体" w:cs="Times New Roman"/>
                <w:b/>
                <w:bCs/>
                <w:color w:val="auto"/>
                <w:szCs w:val="21"/>
              </w:rPr>
            </w:pPr>
            <w:r>
              <w:rPr>
                <w:rFonts w:hint="eastAsia" w:ascii="宋体" w:hAnsi="宋体" w:eastAsia="宋体" w:cs="宋体"/>
                <w:b/>
                <w:bCs/>
                <w:color w:val="auto"/>
                <w:szCs w:val="21"/>
              </w:rPr>
              <w:t>（万元）</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50A36237">
            <w:pPr>
              <w:jc w:val="center"/>
              <w:rPr>
                <w:rFonts w:ascii="宋体" w:hAnsi="宋体" w:eastAsia="宋体" w:cs="Times New Roman"/>
                <w:b/>
                <w:bCs/>
                <w:color w:val="auto"/>
                <w:szCs w:val="21"/>
              </w:rPr>
            </w:pPr>
            <w:r>
              <w:rPr>
                <w:rFonts w:hint="eastAsia" w:ascii="宋体" w:hAnsi="宋体" w:eastAsia="宋体" w:cs="宋体"/>
                <w:b/>
                <w:bCs/>
                <w:color w:val="auto"/>
                <w:szCs w:val="21"/>
              </w:rPr>
              <w:t>联系人及电话</w:t>
            </w:r>
          </w:p>
        </w:tc>
      </w:tr>
      <w:tr w14:paraId="5FCD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0419B8D">
            <w:pPr>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807" w:type="dxa"/>
            <w:tcBorders>
              <w:top w:val="single" w:color="auto" w:sz="4" w:space="0"/>
              <w:left w:val="single" w:color="auto" w:sz="4" w:space="0"/>
              <w:bottom w:val="single" w:color="auto" w:sz="4" w:space="0"/>
              <w:right w:val="single" w:color="auto" w:sz="4" w:space="0"/>
            </w:tcBorders>
            <w:vAlign w:val="center"/>
          </w:tcPr>
          <w:p w14:paraId="145FF9C3">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5E7D93BF">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522B2C76">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59F0D646">
            <w:pPr>
              <w:spacing w:line="360" w:lineRule="auto"/>
              <w:rPr>
                <w:rFonts w:ascii="宋体" w:hAnsi="宋体" w:eastAsia="宋体" w:cs="Times New Roman"/>
                <w:color w:val="auto"/>
                <w:szCs w:val="21"/>
              </w:rPr>
            </w:pPr>
          </w:p>
        </w:tc>
      </w:tr>
      <w:tr w14:paraId="09FE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32C09ED7">
            <w:pPr>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807" w:type="dxa"/>
            <w:tcBorders>
              <w:top w:val="single" w:color="auto" w:sz="4" w:space="0"/>
              <w:left w:val="single" w:color="auto" w:sz="4" w:space="0"/>
              <w:bottom w:val="single" w:color="auto" w:sz="4" w:space="0"/>
              <w:right w:val="single" w:color="auto" w:sz="4" w:space="0"/>
            </w:tcBorders>
            <w:vAlign w:val="center"/>
          </w:tcPr>
          <w:p w14:paraId="2D0194FC">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2743B192">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282253F5">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0E455DB3">
            <w:pPr>
              <w:spacing w:line="360" w:lineRule="auto"/>
              <w:rPr>
                <w:rFonts w:ascii="宋体" w:hAnsi="宋体" w:eastAsia="宋体" w:cs="Times New Roman"/>
                <w:color w:val="auto"/>
                <w:szCs w:val="21"/>
              </w:rPr>
            </w:pPr>
          </w:p>
        </w:tc>
      </w:tr>
      <w:tr w14:paraId="1C34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3373CD12">
            <w:pPr>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807" w:type="dxa"/>
            <w:tcBorders>
              <w:top w:val="single" w:color="auto" w:sz="4" w:space="0"/>
              <w:left w:val="single" w:color="auto" w:sz="4" w:space="0"/>
              <w:bottom w:val="single" w:color="auto" w:sz="4" w:space="0"/>
              <w:right w:val="single" w:color="auto" w:sz="4" w:space="0"/>
            </w:tcBorders>
            <w:vAlign w:val="center"/>
          </w:tcPr>
          <w:p w14:paraId="09961F6E">
            <w:pPr>
              <w:spacing w:line="360" w:lineRule="auto"/>
              <w:rPr>
                <w:rFonts w:ascii="宋体" w:hAnsi="宋体"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46E6F3D9">
            <w:pPr>
              <w:spacing w:line="360" w:lineRule="auto"/>
              <w:rPr>
                <w:rFonts w:ascii="宋体" w:hAnsi="宋体"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7B3C076D">
            <w:pPr>
              <w:spacing w:line="360" w:lineRule="auto"/>
              <w:rPr>
                <w:rFonts w:ascii="宋体" w:hAnsi="宋体"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5719888E">
            <w:pPr>
              <w:spacing w:line="360" w:lineRule="auto"/>
              <w:rPr>
                <w:rFonts w:ascii="宋体" w:hAnsi="宋体" w:eastAsia="宋体" w:cs="Times New Roman"/>
                <w:color w:val="auto"/>
                <w:szCs w:val="21"/>
              </w:rPr>
            </w:pPr>
          </w:p>
        </w:tc>
      </w:tr>
      <w:tr w14:paraId="7FBD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5314F86">
            <w:pPr>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807" w:type="dxa"/>
            <w:tcBorders>
              <w:top w:val="single" w:color="auto" w:sz="4" w:space="0"/>
              <w:left w:val="single" w:color="auto" w:sz="4" w:space="0"/>
              <w:bottom w:val="single" w:color="auto" w:sz="4" w:space="0"/>
              <w:right w:val="single" w:color="auto" w:sz="4" w:space="0"/>
            </w:tcBorders>
            <w:vAlign w:val="center"/>
          </w:tcPr>
          <w:p w14:paraId="41D80D6B">
            <w:pPr>
              <w:rPr>
                <w:rFonts w:ascii="宋体" w:hAnsi="Calibri"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7927DBB0">
            <w:pPr>
              <w:rPr>
                <w:rFonts w:ascii="宋体" w:hAnsi="Calibri"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371B4E44">
            <w:pPr>
              <w:rPr>
                <w:rFonts w:ascii="宋体" w:hAnsi="Calibri"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65C53921">
            <w:pPr>
              <w:rPr>
                <w:rFonts w:ascii="宋体" w:hAnsi="Calibri" w:eastAsia="宋体" w:cs="Times New Roman"/>
                <w:color w:val="auto"/>
                <w:szCs w:val="21"/>
              </w:rPr>
            </w:pPr>
          </w:p>
        </w:tc>
      </w:tr>
      <w:tr w14:paraId="2743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29904B8">
            <w:pPr>
              <w:spacing w:line="360" w:lineRule="auto"/>
              <w:jc w:val="center"/>
              <w:rPr>
                <w:rFonts w:ascii="宋体" w:hAnsi="宋体" w:eastAsia="宋体" w:cs="Times New Roman"/>
                <w:color w:val="auto"/>
                <w:szCs w:val="21"/>
              </w:rPr>
            </w:pPr>
            <w:r>
              <w:rPr>
                <w:rFonts w:hint="eastAsia" w:ascii="宋体" w:hAnsi="宋体" w:eastAsia="宋体" w:cs="宋体"/>
                <w:color w:val="auto"/>
                <w:szCs w:val="21"/>
              </w:rPr>
              <w:t>……</w:t>
            </w:r>
          </w:p>
        </w:tc>
        <w:tc>
          <w:tcPr>
            <w:tcW w:w="1807" w:type="dxa"/>
            <w:tcBorders>
              <w:top w:val="single" w:color="auto" w:sz="4" w:space="0"/>
              <w:left w:val="single" w:color="auto" w:sz="4" w:space="0"/>
              <w:bottom w:val="single" w:color="auto" w:sz="4" w:space="0"/>
              <w:right w:val="single" w:color="auto" w:sz="4" w:space="0"/>
            </w:tcBorders>
            <w:vAlign w:val="center"/>
          </w:tcPr>
          <w:p w14:paraId="0AEDE273">
            <w:pPr>
              <w:rPr>
                <w:rFonts w:ascii="宋体" w:hAnsi="Calibri" w:eastAsia="宋体" w:cs="Times New Roman"/>
                <w:color w:val="auto"/>
                <w:szCs w:val="21"/>
              </w:rPr>
            </w:pPr>
          </w:p>
        </w:tc>
        <w:tc>
          <w:tcPr>
            <w:tcW w:w="3577" w:type="dxa"/>
            <w:tcBorders>
              <w:top w:val="single" w:color="auto" w:sz="4" w:space="0"/>
              <w:left w:val="single" w:color="auto" w:sz="4" w:space="0"/>
              <w:bottom w:val="single" w:color="auto" w:sz="4" w:space="0"/>
              <w:right w:val="single" w:color="auto" w:sz="4" w:space="0"/>
            </w:tcBorders>
            <w:vAlign w:val="center"/>
          </w:tcPr>
          <w:p w14:paraId="6705B816">
            <w:pPr>
              <w:rPr>
                <w:rFonts w:ascii="宋体" w:hAnsi="Calibri" w:eastAsia="宋体" w:cs="Times New Roman"/>
                <w:color w:val="auto"/>
                <w:szCs w:val="21"/>
              </w:rPr>
            </w:pPr>
          </w:p>
        </w:tc>
        <w:tc>
          <w:tcPr>
            <w:tcW w:w="1439" w:type="dxa"/>
            <w:tcBorders>
              <w:top w:val="single" w:color="auto" w:sz="4" w:space="0"/>
              <w:left w:val="single" w:color="auto" w:sz="4" w:space="0"/>
              <w:bottom w:val="single" w:color="auto" w:sz="4" w:space="0"/>
              <w:right w:val="single" w:color="auto" w:sz="4" w:space="0"/>
            </w:tcBorders>
            <w:vAlign w:val="center"/>
          </w:tcPr>
          <w:p w14:paraId="26B58498">
            <w:pPr>
              <w:rPr>
                <w:rFonts w:ascii="宋体" w:hAnsi="Calibri" w:eastAsia="宋体" w:cs="Times New Roman"/>
                <w:color w:val="auto"/>
                <w:szCs w:val="21"/>
              </w:rPr>
            </w:pPr>
          </w:p>
        </w:tc>
        <w:tc>
          <w:tcPr>
            <w:tcW w:w="1705" w:type="dxa"/>
            <w:tcBorders>
              <w:top w:val="single" w:color="auto" w:sz="4" w:space="0"/>
              <w:left w:val="single" w:color="auto" w:sz="4" w:space="0"/>
              <w:bottom w:val="single" w:color="auto" w:sz="4" w:space="0"/>
              <w:right w:val="single" w:color="auto" w:sz="4" w:space="0"/>
            </w:tcBorders>
            <w:vAlign w:val="center"/>
          </w:tcPr>
          <w:p w14:paraId="714774BC">
            <w:pPr>
              <w:rPr>
                <w:rFonts w:ascii="宋体" w:hAnsi="Calibri" w:eastAsia="宋体" w:cs="Times New Roman"/>
                <w:color w:val="auto"/>
                <w:szCs w:val="21"/>
              </w:rPr>
            </w:pPr>
          </w:p>
        </w:tc>
      </w:tr>
    </w:tbl>
    <w:p w14:paraId="4D0080EA">
      <w:pPr>
        <w:autoSpaceDE w:val="0"/>
        <w:autoSpaceDN w:val="0"/>
        <w:adjustRightInd w:val="0"/>
        <w:spacing w:line="480" w:lineRule="auto"/>
        <w:ind w:firstLine="1890" w:firstLineChars="900"/>
        <w:rPr>
          <w:rFonts w:ascii="宋体" w:hAnsi="宋体" w:eastAsia="宋体" w:cs="宋体"/>
          <w:color w:val="auto"/>
          <w:szCs w:val="21"/>
          <w:lang w:val="zh-CN"/>
        </w:rPr>
      </w:pPr>
      <w:bookmarkStart w:id="67" w:name="_Hlk64723634"/>
      <w:r>
        <w:rPr>
          <w:rFonts w:hint="eastAsia" w:ascii="宋体" w:hAnsi="宋体" w:eastAsia="宋体" w:cs="宋体"/>
          <w:color w:val="auto"/>
          <w:szCs w:val="21"/>
          <w:lang w:val="zh-CN"/>
        </w:rPr>
        <w:t>供应商名称（公章）：</w:t>
      </w:r>
    </w:p>
    <w:p w14:paraId="4A5DEB6A">
      <w:pPr>
        <w:autoSpaceDE w:val="0"/>
        <w:autoSpaceDN w:val="0"/>
        <w:adjustRightInd w:val="0"/>
        <w:spacing w:line="480" w:lineRule="auto"/>
        <w:ind w:firstLine="1890" w:firstLineChars="9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bookmarkEnd w:id="67"/>
    <w:p w14:paraId="4635205B">
      <w:pPr>
        <w:pStyle w:val="2"/>
        <w:ind w:firstLine="0" w:firstLineChars="0"/>
        <w:rPr>
          <w:color w:val="auto"/>
        </w:rPr>
      </w:pPr>
    </w:p>
    <w:p w14:paraId="176DE7D8">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4.5 服务承诺书</w:t>
      </w:r>
    </w:p>
    <w:p w14:paraId="6A3B5195">
      <w:pPr>
        <w:autoSpaceDE w:val="0"/>
        <w:autoSpaceDN w:val="0"/>
        <w:adjustRightInd w:val="0"/>
        <w:spacing w:line="360" w:lineRule="auto"/>
        <w:jc w:val="center"/>
        <w:outlineLvl w:val="0"/>
        <w:rPr>
          <w:rFonts w:ascii="宋体" w:hAnsi="Calibri" w:eastAsia="宋体" w:cs="Times New Roman"/>
          <w:b/>
          <w:bCs/>
          <w:color w:val="auto"/>
          <w:sz w:val="36"/>
          <w:szCs w:val="36"/>
        </w:rPr>
      </w:pPr>
    </w:p>
    <w:p w14:paraId="13D68942">
      <w:pPr>
        <w:autoSpaceDE w:val="0"/>
        <w:autoSpaceDN w:val="0"/>
        <w:adjustRightInd w:val="0"/>
        <w:spacing w:line="360" w:lineRule="auto"/>
        <w:jc w:val="center"/>
        <w:rPr>
          <w:rFonts w:ascii="宋体" w:hAnsi="Calibri" w:eastAsia="宋体" w:cs="宋体"/>
          <w:color w:val="auto"/>
          <w:szCs w:val="21"/>
          <w:lang w:val="zh-CN"/>
        </w:rPr>
      </w:pPr>
      <w:r>
        <w:rPr>
          <w:rFonts w:hint="eastAsia" w:ascii="宋体" w:hAnsi="宋体" w:eastAsia="宋体" w:cs="宋体"/>
          <w:color w:val="auto"/>
          <w:szCs w:val="21"/>
          <w:lang w:val="zh-CN"/>
        </w:rPr>
        <w:t>（供应商根据谈判文件要求自行编制）</w:t>
      </w:r>
    </w:p>
    <w:p w14:paraId="7CFEAA3F">
      <w:pPr>
        <w:autoSpaceDE w:val="0"/>
        <w:autoSpaceDN w:val="0"/>
        <w:adjustRightInd w:val="0"/>
        <w:spacing w:line="360" w:lineRule="auto"/>
        <w:jc w:val="center"/>
        <w:outlineLvl w:val="0"/>
        <w:rPr>
          <w:rFonts w:ascii="宋体" w:hAnsi="宋体" w:eastAsia="宋体" w:cs="Times New Roman"/>
          <w:b/>
          <w:bCs/>
          <w:color w:val="auto"/>
          <w:sz w:val="24"/>
          <w:szCs w:val="24"/>
        </w:rPr>
      </w:pPr>
    </w:p>
    <w:p w14:paraId="32810E4E">
      <w:pPr>
        <w:pStyle w:val="6"/>
        <w:ind w:left="0" w:leftChars="0" w:firstLine="0" w:firstLineChars="0"/>
        <w:rPr>
          <w:rFonts w:hint="default"/>
          <w:color w:val="auto"/>
          <w:lang w:eastAsia="zh-CN"/>
        </w:rPr>
      </w:pPr>
    </w:p>
    <w:p w14:paraId="60DD082E">
      <w:pPr>
        <w:autoSpaceDE w:val="0"/>
        <w:autoSpaceDN w:val="0"/>
        <w:adjustRightInd w:val="0"/>
        <w:spacing w:line="360" w:lineRule="auto"/>
        <w:jc w:val="center"/>
        <w:outlineLvl w:val="0"/>
        <w:rPr>
          <w:rFonts w:ascii="宋体" w:hAnsi="Calibri" w:eastAsia="宋体" w:cs="Times New Roman"/>
          <w:b/>
          <w:bCs/>
          <w:color w:val="auto"/>
          <w:sz w:val="24"/>
          <w:szCs w:val="24"/>
        </w:rPr>
      </w:pPr>
      <w:r>
        <w:rPr>
          <w:rFonts w:hint="eastAsia" w:ascii="宋体" w:hAnsi="宋体" w:eastAsia="宋体" w:cs="Times New Roman"/>
          <w:b/>
          <w:bCs/>
          <w:color w:val="auto"/>
          <w:sz w:val="24"/>
          <w:szCs w:val="24"/>
        </w:rPr>
        <w:t>4</w:t>
      </w:r>
      <w:r>
        <w:rPr>
          <w:rFonts w:ascii="宋体" w:hAnsi="宋体" w:eastAsia="宋体" w:cs="Times New Roman"/>
          <w:b/>
          <w:bCs/>
          <w:color w:val="auto"/>
          <w:sz w:val="24"/>
          <w:szCs w:val="24"/>
        </w:rPr>
        <w:t>.</w:t>
      </w:r>
      <w:r>
        <w:rPr>
          <w:rFonts w:hint="eastAsia" w:ascii="宋体" w:hAnsi="宋体" w:eastAsia="宋体" w:cs="Times New Roman"/>
          <w:b/>
          <w:bCs/>
          <w:color w:val="auto"/>
          <w:sz w:val="24"/>
          <w:szCs w:val="24"/>
        </w:rPr>
        <w:t>6项目组配备情况表</w:t>
      </w:r>
    </w:p>
    <w:tbl>
      <w:tblPr>
        <w:tblStyle w:val="28"/>
        <w:tblpPr w:leftFromText="180" w:rightFromText="180" w:vertAnchor="text" w:tblpXSpec="center"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846"/>
        <w:gridCol w:w="915"/>
        <w:gridCol w:w="1655"/>
      </w:tblGrid>
      <w:tr w14:paraId="32D8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7" w:type="dxa"/>
            <w:vAlign w:val="center"/>
          </w:tcPr>
          <w:p w14:paraId="6870626F">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序号</w:t>
            </w:r>
          </w:p>
        </w:tc>
        <w:tc>
          <w:tcPr>
            <w:tcW w:w="1493" w:type="dxa"/>
            <w:vAlign w:val="center"/>
          </w:tcPr>
          <w:p w14:paraId="305D056C">
            <w:pPr>
              <w:spacing w:line="360" w:lineRule="auto"/>
              <w:ind w:firstLine="240"/>
              <w:jc w:val="center"/>
              <w:rPr>
                <w:rFonts w:ascii="宋体" w:hAnsi="Calibri" w:eastAsia="宋体" w:cs="Times New Roman"/>
                <w:color w:val="auto"/>
                <w:szCs w:val="21"/>
              </w:rPr>
            </w:pPr>
            <w:r>
              <w:rPr>
                <w:rFonts w:hint="eastAsia" w:ascii="宋体" w:hAnsi="Calibri" w:eastAsia="宋体" w:cs="Times New Roman"/>
                <w:color w:val="auto"/>
                <w:szCs w:val="21"/>
              </w:rPr>
              <w:t>姓   名</w:t>
            </w:r>
          </w:p>
        </w:tc>
        <w:tc>
          <w:tcPr>
            <w:tcW w:w="747" w:type="dxa"/>
            <w:vAlign w:val="center"/>
          </w:tcPr>
          <w:p w14:paraId="3F75EB22">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年龄</w:t>
            </w:r>
          </w:p>
        </w:tc>
        <w:tc>
          <w:tcPr>
            <w:tcW w:w="846" w:type="dxa"/>
            <w:vAlign w:val="center"/>
          </w:tcPr>
          <w:p w14:paraId="01C0B180">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性别</w:t>
            </w:r>
          </w:p>
        </w:tc>
        <w:tc>
          <w:tcPr>
            <w:tcW w:w="1020" w:type="dxa"/>
            <w:vAlign w:val="center"/>
          </w:tcPr>
          <w:p w14:paraId="3DFEE150">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学 历</w:t>
            </w:r>
          </w:p>
        </w:tc>
        <w:tc>
          <w:tcPr>
            <w:tcW w:w="846" w:type="dxa"/>
            <w:vAlign w:val="center"/>
          </w:tcPr>
          <w:p w14:paraId="62E222C8">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专业</w:t>
            </w:r>
          </w:p>
        </w:tc>
        <w:tc>
          <w:tcPr>
            <w:tcW w:w="915" w:type="dxa"/>
            <w:vAlign w:val="center"/>
          </w:tcPr>
          <w:p w14:paraId="54F1BCCC">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职称</w:t>
            </w:r>
          </w:p>
        </w:tc>
        <w:tc>
          <w:tcPr>
            <w:tcW w:w="1655" w:type="dxa"/>
            <w:vAlign w:val="center"/>
          </w:tcPr>
          <w:p w14:paraId="5CEFACFB">
            <w:pPr>
              <w:spacing w:line="360" w:lineRule="auto"/>
              <w:jc w:val="center"/>
              <w:rPr>
                <w:rFonts w:ascii="宋体" w:hAnsi="Calibri" w:eastAsia="宋体" w:cs="Times New Roman"/>
                <w:color w:val="auto"/>
                <w:szCs w:val="21"/>
              </w:rPr>
            </w:pPr>
            <w:r>
              <w:rPr>
                <w:rFonts w:hint="eastAsia" w:ascii="宋体" w:hAnsi="Calibri" w:eastAsia="宋体" w:cs="Times New Roman"/>
                <w:color w:val="auto"/>
                <w:szCs w:val="21"/>
              </w:rPr>
              <w:t>在本项目拟任职务</w:t>
            </w:r>
          </w:p>
        </w:tc>
      </w:tr>
      <w:tr w14:paraId="4C36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5F966684">
            <w:pPr>
              <w:spacing w:line="360" w:lineRule="auto"/>
              <w:jc w:val="center"/>
              <w:rPr>
                <w:rFonts w:ascii="宋体" w:hAnsi="Calibri" w:eastAsia="宋体" w:cs="Times New Roman"/>
                <w:color w:val="auto"/>
                <w:szCs w:val="21"/>
              </w:rPr>
            </w:pPr>
          </w:p>
        </w:tc>
        <w:tc>
          <w:tcPr>
            <w:tcW w:w="1493" w:type="dxa"/>
          </w:tcPr>
          <w:p w14:paraId="32A7B058">
            <w:pPr>
              <w:spacing w:line="360" w:lineRule="auto"/>
              <w:jc w:val="center"/>
              <w:rPr>
                <w:rFonts w:ascii="宋体" w:hAnsi="Calibri" w:eastAsia="宋体" w:cs="Times New Roman"/>
                <w:color w:val="auto"/>
                <w:szCs w:val="21"/>
              </w:rPr>
            </w:pPr>
          </w:p>
        </w:tc>
        <w:tc>
          <w:tcPr>
            <w:tcW w:w="747" w:type="dxa"/>
          </w:tcPr>
          <w:p w14:paraId="1D7B2484">
            <w:pPr>
              <w:spacing w:line="360" w:lineRule="auto"/>
              <w:jc w:val="center"/>
              <w:rPr>
                <w:rFonts w:ascii="宋体" w:hAnsi="Calibri" w:eastAsia="宋体" w:cs="Times New Roman"/>
                <w:color w:val="auto"/>
                <w:szCs w:val="21"/>
              </w:rPr>
            </w:pPr>
          </w:p>
        </w:tc>
        <w:tc>
          <w:tcPr>
            <w:tcW w:w="846" w:type="dxa"/>
          </w:tcPr>
          <w:p w14:paraId="19C58FD5">
            <w:pPr>
              <w:spacing w:line="360" w:lineRule="auto"/>
              <w:jc w:val="center"/>
              <w:rPr>
                <w:rFonts w:ascii="宋体" w:hAnsi="Calibri" w:eastAsia="宋体" w:cs="Times New Roman"/>
                <w:color w:val="auto"/>
                <w:szCs w:val="21"/>
              </w:rPr>
            </w:pPr>
          </w:p>
        </w:tc>
        <w:tc>
          <w:tcPr>
            <w:tcW w:w="1020" w:type="dxa"/>
          </w:tcPr>
          <w:p w14:paraId="3FCDE54F">
            <w:pPr>
              <w:spacing w:line="360" w:lineRule="auto"/>
              <w:jc w:val="center"/>
              <w:rPr>
                <w:rFonts w:ascii="宋体" w:hAnsi="Calibri" w:eastAsia="宋体" w:cs="Times New Roman"/>
                <w:color w:val="auto"/>
                <w:szCs w:val="21"/>
              </w:rPr>
            </w:pPr>
          </w:p>
        </w:tc>
        <w:tc>
          <w:tcPr>
            <w:tcW w:w="846" w:type="dxa"/>
          </w:tcPr>
          <w:p w14:paraId="38C979A2">
            <w:pPr>
              <w:spacing w:line="360" w:lineRule="auto"/>
              <w:jc w:val="center"/>
              <w:rPr>
                <w:rFonts w:ascii="宋体" w:hAnsi="Calibri" w:eastAsia="宋体" w:cs="Times New Roman"/>
                <w:color w:val="auto"/>
                <w:szCs w:val="21"/>
              </w:rPr>
            </w:pPr>
          </w:p>
        </w:tc>
        <w:tc>
          <w:tcPr>
            <w:tcW w:w="915" w:type="dxa"/>
          </w:tcPr>
          <w:p w14:paraId="427C1A57">
            <w:pPr>
              <w:spacing w:line="360" w:lineRule="auto"/>
              <w:jc w:val="center"/>
              <w:rPr>
                <w:rFonts w:ascii="宋体" w:hAnsi="Calibri" w:eastAsia="宋体" w:cs="Times New Roman"/>
                <w:color w:val="auto"/>
                <w:szCs w:val="21"/>
              </w:rPr>
            </w:pPr>
          </w:p>
        </w:tc>
        <w:tc>
          <w:tcPr>
            <w:tcW w:w="1655" w:type="dxa"/>
          </w:tcPr>
          <w:p w14:paraId="46058B8D">
            <w:pPr>
              <w:spacing w:line="360" w:lineRule="auto"/>
              <w:jc w:val="center"/>
              <w:rPr>
                <w:rFonts w:ascii="宋体" w:hAnsi="Calibri" w:eastAsia="宋体" w:cs="Times New Roman"/>
                <w:color w:val="auto"/>
                <w:szCs w:val="21"/>
              </w:rPr>
            </w:pPr>
          </w:p>
        </w:tc>
      </w:tr>
      <w:tr w14:paraId="26F0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14:paraId="15E0237D">
            <w:pPr>
              <w:spacing w:line="360" w:lineRule="auto"/>
              <w:jc w:val="center"/>
              <w:rPr>
                <w:rFonts w:ascii="宋体" w:hAnsi="Calibri" w:eastAsia="宋体" w:cs="Times New Roman"/>
                <w:color w:val="auto"/>
                <w:szCs w:val="21"/>
              </w:rPr>
            </w:pPr>
          </w:p>
        </w:tc>
        <w:tc>
          <w:tcPr>
            <w:tcW w:w="1493" w:type="dxa"/>
          </w:tcPr>
          <w:p w14:paraId="57936D69">
            <w:pPr>
              <w:spacing w:line="360" w:lineRule="auto"/>
              <w:jc w:val="center"/>
              <w:rPr>
                <w:rFonts w:ascii="宋体" w:hAnsi="Calibri" w:eastAsia="宋体" w:cs="Times New Roman"/>
                <w:color w:val="auto"/>
                <w:szCs w:val="21"/>
              </w:rPr>
            </w:pPr>
          </w:p>
        </w:tc>
        <w:tc>
          <w:tcPr>
            <w:tcW w:w="747" w:type="dxa"/>
          </w:tcPr>
          <w:p w14:paraId="4857474C">
            <w:pPr>
              <w:spacing w:line="360" w:lineRule="auto"/>
              <w:jc w:val="center"/>
              <w:rPr>
                <w:rFonts w:ascii="宋体" w:hAnsi="Calibri" w:eastAsia="宋体" w:cs="Times New Roman"/>
                <w:color w:val="auto"/>
                <w:szCs w:val="21"/>
              </w:rPr>
            </w:pPr>
          </w:p>
        </w:tc>
        <w:tc>
          <w:tcPr>
            <w:tcW w:w="846" w:type="dxa"/>
          </w:tcPr>
          <w:p w14:paraId="0627D102">
            <w:pPr>
              <w:spacing w:line="360" w:lineRule="auto"/>
              <w:jc w:val="center"/>
              <w:rPr>
                <w:rFonts w:ascii="宋体" w:hAnsi="Calibri" w:eastAsia="宋体" w:cs="Times New Roman"/>
                <w:color w:val="auto"/>
                <w:szCs w:val="21"/>
              </w:rPr>
            </w:pPr>
          </w:p>
        </w:tc>
        <w:tc>
          <w:tcPr>
            <w:tcW w:w="1020" w:type="dxa"/>
          </w:tcPr>
          <w:p w14:paraId="722F6282">
            <w:pPr>
              <w:spacing w:line="360" w:lineRule="auto"/>
              <w:jc w:val="center"/>
              <w:rPr>
                <w:rFonts w:ascii="宋体" w:hAnsi="Calibri" w:eastAsia="宋体" w:cs="Times New Roman"/>
                <w:color w:val="auto"/>
                <w:szCs w:val="21"/>
              </w:rPr>
            </w:pPr>
          </w:p>
        </w:tc>
        <w:tc>
          <w:tcPr>
            <w:tcW w:w="846" w:type="dxa"/>
          </w:tcPr>
          <w:p w14:paraId="3934985F">
            <w:pPr>
              <w:spacing w:line="360" w:lineRule="auto"/>
              <w:jc w:val="center"/>
              <w:rPr>
                <w:rFonts w:ascii="宋体" w:hAnsi="Calibri" w:eastAsia="宋体" w:cs="Times New Roman"/>
                <w:color w:val="auto"/>
                <w:szCs w:val="21"/>
              </w:rPr>
            </w:pPr>
          </w:p>
        </w:tc>
        <w:tc>
          <w:tcPr>
            <w:tcW w:w="915" w:type="dxa"/>
          </w:tcPr>
          <w:p w14:paraId="15FBA0EA">
            <w:pPr>
              <w:spacing w:line="360" w:lineRule="auto"/>
              <w:jc w:val="center"/>
              <w:rPr>
                <w:rFonts w:ascii="宋体" w:hAnsi="Calibri" w:eastAsia="宋体" w:cs="Times New Roman"/>
                <w:color w:val="auto"/>
                <w:szCs w:val="21"/>
              </w:rPr>
            </w:pPr>
          </w:p>
        </w:tc>
        <w:tc>
          <w:tcPr>
            <w:tcW w:w="1655" w:type="dxa"/>
          </w:tcPr>
          <w:p w14:paraId="728129C5">
            <w:pPr>
              <w:spacing w:line="360" w:lineRule="auto"/>
              <w:jc w:val="center"/>
              <w:rPr>
                <w:rFonts w:ascii="宋体" w:hAnsi="Calibri" w:eastAsia="宋体" w:cs="Times New Roman"/>
                <w:color w:val="auto"/>
                <w:szCs w:val="21"/>
              </w:rPr>
            </w:pPr>
          </w:p>
        </w:tc>
      </w:tr>
      <w:tr w14:paraId="1EF4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3DAF24B9">
            <w:pPr>
              <w:spacing w:line="360" w:lineRule="auto"/>
              <w:jc w:val="center"/>
              <w:rPr>
                <w:rFonts w:ascii="宋体" w:hAnsi="Calibri" w:eastAsia="宋体" w:cs="Times New Roman"/>
                <w:color w:val="auto"/>
                <w:szCs w:val="21"/>
              </w:rPr>
            </w:pPr>
          </w:p>
        </w:tc>
        <w:tc>
          <w:tcPr>
            <w:tcW w:w="1493" w:type="dxa"/>
          </w:tcPr>
          <w:p w14:paraId="75A6EAC3">
            <w:pPr>
              <w:spacing w:line="360" w:lineRule="auto"/>
              <w:jc w:val="center"/>
              <w:rPr>
                <w:rFonts w:ascii="宋体" w:hAnsi="Calibri" w:eastAsia="宋体" w:cs="Times New Roman"/>
                <w:color w:val="auto"/>
                <w:szCs w:val="21"/>
              </w:rPr>
            </w:pPr>
          </w:p>
        </w:tc>
        <w:tc>
          <w:tcPr>
            <w:tcW w:w="747" w:type="dxa"/>
          </w:tcPr>
          <w:p w14:paraId="335661D6">
            <w:pPr>
              <w:spacing w:line="360" w:lineRule="auto"/>
              <w:jc w:val="center"/>
              <w:rPr>
                <w:rFonts w:ascii="宋体" w:hAnsi="Calibri" w:eastAsia="宋体" w:cs="Times New Roman"/>
                <w:color w:val="auto"/>
                <w:szCs w:val="21"/>
              </w:rPr>
            </w:pPr>
          </w:p>
        </w:tc>
        <w:tc>
          <w:tcPr>
            <w:tcW w:w="846" w:type="dxa"/>
          </w:tcPr>
          <w:p w14:paraId="3B7AAB82">
            <w:pPr>
              <w:spacing w:line="360" w:lineRule="auto"/>
              <w:jc w:val="center"/>
              <w:rPr>
                <w:rFonts w:ascii="宋体" w:hAnsi="Calibri" w:eastAsia="宋体" w:cs="Times New Roman"/>
                <w:color w:val="auto"/>
                <w:szCs w:val="21"/>
              </w:rPr>
            </w:pPr>
          </w:p>
        </w:tc>
        <w:tc>
          <w:tcPr>
            <w:tcW w:w="1020" w:type="dxa"/>
          </w:tcPr>
          <w:p w14:paraId="01CDA37E">
            <w:pPr>
              <w:spacing w:line="360" w:lineRule="auto"/>
              <w:jc w:val="center"/>
              <w:rPr>
                <w:rFonts w:ascii="宋体" w:hAnsi="Calibri" w:eastAsia="宋体" w:cs="Times New Roman"/>
                <w:color w:val="auto"/>
                <w:szCs w:val="21"/>
              </w:rPr>
            </w:pPr>
          </w:p>
        </w:tc>
        <w:tc>
          <w:tcPr>
            <w:tcW w:w="846" w:type="dxa"/>
          </w:tcPr>
          <w:p w14:paraId="0D5EFB33">
            <w:pPr>
              <w:spacing w:line="360" w:lineRule="auto"/>
              <w:jc w:val="center"/>
              <w:rPr>
                <w:rFonts w:ascii="宋体" w:hAnsi="Calibri" w:eastAsia="宋体" w:cs="Times New Roman"/>
                <w:color w:val="auto"/>
                <w:szCs w:val="21"/>
              </w:rPr>
            </w:pPr>
          </w:p>
        </w:tc>
        <w:tc>
          <w:tcPr>
            <w:tcW w:w="915" w:type="dxa"/>
          </w:tcPr>
          <w:p w14:paraId="67DA84CB">
            <w:pPr>
              <w:spacing w:line="360" w:lineRule="auto"/>
              <w:jc w:val="center"/>
              <w:rPr>
                <w:rFonts w:ascii="宋体" w:hAnsi="Calibri" w:eastAsia="宋体" w:cs="Times New Roman"/>
                <w:color w:val="auto"/>
                <w:szCs w:val="21"/>
              </w:rPr>
            </w:pPr>
          </w:p>
        </w:tc>
        <w:tc>
          <w:tcPr>
            <w:tcW w:w="1655" w:type="dxa"/>
          </w:tcPr>
          <w:p w14:paraId="6E86412B">
            <w:pPr>
              <w:spacing w:line="360" w:lineRule="auto"/>
              <w:jc w:val="center"/>
              <w:rPr>
                <w:rFonts w:ascii="宋体" w:hAnsi="Calibri" w:eastAsia="宋体" w:cs="Times New Roman"/>
                <w:color w:val="auto"/>
                <w:szCs w:val="21"/>
              </w:rPr>
            </w:pPr>
          </w:p>
        </w:tc>
      </w:tr>
      <w:tr w14:paraId="2378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1E8B9234">
            <w:pPr>
              <w:spacing w:line="360" w:lineRule="auto"/>
              <w:jc w:val="center"/>
              <w:rPr>
                <w:rFonts w:ascii="宋体" w:hAnsi="Calibri" w:eastAsia="宋体" w:cs="Times New Roman"/>
                <w:color w:val="auto"/>
                <w:szCs w:val="21"/>
              </w:rPr>
            </w:pPr>
          </w:p>
        </w:tc>
        <w:tc>
          <w:tcPr>
            <w:tcW w:w="1493" w:type="dxa"/>
          </w:tcPr>
          <w:p w14:paraId="2E81246D">
            <w:pPr>
              <w:spacing w:line="360" w:lineRule="auto"/>
              <w:jc w:val="center"/>
              <w:rPr>
                <w:rFonts w:ascii="宋体" w:hAnsi="Calibri" w:eastAsia="宋体" w:cs="Times New Roman"/>
                <w:color w:val="auto"/>
                <w:szCs w:val="21"/>
              </w:rPr>
            </w:pPr>
          </w:p>
        </w:tc>
        <w:tc>
          <w:tcPr>
            <w:tcW w:w="747" w:type="dxa"/>
          </w:tcPr>
          <w:p w14:paraId="6D497678">
            <w:pPr>
              <w:spacing w:line="360" w:lineRule="auto"/>
              <w:jc w:val="center"/>
              <w:rPr>
                <w:rFonts w:ascii="宋体" w:hAnsi="Calibri" w:eastAsia="宋体" w:cs="Times New Roman"/>
                <w:color w:val="auto"/>
                <w:szCs w:val="21"/>
              </w:rPr>
            </w:pPr>
          </w:p>
        </w:tc>
        <w:tc>
          <w:tcPr>
            <w:tcW w:w="846" w:type="dxa"/>
          </w:tcPr>
          <w:p w14:paraId="1EF31291">
            <w:pPr>
              <w:spacing w:line="360" w:lineRule="auto"/>
              <w:jc w:val="center"/>
              <w:rPr>
                <w:rFonts w:ascii="宋体" w:hAnsi="Calibri" w:eastAsia="宋体" w:cs="Times New Roman"/>
                <w:color w:val="auto"/>
                <w:szCs w:val="21"/>
              </w:rPr>
            </w:pPr>
          </w:p>
        </w:tc>
        <w:tc>
          <w:tcPr>
            <w:tcW w:w="1020" w:type="dxa"/>
          </w:tcPr>
          <w:p w14:paraId="6578BC9F">
            <w:pPr>
              <w:spacing w:line="360" w:lineRule="auto"/>
              <w:jc w:val="center"/>
              <w:rPr>
                <w:rFonts w:ascii="宋体" w:hAnsi="Calibri" w:eastAsia="宋体" w:cs="Times New Roman"/>
                <w:color w:val="auto"/>
                <w:szCs w:val="21"/>
              </w:rPr>
            </w:pPr>
          </w:p>
        </w:tc>
        <w:tc>
          <w:tcPr>
            <w:tcW w:w="846" w:type="dxa"/>
          </w:tcPr>
          <w:p w14:paraId="00E3F1D3">
            <w:pPr>
              <w:spacing w:line="360" w:lineRule="auto"/>
              <w:jc w:val="center"/>
              <w:rPr>
                <w:rFonts w:ascii="宋体" w:hAnsi="Calibri" w:eastAsia="宋体" w:cs="Times New Roman"/>
                <w:color w:val="auto"/>
                <w:szCs w:val="21"/>
              </w:rPr>
            </w:pPr>
          </w:p>
        </w:tc>
        <w:tc>
          <w:tcPr>
            <w:tcW w:w="915" w:type="dxa"/>
          </w:tcPr>
          <w:p w14:paraId="6BC6A32A">
            <w:pPr>
              <w:spacing w:line="360" w:lineRule="auto"/>
              <w:jc w:val="center"/>
              <w:rPr>
                <w:rFonts w:ascii="宋体" w:hAnsi="Calibri" w:eastAsia="宋体" w:cs="Times New Roman"/>
                <w:color w:val="auto"/>
                <w:szCs w:val="21"/>
              </w:rPr>
            </w:pPr>
          </w:p>
        </w:tc>
        <w:tc>
          <w:tcPr>
            <w:tcW w:w="1655" w:type="dxa"/>
          </w:tcPr>
          <w:p w14:paraId="73C1C368">
            <w:pPr>
              <w:spacing w:line="360" w:lineRule="auto"/>
              <w:jc w:val="center"/>
              <w:rPr>
                <w:rFonts w:ascii="宋体" w:hAnsi="Calibri" w:eastAsia="宋体" w:cs="Times New Roman"/>
                <w:color w:val="auto"/>
                <w:szCs w:val="21"/>
              </w:rPr>
            </w:pPr>
          </w:p>
        </w:tc>
      </w:tr>
      <w:tr w14:paraId="1AA8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583CD845">
            <w:pPr>
              <w:spacing w:line="360" w:lineRule="auto"/>
              <w:jc w:val="center"/>
              <w:rPr>
                <w:rFonts w:ascii="宋体" w:hAnsi="Calibri" w:eastAsia="宋体" w:cs="Times New Roman"/>
                <w:color w:val="auto"/>
                <w:szCs w:val="21"/>
              </w:rPr>
            </w:pPr>
          </w:p>
        </w:tc>
        <w:tc>
          <w:tcPr>
            <w:tcW w:w="1493" w:type="dxa"/>
          </w:tcPr>
          <w:p w14:paraId="0ED1D42B">
            <w:pPr>
              <w:spacing w:line="360" w:lineRule="auto"/>
              <w:jc w:val="center"/>
              <w:rPr>
                <w:rFonts w:ascii="宋体" w:hAnsi="Calibri" w:eastAsia="宋体" w:cs="Times New Roman"/>
                <w:color w:val="auto"/>
                <w:szCs w:val="21"/>
              </w:rPr>
            </w:pPr>
          </w:p>
        </w:tc>
        <w:tc>
          <w:tcPr>
            <w:tcW w:w="747" w:type="dxa"/>
          </w:tcPr>
          <w:p w14:paraId="067B1A83">
            <w:pPr>
              <w:spacing w:line="360" w:lineRule="auto"/>
              <w:jc w:val="center"/>
              <w:rPr>
                <w:rFonts w:ascii="宋体" w:hAnsi="Calibri" w:eastAsia="宋体" w:cs="Times New Roman"/>
                <w:color w:val="auto"/>
                <w:szCs w:val="21"/>
              </w:rPr>
            </w:pPr>
          </w:p>
        </w:tc>
        <w:tc>
          <w:tcPr>
            <w:tcW w:w="846" w:type="dxa"/>
          </w:tcPr>
          <w:p w14:paraId="004AF765">
            <w:pPr>
              <w:spacing w:line="360" w:lineRule="auto"/>
              <w:jc w:val="center"/>
              <w:rPr>
                <w:rFonts w:ascii="宋体" w:hAnsi="Calibri" w:eastAsia="宋体" w:cs="Times New Roman"/>
                <w:color w:val="auto"/>
                <w:szCs w:val="21"/>
              </w:rPr>
            </w:pPr>
          </w:p>
        </w:tc>
        <w:tc>
          <w:tcPr>
            <w:tcW w:w="1020" w:type="dxa"/>
          </w:tcPr>
          <w:p w14:paraId="63D43039">
            <w:pPr>
              <w:spacing w:line="360" w:lineRule="auto"/>
              <w:jc w:val="center"/>
              <w:rPr>
                <w:rFonts w:ascii="宋体" w:hAnsi="Calibri" w:eastAsia="宋体" w:cs="Times New Roman"/>
                <w:color w:val="auto"/>
                <w:szCs w:val="21"/>
              </w:rPr>
            </w:pPr>
          </w:p>
        </w:tc>
        <w:tc>
          <w:tcPr>
            <w:tcW w:w="846" w:type="dxa"/>
          </w:tcPr>
          <w:p w14:paraId="04B0AE75">
            <w:pPr>
              <w:spacing w:line="360" w:lineRule="auto"/>
              <w:jc w:val="center"/>
              <w:rPr>
                <w:rFonts w:ascii="宋体" w:hAnsi="Calibri" w:eastAsia="宋体" w:cs="Times New Roman"/>
                <w:color w:val="auto"/>
                <w:szCs w:val="21"/>
              </w:rPr>
            </w:pPr>
          </w:p>
        </w:tc>
        <w:tc>
          <w:tcPr>
            <w:tcW w:w="915" w:type="dxa"/>
          </w:tcPr>
          <w:p w14:paraId="0904876F">
            <w:pPr>
              <w:spacing w:line="360" w:lineRule="auto"/>
              <w:jc w:val="center"/>
              <w:rPr>
                <w:rFonts w:ascii="宋体" w:hAnsi="Calibri" w:eastAsia="宋体" w:cs="Times New Roman"/>
                <w:color w:val="auto"/>
                <w:szCs w:val="21"/>
              </w:rPr>
            </w:pPr>
          </w:p>
        </w:tc>
        <w:tc>
          <w:tcPr>
            <w:tcW w:w="1655" w:type="dxa"/>
          </w:tcPr>
          <w:p w14:paraId="63F0564E">
            <w:pPr>
              <w:spacing w:line="360" w:lineRule="auto"/>
              <w:jc w:val="center"/>
              <w:rPr>
                <w:rFonts w:ascii="宋体" w:hAnsi="Calibri" w:eastAsia="宋体" w:cs="Times New Roman"/>
                <w:color w:val="auto"/>
                <w:szCs w:val="21"/>
              </w:rPr>
            </w:pPr>
          </w:p>
        </w:tc>
      </w:tr>
      <w:tr w14:paraId="6330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5036390B">
            <w:pPr>
              <w:spacing w:line="360" w:lineRule="auto"/>
              <w:jc w:val="center"/>
              <w:rPr>
                <w:rFonts w:ascii="宋体" w:hAnsi="Calibri" w:eastAsia="宋体" w:cs="Times New Roman"/>
                <w:color w:val="auto"/>
                <w:szCs w:val="21"/>
              </w:rPr>
            </w:pPr>
          </w:p>
        </w:tc>
        <w:tc>
          <w:tcPr>
            <w:tcW w:w="1493" w:type="dxa"/>
          </w:tcPr>
          <w:p w14:paraId="6531074A">
            <w:pPr>
              <w:spacing w:line="360" w:lineRule="auto"/>
              <w:jc w:val="center"/>
              <w:rPr>
                <w:rFonts w:ascii="宋体" w:hAnsi="Calibri" w:eastAsia="宋体" w:cs="Times New Roman"/>
                <w:color w:val="auto"/>
                <w:szCs w:val="21"/>
              </w:rPr>
            </w:pPr>
          </w:p>
        </w:tc>
        <w:tc>
          <w:tcPr>
            <w:tcW w:w="747" w:type="dxa"/>
          </w:tcPr>
          <w:p w14:paraId="50B6C077">
            <w:pPr>
              <w:spacing w:line="360" w:lineRule="auto"/>
              <w:jc w:val="center"/>
              <w:rPr>
                <w:rFonts w:ascii="宋体" w:hAnsi="Calibri" w:eastAsia="宋体" w:cs="Times New Roman"/>
                <w:color w:val="auto"/>
                <w:szCs w:val="21"/>
              </w:rPr>
            </w:pPr>
          </w:p>
        </w:tc>
        <w:tc>
          <w:tcPr>
            <w:tcW w:w="846" w:type="dxa"/>
          </w:tcPr>
          <w:p w14:paraId="03FAE8CF">
            <w:pPr>
              <w:spacing w:line="360" w:lineRule="auto"/>
              <w:jc w:val="center"/>
              <w:rPr>
                <w:rFonts w:ascii="宋体" w:hAnsi="Calibri" w:eastAsia="宋体" w:cs="Times New Roman"/>
                <w:color w:val="auto"/>
                <w:szCs w:val="21"/>
              </w:rPr>
            </w:pPr>
          </w:p>
        </w:tc>
        <w:tc>
          <w:tcPr>
            <w:tcW w:w="1020" w:type="dxa"/>
          </w:tcPr>
          <w:p w14:paraId="76F188CB">
            <w:pPr>
              <w:spacing w:line="360" w:lineRule="auto"/>
              <w:jc w:val="center"/>
              <w:rPr>
                <w:rFonts w:ascii="宋体" w:hAnsi="Calibri" w:eastAsia="宋体" w:cs="Times New Roman"/>
                <w:color w:val="auto"/>
                <w:szCs w:val="21"/>
              </w:rPr>
            </w:pPr>
          </w:p>
        </w:tc>
        <w:tc>
          <w:tcPr>
            <w:tcW w:w="846" w:type="dxa"/>
          </w:tcPr>
          <w:p w14:paraId="50A92F3B">
            <w:pPr>
              <w:spacing w:line="360" w:lineRule="auto"/>
              <w:jc w:val="center"/>
              <w:rPr>
                <w:rFonts w:ascii="宋体" w:hAnsi="Calibri" w:eastAsia="宋体" w:cs="Times New Roman"/>
                <w:color w:val="auto"/>
                <w:szCs w:val="21"/>
              </w:rPr>
            </w:pPr>
          </w:p>
        </w:tc>
        <w:tc>
          <w:tcPr>
            <w:tcW w:w="915" w:type="dxa"/>
          </w:tcPr>
          <w:p w14:paraId="5F708CE0">
            <w:pPr>
              <w:spacing w:line="360" w:lineRule="auto"/>
              <w:jc w:val="center"/>
              <w:rPr>
                <w:rFonts w:ascii="宋体" w:hAnsi="Calibri" w:eastAsia="宋体" w:cs="Times New Roman"/>
                <w:color w:val="auto"/>
                <w:szCs w:val="21"/>
              </w:rPr>
            </w:pPr>
          </w:p>
        </w:tc>
        <w:tc>
          <w:tcPr>
            <w:tcW w:w="1655" w:type="dxa"/>
          </w:tcPr>
          <w:p w14:paraId="73EA5215">
            <w:pPr>
              <w:spacing w:line="360" w:lineRule="auto"/>
              <w:jc w:val="center"/>
              <w:rPr>
                <w:rFonts w:ascii="宋体" w:hAnsi="Calibri" w:eastAsia="宋体" w:cs="Times New Roman"/>
                <w:color w:val="auto"/>
                <w:szCs w:val="21"/>
              </w:rPr>
            </w:pPr>
          </w:p>
        </w:tc>
      </w:tr>
      <w:tr w14:paraId="5366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14:paraId="3F139E08">
            <w:pPr>
              <w:spacing w:line="360" w:lineRule="auto"/>
              <w:jc w:val="center"/>
              <w:rPr>
                <w:rFonts w:ascii="宋体" w:hAnsi="Calibri" w:eastAsia="宋体" w:cs="Times New Roman"/>
                <w:color w:val="auto"/>
                <w:szCs w:val="21"/>
              </w:rPr>
            </w:pPr>
          </w:p>
        </w:tc>
        <w:tc>
          <w:tcPr>
            <w:tcW w:w="1493" w:type="dxa"/>
          </w:tcPr>
          <w:p w14:paraId="0A01ACC9">
            <w:pPr>
              <w:spacing w:line="360" w:lineRule="auto"/>
              <w:jc w:val="center"/>
              <w:rPr>
                <w:rFonts w:ascii="宋体" w:hAnsi="Calibri" w:eastAsia="宋体" w:cs="Times New Roman"/>
                <w:color w:val="auto"/>
                <w:szCs w:val="21"/>
              </w:rPr>
            </w:pPr>
          </w:p>
        </w:tc>
        <w:tc>
          <w:tcPr>
            <w:tcW w:w="747" w:type="dxa"/>
          </w:tcPr>
          <w:p w14:paraId="5C482BC4">
            <w:pPr>
              <w:spacing w:line="360" w:lineRule="auto"/>
              <w:jc w:val="center"/>
              <w:rPr>
                <w:rFonts w:ascii="宋体" w:hAnsi="Calibri" w:eastAsia="宋体" w:cs="Times New Roman"/>
                <w:color w:val="auto"/>
                <w:szCs w:val="21"/>
              </w:rPr>
            </w:pPr>
          </w:p>
        </w:tc>
        <w:tc>
          <w:tcPr>
            <w:tcW w:w="846" w:type="dxa"/>
          </w:tcPr>
          <w:p w14:paraId="14E0067F">
            <w:pPr>
              <w:spacing w:line="360" w:lineRule="auto"/>
              <w:jc w:val="center"/>
              <w:rPr>
                <w:rFonts w:ascii="宋体" w:hAnsi="Calibri" w:eastAsia="宋体" w:cs="Times New Roman"/>
                <w:color w:val="auto"/>
                <w:szCs w:val="21"/>
              </w:rPr>
            </w:pPr>
          </w:p>
        </w:tc>
        <w:tc>
          <w:tcPr>
            <w:tcW w:w="1020" w:type="dxa"/>
          </w:tcPr>
          <w:p w14:paraId="11CDD49A">
            <w:pPr>
              <w:spacing w:line="360" w:lineRule="auto"/>
              <w:jc w:val="center"/>
              <w:rPr>
                <w:rFonts w:ascii="宋体" w:hAnsi="Calibri" w:eastAsia="宋体" w:cs="Times New Roman"/>
                <w:color w:val="auto"/>
                <w:szCs w:val="21"/>
              </w:rPr>
            </w:pPr>
          </w:p>
        </w:tc>
        <w:tc>
          <w:tcPr>
            <w:tcW w:w="846" w:type="dxa"/>
          </w:tcPr>
          <w:p w14:paraId="668754E4">
            <w:pPr>
              <w:spacing w:line="360" w:lineRule="auto"/>
              <w:jc w:val="center"/>
              <w:rPr>
                <w:rFonts w:ascii="宋体" w:hAnsi="Calibri" w:eastAsia="宋体" w:cs="Times New Roman"/>
                <w:color w:val="auto"/>
                <w:szCs w:val="21"/>
              </w:rPr>
            </w:pPr>
          </w:p>
        </w:tc>
        <w:tc>
          <w:tcPr>
            <w:tcW w:w="915" w:type="dxa"/>
          </w:tcPr>
          <w:p w14:paraId="71D14F37">
            <w:pPr>
              <w:spacing w:line="360" w:lineRule="auto"/>
              <w:jc w:val="center"/>
              <w:rPr>
                <w:rFonts w:ascii="宋体" w:hAnsi="Calibri" w:eastAsia="宋体" w:cs="Times New Roman"/>
                <w:color w:val="auto"/>
                <w:szCs w:val="21"/>
              </w:rPr>
            </w:pPr>
          </w:p>
        </w:tc>
        <w:tc>
          <w:tcPr>
            <w:tcW w:w="1655" w:type="dxa"/>
          </w:tcPr>
          <w:p w14:paraId="24347E42">
            <w:pPr>
              <w:spacing w:line="360" w:lineRule="auto"/>
              <w:jc w:val="center"/>
              <w:rPr>
                <w:rFonts w:ascii="宋体" w:hAnsi="Calibri" w:eastAsia="宋体" w:cs="Times New Roman"/>
                <w:color w:val="auto"/>
                <w:szCs w:val="21"/>
              </w:rPr>
            </w:pPr>
          </w:p>
        </w:tc>
      </w:tr>
      <w:tr w14:paraId="3EC0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5E8605E4">
            <w:pPr>
              <w:spacing w:line="360" w:lineRule="auto"/>
              <w:jc w:val="center"/>
              <w:rPr>
                <w:rFonts w:ascii="宋体" w:hAnsi="Calibri" w:eastAsia="宋体" w:cs="Times New Roman"/>
                <w:color w:val="auto"/>
                <w:szCs w:val="21"/>
              </w:rPr>
            </w:pPr>
          </w:p>
        </w:tc>
        <w:tc>
          <w:tcPr>
            <w:tcW w:w="1493" w:type="dxa"/>
          </w:tcPr>
          <w:p w14:paraId="26822E8A">
            <w:pPr>
              <w:spacing w:line="360" w:lineRule="auto"/>
              <w:jc w:val="center"/>
              <w:rPr>
                <w:rFonts w:ascii="宋体" w:hAnsi="Calibri" w:eastAsia="宋体" w:cs="Times New Roman"/>
                <w:color w:val="auto"/>
                <w:szCs w:val="21"/>
              </w:rPr>
            </w:pPr>
          </w:p>
        </w:tc>
        <w:tc>
          <w:tcPr>
            <w:tcW w:w="747" w:type="dxa"/>
          </w:tcPr>
          <w:p w14:paraId="2B0EFD05">
            <w:pPr>
              <w:spacing w:line="360" w:lineRule="auto"/>
              <w:jc w:val="center"/>
              <w:rPr>
                <w:rFonts w:ascii="宋体" w:hAnsi="Calibri" w:eastAsia="宋体" w:cs="Times New Roman"/>
                <w:color w:val="auto"/>
                <w:szCs w:val="21"/>
              </w:rPr>
            </w:pPr>
          </w:p>
        </w:tc>
        <w:tc>
          <w:tcPr>
            <w:tcW w:w="846" w:type="dxa"/>
          </w:tcPr>
          <w:p w14:paraId="234745C7">
            <w:pPr>
              <w:spacing w:line="360" w:lineRule="auto"/>
              <w:jc w:val="center"/>
              <w:rPr>
                <w:rFonts w:ascii="宋体" w:hAnsi="Calibri" w:eastAsia="宋体" w:cs="Times New Roman"/>
                <w:color w:val="auto"/>
                <w:szCs w:val="21"/>
              </w:rPr>
            </w:pPr>
          </w:p>
        </w:tc>
        <w:tc>
          <w:tcPr>
            <w:tcW w:w="1020" w:type="dxa"/>
          </w:tcPr>
          <w:p w14:paraId="719357E0">
            <w:pPr>
              <w:spacing w:line="360" w:lineRule="auto"/>
              <w:jc w:val="center"/>
              <w:rPr>
                <w:rFonts w:ascii="宋体" w:hAnsi="Calibri" w:eastAsia="宋体" w:cs="Times New Roman"/>
                <w:color w:val="auto"/>
                <w:szCs w:val="21"/>
              </w:rPr>
            </w:pPr>
          </w:p>
        </w:tc>
        <w:tc>
          <w:tcPr>
            <w:tcW w:w="846" w:type="dxa"/>
          </w:tcPr>
          <w:p w14:paraId="73279184">
            <w:pPr>
              <w:spacing w:line="360" w:lineRule="auto"/>
              <w:jc w:val="center"/>
              <w:rPr>
                <w:rFonts w:ascii="宋体" w:hAnsi="Calibri" w:eastAsia="宋体" w:cs="Times New Roman"/>
                <w:color w:val="auto"/>
                <w:szCs w:val="21"/>
              </w:rPr>
            </w:pPr>
          </w:p>
        </w:tc>
        <w:tc>
          <w:tcPr>
            <w:tcW w:w="915" w:type="dxa"/>
          </w:tcPr>
          <w:p w14:paraId="2578F984">
            <w:pPr>
              <w:spacing w:line="360" w:lineRule="auto"/>
              <w:jc w:val="center"/>
              <w:rPr>
                <w:rFonts w:ascii="宋体" w:hAnsi="Calibri" w:eastAsia="宋体" w:cs="Times New Roman"/>
                <w:color w:val="auto"/>
                <w:szCs w:val="21"/>
              </w:rPr>
            </w:pPr>
          </w:p>
        </w:tc>
        <w:tc>
          <w:tcPr>
            <w:tcW w:w="1655" w:type="dxa"/>
          </w:tcPr>
          <w:p w14:paraId="289A46DB">
            <w:pPr>
              <w:spacing w:line="360" w:lineRule="auto"/>
              <w:jc w:val="center"/>
              <w:rPr>
                <w:rFonts w:ascii="宋体" w:hAnsi="Calibri" w:eastAsia="宋体" w:cs="Times New Roman"/>
                <w:color w:val="auto"/>
                <w:szCs w:val="21"/>
              </w:rPr>
            </w:pPr>
          </w:p>
        </w:tc>
      </w:tr>
      <w:tr w14:paraId="7B2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484C8DF3">
            <w:pPr>
              <w:spacing w:line="360" w:lineRule="auto"/>
              <w:jc w:val="center"/>
              <w:rPr>
                <w:rFonts w:ascii="宋体" w:hAnsi="Calibri" w:eastAsia="宋体" w:cs="Times New Roman"/>
                <w:color w:val="auto"/>
                <w:szCs w:val="21"/>
              </w:rPr>
            </w:pPr>
          </w:p>
        </w:tc>
        <w:tc>
          <w:tcPr>
            <w:tcW w:w="1493" w:type="dxa"/>
          </w:tcPr>
          <w:p w14:paraId="36BF9001">
            <w:pPr>
              <w:spacing w:line="360" w:lineRule="auto"/>
              <w:jc w:val="center"/>
              <w:rPr>
                <w:rFonts w:ascii="宋体" w:hAnsi="Calibri" w:eastAsia="宋体" w:cs="Times New Roman"/>
                <w:color w:val="auto"/>
                <w:szCs w:val="21"/>
              </w:rPr>
            </w:pPr>
          </w:p>
        </w:tc>
        <w:tc>
          <w:tcPr>
            <w:tcW w:w="747" w:type="dxa"/>
          </w:tcPr>
          <w:p w14:paraId="7D6E3D04">
            <w:pPr>
              <w:spacing w:line="360" w:lineRule="auto"/>
              <w:jc w:val="center"/>
              <w:rPr>
                <w:rFonts w:ascii="宋体" w:hAnsi="Calibri" w:eastAsia="宋体" w:cs="Times New Roman"/>
                <w:color w:val="auto"/>
                <w:szCs w:val="21"/>
              </w:rPr>
            </w:pPr>
          </w:p>
        </w:tc>
        <w:tc>
          <w:tcPr>
            <w:tcW w:w="846" w:type="dxa"/>
          </w:tcPr>
          <w:p w14:paraId="4453B415">
            <w:pPr>
              <w:spacing w:line="360" w:lineRule="auto"/>
              <w:jc w:val="center"/>
              <w:rPr>
                <w:rFonts w:ascii="宋体" w:hAnsi="Calibri" w:eastAsia="宋体" w:cs="Times New Roman"/>
                <w:color w:val="auto"/>
                <w:szCs w:val="21"/>
              </w:rPr>
            </w:pPr>
          </w:p>
        </w:tc>
        <w:tc>
          <w:tcPr>
            <w:tcW w:w="1020" w:type="dxa"/>
          </w:tcPr>
          <w:p w14:paraId="61BFAD6A">
            <w:pPr>
              <w:spacing w:line="360" w:lineRule="auto"/>
              <w:jc w:val="center"/>
              <w:rPr>
                <w:rFonts w:ascii="宋体" w:hAnsi="Calibri" w:eastAsia="宋体" w:cs="Times New Roman"/>
                <w:color w:val="auto"/>
                <w:szCs w:val="21"/>
              </w:rPr>
            </w:pPr>
          </w:p>
        </w:tc>
        <w:tc>
          <w:tcPr>
            <w:tcW w:w="846" w:type="dxa"/>
          </w:tcPr>
          <w:p w14:paraId="6807CB0B">
            <w:pPr>
              <w:spacing w:line="360" w:lineRule="auto"/>
              <w:jc w:val="center"/>
              <w:rPr>
                <w:rFonts w:ascii="宋体" w:hAnsi="Calibri" w:eastAsia="宋体" w:cs="Times New Roman"/>
                <w:color w:val="auto"/>
                <w:szCs w:val="21"/>
              </w:rPr>
            </w:pPr>
          </w:p>
        </w:tc>
        <w:tc>
          <w:tcPr>
            <w:tcW w:w="915" w:type="dxa"/>
          </w:tcPr>
          <w:p w14:paraId="38C8F44C">
            <w:pPr>
              <w:spacing w:line="360" w:lineRule="auto"/>
              <w:jc w:val="center"/>
              <w:rPr>
                <w:rFonts w:ascii="宋体" w:hAnsi="Calibri" w:eastAsia="宋体" w:cs="Times New Roman"/>
                <w:color w:val="auto"/>
                <w:szCs w:val="21"/>
              </w:rPr>
            </w:pPr>
          </w:p>
        </w:tc>
        <w:tc>
          <w:tcPr>
            <w:tcW w:w="1655" w:type="dxa"/>
          </w:tcPr>
          <w:p w14:paraId="6FCAB222">
            <w:pPr>
              <w:spacing w:line="360" w:lineRule="auto"/>
              <w:jc w:val="center"/>
              <w:rPr>
                <w:rFonts w:ascii="宋体" w:hAnsi="Calibri" w:eastAsia="宋体" w:cs="Times New Roman"/>
                <w:color w:val="auto"/>
                <w:szCs w:val="21"/>
              </w:rPr>
            </w:pPr>
          </w:p>
        </w:tc>
      </w:tr>
      <w:tr w14:paraId="7E51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16B6622D">
            <w:pPr>
              <w:spacing w:line="360" w:lineRule="auto"/>
              <w:jc w:val="center"/>
              <w:rPr>
                <w:rFonts w:ascii="宋体" w:hAnsi="Calibri" w:eastAsia="宋体" w:cs="Times New Roman"/>
                <w:color w:val="auto"/>
                <w:szCs w:val="21"/>
              </w:rPr>
            </w:pPr>
          </w:p>
        </w:tc>
        <w:tc>
          <w:tcPr>
            <w:tcW w:w="1493" w:type="dxa"/>
          </w:tcPr>
          <w:p w14:paraId="66F34C41">
            <w:pPr>
              <w:spacing w:line="360" w:lineRule="auto"/>
              <w:jc w:val="center"/>
              <w:rPr>
                <w:rFonts w:ascii="宋体" w:hAnsi="Calibri" w:eastAsia="宋体" w:cs="Times New Roman"/>
                <w:color w:val="auto"/>
                <w:szCs w:val="21"/>
              </w:rPr>
            </w:pPr>
          </w:p>
        </w:tc>
        <w:tc>
          <w:tcPr>
            <w:tcW w:w="747" w:type="dxa"/>
          </w:tcPr>
          <w:p w14:paraId="2CC41B9B">
            <w:pPr>
              <w:spacing w:line="360" w:lineRule="auto"/>
              <w:jc w:val="center"/>
              <w:rPr>
                <w:rFonts w:ascii="宋体" w:hAnsi="Calibri" w:eastAsia="宋体" w:cs="Times New Roman"/>
                <w:color w:val="auto"/>
                <w:szCs w:val="21"/>
              </w:rPr>
            </w:pPr>
          </w:p>
        </w:tc>
        <w:tc>
          <w:tcPr>
            <w:tcW w:w="846" w:type="dxa"/>
          </w:tcPr>
          <w:p w14:paraId="701A7EB2">
            <w:pPr>
              <w:spacing w:line="360" w:lineRule="auto"/>
              <w:jc w:val="center"/>
              <w:rPr>
                <w:rFonts w:ascii="宋体" w:hAnsi="Calibri" w:eastAsia="宋体" w:cs="Times New Roman"/>
                <w:color w:val="auto"/>
                <w:szCs w:val="21"/>
              </w:rPr>
            </w:pPr>
          </w:p>
        </w:tc>
        <w:tc>
          <w:tcPr>
            <w:tcW w:w="1020" w:type="dxa"/>
          </w:tcPr>
          <w:p w14:paraId="41919F54">
            <w:pPr>
              <w:spacing w:line="360" w:lineRule="auto"/>
              <w:jc w:val="center"/>
              <w:rPr>
                <w:rFonts w:ascii="宋体" w:hAnsi="Calibri" w:eastAsia="宋体" w:cs="Times New Roman"/>
                <w:color w:val="auto"/>
                <w:szCs w:val="21"/>
              </w:rPr>
            </w:pPr>
          </w:p>
        </w:tc>
        <w:tc>
          <w:tcPr>
            <w:tcW w:w="846" w:type="dxa"/>
          </w:tcPr>
          <w:p w14:paraId="50B1035E">
            <w:pPr>
              <w:spacing w:line="360" w:lineRule="auto"/>
              <w:jc w:val="center"/>
              <w:rPr>
                <w:rFonts w:ascii="宋体" w:hAnsi="Calibri" w:eastAsia="宋体" w:cs="Times New Roman"/>
                <w:color w:val="auto"/>
                <w:szCs w:val="21"/>
              </w:rPr>
            </w:pPr>
          </w:p>
        </w:tc>
        <w:tc>
          <w:tcPr>
            <w:tcW w:w="915" w:type="dxa"/>
          </w:tcPr>
          <w:p w14:paraId="5F095F63">
            <w:pPr>
              <w:spacing w:line="360" w:lineRule="auto"/>
              <w:jc w:val="center"/>
              <w:rPr>
                <w:rFonts w:ascii="宋体" w:hAnsi="Calibri" w:eastAsia="宋体" w:cs="Times New Roman"/>
                <w:color w:val="auto"/>
                <w:szCs w:val="21"/>
              </w:rPr>
            </w:pPr>
          </w:p>
        </w:tc>
        <w:tc>
          <w:tcPr>
            <w:tcW w:w="1655" w:type="dxa"/>
          </w:tcPr>
          <w:p w14:paraId="0F4A5C42">
            <w:pPr>
              <w:spacing w:line="360" w:lineRule="auto"/>
              <w:jc w:val="center"/>
              <w:rPr>
                <w:rFonts w:ascii="宋体" w:hAnsi="Calibri" w:eastAsia="宋体" w:cs="Times New Roman"/>
                <w:color w:val="auto"/>
                <w:szCs w:val="21"/>
              </w:rPr>
            </w:pPr>
          </w:p>
        </w:tc>
      </w:tr>
      <w:tr w14:paraId="10A2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37" w:type="dxa"/>
          </w:tcPr>
          <w:p w14:paraId="01B92DF9">
            <w:pPr>
              <w:spacing w:line="360" w:lineRule="auto"/>
              <w:jc w:val="center"/>
              <w:rPr>
                <w:rFonts w:ascii="宋体" w:hAnsi="Calibri" w:eastAsia="宋体" w:cs="Times New Roman"/>
                <w:color w:val="auto"/>
                <w:szCs w:val="21"/>
              </w:rPr>
            </w:pPr>
          </w:p>
        </w:tc>
        <w:tc>
          <w:tcPr>
            <w:tcW w:w="1493" w:type="dxa"/>
          </w:tcPr>
          <w:p w14:paraId="1490EDDA">
            <w:pPr>
              <w:spacing w:line="360" w:lineRule="auto"/>
              <w:jc w:val="center"/>
              <w:rPr>
                <w:rFonts w:ascii="宋体" w:hAnsi="Calibri" w:eastAsia="宋体" w:cs="Times New Roman"/>
                <w:color w:val="auto"/>
                <w:szCs w:val="21"/>
              </w:rPr>
            </w:pPr>
          </w:p>
        </w:tc>
        <w:tc>
          <w:tcPr>
            <w:tcW w:w="747" w:type="dxa"/>
          </w:tcPr>
          <w:p w14:paraId="783B0950">
            <w:pPr>
              <w:spacing w:line="360" w:lineRule="auto"/>
              <w:jc w:val="center"/>
              <w:rPr>
                <w:rFonts w:ascii="宋体" w:hAnsi="Calibri" w:eastAsia="宋体" w:cs="Times New Roman"/>
                <w:color w:val="auto"/>
                <w:szCs w:val="21"/>
              </w:rPr>
            </w:pPr>
          </w:p>
        </w:tc>
        <w:tc>
          <w:tcPr>
            <w:tcW w:w="846" w:type="dxa"/>
          </w:tcPr>
          <w:p w14:paraId="5F872AD1">
            <w:pPr>
              <w:spacing w:line="360" w:lineRule="auto"/>
              <w:jc w:val="center"/>
              <w:rPr>
                <w:rFonts w:ascii="宋体" w:hAnsi="Calibri" w:eastAsia="宋体" w:cs="Times New Roman"/>
                <w:color w:val="auto"/>
                <w:szCs w:val="21"/>
              </w:rPr>
            </w:pPr>
          </w:p>
        </w:tc>
        <w:tc>
          <w:tcPr>
            <w:tcW w:w="1020" w:type="dxa"/>
          </w:tcPr>
          <w:p w14:paraId="7F92FADD">
            <w:pPr>
              <w:spacing w:line="360" w:lineRule="auto"/>
              <w:jc w:val="center"/>
              <w:rPr>
                <w:rFonts w:ascii="宋体" w:hAnsi="Calibri" w:eastAsia="宋体" w:cs="Times New Roman"/>
                <w:color w:val="auto"/>
                <w:szCs w:val="21"/>
              </w:rPr>
            </w:pPr>
          </w:p>
        </w:tc>
        <w:tc>
          <w:tcPr>
            <w:tcW w:w="846" w:type="dxa"/>
          </w:tcPr>
          <w:p w14:paraId="3B2D9C19">
            <w:pPr>
              <w:spacing w:line="360" w:lineRule="auto"/>
              <w:jc w:val="center"/>
              <w:rPr>
                <w:rFonts w:ascii="宋体" w:hAnsi="Calibri" w:eastAsia="宋体" w:cs="Times New Roman"/>
                <w:color w:val="auto"/>
                <w:szCs w:val="21"/>
              </w:rPr>
            </w:pPr>
          </w:p>
        </w:tc>
        <w:tc>
          <w:tcPr>
            <w:tcW w:w="915" w:type="dxa"/>
          </w:tcPr>
          <w:p w14:paraId="0FCC2924">
            <w:pPr>
              <w:spacing w:line="360" w:lineRule="auto"/>
              <w:jc w:val="center"/>
              <w:rPr>
                <w:rFonts w:ascii="宋体" w:hAnsi="Calibri" w:eastAsia="宋体" w:cs="Times New Roman"/>
                <w:color w:val="auto"/>
                <w:szCs w:val="21"/>
              </w:rPr>
            </w:pPr>
          </w:p>
        </w:tc>
        <w:tc>
          <w:tcPr>
            <w:tcW w:w="1655" w:type="dxa"/>
          </w:tcPr>
          <w:p w14:paraId="6DB9A9A5">
            <w:pPr>
              <w:spacing w:line="360" w:lineRule="auto"/>
              <w:jc w:val="center"/>
              <w:rPr>
                <w:rFonts w:ascii="宋体" w:hAnsi="Calibri" w:eastAsia="宋体" w:cs="Times New Roman"/>
                <w:color w:val="auto"/>
                <w:szCs w:val="21"/>
              </w:rPr>
            </w:pPr>
          </w:p>
        </w:tc>
      </w:tr>
      <w:tr w14:paraId="1434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02ACA3A4">
            <w:pPr>
              <w:spacing w:line="360" w:lineRule="auto"/>
              <w:jc w:val="center"/>
              <w:rPr>
                <w:rFonts w:ascii="宋体" w:hAnsi="Calibri" w:eastAsia="宋体" w:cs="Times New Roman"/>
                <w:color w:val="auto"/>
                <w:szCs w:val="21"/>
              </w:rPr>
            </w:pPr>
          </w:p>
        </w:tc>
        <w:tc>
          <w:tcPr>
            <w:tcW w:w="1493" w:type="dxa"/>
          </w:tcPr>
          <w:p w14:paraId="2AF131A9">
            <w:pPr>
              <w:spacing w:line="360" w:lineRule="auto"/>
              <w:jc w:val="center"/>
              <w:rPr>
                <w:rFonts w:ascii="宋体" w:hAnsi="Calibri" w:eastAsia="宋体" w:cs="Times New Roman"/>
                <w:color w:val="auto"/>
                <w:szCs w:val="21"/>
              </w:rPr>
            </w:pPr>
          </w:p>
        </w:tc>
        <w:tc>
          <w:tcPr>
            <w:tcW w:w="747" w:type="dxa"/>
          </w:tcPr>
          <w:p w14:paraId="30F340A9">
            <w:pPr>
              <w:spacing w:line="360" w:lineRule="auto"/>
              <w:jc w:val="center"/>
              <w:rPr>
                <w:rFonts w:ascii="宋体" w:hAnsi="Calibri" w:eastAsia="宋体" w:cs="Times New Roman"/>
                <w:color w:val="auto"/>
                <w:szCs w:val="21"/>
              </w:rPr>
            </w:pPr>
          </w:p>
        </w:tc>
        <w:tc>
          <w:tcPr>
            <w:tcW w:w="846" w:type="dxa"/>
          </w:tcPr>
          <w:p w14:paraId="7FADDAC3">
            <w:pPr>
              <w:spacing w:line="360" w:lineRule="auto"/>
              <w:jc w:val="center"/>
              <w:rPr>
                <w:rFonts w:ascii="宋体" w:hAnsi="Calibri" w:eastAsia="宋体" w:cs="Times New Roman"/>
                <w:color w:val="auto"/>
                <w:szCs w:val="21"/>
              </w:rPr>
            </w:pPr>
          </w:p>
        </w:tc>
        <w:tc>
          <w:tcPr>
            <w:tcW w:w="1020" w:type="dxa"/>
          </w:tcPr>
          <w:p w14:paraId="41C459BC">
            <w:pPr>
              <w:spacing w:line="360" w:lineRule="auto"/>
              <w:jc w:val="center"/>
              <w:rPr>
                <w:rFonts w:ascii="宋体" w:hAnsi="Calibri" w:eastAsia="宋体" w:cs="Times New Roman"/>
                <w:color w:val="auto"/>
                <w:szCs w:val="21"/>
              </w:rPr>
            </w:pPr>
          </w:p>
        </w:tc>
        <w:tc>
          <w:tcPr>
            <w:tcW w:w="846" w:type="dxa"/>
          </w:tcPr>
          <w:p w14:paraId="79293543">
            <w:pPr>
              <w:spacing w:line="360" w:lineRule="auto"/>
              <w:jc w:val="center"/>
              <w:rPr>
                <w:rFonts w:ascii="宋体" w:hAnsi="Calibri" w:eastAsia="宋体" w:cs="Times New Roman"/>
                <w:color w:val="auto"/>
                <w:szCs w:val="21"/>
              </w:rPr>
            </w:pPr>
          </w:p>
        </w:tc>
        <w:tc>
          <w:tcPr>
            <w:tcW w:w="915" w:type="dxa"/>
          </w:tcPr>
          <w:p w14:paraId="7230055B">
            <w:pPr>
              <w:spacing w:line="360" w:lineRule="auto"/>
              <w:jc w:val="center"/>
              <w:rPr>
                <w:rFonts w:ascii="宋体" w:hAnsi="Calibri" w:eastAsia="宋体" w:cs="Times New Roman"/>
                <w:color w:val="auto"/>
                <w:szCs w:val="21"/>
              </w:rPr>
            </w:pPr>
          </w:p>
        </w:tc>
        <w:tc>
          <w:tcPr>
            <w:tcW w:w="1655" w:type="dxa"/>
          </w:tcPr>
          <w:p w14:paraId="5D31810A">
            <w:pPr>
              <w:spacing w:line="360" w:lineRule="auto"/>
              <w:jc w:val="center"/>
              <w:rPr>
                <w:rFonts w:ascii="宋体" w:hAnsi="Calibri" w:eastAsia="宋体" w:cs="Times New Roman"/>
                <w:color w:val="auto"/>
                <w:szCs w:val="21"/>
              </w:rPr>
            </w:pPr>
          </w:p>
        </w:tc>
      </w:tr>
      <w:tr w14:paraId="406A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2EFC5678">
            <w:pPr>
              <w:spacing w:line="360" w:lineRule="auto"/>
              <w:jc w:val="center"/>
              <w:rPr>
                <w:rFonts w:ascii="宋体" w:hAnsi="Calibri" w:eastAsia="宋体" w:cs="Times New Roman"/>
                <w:color w:val="auto"/>
                <w:szCs w:val="21"/>
              </w:rPr>
            </w:pPr>
          </w:p>
        </w:tc>
        <w:tc>
          <w:tcPr>
            <w:tcW w:w="1493" w:type="dxa"/>
          </w:tcPr>
          <w:p w14:paraId="4CA21F43">
            <w:pPr>
              <w:spacing w:line="360" w:lineRule="auto"/>
              <w:jc w:val="center"/>
              <w:rPr>
                <w:rFonts w:ascii="宋体" w:hAnsi="Calibri" w:eastAsia="宋体" w:cs="Times New Roman"/>
                <w:color w:val="auto"/>
                <w:szCs w:val="21"/>
              </w:rPr>
            </w:pPr>
          </w:p>
        </w:tc>
        <w:tc>
          <w:tcPr>
            <w:tcW w:w="747" w:type="dxa"/>
          </w:tcPr>
          <w:p w14:paraId="24D75686">
            <w:pPr>
              <w:spacing w:line="360" w:lineRule="auto"/>
              <w:jc w:val="center"/>
              <w:rPr>
                <w:rFonts w:ascii="宋体" w:hAnsi="Calibri" w:eastAsia="宋体" w:cs="Times New Roman"/>
                <w:color w:val="auto"/>
                <w:szCs w:val="21"/>
              </w:rPr>
            </w:pPr>
          </w:p>
        </w:tc>
        <w:tc>
          <w:tcPr>
            <w:tcW w:w="846" w:type="dxa"/>
          </w:tcPr>
          <w:p w14:paraId="36116233">
            <w:pPr>
              <w:spacing w:line="360" w:lineRule="auto"/>
              <w:jc w:val="center"/>
              <w:rPr>
                <w:rFonts w:ascii="宋体" w:hAnsi="Calibri" w:eastAsia="宋体" w:cs="Times New Roman"/>
                <w:color w:val="auto"/>
                <w:szCs w:val="21"/>
              </w:rPr>
            </w:pPr>
          </w:p>
        </w:tc>
        <w:tc>
          <w:tcPr>
            <w:tcW w:w="1020" w:type="dxa"/>
          </w:tcPr>
          <w:p w14:paraId="4CCCEDE2">
            <w:pPr>
              <w:spacing w:line="360" w:lineRule="auto"/>
              <w:jc w:val="center"/>
              <w:rPr>
                <w:rFonts w:ascii="宋体" w:hAnsi="Calibri" w:eastAsia="宋体" w:cs="Times New Roman"/>
                <w:color w:val="auto"/>
                <w:szCs w:val="21"/>
              </w:rPr>
            </w:pPr>
          </w:p>
        </w:tc>
        <w:tc>
          <w:tcPr>
            <w:tcW w:w="846" w:type="dxa"/>
          </w:tcPr>
          <w:p w14:paraId="6D1CD260">
            <w:pPr>
              <w:spacing w:line="360" w:lineRule="auto"/>
              <w:jc w:val="center"/>
              <w:rPr>
                <w:rFonts w:ascii="宋体" w:hAnsi="Calibri" w:eastAsia="宋体" w:cs="Times New Roman"/>
                <w:color w:val="auto"/>
                <w:szCs w:val="21"/>
              </w:rPr>
            </w:pPr>
          </w:p>
        </w:tc>
        <w:tc>
          <w:tcPr>
            <w:tcW w:w="915" w:type="dxa"/>
          </w:tcPr>
          <w:p w14:paraId="70109803">
            <w:pPr>
              <w:spacing w:line="360" w:lineRule="auto"/>
              <w:jc w:val="center"/>
              <w:rPr>
                <w:rFonts w:ascii="宋体" w:hAnsi="Calibri" w:eastAsia="宋体" w:cs="Times New Roman"/>
                <w:color w:val="auto"/>
                <w:szCs w:val="21"/>
              </w:rPr>
            </w:pPr>
          </w:p>
        </w:tc>
        <w:tc>
          <w:tcPr>
            <w:tcW w:w="1655" w:type="dxa"/>
          </w:tcPr>
          <w:p w14:paraId="0ED219A4">
            <w:pPr>
              <w:spacing w:line="360" w:lineRule="auto"/>
              <w:jc w:val="center"/>
              <w:rPr>
                <w:rFonts w:ascii="宋体" w:hAnsi="Calibri" w:eastAsia="宋体" w:cs="Times New Roman"/>
                <w:color w:val="auto"/>
                <w:szCs w:val="21"/>
              </w:rPr>
            </w:pPr>
          </w:p>
        </w:tc>
      </w:tr>
      <w:tr w14:paraId="2133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7" w:type="dxa"/>
          </w:tcPr>
          <w:p w14:paraId="7D6A8CB2">
            <w:pPr>
              <w:spacing w:line="360" w:lineRule="auto"/>
              <w:jc w:val="center"/>
              <w:rPr>
                <w:rFonts w:ascii="宋体" w:hAnsi="Calibri" w:eastAsia="宋体" w:cs="Times New Roman"/>
                <w:color w:val="auto"/>
                <w:szCs w:val="21"/>
              </w:rPr>
            </w:pPr>
          </w:p>
        </w:tc>
        <w:tc>
          <w:tcPr>
            <w:tcW w:w="1493" w:type="dxa"/>
          </w:tcPr>
          <w:p w14:paraId="6A61A5E5">
            <w:pPr>
              <w:spacing w:line="360" w:lineRule="auto"/>
              <w:jc w:val="center"/>
              <w:rPr>
                <w:rFonts w:ascii="宋体" w:hAnsi="Calibri" w:eastAsia="宋体" w:cs="Times New Roman"/>
                <w:color w:val="auto"/>
                <w:szCs w:val="21"/>
              </w:rPr>
            </w:pPr>
          </w:p>
        </w:tc>
        <w:tc>
          <w:tcPr>
            <w:tcW w:w="747" w:type="dxa"/>
          </w:tcPr>
          <w:p w14:paraId="3EEC9CDA">
            <w:pPr>
              <w:spacing w:line="360" w:lineRule="auto"/>
              <w:jc w:val="center"/>
              <w:rPr>
                <w:rFonts w:ascii="宋体" w:hAnsi="Calibri" w:eastAsia="宋体" w:cs="Times New Roman"/>
                <w:color w:val="auto"/>
                <w:szCs w:val="21"/>
              </w:rPr>
            </w:pPr>
          </w:p>
        </w:tc>
        <w:tc>
          <w:tcPr>
            <w:tcW w:w="846" w:type="dxa"/>
          </w:tcPr>
          <w:p w14:paraId="09BB39B0">
            <w:pPr>
              <w:spacing w:line="360" w:lineRule="auto"/>
              <w:jc w:val="center"/>
              <w:rPr>
                <w:rFonts w:ascii="宋体" w:hAnsi="Calibri" w:eastAsia="宋体" w:cs="Times New Roman"/>
                <w:color w:val="auto"/>
                <w:szCs w:val="21"/>
              </w:rPr>
            </w:pPr>
          </w:p>
        </w:tc>
        <w:tc>
          <w:tcPr>
            <w:tcW w:w="1020" w:type="dxa"/>
          </w:tcPr>
          <w:p w14:paraId="3F94F8C1">
            <w:pPr>
              <w:spacing w:line="360" w:lineRule="auto"/>
              <w:jc w:val="center"/>
              <w:rPr>
                <w:rFonts w:ascii="宋体" w:hAnsi="Calibri" w:eastAsia="宋体" w:cs="Times New Roman"/>
                <w:color w:val="auto"/>
                <w:szCs w:val="21"/>
              </w:rPr>
            </w:pPr>
          </w:p>
        </w:tc>
        <w:tc>
          <w:tcPr>
            <w:tcW w:w="846" w:type="dxa"/>
          </w:tcPr>
          <w:p w14:paraId="5B1C73F5">
            <w:pPr>
              <w:spacing w:line="360" w:lineRule="auto"/>
              <w:jc w:val="center"/>
              <w:rPr>
                <w:rFonts w:ascii="宋体" w:hAnsi="Calibri" w:eastAsia="宋体" w:cs="Times New Roman"/>
                <w:color w:val="auto"/>
                <w:szCs w:val="21"/>
              </w:rPr>
            </w:pPr>
          </w:p>
        </w:tc>
        <w:tc>
          <w:tcPr>
            <w:tcW w:w="915" w:type="dxa"/>
          </w:tcPr>
          <w:p w14:paraId="4128DCE3">
            <w:pPr>
              <w:spacing w:line="360" w:lineRule="auto"/>
              <w:jc w:val="center"/>
              <w:rPr>
                <w:rFonts w:ascii="宋体" w:hAnsi="Calibri" w:eastAsia="宋体" w:cs="Times New Roman"/>
                <w:color w:val="auto"/>
                <w:szCs w:val="21"/>
              </w:rPr>
            </w:pPr>
          </w:p>
        </w:tc>
        <w:tc>
          <w:tcPr>
            <w:tcW w:w="1655" w:type="dxa"/>
          </w:tcPr>
          <w:p w14:paraId="608777E2">
            <w:pPr>
              <w:spacing w:line="360" w:lineRule="auto"/>
              <w:jc w:val="center"/>
              <w:rPr>
                <w:rFonts w:ascii="宋体" w:hAnsi="Calibri" w:eastAsia="宋体" w:cs="Times New Roman"/>
                <w:color w:val="auto"/>
                <w:szCs w:val="21"/>
              </w:rPr>
            </w:pPr>
          </w:p>
        </w:tc>
      </w:tr>
    </w:tbl>
    <w:p w14:paraId="4FE520E8">
      <w:pPr>
        <w:autoSpaceDE w:val="0"/>
        <w:autoSpaceDN w:val="0"/>
        <w:adjustRightInd w:val="0"/>
        <w:spacing w:line="480" w:lineRule="auto"/>
        <w:ind w:firstLine="2160" w:firstLineChars="900"/>
        <w:rPr>
          <w:rFonts w:ascii="等线" w:hAnsi="等线" w:eastAsia="等线" w:cs="宋体"/>
          <w:color w:val="auto"/>
          <w:sz w:val="24"/>
          <w:szCs w:val="24"/>
          <w:lang w:val="zh-CN"/>
        </w:rPr>
      </w:pPr>
    </w:p>
    <w:p w14:paraId="7D768DFD">
      <w:pPr>
        <w:autoSpaceDE w:val="0"/>
        <w:autoSpaceDN w:val="0"/>
        <w:adjustRightInd w:val="0"/>
        <w:spacing w:line="480" w:lineRule="auto"/>
        <w:ind w:firstLine="2160" w:firstLineChars="900"/>
        <w:rPr>
          <w:rFonts w:ascii="等线" w:hAnsi="等线" w:eastAsia="等线" w:cs="宋体"/>
          <w:color w:val="auto"/>
          <w:sz w:val="24"/>
          <w:szCs w:val="24"/>
          <w:lang w:val="zh-CN"/>
        </w:rPr>
      </w:pPr>
    </w:p>
    <w:p w14:paraId="7B95A95A">
      <w:pPr>
        <w:autoSpaceDE w:val="0"/>
        <w:autoSpaceDN w:val="0"/>
        <w:adjustRightInd w:val="0"/>
        <w:spacing w:line="480" w:lineRule="auto"/>
        <w:ind w:firstLine="2100" w:firstLineChars="1000"/>
        <w:rPr>
          <w:rFonts w:ascii="宋体" w:hAnsi="宋体" w:eastAsia="宋体" w:cs="宋体"/>
          <w:color w:val="auto"/>
          <w:szCs w:val="21"/>
          <w:lang w:val="zh-CN"/>
        </w:rPr>
      </w:pPr>
      <w:bookmarkStart w:id="68" w:name="_Hlk64723815"/>
      <w:r>
        <w:rPr>
          <w:rFonts w:hint="eastAsia" w:ascii="宋体" w:hAnsi="宋体" w:eastAsia="宋体" w:cs="宋体"/>
          <w:color w:val="auto"/>
          <w:szCs w:val="21"/>
          <w:lang w:val="zh-CN"/>
        </w:rPr>
        <w:t>供应商名称（公章）：</w:t>
      </w:r>
    </w:p>
    <w:p w14:paraId="5F3D561C">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14:paraId="4AFEE522">
      <w:pPr>
        <w:autoSpaceDE w:val="0"/>
        <w:autoSpaceDN w:val="0"/>
        <w:adjustRightInd w:val="0"/>
        <w:spacing w:line="360" w:lineRule="auto"/>
        <w:outlineLvl w:val="0"/>
        <w:rPr>
          <w:rFonts w:ascii="宋体" w:hAnsi="宋体" w:eastAsia="宋体" w:cs="宋体"/>
          <w:b/>
          <w:bCs/>
          <w:color w:val="auto"/>
          <w:szCs w:val="21"/>
        </w:rPr>
      </w:pPr>
      <w:r>
        <w:rPr>
          <w:rFonts w:hint="eastAsia" w:ascii="宋体" w:hAnsi="宋体" w:eastAsia="宋体" w:cs="宋体"/>
          <w:color w:val="auto"/>
          <w:szCs w:val="21"/>
          <w:lang w:val="zh-CN"/>
        </w:rPr>
        <w:t xml:space="preserve">                    日      期：</w:t>
      </w:r>
    </w:p>
    <w:bookmarkEnd w:id="68"/>
    <w:p w14:paraId="5506F814">
      <w:pPr>
        <w:pStyle w:val="6"/>
        <w:ind w:left="420" w:firstLine="420"/>
        <w:rPr>
          <w:rFonts w:hint="default" w:ascii="宋体" w:hAnsi="宋体" w:eastAsia="宋体" w:cs="宋体"/>
          <w:color w:val="auto"/>
          <w:sz w:val="21"/>
          <w:szCs w:val="21"/>
          <w:lang w:eastAsia="zh-CN"/>
        </w:rPr>
      </w:pPr>
    </w:p>
    <w:p w14:paraId="2A3B6BA2">
      <w:pPr>
        <w:rPr>
          <w:color w:val="auto"/>
        </w:rPr>
      </w:pPr>
    </w:p>
    <w:p w14:paraId="59003D62">
      <w:pPr>
        <w:pStyle w:val="6"/>
        <w:ind w:left="420" w:firstLine="420"/>
        <w:rPr>
          <w:rFonts w:hint="default" w:ascii="宋体" w:hAnsi="宋体" w:eastAsia="宋体" w:cs="宋体"/>
          <w:color w:val="auto"/>
          <w:sz w:val="21"/>
          <w:szCs w:val="21"/>
          <w:lang w:eastAsia="zh-CN"/>
        </w:rPr>
      </w:pPr>
    </w:p>
    <w:p w14:paraId="3BF394A0">
      <w:pPr>
        <w:rPr>
          <w:color w:val="auto"/>
        </w:rPr>
      </w:pPr>
    </w:p>
    <w:p w14:paraId="4B2DE8AA">
      <w:pPr>
        <w:keepNext/>
        <w:keepLines/>
        <w:spacing w:line="360" w:lineRule="auto"/>
        <w:ind w:firstLine="2891" w:firstLineChars="1200"/>
        <w:outlineLvl w:val="1"/>
        <w:rPr>
          <w:rFonts w:ascii="宋体" w:hAnsi="宋体" w:eastAsia="宋体" w:cs="宋体"/>
          <w:b/>
          <w:bCs/>
          <w:color w:val="auto"/>
          <w:sz w:val="24"/>
          <w:szCs w:val="24"/>
        </w:rPr>
      </w:pPr>
      <w:r>
        <w:rPr>
          <w:rFonts w:hint="eastAsia" w:ascii="宋体" w:hAnsi="宋体" w:eastAsia="宋体" w:cs="宋体"/>
          <w:b/>
          <w:bCs/>
          <w:color w:val="auto"/>
          <w:sz w:val="24"/>
          <w:szCs w:val="24"/>
        </w:rPr>
        <w:t>4.7 主要人员简历表</w:t>
      </w:r>
    </w:p>
    <w:p w14:paraId="14F732B1">
      <w:pPr>
        <w:spacing w:line="360" w:lineRule="auto"/>
        <w:jc w:val="center"/>
        <w:rPr>
          <w:rFonts w:ascii="宋体" w:hAnsi="宋体" w:eastAsia="宋体" w:cs="宋体"/>
          <w:b/>
          <w:color w:val="auto"/>
          <w:szCs w:val="21"/>
        </w:rPr>
      </w:pPr>
    </w:p>
    <w:tbl>
      <w:tblPr>
        <w:tblStyle w:val="2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473"/>
      </w:tblGrid>
      <w:tr w14:paraId="0E36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520" w:type="dxa"/>
            <w:vAlign w:val="center"/>
          </w:tcPr>
          <w:p w14:paraId="2E8F35B9">
            <w:pPr>
              <w:spacing w:line="360" w:lineRule="auto"/>
              <w:jc w:val="center"/>
              <w:rPr>
                <w:rFonts w:ascii="宋体" w:hAnsi="宋体" w:eastAsia="宋体" w:cs="宋体"/>
                <w:color w:val="auto"/>
                <w:szCs w:val="21"/>
              </w:rPr>
            </w:pPr>
            <w:r>
              <w:rPr>
                <w:rFonts w:hint="eastAsia" w:ascii="宋体" w:hAnsi="宋体" w:eastAsia="宋体" w:cs="宋体"/>
                <w:color w:val="auto"/>
                <w:szCs w:val="21"/>
              </w:rPr>
              <w:t>姓  名</w:t>
            </w:r>
          </w:p>
        </w:tc>
        <w:tc>
          <w:tcPr>
            <w:tcW w:w="1851" w:type="dxa"/>
            <w:gridSpan w:val="2"/>
            <w:vAlign w:val="center"/>
          </w:tcPr>
          <w:p w14:paraId="43F103EB">
            <w:pPr>
              <w:spacing w:line="360" w:lineRule="auto"/>
              <w:jc w:val="center"/>
              <w:rPr>
                <w:rFonts w:ascii="宋体" w:hAnsi="宋体" w:eastAsia="宋体" w:cs="宋体"/>
                <w:color w:val="auto"/>
                <w:szCs w:val="21"/>
              </w:rPr>
            </w:pPr>
          </w:p>
        </w:tc>
        <w:tc>
          <w:tcPr>
            <w:tcW w:w="1041" w:type="dxa"/>
            <w:gridSpan w:val="2"/>
            <w:vAlign w:val="center"/>
          </w:tcPr>
          <w:p w14:paraId="5DF099B0">
            <w:pPr>
              <w:spacing w:line="360" w:lineRule="auto"/>
              <w:rPr>
                <w:rFonts w:ascii="宋体" w:hAnsi="宋体" w:eastAsia="宋体" w:cs="宋体"/>
                <w:color w:val="auto"/>
                <w:szCs w:val="21"/>
              </w:rPr>
            </w:pPr>
            <w:r>
              <w:rPr>
                <w:rFonts w:hint="eastAsia" w:ascii="宋体" w:hAnsi="宋体" w:eastAsia="宋体" w:cs="宋体"/>
                <w:color w:val="auto"/>
                <w:szCs w:val="21"/>
              </w:rPr>
              <w:t>性 别</w:t>
            </w:r>
          </w:p>
        </w:tc>
        <w:tc>
          <w:tcPr>
            <w:tcW w:w="1041" w:type="dxa"/>
            <w:vAlign w:val="center"/>
          </w:tcPr>
          <w:p w14:paraId="13550172">
            <w:pPr>
              <w:spacing w:line="360" w:lineRule="auto"/>
              <w:rPr>
                <w:rFonts w:ascii="宋体" w:hAnsi="宋体" w:eastAsia="宋体" w:cs="宋体"/>
                <w:color w:val="auto"/>
                <w:szCs w:val="21"/>
              </w:rPr>
            </w:pPr>
          </w:p>
        </w:tc>
        <w:tc>
          <w:tcPr>
            <w:tcW w:w="1041" w:type="dxa"/>
            <w:gridSpan w:val="2"/>
            <w:vAlign w:val="center"/>
          </w:tcPr>
          <w:p w14:paraId="2F1AE759">
            <w:pPr>
              <w:spacing w:line="360" w:lineRule="auto"/>
              <w:rPr>
                <w:rFonts w:ascii="宋体" w:hAnsi="宋体" w:eastAsia="宋体" w:cs="宋体"/>
                <w:color w:val="auto"/>
                <w:szCs w:val="21"/>
              </w:rPr>
            </w:pPr>
            <w:r>
              <w:rPr>
                <w:rFonts w:hint="eastAsia" w:ascii="宋体" w:hAnsi="宋体" w:eastAsia="宋体" w:cs="宋体"/>
                <w:color w:val="auto"/>
                <w:szCs w:val="21"/>
              </w:rPr>
              <w:t>出生 日  期</w:t>
            </w:r>
          </w:p>
        </w:tc>
        <w:tc>
          <w:tcPr>
            <w:tcW w:w="2573" w:type="dxa"/>
            <w:gridSpan w:val="2"/>
            <w:vAlign w:val="center"/>
          </w:tcPr>
          <w:p w14:paraId="2A985439">
            <w:pPr>
              <w:spacing w:line="360" w:lineRule="auto"/>
              <w:rPr>
                <w:rFonts w:ascii="宋体" w:hAnsi="宋体" w:eastAsia="宋体" w:cs="宋体"/>
                <w:color w:val="auto"/>
                <w:szCs w:val="21"/>
              </w:rPr>
            </w:pPr>
            <w:r>
              <w:rPr>
                <w:rFonts w:hint="eastAsia" w:ascii="宋体" w:hAnsi="宋体" w:eastAsia="宋体" w:cs="宋体"/>
                <w:color w:val="auto"/>
                <w:szCs w:val="21"/>
              </w:rPr>
              <w:t xml:space="preserve">      年    月   日</w:t>
            </w:r>
          </w:p>
        </w:tc>
      </w:tr>
      <w:tr w14:paraId="236E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20" w:type="dxa"/>
            <w:vAlign w:val="center"/>
          </w:tcPr>
          <w:p w14:paraId="52BA361D">
            <w:pPr>
              <w:spacing w:line="360" w:lineRule="auto"/>
              <w:rPr>
                <w:rFonts w:ascii="宋体" w:hAnsi="宋体" w:eastAsia="宋体" w:cs="宋体"/>
                <w:color w:val="auto"/>
                <w:szCs w:val="21"/>
              </w:rPr>
            </w:pPr>
            <w:r>
              <w:rPr>
                <w:rFonts w:hint="eastAsia" w:ascii="宋体" w:hAnsi="宋体" w:eastAsia="宋体" w:cs="宋体"/>
                <w:color w:val="auto"/>
                <w:szCs w:val="21"/>
              </w:rPr>
              <w:t>毕业院校及专业</w:t>
            </w:r>
          </w:p>
        </w:tc>
        <w:tc>
          <w:tcPr>
            <w:tcW w:w="3933" w:type="dxa"/>
            <w:gridSpan w:val="5"/>
            <w:vAlign w:val="center"/>
          </w:tcPr>
          <w:p w14:paraId="55631856">
            <w:pPr>
              <w:spacing w:line="360" w:lineRule="auto"/>
              <w:rPr>
                <w:rFonts w:ascii="宋体" w:hAnsi="宋体" w:eastAsia="宋体" w:cs="宋体"/>
                <w:color w:val="auto"/>
                <w:szCs w:val="21"/>
              </w:rPr>
            </w:pPr>
          </w:p>
        </w:tc>
        <w:tc>
          <w:tcPr>
            <w:tcW w:w="1041" w:type="dxa"/>
            <w:gridSpan w:val="2"/>
            <w:vAlign w:val="center"/>
          </w:tcPr>
          <w:p w14:paraId="704D8416">
            <w:pPr>
              <w:spacing w:line="360" w:lineRule="auto"/>
              <w:ind w:left="-18"/>
              <w:rPr>
                <w:rFonts w:ascii="宋体" w:hAnsi="宋体" w:eastAsia="宋体" w:cs="宋体"/>
                <w:color w:val="auto"/>
                <w:szCs w:val="21"/>
              </w:rPr>
            </w:pPr>
            <w:r>
              <w:rPr>
                <w:rFonts w:hint="eastAsia" w:ascii="宋体" w:hAnsi="宋体" w:eastAsia="宋体" w:cs="宋体"/>
                <w:color w:val="auto"/>
                <w:szCs w:val="21"/>
              </w:rPr>
              <w:t>毕  业</w:t>
            </w:r>
          </w:p>
          <w:p w14:paraId="3854ADCA">
            <w:pPr>
              <w:spacing w:line="360" w:lineRule="auto"/>
              <w:ind w:left="-18"/>
              <w:rPr>
                <w:rFonts w:ascii="宋体" w:hAnsi="宋体" w:eastAsia="宋体" w:cs="宋体"/>
                <w:color w:val="auto"/>
                <w:szCs w:val="21"/>
              </w:rPr>
            </w:pPr>
            <w:r>
              <w:rPr>
                <w:rFonts w:hint="eastAsia" w:ascii="宋体" w:hAnsi="宋体" w:eastAsia="宋体" w:cs="宋体"/>
                <w:color w:val="auto"/>
                <w:szCs w:val="21"/>
              </w:rPr>
              <w:t>时  间</w:t>
            </w:r>
          </w:p>
        </w:tc>
        <w:tc>
          <w:tcPr>
            <w:tcW w:w="2573" w:type="dxa"/>
            <w:gridSpan w:val="2"/>
            <w:vAlign w:val="center"/>
          </w:tcPr>
          <w:p w14:paraId="1AB60DF8">
            <w:pPr>
              <w:spacing w:line="360" w:lineRule="auto"/>
              <w:ind w:left="45"/>
              <w:rPr>
                <w:rFonts w:ascii="宋体" w:hAnsi="宋体" w:eastAsia="宋体" w:cs="宋体"/>
                <w:color w:val="auto"/>
                <w:szCs w:val="21"/>
              </w:rPr>
            </w:pPr>
            <w:r>
              <w:rPr>
                <w:rFonts w:hint="eastAsia" w:ascii="宋体" w:hAnsi="宋体" w:eastAsia="宋体" w:cs="宋体"/>
                <w:color w:val="auto"/>
                <w:szCs w:val="21"/>
              </w:rPr>
              <w:t xml:space="preserve">      年    月   日</w:t>
            </w:r>
          </w:p>
        </w:tc>
      </w:tr>
      <w:tr w14:paraId="7A5A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98" w:type="dxa"/>
            <w:gridSpan w:val="2"/>
            <w:vAlign w:val="center"/>
          </w:tcPr>
          <w:p w14:paraId="5657C57B">
            <w:pPr>
              <w:spacing w:line="360" w:lineRule="auto"/>
              <w:jc w:val="center"/>
              <w:rPr>
                <w:rFonts w:ascii="宋体" w:hAnsi="宋体" w:eastAsia="宋体" w:cs="宋体"/>
                <w:color w:val="auto"/>
                <w:szCs w:val="21"/>
              </w:rPr>
            </w:pPr>
            <w:r>
              <w:rPr>
                <w:rFonts w:hint="eastAsia" w:ascii="宋体" w:hAnsi="宋体" w:eastAsia="宋体" w:cs="宋体"/>
                <w:color w:val="auto"/>
                <w:szCs w:val="21"/>
              </w:rPr>
              <w:t>从事本专业时间</w:t>
            </w:r>
          </w:p>
        </w:tc>
        <w:tc>
          <w:tcPr>
            <w:tcW w:w="6869" w:type="dxa"/>
            <w:gridSpan w:val="8"/>
            <w:vAlign w:val="center"/>
          </w:tcPr>
          <w:p w14:paraId="23274B49">
            <w:pPr>
              <w:spacing w:line="360" w:lineRule="auto"/>
              <w:rPr>
                <w:rFonts w:ascii="宋体" w:hAnsi="宋体" w:eastAsia="宋体" w:cs="宋体"/>
                <w:color w:val="auto"/>
                <w:szCs w:val="21"/>
              </w:rPr>
            </w:pPr>
          </w:p>
        </w:tc>
      </w:tr>
      <w:tr w14:paraId="5029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8" w:type="dxa"/>
            <w:gridSpan w:val="2"/>
            <w:vAlign w:val="center"/>
          </w:tcPr>
          <w:p w14:paraId="2CE53F0B">
            <w:pPr>
              <w:spacing w:line="360" w:lineRule="auto"/>
              <w:jc w:val="center"/>
              <w:rPr>
                <w:rFonts w:ascii="宋体" w:hAnsi="宋体" w:eastAsia="宋体" w:cs="宋体"/>
                <w:color w:val="auto"/>
                <w:szCs w:val="21"/>
              </w:rPr>
            </w:pPr>
            <w:r>
              <w:rPr>
                <w:rFonts w:hint="eastAsia" w:ascii="宋体" w:hAnsi="宋体" w:eastAsia="宋体" w:cs="宋体"/>
                <w:color w:val="auto"/>
                <w:szCs w:val="21"/>
              </w:rPr>
              <w:t>执 业 注 册</w:t>
            </w:r>
          </w:p>
        </w:tc>
        <w:tc>
          <w:tcPr>
            <w:tcW w:w="1851" w:type="dxa"/>
            <w:gridSpan w:val="2"/>
            <w:vAlign w:val="center"/>
          </w:tcPr>
          <w:p w14:paraId="6A09B9D0">
            <w:pPr>
              <w:spacing w:line="360" w:lineRule="auto"/>
              <w:rPr>
                <w:rFonts w:ascii="宋体" w:hAnsi="宋体" w:eastAsia="宋体" w:cs="宋体"/>
                <w:color w:val="auto"/>
                <w:szCs w:val="21"/>
              </w:rPr>
            </w:pPr>
          </w:p>
        </w:tc>
        <w:tc>
          <w:tcPr>
            <w:tcW w:w="2429" w:type="dxa"/>
            <w:gridSpan w:val="3"/>
            <w:vAlign w:val="center"/>
          </w:tcPr>
          <w:p w14:paraId="25139B1B">
            <w:pPr>
              <w:spacing w:line="360" w:lineRule="auto"/>
              <w:jc w:val="center"/>
              <w:rPr>
                <w:rFonts w:ascii="宋体" w:hAnsi="宋体" w:eastAsia="宋体" w:cs="宋体"/>
                <w:color w:val="auto"/>
                <w:szCs w:val="21"/>
              </w:rPr>
            </w:pPr>
            <w:r>
              <w:rPr>
                <w:rFonts w:hint="eastAsia" w:ascii="宋体" w:hAnsi="宋体" w:eastAsia="宋体" w:cs="宋体"/>
                <w:color w:val="auto"/>
                <w:szCs w:val="21"/>
              </w:rPr>
              <w:t>职       称</w:t>
            </w:r>
          </w:p>
        </w:tc>
        <w:tc>
          <w:tcPr>
            <w:tcW w:w="2589" w:type="dxa"/>
            <w:gridSpan w:val="3"/>
            <w:vAlign w:val="center"/>
          </w:tcPr>
          <w:p w14:paraId="2DB2829D">
            <w:pPr>
              <w:spacing w:line="360" w:lineRule="auto"/>
              <w:rPr>
                <w:rFonts w:ascii="宋体" w:hAnsi="宋体" w:eastAsia="宋体" w:cs="宋体"/>
                <w:color w:val="auto"/>
                <w:szCs w:val="21"/>
              </w:rPr>
            </w:pPr>
          </w:p>
        </w:tc>
      </w:tr>
      <w:tr w14:paraId="415A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67" w:type="dxa"/>
            <w:gridSpan w:val="10"/>
            <w:vAlign w:val="center"/>
          </w:tcPr>
          <w:p w14:paraId="0971EA1E">
            <w:pPr>
              <w:spacing w:line="360" w:lineRule="auto"/>
              <w:rPr>
                <w:rFonts w:ascii="宋体" w:hAnsi="宋体" w:eastAsia="宋体" w:cs="宋体"/>
                <w:color w:val="auto"/>
                <w:szCs w:val="21"/>
              </w:rPr>
            </w:pPr>
            <w:r>
              <w:rPr>
                <w:rFonts w:hint="eastAsia" w:ascii="宋体" w:hAnsi="宋体" w:eastAsia="宋体" w:cs="宋体"/>
                <w:color w:val="auto"/>
                <w:szCs w:val="21"/>
              </w:rPr>
              <w:t xml:space="preserve">                          主  要  经  历</w:t>
            </w:r>
          </w:p>
        </w:tc>
      </w:tr>
      <w:tr w14:paraId="21F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8" w:type="dxa"/>
            <w:gridSpan w:val="2"/>
            <w:vAlign w:val="center"/>
          </w:tcPr>
          <w:p w14:paraId="210ECFBD">
            <w:pPr>
              <w:spacing w:line="360" w:lineRule="auto"/>
              <w:jc w:val="center"/>
              <w:rPr>
                <w:rFonts w:ascii="宋体" w:hAnsi="宋体" w:eastAsia="宋体" w:cs="宋体"/>
                <w:color w:val="auto"/>
                <w:szCs w:val="21"/>
              </w:rPr>
            </w:pPr>
            <w:r>
              <w:rPr>
                <w:rFonts w:hint="eastAsia" w:ascii="宋体" w:hAnsi="宋体" w:eastAsia="宋体" w:cs="宋体"/>
                <w:color w:val="auto"/>
                <w:szCs w:val="21"/>
              </w:rPr>
              <w:t>时   间</w:t>
            </w:r>
          </w:p>
        </w:tc>
        <w:tc>
          <w:tcPr>
            <w:tcW w:w="4396" w:type="dxa"/>
            <w:gridSpan w:val="7"/>
            <w:vAlign w:val="center"/>
          </w:tcPr>
          <w:p w14:paraId="3B414957">
            <w:pPr>
              <w:spacing w:line="360" w:lineRule="auto"/>
              <w:rPr>
                <w:rFonts w:ascii="宋体" w:hAnsi="宋体" w:eastAsia="宋体" w:cs="宋体"/>
                <w:color w:val="auto"/>
                <w:szCs w:val="21"/>
              </w:rPr>
            </w:pPr>
            <w:r>
              <w:rPr>
                <w:rFonts w:hint="eastAsia" w:ascii="宋体" w:hAnsi="宋体" w:eastAsia="宋体" w:cs="宋体"/>
                <w:color w:val="auto"/>
                <w:szCs w:val="21"/>
              </w:rPr>
              <w:t xml:space="preserve"> 参加过的类似项目名称及规模</w:t>
            </w:r>
          </w:p>
        </w:tc>
        <w:tc>
          <w:tcPr>
            <w:tcW w:w="2473" w:type="dxa"/>
            <w:vAlign w:val="center"/>
          </w:tcPr>
          <w:p w14:paraId="68B0856D">
            <w:pPr>
              <w:spacing w:line="360" w:lineRule="auto"/>
              <w:rPr>
                <w:rFonts w:ascii="宋体" w:hAnsi="宋体" w:eastAsia="宋体" w:cs="宋体"/>
                <w:color w:val="auto"/>
                <w:szCs w:val="21"/>
              </w:rPr>
            </w:pPr>
            <w:r>
              <w:rPr>
                <w:rFonts w:hint="eastAsia" w:ascii="宋体" w:hAnsi="宋体" w:eastAsia="宋体" w:cs="宋体"/>
                <w:color w:val="auto"/>
                <w:szCs w:val="21"/>
              </w:rPr>
              <w:t xml:space="preserve"> 该项目中任职</w:t>
            </w:r>
          </w:p>
        </w:tc>
      </w:tr>
      <w:tr w14:paraId="085F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2198" w:type="dxa"/>
            <w:gridSpan w:val="2"/>
          </w:tcPr>
          <w:p w14:paraId="049B6198">
            <w:pPr>
              <w:spacing w:line="360" w:lineRule="auto"/>
              <w:rPr>
                <w:rFonts w:ascii="宋体" w:hAnsi="宋体" w:eastAsia="宋体" w:cs="宋体"/>
                <w:color w:val="auto"/>
                <w:szCs w:val="21"/>
              </w:rPr>
            </w:pPr>
          </w:p>
        </w:tc>
        <w:tc>
          <w:tcPr>
            <w:tcW w:w="4396" w:type="dxa"/>
            <w:gridSpan w:val="7"/>
          </w:tcPr>
          <w:p w14:paraId="57D9A738">
            <w:pPr>
              <w:spacing w:line="360" w:lineRule="auto"/>
              <w:rPr>
                <w:rFonts w:ascii="宋体" w:hAnsi="宋体" w:eastAsia="宋体" w:cs="宋体"/>
                <w:color w:val="auto"/>
                <w:szCs w:val="21"/>
              </w:rPr>
            </w:pPr>
          </w:p>
        </w:tc>
        <w:tc>
          <w:tcPr>
            <w:tcW w:w="2473" w:type="dxa"/>
          </w:tcPr>
          <w:p w14:paraId="16EA5669">
            <w:pPr>
              <w:spacing w:line="360" w:lineRule="auto"/>
              <w:rPr>
                <w:rFonts w:ascii="宋体" w:hAnsi="宋体" w:eastAsia="宋体" w:cs="宋体"/>
                <w:color w:val="auto"/>
                <w:szCs w:val="21"/>
              </w:rPr>
            </w:pPr>
          </w:p>
        </w:tc>
      </w:tr>
    </w:tbl>
    <w:p w14:paraId="2E34E01A">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供应商名称（公章）：</w:t>
      </w:r>
    </w:p>
    <w:p w14:paraId="190C176F">
      <w:pPr>
        <w:autoSpaceDE w:val="0"/>
        <w:autoSpaceDN w:val="0"/>
        <w:adjustRightInd w:val="0"/>
        <w:spacing w:line="480" w:lineRule="auto"/>
        <w:ind w:firstLine="2100" w:firstLineChars="1000"/>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14:paraId="5B4B6844">
      <w:pPr>
        <w:autoSpaceDE w:val="0"/>
        <w:autoSpaceDN w:val="0"/>
        <w:adjustRightInd w:val="0"/>
        <w:spacing w:line="360" w:lineRule="auto"/>
        <w:outlineLvl w:val="0"/>
        <w:rPr>
          <w:rFonts w:ascii="宋体" w:hAnsi="宋体" w:eastAsia="宋体" w:cs="宋体"/>
          <w:b/>
          <w:bCs/>
          <w:color w:val="auto"/>
          <w:szCs w:val="21"/>
        </w:rPr>
      </w:pPr>
      <w:r>
        <w:rPr>
          <w:rFonts w:hint="eastAsia" w:ascii="宋体" w:hAnsi="宋体" w:eastAsia="宋体" w:cs="宋体"/>
          <w:color w:val="auto"/>
          <w:szCs w:val="21"/>
          <w:lang w:val="zh-CN"/>
        </w:rPr>
        <w:t xml:space="preserve"> 日      期：</w:t>
      </w:r>
    </w:p>
    <w:p w14:paraId="69D80B9A">
      <w:pPr>
        <w:spacing w:line="360" w:lineRule="auto"/>
        <w:ind w:left="945" w:hanging="525"/>
        <w:rPr>
          <w:rFonts w:ascii="宋体" w:hAnsi="宋体" w:eastAsia="宋体" w:cs="宋体"/>
          <w:color w:val="auto"/>
          <w:szCs w:val="21"/>
        </w:rPr>
      </w:pPr>
      <w:r>
        <w:rPr>
          <w:rFonts w:hint="eastAsia" w:ascii="宋体" w:hAnsi="宋体" w:eastAsia="宋体" w:cs="宋体"/>
          <w:color w:val="auto"/>
          <w:szCs w:val="21"/>
        </w:rPr>
        <w:t>注：投标人需随此表附上主要人员的身份证、执业注册证（如有）等相关资料的原件扫描件</w:t>
      </w:r>
    </w:p>
    <w:p w14:paraId="7AFCEC15">
      <w:pPr>
        <w:pStyle w:val="6"/>
        <w:ind w:left="420" w:firstLine="480"/>
        <w:rPr>
          <w:rFonts w:hint="default"/>
          <w:color w:val="auto"/>
          <w:lang w:eastAsia="zh-CN"/>
        </w:rPr>
      </w:pPr>
    </w:p>
    <w:p w14:paraId="234BD84D">
      <w:pPr>
        <w:pStyle w:val="6"/>
        <w:ind w:left="420" w:firstLine="480"/>
        <w:rPr>
          <w:rFonts w:hint="default"/>
          <w:color w:val="auto"/>
          <w:lang w:eastAsia="zh-CN"/>
        </w:rPr>
      </w:pPr>
    </w:p>
    <w:p w14:paraId="0D320916">
      <w:pPr>
        <w:pStyle w:val="6"/>
        <w:ind w:left="420" w:firstLine="480"/>
        <w:rPr>
          <w:rFonts w:hint="default"/>
          <w:color w:val="auto"/>
          <w:lang w:eastAsia="zh-CN"/>
        </w:rPr>
      </w:pPr>
    </w:p>
    <w:bookmarkEnd w:id="66"/>
    <w:p w14:paraId="306BBCEF">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14:paraId="6FA35BEC">
      <w:pPr>
        <w:rPr>
          <w:color w:val="auto"/>
        </w:rPr>
      </w:pPr>
    </w:p>
    <w:p w14:paraId="7FA1E75E">
      <w:pPr>
        <w:rPr>
          <w:color w:val="auto"/>
        </w:rPr>
      </w:pPr>
    </w:p>
    <w:p w14:paraId="6A0D082F">
      <w:pPr>
        <w:spacing w:line="360" w:lineRule="auto"/>
        <w:jc w:val="center"/>
        <w:rPr>
          <w:rFonts w:ascii="宋体" w:hAnsi="宋体"/>
          <w:b/>
          <w:bCs/>
          <w:color w:val="auto"/>
          <w:szCs w:val="21"/>
        </w:rPr>
      </w:pPr>
      <w:r>
        <w:rPr>
          <w:rFonts w:ascii="宋体" w:hAnsi="宋体"/>
          <w:b/>
          <w:bCs/>
          <w:color w:val="auto"/>
          <w:szCs w:val="21"/>
        </w:rPr>
        <w:t>除</w:t>
      </w:r>
      <w:r>
        <w:rPr>
          <w:rFonts w:hint="eastAsia" w:ascii="宋体" w:hAnsi="宋体"/>
          <w:b/>
          <w:bCs/>
          <w:color w:val="auto"/>
          <w:szCs w:val="21"/>
        </w:rPr>
        <w:t>谈判</w:t>
      </w:r>
      <w:r>
        <w:rPr>
          <w:rFonts w:ascii="宋体" w:hAnsi="宋体"/>
          <w:b/>
          <w:bCs/>
          <w:color w:val="auto"/>
          <w:szCs w:val="21"/>
        </w:rPr>
        <w:t>文件另有规定外，</w:t>
      </w:r>
      <w:r>
        <w:rPr>
          <w:rFonts w:hint="eastAsia" w:ascii="宋体" w:hAnsi="宋体"/>
          <w:b/>
          <w:bCs/>
          <w:color w:val="auto"/>
          <w:szCs w:val="21"/>
        </w:rPr>
        <w:t>供应商</w:t>
      </w:r>
      <w:r>
        <w:rPr>
          <w:rFonts w:ascii="宋体" w:hAnsi="宋体"/>
          <w:b/>
          <w:bCs/>
          <w:color w:val="auto"/>
          <w:szCs w:val="21"/>
        </w:rPr>
        <w:t>认为需要提交的其他证明材料或资料加盖</w:t>
      </w:r>
      <w:r>
        <w:rPr>
          <w:rFonts w:hint="eastAsia" w:ascii="宋体" w:hAnsi="宋体"/>
          <w:b/>
          <w:bCs/>
          <w:color w:val="auto"/>
          <w:szCs w:val="21"/>
        </w:rPr>
        <w:t>供应商</w:t>
      </w:r>
      <w:r>
        <w:rPr>
          <w:rFonts w:ascii="宋体" w:hAnsi="宋体"/>
          <w:b/>
          <w:bCs/>
          <w:color w:val="auto"/>
          <w:szCs w:val="21"/>
        </w:rPr>
        <w:t>公章后应在此项下提交。</w:t>
      </w:r>
    </w:p>
    <w:p w14:paraId="7FE00547">
      <w:pPr>
        <w:spacing w:line="360" w:lineRule="auto"/>
        <w:rPr>
          <w:color w:val="auto"/>
        </w:rPr>
      </w:pPr>
    </w:p>
    <w:p w14:paraId="2917A379">
      <w:pPr>
        <w:rPr>
          <w:color w:val="auto"/>
        </w:rPr>
      </w:pPr>
    </w:p>
    <w:p w14:paraId="26D40A4F">
      <w:pPr>
        <w:rPr>
          <w:color w:val="auto"/>
        </w:rPr>
      </w:pPr>
    </w:p>
    <w:p w14:paraId="78995E61">
      <w:pPr>
        <w:rPr>
          <w:color w:val="auto"/>
        </w:rPr>
      </w:pPr>
    </w:p>
    <w:sectPr>
      <w:footerReference r:id="rId8" w:type="default"/>
      <w:pgSz w:w="11906" w:h="16838"/>
      <w:pgMar w:top="1474"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
    <w:altName w:val="Arial"/>
    <w:panose1 w:val="00000000000000000000"/>
    <w:charset w:val="00"/>
    <w:family w:val="decorative"/>
    <w:pitch w:val="default"/>
    <w:sig w:usb0="00000000" w:usb1="00000000" w:usb2="00000000" w:usb3="00000000" w:csb0="00000001"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BEFB9">
    <w:pPr>
      <w:pStyle w:val="22"/>
    </w:pPr>
    <w:r>
      <w:rPr>
        <w:sz w:val="18"/>
      </w:rPr>
      <w:pict>
        <v:shape id="文本框 4"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v:imagedata o:title=""/>
          <o:lock v:ext="edit" aspectratio="f"/>
          <v:textbox inset="0mm,0mm,0mm,0mm" style="mso-fit-shape-to-text:t;">
            <w:txbxContent>
              <w:p w14:paraId="744F4039">
                <w:pPr>
                  <w:pStyle w:val="2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C2EBB">
    <w:pPr>
      <w:widowControl w:val="0"/>
      <w:spacing w:line="1" w:lineRule="exact"/>
    </w:pPr>
    <w:r>
      <w:rPr>
        <w:sz w:val="21"/>
      </w:rPr>
      <w:pict>
        <v:shape id="文本框 5"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v:imagedata o:title=""/>
          <o:lock v:ext="edit" aspectratio="f"/>
          <v:textbox inset="0mm,0mm,0mm,0mm" style="mso-fit-shape-to-text:t;">
            <w:txbxContent>
              <w:p w14:paraId="2D6FCE38">
                <w:pPr>
                  <w:pStyle w:val="22"/>
                </w:pPr>
                <w:r>
                  <w:fldChar w:fldCharType="begin"/>
                </w:r>
                <w:r>
                  <w:instrText xml:space="preserve"> PAGE  \* MERGEFORMAT </w:instrText>
                </w:r>
                <w:r>
                  <w:fldChar w:fldCharType="separate"/>
                </w:r>
                <w:r>
                  <w:t>34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21941">
    <w:pPr>
      <w:widowControl w:val="0"/>
      <w:spacing w:line="1" w:lineRule="exact"/>
    </w:pPr>
    <w:r>
      <w:pict>
        <v:shape id="Shape 24" o:spid="_x0000_s4099"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path/>
          <v:fill on="f" focussize="0,0"/>
          <v:stroke on="f"/>
          <v:imagedata o:title=""/>
          <o:lock v:ext="edit" aspectratio="f"/>
          <v:textbox inset="0mm,0mm,0mm,0mm" style="mso-fit-shape-to-text:t;">
            <w:txbxContent>
              <w:p w14:paraId="3554EA80">
                <w:pPr>
                  <w:pStyle w:val="8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05D22">
    <w:pPr>
      <w:widowControl w:val="0"/>
      <w:spacing w:line="1" w:lineRule="exact"/>
    </w:pPr>
    <w:r>
      <w:rPr>
        <w:sz w:val="21"/>
      </w:rPr>
      <w:pict>
        <v:shape id="文本框 6"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v:imagedata o:title=""/>
          <o:lock v:ext="edit" aspectratio="f"/>
          <v:textbox inset="0mm,0mm,0mm,0mm" style="mso-fit-shape-to-text:t;">
            <w:txbxContent>
              <w:p w14:paraId="38F436B2">
                <w:pPr>
                  <w:pStyle w:val="22"/>
                </w:pPr>
                <w:r>
                  <w:fldChar w:fldCharType="begin"/>
                </w:r>
                <w:r>
                  <w:instrText xml:space="preserve"> PAGE  \* MERGEFORMAT </w:instrText>
                </w:r>
                <w:r>
                  <w:fldChar w:fldCharType="separate"/>
                </w:r>
                <w:r>
                  <w:t>37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31A92">
    <w:pPr>
      <w:widowControl w:val="0"/>
      <w:spacing w:line="1" w:lineRule="exact"/>
    </w:pPr>
    <w:r>
      <w:pict>
        <v:shape id="Shape 28" o:spid="_x0000_s4101" o:spt="202" type="#_x0000_t202" style="position:absolute;left:0pt;margin-left:288.5pt;margin-top:793.65pt;height:6pt;width:18pt;mso-position-horizontal-relative:page;mso-position-vertical-relative:page;mso-wrap-style:none;z-index:-251657216;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path/>
          <v:fill on="f" focussize="0,0"/>
          <v:stroke on="f"/>
          <v:imagedata o:title=""/>
          <o:lock v:ext="edit" aspectratio="f"/>
          <v:textbox inset="0mm,0mm,0mm,0mm" style="mso-fit-shape-to-text:t;">
            <w:txbxContent>
              <w:p w14:paraId="524810C4">
                <w:pPr>
                  <w:pStyle w:val="8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140438"/>
    </w:sdtPr>
    <w:sdtContent>
      <w:p w14:paraId="2CC2846E">
        <w:pPr>
          <w:pStyle w:val="22"/>
          <w:jc w:val="center"/>
        </w:pPr>
        <w:r>
          <w:fldChar w:fldCharType="begin"/>
        </w:r>
        <w:r>
          <w:instrText xml:space="preserve">PAGE   \* MERGEFORMAT</w:instrText>
        </w:r>
        <w:r>
          <w:fldChar w:fldCharType="separate"/>
        </w:r>
        <w:r>
          <w:rPr>
            <w:lang w:val="zh-CN"/>
          </w:rPr>
          <w:t>48</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CDAC7"/>
    <w:multiLevelType w:val="singleLevel"/>
    <w:tmpl w:val="D5FCDAC7"/>
    <w:lvl w:ilvl="0" w:tentative="0">
      <w:start w:val="2"/>
      <w:numFmt w:val="chineseCounting"/>
      <w:suff w:val="nothing"/>
      <w:lvlText w:val="%1、"/>
      <w:lvlJc w:val="left"/>
      <w:rPr>
        <w:rFonts w:hint="eastAsia"/>
      </w:rPr>
    </w:lvl>
  </w:abstractNum>
  <w:abstractNum w:abstractNumId="1">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4">
    <w:nsid w:val="00000006"/>
    <w:multiLevelType w:val="multilevel"/>
    <w:tmpl w:val="00000006"/>
    <w:lvl w:ilvl="0" w:tentative="0">
      <w:start w:val="1"/>
      <w:numFmt w:val="chineseCountingThousand"/>
      <w:pStyle w:val="9"/>
      <w:suff w:val="nothing"/>
      <w:lvlText w:val="第%1部分"/>
      <w:lvlJc w:val="center"/>
      <w:pPr>
        <w:ind w:left="-288" w:firstLine="288"/>
      </w:pPr>
      <w:rPr>
        <w:rFonts w:hint="eastAsia"/>
        <w:sz w:val="28"/>
        <w:szCs w:val="28"/>
      </w:rPr>
    </w:lvl>
    <w:lvl w:ilvl="1" w:tentative="0">
      <w:start w:val="1"/>
      <w:numFmt w:val="chineseCountingThousand"/>
      <w:pStyle w:val="10"/>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2"/>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CBABA70"/>
    <w:multiLevelType w:val="singleLevel"/>
    <w:tmpl w:val="1CBABA70"/>
    <w:lvl w:ilvl="0" w:tentative="0">
      <w:start w:val="1"/>
      <w:numFmt w:val="decimal"/>
      <w:suff w:val="nothing"/>
      <w:lvlText w:val="%1、"/>
      <w:lvlJc w:val="left"/>
    </w:lvl>
  </w:abstractNum>
  <w:abstractNum w:abstractNumId="8">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9">
    <w:nsid w:val="26B81AF5"/>
    <w:multiLevelType w:val="multilevel"/>
    <w:tmpl w:val="26B81AF5"/>
    <w:lvl w:ilvl="0" w:tentative="0">
      <w:start w:val="36"/>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0">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59F817E8"/>
    <w:multiLevelType w:val="singleLevel"/>
    <w:tmpl w:val="59F817E8"/>
    <w:lvl w:ilvl="0" w:tentative="0">
      <w:start w:val="1"/>
      <w:numFmt w:val="chineseCounting"/>
      <w:pStyle w:val="64"/>
      <w:suff w:val="nothing"/>
      <w:lvlText w:val="%1、"/>
      <w:lvlJc w:val="left"/>
    </w:lvl>
  </w:abstractNum>
  <w:abstractNum w:abstractNumId="1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754E4703"/>
    <w:multiLevelType w:val="singleLevel"/>
    <w:tmpl w:val="754E4703"/>
    <w:lvl w:ilvl="0" w:tentative="0">
      <w:start w:val="1"/>
      <w:numFmt w:val="chineseCounting"/>
      <w:suff w:val="nothing"/>
      <w:lvlText w:val="%1、"/>
      <w:lvlJc w:val="left"/>
      <w:rPr>
        <w:rFonts w:hint="eastAsia"/>
      </w:rPr>
    </w:lvl>
  </w:abstractNum>
  <w:num w:numId="1">
    <w:abstractNumId w:val="4"/>
  </w:num>
  <w:num w:numId="2">
    <w:abstractNumId w:val="5"/>
  </w:num>
  <w:num w:numId="3">
    <w:abstractNumId w:val="11"/>
  </w:num>
  <w:num w:numId="4">
    <w:abstractNumId w:val="2"/>
  </w:num>
  <w:num w:numId="5">
    <w:abstractNumId w:val="0"/>
  </w:num>
  <w:num w:numId="6">
    <w:abstractNumId w:val="14"/>
  </w:num>
  <w:num w:numId="7">
    <w:abstractNumId w:val="6"/>
  </w:num>
  <w:num w:numId="8">
    <w:abstractNumId w:val="12"/>
  </w:num>
  <w:num w:numId="9">
    <w:abstractNumId w:val="13"/>
  </w:num>
  <w:num w:numId="10">
    <w:abstractNumId w:val="10"/>
  </w:num>
  <w:num w:numId="11">
    <w:abstractNumId w:val="9"/>
  </w:num>
  <w:num w:numId="12">
    <w:abstractNumId w:val="15"/>
  </w:num>
  <w:num w:numId="13">
    <w:abstractNumId w:val="7"/>
  </w:num>
  <w:num w:numId="14">
    <w:abstractNumId w:val="8"/>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zk1YjdjMzNhMTczOGIzMmQ5MDRlMjFjNDc3NTg5N2QifQ=="/>
  </w:docVars>
  <w:rsids>
    <w:rsidRoot w:val="00F51389"/>
    <w:rsid w:val="00001390"/>
    <w:rsid w:val="00001AAB"/>
    <w:rsid w:val="0000220B"/>
    <w:rsid w:val="000028B5"/>
    <w:rsid w:val="00003C00"/>
    <w:rsid w:val="00003D13"/>
    <w:rsid w:val="000061F3"/>
    <w:rsid w:val="00006D15"/>
    <w:rsid w:val="0000789F"/>
    <w:rsid w:val="00010A8E"/>
    <w:rsid w:val="00010FAB"/>
    <w:rsid w:val="000142E8"/>
    <w:rsid w:val="00014504"/>
    <w:rsid w:val="000159BD"/>
    <w:rsid w:val="00015CB5"/>
    <w:rsid w:val="0001629D"/>
    <w:rsid w:val="0001677B"/>
    <w:rsid w:val="00016ECB"/>
    <w:rsid w:val="00020755"/>
    <w:rsid w:val="00025B39"/>
    <w:rsid w:val="00025E45"/>
    <w:rsid w:val="0003056A"/>
    <w:rsid w:val="000311FB"/>
    <w:rsid w:val="00032540"/>
    <w:rsid w:val="000327E2"/>
    <w:rsid w:val="000328B5"/>
    <w:rsid w:val="00032AF5"/>
    <w:rsid w:val="0003398D"/>
    <w:rsid w:val="0003470E"/>
    <w:rsid w:val="00034E53"/>
    <w:rsid w:val="00034F0C"/>
    <w:rsid w:val="0003556C"/>
    <w:rsid w:val="0003677A"/>
    <w:rsid w:val="000400E2"/>
    <w:rsid w:val="00040A19"/>
    <w:rsid w:val="00040F65"/>
    <w:rsid w:val="000418F1"/>
    <w:rsid w:val="0004289A"/>
    <w:rsid w:val="00042E56"/>
    <w:rsid w:val="00043418"/>
    <w:rsid w:val="00043FBC"/>
    <w:rsid w:val="000463C9"/>
    <w:rsid w:val="00047139"/>
    <w:rsid w:val="00047B44"/>
    <w:rsid w:val="00052D94"/>
    <w:rsid w:val="000530F0"/>
    <w:rsid w:val="00055E3D"/>
    <w:rsid w:val="00056C81"/>
    <w:rsid w:val="0006044F"/>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5DA"/>
    <w:rsid w:val="000A6DB7"/>
    <w:rsid w:val="000A7F6C"/>
    <w:rsid w:val="000B04D4"/>
    <w:rsid w:val="000B0FC2"/>
    <w:rsid w:val="000B1D9E"/>
    <w:rsid w:val="000B4684"/>
    <w:rsid w:val="000B59E9"/>
    <w:rsid w:val="000B6376"/>
    <w:rsid w:val="000B74CC"/>
    <w:rsid w:val="000B7BA2"/>
    <w:rsid w:val="000C05E8"/>
    <w:rsid w:val="000C127F"/>
    <w:rsid w:val="000C1BCA"/>
    <w:rsid w:val="000C2771"/>
    <w:rsid w:val="000C2E49"/>
    <w:rsid w:val="000C393F"/>
    <w:rsid w:val="000C5582"/>
    <w:rsid w:val="000C57C8"/>
    <w:rsid w:val="000C6651"/>
    <w:rsid w:val="000C6B8C"/>
    <w:rsid w:val="000C6CC0"/>
    <w:rsid w:val="000C6E80"/>
    <w:rsid w:val="000D10A6"/>
    <w:rsid w:val="000D3CE4"/>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6DCD"/>
    <w:rsid w:val="00117D5D"/>
    <w:rsid w:val="00120197"/>
    <w:rsid w:val="001219B2"/>
    <w:rsid w:val="00122334"/>
    <w:rsid w:val="00122554"/>
    <w:rsid w:val="001236C4"/>
    <w:rsid w:val="00124CC1"/>
    <w:rsid w:val="00125D2E"/>
    <w:rsid w:val="001262C8"/>
    <w:rsid w:val="00126FB1"/>
    <w:rsid w:val="001276EF"/>
    <w:rsid w:val="00131FB7"/>
    <w:rsid w:val="001322A5"/>
    <w:rsid w:val="00134C9E"/>
    <w:rsid w:val="0013699A"/>
    <w:rsid w:val="00137DCA"/>
    <w:rsid w:val="00140426"/>
    <w:rsid w:val="00141B3F"/>
    <w:rsid w:val="00143A14"/>
    <w:rsid w:val="00147B7D"/>
    <w:rsid w:val="00154346"/>
    <w:rsid w:val="0015508F"/>
    <w:rsid w:val="00155287"/>
    <w:rsid w:val="001560BF"/>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1F3"/>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010F"/>
    <w:rsid w:val="001948F5"/>
    <w:rsid w:val="00195771"/>
    <w:rsid w:val="00195BD1"/>
    <w:rsid w:val="00195D1B"/>
    <w:rsid w:val="00196A87"/>
    <w:rsid w:val="001977EA"/>
    <w:rsid w:val="001A00BA"/>
    <w:rsid w:val="001A0EDB"/>
    <w:rsid w:val="001A2150"/>
    <w:rsid w:val="001A4C92"/>
    <w:rsid w:val="001A70C2"/>
    <w:rsid w:val="001B2541"/>
    <w:rsid w:val="001B3ABE"/>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0AE7"/>
    <w:rsid w:val="001E1A48"/>
    <w:rsid w:val="001E1B0A"/>
    <w:rsid w:val="001E1BBB"/>
    <w:rsid w:val="001E407F"/>
    <w:rsid w:val="001E4E8A"/>
    <w:rsid w:val="001E66A5"/>
    <w:rsid w:val="001E6C54"/>
    <w:rsid w:val="001E78EA"/>
    <w:rsid w:val="001F0128"/>
    <w:rsid w:val="001F121D"/>
    <w:rsid w:val="001F202D"/>
    <w:rsid w:val="001F22AA"/>
    <w:rsid w:val="001F3326"/>
    <w:rsid w:val="001F375B"/>
    <w:rsid w:val="001F3AFD"/>
    <w:rsid w:val="001F4319"/>
    <w:rsid w:val="001F459F"/>
    <w:rsid w:val="001F4B20"/>
    <w:rsid w:val="001F54B6"/>
    <w:rsid w:val="001F7E43"/>
    <w:rsid w:val="002026FE"/>
    <w:rsid w:val="002038BA"/>
    <w:rsid w:val="00210D73"/>
    <w:rsid w:val="002121A9"/>
    <w:rsid w:val="00212788"/>
    <w:rsid w:val="0021529B"/>
    <w:rsid w:val="00216728"/>
    <w:rsid w:val="00217EDF"/>
    <w:rsid w:val="002232E0"/>
    <w:rsid w:val="002237C7"/>
    <w:rsid w:val="00223E42"/>
    <w:rsid w:val="00226FAA"/>
    <w:rsid w:val="002274E5"/>
    <w:rsid w:val="0023037F"/>
    <w:rsid w:val="00230F55"/>
    <w:rsid w:val="00232298"/>
    <w:rsid w:val="00235E0B"/>
    <w:rsid w:val="00237179"/>
    <w:rsid w:val="00237336"/>
    <w:rsid w:val="00243474"/>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5FBA"/>
    <w:rsid w:val="00266A53"/>
    <w:rsid w:val="00266F38"/>
    <w:rsid w:val="002704F0"/>
    <w:rsid w:val="00272238"/>
    <w:rsid w:val="00272AE2"/>
    <w:rsid w:val="00273414"/>
    <w:rsid w:val="00273F1D"/>
    <w:rsid w:val="0027728C"/>
    <w:rsid w:val="00280336"/>
    <w:rsid w:val="002804A3"/>
    <w:rsid w:val="00280CF7"/>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4AAD"/>
    <w:rsid w:val="002A7921"/>
    <w:rsid w:val="002B2BE8"/>
    <w:rsid w:val="002B3C48"/>
    <w:rsid w:val="002B51C1"/>
    <w:rsid w:val="002B5624"/>
    <w:rsid w:val="002B6F60"/>
    <w:rsid w:val="002B737D"/>
    <w:rsid w:val="002B75C6"/>
    <w:rsid w:val="002C12C3"/>
    <w:rsid w:val="002C1C54"/>
    <w:rsid w:val="002C3CC2"/>
    <w:rsid w:val="002C57A9"/>
    <w:rsid w:val="002C7422"/>
    <w:rsid w:val="002C78F6"/>
    <w:rsid w:val="002D0D13"/>
    <w:rsid w:val="002D11F7"/>
    <w:rsid w:val="002D256B"/>
    <w:rsid w:val="002D3C26"/>
    <w:rsid w:val="002D50A9"/>
    <w:rsid w:val="002D5287"/>
    <w:rsid w:val="002D662F"/>
    <w:rsid w:val="002D6B1C"/>
    <w:rsid w:val="002E1FAE"/>
    <w:rsid w:val="002E3055"/>
    <w:rsid w:val="002E60F6"/>
    <w:rsid w:val="002E744B"/>
    <w:rsid w:val="002F06BA"/>
    <w:rsid w:val="002F45A1"/>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13B6"/>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86B46"/>
    <w:rsid w:val="00390340"/>
    <w:rsid w:val="0039051F"/>
    <w:rsid w:val="00391CDE"/>
    <w:rsid w:val="00394229"/>
    <w:rsid w:val="00395FCE"/>
    <w:rsid w:val="00396784"/>
    <w:rsid w:val="00397761"/>
    <w:rsid w:val="003A02F1"/>
    <w:rsid w:val="003A14F9"/>
    <w:rsid w:val="003A2823"/>
    <w:rsid w:val="003A3878"/>
    <w:rsid w:val="003A3FC9"/>
    <w:rsid w:val="003A47EB"/>
    <w:rsid w:val="003A4AC5"/>
    <w:rsid w:val="003A4C56"/>
    <w:rsid w:val="003B1853"/>
    <w:rsid w:val="003B2A80"/>
    <w:rsid w:val="003B4471"/>
    <w:rsid w:val="003B5BE5"/>
    <w:rsid w:val="003B7DDB"/>
    <w:rsid w:val="003B7FB3"/>
    <w:rsid w:val="003C013E"/>
    <w:rsid w:val="003C1A3D"/>
    <w:rsid w:val="003C26E2"/>
    <w:rsid w:val="003C2F4E"/>
    <w:rsid w:val="003C3022"/>
    <w:rsid w:val="003C570D"/>
    <w:rsid w:val="003C669F"/>
    <w:rsid w:val="003C76DE"/>
    <w:rsid w:val="003D2326"/>
    <w:rsid w:val="003D2A39"/>
    <w:rsid w:val="003D400D"/>
    <w:rsid w:val="003D61F3"/>
    <w:rsid w:val="003D640D"/>
    <w:rsid w:val="003D6EA0"/>
    <w:rsid w:val="003E05ED"/>
    <w:rsid w:val="003E0EF9"/>
    <w:rsid w:val="003E3476"/>
    <w:rsid w:val="003E4CE5"/>
    <w:rsid w:val="003E5077"/>
    <w:rsid w:val="003E5BA1"/>
    <w:rsid w:val="003E5D20"/>
    <w:rsid w:val="003E5E8C"/>
    <w:rsid w:val="003E7330"/>
    <w:rsid w:val="003E7F48"/>
    <w:rsid w:val="003F00B8"/>
    <w:rsid w:val="003F0137"/>
    <w:rsid w:val="003F11AD"/>
    <w:rsid w:val="003F2076"/>
    <w:rsid w:val="003F529F"/>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1EE1"/>
    <w:rsid w:val="004224AA"/>
    <w:rsid w:val="00422978"/>
    <w:rsid w:val="004233A0"/>
    <w:rsid w:val="00423593"/>
    <w:rsid w:val="00426B29"/>
    <w:rsid w:val="00427171"/>
    <w:rsid w:val="004309F7"/>
    <w:rsid w:val="00431563"/>
    <w:rsid w:val="00431A4E"/>
    <w:rsid w:val="00431F06"/>
    <w:rsid w:val="0043314E"/>
    <w:rsid w:val="00433E39"/>
    <w:rsid w:val="00435633"/>
    <w:rsid w:val="00436C3E"/>
    <w:rsid w:val="0043706F"/>
    <w:rsid w:val="004370BD"/>
    <w:rsid w:val="0044639D"/>
    <w:rsid w:val="004471CC"/>
    <w:rsid w:val="00447728"/>
    <w:rsid w:val="004479E5"/>
    <w:rsid w:val="00447DB3"/>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6908"/>
    <w:rsid w:val="00477E2A"/>
    <w:rsid w:val="00480204"/>
    <w:rsid w:val="00480551"/>
    <w:rsid w:val="00481633"/>
    <w:rsid w:val="00482475"/>
    <w:rsid w:val="00483BBC"/>
    <w:rsid w:val="00486B9D"/>
    <w:rsid w:val="00490683"/>
    <w:rsid w:val="004931C7"/>
    <w:rsid w:val="00495F9F"/>
    <w:rsid w:val="00496673"/>
    <w:rsid w:val="004A1281"/>
    <w:rsid w:val="004A13E7"/>
    <w:rsid w:val="004A1CD2"/>
    <w:rsid w:val="004A2AE5"/>
    <w:rsid w:val="004A352D"/>
    <w:rsid w:val="004A35BF"/>
    <w:rsid w:val="004A3D12"/>
    <w:rsid w:val="004A44CF"/>
    <w:rsid w:val="004A4F9A"/>
    <w:rsid w:val="004A57DB"/>
    <w:rsid w:val="004A65D0"/>
    <w:rsid w:val="004A69C6"/>
    <w:rsid w:val="004A7E57"/>
    <w:rsid w:val="004B0300"/>
    <w:rsid w:val="004B07FA"/>
    <w:rsid w:val="004B1644"/>
    <w:rsid w:val="004B2666"/>
    <w:rsid w:val="004B29B1"/>
    <w:rsid w:val="004B4A61"/>
    <w:rsid w:val="004B53B1"/>
    <w:rsid w:val="004C00FF"/>
    <w:rsid w:val="004C15CA"/>
    <w:rsid w:val="004C2A96"/>
    <w:rsid w:val="004C3610"/>
    <w:rsid w:val="004C65A8"/>
    <w:rsid w:val="004C7DB1"/>
    <w:rsid w:val="004D109F"/>
    <w:rsid w:val="004D1A38"/>
    <w:rsid w:val="004D1E6E"/>
    <w:rsid w:val="004D29D8"/>
    <w:rsid w:val="004D327B"/>
    <w:rsid w:val="004D4C9F"/>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28C0"/>
    <w:rsid w:val="005034F7"/>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445"/>
    <w:rsid w:val="00542EA4"/>
    <w:rsid w:val="005431B2"/>
    <w:rsid w:val="0054333F"/>
    <w:rsid w:val="005442B8"/>
    <w:rsid w:val="00546002"/>
    <w:rsid w:val="005469B3"/>
    <w:rsid w:val="005510C6"/>
    <w:rsid w:val="00551347"/>
    <w:rsid w:val="00552B4E"/>
    <w:rsid w:val="00553C25"/>
    <w:rsid w:val="005552F8"/>
    <w:rsid w:val="00555840"/>
    <w:rsid w:val="00555C79"/>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87598"/>
    <w:rsid w:val="005905BD"/>
    <w:rsid w:val="005939AD"/>
    <w:rsid w:val="00594467"/>
    <w:rsid w:val="00594542"/>
    <w:rsid w:val="0059516F"/>
    <w:rsid w:val="005958C1"/>
    <w:rsid w:val="00597D5D"/>
    <w:rsid w:val="005A0E94"/>
    <w:rsid w:val="005A1288"/>
    <w:rsid w:val="005A1C0C"/>
    <w:rsid w:val="005A2D61"/>
    <w:rsid w:val="005A34CB"/>
    <w:rsid w:val="005A3987"/>
    <w:rsid w:val="005A7556"/>
    <w:rsid w:val="005B00B4"/>
    <w:rsid w:val="005B1479"/>
    <w:rsid w:val="005B3594"/>
    <w:rsid w:val="005B439F"/>
    <w:rsid w:val="005B4519"/>
    <w:rsid w:val="005B6237"/>
    <w:rsid w:val="005B6B3A"/>
    <w:rsid w:val="005C0E3C"/>
    <w:rsid w:val="005C10B0"/>
    <w:rsid w:val="005C2C3A"/>
    <w:rsid w:val="005C2DB6"/>
    <w:rsid w:val="005C36E0"/>
    <w:rsid w:val="005C6D03"/>
    <w:rsid w:val="005C7380"/>
    <w:rsid w:val="005D02C4"/>
    <w:rsid w:val="005D09B2"/>
    <w:rsid w:val="005D272E"/>
    <w:rsid w:val="005D32D6"/>
    <w:rsid w:val="005D402A"/>
    <w:rsid w:val="005D433F"/>
    <w:rsid w:val="005D5852"/>
    <w:rsid w:val="005D5E11"/>
    <w:rsid w:val="005D77CF"/>
    <w:rsid w:val="005E0D81"/>
    <w:rsid w:val="005E1286"/>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5FBB"/>
    <w:rsid w:val="00606922"/>
    <w:rsid w:val="00606CC7"/>
    <w:rsid w:val="006070B9"/>
    <w:rsid w:val="006118DE"/>
    <w:rsid w:val="00614CC8"/>
    <w:rsid w:val="0061788D"/>
    <w:rsid w:val="006211BD"/>
    <w:rsid w:val="00621788"/>
    <w:rsid w:val="00622134"/>
    <w:rsid w:val="00622FF6"/>
    <w:rsid w:val="00623338"/>
    <w:rsid w:val="006256FB"/>
    <w:rsid w:val="00625718"/>
    <w:rsid w:val="00626DBC"/>
    <w:rsid w:val="00630D2E"/>
    <w:rsid w:val="0063165C"/>
    <w:rsid w:val="00632759"/>
    <w:rsid w:val="00633659"/>
    <w:rsid w:val="00633894"/>
    <w:rsid w:val="006341CB"/>
    <w:rsid w:val="00634E5F"/>
    <w:rsid w:val="00636AAD"/>
    <w:rsid w:val="0063733E"/>
    <w:rsid w:val="006378BB"/>
    <w:rsid w:val="00637BD3"/>
    <w:rsid w:val="00644E97"/>
    <w:rsid w:val="0064698E"/>
    <w:rsid w:val="00651415"/>
    <w:rsid w:val="00651426"/>
    <w:rsid w:val="006518A6"/>
    <w:rsid w:val="00651ADD"/>
    <w:rsid w:val="00653408"/>
    <w:rsid w:val="00653B41"/>
    <w:rsid w:val="00654950"/>
    <w:rsid w:val="00661FBA"/>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4D5A"/>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09B6"/>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7B0C"/>
    <w:rsid w:val="00700999"/>
    <w:rsid w:val="00702238"/>
    <w:rsid w:val="00703498"/>
    <w:rsid w:val="007106F8"/>
    <w:rsid w:val="00710BB7"/>
    <w:rsid w:val="00710DF8"/>
    <w:rsid w:val="007111C4"/>
    <w:rsid w:val="00712E6E"/>
    <w:rsid w:val="00714EA5"/>
    <w:rsid w:val="00716754"/>
    <w:rsid w:val="00717E8B"/>
    <w:rsid w:val="00722A0D"/>
    <w:rsid w:val="007232E6"/>
    <w:rsid w:val="00723ED1"/>
    <w:rsid w:val="00723FCA"/>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1395"/>
    <w:rsid w:val="00782E32"/>
    <w:rsid w:val="00783B28"/>
    <w:rsid w:val="00784246"/>
    <w:rsid w:val="00784839"/>
    <w:rsid w:val="007849F9"/>
    <w:rsid w:val="00784B9C"/>
    <w:rsid w:val="0078560B"/>
    <w:rsid w:val="0078733C"/>
    <w:rsid w:val="00792870"/>
    <w:rsid w:val="00793ADE"/>
    <w:rsid w:val="007942AC"/>
    <w:rsid w:val="0079568D"/>
    <w:rsid w:val="00795A56"/>
    <w:rsid w:val="00797E8C"/>
    <w:rsid w:val="00797EA3"/>
    <w:rsid w:val="007A05F2"/>
    <w:rsid w:val="007A0F7B"/>
    <w:rsid w:val="007A1777"/>
    <w:rsid w:val="007A1836"/>
    <w:rsid w:val="007A7C77"/>
    <w:rsid w:val="007B1443"/>
    <w:rsid w:val="007B167E"/>
    <w:rsid w:val="007B3355"/>
    <w:rsid w:val="007B58EF"/>
    <w:rsid w:val="007B664E"/>
    <w:rsid w:val="007C0F76"/>
    <w:rsid w:val="007C23FB"/>
    <w:rsid w:val="007C2A45"/>
    <w:rsid w:val="007C325A"/>
    <w:rsid w:val="007C3465"/>
    <w:rsid w:val="007C4218"/>
    <w:rsid w:val="007C60F9"/>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4C5A"/>
    <w:rsid w:val="007F6309"/>
    <w:rsid w:val="007F7141"/>
    <w:rsid w:val="00800661"/>
    <w:rsid w:val="00800777"/>
    <w:rsid w:val="00800A4D"/>
    <w:rsid w:val="00800EAD"/>
    <w:rsid w:val="00802179"/>
    <w:rsid w:val="008048C6"/>
    <w:rsid w:val="00804FB3"/>
    <w:rsid w:val="00805456"/>
    <w:rsid w:val="00805927"/>
    <w:rsid w:val="00805CFD"/>
    <w:rsid w:val="008066AC"/>
    <w:rsid w:val="00810B9A"/>
    <w:rsid w:val="008123F9"/>
    <w:rsid w:val="00812AC8"/>
    <w:rsid w:val="00813462"/>
    <w:rsid w:val="008147AE"/>
    <w:rsid w:val="008147B1"/>
    <w:rsid w:val="00814D8F"/>
    <w:rsid w:val="0081581D"/>
    <w:rsid w:val="00815F3D"/>
    <w:rsid w:val="00815F60"/>
    <w:rsid w:val="008162F1"/>
    <w:rsid w:val="00817E30"/>
    <w:rsid w:val="00820CAD"/>
    <w:rsid w:val="008219F4"/>
    <w:rsid w:val="00822AC8"/>
    <w:rsid w:val="008235EB"/>
    <w:rsid w:val="0082465D"/>
    <w:rsid w:val="00827FEC"/>
    <w:rsid w:val="00834335"/>
    <w:rsid w:val="00834D27"/>
    <w:rsid w:val="00836566"/>
    <w:rsid w:val="008375D0"/>
    <w:rsid w:val="00837834"/>
    <w:rsid w:val="00837F36"/>
    <w:rsid w:val="00847A1F"/>
    <w:rsid w:val="0085091C"/>
    <w:rsid w:val="008528A2"/>
    <w:rsid w:val="00854C04"/>
    <w:rsid w:val="00856E26"/>
    <w:rsid w:val="008571D3"/>
    <w:rsid w:val="00857412"/>
    <w:rsid w:val="008629A1"/>
    <w:rsid w:val="008638C4"/>
    <w:rsid w:val="00865204"/>
    <w:rsid w:val="00870DCD"/>
    <w:rsid w:val="00870F89"/>
    <w:rsid w:val="008734D4"/>
    <w:rsid w:val="00875099"/>
    <w:rsid w:val="008824BB"/>
    <w:rsid w:val="0088488A"/>
    <w:rsid w:val="008868B3"/>
    <w:rsid w:val="008913A0"/>
    <w:rsid w:val="00891F6D"/>
    <w:rsid w:val="00893816"/>
    <w:rsid w:val="00894121"/>
    <w:rsid w:val="0089532C"/>
    <w:rsid w:val="00895CD2"/>
    <w:rsid w:val="00896627"/>
    <w:rsid w:val="008A1317"/>
    <w:rsid w:val="008A3236"/>
    <w:rsid w:val="008A3274"/>
    <w:rsid w:val="008A3CC2"/>
    <w:rsid w:val="008A4195"/>
    <w:rsid w:val="008A532F"/>
    <w:rsid w:val="008A735D"/>
    <w:rsid w:val="008A74BB"/>
    <w:rsid w:val="008B1EBC"/>
    <w:rsid w:val="008B2928"/>
    <w:rsid w:val="008B3760"/>
    <w:rsid w:val="008B3BF1"/>
    <w:rsid w:val="008B46D9"/>
    <w:rsid w:val="008B4CCA"/>
    <w:rsid w:val="008B58EC"/>
    <w:rsid w:val="008B5CFA"/>
    <w:rsid w:val="008B62B1"/>
    <w:rsid w:val="008B6376"/>
    <w:rsid w:val="008B72C1"/>
    <w:rsid w:val="008C0905"/>
    <w:rsid w:val="008C0B8F"/>
    <w:rsid w:val="008C31E6"/>
    <w:rsid w:val="008C380D"/>
    <w:rsid w:val="008C427B"/>
    <w:rsid w:val="008C6525"/>
    <w:rsid w:val="008C7DE8"/>
    <w:rsid w:val="008D0138"/>
    <w:rsid w:val="008D0251"/>
    <w:rsid w:val="008D25AE"/>
    <w:rsid w:val="008D26FB"/>
    <w:rsid w:val="008D37EF"/>
    <w:rsid w:val="008D4045"/>
    <w:rsid w:val="008D4DB3"/>
    <w:rsid w:val="008D5621"/>
    <w:rsid w:val="008E2454"/>
    <w:rsid w:val="008E2EA4"/>
    <w:rsid w:val="008E2FE5"/>
    <w:rsid w:val="008E38DF"/>
    <w:rsid w:val="008E3ADC"/>
    <w:rsid w:val="008E6FB1"/>
    <w:rsid w:val="008E7034"/>
    <w:rsid w:val="008F2CA7"/>
    <w:rsid w:val="008F3063"/>
    <w:rsid w:val="008F436B"/>
    <w:rsid w:val="008F4D59"/>
    <w:rsid w:val="009018C8"/>
    <w:rsid w:val="00902012"/>
    <w:rsid w:val="009024C2"/>
    <w:rsid w:val="00903C60"/>
    <w:rsid w:val="00905873"/>
    <w:rsid w:val="00906DFF"/>
    <w:rsid w:val="00910725"/>
    <w:rsid w:val="00910FBF"/>
    <w:rsid w:val="00911976"/>
    <w:rsid w:val="00912D43"/>
    <w:rsid w:val="00912E30"/>
    <w:rsid w:val="009130EC"/>
    <w:rsid w:val="00913638"/>
    <w:rsid w:val="00920741"/>
    <w:rsid w:val="009217D3"/>
    <w:rsid w:val="00924304"/>
    <w:rsid w:val="009270F3"/>
    <w:rsid w:val="00927464"/>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67811"/>
    <w:rsid w:val="00970AF2"/>
    <w:rsid w:val="00971754"/>
    <w:rsid w:val="009717EB"/>
    <w:rsid w:val="00971DFC"/>
    <w:rsid w:val="00973827"/>
    <w:rsid w:val="00973BD1"/>
    <w:rsid w:val="0097443E"/>
    <w:rsid w:val="00974710"/>
    <w:rsid w:val="00974B0A"/>
    <w:rsid w:val="00974F9F"/>
    <w:rsid w:val="00976022"/>
    <w:rsid w:val="00976944"/>
    <w:rsid w:val="0097746F"/>
    <w:rsid w:val="00977773"/>
    <w:rsid w:val="00977ACB"/>
    <w:rsid w:val="00977CD0"/>
    <w:rsid w:val="0098186A"/>
    <w:rsid w:val="009820C4"/>
    <w:rsid w:val="00983891"/>
    <w:rsid w:val="0098473F"/>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C06"/>
    <w:rsid w:val="009E1FE4"/>
    <w:rsid w:val="009E2134"/>
    <w:rsid w:val="009E2AB7"/>
    <w:rsid w:val="009E33C2"/>
    <w:rsid w:val="009E34DF"/>
    <w:rsid w:val="009E483D"/>
    <w:rsid w:val="009E4AE9"/>
    <w:rsid w:val="009E6006"/>
    <w:rsid w:val="009E6D58"/>
    <w:rsid w:val="009E7104"/>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072B6"/>
    <w:rsid w:val="00A1226A"/>
    <w:rsid w:val="00A146D0"/>
    <w:rsid w:val="00A1637B"/>
    <w:rsid w:val="00A17134"/>
    <w:rsid w:val="00A244A9"/>
    <w:rsid w:val="00A2693F"/>
    <w:rsid w:val="00A26A2D"/>
    <w:rsid w:val="00A272CE"/>
    <w:rsid w:val="00A30773"/>
    <w:rsid w:val="00A323FD"/>
    <w:rsid w:val="00A328BF"/>
    <w:rsid w:val="00A32B16"/>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11F5"/>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6F47"/>
    <w:rsid w:val="00A97D1D"/>
    <w:rsid w:val="00A97F1A"/>
    <w:rsid w:val="00AA0887"/>
    <w:rsid w:val="00AA0FE4"/>
    <w:rsid w:val="00AA16B6"/>
    <w:rsid w:val="00AA265E"/>
    <w:rsid w:val="00AB24BA"/>
    <w:rsid w:val="00AB2A56"/>
    <w:rsid w:val="00AB3A45"/>
    <w:rsid w:val="00AB7182"/>
    <w:rsid w:val="00AB7551"/>
    <w:rsid w:val="00AC0D4D"/>
    <w:rsid w:val="00AC11DA"/>
    <w:rsid w:val="00AC1376"/>
    <w:rsid w:val="00AC13CD"/>
    <w:rsid w:val="00AC4329"/>
    <w:rsid w:val="00AC5B3F"/>
    <w:rsid w:val="00AC62A0"/>
    <w:rsid w:val="00AC6657"/>
    <w:rsid w:val="00AC6B92"/>
    <w:rsid w:val="00AD0AFC"/>
    <w:rsid w:val="00AD1F5C"/>
    <w:rsid w:val="00AD218A"/>
    <w:rsid w:val="00AD30A0"/>
    <w:rsid w:val="00AD310A"/>
    <w:rsid w:val="00AD32B6"/>
    <w:rsid w:val="00AD34FD"/>
    <w:rsid w:val="00AD3D1D"/>
    <w:rsid w:val="00AD418B"/>
    <w:rsid w:val="00AD43D5"/>
    <w:rsid w:val="00AD5C9F"/>
    <w:rsid w:val="00AE0428"/>
    <w:rsid w:val="00AE23CC"/>
    <w:rsid w:val="00AE36B8"/>
    <w:rsid w:val="00AE65F4"/>
    <w:rsid w:val="00AE77C7"/>
    <w:rsid w:val="00AF539A"/>
    <w:rsid w:val="00B01713"/>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2F0"/>
    <w:rsid w:val="00B26A6E"/>
    <w:rsid w:val="00B3072F"/>
    <w:rsid w:val="00B30A6C"/>
    <w:rsid w:val="00B3107C"/>
    <w:rsid w:val="00B339F7"/>
    <w:rsid w:val="00B3426B"/>
    <w:rsid w:val="00B34826"/>
    <w:rsid w:val="00B34E29"/>
    <w:rsid w:val="00B34ED9"/>
    <w:rsid w:val="00B35424"/>
    <w:rsid w:val="00B354F7"/>
    <w:rsid w:val="00B36066"/>
    <w:rsid w:val="00B36E12"/>
    <w:rsid w:val="00B40238"/>
    <w:rsid w:val="00B40771"/>
    <w:rsid w:val="00B40C10"/>
    <w:rsid w:val="00B40C7E"/>
    <w:rsid w:val="00B414C8"/>
    <w:rsid w:val="00B4170E"/>
    <w:rsid w:val="00B42CD4"/>
    <w:rsid w:val="00B43A28"/>
    <w:rsid w:val="00B45553"/>
    <w:rsid w:val="00B466BF"/>
    <w:rsid w:val="00B47334"/>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768EB"/>
    <w:rsid w:val="00B80243"/>
    <w:rsid w:val="00B80297"/>
    <w:rsid w:val="00B80C52"/>
    <w:rsid w:val="00B81AA3"/>
    <w:rsid w:val="00B8323E"/>
    <w:rsid w:val="00B871AE"/>
    <w:rsid w:val="00B902ED"/>
    <w:rsid w:val="00B90F7B"/>
    <w:rsid w:val="00B91885"/>
    <w:rsid w:val="00B91BF4"/>
    <w:rsid w:val="00B93693"/>
    <w:rsid w:val="00B95A20"/>
    <w:rsid w:val="00B9758A"/>
    <w:rsid w:val="00BA1A72"/>
    <w:rsid w:val="00BA3949"/>
    <w:rsid w:val="00BA4B89"/>
    <w:rsid w:val="00BA5FF9"/>
    <w:rsid w:val="00BA6105"/>
    <w:rsid w:val="00BB0481"/>
    <w:rsid w:val="00BB0F21"/>
    <w:rsid w:val="00BB17CE"/>
    <w:rsid w:val="00BB1EC0"/>
    <w:rsid w:val="00BB2573"/>
    <w:rsid w:val="00BB391E"/>
    <w:rsid w:val="00BB4D42"/>
    <w:rsid w:val="00BB4EA2"/>
    <w:rsid w:val="00BB6CC2"/>
    <w:rsid w:val="00BC01E9"/>
    <w:rsid w:val="00BC05E7"/>
    <w:rsid w:val="00BC1566"/>
    <w:rsid w:val="00BC2DD2"/>
    <w:rsid w:val="00BC31B0"/>
    <w:rsid w:val="00BC3812"/>
    <w:rsid w:val="00BC3FC1"/>
    <w:rsid w:val="00BC45E1"/>
    <w:rsid w:val="00BC6D39"/>
    <w:rsid w:val="00BD0FE7"/>
    <w:rsid w:val="00BD2068"/>
    <w:rsid w:val="00BD29B5"/>
    <w:rsid w:val="00BD2BC9"/>
    <w:rsid w:val="00BD2DE0"/>
    <w:rsid w:val="00BD316A"/>
    <w:rsid w:val="00BD3AFF"/>
    <w:rsid w:val="00BD5492"/>
    <w:rsid w:val="00BE036E"/>
    <w:rsid w:val="00BE2307"/>
    <w:rsid w:val="00BE35C5"/>
    <w:rsid w:val="00BE4B4C"/>
    <w:rsid w:val="00BE5347"/>
    <w:rsid w:val="00BF1DA5"/>
    <w:rsid w:val="00BF21E1"/>
    <w:rsid w:val="00BF4441"/>
    <w:rsid w:val="00BF4740"/>
    <w:rsid w:val="00BF6AF2"/>
    <w:rsid w:val="00BF71EF"/>
    <w:rsid w:val="00BF7823"/>
    <w:rsid w:val="00C0053D"/>
    <w:rsid w:val="00C00EB4"/>
    <w:rsid w:val="00C012C6"/>
    <w:rsid w:val="00C01824"/>
    <w:rsid w:val="00C02C34"/>
    <w:rsid w:val="00C02DE2"/>
    <w:rsid w:val="00C042EF"/>
    <w:rsid w:val="00C06F9E"/>
    <w:rsid w:val="00C07CED"/>
    <w:rsid w:val="00C10B68"/>
    <w:rsid w:val="00C124C8"/>
    <w:rsid w:val="00C140FE"/>
    <w:rsid w:val="00C1466C"/>
    <w:rsid w:val="00C1496E"/>
    <w:rsid w:val="00C150DB"/>
    <w:rsid w:val="00C1514A"/>
    <w:rsid w:val="00C1518E"/>
    <w:rsid w:val="00C151DF"/>
    <w:rsid w:val="00C16251"/>
    <w:rsid w:val="00C23622"/>
    <w:rsid w:val="00C23E9E"/>
    <w:rsid w:val="00C24818"/>
    <w:rsid w:val="00C30E18"/>
    <w:rsid w:val="00C3322D"/>
    <w:rsid w:val="00C34DA9"/>
    <w:rsid w:val="00C35E76"/>
    <w:rsid w:val="00C36189"/>
    <w:rsid w:val="00C36302"/>
    <w:rsid w:val="00C36AF9"/>
    <w:rsid w:val="00C412B5"/>
    <w:rsid w:val="00C414AD"/>
    <w:rsid w:val="00C4199B"/>
    <w:rsid w:val="00C430C9"/>
    <w:rsid w:val="00C44F01"/>
    <w:rsid w:val="00C45BF6"/>
    <w:rsid w:val="00C45EEC"/>
    <w:rsid w:val="00C46442"/>
    <w:rsid w:val="00C4751F"/>
    <w:rsid w:val="00C47902"/>
    <w:rsid w:val="00C51319"/>
    <w:rsid w:val="00C556A9"/>
    <w:rsid w:val="00C61E37"/>
    <w:rsid w:val="00C638EC"/>
    <w:rsid w:val="00C658CC"/>
    <w:rsid w:val="00C7067F"/>
    <w:rsid w:val="00C70AB4"/>
    <w:rsid w:val="00C7189B"/>
    <w:rsid w:val="00C727B1"/>
    <w:rsid w:val="00C731CA"/>
    <w:rsid w:val="00C7432D"/>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1C48"/>
    <w:rsid w:val="00CA2C12"/>
    <w:rsid w:val="00CA6EA8"/>
    <w:rsid w:val="00CB13C7"/>
    <w:rsid w:val="00CB1755"/>
    <w:rsid w:val="00CB3DB2"/>
    <w:rsid w:val="00CB5066"/>
    <w:rsid w:val="00CB5576"/>
    <w:rsid w:val="00CB6910"/>
    <w:rsid w:val="00CC43A2"/>
    <w:rsid w:val="00CC4FD6"/>
    <w:rsid w:val="00CC5DB4"/>
    <w:rsid w:val="00CD036C"/>
    <w:rsid w:val="00CD153E"/>
    <w:rsid w:val="00CD2002"/>
    <w:rsid w:val="00CD4CBE"/>
    <w:rsid w:val="00CD6E1B"/>
    <w:rsid w:val="00CD76D3"/>
    <w:rsid w:val="00CD7E6D"/>
    <w:rsid w:val="00CE0F39"/>
    <w:rsid w:val="00CE1B44"/>
    <w:rsid w:val="00CE330C"/>
    <w:rsid w:val="00CE74A6"/>
    <w:rsid w:val="00CF06E0"/>
    <w:rsid w:val="00CF0786"/>
    <w:rsid w:val="00CF0ADC"/>
    <w:rsid w:val="00CF4F24"/>
    <w:rsid w:val="00CF70F7"/>
    <w:rsid w:val="00CF7B44"/>
    <w:rsid w:val="00D00392"/>
    <w:rsid w:val="00D00A03"/>
    <w:rsid w:val="00D025BE"/>
    <w:rsid w:val="00D03037"/>
    <w:rsid w:val="00D0553A"/>
    <w:rsid w:val="00D0563A"/>
    <w:rsid w:val="00D05D6B"/>
    <w:rsid w:val="00D10641"/>
    <w:rsid w:val="00D10F92"/>
    <w:rsid w:val="00D11037"/>
    <w:rsid w:val="00D14351"/>
    <w:rsid w:val="00D1649F"/>
    <w:rsid w:val="00D167E5"/>
    <w:rsid w:val="00D21019"/>
    <w:rsid w:val="00D227B2"/>
    <w:rsid w:val="00D228EB"/>
    <w:rsid w:val="00D23E27"/>
    <w:rsid w:val="00D2596F"/>
    <w:rsid w:val="00D26DDF"/>
    <w:rsid w:val="00D26FE8"/>
    <w:rsid w:val="00D30187"/>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39ED"/>
    <w:rsid w:val="00D65616"/>
    <w:rsid w:val="00D676A5"/>
    <w:rsid w:val="00D67B74"/>
    <w:rsid w:val="00D70CA0"/>
    <w:rsid w:val="00D717AC"/>
    <w:rsid w:val="00D745FC"/>
    <w:rsid w:val="00D74DC7"/>
    <w:rsid w:val="00D775AA"/>
    <w:rsid w:val="00D77D7D"/>
    <w:rsid w:val="00D8091D"/>
    <w:rsid w:val="00D80F3D"/>
    <w:rsid w:val="00D8111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404F"/>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5193"/>
    <w:rsid w:val="00DF664B"/>
    <w:rsid w:val="00DF68F6"/>
    <w:rsid w:val="00E000F5"/>
    <w:rsid w:val="00E00A80"/>
    <w:rsid w:val="00E033A9"/>
    <w:rsid w:val="00E05333"/>
    <w:rsid w:val="00E0539A"/>
    <w:rsid w:val="00E07350"/>
    <w:rsid w:val="00E139B5"/>
    <w:rsid w:val="00E140BF"/>
    <w:rsid w:val="00E155B5"/>
    <w:rsid w:val="00E16A95"/>
    <w:rsid w:val="00E203D7"/>
    <w:rsid w:val="00E2286C"/>
    <w:rsid w:val="00E23924"/>
    <w:rsid w:val="00E2434C"/>
    <w:rsid w:val="00E24944"/>
    <w:rsid w:val="00E24E41"/>
    <w:rsid w:val="00E2572A"/>
    <w:rsid w:val="00E26EA4"/>
    <w:rsid w:val="00E307F8"/>
    <w:rsid w:val="00E31AE6"/>
    <w:rsid w:val="00E328ED"/>
    <w:rsid w:val="00E32D01"/>
    <w:rsid w:val="00E3418E"/>
    <w:rsid w:val="00E353E7"/>
    <w:rsid w:val="00E371CE"/>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415"/>
    <w:rsid w:val="00E65B96"/>
    <w:rsid w:val="00E7068D"/>
    <w:rsid w:val="00E71F45"/>
    <w:rsid w:val="00E71FE4"/>
    <w:rsid w:val="00E72052"/>
    <w:rsid w:val="00E72B34"/>
    <w:rsid w:val="00E7506D"/>
    <w:rsid w:val="00E76E8A"/>
    <w:rsid w:val="00E806C3"/>
    <w:rsid w:val="00E81BF2"/>
    <w:rsid w:val="00E83B57"/>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CDE"/>
    <w:rsid w:val="00EB1202"/>
    <w:rsid w:val="00EB2412"/>
    <w:rsid w:val="00EB2492"/>
    <w:rsid w:val="00EB3AA0"/>
    <w:rsid w:val="00EB3D1C"/>
    <w:rsid w:val="00EB4C15"/>
    <w:rsid w:val="00EB7D05"/>
    <w:rsid w:val="00EC0361"/>
    <w:rsid w:val="00EC0745"/>
    <w:rsid w:val="00EC07C7"/>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E6B49"/>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206B2"/>
    <w:rsid w:val="00F21791"/>
    <w:rsid w:val="00F21E3B"/>
    <w:rsid w:val="00F22C17"/>
    <w:rsid w:val="00F23201"/>
    <w:rsid w:val="00F237E5"/>
    <w:rsid w:val="00F23C62"/>
    <w:rsid w:val="00F24831"/>
    <w:rsid w:val="00F300C3"/>
    <w:rsid w:val="00F30ABD"/>
    <w:rsid w:val="00F30B39"/>
    <w:rsid w:val="00F31134"/>
    <w:rsid w:val="00F31EB3"/>
    <w:rsid w:val="00F3359B"/>
    <w:rsid w:val="00F335BF"/>
    <w:rsid w:val="00F35841"/>
    <w:rsid w:val="00F36E57"/>
    <w:rsid w:val="00F402F3"/>
    <w:rsid w:val="00F43428"/>
    <w:rsid w:val="00F43DCE"/>
    <w:rsid w:val="00F44074"/>
    <w:rsid w:val="00F4626B"/>
    <w:rsid w:val="00F463EA"/>
    <w:rsid w:val="00F51389"/>
    <w:rsid w:val="00F51ED8"/>
    <w:rsid w:val="00F51FCE"/>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1493"/>
    <w:rsid w:val="00F721F4"/>
    <w:rsid w:val="00F74989"/>
    <w:rsid w:val="00F75216"/>
    <w:rsid w:val="00F76653"/>
    <w:rsid w:val="00F80DFA"/>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97E77"/>
    <w:rsid w:val="00FA18CC"/>
    <w:rsid w:val="00FA1936"/>
    <w:rsid w:val="00FA2DF6"/>
    <w:rsid w:val="00FA2EC6"/>
    <w:rsid w:val="00FA3110"/>
    <w:rsid w:val="00FA5D51"/>
    <w:rsid w:val="00FA64E7"/>
    <w:rsid w:val="00FA774A"/>
    <w:rsid w:val="00FB0DF3"/>
    <w:rsid w:val="00FB5F75"/>
    <w:rsid w:val="00FB79D5"/>
    <w:rsid w:val="00FC0619"/>
    <w:rsid w:val="00FC0DEB"/>
    <w:rsid w:val="00FC15F1"/>
    <w:rsid w:val="00FC17F3"/>
    <w:rsid w:val="00FC1902"/>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E7C2D"/>
    <w:rsid w:val="00FF0578"/>
    <w:rsid w:val="00FF1858"/>
    <w:rsid w:val="00FF33EB"/>
    <w:rsid w:val="00FF3F01"/>
    <w:rsid w:val="00FF3F5D"/>
    <w:rsid w:val="00FF4EA4"/>
    <w:rsid w:val="00FF4F57"/>
    <w:rsid w:val="00FF53FD"/>
    <w:rsid w:val="00FF6C87"/>
    <w:rsid w:val="01087EB9"/>
    <w:rsid w:val="01393F5D"/>
    <w:rsid w:val="015E2B82"/>
    <w:rsid w:val="01873E33"/>
    <w:rsid w:val="01C861C5"/>
    <w:rsid w:val="02042EF4"/>
    <w:rsid w:val="02314E41"/>
    <w:rsid w:val="027D5641"/>
    <w:rsid w:val="028E485D"/>
    <w:rsid w:val="02BB5D2E"/>
    <w:rsid w:val="032C493C"/>
    <w:rsid w:val="036C45B6"/>
    <w:rsid w:val="03B6440A"/>
    <w:rsid w:val="04144CB8"/>
    <w:rsid w:val="0414564A"/>
    <w:rsid w:val="046F5D19"/>
    <w:rsid w:val="04A6236A"/>
    <w:rsid w:val="04C40E66"/>
    <w:rsid w:val="04ED2911"/>
    <w:rsid w:val="04FC263C"/>
    <w:rsid w:val="053F5432"/>
    <w:rsid w:val="05556A37"/>
    <w:rsid w:val="05632C21"/>
    <w:rsid w:val="05BE2E04"/>
    <w:rsid w:val="05F6756F"/>
    <w:rsid w:val="064E7C45"/>
    <w:rsid w:val="066F4837"/>
    <w:rsid w:val="067B7ADB"/>
    <w:rsid w:val="068123DC"/>
    <w:rsid w:val="06AB63C4"/>
    <w:rsid w:val="06B85401"/>
    <w:rsid w:val="06F049E2"/>
    <w:rsid w:val="072D4D2F"/>
    <w:rsid w:val="079C0E99"/>
    <w:rsid w:val="07A207B1"/>
    <w:rsid w:val="07BA35AC"/>
    <w:rsid w:val="07BF5E31"/>
    <w:rsid w:val="07D159C5"/>
    <w:rsid w:val="07D9327A"/>
    <w:rsid w:val="07E822C7"/>
    <w:rsid w:val="07F96DEB"/>
    <w:rsid w:val="0809666B"/>
    <w:rsid w:val="0826548A"/>
    <w:rsid w:val="08D538D0"/>
    <w:rsid w:val="08D81C3A"/>
    <w:rsid w:val="08DA1E8C"/>
    <w:rsid w:val="08ED0258"/>
    <w:rsid w:val="08EF08AA"/>
    <w:rsid w:val="09097ED2"/>
    <w:rsid w:val="094D4AE5"/>
    <w:rsid w:val="09551750"/>
    <w:rsid w:val="095D1506"/>
    <w:rsid w:val="09611AE5"/>
    <w:rsid w:val="09B61E03"/>
    <w:rsid w:val="09D766CE"/>
    <w:rsid w:val="09DB1CA7"/>
    <w:rsid w:val="09E74862"/>
    <w:rsid w:val="0A1E34A8"/>
    <w:rsid w:val="0A1F105F"/>
    <w:rsid w:val="0A335D9D"/>
    <w:rsid w:val="0A4B727F"/>
    <w:rsid w:val="0A5271DD"/>
    <w:rsid w:val="0A6B1350"/>
    <w:rsid w:val="0A962F1E"/>
    <w:rsid w:val="0ABD3B53"/>
    <w:rsid w:val="0AD81D4C"/>
    <w:rsid w:val="0AED524D"/>
    <w:rsid w:val="0AFA13CC"/>
    <w:rsid w:val="0B042130"/>
    <w:rsid w:val="0B1F4D52"/>
    <w:rsid w:val="0B2B4994"/>
    <w:rsid w:val="0B391354"/>
    <w:rsid w:val="0B502FD2"/>
    <w:rsid w:val="0BCA6449"/>
    <w:rsid w:val="0BDA0DEA"/>
    <w:rsid w:val="0C05091C"/>
    <w:rsid w:val="0C6311F3"/>
    <w:rsid w:val="0C741652"/>
    <w:rsid w:val="0C7451AE"/>
    <w:rsid w:val="0C8637F8"/>
    <w:rsid w:val="0C8D7DE5"/>
    <w:rsid w:val="0CAA7A35"/>
    <w:rsid w:val="0CAE7D79"/>
    <w:rsid w:val="0CE7384B"/>
    <w:rsid w:val="0D0D2E36"/>
    <w:rsid w:val="0D1A639E"/>
    <w:rsid w:val="0D481F5E"/>
    <w:rsid w:val="0DAC0795"/>
    <w:rsid w:val="0DCC4E45"/>
    <w:rsid w:val="0DD447CF"/>
    <w:rsid w:val="0DD750AD"/>
    <w:rsid w:val="0E1D453B"/>
    <w:rsid w:val="0E1E7AC7"/>
    <w:rsid w:val="0E211F8B"/>
    <w:rsid w:val="0E335042"/>
    <w:rsid w:val="0E49081A"/>
    <w:rsid w:val="0E72571D"/>
    <w:rsid w:val="0E7F2542"/>
    <w:rsid w:val="0EA30502"/>
    <w:rsid w:val="0ED408B0"/>
    <w:rsid w:val="0ED62150"/>
    <w:rsid w:val="0ED93001"/>
    <w:rsid w:val="0EFE0311"/>
    <w:rsid w:val="0F0A1F37"/>
    <w:rsid w:val="0F45151F"/>
    <w:rsid w:val="0F492F98"/>
    <w:rsid w:val="0F5B3D41"/>
    <w:rsid w:val="0F5E7E72"/>
    <w:rsid w:val="0F9327BF"/>
    <w:rsid w:val="0FAA0C75"/>
    <w:rsid w:val="0FAB0EE6"/>
    <w:rsid w:val="0FF75276"/>
    <w:rsid w:val="10060191"/>
    <w:rsid w:val="100B4F00"/>
    <w:rsid w:val="10270E40"/>
    <w:rsid w:val="10937144"/>
    <w:rsid w:val="10C20E4B"/>
    <w:rsid w:val="10E42629"/>
    <w:rsid w:val="10FD6F47"/>
    <w:rsid w:val="110E6C6E"/>
    <w:rsid w:val="11276C93"/>
    <w:rsid w:val="11413AD5"/>
    <w:rsid w:val="115665C0"/>
    <w:rsid w:val="115D39B8"/>
    <w:rsid w:val="115E2F88"/>
    <w:rsid w:val="116B77A2"/>
    <w:rsid w:val="118764AC"/>
    <w:rsid w:val="118C172A"/>
    <w:rsid w:val="11A50019"/>
    <w:rsid w:val="11C41B5C"/>
    <w:rsid w:val="11F264E7"/>
    <w:rsid w:val="122356AC"/>
    <w:rsid w:val="122C725F"/>
    <w:rsid w:val="122F6CC8"/>
    <w:rsid w:val="123F74DC"/>
    <w:rsid w:val="128E3D8E"/>
    <w:rsid w:val="12CB6213"/>
    <w:rsid w:val="12CC47F7"/>
    <w:rsid w:val="12D15108"/>
    <w:rsid w:val="12E50F51"/>
    <w:rsid w:val="132D1D71"/>
    <w:rsid w:val="139466E7"/>
    <w:rsid w:val="139713B8"/>
    <w:rsid w:val="13BF59AC"/>
    <w:rsid w:val="13BF63D1"/>
    <w:rsid w:val="13CF6622"/>
    <w:rsid w:val="13FD3B91"/>
    <w:rsid w:val="14214638"/>
    <w:rsid w:val="143F6CA5"/>
    <w:rsid w:val="14527AE3"/>
    <w:rsid w:val="1461426A"/>
    <w:rsid w:val="147572AE"/>
    <w:rsid w:val="147C739E"/>
    <w:rsid w:val="147E444A"/>
    <w:rsid w:val="149819C8"/>
    <w:rsid w:val="14BC71C8"/>
    <w:rsid w:val="14D058A3"/>
    <w:rsid w:val="14E01C0B"/>
    <w:rsid w:val="153A1234"/>
    <w:rsid w:val="153B0F6D"/>
    <w:rsid w:val="15444E7F"/>
    <w:rsid w:val="15511A5E"/>
    <w:rsid w:val="15C36BD0"/>
    <w:rsid w:val="15E8716E"/>
    <w:rsid w:val="15EE44D7"/>
    <w:rsid w:val="15F146D6"/>
    <w:rsid w:val="16112C35"/>
    <w:rsid w:val="164D0EC9"/>
    <w:rsid w:val="168969BA"/>
    <w:rsid w:val="16B051B6"/>
    <w:rsid w:val="16BC6A9D"/>
    <w:rsid w:val="16D358F4"/>
    <w:rsid w:val="16EB2460"/>
    <w:rsid w:val="172B5511"/>
    <w:rsid w:val="175E24E1"/>
    <w:rsid w:val="17B078B6"/>
    <w:rsid w:val="17B86239"/>
    <w:rsid w:val="17C27715"/>
    <w:rsid w:val="17D6125F"/>
    <w:rsid w:val="17F525F2"/>
    <w:rsid w:val="187A6DFA"/>
    <w:rsid w:val="18B74DA0"/>
    <w:rsid w:val="18BD7EDC"/>
    <w:rsid w:val="18C216D0"/>
    <w:rsid w:val="18F01626"/>
    <w:rsid w:val="18F44079"/>
    <w:rsid w:val="18F61CE6"/>
    <w:rsid w:val="193E2B72"/>
    <w:rsid w:val="195E6397"/>
    <w:rsid w:val="197B011F"/>
    <w:rsid w:val="198F1D07"/>
    <w:rsid w:val="199B7EFD"/>
    <w:rsid w:val="19A5109C"/>
    <w:rsid w:val="19BD55EE"/>
    <w:rsid w:val="19DB09FD"/>
    <w:rsid w:val="19DB76A3"/>
    <w:rsid w:val="19F41259"/>
    <w:rsid w:val="1A50262B"/>
    <w:rsid w:val="1A6D388D"/>
    <w:rsid w:val="1A7C5501"/>
    <w:rsid w:val="1A907281"/>
    <w:rsid w:val="1A96658C"/>
    <w:rsid w:val="1AB95659"/>
    <w:rsid w:val="1ABD0370"/>
    <w:rsid w:val="1AE95642"/>
    <w:rsid w:val="1AEB4D84"/>
    <w:rsid w:val="1B09100F"/>
    <w:rsid w:val="1B1C3903"/>
    <w:rsid w:val="1B3011AA"/>
    <w:rsid w:val="1B6C00C4"/>
    <w:rsid w:val="1B70335D"/>
    <w:rsid w:val="1B843C1F"/>
    <w:rsid w:val="1B933962"/>
    <w:rsid w:val="1BB1077D"/>
    <w:rsid w:val="1BB2184F"/>
    <w:rsid w:val="1BC27E34"/>
    <w:rsid w:val="1C1C4ADB"/>
    <w:rsid w:val="1C317F37"/>
    <w:rsid w:val="1C3312D7"/>
    <w:rsid w:val="1C527EEE"/>
    <w:rsid w:val="1C58653F"/>
    <w:rsid w:val="1C9119FB"/>
    <w:rsid w:val="1CB36692"/>
    <w:rsid w:val="1CD41554"/>
    <w:rsid w:val="1CD60FDD"/>
    <w:rsid w:val="1D34705F"/>
    <w:rsid w:val="1D4B646C"/>
    <w:rsid w:val="1D5A145A"/>
    <w:rsid w:val="1D6750D6"/>
    <w:rsid w:val="1D805054"/>
    <w:rsid w:val="1D885F7E"/>
    <w:rsid w:val="1D8B6121"/>
    <w:rsid w:val="1D8C4188"/>
    <w:rsid w:val="1D90357B"/>
    <w:rsid w:val="1DBB4888"/>
    <w:rsid w:val="1DF10879"/>
    <w:rsid w:val="1E33043A"/>
    <w:rsid w:val="1E51534F"/>
    <w:rsid w:val="1E9F04CF"/>
    <w:rsid w:val="1EAC0576"/>
    <w:rsid w:val="1F410D26"/>
    <w:rsid w:val="1F457DEB"/>
    <w:rsid w:val="1F486284"/>
    <w:rsid w:val="1F4A09AF"/>
    <w:rsid w:val="1F4F76D7"/>
    <w:rsid w:val="1F52137F"/>
    <w:rsid w:val="1F5E25BF"/>
    <w:rsid w:val="1FD55739"/>
    <w:rsid w:val="1FE62D4E"/>
    <w:rsid w:val="201D42E6"/>
    <w:rsid w:val="202F4C72"/>
    <w:rsid w:val="204C3CC9"/>
    <w:rsid w:val="20551BE7"/>
    <w:rsid w:val="205B3BD8"/>
    <w:rsid w:val="20855784"/>
    <w:rsid w:val="208A5C9C"/>
    <w:rsid w:val="20B14377"/>
    <w:rsid w:val="20BB4A98"/>
    <w:rsid w:val="20ED0E50"/>
    <w:rsid w:val="20FF154F"/>
    <w:rsid w:val="212D4657"/>
    <w:rsid w:val="21312F9D"/>
    <w:rsid w:val="21674E89"/>
    <w:rsid w:val="21724AA6"/>
    <w:rsid w:val="21A33405"/>
    <w:rsid w:val="21BE414F"/>
    <w:rsid w:val="21DE1590"/>
    <w:rsid w:val="21DF17AC"/>
    <w:rsid w:val="21FA5CFD"/>
    <w:rsid w:val="220F7E93"/>
    <w:rsid w:val="2258544D"/>
    <w:rsid w:val="226D4858"/>
    <w:rsid w:val="228268B0"/>
    <w:rsid w:val="229A27ED"/>
    <w:rsid w:val="22B643D4"/>
    <w:rsid w:val="22C94223"/>
    <w:rsid w:val="22D93B65"/>
    <w:rsid w:val="2301785C"/>
    <w:rsid w:val="230940A3"/>
    <w:rsid w:val="23177121"/>
    <w:rsid w:val="235F58ED"/>
    <w:rsid w:val="23820B7F"/>
    <w:rsid w:val="23B21D50"/>
    <w:rsid w:val="23C53A10"/>
    <w:rsid w:val="23D160BD"/>
    <w:rsid w:val="23E41534"/>
    <w:rsid w:val="24326801"/>
    <w:rsid w:val="245106F3"/>
    <w:rsid w:val="245B2117"/>
    <w:rsid w:val="2461458C"/>
    <w:rsid w:val="24655634"/>
    <w:rsid w:val="24AD6D38"/>
    <w:rsid w:val="24B32A61"/>
    <w:rsid w:val="24D83346"/>
    <w:rsid w:val="257121FC"/>
    <w:rsid w:val="25720679"/>
    <w:rsid w:val="258B0188"/>
    <w:rsid w:val="2591011D"/>
    <w:rsid w:val="25B644FA"/>
    <w:rsid w:val="25B70A1E"/>
    <w:rsid w:val="25DF5154"/>
    <w:rsid w:val="25E24BC7"/>
    <w:rsid w:val="25F84E19"/>
    <w:rsid w:val="26255963"/>
    <w:rsid w:val="26314D61"/>
    <w:rsid w:val="26572034"/>
    <w:rsid w:val="265B42DF"/>
    <w:rsid w:val="266E1381"/>
    <w:rsid w:val="26823CA7"/>
    <w:rsid w:val="26A74F53"/>
    <w:rsid w:val="26AB5818"/>
    <w:rsid w:val="26D02A26"/>
    <w:rsid w:val="26F84164"/>
    <w:rsid w:val="27222F8C"/>
    <w:rsid w:val="273E2CA9"/>
    <w:rsid w:val="27553E85"/>
    <w:rsid w:val="277A73D4"/>
    <w:rsid w:val="2795453C"/>
    <w:rsid w:val="27A229B2"/>
    <w:rsid w:val="27A475C8"/>
    <w:rsid w:val="27B5253B"/>
    <w:rsid w:val="27C07D51"/>
    <w:rsid w:val="27C11777"/>
    <w:rsid w:val="27E432F0"/>
    <w:rsid w:val="27FC1603"/>
    <w:rsid w:val="282613FD"/>
    <w:rsid w:val="283E3CD3"/>
    <w:rsid w:val="286A7171"/>
    <w:rsid w:val="288C6375"/>
    <w:rsid w:val="28E6635F"/>
    <w:rsid w:val="28F41C0C"/>
    <w:rsid w:val="29267F4E"/>
    <w:rsid w:val="292744D8"/>
    <w:rsid w:val="299A48AA"/>
    <w:rsid w:val="29D14A0E"/>
    <w:rsid w:val="29E80BF0"/>
    <w:rsid w:val="2A10401D"/>
    <w:rsid w:val="2A480AF2"/>
    <w:rsid w:val="2A4D4EEC"/>
    <w:rsid w:val="2A505CF6"/>
    <w:rsid w:val="2A5A2D40"/>
    <w:rsid w:val="2A9E2215"/>
    <w:rsid w:val="2AE5754B"/>
    <w:rsid w:val="2B3F5F01"/>
    <w:rsid w:val="2B8151F8"/>
    <w:rsid w:val="2BB4596C"/>
    <w:rsid w:val="2BC63257"/>
    <w:rsid w:val="2C0B7CF9"/>
    <w:rsid w:val="2C0E1747"/>
    <w:rsid w:val="2C2E4C48"/>
    <w:rsid w:val="2C377758"/>
    <w:rsid w:val="2C723632"/>
    <w:rsid w:val="2D4F570F"/>
    <w:rsid w:val="2D5F028F"/>
    <w:rsid w:val="2D845F08"/>
    <w:rsid w:val="2D9E128E"/>
    <w:rsid w:val="2DD707ED"/>
    <w:rsid w:val="2DEC110A"/>
    <w:rsid w:val="2E0917A2"/>
    <w:rsid w:val="2E291720"/>
    <w:rsid w:val="2E2F0008"/>
    <w:rsid w:val="2E5A4E26"/>
    <w:rsid w:val="2E5D642A"/>
    <w:rsid w:val="2E741573"/>
    <w:rsid w:val="2E8E4CE9"/>
    <w:rsid w:val="2EA87DE8"/>
    <w:rsid w:val="2EC5794C"/>
    <w:rsid w:val="2F124B1C"/>
    <w:rsid w:val="2F1320F9"/>
    <w:rsid w:val="2F45482D"/>
    <w:rsid w:val="2F477084"/>
    <w:rsid w:val="2F5E419A"/>
    <w:rsid w:val="2F653AB3"/>
    <w:rsid w:val="2F7C6138"/>
    <w:rsid w:val="2FF24A9E"/>
    <w:rsid w:val="3017495E"/>
    <w:rsid w:val="301A0A01"/>
    <w:rsid w:val="30460B22"/>
    <w:rsid w:val="305F0D15"/>
    <w:rsid w:val="307D673F"/>
    <w:rsid w:val="3090558E"/>
    <w:rsid w:val="30B61D5C"/>
    <w:rsid w:val="30C848E7"/>
    <w:rsid w:val="30E3277E"/>
    <w:rsid w:val="30FE6532"/>
    <w:rsid w:val="310B7E0E"/>
    <w:rsid w:val="311461A8"/>
    <w:rsid w:val="31324247"/>
    <w:rsid w:val="315D52F9"/>
    <w:rsid w:val="318C38CE"/>
    <w:rsid w:val="31AF55AB"/>
    <w:rsid w:val="31C1427F"/>
    <w:rsid w:val="31C75BFC"/>
    <w:rsid w:val="31EC310B"/>
    <w:rsid w:val="320D3218"/>
    <w:rsid w:val="32292BC7"/>
    <w:rsid w:val="323546BB"/>
    <w:rsid w:val="325F5934"/>
    <w:rsid w:val="32674CE9"/>
    <w:rsid w:val="32966D3C"/>
    <w:rsid w:val="32985053"/>
    <w:rsid w:val="32B20743"/>
    <w:rsid w:val="32E31462"/>
    <w:rsid w:val="32E81473"/>
    <w:rsid w:val="32EB01D9"/>
    <w:rsid w:val="331839C9"/>
    <w:rsid w:val="332366A3"/>
    <w:rsid w:val="3341620A"/>
    <w:rsid w:val="335A0B92"/>
    <w:rsid w:val="33817B10"/>
    <w:rsid w:val="33D34062"/>
    <w:rsid w:val="33D56F13"/>
    <w:rsid w:val="340B5DEF"/>
    <w:rsid w:val="34280373"/>
    <w:rsid w:val="3439458D"/>
    <w:rsid w:val="345D5D57"/>
    <w:rsid w:val="346E5D8F"/>
    <w:rsid w:val="3478653E"/>
    <w:rsid w:val="350A079B"/>
    <w:rsid w:val="35306958"/>
    <w:rsid w:val="35316934"/>
    <w:rsid w:val="355D6D6F"/>
    <w:rsid w:val="356A4DAC"/>
    <w:rsid w:val="35823A3E"/>
    <w:rsid w:val="35C15576"/>
    <w:rsid w:val="35C46C85"/>
    <w:rsid w:val="35F27157"/>
    <w:rsid w:val="364B0EC2"/>
    <w:rsid w:val="36A112CD"/>
    <w:rsid w:val="36D45DBC"/>
    <w:rsid w:val="374B30EB"/>
    <w:rsid w:val="37571F09"/>
    <w:rsid w:val="3786381D"/>
    <w:rsid w:val="379C086E"/>
    <w:rsid w:val="37BE016E"/>
    <w:rsid w:val="37DE5A4E"/>
    <w:rsid w:val="37E40B8A"/>
    <w:rsid w:val="38014F46"/>
    <w:rsid w:val="387D4BEB"/>
    <w:rsid w:val="38E97278"/>
    <w:rsid w:val="38FC4233"/>
    <w:rsid w:val="39073CCD"/>
    <w:rsid w:val="390E6A0D"/>
    <w:rsid w:val="39124D88"/>
    <w:rsid w:val="391317D1"/>
    <w:rsid w:val="391E6950"/>
    <w:rsid w:val="396C0E37"/>
    <w:rsid w:val="39984C79"/>
    <w:rsid w:val="399D511C"/>
    <w:rsid w:val="39A5214C"/>
    <w:rsid w:val="39F45E57"/>
    <w:rsid w:val="3A0C1F0A"/>
    <w:rsid w:val="3A0D7783"/>
    <w:rsid w:val="3A126EC8"/>
    <w:rsid w:val="3A1A525E"/>
    <w:rsid w:val="3A2D481C"/>
    <w:rsid w:val="3B2C491F"/>
    <w:rsid w:val="3B3553E0"/>
    <w:rsid w:val="3B380893"/>
    <w:rsid w:val="3B641C5F"/>
    <w:rsid w:val="3B8743ED"/>
    <w:rsid w:val="3B91744B"/>
    <w:rsid w:val="3C175755"/>
    <w:rsid w:val="3C4D34DB"/>
    <w:rsid w:val="3C58453A"/>
    <w:rsid w:val="3C6E1771"/>
    <w:rsid w:val="3C725167"/>
    <w:rsid w:val="3C816786"/>
    <w:rsid w:val="3C9839FA"/>
    <w:rsid w:val="3CA6239E"/>
    <w:rsid w:val="3CB04E80"/>
    <w:rsid w:val="3CB42016"/>
    <w:rsid w:val="3CBC04FF"/>
    <w:rsid w:val="3CC67CD4"/>
    <w:rsid w:val="3CF5050D"/>
    <w:rsid w:val="3D1837B0"/>
    <w:rsid w:val="3D96637E"/>
    <w:rsid w:val="3D9C34CD"/>
    <w:rsid w:val="3DAC323C"/>
    <w:rsid w:val="3DC372EE"/>
    <w:rsid w:val="3DEC2498"/>
    <w:rsid w:val="3DFF3A72"/>
    <w:rsid w:val="3E4C6ADC"/>
    <w:rsid w:val="3E4F494F"/>
    <w:rsid w:val="3E4F7D08"/>
    <w:rsid w:val="3E5E22B0"/>
    <w:rsid w:val="3E7313A8"/>
    <w:rsid w:val="3ED82F46"/>
    <w:rsid w:val="3F3C2EDE"/>
    <w:rsid w:val="3FAD3FCA"/>
    <w:rsid w:val="3FB206A1"/>
    <w:rsid w:val="3FCC262F"/>
    <w:rsid w:val="3FEE6BBA"/>
    <w:rsid w:val="3FF04570"/>
    <w:rsid w:val="400F2AAE"/>
    <w:rsid w:val="403522DF"/>
    <w:rsid w:val="407D1B57"/>
    <w:rsid w:val="40BE3049"/>
    <w:rsid w:val="40F22894"/>
    <w:rsid w:val="41173296"/>
    <w:rsid w:val="413A0EB3"/>
    <w:rsid w:val="416D7FD7"/>
    <w:rsid w:val="418C73D0"/>
    <w:rsid w:val="41A0623C"/>
    <w:rsid w:val="41A7588A"/>
    <w:rsid w:val="42012609"/>
    <w:rsid w:val="420738F5"/>
    <w:rsid w:val="420874CF"/>
    <w:rsid w:val="42156BF5"/>
    <w:rsid w:val="422721F4"/>
    <w:rsid w:val="42473F85"/>
    <w:rsid w:val="42547D8B"/>
    <w:rsid w:val="42756434"/>
    <w:rsid w:val="4280273F"/>
    <w:rsid w:val="428A466E"/>
    <w:rsid w:val="428F246C"/>
    <w:rsid w:val="42B018DA"/>
    <w:rsid w:val="42D765D0"/>
    <w:rsid w:val="42F23437"/>
    <w:rsid w:val="42F36125"/>
    <w:rsid w:val="430B4CE4"/>
    <w:rsid w:val="43310182"/>
    <w:rsid w:val="434B5597"/>
    <w:rsid w:val="4356443C"/>
    <w:rsid w:val="43575E8C"/>
    <w:rsid w:val="435E0AA5"/>
    <w:rsid w:val="43663E29"/>
    <w:rsid w:val="43700BED"/>
    <w:rsid w:val="438827B3"/>
    <w:rsid w:val="44052193"/>
    <w:rsid w:val="4436276D"/>
    <w:rsid w:val="444769AF"/>
    <w:rsid w:val="44550223"/>
    <w:rsid w:val="44EA4606"/>
    <w:rsid w:val="44FD6F67"/>
    <w:rsid w:val="455231F0"/>
    <w:rsid w:val="45554E75"/>
    <w:rsid w:val="45675D0C"/>
    <w:rsid w:val="456B3430"/>
    <w:rsid w:val="456D5AF0"/>
    <w:rsid w:val="458C667A"/>
    <w:rsid w:val="45D25BB8"/>
    <w:rsid w:val="46366161"/>
    <w:rsid w:val="46366A55"/>
    <w:rsid w:val="463E6D9A"/>
    <w:rsid w:val="46465AAA"/>
    <w:rsid w:val="467D2F1A"/>
    <w:rsid w:val="46804174"/>
    <w:rsid w:val="4695426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27FDF"/>
    <w:rsid w:val="48737219"/>
    <w:rsid w:val="4892657D"/>
    <w:rsid w:val="48C0687E"/>
    <w:rsid w:val="48EE371C"/>
    <w:rsid w:val="48F453AD"/>
    <w:rsid w:val="490C0E49"/>
    <w:rsid w:val="49574371"/>
    <w:rsid w:val="498B5D51"/>
    <w:rsid w:val="49CE328F"/>
    <w:rsid w:val="49CF3E0F"/>
    <w:rsid w:val="49E32D62"/>
    <w:rsid w:val="4A0C5CDF"/>
    <w:rsid w:val="4A1C7D5B"/>
    <w:rsid w:val="4A222BB1"/>
    <w:rsid w:val="4A73764F"/>
    <w:rsid w:val="4A7B30FE"/>
    <w:rsid w:val="4A871F75"/>
    <w:rsid w:val="4A957F5D"/>
    <w:rsid w:val="4ABE0F93"/>
    <w:rsid w:val="4AD83818"/>
    <w:rsid w:val="4AFD58C2"/>
    <w:rsid w:val="4BB26B7D"/>
    <w:rsid w:val="4BB40C35"/>
    <w:rsid w:val="4BD76F07"/>
    <w:rsid w:val="4C10163E"/>
    <w:rsid w:val="4C2645A5"/>
    <w:rsid w:val="4C295D83"/>
    <w:rsid w:val="4C4B737E"/>
    <w:rsid w:val="4C7F78FB"/>
    <w:rsid w:val="4CA30BBC"/>
    <w:rsid w:val="4CE713A1"/>
    <w:rsid w:val="4CEB5C57"/>
    <w:rsid w:val="4D005CCE"/>
    <w:rsid w:val="4D10679D"/>
    <w:rsid w:val="4D133E52"/>
    <w:rsid w:val="4D550000"/>
    <w:rsid w:val="4DA53A6F"/>
    <w:rsid w:val="4DE45808"/>
    <w:rsid w:val="4E2B1C56"/>
    <w:rsid w:val="4E9448CD"/>
    <w:rsid w:val="4EAA3AA7"/>
    <w:rsid w:val="4EBC2631"/>
    <w:rsid w:val="4EC16975"/>
    <w:rsid w:val="4F1069B5"/>
    <w:rsid w:val="4F374C6E"/>
    <w:rsid w:val="4F6A5A2A"/>
    <w:rsid w:val="4F7F321A"/>
    <w:rsid w:val="4FA11FA1"/>
    <w:rsid w:val="4FD712A8"/>
    <w:rsid w:val="4FF32A73"/>
    <w:rsid w:val="4FF65309"/>
    <w:rsid w:val="500C702E"/>
    <w:rsid w:val="50560813"/>
    <w:rsid w:val="505F0174"/>
    <w:rsid w:val="50A050A3"/>
    <w:rsid w:val="511B2742"/>
    <w:rsid w:val="51352836"/>
    <w:rsid w:val="51854A61"/>
    <w:rsid w:val="519E38E7"/>
    <w:rsid w:val="51A13899"/>
    <w:rsid w:val="51C24DCB"/>
    <w:rsid w:val="51C71D47"/>
    <w:rsid w:val="51F46E3D"/>
    <w:rsid w:val="51FB3E3E"/>
    <w:rsid w:val="520C2784"/>
    <w:rsid w:val="522315ED"/>
    <w:rsid w:val="52301CBD"/>
    <w:rsid w:val="52391561"/>
    <w:rsid w:val="52581E68"/>
    <w:rsid w:val="528771C6"/>
    <w:rsid w:val="528F19C6"/>
    <w:rsid w:val="52B63C9D"/>
    <w:rsid w:val="52C8137C"/>
    <w:rsid w:val="53042B53"/>
    <w:rsid w:val="531600B4"/>
    <w:rsid w:val="535A1FCB"/>
    <w:rsid w:val="536561B2"/>
    <w:rsid w:val="53933805"/>
    <w:rsid w:val="5399299F"/>
    <w:rsid w:val="53FA012A"/>
    <w:rsid w:val="54150FD2"/>
    <w:rsid w:val="541F46FD"/>
    <w:rsid w:val="543125DE"/>
    <w:rsid w:val="544C0545"/>
    <w:rsid w:val="544D5E47"/>
    <w:rsid w:val="547853B5"/>
    <w:rsid w:val="548F5A18"/>
    <w:rsid w:val="548F7CC1"/>
    <w:rsid w:val="54B74BCF"/>
    <w:rsid w:val="54CF331D"/>
    <w:rsid w:val="54FC5062"/>
    <w:rsid w:val="55417775"/>
    <w:rsid w:val="555645FD"/>
    <w:rsid w:val="55684A64"/>
    <w:rsid w:val="557F3457"/>
    <w:rsid w:val="55A52242"/>
    <w:rsid w:val="55BA027F"/>
    <w:rsid w:val="55BD3AE0"/>
    <w:rsid w:val="55C93BF0"/>
    <w:rsid w:val="55DA5F6F"/>
    <w:rsid w:val="55F55CB5"/>
    <w:rsid w:val="56626902"/>
    <w:rsid w:val="56640629"/>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8B064C"/>
    <w:rsid w:val="59E950A2"/>
    <w:rsid w:val="5A3F332F"/>
    <w:rsid w:val="5A495E65"/>
    <w:rsid w:val="5A5227C7"/>
    <w:rsid w:val="5A85418B"/>
    <w:rsid w:val="5AA2467B"/>
    <w:rsid w:val="5AA342BB"/>
    <w:rsid w:val="5AC57853"/>
    <w:rsid w:val="5ACB1D91"/>
    <w:rsid w:val="5AD26501"/>
    <w:rsid w:val="5B0E1223"/>
    <w:rsid w:val="5B69632E"/>
    <w:rsid w:val="5B834427"/>
    <w:rsid w:val="5BAE2A99"/>
    <w:rsid w:val="5BC20F3E"/>
    <w:rsid w:val="5BC409B6"/>
    <w:rsid w:val="5BCD2A28"/>
    <w:rsid w:val="5BCF7A90"/>
    <w:rsid w:val="5BDF731D"/>
    <w:rsid w:val="5C0B05A2"/>
    <w:rsid w:val="5C1717D9"/>
    <w:rsid w:val="5C1A7007"/>
    <w:rsid w:val="5C1E368A"/>
    <w:rsid w:val="5C20031E"/>
    <w:rsid w:val="5C3D2516"/>
    <w:rsid w:val="5C757E7F"/>
    <w:rsid w:val="5CB139A0"/>
    <w:rsid w:val="5CC826A5"/>
    <w:rsid w:val="5CD938B8"/>
    <w:rsid w:val="5D280ACB"/>
    <w:rsid w:val="5D36453C"/>
    <w:rsid w:val="5D683540"/>
    <w:rsid w:val="5D823D4C"/>
    <w:rsid w:val="5DA504AA"/>
    <w:rsid w:val="5DD54801"/>
    <w:rsid w:val="5E2B098A"/>
    <w:rsid w:val="5E4C10B3"/>
    <w:rsid w:val="5E8E5AC1"/>
    <w:rsid w:val="5E921C4D"/>
    <w:rsid w:val="5E9544E9"/>
    <w:rsid w:val="5ECC015F"/>
    <w:rsid w:val="5EE83EB0"/>
    <w:rsid w:val="5EFB17CA"/>
    <w:rsid w:val="5F2F3381"/>
    <w:rsid w:val="5F362D83"/>
    <w:rsid w:val="5F3D2932"/>
    <w:rsid w:val="5F4A434F"/>
    <w:rsid w:val="5F4C6AB1"/>
    <w:rsid w:val="5FBF4F4A"/>
    <w:rsid w:val="5FEA7357"/>
    <w:rsid w:val="5FF437B1"/>
    <w:rsid w:val="600039FD"/>
    <w:rsid w:val="6001186C"/>
    <w:rsid w:val="600E4AFF"/>
    <w:rsid w:val="602629C5"/>
    <w:rsid w:val="602B6AA7"/>
    <w:rsid w:val="606E3CED"/>
    <w:rsid w:val="60D16749"/>
    <w:rsid w:val="60DB3FC7"/>
    <w:rsid w:val="60EC26DA"/>
    <w:rsid w:val="61035D91"/>
    <w:rsid w:val="61357BDD"/>
    <w:rsid w:val="614E3A65"/>
    <w:rsid w:val="61687ECC"/>
    <w:rsid w:val="617D2E49"/>
    <w:rsid w:val="61941255"/>
    <w:rsid w:val="61994186"/>
    <w:rsid w:val="61A02AE1"/>
    <w:rsid w:val="61BC4DC2"/>
    <w:rsid w:val="61C44678"/>
    <w:rsid w:val="61CB0541"/>
    <w:rsid w:val="61F6105D"/>
    <w:rsid w:val="62003B63"/>
    <w:rsid w:val="62195750"/>
    <w:rsid w:val="622368EE"/>
    <w:rsid w:val="622E3D96"/>
    <w:rsid w:val="62314B55"/>
    <w:rsid w:val="62493070"/>
    <w:rsid w:val="62537301"/>
    <w:rsid w:val="6281063A"/>
    <w:rsid w:val="6294666F"/>
    <w:rsid w:val="62993EE6"/>
    <w:rsid w:val="62EC6126"/>
    <w:rsid w:val="62F6410D"/>
    <w:rsid w:val="634675E2"/>
    <w:rsid w:val="63520B99"/>
    <w:rsid w:val="635A7834"/>
    <w:rsid w:val="63780F4D"/>
    <w:rsid w:val="63843E11"/>
    <w:rsid w:val="638962A8"/>
    <w:rsid w:val="63A905F9"/>
    <w:rsid w:val="63BF3CCD"/>
    <w:rsid w:val="63E70B6A"/>
    <w:rsid w:val="63E74E43"/>
    <w:rsid w:val="63F4509F"/>
    <w:rsid w:val="641D561E"/>
    <w:rsid w:val="64721148"/>
    <w:rsid w:val="648006B8"/>
    <w:rsid w:val="6486046D"/>
    <w:rsid w:val="64881741"/>
    <w:rsid w:val="64B15FD5"/>
    <w:rsid w:val="64BF36B4"/>
    <w:rsid w:val="64C76A4D"/>
    <w:rsid w:val="64FE6613"/>
    <w:rsid w:val="65150382"/>
    <w:rsid w:val="651654D0"/>
    <w:rsid w:val="653C2322"/>
    <w:rsid w:val="655955A4"/>
    <w:rsid w:val="65907AD8"/>
    <w:rsid w:val="6596649A"/>
    <w:rsid w:val="65A2097C"/>
    <w:rsid w:val="65C14D81"/>
    <w:rsid w:val="65CA557B"/>
    <w:rsid w:val="65CE6CF9"/>
    <w:rsid w:val="65D25022"/>
    <w:rsid w:val="662A75DE"/>
    <w:rsid w:val="665A71CA"/>
    <w:rsid w:val="665D68EF"/>
    <w:rsid w:val="66980FBD"/>
    <w:rsid w:val="66A30944"/>
    <w:rsid w:val="66BF5BD4"/>
    <w:rsid w:val="66ED7B52"/>
    <w:rsid w:val="66FC7544"/>
    <w:rsid w:val="67341FB4"/>
    <w:rsid w:val="675B3896"/>
    <w:rsid w:val="676C544D"/>
    <w:rsid w:val="67F03A67"/>
    <w:rsid w:val="67FF24A8"/>
    <w:rsid w:val="68C26C72"/>
    <w:rsid w:val="68C60434"/>
    <w:rsid w:val="68D23C1D"/>
    <w:rsid w:val="69294622"/>
    <w:rsid w:val="69450A1E"/>
    <w:rsid w:val="69995CD6"/>
    <w:rsid w:val="69CA0494"/>
    <w:rsid w:val="69F10A05"/>
    <w:rsid w:val="69F46A26"/>
    <w:rsid w:val="69FB4D8B"/>
    <w:rsid w:val="6AC1266D"/>
    <w:rsid w:val="6AC62746"/>
    <w:rsid w:val="6B3E3B32"/>
    <w:rsid w:val="6B4722DF"/>
    <w:rsid w:val="6B4825DE"/>
    <w:rsid w:val="6B5938AC"/>
    <w:rsid w:val="6B596BBE"/>
    <w:rsid w:val="6B8D4D61"/>
    <w:rsid w:val="6BCA3618"/>
    <w:rsid w:val="6BF6440D"/>
    <w:rsid w:val="6C162679"/>
    <w:rsid w:val="6C2234CC"/>
    <w:rsid w:val="6C61060D"/>
    <w:rsid w:val="6C8157B0"/>
    <w:rsid w:val="6C924DA6"/>
    <w:rsid w:val="6CA976D1"/>
    <w:rsid w:val="6CCA0BA4"/>
    <w:rsid w:val="6CE4229B"/>
    <w:rsid w:val="6D232F07"/>
    <w:rsid w:val="6D32159C"/>
    <w:rsid w:val="6D351CF7"/>
    <w:rsid w:val="6D52229A"/>
    <w:rsid w:val="6D911FCA"/>
    <w:rsid w:val="6DB217D4"/>
    <w:rsid w:val="6DD33FC8"/>
    <w:rsid w:val="6E030EEC"/>
    <w:rsid w:val="6E2F763B"/>
    <w:rsid w:val="6E412611"/>
    <w:rsid w:val="6E4D6045"/>
    <w:rsid w:val="6E544C8B"/>
    <w:rsid w:val="6E6C1216"/>
    <w:rsid w:val="6E6D4529"/>
    <w:rsid w:val="6E7335DF"/>
    <w:rsid w:val="6E9976D7"/>
    <w:rsid w:val="6EB746A7"/>
    <w:rsid w:val="6EF32B6E"/>
    <w:rsid w:val="6F04700A"/>
    <w:rsid w:val="6F13150B"/>
    <w:rsid w:val="6F2A1CE8"/>
    <w:rsid w:val="6F34277B"/>
    <w:rsid w:val="6F4E676B"/>
    <w:rsid w:val="6F6B3219"/>
    <w:rsid w:val="6F751CB2"/>
    <w:rsid w:val="6F79782E"/>
    <w:rsid w:val="6F832092"/>
    <w:rsid w:val="6F954516"/>
    <w:rsid w:val="6FE54084"/>
    <w:rsid w:val="6FE8143A"/>
    <w:rsid w:val="701A17D4"/>
    <w:rsid w:val="7021512D"/>
    <w:rsid w:val="7039129F"/>
    <w:rsid w:val="704A3350"/>
    <w:rsid w:val="704D75D1"/>
    <w:rsid w:val="70506DB5"/>
    <w:rsid w:val="705C4FBF"/>
    <w:rsid w:val="7072440C"/>
    <w:rsid w:val="70764DB5"/>
    <w:rsid w:val="708E4067"/>
    <w:rsid w:val="7092622D"/>
    <w:rsid w:val="70BB1864"/>
    <w:rsid w:val="710A6D91"/>
    <w:rsid w:val="711753EE"/>
    <w:rsid w:val="71212C19"/>
    <w:rsid w:val="71434331"/>
    <w:rsid w:val="714A1482"/>
    <w:rsid w:val="717464FF"/>
    <w:rsid w:val="71CB356E"/>
    <w:rsid w:val="71CF43CD"/>
    <w:rsid w:val="71EC2A56"/>
    <w:rsid w:val="72233563"/>
    <w:rsid w:val="72B127EC"/>
    <w:rsid w:val="72D2094C"/>
    <w:rsid w:val="72F94C9B"/>
    <w:rsid w:val="731A0C90"/>
    <w:rsid w:val="737E090F"/>
    <w:rsid w:val="738B0027"/>
    <w:rsid w:val="741756AE"/>
    <w:rsid w:val="741A563C"/>
    <w:rsid w:val="74904342"/>
    <w:rsid w:val="74B119A4"/>
    <w:rsid w:val="74BE678B"/>
    <w:rsid w:val="74D22322"/>
    <w:rsid w:val="74D74AF8"/>
    <w:rsid w:val="74E9222B"/>
    <w:rsid w:val="751414C1"/>
    <w:rsid w:val="755446EC"/>
    <w:rsid w:val="755E1E93"/>
    <w:rsid w:val="75752706"/>
    <w:rsid w:val="757C6A4C"/>
    <w:rsid w:val="75AB4839"/>
    <w:rsid w:val="76015A01"/>
    <w:rsid w:val="760C1695"/>
    <w:rsid w:val="7616038C"/>
    <w:rsid w:val="764309F2"/>
    <w:rsid w:val="765144A6"/>
    <w:rsid w:val="76721B44"/>
    <w:rsid w:val="767C5E46"/>
    <w:rsid w:val="76B625A7"/>
    <w:rsid w:val="76D2056E"/>
    <w:rsid w:val="76E6597A"/>
    <w:rsid w:val="770C5354"/>
    <w:rsid w:val="77727982"/>
    <w:rsid w:val="777A1C0E"/>
    <w:rsid w:val="777B3763"/>
    <w:rsid w:val="77A80A16"/>
    <w:rsid w:val="77AE1D1E"/>
    <w:rsid w:val="78143BC7"/>
    <w:rsid w:val="78441F14"/>
    <w:rsid w:val="787D7581"/>
    <w:rsid w:val="78AF68A0"/>
    <w:rsid w:val="78C37659"/>
    <w:rsid w:val="78FD41F5"/>
    <w:rsid w:val="79030E08"/>
    <w:rsid w:val="790B56C3"/>
    <w:rsid w:val="791B3252"/>
    <w:rsid w:val="7965507C"/>
    <w:rsid w:val="79DD4BB1"/>
    <w:rsid w:val="7A435270"/>
    <w:rsid w:val="7AF324CE"/>
    <w:rsid w:val="7AF57281"/>
    <w:rsid w:val="7B0155BF"/>
    <w:rsid w:val="7B3F18A5"/>
    <w:rsid w:val="7B520E3A"/>
    <w:rsid w:val="7BAE37F4"/>
    <w:rsid w:val="7BC16393"/>
    <w:rsid w:val="7BC164A4"/>
    <w:rsid w:val="7BE12D09"/>
    <w:rsid w:val="7BE144DF"/>
    <w:rsid w:val="7C046ED2"/>
    <w:rsid w:val="7C1D0C87"/>
    <w:rsid w:val="7C52743D"/>
    <w:rsid w:val="7C547659"/>
    <w:rsid w:val="7C80010D"/>
    <w:rsid w:val="7C934C7B"/>
    <w:rsid w:val="7D0543E8"/>
    <w:rsid w:val="7D191B50"/>
    <w:rsid w:val="7D2D11FF"/>
    <w:rsid w:val="7D426DE3"/>
    <w:rsid w:val="7D640708"/>
    <w:rsid w:val="7D7A79B6"/>
    <w:rsid w:val="7D9930C3"/>
    <w:rsid w:val="7DE1586C"/>
    <w:rsid w:val="7DFA0E8A"/>
    <w:rsid w:val="7E235418"/>
    <w:rsid w:val="7E4C7A10"/>
    <w:rsid w:val="7E4D2297"/>
    <w:rsid w:val="7E525710"/>
    <w:rsid w:val="7E583278"/>
    <w:rsid w:val="7E6A3A0D"/>
    <w:rsid w:val="7E8951D1"/>
    <w:rsid w:val="7E9D221C"/>
    <w:rsid w:val="7EAF6B04"/>
    <w:rsid w:val="7EB36946"/>
    <w:rsid w:val="7EB52D4A"/>
    <w:rsid w:val="7EC43622"/>
    <w:rsid w:val="7ECA7D27"/>
    <w:rsid w:val="7EDA680F"/>
    <w:rsid w:val="7EEC1A19"/>
    <w:rsid w:val="7EF735F0"/>
    <w:rsid w:val="7EFB200E"/>
    <w:rsid w:val="7F0A2998"/>
    <w:rsid w:val="7F0A6E59"/>
    <w:rsid w:val="7F0B0D76"/>
    <w:rsid w:val="7F0D0AAC"/>
    <w:rsid w:val="7F130E11"/>
    <w:rsid w:val="7F187943"/>
    <w:rsid w:val="7F3C0227"/>
    <w:rsid w:val="7F76420A"/>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9">
    <w:name w:val="heading 1"/>
    <w:basedOn w:val="1"/>
    <w:next w:val="1"/>
    <w:link w:val="42"/>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10">
    <w:name w:val="heading 2"/>
    <w:basedOn w:val="1"/>
    <w:next w:val="1"/>
    <w:link w:val="43"/>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1">
    <w:name w:val="heading 3"/>
    <w:basedOn w:val="1"/>
    <w:next w:val="1"/>
    <w:link w:val="44"/>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2">
    <w:name w:val="heading 4"/>
    <w:basedOn w:val="1"/>
    <w:next w:val="1"/>
    <w:link w:val="45"/>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6"/>
    <w:link w:val="52"/>
    <w:autoRedefine/>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7"/>
    <w:autoRedefine/>
    <w:unhideWhenUsed/>
    <w:qFormat/>
    <w:uiPriority w:val="99"/>
    <w:pPr>
      <w:spacing w:after="120"/>
    </w:pPr>
  </w:style>
  <w:style w:type="paragraph" w:customStyle="1" w:styleId="4">
    <w:name w:val="Default"/>
    <w:next w:val="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
    <w:name w:val="正文 A"/>
    <w:next w:val="4"/>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styleId="6">
    <w:name w:val="Body Text First Indent 2"/>
    <w:basedOn w:val="7"/>
    <w:next w:val="1"/>
    <w:autoRedefine/>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7">
    <w:name w:val="Body Text Indent"/>
    <w:basedOn w:val="1"/>
    <w:next w:val="8"/>
    <w:link w:val="66"/>
    <w:autoRedefine/>
    <w:qFormat/>
    <w:uiPriority w:val="0"/>
    <w:pPr>
      <w:adjustRightInd w:val="0"/>
      <w:spacing w:after="120" w:line="360" w:lineRule="atLeast"/>
      <w:ind w:left="420" w:leftChars="200"/>
      <w:jc w:val="left"/>
      <w:textAlignment w:val="baseline"/>
    </w:pPr>
    <w:rPr>
      <w:kern w:val="0"/>
      <w:sz w:val="24"/>
      <w:szCs w:val="20"/>
    </w:rPr>
  </w:style>
  <w:style w:type="paragraph" w:styleId="8">
    <w:name w:val="envelope return"/>
    <w:basedOn w:val="1"/>
    <w:autoRedefine/>
    <w:unhideWhenUsed/>
    <w:qFormat/>
    <w:uiPriority w:val="99"/>
    <w:pPr>
      <w:snapToGrid w:val="0"/>
    </w:pPr>
    <w:rPr>
      <w:rFonts w:ascii="Arial" w:hAnsi="Arial"/>
    </w:rPr>
  </w:style>
  <w:style w:type="paragraph" w:styleId="13">
    <w:name w:val="Normal Indent"/>
    <w:basedOn w:val="1"/>
    <w:autoRedefine/>
    <w:qFormat/>
    <w:uiPriority w:val="0"/>
    <w:pPr>
      <w:ind w:firstLine="425"/>
    </w:pPr>
    <w:rPr>
      <w:rFonts w:ascii="Times New Roman" w:hAnsi="Times New Roman" w:eastAsia="宋体" w:cs="Times New Roman"/>
      <w:szCs w:val="20"/>
    </w:rPr>
  </w:style>
  <w:style w:type="paragraph" w:styleId="14">
    <w:name w:val="caption"/>
    <w:basedOn w:val="1"/>
    <w:next w:val="1"/>
    <w:autoRedefine/>
    <w:qFormat/>
    <w:uiPriority w:val="0"/>
    <w:rPr>
      <w:rFonts w:ascii="Arial" w:hAnsi="Arial" w:eastAsia="黑体" w:cs="Arial"/>
      <w:sz w:val="20"/>
      <w:szCs w:val="20"/>
    </w:rPr>
  </w:style>
  <w:style w:type="paragraph" w:styleId="15">
    <w:name w:val="annotation text"/>
    <w:basedOn w:val="1"/>
    <w:autoRedefine/>
    <w:semiHidden/>
    <w:unhideWhenUsed/>
    <w:qFormat/>
    <w:uiPriority w:val="99"/>
    <w:pPr>
      <w:jc w:val="left"/>
    </w:pPr>
  </w:style>
  <w:style w:type="paragraph" w:styleId="16">
    <w:name w:val="Body Text 3"/>
    <w:basedOn w:val="1"/>
    <w:link w:val="46"/>
    <w:autoRedefine/>
    <w:qFormat/>
    <w:uiPriority w:val="0"/>
    <w:rPr>
      <w:rFonts w:ascii="Times New Roman" w:hAnsi="Times New Roman" w:eastAsia="宋体" w:cs="Times New Roman"/>
      <w:color w:val="FF0000"/>
      <w:sz w:val="24"/>
      <w:szCs w:val="24"/>
    </w:rPr>
  </w:style>
  <w:style w:type="paragraph" w:styleId="17">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8">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9">
    <w:name w:val="Plain Text"/>
    <w:basedOn w:val="1"/>
    <w:link w:val="48"/>
    <w:autoRedefine/>
    <w:qFormat/>
    <w:uiPriority w:val="0"/>
    <w:rPr>
      <w:rFonts w:eastAsia="宋体"/>
      <w:sz w:val="24"/>
    </w:rPr>
  </w:style>
  <w:style w:type="paragraph" w:styleId="20">
    <w:name w:val="Date"/>
    <w:basedOn w:val="1"/>
    <w:next w:val="1"/>
    <w:link w:val="49"/>
    <w:autoRedefine/>
    <w:unhideWhenUsed/>
    <w:qFormat/>
    <w:uiPriority w:val="99"/>
    <w:pPr>
      <w:ind w:left="100" w:leftChars="2500"/>
    </w:pPr>
  </w:style>
  <w:style w:type="paragraph" w:styleId="21">
    <w:name w:val="Balloon Text"/>
    <w:basedOn w:val="1"/>
    <w:link w:val="67"/>
    <w:autoRedefine/>
    <w:semiHidden/>
    <w:unhideWhenUsed/>
    <w:qFormat/>
    <w:uiPriority w:val="99"/>
    <w:rPr>
      <w:sz w:val="18"/>
      <w:szCs w:val="18"/>
    </w:rPr>
  </w:style>
  <w:style w:type="paragraph" w:styleId="22">
    <w:name w:val="footer"/>
    <w:basedOn w:val="1"/>
    <w:link w:val="50"/>
    <w:autoRedefine/>
    <w:unhideWhenUsed/>
    <w:qFormat/>
    <w:uiPriority w:val="99"/>
    <w:pPr>
      <w:tabs>
        <w:tab w:val="center" w:pos="4153"/>
        <w:tab w:val="right" w:pos="8306"/>
      </w:tabs>
      <w:snapToGrid w:val="0"/>
      <w:jc w:val="left"/>
    </w:pPr>
    <w:rPr>
      <w:sz w:val="18"/>
      <w:szCs w:val="18"/>
    </w:rPr>
  </w:style>
  <w:style w:type="paragraph" w:styleId="23">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5">
    <w:name w:val="Body Text 2"/>
    <w:basedOn w:val="1"/>
    <w:qFormat/>
    <w:uiPriority w:val="0"/>
    <w:pPr>
      <w:spacing w:after="120" w:line="480" w:lineRule="auto"/>
    </w:pPr>
  </w:style>
  <w:style w:type="paragraph" w:styleId="26">
    <w:name w:val="HTML Preformatted"/>
    <w:basedOn w:val="1"/>
    <w:link w:val="51"/>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7">
    <w:name w:val="Normal (Web)"/>
    <w:basedOn w:val="1"/>
    <w:autoRedefine/>
    <w:qFormat/>
    <w:uiPriority w:val="0"/>
    <w:rPr>
      <w:rFonts w:ascii="Calibri" w:hAnsi="Calibri" w:eastAsia="宋体" w:cs="Times New Roman"/>
      <w:sz w:val="24"/>
      <w:szCs w:val="24"/>
    </w:rPr>
  </w:style>
  <w:style w:type="table" w:styleId="29">
    <w:name w:val="Table Grid"/>
    <w:basedOn w:val="2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FollowedHyperlink"/>
    <w:basedOn w:val="30"/>
    <w:autoRedefine/>
    <w:semiHidden/>
    <w:unhideWhenUsed/>
    <w:qFormat/>
    <w:uiPriority w:val="99"/>
    <w:rPr>
      <w:color w:val="800080" w:themeColor="followedHyperlink"/>
      <w:u w:val="single"/>
    </w:rPr>
  </w:style>
  <w:style w:type="character" w:styleId="34">
    <w:name w:val="Emphasis"/>
    <w:basedOn w:val="30"/>
    <w:autoRedefine/>
    <w:qFormat/>
    <w:uiPriority w:val="20"/>
    <w:rPr>
      <w:i/>
      <w:iCs/>
    </w:rPr>
  </w:style>
  <w:style w:type="character" w:styleId="35">
    <w:name w:val="Hyperlink"/>
    <w:basedOn w:val="30"/>
    <w:autoRedefine/>
    <w:unhideWhenUsed/>
    <w:qFormat/>
    <w:uiPriority w:val="99"/>
    <w:rPr>
      <w:color w:val="0000FF"/>
      <w:u w:val="single"/>
    </w:rPr>
  </w:style>
  <w:style w:type="paragraph" w:customStyle="1" w:styleId="36">
    <w:name w:val="style4"/>
    <w:basedOn w:val="1"/>
    <w:next w:val="37"/>
    <w:autoRedefine/>
    <w:qFormat/>
    <w:uiPriority w:val="0"/>
    <w:pPr>
      <w:widowControl/>
      <w:spacing w:before="280" w:after="280"/>
    </w:pPr>
    <w:rPr>
      <w:rFonts w:ascii="宋体" w:hAnsi="Times New Roman" w:eastAsia="宋体" w:cs="Times New Roman"/>
      <w:sz w:val="18"/>
    </w:rPr>
  </w:style>
  <w:style w:type="paragraph" w:customStyle="1" w:styleId="37">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8">
    <w:name w:val="页眉 Char"/>
    <w:basedOn w:val="30"/>
    <w:link w:val="23"/>
    <w:autoRedefine/>
    <w:qFormat/>
    <w:uiPriority w:val="99"/>
    <w:rPr>
      <w:rFonts w:asciiTheme="minorHAnsi" w:hAnsiTheme="minorHAnsi" w:eastAsiaTheme="minorEastAsia" w:cstheme="minorBidi"/>
      <w:kern w:val="2"/>
      <w:sz w:val="18"/>
      <w:szCs w:val="18"/>
    </w:rPr>
  </w:style>
  <w:style w:type="paragraph" w:customStyle="1" w:styleId="39">
    <w:name w:val="首行缩进"/>
    <w:basedOn w:val="1"/>
    <w:autoRedefine/>
    <w:qFormat/>
    <w:uiPriority w:val="0"/>
    <w:rPr>
      <w:rFonts w:ascii="Times New Roman" w:hAnsi="Times New Roman" w:cs="宋体"/>
      <w:kern w:val="0"/>
      <w:szCs w:val="24"/>
      <w:lang w:val="zh-CN"/>
    </w:rPr>
  </w:style>
  <w:style w:type="paragraph" w:customStyle="1" w:styleId="40">
    <w:name w:val="列出段落1"/>
    <w:basedOn w:val="1"/>
    <w:autoRedefine/>
    <w:qFormat/>
    <w:uiPriority w:val="34"/>
    <w:pPr>
      <w:ind w:firstLine="420" w:firstLineChars="200"/>
    </w:pPr>
  </w:style>
  <w:style w:type="paragraph" w:customStyle="1" w:styleId="41">
    <w:name w:val="无间隔1"/>
    <w:basedOn w:val="1"/>
    <w:autoRedefine/>
    <w:qFormat/>
    <w:uiPriority w:val="99"/>
    <w:pPr>
      <w:spacing w:line="400" w:lineRule="exact"/>
    </w:pPr>
    <w:rPr>
      <w:sz w:val="24"/>
    </w:rPr>
  </w:style>
  <w:style w:type="character" w:customStyle="1" w:styleId="42">
    <w:name w:val="标题 1 Char"/>
    <w:basedOn w:val="30"/>
    <w:link w:val="9"/>
    <w:autoRedefine/>
    <w:qFormat/>
    <w:uiPriority w:val="0"/>
    <w:rPr>
      <w:rFonts w:ascii="Calibri" w:hAnsi="Calibri" w:eastAsia="宋体" w:cs="Times New Roman"/>
      <w:b/>
      <w:bCs/>
      <w:kern w:val="44"/>
      <w:sz w:val="44"/>
      <w:szCs w:val="44"/>
    </w:rPr>
  </w:style>
  <w:style w:type="character" w:customStyle="1" w:styleId="43">
    <w:name w:val="标题 2 Char"/>
    <w:basedOn w:val="30"/>
    <w:link w:val="10"/>
    <w:autoRedefine/>
    <w:qFormat/>
    <w:uiPriority w:val="0"/>
    <w:rPr>
      <w:rFonts w:ascii="Arial" w:hAnsi="Arial" w:eastAsia="黑体" w:cs="Times New Roman"/>
      <w:b/>
      <w:bCs/>
      <w:sz w:val="32"/>
      <w:szCs w:val="32"/>
    </w:rPr>
  </w:style>
  <w:style w:type="character" w:customStyle="1" w:styleId="44">
    <w:name w:val="标题 3 Char"/>
    <w:basedOn w:val="30"/>
    <w:link w:val="11"/>
    <w:autoRedefine/>
    <w:qFormat/>
    <w:uiPriority w:val="0"/>
    <w:rPr>
      <w:rFonts w:ascii="宋体" w:hAnsi="宋体" w:eastAsia="宋体" w:cs="Times New Roman"/>
      <w:b/>
      <w:color w:val="000000"/>
      <w:kern w:val="0"/>
      <w:sz w:val="24"/>
      <w:szCs w:val="20"/>
      <w:lang w:val="en-GB"/>
    </w:rPr>
  </w:style>
  <w:style w:type="character" w:customStyle="1" w:styleId="45">
    <w:name w:val="标题 4 Char"/>
    <w:basedOn w:val="30"/>
    <w:link w:val="12"/>
    <w:autoRedefine/>
    <w:qFormat/>
    <w:uiPriority w:val="0"/>
    <w:rPr>
      <w:rFonts w:ascii="Arial" w:hAnsi="Arial" w:eastAsia="黑体" w:cs="Times New Roman"/>
      <w:b/>
      <w:bCs/>
      <w:sz w:val="28"/>
      <w:szCs w:val="28"/>
    </w:rPr>
  </w:style>
  <w:style w:type="character" w:customStyle="1" w:styleId="46">
    <w:name w:val="正文文本 3 Char"/>
    <w:basedOn w:val="30"/>
    <w:link w:val="16"/>
    <w:autoRedefine/>
    <w:qFormat/>
    <w:uiPriority w:val="0"/>
    <w:rPr>
      <w:rFonts w:ascii="Times New Roman" w:hAnsi="Times New Roman" w:eastAsia="宋体" w:cs="Times New Roman"/>
      <w:color w:val="FF0000"/>
      <w:sz w:val="24"/>
      <w:szCs w:val="24"/>
    </w:rPr>
  </w:style>
  <w:style w:type="character" w:customStyle="1" w:styleId="47">
    <w:name w:val="正文文本 Char"/>
    <w:basedOn w:val="30"/>
    <w:link w:val="3"/>
    <w:autoRedefine/>
    <w:qFormat/>
    <w:uiPriority w:val="99"/>
  </w:style>
  <w:style w:type="character" w:customStyle="1" w:styleId="48">
    <w:name w:val="纯文本 Char"/>
    <w:basedOn w:val="30"/>
    <w:link w:val="19"/>
    <w:autoRedefine/>
    <w:qFormat/>
    <w:uiPriority w:val="0"/>
    <w:rPr>
      <w:rFonts w:eastAsia="宋体"/>
      <w:sz w:val="24"/>
    </w:rPr>
  </w:style>
  <w:style w:type="character" w:customStyle="1" w:styleId="49">
    <w:name w:val="日期 Char"/>
    <w:basedOn w:val="30"/>
    <w:link w:val="20"/>
    <w:autoRedefine/>
    <w:qFormat/>
    <w:uiPriority w:val="99"/>
  </w:style>
  <w:style w:type="character" w:customStyle="1" w:styleId="50">
    <w:name w:val="页脚 Char"/>
    <w:basedOn w:val="30"/>
    <w:link w:val="22"/>
    <w:autoRedefine/>
    <w:qFormat/>
    <w:uiPriority w:val="99"/>
    <w:rPr>
      <w:rFonts w:asciiTheme="minorHAnsi" w:hAnsiTheme="minorHAnsi" w:eastAsiaTheme="minorEastAsia" w:cstheme="minorBidi"/>
      <w:kern w:val="2"/>
      <w:sz w:val="18"/>
      <w:szCs w:val="18"/>
    </w:rPr>
  </w:style>
  <w:style w:type="character" w:customStyle="1" w:styleId="51">
    <w:name w:val="HTML 预设格式 Char"/>
    <w:basedOn w:val="30"/>
    <w:link w:val="26"/>
    <w:autoRedefine/>
    <w:semiHidden/>
    <w:qFormat/>
    <w:uiPriority w:val="99"/>
    <w:rPr>
      <w:rFonts w:ascii="宋体" w:hAnsi="宋体" w:eastAsia="宋体" w:cs="宋体"/>
      <w:kern w:val="0"/>
      <w:sz w:val="24"/>
      <w:szCs w:val="24"/>
    </w:rPr>
  </w:style>
  <w:style w:type="character" w:customStyle="1" w:styleId="52">
    <w:name w:val="正文首行缩进 Char"/>
    <w:basedOn w:val="47"/>
    <w:link w:val="2"/>
    <w:autoRedefine/>
    <w:qFormat/>
    <w:uiPriority w:val="0"/>
    <w:rPr>
      <w:rFonts w:ascii="宋体" w:hAnsi="Times New Roman" w:eastAsia="宋体" w:cs="Times New Roman"/>
      <w:kern w:val="0"/>
      <w:sz w:val="34"/>
      <w:szCs w:val="20"/>
    </w:rPr>
  </w:style>
  <w:style w:type="character" w:customStyle="1" w:styleId="53">
    <w:name w:val="纯文本 Char1"/>
    <w:autoRedefine/>
    <w:qFormat/>
    <w:uiPriority w:val="0"/>
    <w:rPr>
      <w:rFonts w:eastAsia="宋体"/>
      <w:sz w:val="24"/>
    </w:rPr>
  </w:style>
  <w:style w:type="paragraph" w:styleId="54">
    <w:name w:val="List Paragraph"/>
    <w:basedOn w:val="1"/>
    <w:autoRedefine/>
    <w:unhideWhenUsed/>
    <w:qFormat/>
    <w:uiPriority w:val="99"/>
    <w:pPr>
      <w:ind w:firstLine="420" w:firstLineChars="200"/>
    </w:pPr>
  </w:style>
  <w:style w:type="character" w:customStyle="1" w:styleId="55">
    <w:name w:val="正文文本缩进 Char Char"/>
    <w:link w:val="56"/>
    <w:autoRedefine/>
    <w:qFormat/>
    <w:uiPriority w:val="0"/>
    <w:rPr>
      <w:rFonts w:ascii="宋体"/>
      <w:sz w:val="24"/>
    </w:rPr>
  </w:style>
  <w:style w:type="paragraph" w:customStyle="1" w:styleId="56">
    <w:name w:val="正文文本缩进1"/>
    <w:basedOn w:val="1"/>
    <w:link w:val="55"/>
    <w:autoRedefine/>
    <w:qFormat/>
    <w:uiPriority w:val="0"/>
    <w:pPr>
      <w:spacing w:line="360" w:lineRule="auto"/>
      <w:ind w:firstLine="480" w:firstLineChars="200"/>
    </w:pPr>
    <w:rPr>
      <w:rFonts w:ascii="宋体"/>
      <w:sz w:val="24"/>
    </w:rPr>
  </w:style>
  <w:style w:type="character" w:customStyle="1" w:styleId="57">
    <w:name w:val="日期 Char Char"/>
    <w:link w:val="58"/>
    <w:autoRedefine/>
    <w:qFormat/>
    <w:uiPriority w:val="0"/>
    <w:rPr>
      <w:sz w:val="24"/>
    </w:rPr>
  </w:style>
  <w:style w:type="paragraph" w:customStyle="1" w:styleId="58">
    <w:name w:val="日期1"/>
    <w:basedOn w:val="1"/>
    <w:next w:val="1"/>
    <w:link w:val="57"/>
    <w:autoRedefine/>
    <w:qFormat/>
    <w:uiPriority w:val="0"/>
    <w:rPr>
      <w:sz w:val="24"/>
    </w:rPr>
  </w:style>
  <w:style w:type="paragraph" w:customStyle="1" w:styleId="59">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30"/>
    <w:autoRedefine/>
    <w:qFormat/>
    <w:uiPriority w:val="0"/>
  </w:style>
  <w:style w:type="paragraph" w:customStyle="1" w:styleId="63">
    <w:name w:val="样式 标题 1 + 四号 居中 段前: 12 磅 段后: 12 磅 行距: 单倍行距"/>
    <w:basedOn w:val="9"/>
    <w:autoRedefine/>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正文文本缩进 Char"/>
    <w:autoRedefine/>
    <w:qFormat/>
    <w:uiPriority w:val="0"/>
    <w:rPr>
      <w:sz w:val="24"/>
    </w:rPr>
  </w:style>
  <w:style w:type="character" w:customStyle="1" w:styleId="66">
    <w:name w:val="正文文本缩进 Char1"/>
    <w:basedOn w:val="30"/>
    <w:link w:val="7"/>
    <w:autoRedefine/>
    <w:semiHidden/>
    <w:qFormat/>
    <w:uiPriority w:val="99"/>
    <w:rPr>
      <w:kern w:val="2"/>
      <w:sz w:val="21"/>
      <w:szCs w:val="22"/>
    </w:rPr>
  </w:style>
  <w:style w:type="character" w:customStyle="1" w:styleId="67">
    <w:name w:val="批注框文本 Char"/>
    <w:basedOn w:val="30"/>
    <w:link w:val="21"/>
    <w:autoRedefine/>
    <w:semiHidden/>
    <w:qFormat/>
    <w:uiPriority w:val="99"/>
    <w:rPr>
      <w:kern w:val="2"/>
      <w:sz w:val="18"/>
      <w:szCs w:val="18"/>
    </w:rPr>
  </w:style>
  <w:style w:type="paragraph" w:customStyle="1" w:styleId="68">
    <w:name w:val="*正文"/>
    <w:basedOn w:val="1"/>
    <w:autoRedefine/>
    <w:qFormat/>
    <w:uiPriority w:val="0"/>
    <w:pPr>
      <w:keepNext/>
      <w:keepLines/>
      <w:spacing w:line="360" w:lineRule="auto"/>
      <w:ind w:firstLine="200" w:firstLineChars="200"/>
    </w:pPr>
    <w:rPr>
      <w:rFonts w:ascii="宋体" w:hAnsi="宋体"/>
    </w:rPr>
  </w:style>
  <w:style w:type="character" w:customStyle="1" w:styleId="69">
    <w:name w:val="样式 标书正文 + 下划线 Char"/>
    <w:autoRedefine/>
    <w:qFormat/>
    <w:uiPriority w:val="0"/>
    <w:rPr>
      <w:rFonts w:eastAsia="Ari"/>
      <w:kern w:val="2"/>
      <w:sz w:val="28"/>
      <w:szCs w:val="28"/>
      <w:u w:val="single"/>
      <w:lang w:val="en-US" w:eastAsia="zh-CN"/>
    </w:rPr>
  </w:style>
  <w:style w:type="paragraph" w:customStyle="1" w:styleId="70">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71">
    <w:name w:val="纯文本1"/>
    <w:basedOn w:val="1"/>
    <w:autoRedefine/>
    <w:qFormat/>
    <w:uiPriority w:val="0"/>
    <w:rPr>
      <w:rFonts w:ascii="宋体" w:hAnsi="Courier New"/>
      <w:kern w:val="0"/>
      <w:sz w:val="20"/>
      <w:szCs w:val="21"/>
    </w:rPr>
  </w:style>
  <w:style w:type="paragraph" w:customStyle="1" w:styleId="72">
    <w:name w:val="p0"/>
    <w:basedOn w:val="1"/>
    <w:autoRedefine/>
    <w:qFormat/>
    <w:uiPriority w:val="0"/>
    <w:pPr>
      <w:widowControl/>
    </w:pPr>
    <w:rPr>
      <w:kern w:val="0"/>
    </w:rPr>
  </w:style>
  <w:style w:type="character" w:customStyle="1" w:styleId="73">
    <w:name w:val="font61"/>
    <w:basedOn w:val="30"/>
    <w:autoRedefine/>
    <w:qFormat/>
    <w:uiPriority w:val="0"/>
    <w:rPr>
      <w:rFonts w:hint="eastAsia" w:ascii="宋体" w:hAnsi="宋体" w:eastAsia="宋体" w:cs="宋体"/>
      <w:color w:val="000000"/>
      <w:sz w:val="22"/>
      <w:szCs w:val="22"/>
      <w:u w:val="none"/>
    </w:rPr>
  </w:style>
  <w:style w:type="character" w:customStyle="1" w:styleId="74">
    <w:name w:val="font31"/>
    <w:basedOn w:val="30"/>
    <w:autoRedefine/>
    <w:qFormat/>
    <w:uiPriority w:val="0"/>
    <w:rPr>
      <w:rFonts w:hint="eastAsia" w:ascii="仿宋_GB2312" w:eastAsia="仿宋_GB2312" w:cs="仿宋_GB2312"/>
      <w:color w:val="000000"/>
      <w:sz w:val="22"/>
      <w:szCs w:val="22"/>
      <w:u w:val="none"/>
    </w:rPr>
  </w:style>
  <w:style w:type="character" w:customStyle="1" w:styleId="75">
    <w:name w:val="font21"/>
    <w:basedOn w:val="30"/>
    <w:autoRedefine/>
    <w:qFormat/>
    <w:uiPriority w:val="0"/>
    <w:rPr>
      <w:rFonts w:hint="eastAsia" w:ascii="宋体" w:hAnsi="宋体" w:eastAsia="宋体" w:cs="宋体"/>
      <w:color w:val="000000"/>
      <w:sz w:val="20"/>
      <w:szCs w:val="20"/>
      <w:u w:val="none"/>
    </w:rPr>
  </w:style>
  <w:style w:type="character" w:customStyle="1" w:styleId="76">
    <w:name w:val="font41"/>
    <w:basedOn w:val="30"/>
    <w:autoRedefine/>
    <w:qFormat/>
    <w:uiPriority w:val="0"/>
    <w:rPr>
      <w:rFonts w:hint="eastAsia" w:ascii="仿宋_GB2312" w:eastAsia="仿宋_GB2312" w:cs="仿宋_GB2312"/>
      <w:color w:val="000000"/>
      <w:sz w:val="20"/>
      <w:szCs w:val="20"/>
      <w:u w:val="none"/>
    </w:rPr>
  </w:style>
  <w:style w:type="character" w:customStyle="1" w:styleId="77">
    <w:name w:val="font11"/>
    <w:basedOn w:val="30"/>
    <w:autoRedefine/>
    <w:qFormat/>
    <w:uiPriority w:val="0"/>
    <w:rPr>
      <w:rFonts w:hint="eastAsia" w:ascii="宋体" w:hAnsi="宋体" w:eastAsia="宋体" w:cs="宋体"/>
      <w:i/>
      <w:color w:val="000000"/>
      <w:sz w:val="21"/>
      <w:szCs w:val="21"/>
      <w:u w:val="none"/>
    </w:rPr>
  </w:style>
  <w:style w:type="paragraph" w:styleId="78">
    <w:name w:val="No Spacing"/>
    <w:autoRedefine/>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character" w:customStyle="1" w:styleId="79">
    <w:name w:val="Unresolved Mention"/>
    <w:basedOn w:val="30"/>
    <w:autoRedefine/>
    <w:semiHidden/>
    <w:unhideWhenUsed/>
    <w:qFormat/>
    <w:uiPriority w:val="99"/>
    <w:rPr>
      <w:color w:val="605E5C"/>
      <w:shd w:val="clear" w:color="auto" w:fill="E1DFDD"/>
    </w:rPr>
  </w:style>
  <w:style w:type="paragraph" w:customStyle="1" w:styleId="80">
    <w:name w:val="正文首行缩进1"/>
    <w:basedOn w:val="3"/>
    <w:next w:val="81"/>
    <w:autoRedefine/>
    <w:qFormat/>
    <w:uiPriority w:val="0"/>
    <w:pPr>
      <w:ind w:firstLine="420" w:firstLineChars="100"/>
    </w:pPr>
    <w:rPr>
      <w:rFonts w:ascii="宋体" w:hAnsi="Times New Roman" w:eastAsia="宋体" w:cs="Times New Roman"/>
      <w:kern w:val="0"/>
      <w:sz w:val="34"/>
      <w:szCs w:val="20"/>
    </w:rPr>
  </w:style>
  <w:style w:type="paragraph" w:customStyle="1" w:styleId="81">
    <w:name w:val="正文首行缩进 21"/>
    <w:basedOn w:val="82"/>
    <w:next w:val="1"/>
    <w:autoRedefine/>
    <w:qFormat/>
    <w:uiPriority w:val="0"/>
    <w:pPr>
      <w:snapToGrid w:val="0"/>
      <w:spacing w:line="360" w:lineRule="auto"/>
      <w:ind w:left="480" w:firstLine="562" w:firstLineChars="200"/>
    </w:pPr>
    <w:rPr>
      <w:rFonts w:hint="eastAsia" w:ascii="仿宋_GB2312" w:hAnsi="仿宋_GB2312" w:cs="Times New Roman"/>
      <w:szCs w:val="30"/>
      <w:lang w:eastAsia="en-US"/>
    </w:rPr>
  </w:style>
  <w:style w:type="paragraph" w:customStyle="1" w:styleId="82">
    <w:name w:val="正文文本缩进2"/>
    <w:basedOn w:val="1"/>
    <w:next w:val="81"/>
    <w:autoRedefine/>
    <w:qFormat/>
    <w:uiPriority w:val="0"/>
    <w:pPr>
      <w:adjustRightInd w:val="0"/>
      <w:spacing w:line="360" w:lineRule="atLeast"/>
      <w:ind w:left="420" w:leftChars="200"/>
      <w:jc w:val="left"/>
      <w:textAlignment w:val="baseline"/>
    </w:pPr>
  </w:style>
  <w:style w:type="paragraph" w:customStyle="1" w:styleId="83">
    <w:name w:val="正文 New"/>
    <w:basedOn w:val="1"/>
    <w:autoRedefine/>
    <w:semiHidden/>
    <w:qFormat/>
    <w:uiPriority w:val="0"/>
    <w:pPr>
      <w:spacing w:line="440" w:lineRule="exact"/>
      <w:ind w:left="357" w:hanging="357"/>
    </w:pPr>
  </w:style>
  <w:style w:type="paragraph" w:customStyle="1" w:styleId="84">
    <w:name w:val="Heading #2|1"/>
    <w:basedOn w:val="1"/>
    <w:autoRedefine/>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85">
    <w:name w:val="Body text|1"/>
    <w:basedOn w:val="1"/>
    <w:autoRedefine/>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86">
    <w:name w:val="Header or footer|1"/>
    <w:basedOn w:val="1"/>
    <w:autoRedefine/>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Info spid="_x0000_s4098" textRotate="1"/>
    <customShpInfo spid="_x0000_s4099"/>
    <customShpInfo spid="_x0000_s4100" textRotate="1"/>
    <customShpInfo spid="_x0000_s410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3E1D4-E832-428E-87A5-845022392F1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16947</Words>
  <Characters>18181</Characters>
  <Lines>240</Lines>
  <Paragraphs>67</Paragraphs>
  <TotalTime>160</TotalTime>
  <ScaleCrop>false</ScaleCrop>
  <LinksUpToDate>false</LinksUpToDate>
  <CharactersWithSpaces>18308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 诚则灵</cp:lastModifiedBy>
  <cp:lastPrinted>2025-09-12T02:26:59Z</cp:lastPrinted>
  <dcterms:modified xsi:type="dcterms:W3CDTF">2025-09-12T03:36:01Z</dcterms:modified>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0B279E476A7C462491FE7648AC8FB13F</vt:lpwstr>
  </property>
  <property fmtid="{D5CDD505-2E9C-101B-9397-08002B2CF9AE}" pid="4" name="KSOTemplateDocerSaveRecord">
    <vt:lpwstr>eyJoZGlkIjoiNjNmZGMxNDQ2ZTYwNDJiNTEzZWNkNDg3MjhmN2RmZGUiLCJ1c2VySWQiOiIxNDM5OTAyOTE1In0=</vt:lpwstr>
  </property>
</Properties>
</file>