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47734">
      <w:pPr>
        <w:rPr>
          <w:rFonts w:asciiTheme="majorEastAsia" w:hAnsiTheme="majorEastAsia" w:eastAsiaTheme="majorEastAsia" w:cstheme="majorEastAsia"/>
          <w:b/>
          <w:bCs/>
          <w:sz w:val="44"/>
          <w:szCs w:val="44"/>
        </w:rPr>
        <w:sectPr>
          <w:footerReference r:id="rId3" w:type="default"/>
          <w:pgSz w:w="11907" w:h="16839"/>
          <w:pgMar w:top="720" w:right="720" w:bottom="720" w:left="720" w:header="0" w:footer="948" w:gutter="0"/>
          <w:pgNumType w:fmt="decimal"/>
          <w:cols w:space="720" w:num="1"/>
        </w:sectPr>
      </w:pPr>
      <w:r>
        <w:drawing>
          <wp:inline distT="0" distB="0" distL="114300" distR="114300">
            <wp:extent cx="6656070" cy="9775825"/>
            <wp:effectExtent l="0" t="0" r="114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391" r="563" b="449"/>
                    <a:stretch>
                      <a:fillRect/>
                    </a:stretch>
                  </pic:blipFill>
                  <pic:spPr>
                    <a:xfrm>
                      <a:off x="0" y="0"/>
                      <a:ext cx="6656070" cy="9775825"/>
                    </a:xfrm>
                    <a:prstGeom prst="rect">
                      <a:avLst/>
                    </a:prstGeom>
                    <a:noFill/>
                    <a:ln>
                      <a:noFill/>
                    </a:ln>
                  </pic:spPr>
                </pic:pic>
              </a:graphicData>
            </a:graphic>
          </wp:inline>
        </w:drawing>
      </w:r>
    </w:p>
    <w:p w14:paraId="79A78C60">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4048C3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30728E23">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第一章谈判邀请</w:t>
      </w:r>
    </w:p>
    <w:p w14:paraId="79B7751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第二章采购需求</w:t>
      </w:r>
    </w:p>
    <w:p w14:paraId="0C3A82B5">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kern w:val="0"/>
          <w:sz w:val="32"/>
          <w:szCs w:val="32"/>
        </w:rPr>
        <w:t>供应商须知前附表</w:t>
      </w:r>
    </w:p>
    <w:p w14:paraId="0624191C">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第四章</w:t>
      </w:r>
      <w:r>
        <w:rPr>
          <w:rFonts w:hint="eastAsia" w:asciiTheme="majorEastAsia" w:hAnsiTheme="majorEastAsia" w:eastAsiaTheme="majorEastAsia" w:cstheme="majorEastAsia"/>
          <w:b/>
          <w:kern w:val="0"/>
          <w:sz w:val="32"/>
          <w:szCs w:val="32"/>
        </w:rPr>
        <w:t>供应商须知</w:t>
      </w:r>
    </w:p>
    <w:p w14:paraId="3E6BE18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36B4E96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0189AE1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79481A5">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0A68BCA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4BE80AC0">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171F899A">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w:t>
      </w:r>
      <w:r>
        <w:rPr>
          <w:rFonts w:hint="eastAsia" w:asciiTheme="majorEastAsia" w:hAnsiTheme="majorEastAsia" w:eastAsiaTheme="majorEastAsia" w:cstheme="majorEastAsia"/>
          <w:b/>
          <w:kern w:val="0"/>
          <w:sz w:val="32"/>
          <w:szCs w:val="32"/>
        </w:rPr>
        <w:t>政府采购政策功能</w:t>
      </w:r>
    </w:p>
    <w:p w14:paraId="4E25CA3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第六章</w:t>
      </w:r>
      <w:r>
        <w:rPr>
          <w:rFonts w:hint="eastAsia" w:asciiTheme="majorEastAsia" w:hAnsiTheme="majorEastAsia" w:eastAsiaTheme="majorEastAsia" w:cstheme="majorEastAsia"/>
          <w:b/>
          <w:kern w:val="0"/>
          <w:sz w:val="32"/>
          <w:szCs w:val="32"/>
        </w:rPr>
        <w:t>对响应文件审查与评审</w:t>
      </w:r>
    </w:p>
    <w:p w14:paraId="2BCAFFEC">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w:t>
      </w:r>
      <w:r>
        <w:rPr>
          <w:rFonts w:hint="eastAsia" w:asciiTheme="majorEastAsia" w:hAnsiTheme="majorEastAsia" w:eastAsiaTheme="majorEastAsia" w:cstheme="majorEastAsia"/>
          <w:b/>
          <w:kern w:val="0"/>
          <w:sz w:val="32"/>
          <w:szCs w:val="32"/>
        </w:rPr>
        <w:t>拟签订的合同文本</w:t>
      </w:r>
    </w:p>
    <w:p w14:paraId="601A4B75">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第八章</w:t>
      </w:r>
      <w:r>
        <w:rPr>
          <w:rFonts w:hint="eastAsia" w:asciiTheme="majorEastAsia" w:hAnsiTheme="majorEastAsia" w:eastAsiaTheme="majorEastAsia" w:cstheme="majorEastAsia"/>
          <w:b/>
          <w:kern w:val="0"/>
          <w:sz w:val="32"/>
          <w:szCs w:val="32"/>
        </w:rPr>
        <w:t>响应文件有关格式</w:t>
      </w:r>
    </w:p>
    <w:p w14:paraId="4796532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5E187012">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173168C5">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14:paraId="07163FFF">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p>
    <w:p w14:paraId="2FAA7581">
      <w:pPr>
        <w:pStyle w:val="23"/>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sz w:val="21"/>
          <w:szCs w:val="21"/>
          <w:shd w:val="clear" w:color="auto" w:fill="FFFFFF"/>
        </w:rPr>
        <w:t>许昌</w:t>
      </w:r>
      <w:r>
        <w:rPr>
          <w:rFonts w:hint="eastAsia" w:ascii="宋体" w:hAnsi="宋体" w:cs="仿宋_GB2312"/>
          <w:sz w:val="21"/>
          <w:szCs w:val="21"/>
          <w:shd w:val="clear" w:color="auto" w:fill="FFFFFF"/>
        </w:rPr>
        <w:t>市政府采购服务中心(以下简称采购中心) 受</w:t>
      </w:r>
      <w:r>
        <w:rPr>
          <w:rFonts w:hint="eastAsia" w:cs="仿宋_GB2312" w:asciiTheme="minorEastAsia" w:hAnsiTheme="minorEastAsia" w:eastAsiaTheme="minorEastAsia"/>
          <w:sz w:val="21"/>
          <w:szCs w:val="21"/>
          <w:shd w:val="clear" w:color="auto" w:fill="FFFFFF"/>
        </w:rPr>
        <w:t>许昌</w:t>
      </w:r>
      <w:r>
        <w:rPr>
          <w:rFonts w:hint="eastAsia" w:ascii="宋体" w:hAnsi="宋体" w:cs="仿宋_GB2312"/>
          <w:sz w:val="21"/>
          <w:szCs w:val="21"/>
          <w:shd w:val="clear" w:color="auto" w:fill="FFFFFF"/>
        </w:rPr>
        <w:t>市许昌职业技术学院的委托，对“许昌职业技术学院电子资源项目”项目进行竞争性谈判</w:t>
      </w:r>
      <w:r>
        <w:rPr>
          <w:rFonts w:hint="eastAsia" w:cs="仿宋_GB2312" w:asciiTheme="minorEastAsia" w:hAnsiTheme="minorEastAsia" w:eastAsiaTheme="minorEastAsia"/>
          <w:sz w:val="21"/>
          <w:szCs w:val="21"/>
          <w:shd w:val="clear" w:color="auto" w:fill="FFFFFF"/>
        </w:rPr>
        <w:t>采购</w:t>
      </w:r>
      <w:r>
        <w:rPr>
          <w:rFonts w:hint="eastAsia" w:ascii="宋体" w:hAnsi="宋体" w:cs="仿宋_GB2312"/>
          <w:sz w:val="21"/>
          <w:szCs w:val="21"/>
          <w:shd w:val="clear" w:color="auto" w:fill="FFFFFF"/>
        </w:rPr>
        <w:t>。</w:t>
      </w:r>
      <w:r>
        <w:rPr>
          <w:rFonts w:hint="eastAsia" w:ascii="宋体" w:hAnsi="宋体" w:cs="微软雅黑"/>
          <w:sz w:val="21"/>
          <w:szCs w:val="21"/>
        </w:rPr>
        <w:t>现邀请符合本谈判文件规定条件的供应商前来谈判。</w:t>
      </w:r>
    </w:p>
    <w:p w14:paraId="10E387D8">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黑体" w:asciiTheme="minorEastAsia" w:hAnsiTheme="minorEastAsia" w:eastAsiaTheme="minorEastAsia"/>
          <w:b/>
          <w:sz w:val="21"/>
          <w:szCs w:val="21"/>
          <w:shd w:val="clear" w:color="auto" w:fill="FFFFFF"/>
        </w:rPr>
        <w:t>一、</w:t>
      </w:r>
      <w:r>
        <w:rPr>
          <w:rFonts w:hint="eastAsia" w:cs="仿宋_GB2312" w:asciiTheme="minorEastAsia" w:hAnsiTheme="minorEastAsia" w:eastAsiaTheme="minorEastAsia"/>
          <w:b/>
          <w:sz w:val="21"/>
          <w:szCs w:val="21"/>
          <w:shd w:val="clear" w:color="auto" w:fill="FFFFFF"/>
        </w:rPr>
        <w:t>项目编号：</w:t>
      </w:r>
      <w:r>
        <w:rPr>
          <w:rFonts w:hint="eastAsia" w:cs="仿宋_GB2312" w:asciiTheme="minorEastAsia" w:hAnsiTheme="minorEastAsia" w:eastAsiaTheme="minorEastAsia"/>
          <w:sz w:val="21"/>
          <w:szCs w:val="21"/>
          <w:shd w:val="clear" w:color="auto" w:fill="FFFFFF"/>
        </w:rPr>
        <w:t>ZFCG-T2025</w:t>
      </w:r>
      <w:r>
        <w:rPr>
          <w:rFonts w:hint="eastAsia" w:cs="仿宋_GB2312" w:asciiTheme="minorEastAsia" w:hAnsiTheme="minorEastAsia" w:eastAsiaTheme="minorEastAsia"/>
          <w:sz w:val="21"/>
          <w:szCs w:val="21"/>
          <w:shd w:val="clear" w:color="auto" w:fill="FFFFFF"/>
          <w:lang w:val="en-US" w:eastAsia="zh-CN"/>
        </w:rPr>
        <w:t>003</w:t>
      </w:r>
      <w:r>
        <w:rPr>
          <w:rFonts w:hint="eastAsia" w:cs="仿宋_GB2312" w:asciiTheme="minorEastAsia" w:hAnsiTheme="minorEastAsia" w:eastAsiaTheme="minorEastAsia"/>
          <w:sz w:val="21"/>
          <w:szCs w:val="21"/>
          <w:shd w:val="clear" w:color="auto" w:fill="FFFFFF"/>
        </w:rPr>
        <w:t>号</w:t>
      </w:r>
    </w:p>
    <w:p w14:paraId="34D36EDE">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b/>
          <w:sz w:val="21"/>
          <w:szCs w:val="21"/>
          <w:shd w:val="clear" w:color="auto" w:fill="FFFFFF"/>
        </w:rPr>
        <w:t>二、项目名称：</w:t>
      </w:r>
      <w:r>
        <w:rPr>
          <w:rFonts w:hint="eastAsia" w:ascii="宋体" w:hAnsi="宋体" w:cs="仿宋_GB2312"/>
          <w:sz w:val="21"/>
          <w:szCs w:val="21"/>
          <w:shd w:val="clear" w:color="auto" w:fill="FFFFFF"/>
        </w:rPr>
        <w:t>许昌职业技术学院电子资源项目</w:t>
      </w:r>
      <w:r>
        <w:rPr>
          <w:rFonts w:hint="eastAsia" w:cs="仿宋_GB2312" w:asciiTheme="minorEastAsia" w:hAnsiTheme="minorEastAsia" w:eastAsiaTheme="minorEastAsia"/>
          <w:sz w:val="21"/>
          <w:szCs w:val="21"/>
          <w:shd w:val="clear" w:color="auto" w:fill="FFFFFF"/>
        </w:rPr>
        <w:t xml:space="preserve"> </w:t>
      </w:r>
    </w:p>
    <w:p w14:paraId="1C448B98">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b/>
          <w:sz w:val="21"/>
          <w:szCs w:val="21"/>
          <w:shd w:val="clear" w:color="auto" w:fill="FFFFFF"/>
        </w:rPr>
        <w:t>三、采购方式：</w:t>
      </w:r>
      <w:r>
        <w:rPr>
          <w:rFonts w:hint="eastAsia" w:cs="仿宋_GB2312" w:asciiTheme="minorEastAsia" w:hAnsiTheme="minorEastAsia" w:eastAsiaTheme="minorEastAsia"/>
          <w:sz w:val="21"/>
          <w:szCs w:val="21"/>
          <w:shd w:val="clear" w:color="auto" w:fill="FFFFFF"/>
        </w:rPr>
        <w:t>竞争性谈判</w:t>
      </w:r>
    </w:p>
    <w:p w14:paraId="7CB0861E">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四、项目属性：</w:t>
      </w:r>
      <w:r>
        <w:rPr>
          <w:rFonts w:hint="eastAsia" w:cs="黑体" w:asciiTheme="minorEastAsia" w:hAnsiTheme="minorEastAsia" w:eastAsiaTheme="minorEastAsia"/>
          <w:bCs/>
          <w:sz w:val="21"/>
          <w:szCs w:val="21"/>
          <w:shd w:val="clear" w:color="auto" w:fill="FFFFFF"/>
        </w:rPr>
        <w:t>货物</w:t>
      </w:r>
    </w:p>
    <w:p w14:paraId="49448E39">
      <w:pPr>
        <w:pStyle w:val="23"/>
        <w:widowControl/>
        <w:shd w:val="clear" w:color="auto" w:fill="FFFFFF"/>
        <w:spacing w:line="360" w:lineRule="auto"/>
        <w:ind w:firstLine="420"/>
        <w:contextualSpacing/>
        <w:jc w:val="left"/>
        <w:rPr>
          <w:rFonts w:cs="仿宋_GB2312" w:asciiTheme="minorEastAsia" w:hAnsiTheme="minorEastAsia" w:eastAsiaTheme="minorEastAsia"/>
          <w:b/>
          <w:bCs/>
          <w:sz w:val="21"/>
          <w:szCs w:val="21"/>
          <w:shd w:val="clear" w:color="auto" w:fill="FFFFFF"/>
        </w:rPr>
      </w:pPr>
      <w:r>
        <w:rPr>
          <w:rFonts w:hint="eastAsia" w:cs="仿宋_GB2312" w:asciiTheme="minorEastAsia" w:hAnsiTheme="minorEastAsia" w:eastAsiaTheme="minorEastAsia"/>
          <w:b/>
          <w:bCs/>
          <w:sz w:val="21"/>
          <w:szCs w:val="21"/>
          <w:shd w:val="clear" w:color="auto" w:fill="FFFFFF"/>
        </w:rPr>
        <w:t>五、谈判内容</w:t>
      </w:r>
    </w:p>
    <w:p w14:paraId="22DAD715">
      <w:pPr>
        <w:pStyle w:val="23"/>
        <w:widowControl/>
        <w:numPr>
          <w:ilvl w:val="0"/>
          <w:numId w:val="4"/>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项目主要内容、数量及要求：电子图书数据库1套、移动图书馆系统1套、读秀学术资源数据库1套、数据知识服务平台1套、外语学习资源库1套、中文期刊服务平台1套、知网研学团队版服务平台1套、AI馆员1套、高等教育多媒体库1套、经纶知识服务平台1套、高校信息素养教育数据库1套。</w:t>
      </w:r>
    </w:p>
    <w:p w14:paraId="47A85BAB">
      <w:pPr>
        <w:pStyle w:val="23"/>
        <w:widowControl/>
        <w:numPr>
          <w:ilvl w:val="0"/>
          <w:numId w:val="4"/>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预算金额：</w:t>
      </w:r>
      <w:r>
        <w:rPr>
          <w:rFonts w:hint="eastAsia" w:cs="仿宋_GB2312" w:asciiTheme="minorEastAsia" w:hAnsiTheme="minorEastAsia" w:eastAsiaTheme="minorEastAsia"/>
          <w:sz w:val="21"/>
          <w:szCs w:val="21"/>
          <w:shd w:val="clear" w:color="auto" w:fill="FFFFFF"/>
          <w:lang w:val="en-US" w:eastAsia="zh-CN"/>
        </w:rPr>
        <w:t>70</w:t>
      </w:r>
      <w:r>
        <w:rPr>
          <w:rFonts w:hint="eastAsia" w:cs="仿宋_GB2312" w:asciiTheme="minorEastAsia" w:hAnsiTheme="minorEastAsia" w:eastAsiaTheme="minorEastAsia"/>
          <w:sz w:val="21"/>
          <w:szCs w:val="21"/>
          <w:shd w:val="clear" w:color="auto" w:fill="FFFFFF"/>
        </w:rPr>
        <w:t>万元。</w:t>
      </w:r>
    </w:p>
    <w:p w14:paraId="39421C2B">
      <w:pPr>
        <w:pStyle w:val="23"/>
        <w:widowControl/>
        <w:numPr>
          <w:ilvl w:val="0"/>
          <w:numId w:val="4"/>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最高限价：</w:t>
      </w:r>
      <w:r>
        <w:rPr>
          <w:rFonts w:hint="eastAsia" w:cs="仿宋_GB2312" w:asciiTheme="minorEastAsia" w:hAnsiTheme="minorEastAsia" w:eastAsiaTheme="minorEastAsia"/>
          <w:sz w:val="21"/>
          <w:szCs w:val="21"/>
          <w:shd w:val="clear" w:color="auto" w:fill="FFFFFF"/>
          <w:lang w:val="en-US" w:eastAsia="zh-CN"/>
        </w:rPr>
        <w:t>70</w:t>
      </w:r>
      <w:r>
        <w:rPr>
          <w:rFonts w:hint="eastAsia" w:cs="仿宋_GB2312" w:asciiTheme="minorEastAsia" w:hAnsiTheme="minorEastAsia" w:eastAsiaTheme="minorEastAsia"/>
          <w:sz w:val="21"/>
          <w:szCs w:val="21"/>
          <w:shd w:val="clear" w:color="auto" w:fill="FFFFFF"/>
        </w:rPr>
        <w:t>万元。</w:t>
      </w:r>
    </w:p>
    <w:p w14:paraId="09839A3D">
      <w:pPr>
        <w:pStyle w:val="23"/>
        <w:widowControl/>
        <w:numPr>
          <w:ilvl w:val="0"/>
          <w:numId w:val="4"/>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履约时间：自合同生效之日起30日历天</w:t>
      </w:r>
    </w:p>
    <w:p w14:paraId="1E5C660F">
      <w:pPr>
        <w:pStyle w:val="23"/>
        <w:widowControl/>
        <w:numPr>
          <w:ilvl w:val="0"/>
          <w:numId w:val="4"/>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履约地点：许昌职业技术学院图书馆</w:t>
      </w:r>
    </w:p>
    <w:p w14:paraId="7C020610">
      <w:pPr>
        <w:pStyle w:val="23"/>
        <w:widowControl/>
        <w:numPr>
          <w:ilvl w:val="0"/>
          <w:numId w:val="4"/>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分包：不允许</w:t>
      </w:r>
    </w:p>
    <w:p w14:paraId="5648A86F">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六、申请人的资格要求：</w:t>
      </w:r>
    </w:p>
    <w:p w14:paraId="403FA41A">
      <w:pPr>
        <w:pStyle w:val="23"/>
        <w:widowControl/>
        <w:numPr>
          <w:ilvl w:val="0"/>
          <w:numId w:val="5"/>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满足《中华人民共和国政府采购法》第二十二条规定；</w:t>
      </w:r>
    </w:p>
    <w:p w14:paraId="5D99D115">
      <w:pPr>
        <w:pStyle w:val="23"/>
        <w:widowControl/>
        <w:numPr>
          <w:ilvl w:val="0"/>
          <w:numId w:val="5"/>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落实政府采购政策需满足的资格要求：本项目面向大、中、小、微型等各类供应商采购。</w:t>
      </w:r>
    </w:p>
    <w:p w14:paraId="593F7A7A">
      <w:pPr>
        <w:pStyle w:val="23"/>
        <w:widowControl/>
        <w:numPr>
          <w:ilvl w:val="0"/>
          <w:numId w:val="5"/>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本项目的特定资格要求：无。</w:t>
      </w:r>
    </w:p>
    <w:p w14:paraId="3BA3C6F4">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七、采购文件的获取</w:t>
      </w:r>
    </w:p>
    <w:p w14:paraId="49330A23">
      <w:pPr>
        <w:adjustRightInd w:val="0"/>
        <w:spacing w:line="360" w:lineRule="auto"/>
        <w:ind w:left="424" w:leftChars="202" w:firstLine="413" w:firstLineChars="197"/>
        <w:contextualSpacing/>
        <w:jc w:val="left"/>
        <w:rPr>
          <w:rFonts w:ascii="宋体" w:hAnsi="宋体"/>
          <w:szCs w:val="21"/>
        </w:rPr>
      </w:pPr>
      <w:r>
        <w:rPr>
          <w:rFonts w:hint="eastAsia"/>
          <w:szCs w:val="21"/>
          <w:shd w:val="clear" w:color="auto" w:fill="FFFFFF"/>
        </w:rPr>
        <w:t>即日起至投标截止时间，供应商使用 CA 数字证书</w:t>
      </w:r>
      <w:r>
        <w:rPr>
          <w:rFonts w:hint="eastAsia"/>
          <w:color w:val="000000" w:themeColor="text1"/>
          <w:szCs w:val="21"/>
        </w:rPr>
        <w:t>从《全国公共资源交易平台（河南省·许昌市）》</w:t>
      </w:r>
      <w:r>
        <w:rPr>
          <w:rFonts w:hint="eastAsia" w:asciiTheme="minorEastAsia" w:hAnsiTheme="minorEastAsia"/>
          <w:color w:val="000000" w:themeColor="text1"/>
          <w:szCs w:val="21"/>
        </w:rPr>
        <w:t>（</w:t>
      </w:r>
      <w:r>
        <w:rPr>
          <w:rFonts w:hint="eastAsia" w:asciiTheme="minorEastAsia" w:hAnsiTheme="minorEastAsia"/>
          <w:color w:val="000000" w:themeColor="text1"/>
          <w:szCs w:val="21"/>
          <w:lang w:eastAsia="zh-CN"/>
        </w:rPr>
        <w:t>https://ggzy.xuchang.gov.cn</w:t>
      </w:r>
      <w:r>
        <w:rPr>
          <w:rFonts w:hint="eastAsia" w:asciiTheme="minorEastAsia" w:hAnsiTheme="minorEastAsia"/>
          <w:color w:val="000000" w:themeColor="text1"/>
          <w:szCs w:val="21"/>
        </w:rPr>
        <w:t>/）</w:t>
      </w:r>
      <w:r>
        <w:rPr>
          <w:rFonts w:hint="eastAsia"/>
          <w:color w:val="000000" w:themeColor="text1"/>
          <w:szCs w:val="21"/>
        </w:rPr>
        <w:t>的“投标人</w:t>
      </w:r>
      <w:r>
        <w:rPr>
          <w:rFonts w:hint="eastAsia" w:asciiTheme="minorEastAsia" w:hAnsiTheme="minorEastAsia"/>
          <w:color w:val="000000" w:themeColor="text1"/>
          <w:szCs w:val="21"/>
        </w:rPr>
        <w:t>”入口登录后</w:t>
      </w:r>
      <w:r>
        <w:rPr>
          <w:rFonts w:hint="eastAsia"/>
          <w:color w:val="000000" w:themeColor="text1"/>
          <w:szCs w:val="21"/>
        </w:rPr>
        <w:t>免费获取本项目招标文件。</w:t>
      </w:r>
    </w:p>
    <w:p w14:paraId="14947C3E">
      <w:pPr>
        <w:pStyle w:val="23"/>
        <w:widowControl/>
        <w:shd w:val="clear" w:color="auto" w:fill="FFFFFF"/>
        <w:spacing w:line="360" w:lineRule="auto"/>
        <w:ind w:left="420"/>
        <w:contextualSpacing/>
        <w:jc w:val="left"/>
        <w:rPr>
          <w:rFonts w:cs="仿宋_GB2312" w:asciiTheme="minorEastAsia" w:hAnsiTheme="minorEastAsia" w:eastAsiaTheme="minorEastAsia"/>
          <w:b/>
          <w:sz w:val="21"/>
          <w:szCs w:val="21"/>
          <w:shd w:val="clear" w:color="auto" w:fill="FFFFFF"/>
        </w:rPr>
      </w:pPr>
      <w:r>
        <w:rPr>
          <w:rFonts w:hint="eastAsia" w:cs="仿宋_GB2312" w:asciiTheme="minorEastAsia" w:hAnsiTheme="minorEastAsia" w:eastAsiaTheme="minorEastAsia"/>
          <w:b/>
          <w:sz w:val="21"/>
          <w:szCs w:val="21"/>
          <w:shd w:val="clear" w:color="auto" w:fill="FFFFFF"/>
        </w:rPr>
        <w:t>八、响应文件的提交方式及注意事项</w:t>
      </w:r>
    </w:p>
    <w:p w14:paraId="7986AF6E">
      <w:pPr>
        <w:adjustRightInd w:val="0"/>
        <w:spacing w:line="360" w:lineRule="auto"/>
        <w:ind w:left="424" w:leftChars="202" w:firstLine="413" w:firstLineChars="197"/>
        <w:contextualSpacing/>
        <w:jc w:val="left"/>
        <w:rPr>
          <w:rFonts w:ascii="宋体" w:hAnsi="宋体"/>
          <w:szCs w:val="21"/>
        </w:rPr>
      </w:pPr>
      <w:r>
        <w:rPr>
          <w:rFonts w:hint="eastAsia"/>
          <w:szCs w:val="21"/>
          <w:shd w:val="clear" w:color="auto" w:fill="FFFFFF"/>
        </w:rPr>
        <w:t>本项目为全流程电子化交易项目，供应商必须通过</w:t>
      </w:r>
      <w:r>
        <w:rPr>
          <w:rFonts w:hint="eastAsia"/>
          <w:color w:val="000000" w:themeColor="text1"/>
          <w:szCs w:val="21"/>
        </w:rPr>
        <w:t>许昌市公共资源电子交易系统下载“新点投标文件制作软件（河南省版）”（在“投标人”登录页面右下方“投标文件制作工具下载”）制作并上传加密电子投标文件（后缀格式为.XCSTF）。截至投标截止时间，交易系统投标通道将关闭，投标人未完成电子投标文件上传的，投标将被拒绝。</w:t>
      </w:r>
    </w:p>
    <w:p w14:paraId="05C07EB9">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九、</w:t>
      </w:r>
      <w:bookmarkStart w:id="0" w:name="OLE_LINK4"/>
      <w:bookmarkStart w:id="1" w:name="OLE_LINK1"/>
      <w:r>
        <w:rPr>
          <w:rFonts w:hint="eastAsia" w:cs="黑体" w:asciiTheme="minorEastAsia" w:hAnsiTheme="minorEastAsia" w:eastAsiaTheme="minorEastAsia"/>
          <w:b/>
          <w:bCs/>
          <w:sz w:val="21"/>
          <w:szCs w:val="21"/>
          <w:shd w:val="clear" w:color="auto" w:fill="FFFFFF"/>
        </w:rPr>
        <w:t>提交响应文件截止时间</w:t>
      </w:r>
      <w:bookmarkEnd w:id="0"/>
      <w:bookmarkEnd w:id="1"/>
      <w:r>
        <w:rPr>
          <w:rFonts w:hint="eastAsia" w:cs="黑体" w:asciiTheme="minorEastAsia" w:hAnsiTheme="minorEastAsia" w:eastAsiaTheme="minorEastAsia"/>
          <w:b/>
          <w:bCs/>
          <w:sz w:val="21"/>
          <w:szCs w:val="21"/>
          <w:shd w:val="clear" w:color="auto" w:fill="FFFFFF"/>
        </w:rPr>
        <w:t>、开标时间及地点</w:t>
      </w:r>
    </w:p>
    <w:p w14:paraId="6908D381">
      <w:pPr>
        <w:pStyle w:val="23"/>
        <w:widowControl/>
        <w:numPr>
          <w:ilvl w:val="0"/>
          <w:numId w:val="6"/>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提交响应文件截止及开标时间：2025年</w:t>
      </w:r>
      <w:r>
        <w:rPr>
          <w:rFonts w:hint="eastAsia" w:cs="仿宋_GB2312" w:asciiTheme="minorEastAsia" w:hAnsiTheme="minorEastAsia" w:eastAsiaTheme="minorEastAsia"/>
          <w:sz w:val="21"/>
          <w:szCs w:val="21"/>
          <w:shd w:val="clear" w:color="auto" w:fill="FFFFFF"/>
          <w:lang w:val="en-US" w:eastAsia="zh-CN"/>
        </w:rPr>
        <w:t>8</w:t>
      </w:r>
      <w:r>
        <w:rPr>
          <w:rFonts w:hint="eastAsia" w:cs="仿宋_GB2312" w:asciiTheme="minorEastAsia" w:hAnsiTheme="minorEastAsia" w:eastAsiaTheme="minorEastAsia"/>
          <w:sz w:val="21"/>
          <w:szCs w:val="21"/>
          <w:shd w:val="clear" w:color="auto" w:fill="FFFFFF"/>
        </w:rPr>
        <w:t>月</w:t>
      </w:r>
      <w:r>
        <w:rPr>
          <w:rFonts w:hint="eastAsia" w:cs="仿宋_GB2312" w:asciiTheme="minorEastAsia" w:hAnsiTheme="minorEastAsia" w:eastAsiaTheme="minorEastAsia"/>
          <w:sz w:val="21"/>
          <w:szCs w:val="21"/>
          <w:shd w:val="clear" w:color="auto" w:fill="FFFFFF"/>
          <w:lang w:val="en-US" w:eastAsia="zh-CN"/>
        </w:rPr>
        <w:t>28</w:t>
      </w:r>
      <w:r>
        <w:rPr>
          <w:rFonts w:hint="eastAsia" w:cs="仿宋_GB2312" w:asciiTheme="minorEastAsia" w:hAnsiTheme="minorEastAsia" w:eastAsiaTheme="minorEastAsia"/>
          <w:sz w:val="21"/>
          <w:szCs w:val="21"/>
          <w:shd w:val="clear" w:color="auto" w:fill="FFFFFF"/>
        </w:rPr>
        <w:t>日</w:t>
      </w:r>
      <w:r>
        <w:rPr>
          <w:rFonts w:hint="eastAsia" w:cs="仿宋_GB2312" w:asciiTheme="minorEastAsia" w:hAnsiTheme="minorEastAsia" w:eastAsiaTheme="minorEastAsia"/>
          <w:sz w:val="21"/>
          <w:szCs w:val="21"/>
          <w:shd w:val="clear" w:color="auto" w:fill="FFFFFF"/>
          <w:lang w:val="en-US" w:eastAsia="zh-CN"/>
        </w:rPr>
        <w:t>8</w:t>
      </w:r>
      <w:r>
        <w:rPr>
          <w:rFonts w:hint="eastAsia" w:cs="仿宋_GB2312" w:asciiTheme="minorEastAsia" w:hAnsiTheme="minorEastAsia" w:eastAsiaTheme="minorEastAsia"/>
          <w:sz w:val="21"/>
          <w:szCs w:val="21"/>
          <w:shd w:val="clear" w:color="auto" w:fill="FFFFFF"/>
        </w:rPr>
        <w:t>时</w:t>
      </w:r>
      <w:r>
        <w:rPr>
          <w:rFonts w:hint="eastAsia" w:cs="仿宋_GB2312" w:asciiTheme="minorEastAsia" w:hAnsiTheme="minorEastAsia" w:eastAsiaTheme="minorEastAsia"/>
          <w:sz w:val="21"/>
          <w:szCs w:val="21"/>
          <w:shd w:val="clear" w:color="auto" w:fill="FFFFFF"/>
          <w:lang w:val="en-US" w:eastAsia="zh-CN"/>
        </w:rPr>
        <w:t>30</w:t>
      </w:r>
      <w:r>
        <w:rPr>
          <w:rFonts w:hint="eastAsia" w:cs="仿宋_GB2312" w:asciiTheme="minorEastAsia" w:hAnsiTheme="minorEastAsia" w:eastAsiaTheme="minorEastAsia"/>
          <w:sz w:val="21"/>
          <w:szCs w:val="21"/>
          <w:shd w:val="clear" w:color="auto" w:fill="FFFFFF"/>
        </w:rPr>
        <w:t>分（北京时间），逾期提交或不符合规定的响应文件不予接受。</w:t>
      </w:r>
    </w:p>
    <w:p w14:paraId="52D5CBDB">
      <w:pPr>
        <w:pStyle w:val="23"/>
        <w:widowControl/>
        <w:numPr>
          <w:ilvl w:val="0"/>
          <w:numId w:val="6"/>
        </w:numPr>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rPr>
        <w:t>开标地点：许昌市公共资源交易中心三楼开标</w:t>
      </w:r>
      <w:r>
        <w:rPr>
          <w:rFonts w:hint="eastAsia" w:cs="仿宋_GB2312" w:asciiTheme="minorEastAsia" w:hAnsiTheme="minorEastAsia" w:eastAsiaTheme="minorEastAsia"/>
          <w:sz w:val="21"/>
          <w:szCs w:val="21"/>
          <w:lang w:eastAsia="zh-CN"/>
        </w:rPr>
        <w:t>二</w:t>
      </w:r>
      <w:r>
        <w:rPr>
          <w:rFonts w:hint="eastAsia" w:cs="仿宋_GB2312" w:asciiTheme="minorEastAsia" w:hAnsiTheme="minorEastAsia" w:eastAsiaTheme="minorEastAsia"/>
          <w:sz w:val="21"/>
          <w:szCs w:val="21"/>
        </w:rPr>
        <w:t>室。（</w:t>
      </w:r>
      <w:r>
        <w:rPr>
          <w:rFonts w:hint="eastAsia" w:cs="Arial" w:asciiTheme="minorEastAsia" w:hAnsiTheme="minorEastAsia" w:eastAsiaTheme="minorEastAsia"/>
          <w:b/>
          <w:sz w:val="21"/>
          <w:szCs w:val="21"/>
        </w:rPr>
        <w:t>本项目采用远程不见面开标方式，投标人无须到现场</w:t>
      </w:r>
      <w:r>
        <w:rPr>
          <w:rFonts w:hint="eastAsia" w:cs="Arial" w:asciiTheme="minorEastAsia" w:hAnsiTheme="minorEastAsia" w:eastAsiaTheme="minorEastAsia"/>
          <w:sz w:val="21"/>
          <w:szCs w:val="21"/>
        </w:rPr>
        <w:t>）</w:t>
      </w:r>
      <w:r>
        <w:rPr>
          <w:rFonts w:hint="eastAsia" w:cs="仿宋_GB2312" w:asciiTheme="minorEastAsia" w:hAnsiTheme="minorEastAsia" w:eastAsiaTheme="minorEastAsia"/>
          <w:sz w:val="21"/>
          <w:szCs w:val="21"/>
        </w:rPr>
        <w:t>。</w:t>
      </w:r>
    </w:p>
    <w:p w14:paraId="48560FE5">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十、开标注意事项</w:t>
      </w:r>
    </w:p>
    <w:p w14:paraId="15C6A62A">
      <w:pPr>
        <w:pStyle w:val="23"/>
        <w:widowControl/>
        <w:shd w:val="clear" w:color="auto" w:fill="FFFFFF"/>
        <w:spacing w:line="360" w:lineRule="auto"/>
        <w:ind w:left="424" w:leftChars="202" w:firstLine="424" w:firstLineChars="202"/>
        <w:contextualSpacing/>
        <w:jc w:val="left"/>
        <w:rPr>
          <w:sz w:val="21"/>
          <w:szCs w:val="21"/>
          <w:shd w:val="clear" w:color="auto" w:fill="FFFFFF"/>
        </w:rPr>
      </w:pPr>
      <w:r>
        <w:rPr>
          <w:rFonts w:hint="eastAsia"/>
          <w:sz w:val="21"/>
          <w:szCs w:val="21"/>
          <w:shd w:val="clear" w:color="auto" w:fill="FFFFFF"/>
        </w:rPr>
        <w:t>本项目采用远程不见面开标方式，供应商无须到开标现场参加开标。供应商应在开标时间前进入《全国公共资源交易平台（河南省·许昌市）》—从“网上开标大厅”进入“许昌市公共资源交易不见面开标大厅”— 选择“投标人”— 使用CA数字证书或CA移动数字证书登录 — 在“今日开标项目”中选择投标项目，按照规定时间准时参加线上开标，进行远程解密、电子签章等。</w:t>
      </w:r>
    </w:p>
    <w:p w14:paraId="493CD806">
      <w:pPr>
        <w:pStyle w:val="23"/>
        <w:widowControl/>
        <w:shd w:val="clear" w:color="auto" w:fill="FFFFFF"/>
        <w:spacing w:line="360" w:lineRule="auto"/>
        <w:ind w:left="424" w:leftChars="202" w:firstLine="424" w:firstLineChars="202"/>
        <w:contextualSpacing/>
        <w:jc w:val="left"/>
        <w:rPr>
          <w:sz w:val="21"/>
          <w:szCs w:val="21"/>
          <w:shd w:val="clear" w:color="auto" w:fill="FFFFFF"/>
        </w:rPr>
      </w:pPr>
      <w:r>
        <w:rPr>
          <w:rFonts w:hint="eastAsia"/>
          <w:sz w:val="21"/>
          <w:szCs w:val="21"/>
          <w:shd w:val="clear" w:color="auto" w:fill="FFFFFF"/>
        </w:rPr>
        <w:t>供应商未按规定解密或因供应商原因解密失败的，投标将被拒绝。</w:t>
      </w:r>
    </w:p>
    <w:p w14:paraId="71B808AE">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十一、本次采购公告同时在《中国政府采购网》、《河南省政府采购网》、《许昌市政府采购网》、《全国公共资源交易平台（河南省·许昌市）》、《许昌市人民政府门户网站》发布。</w:t>
      </w:r>
    </w:p>
    <w:p w14:paraId="6AEA6375">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十二、联系方式</w:t>
      </w:r>
    </w:p>
    <w:p w14:paraId="572B4503">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采购人名称</w:t>
      </w:r>
      <w:r>
        <w:rPr>
          <w:rFonts w:hint="eastAsia" w:ascii="宋体" w:hAnsi="宋体"/>
          <w:szCs w:val="21"/>
        </w:rPr>
        <w:t>：</w:t>
      </w:r>
      <w:r>
        <w:rPr>
          <w:rFonts w:hint="eastAsia" w:cs="仿宋_GB2312" w:asciiTheme="minorEastAsia" w:hAnsiTheme="minorEastAsia" w:eastAsiaTheme="minorEastAsia"/>
          <w:sz w:val="21"/>
          <w:szCs w:val="21"/>
          <w:shd w:val="clear" w:color="auto" w:fill="FFFFFF"/>
        </w:rPr>
        <w:t>许昌职业技术学院</w:t>
      </w:r>
    </w:p>
    <w:p w14:paraId="0BFF087F">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地址：许昌市新兴东路4336号</w:t>
      </w:r>
    </w:p>
    <w:p w14:paraId="30B6CB8B">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联系人：蒲滨</w:t>
      </w:r>
    </w:p>
    <w:p w14:paraId="0589A753">
      <w:pPr>
        <w:adjustRightInd w:val="0"/>
        <w:spacing w:line="360" w:lineRule="auto"/>
        <w:ind w:firstLine="840" w:firstLineChars="400"/>
        <w:contextualSpacing/>
        <w:jc w:val="left"/>
        <w:rPr>
          <w:rFonts w:ascii="宋体" w:hAnsi="宋体"/>
          <w:szCs w:val="21"/>
        </w:rPr>
      </w:pPr>
      <w:r>
        <w:rPr>
          <w:rFonts w:hint="eastAsia" w:ascii="宋体" w:hAnsi="宋体"/>
          <w:szCs w:val="21"/>
        </w:rPr>
        <w:t>联系电话：18637402226</w:t>
      </w:r>
    </w:p>
    <w:p w14:paraId="2777F57D">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：许昌市政府采购服务中心</w:t>
      </w:r>
    </w:p>
    <w:p w14:paraId="6BC461F3">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szCs w:val="21"/>
        </w:rPr>
        <w:t>龙兴路与竹林路交汇处</w:t>
      </w:r>
      <w:r>
        <w:rPr>
          <w:rFonts w:hint="eastAsia" w:cs="仿宋_GB2312" w:asciiTheme="minorEastAsia" w:hAnsiTheme="minorEastAsia"/>
          <w:szCs w:val="21"/>
        </w:rPr>
        <w:t>创业服务中心C座</w:t>
      </w:r>
    </w:p>
    <w:p w14:paraId="0BE780C8">
      <w:pPr>
        <w:adjustRightInd w:val="0"/>
        <w:spacing w:line="360" w:lineRule="auto"/>
        <w:ind w:firstLine="840" w:firstLineChars="400"/>
        <w:contextualSpacing/>
        <w:jc w:val="left"/>
        <w:rPr>
          <w:rFonts w:hint="eastAsia" w:ascii="宋体" w:hAnsi="宋体"/>
          <w:szCs w:val="21"/>
          <w:lang w:eastAsia="zh-CN"/>
        </w:rPr>
      </w:pPr>
      <w:r>
        <w:rPr>
          <w:rFonts w:hint="eastAsia" w:ascii="宋体" w:hAnsi="宋体"/>
          <w:szCs w:val="21"/>
        </w:rPr>
        <w:t>联系人：</w:t>
      </w:r>
      <w:r>
        <w:rPr>
          <w:rFonts w:hint="eastAsia" w:ascii="宋体" w:hAnsi="宋体"/>
          <w:szCs w:val="21"/>
          <w:lang w:eastAsia="zh-CN"/>
        </w:rPr>
        <w:t>韩先生</w:t>
      </w:r>
    </w:p>
    <w:p w14:paraId="10484DAE">
      <w:pPr>
        <w:adjustRightInd w:val="0"/>
        <w:spacing w:line="360" w:lineRule="auto"/>
        <w:ind w:firstLine="840" w:firstLineChars="400"/>
        <w:contextualSpacing/>
        <w:jc w:val="left"/>
        <w:rPr>
          <w:rFonts w:ascii="宋体" w:hAnsi="宋体"/>
          <w:szCs w:val="21"/>
        </w:rPr>
      </w:pPr>
      <w:r>
        <w:rPr>
          <w:rFonts w:hint="eastAsia" w:ascii="宋体" w:hAnsi="宋体"/>
          <w:szCs w:val="21"/>
        </w:rPr>
        <w:t>联系电话：</w:t>
      </w:r>
      <w:r>
        <w:rPr>
          <w:rFonts w:ascii="宋体" w:hAnsi="宋体"/>
          <w:szCs w:val="21"/>
        </w:rPr>
        <w:t>0</w:t>
      </w:r>
      <w:r>
        <w:rPr>
          <w:rFonts w:hint="eastAsia" w:ascii="宋体" w:hAnsi="宋体"/>
          <w:szCs w:val="21"/>
        </w:rPr>
        <w:t>374-2968687</w:t>
      </w:r>
    </w:p>
    <w:p w14:paraId="49D47388">
      <w:pPr>
        <w:adjustRightInd w:val="0"/>
        <w:spacing w:line="360" w:lineRule="auto"/>
        <w:ind w:firstLine="843" w:firstLineChars="400"/>
        <w:jc w:val="left"/>
        <w:rPr>
          <w:rFonts w:ascii="宋体" w:hAnsi="宋体"/>
          <w:szCs w:val="21"/>
        </w:rPr>
      </w:pPr>
      <w:r>
        <w:rPr>
          <w:rFonts w:hint="eastAsia" w:ascii="宋体" w:hAnsi="宋体"/>
          <w:b/>
          <w:szCs w:val="21"/>
        </w:rPr>
        <w:t>监管部门：</w:t>
      </w:r>
      <w:r>
        <w:rPr>
          <w:rFonts w:hint="eastAsia" w:ascii="宋体" w:hAnsi="宋体"/>
          <w:szCs w:val="21"/>
        </w:rPr>
        <w:t>许昌市财政局</w:t>
      </w:r>
    </w:p>
    <w:p w14:paraId="7772EACB">
      <w:pPr>
        <w:adjustRightInd w:val="0"/>
        <w:spacing w:line="360" w:lineRule="auto"/>
        <w:ind w:firstLine="840" w:firstLineChars="400"/>
        <w:jc w:val="left"/>
        <w:rPr>
          <w:rFonts w:ascii="宋体" w:hAnsi="宋体"/>
          <w:szCs w:val="21"/>
        </w:rPr>
      </w:pPr>
      <w:r>
        <w:rPr>
          <w:rFonts w:hint="eastAsia" w:ascii="宋体" w:hAnsi="宋体"/>
          <w:szCs w:val="21"/>
        </w:rPr>
        <w:t>联系人：许昌市政府采购监督管理办公室</w:t>
      </w:r>
    </w:p>
    <w:p w14:paraId="33B30961">
      <w:pPr>
        <w:adjustRightInd w:val="0"/>
        <w:spacing w:line="360" w:lineRule="auto"/>
        <w:ind w:firstLine="840" w:firstLineChars="400"/>
        <w:jc w:val="left"/>
        <w:rPr>
          <w:rFonts w:ascii="宋体" w:hAnsi="宋体"/>
          <w:szCs w:val="21"/>
        </w:rPr>
      </w:pPr>
      <w:r>
        <w:rPr>
          <w:rFonts w:hint="eastAsia" w:ascii="宋体" w:hAnsi="宋体"/>
          <w:szCs w:val="21"/>
        </w:rPr>
        <w:t>联系电话：0374-2676018</w:t>
      </w:r>
    </w:p>
    <w:p w14:paraId="406F3B3E">
      <w:pPr>
        <w:adjustRightInd w:val="0"/>
        <w:snapToGrid w:val="0"/>
        <w:spacing w:line="360" w:lineRule="auto"/>
        <w:ind w:firstLine="840" w:firstLineChars="400"/>
        <w:jc w:val="left"/>
        <w:rPr>
          <w:rFonts w:ascii="宋体" w:hAnsi="宋体"/>
          <w:szCs w:val="21"/>
        </w:rPr>
      </w:pPr>
    </w:p>
    <w:p w14:paraId="3B72C375">
      <w:pPr>
        <w:adjustRightInd w:val="0"/>
        <w:spacing w:line="360" w:lineRule="auto"/>
        <w:ind w:firstLine="840" w:firstLineChars="400"/>
        <w:contextualSpacing/>
        <w:jc w:val="right"/>
        <w:rPr>
          <w:rFonts w:cs="Arial" w:asciiTheme="minorEastAsia" w:hAnsiTheme="minorEastAsia"/>
          <w:szCs w:val="21"/>
        </w:rPr>
      </w:pPr>
    </w:p>
    <w:p w14:paraId="4A651CB0">
      <w:pPr>
        <w:adjustRightInd w:val="0"/>
        <w:snapToGrid w:val="0"/>
        <w:spacing w:line="360" w:lineRule="auto"/>
        <w:ind w:firstLine="840" w:firstLineChars="400"/>
        <w:jc w:val="left"/>
        <w:rPr>
          <w:rFonts w:ascii="宋体" w:hAnsi="宋体"/>
          <w:szCs w:val="21"/>
        </w:rPr>
      </w:pPr>
    </w:p>
    <w:p w14:paraId="407A585E">
      <w:pPr>
        <w:adjustRightInd w:val="0"/>
        <w:snapToGrid w:val="0"/>
        <w:spacing w:line="360" w:lineRule="auto"/>
        <w:ind w:firstLine="840" w:firstLineChars="400"/>
        <w:jc w:val="left"/>
        <w:rPr>
          <w:rFonts w:ascii="宋体" w:hAnsi="宋体"/>
          <w:szCs w:val="21"/>
        </w:rPr>
      </w:pPr>
    </w:p>
    <w:p w14:paraId="14C88F44">
      <w:pPr>
        <w:rPr>
          <w:rFonts w:hint="eastAsia" w:ascii="Calibri" w:hAnsi="宋体" w:eastAsia="宋体" w:cs="Times New Roman"/>
          <w:b/>
          <w:sz w:val="28"/>
          <w:szCs w:val="28"/>
        </w:rPr>
      </w:pPr>
      <w:r>
        <w:rPr>
          <w:rFonts w:hint="eastAsia" w:ascii="Calibri" w:hAnsi="宋体" w:eastAsia="宋体" w:cs="Times New Roman"/>
          <w:b/>
          <w:sz w:val="28"/>
          <w:szCs w:val="28"/>
        </w:rPr>
        <w:br w:type="page"/>
      </w:r>
    </w:p>
    <w:p w14:paraId="5F822802">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14:paraId="22AD4F86">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14:paraId="787000A2">
      <w:pPr>
        <w:numPr>
          <w:ilvl w:val="0"/>
          <w:numId w:val="7"/>
        </w:numPr>
        <w:spacing w:line="360" w:lineRule="auto"/>
        <w:contextualSpacing/>
        <w:rPr>
          <w:rFonts w:ascii="宋体" w:hAnsi="宋体" w:eastAsia="宋体" w:cs="Times New Roman"/>
          <w:b/>
          <w:bCs/>
          <w:szCs w:val="21"/>
        </w:rPr>
      </w:pPr>
      <w:bookmarkStart w:id="2" w:name="OLE_LINK12"/>
      <w:bookmarkStart w:id="3" w:name="OLE_LINK15"/>
      <w:r>
        <w:rPr>
          <w:rFonts w:hint="eastAsia" w:ascii="宋体" w:hAnsi="宋体" w:eastAsia="宋体" w:cs="Times New Roman"/>
          <w:b/>
          <w:bCs/>
          <w:szCs w:val="21"/>
        </w:rPr>
        <w:t>《全国公共资源交易平台（河南省·许昌市）》地址为</w:t>
      </w:r>
      <w:r>
        <w:rPr>
          <w:rFonts w:ascii="宋体" w:hAnsi="Times New Roman" w:eastAsia="宋体" w:cs="Times New Roman"/>
          <w:b/>
          <w:bCs/>
          <w:kern w:val="0"/>
          <w:sz w:val="34"/>
          <w:szCs w:val="34"/>
        </w:rPr>
        <w:fldChar w:fldCharType="begin"/>
      </w:r>
      <w:r>
        <w:rPr>
          <w:rFonts w:ascii="宋体" w:hAnsi="Times New Roman" w:eastAsia="宋体" w:cs="Times New Roman"/>
          <w:b/>
          <w:bCs/>
          <w:kern w:val="0"/>
          <w:sz w:val="34"/>
          <w:szCs w:val="34"/>
        </w:rPr>
        <w:instrText xml:space="preserve"> HYPERLINK "http://117.159.53.11:60632" </w:instrText>
      </w:r>
      <w:r>
        <w:rPr>
          <w:rFonts w:ascii="宋体" w:hAnsi="Times New Roman" w:eastAsia="宋体" w:cs="Times New Roman"/>
          <w:b/>
          <w:bCs/>
          <w:kern w:val="0"/>
          <w:sz w:val="34"/>
          <w:szCs w:val="34"/>
        </w:rPr>
        <w:fldChar w:fldCharType="separate"/>
      </w:r>
      <w:r>
        <w:rPr>
          <w:rFonts w:hint="eastAsia" w:ascii="Times New Roman" w:hAnsi="宋体" w:eastAsia="宋体" w:cs="Times New Roman"/>
          <w:b/>
          <w:bCs/>
          <w:szCs w:val="21"/>
          <w:u w:val="single"/>
          <w:lang w:eastAsia="zh-CN"/>
        </w:rPr>
        <w:t>https://ggzy.xuchang.gov.cn</w:t>
      </w:r>
      <w:r>
        <w:rPr>
          <w:rFonts w:ascii="宋体" w:hAnsi="Times New Roman" w:eastAsia="宋体" w:cs="Times New Roman"/>
          <w:b/>
          <w:bCs/>
          <w:kern w:val="0"/>
          <w:sz w:val="34"/>
          <w:szCs w:val="34"/>
        </w:rPr>
        <w:fldChar w:fldCharType="end"/>
      </w:r>
      <w:bookmarkEnd w:id="2"/>
      <w:bookmarkEnd w:id="3"/>
      <w:r>
        <w:rPr>
          <w:rFonts w:hint="eastAsia" w:ascii="宋体" w:hAnsi="宋体" w:eastAsia="宋体" w:cs="Times New Roman"/>
          <w:b/>
          <w:bCs/>
          <w:szCs w:val="21"/>
        </w:rPr>
        <w:t>。</w:t>
      </w:r>
    </w:p>
    <w:p w14:paraId="61C44C54">
      <w:pPr>
        <w:numPr>
          <w:ilvl w:val="0"/>
          <w:numId w:val="7"/>
        </w:numPr>
        <w:spacing w:line="360" w:lineRule="auto"/>
        <w:contextualSpacing/>
        <w:rPr>
          <w:rFonts w:ascii="宋体" w:hAnsi="宋体" w:eastAsia="宋体" w:cs="Times New Roman"/>
          <w:b/>
          <w:szCs w:val="21"/>
        </w:rPr>
      </w:pPr>
      <w:r>
        <w:rPr>
          <w:rFonts w:hint="eastAsia" w:ascii="宋体" w:hAnsi="宋体" w:eastAsia="宋体" w:cs="Times New Roman"/>
          <w:b/>
          <w:szCs w:val="21"/>
        </w:rPr>
        <w:t>供应商参加本项目投标需使用数字证书（CA数字证书或CA移动数字证书均可）</w:t>
      </w:r>
    </w:p>
    <w:p w14:paraId="37908749">
      <w:pPr>
        <w:spacing w:line="360" w:lineRule="auto"/>
        <w:ind w:left="840"/>
        <w:contextualSpacing/>
        <w:rPr>
          <w:rFonts w:ascii="Calibri" w:hAnsi="宋体" w:eastAsia="宋体" w:cs="Times New Roman"/>
          <w:szCs w:val="21"/>
        </w:rPr>
      </w:pPr>
      <w:r>
        <w:rPr>
          <w:rFonts w:hint="eastAsia" w:ascii="宋体" w:hAnsi="宋体" w:eastAsia="宋体" w:cs="Times New Roman"/>
          <w:szCs w:val="21"/>
        </w:rPr>
        <w:t>2.1   供应商需提前自行联系</w:t>
      </w:r>
      <w:r>
        <w:rPr>
          <w:rFonts w:hint="eastAsia" w:ascii="Calibri" w:hAnsi="Calibri" w:eastAsia="宋体" w:cs="Calibri"/>
          <w:szCs w:val="21"/>
        </w:rPr>
        <w:t>CA</w:t>
      </w:r>
      <w:r>
        <w:rPr>
          <w:rFonts w:hint="eastAsia" w:ascii="宋体" w:hAnsi="宋体" w:eastAsia="宋体" w:cs="Times New Roman"/>
          <w:szCs w:val="21"/>
        </w:rPr>
        <w:t>数字证书服务机构办理数字认证证书并进行电子签章。</w:t>
      </w:r>
    </w:p>
    <w:p w14:paraId="43E9F3AF">
      <w:pPr>
        <w:spacing w:line="360" w:lineRule="auto"/>
        <w:ind w:left="1470" w:leftChars="400" w:hanging="630" w:hangingChars="300"/>
        <w:contextualSpacing/>
        <w:rPr>
          <w:rFonts w:ascii="Calibri" w:hAnsi="宋体" w:eastAsia="宋体" w:cs="Times New Roman"/>
          <w:szCs w:val="21"/>
        </w:rPr>
      </w:pPr>
      <w:r>
        <w:rPr>
          <w:rFonts w:hint="eastAsia" w:ascii="宋体" w:hAnsi="宋体" w:eastAsia="宋体" w:cs="Times New Roman"/>
          <w:szCs w:val="21"/>
        </w:rPr>
        <w:t>2.2   供应商需提前自行联系</w:t>
      </w:r>
      <w:r>
        <w:rPr>
          <w:rFonts w:hint="eastAsia" w:ascii="Calibri" w:hAnsi="Calibri" w:eastAsia="宋体" w:cs="Calibri"/>
          <w:szCs w:val="21"/>
        </w:rPr>
        <w:t>CA</w:t>
      </w:r>
      <w:r>
        <w:rPr>
          <w:rFonts w:hint="eastAsia" w:ascii="宋体" w:hAnsi="宋体" w:eastAsia="宋体" w:cs="Times New Roman"/>
          <w:szCs w:val="21"/>
        </w:rPr>
        <w:t>移动数字证书的服务机构办理移动数字认证证书并进行电子签章。（详见“服务指南”—“办事指南”—《新交易平台使用手册》中的《</w:t>
      </w:r>
      <w:r>
        <w:rPr>
          <w:rFonts w:hint="eastAsia" w:ascii="Calibri" w:hAnsi="Calibri" w:eastAsia="宋体" w:cs="Calibri"/>
          <w:szCs w:val="21"/>
        </w:rPr>
        <w:t>CA</w:t>
      </w:r>
      <w:r>
        <w:rPr>
          <w:rFonts w:hint="eastAsia" w:ascii="宋体" w:hAnsi="宋体" w:eastAsia="宋体" w:cs="Times New Roman"/>
          <w:szCs w:val="21"/>
        </w:rPr>
        <w:t>移动数字证书操作手册》）</w:t>
      </w:r>
    </w:p>
    <w:p w14:paraId="73D55FC4">
      <w:pPr>
        <w:numPr>
          <w:ilvl w:val="0"/>
          <w:numId w:val="7"/>
        </w:numPr>
        <w:spacing w:line="360" w:lineRule="auto"/>
        <w:contextualSpacing/>
        <w:rPr>
          <w:rFonts w:ascii="Calibri" w:hAnsi="宋体" w:eastAsia="宋体" w:cs="Times New Roman"/>
          <w:b/>
          <w:szCs w:val="21"/>
        </w:rPr>
      </w:pPr>
      <w:r>
        <w:rPr>
          <w:rFonts w:hint="eastAsia" w:ascii="宋体" w:hAnsi="宋体" w:eastAsia="宋体" w:cs="Times New Roman"/>
          <w:szCs w:val="21"/>
        </w:rPr>
        <w:t>供应商应按谈判文件规定编制、提交、解密电子响应文件。谈判文件下载、响应文件制作、提交、远程不见面开标（电子响应文件的解密）环节，供应商须使用同一个</w:t>
      </w:r>
      <w:r>
        <w:rPr>
          <w:rFonts w:hint="eastAsia" w:ascii="Calibri" w:hAnsi="Calibri" w:eastAsia="宋体" w:cs="Calibri"/>
          <w:szCs w:val="21"/>
        </w:rPr>
        <w:t>CA</w:t>
      </w:r>
      <w:r>
        <w:rPr>
          <w:rFonts w:hint="eastAsia" w:ascii="宋体" w:hAnsi="宋体" w:eastAsia="宋体" w:cs="Times New Roman"/>
          <w:szCs w:val="21"/>
        </w:rPr>
        <w:t>数字证书或</w:t>
      </w:r>
      <w:r>
        <w:rPr>
          <w:rFonts w:hint="eastAsia" w:ascii="Calibri" w:hAnsi="Calibri" w:eastAsia="宋体" w:cs="Calibri"/>
          <w:szCs w:val="21"/>
        </w:rPr>
        <w:t>CA</w:t>
      </w:r>
      <w:r>
        <w:rPr>
          <w:rFonts w:hint="eastAsia" w:ascii="宋体" w:hAnsi="宋体" w:eastAsia="宋体" w:cs="Times New Roman"/>
          <w:szCs w:val="21"/>
        </w:rPr>
        <w:t>移动数字证书（证书须在有效期内并可正常使用）。</w:t>
      </w:r>
    </w:p>
    <w:p w14:paraId="140662DA">
      <w:pPr>
        <w:numPr>
          <w:ilvl w:val="0"/>
          <w:numId w:val="7"/>
        </w:numPr>
        <w:spacing w:line="360" w:lineRule="auto"/>
        <w:contextualSpacing/>
        <w:rPr>
          <w:rFonts w:ascii="Calibri" w:hAnsi="宋体" w:eastAsia="宋体" w:cs="Times New Roman"/>
          <w:b/>
          <w:szCs w:val="21"/>
        </w:rPr>
      </w:pPr>
      <w:r>
        <w:rPr>
          <w:rFonts w:hint="eastAsia" w:ascii="Calibri" w:hAnsi="宋体" w:eastAsia="宋体" w:cs="Times New Roman"/>
          <w:b/>
          <w:szCs w:val="21"/>
        </w:rPr>
        <w:t>电子响应文件的制作</w:t>
      </w:r>
    </w:p>
    <w:p w14:paraId="1E171608">
      <w:pPr>
        <w:tabs>
          <w:tab w:val="left" w:pos="7095"/>
        </w:tabs>
        <w:spacing w:line="360" w:lineRule="auto"/>
        <w:ind w:left="1260" w:leftChars="400" w:hanging="420" w:hangingChars="200"/>
        <w:contextualSpacing/>
        <w:rPr>
          <w:rFonts w:ascii="Calibri" w:hAnsi="宋体" w:eastAsia="宋体" w:cs="Times New Roman"/>
        </w:rPr>
      </w:pPr>
      <w:r>
        <w:rPr>
          <w:rFonts w:hint="eastAsia" w:ascii="Calibri" w:hAnsi="宋体" w:eastAsia="宋体" w:cs="Times New Roman"/>
        </w:rPr>
        <w:t>4.1  供应商登录《全国公共资源交易平台（河南省·许昌市）》（</w:t>
      </w:r>
      <w:r>
        <w:rPr>
          <w:rFonts w:hint="eastAsia" w:ascii="Calibri" w:hAnsi="宋体" w:eastAsia="宋体" w:cs="Times New Roman"/>
          <w:lang w:eastAsia="zh-CN"/>
        </w:rPr>
        <w:t>https://ggzy.xuchang.gov.cn</w:t>
      </w:r>
      <w:r>
        <w:rPr>
          <w:rFonts w:hint="eastAsia" w:ascii="Calibri" w:hAnsi="宋体" w:eastAsia="宋体" w:cs="Times New Roman"/>
        </w:rPr>
        <w:t>/）下载“新点投标文件制作软件（河南省版）”（在“投标人”登录页面右下方“投标文件制作工具下载”）制作电子投标文件。</w:t>
      </w:r>
    </w:p>
    <w:p w14:paraId="05B3E945">
      <w:pPr>
        <w:tabs>
          <w:tab w:val="left" w:pos="7095"/>
        </w:tabs>
        <w:spacing w:line="360" w:lineRule="auto"/>
        <w:ind w:left="1260" w:leftChars="400" w:hanging="420" w:hangingChars="200"/>
        <w:contextualSpacing/>
        <w:rPr>
          <w:rFonts w:ascii="Calibri" w:hAnsi="宋体" w:eastAsia="宋体" w:cs="Times New Roman"/>
        </w:rPr>
      </w:pPr>
      <w:r>
        <w:rPr>
          <w:rFonts w:hint="eastAsia" w:ascii="Calibri" w:hAnsi="宋体" w:eastAsia="宋体" w:cs="Times New Roman"/>
        </w:rPr>
        <w:t>4.2  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4984E736">
      <w:pPr>
        <w:numPr>
          <w:ilvl w:val="0"/>
          <w:numId w:val="7"/>
        </w:numPr>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电子响应文件的提交</w:t>
      </w:r>
    </w:p>
    <w:p w14:paraId="60FEC55F">
      <w:pPr>
        <w:spacing w:line="360" w:lineRule="auto"/>
        <w:ind w:left="1480" w:leftChars="405" w:hanging="630" w:hangingChars="300"/>
        <w:contextualSpacing/>
        <w:rPr>
          <w:rFonts w:ascii="Calibri" w:hAnsi="宋体" w:eastAsia="宋体" w:cs="Times New Roman"/>
          <w:szCs w:val="21"/>
        </w:rPr>
      </w:pPr>
      <w:r>
        <w:rPr>
          <w:rFonts w:hint="eastAsia" w:ascii="宋体" w:hAnsi="宋体" w:eastAsia="宋体" w:cs="Times New Roman"/>
          <w:szCs w:val="21"/>
        </w:rPr>
        <w:t>5.1   加密电子响应文件应按规定在提交响应文件截止（开标时间）之前成功提交至《全国公共资源交易平台（河南省·许昌市）》— “投标人”— “许昌市公共资源电子交易系统”（</w:t>
      </w:r>
      <w:r>
        <w:rPr>
          <w:rFonts w:hint="eastAsia" w:ascii="Calibri" w:hAnsi="Calibri" w:eastAsia="宋体" w:cs="Calibri"/>
          <w:szCs w:val="21"/>
          <w:lang w:eastAsia="zh-CN"/>
        </w:rPr>
        <w:t>https://ggzy.xuchang.gov.cn</w:t>
      </w:r>
      <w:r>
        <w:rPr>
          <w:rFonts w:hint="eastAsia" w:ascii="Calibri" w:hAnsi="Calibri" w:eastAsia="宋体" w:cs="Calibri"/>
          <w:szCs w:val="21"/>
        </w:rPr>
        <w:t>/tpbidder</w:t>
      </w:r>
      <w:r>
        <w:rPr>
          <w:rFonts w:hint="eastAsia" w:ascii="宋体" w:hAnsi="宋体" w:eastAsia="宋体" w:cs="Times New Roman"/>
          <w:szCs w:val="21"/>
        </w:rPr>
        <w:t>）。供应商应充分考虑并预留技术处理和上传数据所需时间。</w:t>
      </w:r>
    </w:p>
    <w:p w14:paraId="71F6F011">
      <w:pPr>
        <w:tabs>
          <w:tab w:val="left" w:pos="7095"/>
        </w:tabs>
        <w:spacing w:line="360" w:lineRule="auto"/>
        <w:ind w:left="1260" w:leftChars="400" w:hanging="420" w:hangingChars="200"/>
        <w:contextualSpacing/>
        <w:rPr>
          <w:rFonts w:ascii="Calibri" w:hAnsi="宋体" w:eastAsia="宋体" w:cs="Times New Roman"/>
        </w:rPr>
      </w:pPr>
      <w:r>
        <w:rPr>
          <w:rFonts w:hint="eastAsia" w:ascii="Calibri" w:hAnsi="宋体" w:eastAsia="宋体" w:cs="Times New Roman"/>
        </w:rPr>
        <w:t>5.2   供应商对同一项目多个标段进行响应的，加密电子响应文件应按标段分别提交。</w:t>
      </w:r>
    </w:p>
    <w:p w14:paraId="13D35574">
      <w:pPr>
        <w:tabs>
          <w:tab w:val="left" w:pos="7095"/>
        </w:tabs>
        <w:spacing w:line="360" w:lineRule="auto"/>
        <w:ind w:left="1472" w:leftChars="401" w:hanging="630" w:hangingChars="300"/>
        <w:contextualSpacing/>
        <w:rPr>
          <w:rFonts w:ascii="Calibri" w:hAnsi="宋体" w:eastAsia="宋体" w:cs="Times New Roman"/>
        </w:rPr>
      </w:pPr>
      <w:r>
        <w:rPr>
          <w:rFonts w:hint="eastAsia" w:ascii="宋体" w:hAnsi="宋体" w:eastAsia="宋体" w:cs="Times New Roman"/>
        </w:rPr>
        <w:t xml:space="preserve">5.3   </w:t>
      </w:r>
      <w:r>
        <w:rPr>
          <w:rFonts w:hint="eastAsia" w:ascii="Calibri" w:hAnsi="宋体" w:eastAsia="宋体" w:cs="Times New Roman"/>
        </w:rPr>
        <w:t>加密电子投标文件成功提交后，可登录《全国公共资源交易平台（河南省·许昌市）》许昌市公共资源电子交易系统</w:t>
      </w:r>
      <w:r>
        <w:rPr>
          <w:rFonts w:hint="eastAsia" w:ascii="宋体" w:hAnsi="宋体" w:eastAsia="宋体" w:cs="Times New Roman"/>
          <w:szCs w:val="21"/>
        </w:rPr>
        <w:t>（</w:t>
      </w:r>
      <w:r>
        <w:rPr>
          <w:rFonts w:hint="eastAsia" w:ascii="Calibri" w:hAnsi="Calibri" w:eastAsia="宋体" w:cs="Calibri"/>
          <w:szCs w:val="21"/>
          <w:lang w:eastAsia="zh-CN"/>
        </w:rPr>
        <w:t>https://ggzy.xuchang.gov.cn</w:t>
      </w:r>
      <w:r>
        <w:rPr>
          <w:rFonts w:hint="eastAsia" w:ascii="Calibri" w:hAnsi="Calibri" w:eastAsia="宋体" w:cs="Calibri"/>
          <w:szCs w:val="21"/>
        </w:rPr>
        <w:t>/tpbidder</w:t>
      </w:r>
      <w:r>
        <w:rPr>
          <w:rFonts w:hint="eastAsia" w:ascii="宋体" w:hAnsi="宋体" w:eastAsia="宋体" w:cs="Times New Roman"/>
          <w:szCs w:val="21"/>
        </w:rPr>
        <w:t>）</w:t>
      </w:r>
      <w:r>
        <w:rPr>
          <w:rFonts w:hint="eastAsia" w:ascii="Calibri" w:hAnsi="宋体" w:eastAsia="宋体" w:cs="Times New Roman"/>
        </w:rPr>
        <w:t>，在上传电子投标文件的页面进行模拟解密，以验证是否能够成功解密。</w:t>
      </w:r>
    </w:p>
    <w:p w14:paraId="6A4743FB">
      <w:pPr>
        <w:tabs>
          <w:tab w:val="left" w:pos="7095"/>
        </w:tabs>
        <w:spacing w:line="360" w:lineRule="auto"/>
        <w:ind w:left="1470" w:leftChars="400" w:hanging="630" w:hangingChars="300"/>
        <w:contextualSpacing/>
        <w:rPr>
          <w:rFonts w:ascii="Calibri" w:hAnsi="宋体" w:eastAsia="宋体" w:cs="Times New Roman"/>
        </w:rPr>
      </w:pPr>
    </w:p>
    <w:p w14:paraId="6B18E317">
      <w:pPr>
        <w:numPr>
          <w:ilvl w:val="0"/>
          <w:numId w:val="7"/>
        </w:numPr>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14:paraId="38163BD4">
      <w:pPr>
        <w:spacing w:line="360" w:lineRule="auto"/>
        <w:ind w:left="1470" w:leftChars="400" w:hanging="630" w:hangingChars="300"/>
        <w:contextualSpacing/>
        <w:rPr>
          <w:rFonts w:ascii="Calibri" w:hAnsi="宋体" w:eastAsia="宋体" w:cs="Times New Roman"/>
          <w:szCs w:val="21"/>
        </w:rPr>
      </w:pPr>
      <w:r>
        <w:rPr>
          <w:rFonts w:hint="eastAsia" w:ascii="宋体" w:hAnsi="宋体" w:eastAsia="宋体" w:cs="Times New Roman"/>
          <w:szCs w:val="21"/>
        </w:rPr>
        <w:t>6.1   本项目采用远程“不见面”开标方式，投标前请详细阅读《全国公共资源交易平台</w:t>
      </w:r>
      <w:r>
        <w:rPr>
          <w:rFonts w:hint="eastAsia" w:ascii="Calibri" w:hAnsi="Calibri" w:eastAsia="宋体" w:cs="Calibri"/>
          <w:szCs w:val="21"/>
        </w:rPr>
        <w:t>(</w:t>
      </w:r>
      <w:r>
        <w:rPr>
          <w:rFonts w:hint="eastAsia" w:ascii="宋体" w:hAnsi="宋体" w:eastAsia="宋体" w:cs="Times New Roman"/>
          <w:szCs w:val="21"/>
        </w:rPr>
        <w:t>河南省·许昌市</w:t>
      </w:r>
      <w:r>
        <w:rPr>
          <w:rFonts w:hint="eastAsia" w:ascii="Calibri" w:hAnsi="Calibri" w:eastAsia="宋体" w:cs="Calibri"/>
          <w:szCs w:val="21"/>
        </w:rPr>
        <w:t>)</w:t>
      </w:r>
      <w:r>
        <w:rPr>
          <w:rFonts w:hint="eastAsia" w:ascii="宋体" w:hAnsi="宋体" w:eastAsia="宋体" w:cs="Times New Roman"/>
          <w:szCs w:val="21"/>
        </w:rPr>
        <w:t>》—“服务指南”—“办事指南”—《新交易平台使用手册》中的相关内容。</w:t>
      </w:r>
    </w:p>
    <w:p w14:paraId="0AF19237">
      <w:pPr>
        <w:spacing w:line="360" w:lineRule="auto"/>
        <w:ind w:left="1470" w:leftChars="400" w:hanging="630" w:hangingChars="300"/>
        <w:contextualSpacing/>
        <w:rPr>
          <w:rFonts w:ascii="Calibri" w:hAnsi="宋体" w:eastAsia="宋体" w:cs="Times New Roman"/>
          <w:szCs w:val="21"/>
        </w:rPr>
      </w:pPr>
      <w:r>
        <w:rPr>
          <w:rFonts w:hint="eastAsia" w:ascii="宋体" w:hAnsi="宋体" w:eastAsia="宋体" w:cs="Times New Roman"/>
          <w:szCs w:val="21"/>
        </w:rPr>
        <w:t>6.2   供应商应按《新交易平台使用手册》提前设置好浏览器，并于开标时间前登录本项目“网上开标大厅”，按照谈判文件规定的开标时间准时参加网上开标。</w:t>
      </w:r>
    </w:p>
    <w:p w14:paraId="59F4C0CE">
      <w:pPr>
        <w:spacing w:line="360" w:lineRule="auto"/>
        <w:ind w:left="1480" w:leftChars="405" w:hanging="630" w:hangingChars="300"/>
        <w:contextualSpacing/>
        <w:rPr>
          <w:rFonts w:ascii="Calibri" w:hAnsi="宋体" w:eastAsia="宋体" w:cs="Times New Roman"/>
          <w:szCs w:val="21"/>
        </w:rPr>
      </w:pPr>
      <w:r>
        <w:rPr>
          <w:rFonts w:hint="eastAsia" w:ascii="宋体" w:hAnsi="宋体" w:eastAsia="宋体" w:cs="Times New Roman"/>
          <w:szCs w:val="21"/>
        </w:rPr>
        <w:t>6.3   根据照“网上开标大厅”公告栏中的系统提示，供应商应在“标书解密”环节进行电子响应文件解密【自代理机构点击“开启投标解密”按钮后供应商解密，系统初设解密时间为</w:t>
      </w:r>
      <w:r>
        <w:rPr>
          <w:rFonts w:hint="eastAsia" w:ascii="Calibri" w:hAnsi="Calibri" w:eastAsia="宋体" w:cs="Calibri"/>
          <w:szCs w:val="21"/>
        </w:rPr>
        <w:t>30</w:t>
      </w:r>
      <w:r>
        <w:rPr>
          <w:rFonts w:hint="eastAsia" w:ascii="宋体" w:hAnsi="宋体" w:eastAsia="宋体" w:cs="Times New Roman"/>
          <w:szCs w:val="21"/>
        </w:rPr>
        <w:t>分钟，供应商应在</w:t>
      </w:r>
      <w:r>
        <w:rPr>
          <w:rFonts w:hint="eastAsia" w:ascii="Calibri" w:hAnsi="Calibri" w:eastAsia="宋体" w:cs="Calibri"/>
          <w:szCs w:val="21"/>
        </w:rPr>
        <w:t>30</w:t>
      </w:r>
      <w:r>
        <w:rPr>
          <w:rFonts w:hint="eastAsia" w:ascii="宋体" w:hAnsi="宋体" w:eastAsia="宋体" w:cs="Times New Roman"/>
          <w:szCs w:val="21"/>
        </w:rPr>
        <w:t>分钟内完成解密。如因网络、系统原因未完成解密的，采购人（代理机构）可适当延长解密时间】。供应商未解密或因供应商原因解密失败的，其响应将被拒绝。</w:t>
      </w:r>
    </w:p>
    <w:p w14:paraId="62309050">
      <w:pPr>
        <w:spacing w:line="360" w:lineRule="auto"/>
        <w:ind w:left="1480" w:leftChars="405" w:hanging="630" w:hangingChars="300"/>
        <w:contextualSpacing/>
        <w:rPr>
          <w:rFonts w:ascii="Calibri" w:hAnsi="宋体" w:eastAsia="宋体" w:cs="Times New Roman"/>
          <w:szCs w:val="21"/>
        </w:rPr>
      </w:pPr>
      <w:r>
        <w:rPr>
          <w:rFonts w:hint="eastAsia" w:ascii="宋体" w:hAnsi="宋体" w:eastAsia="宋体" w:cs="Times New Roman"/>
          <w:szCs w:val="21"/>
        </w:rPr>
        <w:t>6.4   在“开标结束”环节，供应商应在《开标情况记录表》上进行电子签章。供应商未签章的，视同认可开标结果。</w:t>
      </w:r>
    </w:p>
    <w:p w14:paraId="63086AD3">
      <w:pPr>
        <w:spacing w:line="360" w:lineRule="auto"/>
        <w:ind w:left="1480" w:leftChars="405" w:hanging="630" w:hangingChars="300"/>
        <w:contextualSpacing/>
        <w:rPr>
          <w:rFonts w:ascii="Calibri" w:hAnsi="宋体" w:eastAsia="宋体" w:cs="Times New Roman"/>
          <w:szCs w:val="21"/>
        </w:rPr>
      </w:pPr>
      <w:r>
        <w:rPr>
          <w:rFonts w:hint="eastAsia" w:ascii="宋体" w:hAnsi="宋体" w:eastAsia="宋体" w:cs="Times New Roman"/>
          <w:szCs w:val="21"/>
        </w:rPr>
        <w:t>6.5   供应商对开标过程和开标记录如有疑义，可在本项目“网上开标大厅”—“发起异议”中在线提出。</w:t>
      </w:r>
    </w:p>
    <w:p w14:paraId="11D9E569">
      <w:pPr>
        <w:numPr>
          <w:ilvl w:val="0"/>
          <w:numId w:val="7"/>
        </w:numPr>
        <w:spacing w:line="360" w:lineRule="auto"/>
        <w:contextualSpacing/>
        <w:rPr>
          <w:rFonts w:ascii="Calibri" w:hAnsi="宋体" w:eastAsia="宋体" w:cs="Times New Roman"/>
          <w:b/>
        </w:rPr>
      </w:pPr>
      <w:r>
        <w:rPr>
          <w:rFonts w:hint="eastAsia" w:ascii="Calibri" w:hAnsi="宋体" w:eastAsia="宋体" w:cs="Times New Roman"/>
          <w:b/>
        </w:rPr>
        <w:t>评标依据</w:t>
      </w:r>
    </w:p>
    <w:p w14:paraId="58E088BB">
      <w:pPr>
        <w:spacing w:line="360" w:lineRule="auto"/>
        <w:ind w:left="1480" w:leftChars="405" w:hanging="630" w:hangingChars="300"/>
        <w:contextualSpacing/>
        <w:rPr>
          <w:rFonts w:ascii="Calibri" w:hAnsi="宋体" w:eastAsia="宋体" w:cs="Times New Roman"/>
          <w:szCs w:val="21"/>
        </w:rPr>
      </w:pPr>
      <w:r>
        <w:rPr>
          <w:rFonts w:hint="eastAsia" w:ascii="宋体" w:hAnsi="宋体" w:eastAsia="宋体" w:cs="Times New Roman"/>
          <w:szCs w:val="21"/>
        </w:rPr>
        <w:t>7.1   全流程电子化交易（不见面开标）项目，谈判小组以成功上传、解密的电子响应文件为依据评审。</w:t>
      </w:r>
    </w:p>
    <w:p w14:paraId="0E14F727">
      <w:pPr>
        <w:tabs>
          <w:tab w:val="left" w:pos="7095"/>
        </w:tabs>
        <w:spacing w:line="360" w:lineRule="auto"/>
        <w:ind w:left="1470" w:leftChars="400" w:hanging="630" w:hangingChars="300"/>
        <w:contextualSpacing/>
        <w:rPr>
          <w:rFonts w:ascii="Calibri" w:hAnsi="宋体" w:eastAsia="宋体" w:cs="Times New Roman"/>
        </w:rPr>
      </w:pPr>
      <w:r>
        <w:rPr>
          <w:rFonts w:hint="eastAsia" w:asciiTheme="minorEastAsia" w:hAnsiTheme="minorEastAsia"/>
          <w:szCs w:val="21"/>
        </w:rPr>
        <w:t>7.2   评审期间，供应商（参加谈判的法定代表人或其授权代表）应保持通讯手机畅通，并根据谈判小组要求在规定时间内提供：</w:t>
      </w:r>
    </w:p>
    <w:p w14:paraId="2E04DB2D">
      <w:pPr>
        <w:tabs>
          <w:tab w:val="left" w:pos="7095"/>
        </w:tabs>
        <w:spacing w:line="360" w:lineRule="auto"/>
        <w:ind w:firstLine="1335" w:firstLineChars="636"/>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14:paraId="0BE65377">
      <w:pPr>
        <w:autoSpaceDE w:val="0"/>
        <w:autoSpaceDN w:val="0"/>
        <w:spacing w:line="360" w:lineRule="auto"/>
        <w:ind w:left="1485" w:leftChars="707"/>
        <w:contextualSpacing/>
        <w:rPr>
          <w:rFonts w:ascii="ˎ̥" w:hAnsi="ˎ̥"/>
        </w:rPr>
      </w:pPr>
      <w:r>
        <w:rPr>
          <w:rFonts w:hint="eastAsia" w:ascii="ˎ̥" w:hAnsi="ˎ̥"/>
        </w:rPr>
        <w:t>提交方式：供应商须使用</w:t>
      </w:r>
      <w:r>
        <w:rPr>
          <w:rFonts w:ascii="ˎ̥" w:hAnsi="ˎ̥"/>
        </w:rPr>
        <w:t>CA数字证书或</w:t>
      </w:r>
      <w:r>
        <w:rPr>
          <w:rFonts w:hint="eastAsia" w:ascii="ˎ̥" w:hAnsi="ˎ̥"/>
        </w:rPr>
        <w:t>CA移动数字证书通过</w:t>
      </w:r>
      <w:r>
        <w:rPr>
          <w:rFonts w:hint="eastAsia" w:ascii="宋体" w:hAnsi="宋体"/>
          <w:szCs w:val="21"/>
        </w:rPr>
        <w:t>《全国公共资源交易平台</w:t>
      </w:r>
      <w:r>
        <w:rPr>
          <w:rFonts w:cs="Calibri"/>
          <w:szCs w:val="21"/>
        </w:rPr>
        <w:t>(</w:t>
      </w:r>
      <w:r>
        <w:rPr>
          <w:rFonts w:hint="eastAsia" w:ascii="宋体" w:hAnsi="宋体"/>
          <w:szCs w:val="21"/>
        </w:rPr>
        <w:t>河南省·许昌市</w:t>
      </w:r>
      <w:r>
        <w:rPr>
          <w:rFonts w:cs="Calibri"/>
          <w:szCs w:val="21"/>
        </w:rPr>
        <w:t>)</w:t>
      </w:r>
      <w:r>
        <w:rPr>
          <w:rFonts w:hint="eastAsia" w:ascii="宋体" w:hAnsi="宋体"/>
          <w:szCs w:val="21"/>
        </w:rPr>
        <w:t>》— “投标人”—“许昌市公共资源电子交易系统”（</w:t>
      </w:r>
      <w:r>
        <w:rPr>
          <w:rFonts w:hint="eastAsia" w:cs="Calibri"/>
          <w:szCs w:val="21"/>
          <w:lang w:eastAsia="zh-CN"/>
        </w:rPr>
        <w:t>https://ggzy.xuchang.gov.cn</w:t>
      </w:r>
      <w:r>
        <w:rPr>
          <w:rFonts w:cs="Calibri"/>
          <w:szCs w:val="21"/>
        </w:rPr>
        <w:t>/tpbidder</w:t>
      </w:r>
      <w:r>
        <w:rPr>
          <w:rFonts w:hint="eastAsia" w:ascii="宋体" w:hAnsi="宋体"/>
          <w:szCs w:val="21"/>
        </w:rPr>
        <w:t>）</w:t>
      </w:r>
      <w:r>
        <w:rPr>
          <w:rFonts w:hint="eastAsia" w:hAnsi="宋体"/>
          <w:szCs w:val="21"/>
        </w:rPr>
        <w:t>进行最后报价，</w:t>
      </w:r>
      <w:r>
        <w:rPr>
          <w:rFonts w:hint="eastAsia" w:ascii="ˎ̥" w:hAnsi="ˎ̥"/>
        </w:rPr>
        <w:t>最后报价应包括：</w:t>
      </w:r>
      <w:r>
        <w:rPr>
          <w:rFonts w:hint="eastAsia" w:asciiTheme="minorEastAsia" w:hAnsiTheme="minorEastAsia"/>
        </w:rPr>
        <w:t>①总报  价</w:t>
      </w:r>
      <w:r>
        <w:rPr>
          <w:rFonts w:hint="eastAsia" w:ascii="宋体" w:hAnsi="宋体" w:eastAsia="宋体"/>
        </w:rPr>
        <w:t>②</w:t>
      </w:r>
      <w:r>
        <w:rPr>
          <w:rFonts w:hint="eastAsia" w:ascii="ˎ̥" w:hAnsi="ˎ̥"/>
        </w:rPr>
        <w:t>分项报价。</w:t>
      </w:r>
    </w:p>
    <w:p w14:paraId="36A79071">
      <w:pPr>
        <w:autoSpaceDE w:val="0"/>
        <w:autoSpaceDN w:val="0"/>
        <w:spacing w:line="360" w:lineRule="auto"/>
        <w:ind w:left="1514" w:leftChars="721"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在谈判小组规定时间内，供应商应提交最后报价（包括总报价及分项报价）。最后报价是供应商响应文件的有效组成部分。</w:t>
      </w:r>
    </w:p>
    <w:p w14:paraId="2F1E4959">
      <w:pPr>
        <w:autoSpaceDE w:val="0"/>
        <w:autoSpaceDN w:val="0"/>
        <w:spacing w:line="360" w:lineRule="auto"/>
        <w:ind w:left="1514" w:leftChars="721" w:right="-1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14:paraId="5C0186DC">
      <w:pPr>
        <w:tabs>
          <w:tab w:val="left" w:pos="7095"/>
        </w:tabs>
        <w:spacing w:line="360" w:lineRule="auto"/>
        <w:ind w:left="1275" w:leftChars="607" w:firstLine="240" w:firstLineChars="100"/>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14:paraId="6337AAA0">
      <w:pPr>
        <w:tabs>
          <w:tab w:val="left" w:pos="7095"/>
        </w:tabs>
        <w:spacing w:line="360" w:lineRule="auto"/>
        <w:ind w:left="1470" w:leftChars="700"/>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14:paraId="214D21E3">
      <w:pPr>
        <w:tabs>
          <w:tab w:val="left" w:pos="7095"/>
        </w:tabs>
        <w:spacing w:line="360" w:lineRule="auto"/>
        <w:ind w:left="1470" w:leftChars="400" w:hanging="630" w:hangingChars="300"/>
        <w:contextualSpacing/>
        <w:rPr>
          <w:rFonts w:asciiTheme="minorEastAsia" w:hAnsiTheme="minorEastAsia"/>
          <w:szCs w:val="21"/>
        </w:rPr>
      </w:pPr>
      <w:r>
        <w:rPr>
          <w:rFonts w:hint="eastAsia" w:asciiTheme="minorEastAsia" w:hAnsiTheme="minorEastAsia"/>
          <w:szCs w:val="21"/>
        </w:rPr>
        <w:t>7.3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17D5C915">
      <w:pPr>
        <w:numPr>
          <w:ilvl w:val="0"/>
          <w:numId w:val="7"/>
        </w:numPr>
        <w:spacing w:line="360" w:lineRule="auto"/>
        <w:contextualSpacing/>
        <w:rPr>
          <w:rFonts w:hAnsi="宋体"/>
          <w:b/>
        </w:rPr>
      </w:pPr>
      <w:r>
        <w:rPr>
          <w:rFonts w:hint="eastAsia" w:hAnsi="宋体"/>
          <w:b/>
        </w:rPr>
        <w:t>相关事项</w:t>
      </w:r>
    </w:p>
    <w:p w14:paraId="1D0FE877">
      <w:pPr>
        <w:spacing w:line="360" w:lineRule="auto"/>
        <w:ind w:left="1470" w:leftChars="400" w:hanging="630" w:hangingChars="300"/>
        <w:contextualSpacing/>
        <w:rPr>
          <w:rFonts w:ascii="Calibri" w:hAnsi="宋体" w:eastAsia="宋体" w:cs="Times New Roman"/>
          <w:szCs w:val="21"/>
        </w:rPr>
      </w:pPr>
      <w:r>
        <w:rPr>
          <w:rFonts w:hint="eastAsia" w:ascii="宋体" w:hAnsi="宋体" w:eastAsia="宋体" w:cs="Times New Roman"/>
          <w:szCs w:val="21"/>
        </w:rPr>
        <w:t>8.1   为使更多供应商能参加投标，本项目谈判文件公告期限届满后仍允许下载谈判文件参加响应，但为提高采购效率，在公告期限届满之后下载谈判文件的，对谈判文件的质疑期限从公告期限届满之日起计算；在公告期限届满之前下载谈判文件的，对谈判文件的质疑期限从下载之日起计算。</w:t>
      </w:r>
    </w:p>
    <w:p w14:paraId="07F1014B">
      <w:pPr>
        <w:spacing w:line="360" w:lineRule="auto"/>
        <w:ind w:left="1470" w:leftChars="400" w:hanging="630" w:hangingChars="300"/>
        <w:contextualSpacing/>
        <w:rPr>
          <w:rFonts w:asciiTheme="minorEastAsia" w:hAnsiTheme="minorEastAsia"/>
          <w:szCs w:val="21"/>
        </w:rPr>
      </w:pPr>
      <w:r>
        <w:rPr>
          <w:rFonts w:hint="eastAsia" w:ascii="宋体" w:hAnsi="宋体" w:eastAsia="宋体" w:cs="Times New Roman"/>
          <w:szCs w:val="21"/>
        </w:rPr>
        <w:t>8.2   《全国公共资源交易平台（河南省·许昌市）》（</w:t>
      </w:r>
      <w:r>
        <w:rPr>
          <w:rFonts w:hint="eastAsia" w:ascii="Calibri" w:hAnsi="Calibri" w:eastAsia="宋体" w:cs="Calibri"/>
          <w:szCs w:val="21"/>
          <w:lang w:eastAsia="zh-CN"/>
        </w:rPr>
        <w:t>https://ggzy.xuchang.gov.cn</w:t>
      </w:r>
      <w:r>
        <w:rPr>
          <w:rFonts w:hint="eastAsia" w:ascii="宋体" w:hAnsi="宋体" w:eastAsia="宋体" w:cs="Times New Roman"/>
          <w:szCs w:val="21"/>
        </w:rPr>
        <w:t xml:space="preserve">）采购公告栏提供的谈判文件仅供浏览。供应商下载谈判文件应使用 </w:t>
      </w:r>
      <w:r>
        <w:rPr>
          <w:rFonts w:hint="eastAsia" w:ascii="Calibri" w:hAnsi="Calibri" w:eastAsia="宋体" w:cs="Calibri"/>
          <w:szCs w:val="21"/>
        </w:rPr>
        <w:t xml:space="preserve">CA </w:t>
      </w:r>
      <w:r>
        <w:rPr>
          <w:rFonts w:hint="eastAsia" w:ascii="宋体" w:hAnsi="宋体" w:eastAsia="宋体" w:cs="Times New Roman"/>
          <w:szCs w:val="21"/>
        </w:rPr>
        <w:t>数字证书或</w:t>
      </w:r>
      <w:r>
        <w:rPr>
          <w:rFonts w:hint="eastAsia" w:ascii="Calibri" w:hAnsi="Calibri" w:eastAsia="宋体" w:cs="Calibri"/>
          <w:szCs w:val="21"/>
        </w:rPr>
        <w:t>CA</w:t>
      </w:r>
      <w:r>
        <w:rPr>
          <w:rFonts w:hint="eastAsia" w:ascii="宋体" w:hAnsi="宋体" w:eastAsia="宋体" w:cs="Times New Roman"/>
          <w:szCs w:val="21"/>
        </w:rPr>
        <w:t>移动数字证书登录登录《全国公共资源交易平台（河南省·许昌市）》— “投标人”— “许昌市公共资源电子交易系统”（</w:t>
      </w:r>
      <w:r>
        <w:rPr>
          <w:rFonts w:hint="eastAsia" w:ascii="Calibri" w:hAnsi="Calibri" w:eastAsia="宋体" w:cs="Calibri"/>
          <w:szCs w:val="21"/>
          <w:lang w:eastAsia="zh-CN"/>
        </w:rPr>
        <w:t>https://ggzy.xuchang.gov.cn</w:t>
      </w:r>
      <w:r>
        <w:rPr>
          <w:rFonts w:hint="eastAsia" w:ascii="Calibri" w:hAnsi="Calibri" w:eastAsia="宋体" w:cs="Calibri"/>
          <w:szCs w:val="21"/>
        </w:rPr>
        <w:t>/tpbidder</w:t>
      </w:r>
      <w:r>
        <w:rPr>
          <w:rFonts w:hint="eastAsia" w:ascii="宋体" w:hAnsi="宋体" w:eastAsia="宋体" w:cs="Times New Roman"/>
          <w:szCs w:val="21"/>
        </w:rPr>
        <w:t>）获取。</w:t>
      </w:r>
    </w:p>
    <w:p w14:paraId="14C3EA42">
      <w:pPr>
        <w:spacing w:line="360" w:lineRule="auto"/>
        <w:ind w:firstLine="422" w:firstLineChars="200"/>
        <w:contextualSpacing/>
        <w:rPr>
          <w:rFonts w:ascii="黑体" w:hAnsi="黑体" w:eastAsia="黑体" w:cs="Times New Roman"/>
          <w:b/>
          <w:szCs w:val="21"/>
        </w:rPr>
      </w:pPr>
      <w:r>
        <w:rPr>
          <w:rFonts w:hint="eastAsia" w:ascii="黑体" w:hAnsi="黑体" w:eastAsia="黑体" w:cs="Times New Roman"/>
          <w:b/>
          <w:szCs w:val="21"/>
        </w:rPr>
        <w:t>备注：交易平台技术咨询电话：0512-58188538、0374-2961598</w:t>
      </w:r>
    </w:p>
    <w:p w14:paraId="27F004D9">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76396DE3">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第二章采购需求</w:t>
      </w:r>
    </w:p>
    <w:p w14:paraId="526D4C8C">
      <w:pPr>
        <w:rPr>
          <w:rFonts w:cs="宋体" w:asciiTheme="majorEastAsia" w:hAnsiTheme="majorEastAsia" w:eastAsiaTheme="majorEastAsia"/>
          <w:b/>
          <w:kern w:val="0"/>
          <w:sz w:val="32"/>
          <w:szCs w:val="32"/>
        </w:rPr>
      </w:pPr>
    </w:p>
    <w:p w14:paraId="0E38D9CA">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一、项目概况</w:t>
      </w:r>
    </w:p>
    <w:p w14:paraId="28997ADE">
      <w:pPr>
        <w:widowControl/>
        <w:shd w:val="clear" w:color="auto" w:fill="FFFFFF"/>
        <w:spacing w:line="360" w:lineRule="auto"/>
        <w:ind w:firstLine="480" w:firstLineChars="2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许昌职业技术学院电子资源采购项目，主要采购内容：电子图书数据库1套、移动图书馆系统1套、读秀学术资源数据库1套、数据知识服务平台1套、外语学习资源库1套、中文期刊服务平台1套、知网研学团队版服务平台1套、AI馆员1套、高等教育多媒体库1套、经纶知识服务平台1套、高校信息素养教育数据库1套。</w:t>
      </w:r>
    </w:p>
    <w:p w14:paraId="2166289C">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tbl>
      <w:tblPr>
        <w:tblStyle w:val="26"/>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14:paraId="2B36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E9DD1FC">
            <w:pPr>
              <w:snapToGrid w:val="0"/>
              <w:spacing w:before="156" w:beforeLines="50"/>
              <w:ind w:left="0" w:leftChars="-2" w:hanging="4" w:hangingChars="2"/>
              <w:jc w:val="center"/>
              <w:rPr>
                <w:rFonts w:cs="宋体" w:asciiTheme="minorEastAsia" w:hAnsiTheme="minorEastAsia"/>
                <w:kern w:val="0"/>
                <w:szCs w:val="21"/>
              </w:rPr>
            </w:pPr>
            <w:r>
              <w:rPr>
                <w:rFonts w:hint="eastAsia" w:ascii="宋体" w:hAnsi="宋体" w:eastAsia="宋体" w:cs="宋体"/>
                <w:sz w:val="24"/>
                <w:szCs w:val="24"/>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A2CCC89">
            <w:pPr>
              <w:snapToGrid w:val="0"/>
              <w:spacing w:before="156" w:beforeLines="50"/>
              <w:ind w:left="0" w:leftChars="-2" w:hanging="4" w:hangingChars="2"/>
              <w:jc w:val="center"/>
              <w:rPr>
                <w:rFonts w:cs="宋体" w:asciiTheme="minorEastAsia" w:hAnsiTheme="minorEastAsia"/>
                <w:kern w:val="0"/>
                <w:szCs w:val="21"/>
              </w:rPr>
            </w:pPr>
            <w:r>
              <w:rPr>
                <w:rFonts w:hint="eastAsia" w:ascii="宋体" w:hAnsi="宋体" w:eastAsia="宋体" w:cs="宋体"/>
                <w:sz w:val="24"/>
                <w:szCs w:val="24"/>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0F67436">
            <w:pPr>
              <w:snapToGrid w:val="0"/>
              <w:spacing w:before="156" w:beforeLines="50"/>
              <w:ind w:left="0" w:leftChars="-2" w:hanging="4" w:hangingChars="2"/>
              <w:jc w:val="center"/>
              <w:rPr>
                <w:rFonts w:cs="宋体" w:asciiTheme="minorEastAsia" w:hAnsiTheme="minorEastAsia"/>
                <w:kern w:val="0"/>
                <w:szCs w:val="21"/>
              </w:rPr>
            </w:pPr>
            <w:r>
              <w:rPr>
                <w:rFonts w:hint="eastAsia" w:ascii="宋体" w:hAnsi="宋体" w:eastAsia="宋体" w:cs="宋体"/>
                <w:sz w:val="24"/>
                <w:szCs w:val="24"/>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DF61B43">
            <w:pPr>
              <w:snapToGrid w:val="0"/>
              <w:spacing w:before="156" w:beforeLines="50"/>
              <w:ind w:left="0" w:leftChars="-2" w:hanging="4" w:hangingChars="2"/>
              <w:jc w:val="center"/>
              <w:rPr>
                <w:rFonts w:cs="宋体" w:asciiTheme="minorEastAsia" w:hAnsiTheme="minorEastAsia"/>
                <w:kern w:val="0"/>
                <w:szCs w:val="21"/>
              </w:rPr>
            </w:pPr>
            <w:r>
              <w:rPr>
                <w:rFonts w:hint="eastAsia" w:ascii="宋体" w:hAnsi="宋体" w:eastAsia="宋体" w:cs="宋体"/>
                <w:sz w:val="24"/>
                <w:szCs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4A52CC8">
            <w:pPr>
              <w:snapToGrid w:val="0"/>
              <w:spacing w:before="156" w:beforeLines="50"/>
              <w:ind w:left="0" w:leftChars="-2" w:hanging="4" w:hangingChars="2"/>
              <w:jc w:val="center"/>
              <w:rPr>
                <w:rFonts w:cs="宋体" w:asciiTheme="minorEastAsia" w:hAnsiTheme="minorEastAsia"/>
                <w:kern w:val="0"/>
                <w:szCs w:val="21"/>
              </w:rPr>
            </w:pPr>
            <w:r>
              <w:rPr>
                <w:rFonts w:hint="eastAsia" w:ascii="宋体" w:hAnsi="宋体" w:eastAsia="宋体" w:cs="宋体"/>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top"/>
          </w:tcPr>
          <w:p w14:paraId="0846AF13">
            <w:pPr>
              <w:snapToGrid w:val="0"/>
              <w:spacing w:before="156" w:beforeLines="50"/>
              <w:ind w:left="0" w:leftChars="-2" w:hanging="4" w:hangingChars="2"/>
              <w:jc w:val="center"/>
              <w:rPr>
                <w:rFonts w:cs="Times New Roman" w:asciiTheme="minorEastAsia" w:hAnsiTheme="minorEastAsia"/>
                <w:kern w:val="0"/>
                <w:szCs w:val="21"/>
              </w:rPr>
            </w:pPr>
            <w:r>
              <w:rPr>
                <w:rFonts w:hint="eastAsia" w:ascii="宋体" w:hAnsi="宋体" w:eastAsia="宋体" w:cs="宋体"/>
                <w:sz w:val="24"/>
                <w:szCs w:val="24"/>
              </w:rPr>
              <w:t>采购标的对应的中小企业划分标准所属行业</w:t>
            </w:r>
          </w:p>
        </w:tc>
      </w:tr>
      <w:tr w14:paraId="31DA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E02B1A9">
            <w:pPr>
              <w:jc w:val="center"/>
              <w:rPr>
                <w:rFonts w:ascii="宋体" w:hAnsi="宋体" w:eastAsia="宋体" w:cs="宋体"/>
                <w:kern w:val="0"/>
                <w:szCs w:val="21"/>
              </w:rPr>
            </w:pPr>
            <w:r>
              <w:rPr>
                <w:rFonts w:hint="eastAsia" w:ascii="宋体" w:hAnsi="宋体" w:cs="宋体"/>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8DE7A02">
            <w:pPr>
              <w:jc w:val="center"/>
              <w:rPr>
                <w:rFonts w:ascii="宋体" w:hAnsi="宋体" w:eastAsia="宋体" w:cs="宋体"/>
                <w:kern w:val="0"/>
                <w:szCs w:val="21"/>
              </w:rPr>
            </w:pPr>
            <w:r>
              <w:rPr>
                <w:rFonts w:hint="eastAsia" w:ascii="宋体" w:hAnsi="宋体" w:cs="宋体"/>
                <w:szCs w:val="21"/>
              </w:rPr>
              <w:t>电子图书数据库</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7A3A900">
            <w:pPr>
              <w:rPr>
                <w:szCs w:val="21"/>
              </w:rPr>
            </w:pPr>
            <w:r>
              <w:rPr>
                <w:rFonts w:hint="eastAsia"/>
                <w:szCs w:val="21"/>
              </w:rPr>
              <w:t>1.数据库平台包含不低于135万种图书全文可供直接下载阅读。</w:t>
            </w:r>
          </w:p>
          <w:p w14:paraId="5536F7F7">
            <w:pPr>
              <w:rPr>
                <w:szCs w:val="21"/>
              </w:rPr>
            </w:pPr>
            <w:r>
              <w:rPr>
                <w:rFonts w:hint="eastAsia"/>
                <w:szCs w:val="21"/>
              </w:rPr>
              <w:t>2.电子图书覆盖中国图书馆分类法22个大类。</w:t>
            </w:r>
          </w:p>
          <w:p w14:paraId="1E8C5710">
            <w:pPr>
              <w:rPr>
                <w:szCs w:val="21"/>
              </w:rPr>
            </w:pPr>
            <w:r>
              <w:rPr>
                <w:rFonts w:hint="eastAsia"/>
                <w:szCs w:val="21"/>
              </w:rPr>
              <w:t>3.电子图书数据文件格式为国家863数字图书馆示范工程的标准PDG格式。</w:t>
            </w:r>
          </w:p>
          <w:p w14:paraId="0034D531">
            <w:pPr>
              <w:rPr>
                <w:szCs w:val="21"/>
              </w:rPr>
            </w:pPr>
            <w:r>
              <w:rPr>
                <w:rFonts w:hint="eastAsia"/>
                <w:szCs w:val="21"/>
              </w:rPr>
              <w:t>4.电子图书应遵循图书的原版原貌，文字差错率不高于万分之一。</w:t>
            </w:r>
          </w:p>
          <w:p w14:paraId="41978956">
            <w:pPr>
              <w:rPr>
                <w:szCs w:val="21"/>
              </w:rPr>
            </w:pPr>
            <w:r>
              <w:rPr>
                <w:rFonts w:hint="eastAsia"/>
                <w:szCs w:val="21"/>
              </w:rPr>
              <w:t xml:space="preserve">5.提供平台内图书的搜索服务（含目次检索及全文检索），高清晰全文在线阅读，具备下载借阅功能。  </w:t>
            </w:r>
          </w:p>
          <w:p w14:paraId="452129D4">
            <w:pPr>
              <w:rPr>
                <w:szCs w:val="21"/>
              </w:rPr>
            </w:pPr>
            <w:r>
              <w:rPr>
                <w:rFonts w:hint="eastAsia"/>
                <w:szCs w:val="21"/>
              </w:rPr>
              <w:t>6.数据库平台提供IP和用户名两种身份认证和权限管理方式，具有查询检索，图书推荐功能。可支持部分页面和功能的定制。提供图书排行、访问量统计等数据导出。</w:t>
            </w:r>
          </w:p>
          <w:p w14:paraId="66805553">
            <w:pPr>
              <w:rPr>
                <w:szCs w:val="21"/>
              </w:rPr>
            </w:pPr>
            <w:r>
              <w:rPr>
                <w:rFonts w:hint="eastAsia"/>
                <w:szCs w:val="21"/>
              </w:rPr>
              <w:t>7.数据库平台提供图像、文本等阅读方式供用户在线阅读。</w:t>
            </w:r>
          </w:p>
          <w:p w14:paraId="4215A280">
            <w:pPr>
              <w:rPr>
                <w:rFonts w:ascii="Times New Roman" w:hAnsi="Times New Roman" w:eastAsia="仿宋_GB2312" w:cs="Times New Roman"/>
                <w:b/>
                <w:i/>
                <w:kern w:val="0"/>
                <w:szCs w:val="21"/>
              </w:rPr>
            </w:pPr>
            <w:r>
              <w:rPr>
                <w:szCs w:val="21"/>
              </w:rPr>
              <w:t>8</w:t>
            </w:r>
            <w:r>
              <w:rPr>
                <w:rFonts w:hint="eastAsia"/>
                <w:szCs w:val="21"/>
              </w:rPr>
              <w:t>.数据库平台电子图书每年保持5-10万册的免费更新。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6C41085">
            <w:pPr>
              <w:spacing w:line="360" w:lineRule="exact"/>
              <w:jc w:val="center"/>
              <w:rPr>
                <w:rFonts w:ascii="宋体" w:hAnsi="宋体" w:eastAsia="宋体" w:cs="宋体"/>
                <w:kern w:val="0"/>
                <w:szCs w:val="21"/>
              </w:rPr>
            </w:pPr>
            <w:r>
              <w:rPr>
                <w:rFonts w:hint="eastAsia" w:ascii="宋体" w:hAnsi="宋体" w:cs="仿宋"/>
                <w:color w:val="000000"/>
                <w:kern w:val="0"/>
                <w:shd w:val="clear" w:color="auto" w:fill="FFFFFF"/>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0E5204E">
            <w:pPr>
              <w:spacing w:line="360" w:lineRule="exact"/>
              <w:jc w:val="center"/>
              <w:rPr>
                <w:rFonts w:ascii="宋体" w:hAnsi="宋体" w:eastAsia="宋体" w:cs="宋体"/>
                <w:kern w:val="0"/>
                <w:szCs w:val="21"/>
              </w:rPr>
            </w:pPr>
            <w:r>
              <w:rPr>
                <w:rFonts w:hint="eastAsia" w:ascii="宋体" w:hAnsi="宋体" w:cs="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10C89C79">
            <w:pPr>
              <w:snapToGrid w:val="0"/>
              <w:spacing w:before="156" w:beforeLines="50"/>
              <w:ind w:left="0" w:leftChars="-2" w:hanging="4" w:hangingChars="2"/>
              <w:jc w:val="center"/>
              <w:rPr>
                <w:rFonts w:ascii="仿宋" w:hAnsi="仿宋" w:eastAsia="仿宋" w:cs="Times New Roman"/>
                <w:kern w:val="0"/>
                <w:szCs w:val="21"/>
              </w:rPr>
            </w:pPr>
            <w:r>
              <w:rPr>
                <w:rFonts w:hint="eastAsia" w:ascii="宋体" w:hAnsi="宋体" w:cs="宋体"/>
                <w:szCs w:val="21"/>
              </w:rPr>
              <w:t>软件及信息技术服务业</w:t>
            </w:r>
          </w:p>
        </w:tc>
      </w:tr>
      <w:tr w14:paraId="036D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4D22181">
            <w:pPr>
              <w:jc w:val="center"/>
              <w:rPr>
                <w:rFonts w:ascii="宋体" w:hAnsi="宋体" w:eastAsia="宋体" w:cs="宋体"/>
                <w:kern w:val="0"/>
                <w:szCs w:val="21"/>
              </w:rPr>
            </w:pPr>
            <w:r>
              <w:rPr>
                <w:rFonts w:hint="eastAsia" w:ascii="宋体" w:hAnsi="宋体"/>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D19B49B">
            <w:pPr>
              <w:jc w:val="center"/>
              <w:rPr>
                <w:rFonts w:ascii="宋体" w:hAnsi="宋体" w:eastAsia="宋体" w:cs="宋体"/>
                <w:kern w:val="0"/>
                <w:szCs w:val="21"/>
              </w:rPr>
            </w:pPr>
            <w:r>
              <w:rPr>
                <w:rFonts w:hint="eastAsia" w:ascii="宋体" w:hAnsi="宋体" w:cs="宋体"/>
                <w:szCs w:val="21"/>
              </w:rPr>
              <w:t>移动图书馆系统</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20580AA">
            <w:pPr>
              <w:rPr>
                <w:szCs w:val="21"/>
              </w:rPr>
            </w:pPr>
            <w:r>
              <w:rPr>
                <w:rFonts w:hint="eastAsia"/>
                <w:szCs w:val="21"/>
              </w:rPr>
              <w:t>1.系统后台能实现我院线上图书馆各个栏目在不同移动终端上的阅读访问。提供满足手机使用的图书资源且能提供图书的封面信息并可以在手机端完成试读。实现许昌职业技术学院现有电子图书、学术视频、学术搜索知识库系统、中外文期刊等学术资源挂接并能实现全文阅读和全文检索的一站式服务。</w:t>
            </w:r>
          </w:p>
          <w:p w14:paraId="325FBFFF">
            <w:pPr>
              <w:rPr>
                <w:szCs w:val="21"/>
              </w:rPr>
            </w:pPr>
            <w:r>
              <w:rPr>
                <w:rFonts w:hint="eastAsia"/>
                <w:szCs w:val="21"/>
              </w:rPr>
              <w:t>2.期刊论文、学位论文等的摘要页面要有相关文献显示且能适合移动设备的链接访问。</w:t>
            </w:r>
          </w:p>
          <w:p w14:paraId="6948FC15">
            <w:pPr>
              <w:rPr>
                <w:szCs w:val="21"/>
              </w:rPr>
            </w:pPr>
            <w:r>
              <w:rPr>
                <w:rFonts w:hint="eastAsia"/>
                <w:szCs w:val="21"/>
              </w:rPr>
              <w:t>3.提供不少于3种的阅读方式。</w:t>
            </w:r>
          </w:p>
          <w:p w14:paraId="0DF4EE5D">
            <w:pPr>
              <w:rPr>
                <w:szCs w:val="21"/>
              </w:rPr>
            </w:pPr>
            <w:r>
              <w:rPr>
                <w:rFonts w:hint="eastAsia"/>
                <w:szCs w:val="21"/>
              </w:rPr>
              <w:t>4.电子期刊检索、图书检索、论文检索等均在一个搜索框和属性页里面切换，一体化操作。</w:t>
            </w:r>
          </w:p>
          <w:p w14:paraId="1FF52955">
            <w:pPr>
              <w:rPr>
                <w:szCs w:val="21"/>
              </w:rPr>
            </w:pPr>
            <w:r>
              <w:rPr>
                <w:rFonts w:hint="eastAsia"/>
                <w:szCs w:val="21"/>
              </w:rPr>
              <w:t>5.图书检索的结果要包含封面信息，并且提供图书的全文章节检索。</w:t>
            </w:r>
          </w:p>
          <w:p w14:paraId="2E117BB2">
            <w:pPr>
              <w:rPr>
                <w:szCs w:val="21"/>
              </w:rPr>
            </w:pPr>
            <w:r>
              <w:rPr>
                <w:rFonts w:hint="eastAsia"/>
                <w:szCs w:val="21"/>
              </w:rPr>
              <w:t>6.输入外文单词，系统根据用户输入智能判断为外文资源，同时在得到结果后还可以查看相关的中文资源。</w:t>
            </w:r>
          </w:p>
          <w:p w14:paraId="21D4D327">
            <w:pPr>
              <w:rPr>
                <w:szCs w:val="21"/>
              </w:rPr>
            </w:pPr>
            <w:r>
              <w:rPr>
                <w:rFonts w:hint="eastAsia"/>
                <w:szCs w:val="21"/>
              </w:rPr>
              <w:t>7.支持按不同字段进行检索，支持二次检索。</w:t>
            </w:r>
          </w:p>
          <w:p w14:paraId="7CC487D9">
            <w:pPr>
              <w:rPr>
                <w:szCs w:val="21"/>
              </w:rPr>
            </w:pPr>
            <w:r>
              <w:rPr>
                <w:rFonts w:hint="eastAsia"/>
                <w:szCs w:val="21"/>
              </w:rPr>
              <w:t>8.检索结果支持按照不同方式排序；支持语音搜索。</w:t>
            </w:r>
          </w:p>
          <w:p w14:paraId="4A355B4C">
            <w:pPr>
              <w:rPr>
                <w:szCs w:val="21"/>
              </w:rPr>
            </w:pPr>
            <w:r>
              <w:rPr>
                <w:rFonts w:hint="eastAsia"/>
                <w:szCs w:val="21"/>
              </w:rPr>
              <w:t>9.提供图书与期刊导航，并集成在首页中显示。</w:t>
            </w:r>
          </w:p>
          <w:p w14:paraId="0206317E">
            <w:pPr>
              <w:rPr>
                <w:szCs w:val="21"/>
              </w:rPr>
            </w:pPr>
            <w:r>
              <w:rPr>
                <w:rFonts w:hint="eastAsia"/>
                <w:szCs w:val="21"/>
              </w:rPr>
              <w:t>10.实现热门图书、期刊、论文等文献的推荐。</w:t>
            </w:r>
          </w:p>
          <w:p w14:paraId="36F99399">
            <w:pPr>
              <w:rPr>
                <w:szCs w:val="21"/>
              </w:rPr>
            </w:pPr>
            <w:r>
              <w:rPr>
                <w:rFonts w:hint="eastAsia"/>
                <w:szCs w:val="21"/>
              </w:rPr>
              <w:t>11.提供多种全文获取方式，学院图书馆有全文的直接阅读，学院图书馆没有全文的通过与已有的文献传递系统对接将文献发送到读者的邮箱，实现随时随地的阅读。</w:t>
            </w:r>
          </w:p>
          <w:p w14:paraId="420E26FC">
            <w:pPr>
              <w:rPr>
                <w:szCs w:val="21"/>
              </w:rPr>
            </w:pPr>
            <w:r>
              <w:rPr>
                <w:rFonts w:hint="eastAsia"/>
                <w:szCs w:val="21"/>
              </w:rPr>
              <w:t>12.实现评论、批注等功能。</w:t>
            </w:r>
          </w:p>
          <w:p w14:paraId="1E9A2512">
            <w:pPr>
              <w:rPr>
                <w:szCs w:val="21"/>
              </w:rPr>
            </w:pPr>
            <w:r>
              <w:rPr>
                <w:rFonts w:hint="eastAsia"/>
                <w:szCs w:val="21"/>
              </w:rPr>
              <w:t>13.可以与学院图书馆OPAC系统对接，实现图书馆传统纸质图书在手机的上馆藏查询、个人借阅信息查询等服务。</w:t>
            </w:r>
          </w:p>
          <w:p w14:paraId="616D3630">
            <w:pPr>
              <w:rPr>
                <w:szCs w:val="21"/>
              </w:rPr>
            </w:pPr>
            <w:r>
              <w:rPr>
                <w:rFonts w:hint="eastAsia"/>
                <w:szCs w:val="21"/>
              </w:rPr>
              <w:t>14.提供科学的管理后台。系统的后台可以与学院智慧校园对接，能够批量导入读者的信息，根据不同单位、不同身份的读者进行群组管理。管理员可单独发送短信和编辑用户信息，同时提供流量统计后台。</w:t>
            </w:r>
          </w:p>
          <w:p w14:paraId="3FA17553">
            <w:pPr>
              <w:rPr>
                <w:szCs w:val="21"/>
              </w:rPr>
            </w:pPr>
            <w:r>
              <w:rPr>
                <w:rFonts w:hint="eastAsia"/>
                <w:szCs w:val="21"/>
              </w:rPr>
              <w:t>15.具有系统安全机制，凡是没有通过系统认证的读者，无法访问全文及个人信息。通过该系统访问的学院图书馆购买的资源，都不再是IP控制方式，通过认证，直接针对每一个读者进行权限控制，可以通过随身设备只要网络通畅，就可在全球任何地点访问，无需单独分开的登录、认证等。</w:t>
            </w:r>
          </w:p>
          <w:p w14:paraId="3255CDC8">
            <w:pPr>
              <w:rPr>
                <w:szCs w:val="21"/>
              </w:rPr>
            </w:pPr>
            <w:r>
              <w:rPr>
                <w:rFonts w:hint="eastAsia"/>
                <w:szCs w:val="21"/>
              </w:rPr>
              <w:t>16.数据库的支持：在检索详细页面上，提示数据库来源，并且可以提供适合手机和平板电脑不同的阅读格式。</w:t>
            </w:r>
          </w:p>
          <w:p w14:paraId="3DC291F0">
            <w:pPr>
              <w:rPr>
                <w:szCs w:val="21"/>
              </w:rPr>
            </w:pPr>
            <w:r>
              <w:rPr>
                <w:rFonts w:hint="eastAsia"/>
                <w:szCs w:val="21"/>
              </w:rPr>
              <w:t>17.提供手机客户端应用，具备条码、二维码扫描功能。阅读的图书可直接下载在手机中保存。通过客户端，可以实现在手机中无需上网即可阅读下载的图书，并且提供订阅服务。 平台支持开放的第三方接入服务，通过后台即可直接生成相关APP，避免以后重复建设，可以对接图书馆服务，图书馆必读书，图书馆导航等等。</w:t>
            </w:r>
          </w:p>
          <w:p w14:paraId="1BDBE254">
            <w:pPr>
              <w:rPr>
                <w:szCs w:val="21"/>
              </w:rPr>
            </w:pPr>
            <w:r>
              <w:rPr>
                <w:rFonts w:hint="eastAsia"/>
                <w:szCs w:val="21"/>
              </w:rPr>
              <w:t>18.提供适合不同手机阅读的EPUB格式热门图书，不少于3万种。</w:t>
            </w:r>
          </w:p>
          <w:p w14:paraId="6D76D130">
            <w:pPr>
              <w:rPr>
                <w:szCs w:val="21"/>
              </w:rPr>
            </w:pPr>
            <w:r>
              <w:rPr>
                <w:rFonts w:hint="eastAsia"/>
                <w:szCs w:val="21"/>
              </w:rPr>
              <w:t>19.包含适合移动阅读的报纸资源，并且实现百种以上报纸的当日更新。</w:t>
            </w:r>
          </w:p>
          <w:p w14:paraId="1603B6A1">
            <w:pPr>
              <w:rPr>
                <w:rFonts w:ascii="宋体" w:hAnsi="宋体" w:eastAsia="宋体" w:cs="宋体"/>
                <w:kern w:val="0"/>
                <w:szCs w:val="21"/>
              </w:rPr>
            </w:pPr>
            <w:r>
              <w:rPr>
                <w:rFonts w:hint="eastAsia"/>
                <w:szCs w:val="21"/>
              </w:rPr>
              <w:t>20.提供不少于2万集适合手机使用的学术视频，不低于15000集有声读物。</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52E3448">
            <w:pPr>
              <w:spacing w:line="360" w:lineRule="exact"/>
              <w:jc w:val="center"/>
              <w:rPr>
                <w:rFonts w:ascii="宋体" w:hAnsi="宋体" w:eastAsia="宋体" w:cs="宋体"/>
                <w:kern w:val="0"/>
                <w:szCs w:val="21"/>
              </w:rPr>
            </w:pPr>
            <w:r>
              <w:rPr>
                <w:rFonts w:hint="eastAsia" w:ascii="宋体" w:hAnsi="宋体" w:cs="仿宋"/>
                <w:color w:val="000000"/>
                <w:kern w:val="0"/>
                <w:shd w:val="clear" w:color="auto" w:fill="FFFFFF"/>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8A5C599">
            <w:pPr>
              <w:spacing w:line="360" w:lineRule="exact"/>
              <w:jc w:val="center"/>
              <w:rPr>
                <w:rFonts w:ascii="宋体" w:hAnsi="宋体" w:eastAsia="宋体" w:cs="宋体"/>
                <w:kern w:val="0"/>
                <w:szCs w:val="21"/>
              </w:rPr>
            </w:pPr>
            <w:r>
              <w:rPr>
                <w:rFonts w:hint="eastAsia" w:ascii="宋体" w:hAnsi="宋体" w:cs="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736B0EA8">
            <w:pPr>
              <w:snapToGrid w:val="0"/>
              <w:spacing w:before="156" w:beforeLines="50"/>
              <w:ind w:left="0" w:leftChars="-2" w:hanging="4" w:hangingChars="2"/>
              <w:jc w:val="center"/>
              <w:rPr>
                <w:rFonts w:ascii="宋体" w:hAnsi="宋体" w:eastAsia="宋体" w:cs="宋体"/>
                <w:kern w:val="0"/>
                <w:szCs w:val="21"/>
              </w:rPr>
            </w:pPr>
            <w:r>
              <w:rPr>
                <w:rFonts w:hint="eastAsia" w:ascii="宋体" w:hAnsi="宋体" w:cs="宋体"/>
                <w:szCs w:val="21"/>
              </w:rPr>
              <w:t>软件及信息技术服务业</w:t>
            </w:r>
          </w:p>
        </w:tc>
      </w:tr>
      <w:tr w14:paraId="2B23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7B73117">
            <w:pPr>
              <w:jc w:val="center"/>
              <w:rPr>
                <w:rFonts w:ascii="宋体" w:hAnsi="宋体" w:eastAsia="宋体" w:cs="宋体"/>
                <w:kern w:val="0"/>
                <w:szCs w:val="21"/>
              </w:rPr>
            </w:pPr>
            <w:r>
              <w:rPr>
                <w:rFonts w:hint="eastAsia" w:ascii="宋体" w:hAnsi="宋体"/>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3DEC5CF">
            <w:pPr>
              <w:jc w:val="center"/>
              <w:rPr>
                <w:rFonts w:ascii="宋体" w:hAnsi="宋体" w:cs="宋体"/>
                <w:szCs w:val="21"/>
                <w:lang w:val="zh-CN"/>
              </w:rPr>
            </w:pPr>
            <w:r>
              <w:rPr>
                <w:rFonts w:hint="eastAsia" w:ascii="宋体" w:hAnsi="宋体" w:cs="宋体"/>
                <w:szCs w:val="21"/>
              </w:rPr>
              <w:t>读</w:t>
            </w:r>
            <w:r>
              <w:rPr>
                <w:rFonts w:hint="eastAsia" w:ascii="宋体" w:hAnsi="宋体" w:cs="宋体"/>
                <w:szCs w:val="21"/>
                <w:lang w:val="zh-CN"/>
              </w:rPr>
              <w:t>秀学术资源数据库</w:t>
            </w:r>
          </w:p>
          <w:p w14:paraId="1439A9B8">
            <w:pPr>
              <w:jc w:val="center"/>
              <w:rPr>
                <w:rFonts w:ascii="宋体" w:hAnsi="宋体" w:eastAsia="宋体" w:cs="宋体"/>
                <w:kern w:val="0"/>
                <w:szCs w:val="21"/>
              </w:rPr>
            </w:pP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78C48AE">
            <w:pPr>
              <w:rPr>
                <w:rFonts w:ascii="宋体" w:cs="宋体"/>
                <w:szCs w:val="21"/>
                <w:lang w:val="zh-CN"/>
              </w:rPr>
            </w:pPr>
            <w:r>
              <w:rPr>
                <w:rFonts w:hint="eastAsia" w:ascii="宋体" w:cs="宋体"/>
                <w:szCs w:val="21"/>
              </w:rPr>
              <w:t>1.</w:t>
            </w:r>
            <w:r>
              <w:rPr>
                <w:rFonts w:hint="eastAsia" w:ascii="宋体" w:cs="宋体"/>
                <w:szCs w:val="21"/>
                <w:lang w:val="zh-CN"/>
              </w:rPr>
              <w:t>要求</w:t>
            </w:r>
            <w:r>
              <w:rPr>
                <w:rFonts w:hint="eastAsia" w:ascii="宋体" w:cs="宋体"/>
                <w:szCs w:val="21"/>
              </w:rPr>
              <w:t>学术资源数据库</w:t>
            </w:r>
            <w:r>
              <w:rPr>
                <w:rFonts w:hint="eastAsia" w:ascii="宋体" w:cs="宋体"/>
                <w:szCs w:val="21"/>
                <w:lang w:val="zh-CN"/>
              </w:rPr>
              <w:t>包含两个子库：学术搜索数据库以及学术视频数据库。学术搜索数据库收录不少于300万种中文图书等文献数据，不少于500万种书目信息，占1949年以来已出版中文图书的95%以上。</w:t>
            </w:r>
          </w:p>
          <w:p w14:paraId="0EB7752F">
            <w:pPr>
              <w:rPr>
                <w:rFonts w:ascii="宋体" w:cs="宋体"/>
                <w:szCs w:val="21"/>
                <w:lang w:val="zh-CN"/>
              </w:rPr>
            </w:pPr>
            <w:r>
              <w:rPr>
                <w:rFonts w:hint="eastAsia" w:ascii="宋体" w:cs="宋体"/>
                <w:szCs w:val="21"/>
                <w:lang w:val="zh-CN"/>
              </w:rPr>
              <w:t>2.学术搜索数据库收录不少于200万种图书原文，不少于16亿页资料，不少于2亿条目次，每年至少10万种的更新速度。</w:t>
            </w:r>
          </w:p>
          <w:p w14:paraId="3D411A5D">
            <w:pPr>
              <w:rPr>
                <w:rFonts w:ascii="宋体" w:cs="宋体"/>
                <w:szCs w:val="21"/>
                <w:lang w:val="zh-CN"/>
              </w:rPr>
            </w:pPr>
            <w:r>
              <w:rPr>
                <w:rFonts w:hint="eastAsia" w:ascii="宋体" w:cs="宋体"/>
                <w:szCs w:val="21"/>
              </w:rPr>
              <w:t>3</w:t>
            </w:r>
            <w:r>
              <w:rPr>
                <w:rFonts w:hint="eastAsia" w:ascii="宋体" w:cs="宋体"/>
                <w:szCs w:val="21"/>
                <w:lang w:val="zh-CN"/>
              </w:rPr>
              <w:t>.文献传递服务</w:t>
            </w:r>
          </w:p>
          <w:p w14:paraId="7B4F867D">
            <w:pPr>
              <w:rPr>
                <w:rFonts w:ascii="宋体" w:cs="宋体"/>
                <w:szCs w:val="21"/>
                <w:lang w:val="zh-CN"/>
              </w:rPr>
            </w:pPr>
            <w:r>
              <w:rPr>
                <w:rFonts w:hint="eastAsia" w:ascii="宋体" w:cs="宋体"/>
                <w:szCs w:val="21"/>
                <w:lang w:val="zh-CN"/>
              </w:rPr>
              <w:t>a）参考咨询服务中心提供版权范围内的文献局部使用。</w:t>
            </w:r>
          </w:p>
          <w:p w14:paraId="211A90E0">
            <w:pPr>
              <w:rPr>
                <w:rFonts w:ascii="宋体" w:cs="宋体"/>
                <w:szCs w:val="21"/>
                <w:lang w:val="zh-CN"/>
              </w:rPr>
            </w:pPr>
            <w:r>
              <w:rPr>
                <w:rFonts w:hint="eastAsia" w:ascii="宋体" w:cs="宋体"/>
                <w:szCs w:val="21"/>
                <w:lang w:val="zh-CN"/>
              </w:rPr>
              <w:t>b）提供图书单次不超过50页、单篇文章（6页）的文献传递。</w:t>
            </w:r>
          </w:p>
          <w:p w14:paraId="6476C933">
            <w:pPr>
              <w:rPr>
                <w:rFonts w:ascii="宋体" w:cs="宋体"/>
                <w:szCs w:val="21"/>
                <w:lang w:val="zh-CN"/>
              </w:rPr>
            </w:pPr>
            <w:r>
              <w:rPr>
                <w:rFonts w:hint="eastAsia" w:ascii="宋体" w:cs="宋体"/>
                <w:szCs w:val="21"/>
                <w:lang w:val="zh-CN"/>
              </w:rPr>
              <w:t>c）所有文献咨询在24小时内回复。</w:t>
            </w:r>
          </w:p>
          <w:p w14:paraId="0DB4EA79">
            <w:pPr>
              <w:rPr>
                <w:rFonts w:ascii="宋体" w:cs="宋体"/>
                <w:szCs w:val="21"/>
                <w:lang w:val="zh-CN"/>
              </w:rPr>
            </w:pPr>
            <w:r>
              <w:rPr>
                <w:rFonts w:hint="eastAsia" w:ascii="宋体" w:cs="宋体"/>
                <w:szCs w:val="21"/>
              </w:rPr>
              <w:t>4</w:t>
            </w:r>
            <w:r>
              <w:rPr>
                <w:rFonts w:hint="eastAsia" w:ascii="宋体" w:cs="宋体"/>
                <w:szCs w:val="21"/>
                <w:lang w:val="zh-CN"/>
              </w:rPr>
              <w:t>.包括的元数据：</w:t>
            </w:r>
          </w:p>
          <w:p w14:paraId="0E622168">
            <w:pPr>
              <w:rPr>
                <w:rFonts w:ascii="宋体" w:cs="宋体"/>
                <w:szCs w:val="21"/>
                <w:lang w:val="zh-CN"/>
              </w:rPr>
            </w:pPr>
            <w:r>
              <w:rPr>
                <w:rFonts w:hint="eastAsia" w:ascii="宋体" w:cs="宋体"/>
                <w:szCs w:val="21"/>
                <w:lang w:val="zh-CN"/>
              </w:rPr>
              <w:t>图书全文大于330万种；图书书目大于500万种；期刊元数据大于10000万篇；学位论文超过300万篇；会议论文超过300万篇；标准超过100万篇；专利大于</w:t>
            </w:r>
            <w:r>
              <w:rPr>
                <w:rFonts w:hint="eastAsia" w:ascii="宋体" w:cs="宋体"/>
                <w:szCs w:val="21"/>
              </w:rPr>
              <w:t>8</w:t>
            </w:r>
            <w:r>
              <w:rPr>
                <w:rFonts w:hint="eastAsia" w:ascii="宋体" w:cs="宋体"/>
                <w:szCs w:val="21"/>
                <w:lang w:val="zh-CN"/>
              </w:rPr>
              <w:t>00万篇；</w:t>
            </w:r>
            <w:r>
              <w:rPr>
                <w:rFonts w:hint="eastAsia" w:ascii="宋体" w:cs="宋体"/>
                <w:szCs w:val="21"/>
              </w:rPr>
              <w:t>报纸</w:t>
            </w:r>
            <w:r>
              <w:rPr>
                <w:rFonts w:hint="eastAsia" w:ascii="宋体" w:cs="宋体"/>
                <w:szCs w:val="21"/>
                <w:lang w:val="zh-CN"/>
              </w:rPr>
              <w:t>大于8000万篇。</w:t>
            </w:r>
          </w:p>
          <w:p w14:paraId="06CC5D9A">
            <w:pPr>
              <w:rPr>
                <w:rFonts w:ascii="宋体" w:cs="宋体"/>
                <w:szCs w:val="21"/>
                <w:lang w:val="zh-CN"/>
              </w:rPr>
            </w:pPr>
            <w:r>
              <w:rPr>
                <w:rFonts w:hint="eastAsia" w:ascii="宋体" w:cs="宋体"/>
                <w:szCs w:val="21"/>
              </w:rPr>
              <w:t>5</w:t>
            </w:r>
            <w:r>
              <w:rPr>
                <w:rFonts w:hint="eastAsia" w:ascii="宋体" w:cs="宋体"/>
                <w:szCs w:val="21"/>
                <w:lang w:val="zh-CN"/>
              </w:rPr>
              <w:t>.学术搜索数据库提供深入的检索服务：提供深入的书目检索；提供深入到2亿条目次的章节检索。</w:t>
            </w:r>
          </w:p>
          <w:p w14:paraId="4D050671">
            <w:pPr>
              <w:rPr>
                <w:rFonts w:ascii="宋体" w:cs="宋体"/>
                <w:szCs w:val="21"/>
                <w:lang w:val="zh-CN"/>
              </w:rPr>
            </w:pPr>
            <w:r>
              <w:rPr>
                <w:rFonts w:hint="eastAsia" w:ascii="宋体" w:cs="宋体"/>
                <w:szCs w:val="21"/>
              </w:rPr>
              <w:t>6</w:t>
            </w:r>
            <w:r>
              <w:rPr>
                <w:rFonts w:hint="eastAsia" w:ascii="宋体" w:cs="宋体"/>
                <w:szCs w:val="21"/>
                <w:lang w:val="zh-CN"/>
              </w:rPr>
              <w:t>.学术搜索数据库每年新增全文图书不得低于20万册，各种元数据与其原始数据库保持按周（月）更新。</w:t>
            </w:r>
          </w:p>
          <w:p w14:paraId="3A5C95ED">
            <w:pPr>
              <w:rPr>
                <w:rFonts w:ascii="宋体" w:cs="宋体"/>
                <w:szCs w:val="21"/>
                <w:lang w:val="zh-CN"/>
              </w:rPr>
            </w:pPr>
            <w:r>
              <w:rPr>
                <w:rFonts w:hint="eastAsia" w:ascii="宋体" w:cs="宋体"/>
                <w:szCs w:val="21"/>
              </w:rPr>
              <w:t>7</w:t>
            </w:r>
            <w:r>
              <w:rPr>
                <w:rFonts w:hint="eastAsia" w:ascii="宋体" w:cs="宋体"/>
                <w:szCs w:val="21"/>
                <w:lang w:val="zh-CN"/>
              </w:rPr>
              <w:t>.学术搜索数据库根据读者输入的检索词，在检索图书时，同时检索并显示与该检索词相关的期刊、报纸、学位论文、会议论文、视频、词条、人物、文档等信息，并通过链接能直接打开这些信息供读者阅读使用</w:t>
            </w:r>
          </w:p>
          <w:p w14:paraId="51E9AC55">
            <w:pPr>
              <w:rPr>
                <w:rFonts w:ascii="宋体" w:cs="宋体"/>
                <w:szCs w:val="21"/>
                <w:lang w:val="zh-CN"/>
              </w:rPr>
            </w:pPr>
            <w:r>
              <w:rPr>
                <w:rFonts w:hint="eastAsia" w:ascii="宋体" w:cs="宋体"/>
                <w:szCs w:val="21"/>
              </w:rPr>
              <w:t>8</w:t>
            </w:r>
            <w:r>
              <w:rPr>
                <w:rFonts w:hint="eastAsia" w:ascii="宋体" w:cs="宋体"/>
                <w:szCs w:val="21"/>
                <w:lang w:val="zh-CN"/>
              </w:rPr>
              <w:t>.学术搜索数据库可以直接挂接到学院正在使用的移动图书馆APP上，实现手机上任何地点任何时间随时随地阅读查阅。</w:t>
            </w:r>
          </w:p>
          <w:p w14:paraId="6338ADCF">
            <w:pPr>
              <w:rPr>
                <w:rFonts w:ascii="宋体" w:cs="宋体"/>
                <w:szCs w:val="21"/>
                <w:lang w:val="zh-CN"/>
              </w:rPr>
            </w:pPr>
            <w:r>
              <w:rPr>
                <w:rFonts w:hint="eastAsia" w:ascii="宋体" w:cs="宋体"/>
                <w:szCs w:val="21"/>
              </w:rPr>
              <w:t>9</w:t>
            </w:r>
            <w:r>
              <w:rPr>
                <w:rFonts w:hint="eastAsia" w:ascii="宋体" w:cs="宋体"/>
                <w:szCs w:val="21"/>
                <w:lang w:val="zh-CN"/>
              </w:rPr>
              <w:t>.学术搜索数据库可以与学校已经采购的pdg格式电子图书相兼容相挂接，实现在读秀上直接查阅已采购的pdg格式电子图书资源。</w:t>
            </w:r>
          </w:p>
          <w:p w14:paraId="2EE0317A">
            <w:pPr>
              <w:rPr>
                <w:rFonts w:ascii="宋体" w:cs="宋体"/>
                <w:szCs w:val="21"/>
                <w:lang w:val="zh-CN"/>
              </w:rPr>
            </w:pPr>
            <w:r>
              <w:rPr>
                <w:rFonts w:hint="eastAsia" w:ascii="宋体" w:cs="宋体"/>
                <w:szCs w:val="21"/>
              </w:rPr>
              <w:t>10</w:t>
            </w:r>
            <w:r>
              <w:rPr>
                <w:rFonts w:hint="eastAsia" w:ascii="宋体" w:cs="宋体"/>
                <w:szCs w:val="21"/>
                <w:lang w:val="zh-CN"/>
              </w:rPr>
              <w:t>.在移动端使用学术搜索数据库时，要实现可以在线试读，音视频资料要实现手机上直接可以观看</w:t>
            </w:r>
          </w:p>
          <w:p w14:paraId="5B6443EB">
            <w:pPr>
              <w:rPr>
                <w:rFonts w:ascii="宋体" w:cs="宋体"/>
                <w:szCs w:val="21"/>
                <w:lang w:val="zh-CN"/>
              </w:rPr>
            </w:pPr>
            <w:r>
              <w:rPr>
                <w:rFonts w:hint="eastAsia" w:ascii="宋体" w:cs="宋体"/>
                <w:szCs w:val="21"/>
              </w:rPr>
              <w:t>11</w:t>
            </w:r>
            <w:r>
              <w:rPr>
                <w:rFonts w:hint="eastAsia" w:ascii="宋体" w:cs="宋体"/>
                <w:szCs w:val="21"/>
                <w:lang w:val="zh-CN"/>
              </w:rPr>
              <w:t>.子库学术视频数据库产品要求具备专业的编导、摄像、后期制作、技术服务团队。节目内容合法授权，自主拍摄，自主制作；</w:t>
            </w:r>
            <w:r>
              <w:rPr>
                <w:rFonts w:ascii="宋体" w:cs="宋体"/>
                <w:szCs w:val="21"/>
                <w:lang w:val="zh-CN"/>
              </w:rPr>
              <w:t xml:space="preserve"> </w:t>
            </w:r>
          </w:p>
          <w:p w14:paraId="5010A6B3">
            <w:pPr>
              <w:rPr>
                <w:rFonts w:ascii="宋体" w:cs="宋体"/>
                <w:szCs w:val="21"/>
                <w:lang w:val="zh-CN"/>
              </w:rPr>
            </w:pPr>
            <w:r>
              <w:rPr>
                <w:rFonts w:hint="eastAsia" w:ascii="宋体" w:cs="宋体"/>
                <w:szCs w:val="21"/>
                <w:lang w:val="zh-CN"/>
              </w:rPr>
              <w:t>1</w:t>
            </w:r>
            <w:r>
              <w:rPr>
                <w:rFonts w:hint="eastAsia" w:ascii="宋体" w:cs="宋体"/>
                <w:szCs w:val="21"/>
              </w:rPr>
              <w:t>2</w:t>
            </w:r>
            <w:r>
              <w:rPr>
                <w:rFonts w:hint="eastAsia" w:ascii="宋体" w:cs="宋体"/>
                <w:szCs w:val="21"/>
                <w:lang w:val="zh-CN"/>
              </w:rPr>
              <w:t>.学术视频数据库具备资源特色，与其他平台及网络公开资源无大量重复（小于百分之一）。</w:t>
            </w:r>
          </w:p>
          <w:p w14:paraId="3A273D61">
            <w:pPr>
              <w:rPr>
                <w:rFonts w:ascii="宋体" w:cs="宋体"/>
                <w:szCs w:val="21"/>
                <w:lang w:val="zh-CN"/>
              </w:rPr>
            </w:pPr>
            <w:r>
              <w:rPr>
                <w:rFonts w:hint="eastAsia" w:ascii="宋体" w:cs="宋体"/>
                <w:szCs w:val="21"/>
                <w:lang w:val="zh-CN"/>
              </w:rPr>
              <w:t>1</w:t>
            </w:r>
            <w:r>
              <w:rPr>
                <w:rFonts w:hint="eastAsia" w:ascii="宋体" w:cs="宋体"/>
                <w:szCs w:val="21"/>
              </w:rPr>
              <w:t>3</w:t>
            </w:r>
            <w:r>
              <w:rPr>
                <w:rFonts w:hint="eastAsia" w:ascii="宋体" w:cs="宋体"/>
                <w:szCs w:val="21"/>
                <w:lang w:val="zh-CN"/>
              </w:rPr>
              <w:t>.学术视频数据库分类科学，参考大学课程体系，包含覆盖13大学科的学术视频。</w:t>
            </w:r>
          </w:p>
          <w:p w14:paraId="1269763E">
            <w:pPr>
              <w:rPr>
                <w:rFonts w:ascii="宋体" w:cs="宋体"/>
                <w:szCs w:val="21"/>
                <w:lang w:val="zh-CN"/>
              </w:rPr>
            </w:pPr>
            <w:r>
              <w:rPr>
                <w:rFonts w:hint="eastAsia" w:ascii="宋体" w:cs="宋体"/>
                <w:szCs w:val="21"/>
                <w:lang w:val="zh-CN"/>
              </w:rPr>
              <w:t>1</w:t>
            </w:r>
            <w:r>
              <w:rPr>
                <w:rFonts w:hint="eastAsia" w:ascii="宋体" w:cs="宋体"/>
                <w:szCs w:val="21"/>
              </w:rPr>
              <w:t>4</w:t>
            </w:r>
            <w:r>
              <w:rPr>
                <w:rFonts w:hint="eastAsia" w:ascii="宋体" w:cs="宋体"/>
                <w:szCs w:val="21"/>
                <w:lang w:val="zh-CN"/>
              </w:rPr>
              <w:t>.学术视频数据库来源优质，主讲人含院士或长江学者或国家级教学名师不低于500人。</w:t>
            </w:r>
          </w:p>
          <w:p w14:paraId="39363AE1">
            <w:pPr>
              <w:rPr>
                <w:rFonts w:ascii="宋体" w:cs="宋体"/>
                <w:szCs w:val="21"/>
                <w:lang w:val="zh-CN"/>
              </w:rPr>
            </w:pPr>
            <w:r>
              <w:rPr>
                <w:rFonts w:hint="eastAsia" w:ascii="宋体" w:cs="宋体"/>
                <w:szCs w:val="21"/>
                <w:lang w:val="zh-CN"/>
              </w:rPr>
              <w:t>1</w:t>
            </w:r>
            <w:r>
              <w:rPr>
                <w:rFonts w:hint="eastAsia" w:ascii="宋体" w:cs="宋体"/>
                <w:szCs w:val="21"/>
              </w:rPr>
              <w:t>5</w:t>
            </w:r>
            <w:r>
              <w:rPr>
                <w:rFonts w:hint="eastAsia" w:ascii="宋体" w:cs="宋体"/>
                <w:szCs w:val="21"/>
                <w:lang w:val="zh-CN"/>
              </w:rPr>
              <w:t>.学术视频数据库能够做到每日及时更新，能够实现对视频内容的精准检索。</w:t>
            </w:r>
          </w:p>
          <w:p w14:paraId="71A3BAC1">
            <w:pPr>
              <w:rPr>
                <w:rFonts w:ascii="宋体" w:cs="宋体"/>
                <w:szCs w:val="21"/>
                <w:lang w:val="zh-CN"/>
              </w:rPr>
            </w:pPr>
            <w:r>
              <w:rPr>
                <w:rFonts w:hint="eastAsia" w:ascii="宋体" w:cs="宋体"/>
                <w:szCs w:val="21"/>
              </w:rPr>
              <w:t>16</w:t>
            </w:r>
            <w:r>
              <w:rPr>
                <w:rFonts w:hint="eastAsia" w:ascii="宋体" w:cs="宋体"/>
                <w:szCs w:val="21"/>
                <w:lang w:val="zh-CN"/>
              </w:rPr>
              <w:t>.视频总库累计视频资源不少于1</w:t>
            </w:r>
            <w:r>
              <w:rPr>
                <w:rFonts w:hint="eastAsia" w:ascii="宋体" w:cs="宋体"/>
                <w:szCs w:val="21"/>
              </w:rPr>
              <w:t>5</w:t>
            </w:r>
            <w:r>
              <w:rPr>
                <w:rFonts w:hint="eastAsia" w:ascii="宋体" w:cs="宋体"/>
                <w:szCs w:val="21"/>
                <w:lang w:val="zh-CN"/>
              </w:rPr>
              <w:t>万集，总时长不少于5万小时。</w:t>
            </w:r>
          </w:p>
          <w:p w14:paraId="0DE0EAA9">
            <w:pPr>
              <w:rPr>
                <w:rFonts w:ascii="宋体" w:cs="宋体"/>
                <w:szCs w:val="21"/>
                <w:lang w:val="zh-CN"/>
              </w:rPr>
            </w:pPr>
            <w:r>
              <w:rPr>
                <w:rFonts w:hint="eastAsia" w:ascii="宋体" w:cs="宋体"/>
                <w:szCs w:val="21"/>
              </w:rPr>
              <w:t>17</w:t>
            </w:r>
            <w:r>
              <w:rPr>
                <w:rFonts w:hint="eastAsia" w:ascii="宋体" w:cs="宋体"/>
                <w:szCs w:val="21"/>
                <w:lang w:val="zh-CN"/>
              </w:rPr>
              <w:t>.阅读浏览的资源可直接分享到微信朋友圈、微信好友、qq好友、qq空间、新浪微博等主流社交平台，增加读者使用黏度。</w:t>
            </w:r>
          </w:p>
          <w:p w14:paraId="3B911365">
            <w:pPr>
              <w:rPr>
                <w:rFonts w:ascii="宋体" w:cs="宋体"/>
                <w:szCs w:val="21"/>
                <w:lang w:val="zh-CN"/>
              </w:rPr>
            </w:pPr>
            <w:r>
              <w:rPr>
                <w:rFonts w:hint="eastAsia" w:ascii="宋体" w:cs="宋体"/>
                <w:szCs w:val="21"/>
              </w:rPr>
              <w:t>18</w:t>
            </w:r>
            <w:r>
              <w:rPr>
                <w:rFonts w:hint="eastAsia" w:ascii="宋体" w:cs="宋体"/>
                <w:szCs w:val="21"/>
                <w:lang w:val="zh-CN"/>
              </w:rPr>
              <w:t>.学术视频数据库需每周精选1-2场优质节目进行同步直播；采用多机位拍摄技术，真实呈现现场氛围，实现同步课堂。</w:t>
            </w:r>
          </w:p>
          <w:p w14:paraId="62718E17">
            <w:pPr>
              <w:rPr>
                <w:rFonts w:ascii="宋体" w:hAnsi="宋体" w:eastAsia="宋体" w:cs="宋体"/>
                <w:kern w:val="0"/>
                <w:szCs w:val="21"/>
              </w:rPr>
            </w:pPr>
            <w:r>
              <w:rPr>
                <w:rFonts w:hint="eastAsia" w:ascii="宋体" w:cs="宋体"/>
                <w:szCs w:val="21"/>
              </w:rPr>
              <w:t>19</w:t>
            </w:r>
            <w:r>
              <w:rPr>
                <w:rFonts w:hint="eastAsia" w:ascii="宋体" w:cs="宋体"/>
                <w:szCs w:val="21"/>
                <w:lang w:val="zh-CN"/>
              </w:rPr>
              <w:t>.学术视频数据库可以跟学校正在使用的移动图书馆相挂接，最终能够实现在移动图书馆上进行直接访问该数据库。</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5329717">
            <w:pPr>
              <w:spacing w:line="360" w:lineRule="exact"/>
              <w:jc w:val="center"/>
              <w:rPr>
                <w:rFonts w:ascii="宋体" w:hAnsi="宋体" w:eastAsia="宋体" w:cs="宋体"/>
                <w:kern w:val="0"/>
                <w:szCs w:val="21"/>
              </w:rPr>
            </w:pPr>
            <w:r>
              <w:rPr>
                <w:rFonts w:hint="eastAsia" w:ascii="宋体" w:hAnsi="宋体" w:cs="宋体"/>
                <w:szCs w:val="21"/>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EE41A43">
            <w:pPr>
              <w:spacing w:line="360" w:lineRule="exact"/>
              <w:jc w:val="center"/>
              <w:rPr>
                <w:rFonts w:ascii="宋体" w:hAnsi="宋体" w:eastAsia="宋体" w:cs="宋体"/>
                <w:kern w:val="0"/>
                <w:szCs w:val="21"/>
              </w:rPr>
            </w:pPr>
            <w:r>
              <w:rPr>
                <w:rFonts w:ascii="宋体" w:hAnsi="宋体" w:cs="宋体"/>
                <w:szCs w:val="21"/>
              </w:rPr>
              <w:t>1</w:t>
            </w:r>
            <w:r>
              <w:rPr>
                <w:rFonts w:hint="eastAsia" w:ascii="宋体" w:hAnsi="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15375F5E">
            <w:pPr>
              <w:snapToGrid w:val="0"/>
              <w:spacing w:before="156" w:beforeLines="50"/>
              <w:ind w:left="0" w:leftChars="-2" w:hanging="4" w:hangingChars="2"/>
              <w:jc w:val="center"/>
              <w:rPr>
                <w:rFonts w:cs="宋体" w:asciiTheme="minorEastAsia" w:hAnsiTheme="minorEastAsia"/>
                <w:kern w:val="0"/>
                <w:szCs w:val="21"/>
              </w:rPr>
            </w:pPr>
            <w:r>
              <w:rPr>
                <w:rFonts w:hint="eastAsia" w:ascii="宋体" w:hAnsi="宋体" w:cs="宋体"/>
                <w:szCs w:val="21"/>
              </w:rPr>
              <w:t>软件及信息技术服务业</w:t>
            </w:r>
          </w:p>
        </w:tc>
      </w:tr>
      <w:tr w14:paraId="2C37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EEFE90C">
            <w:pPr>
              <w:jc w:val="center"/>
              <w:rPr>
                <w:rFonts w:hint="eastAsia" w:ascii="宋体" w:hAnsi="宋体"/>
                <w:szCs w:val="21"/>
                <w:lang w:val="en-US" w:eastAsia="zh-CN"/>
              </w:rPr>
            </w:pPr>
            <w:r>
              <w:rPr>
                <w:rFonts w:hint="eastAsia" w:ascii="宋体" w:hAnsi="宋体"/>
                <w:szCs w:val="21"/>
              </w:rPr>
              <w:t>4</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F7B6B3D">
            <w:pPr>
              <w:jc w:val="center"/>
              <w:rPr>
                <w:rFonts w:hint="eastAsia" w:ascii="宋体" w:hAnsi="宋体"/>
                <w:szCs w:val="21"/>
                <w:lang w:val="zh-CN" w:eastAsia="zh-CN"/>
              </w:rPr>
            </w:pPr>
            <w:r>
              <w:rPr>
                <w:rFonts w:hint="eastAsia" w:ascii="宋体" w:hAnsi="宋体"/>
                <w:szCs w:val="21"/>
                <w:lang w:val="zh-CN"/>
              </w:rPr>
              <w:t>数据知识服务平台</w:t>
            </w:r>
          </w:p>
        </w:tc>
        <w:tc>
          <w:tcPr>
            <w:tcW w:w="425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E3A2BEC">
            <w:pPr>
              <w:jc w:val="left"/>
              <w:rPr>
                <w:rFonts w:hint="eastAsia" w:ascii="宋体" w:hAnsi="宋体"/>
                <w:szCs w:val="21"/>
                <w:lang w:val="zh-CN"/>
              </w:rPr>
            </w:pPr>
            <w:r>
              <w:rPr>
                <w:rFonts w:hint="eastAsia" w:ascii="宋体" w:hAnsi="宋体"/>
                <w:szCs w:val="21"/>
                <w:lang w:val="zh-CN"/>
              </w:rPr>
              <w:t>1.采用Linux操作系统、Java语言开发，支持系统跨平台应用部署。</w:t>
            </w:r>
          </w:p>
          <w:p w14:paraId="39049953">
            <w:pPr>
              <w:jc w:val="left"/>
              <w:rPr>
                <w:rFonts w:hint="eastAsia" w:ascii="宋体" w:hAnsi="宋体"/>
                <w:szCs w:val="21"/>
                <w:lang w:val="zh-CN"/>
              </w:rPr>
            </w:pPr>
            <w:r>
              <w:rPr>
                <w:rFonts w:hint="eastAsia" w:ascii="宋体" w:hAnsi="宋体"/>
                <w:szCs w:val="21"/>
                <w:lang w:val="zh-CN"/>
              </w:rPr>
              <w:t>2.采用分布式服务框架，提供高性能、可扩展的SOA应用服务。</w:t>
            </w:r>
          </w:p>
          <w:p w14:paraId="5EF89E89">
            <w:pPr>
              <w:jc w:val="left"/>
              <w:rPr>
                <w:rFonts w:hint="eastAsia" w:ascii="宋体" w:hAnsi="宋体"/>
                <w:szCs w:val="21"/>
                <w:lang w:val="zh-CN"/>
              </w:rPr>
            </w:pPr>
            <w:r>
              <w:rPr>
                <w:rFonts w:hint="eastAsia" w:ascii="宋体" w:hAnsi="宋体"/>
                <w:szCs w:val="21"/>
                <w:lang w:val="zh-CN"/>
              </w:rPr>
              <w:t>3.采用分布式全文索引集群，支持集中配置、负载均衡、自动容错、资源实时扩展、实时更新索引，支持对亿条以上元数据毫秒级检索；另外，支持按需分配资源并提供服务隔离，自动实施负载平衡调度防止性能雪崩。</w:t>
            </w:r>
          </w:p>
          <w:p w14:paraId="15963347">
            <w:pPr>
              <w:jc w:val="left"/>
              <w:rPr>
                <w:rFonts w:hint="eastAsia" w:ascii="宋体" w:hAnsi="宋体"/>
                <w:szCs w:val="21"/>
                <w:lang w:val="zh-CN"/>
              </w:rPr>
            </w:pPr>
            <w:r>
              <w:rPr>
                <w:rFonts w:hint="eastAsia" w:ascii="宋体" w:hAnsi="宋体"/>
                <w:szCs w:val="21"/>
                <w:lang w:val="zh-CN"/>
              </w:rPr>
              <w:t>4.支持异构海量资源检索（期刊论文、学位论文、会议论文、专利、标准、法律法规、科技报告、地方志、成果等）的跨库检索。</w:t>
            </w:r>
          </w:p>
          <w:p w14:paraId="0D8D3833">
            <w:pPr>
              <w:jc w:val="left"/>
              <w:rPr>
                <w:rFonts w:hint="eastAsia" w:ascii="宋体" w:hAnsi="宋体"/>
                <w:szCs w:val="21"/>
                <w:lang w:val="zh-CN"/>
              </w:rPr>
            </w:pPr>
            <w:r>
              <w:rPr>
                <w:rFonts w:hint="eastAsia" w:ascii="宋体" w:hAnsi="宋体"/>
                <w:szCs w:val="21"/>
                <w:lang w:val="zh-CN"/>
              </w:rPr>
              <w:t>5.支持一框式检索、高级检索、专业检索，支持逻辑与或非的布尔逻辑表达式。</w:t>
            </w:r>
          </w:p>
          <w:p w14:paraId="3264354B">
            <w:pPr>
              <w:jc w:val="left"/>
              <w:rPr>
                <w:rFonts w:hint="eastAsia" w:ascii="宋体" w:hAnsi="宋体"/>
                <w:szCs w:val="21"/>
                <w:lang w:val="zh-CN"/>
              </w:rPr>
            </w:pPr>
            <w:r>
              <w:rPr>
                <w:rFonts w:hint="eastAsia" w:ascii="宋体" w:hAnsi="宋体"/>
                <w:szCs w:val="21"/>
                <w:lang w:val="zh-CN"/>
              </w:rPr>
              <w:t>6.支持对自建资源的所有字段或限定字段进行跨库检索。</w:t>
            </w:r>
          </w:p>
          <w:p w14:paraId="69844AD6">
            <w:pPr>
              <w:jc w:val="left"/>
              <w:rPr>
                <w:rFonts w:hint="eastAsia" w:ascii="宋体" w:hAnsi="宋体"/>
                <w:szCs w:val="21"/>
                <w:lang w:val="zh-CN"/>
              </w:rPr>
            </w:pPr>
            <w:r>
              <w:rPr>
                <w:rFonts w:hint="eastAsia" w:ascii="宋体" w:hAnsi="宋体"/>
                <w:szCs w:val="21"/>
                <w:lang w:val="zh-CN"/>
              </w:rPr>
              <w:t>7.支持对学者、刊物等的智能检索。</w:t>
            </w:r>
          </w:p>
          <w:p w14:paraId="6B452F5D">
            <w:pPr>
              <w:jc w:val="left"/>
              <w:rPr>
                <w:rFonts w:hint="eastAsia" w:ascii="宋体" w:hAnsi="宋体"/>
                <w:szCs w:val="21"/>
                <w:lang w:val="zh-CN"/>
              </w:rPr>
            </w:pPr>
            <w:r>
              <w:rPr>
                <w:rFonts w:hint="eastAsia" w:ascii="宋体" w:hAnsi="宋体"/>
                <w:szCs w:val="21"/>
                <w:lang w:val="zh-CN"/>
              </w:rPr>
              <w:t>8.支持中外文混合检索。</w:t>
            </w:r>
          </w:p>
          <w:p w14:paraId="74BA0789">
            <w:pPr>
              <w:jc w:val="left"/>
              <w:rPr>
                <w:rFonts w:hint="eastAsia" w:ascii="宋体" w:hAnsi="宋体"/>
                <w:szCs w:val="21"/>
                <w:lang w:val="zh-CN"/>
              </w:rPr>
            </w:pPr>
            <w:r>
              <w:rPr>
                <w:rFonts w:hint="eastAsia" w:ascii="宋体" w:hAnsi="宋体"/>
                <w:szCs w:val="21"/>
                <w:lang w:val="zh-CN"/>
              </w:rPr>
              <w:t>9.支持词表智能扩展关联检索，包括同义词、上位术语、下位术语、相关概念的检索。</w:t>
            </w:r>
          </w:p>
          <w:p w14:paraId="7893B3AC">
            <w:pPr>
              <w:jc w:val="left"/>
              <w:rPr>
                <w:rFonts w:hint="eastAsia" w:ascii="宋体" w:hAnsi="宋体"/>
                <w:szCs w:val="21"/>
                <w:lang w:val="zh-CN"/>
              </w:rPr>
            </w:pPr>
            <w:r>
              <w:rPr>
                <w:rFonts w:hint="eastAsia" w:ascii="宋体" w:hAnsi="宋体"/>
                <w:szCs w:val="21"/>
                <w:lang w:val="zh-CN"/>
              </w:rPr>
              <w:t>10.提供高性能、高可用、高可靠的检索服务，并通过提供rpc和http api服务接口，灵活应对不同的业务使用场景。</w:t>
            </w:r>
          </w:p>
          <w:p w14:paraId="7BA19309">
            <w:pPr>
              <w:jc w:val="left"/>
              <w:rPr>
                <w:rFonts w:hint="eastAsia" w:ascii="宋体" w:hAnsi="宋体"/>
                <w:szCs w:val="21"/>
                <w:lang w:val="zh-CN"/>
              </w:rPr>
            </w:pPr>
            <w:r>
              <w:rPr>
                <w:rFonts w:hint="eastAsia" w:ascii="宋体" w:hAnsi="宋体"/>
                <w:szCs w:val="21"/>
                <w:lang w:val="zh-CN"/>
              </w:rPr>
              <w:t>11.支持集群式关系型数据库，保证业务数据7*24小时高可用性。</w:t>
            </w:r>
          </w:p>
          <w:p w14:paraId="6C11C164">
            <w:pPr>
              <w:jc w:val="left"/>
              <w:rPr>
                <w:rFonts w:hint="eastAsia" w:ascii="宋体" w:hAnsi="宋体"/>
                <w:szCs w:val="21"/>
                <w:lang w:val="zh-CN"/>
              </w:rPr>
            </w:pPr>
            <w:r>
              <w:rPr>
                <w:rFonts w:hint="eastAsia" w:ascii="宋体" w:hAnsi="宋体"/>
                <w:szCs w:val="21"/>
                <w:lang w:val="zh-CN"/>
              </w:rPr>
              <w:t>12.通过图形数据库支持文献引证关系、实体关联关系等的可视化展示。</w:t>
            </w:r>
          </w:p>
          <w:p w14:paraId="50470E46">
            <w:pPr>
              <w:jc w:val="left"/>
              <w:rPr>
                <w:rFonts w:hint="eastAsia" w:ascii="宋体" w:hAnsi="宋体"/>
                <w:szCs w:val="21"/>
                <w:lang w:val="zh-CN"/>
              </w:rPr>
            </w:pPr>
            <w:r>
              <w:rPr>
                <w:rFonts w:hint="eastAsia" w:ascii="宋体" w:hAnsi="宋体"/>
                <w:szCs w:val="21"/>
                <w:lang w:val="zh-CN"/>
              </w:rPr>
              <w:t>13.采用分布式文件存储系统，支持海量（百亿条以上）系统及用户行为日志存储，支持亿万篇文献全文存储。</w:t>
            </w:r>
          </w:p>
          <w:p w14:paraId="70BB281D">
            <w:pPr>
              <w:jc w:val="left"/>
              <w:rPr>
                <w:rFonts w:hint="eastAsia" w:ascii="宋体" w:hAnsi="宋体"/>
                <w:szCs w:val="21"/>
                <w:lang w:val="zh-CN"/>
              </w:rPr>
            </w:pPr>
            <w:r>
              <w:rPr>
                <w:rFonts w:hint="eastAsia" w:ascii="宋体" w:hAnsi="宋体"/>
                <w:szCs w:val="21"/>
                <w:lang w:val="zh-CN"/>
              </w:rPr>
              <w:t>14.支持基于分布式计算框架下的文献计量统计分析，提供海量数据下的实时或离线的统计分析。</w:t>
            </w:r>
          </w:p>
          <w:p w14:paraId="33434883">
            <w:pPr>
              <w:jc w:val="left"/>
              <w:rPr>
                <w:rFonts w:hint="eastAsia" w:ascii="宋体" w:hAnsi="宋体"/>
                <w:szCs w:val="21"/>
                <w:lang w:val="zh-CN"/>
              </w:rPr>
            </w:pPr>
            <w:r>
              <w:rPr>
                <w:rFonts w:hint="eastAsia" w:ascii="宋体" w:hAnsi="宋体"/>
                <w:szCs w:val="21"/>
                <w:lang w:val="zh-CN"/>
              </w:rPr>
              <w:t>15.融合大数据生态，提供可视化定制界面完成数据创建导入工作和ETL工具，支撑亿万级数据记录吞吐。</w:t>
            </w:r>
          </w:p>
          <w:p w14:paraId="3B858A0F">
            <w:pPr>
              <w:jc w:val="left"/>
              <w:rPr>
                <w:rFonts w:hint="eastAsia" w:ascii="宋体" w:hAnsi="宋体"/>
                <w:szCs w:val="21"/>
                <w:lang w:val="zh-CN"/>
              </w:rPr>
            </w:pPr>
            <w:r>
              <w:rPr>
                <w:rFonts w:hint="eastAsia" w:ascii="宋体" w:hAnsi="宋体"/>
                <w:szCs w:val="21"/>
                <w:lang w:val="zh-CN"/>
              </w:rPr>
              <w:t>16.结合OAuth2.0协议可实现用户身份授权。</w:t>
            </w:r>
          </w:p>
          <w:p w14:paraId="7E028342">
            <w:pPr>
              <w:jc w:val="left"/>
              <w:rPr>
                <w:rFonts w:hint="eastAsia" w:ascii="宋体" w:hAnsi="宋体"/>
                <w:szCs w:val="21"/>
                <w:lang w:val="zh-CN"/>
              </w:rPr>
            </w:pPr>
            <w:r>
              <w:rPr>
                <w:rFonts w:hint="eastAsia" w:ascii="宋体" w:hAnsi="宋体"/>
                <w:szCs w:val="21"/>
                <w:lang w:val="zh-CN"/>
              </w:rPr>
              <w:t>17.提供统一的开放网关技术接口，便于与第三方系统对接并提供数据服务、应用服务。</w:t>
            </w:r>
          </w:p>
          <w:p w14:paraId="5B06DFE4">
            <w:pPr>
              <w:jc w:val="left"/>
              <w:rPr>
                <w:rFonts w:hint="eastAsia" w:ascii="宋体" w:hAnsi="宋体"/>
                <w:szCs w:val="21"/>
                <w:lang w:val="zh-CN" w:eastAsia="zh-CN"/>
              </w:rPr>
            </w:pPr>
            <w:r>
              <w:rPr>
                <w:rFonts w:hint="eastAsia" w:ascii="宋体" w:hAnsi="宋体"/>
                <w:szCs w:val="21"/>
                <w:lang w:val="zh-CN"/>
              </w:rPr>
              <w:t>18.支持NativeAPP、WebAPP、HybridApp三种APP开发模式，灵活应对各类移动端开发需求。</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7C46DA1">
            <w:pPr>
              <w:jc w:val="center"/>
              <w:rPr>
                <w:rFonts w:hint="eastAsia" w:ascii="宋体" w:hAnsi="宋体"/>
                <w:szCs w:val="21"/>
                <w:lang w:val="en-US" w:eastAsia="zh-CN"/>
              </w:rPr>
            </w:pPr>
            <w:r>
              <w:rPr>
                <w:rFonts w:hint="eastAsia" w:ascii="宋体" w:hAnsi="宋体"/>
                <w:szCs w:val="21"/>
              </w:rPr>
              <w:t>套</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B2E74AD">
            <w:pPr>
              <w:jc w:val="center"/>
              <w:rPr>
                <w:rFonts w:hint="eastAsia" w:ascii="宋体" w:hAnsi="宋体"/>
                <w:szCs w:val="21"/>
                <w:lang w:val="en-US" w:eastAsia="zh-CN"/>
              </w:rPr>
            </w:pPr>
            <w:r>
              <w:rPr>
                <w:rFonts w:hint="eastAsia"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3075F24F">
            <w:pPr>
              <w:jc w:val="center"/>
              <w:rPr>
                <w:rFonts w:hint="eastAsia" w:ascii="宋体" w:hAnsi="宋体"/>
                <w:szCs w:val="21"/>
                <w:lang w:val="en-US" w:eastAsia="zh-CN"/>
              </w:rPr>
            </w:pPr>
            <w:r>
              <w:rPr>
                <w:rFonts w:hint="eastAsia" w:ascii="宋体" w:hAnsi="宋体"/>
                <w:szCs w:val="21"/>
              </w:rPr>
              <w:t>软件及信息技术服务业</w:t>
            </w:r>
          </w:p>
        </w:tc>
      </w:tr>
      <w:tr w14:paraId="12C1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FFFFFF"/>
            <w:vAlign w:val="center"/>
          </w:tcPr>
          <w:p w14:paraId="46BFDAF9">
            <w:pPr>
              <w:jc w:val="center"/>
              <w:rPr>
                <w:rFonts w:hint="eastAsia" w:ascii="宋体" w:hAnsi="宋体"/>
                <w:szCs w:val="21"/>
                <w:lang w:val="en-US" w:eastAsia="zh-CN"/>
              </w:rPr>
            </w:pPr>
            <w:r>
              <w:rPr>
                <w:rFonts w:hint="eastAsia" w:ascii="宋体" w:hAnsi="宋体"/>
                <w:szCs w:val="21"/>
              </w:rPr>
              <w:t>5</w:t>
            </w:r>
          </w:p>
        </w:tc>
        <w:tc>
          <w:tcPr>
            <w:tcW w:w="0" w:type="auto"/>
            <w:shd w:val="clear" w:color="auto" w:fill="FFFFFF"/>
            <w:vAlign w:val="center"/>
          </w:tcPr>
          <w:p w14:paraId="284C836C">
            <w:pPr>
              <w:jc w:val="center"/>
              <w:rPr>
                <w:rFonts w:hint="eastAsia" w:ascii="宋体" w:hAnsi="宋体"/>
                <w:szCs w:val="21"/>
                <w:lang w:val="en-US" w:eastAsia="zh-CN"/>
              </w:rPr>
            </w:pPr>
            <w:r>
              <w:rPr>
                <w:rFonts w:hint="eastAsia" w:ascii="宋体" w:hAnsi="宋体"/>
                <w:szCs w:val="21"/>
              </w:rPr>
              <w:t>外语学习资源库</w:t>
            </w:r>
          </w:p>
        </w:tc>
        <w:tc>
          <w:tcPr>
            <w:tcW w:w="0" w:type="auto"/>
            <w:shd w:val="clear" w:color="auto" w:fill="FFFFFF"/>
            <w:vAlign w:val="center"/>
          </w:tcPr>
          <w:p w14:paraId="4C81BF13">
            <w:pPr>
              <w:jc w:val="left"/>
              <w:rPr>
                <w:rFonts w:hint="eastAsia" w:ascii="宋体" w:hAnsi="宋体"/>
                <w:szCs w:val="21"/>
              </w:rPr>
            </w:pPr>
            <w:r>
              <w:rPr>
                <w:rFonts w:hint="eastAsia" w:ascii="宋体" w:hAnsi="宋体"/>
                <w:szCs w:val="21"/>
              </w:rPr>
              <w:t>1.智能口语训练资源模块</w:t>
            </w:r>
          </w:p>
          <w:p w14:paraId="50596EF2">
            <w:pPr>
              <w:jc w:val="left"/>
              <w:rPr>
                <w:rFonts w:hint="eastAsia" w:ascii="宋体" w:hAnsi="宋体"/>
                <w:szCs w:val="21"/>
              </w:rPr>
            </w:pPr>
            <w:r>
              <w:rPr>
                <w:rFonts w:hint="eastAsia" w:ascii="宋体" w:hAnsi="宋体"/>
                <w:szCs w:val="21"/>
              </w:rPr>
              <w:t>1.1需使用语音测评和语音合成技术，支持学生口语训练，提供不少于40课时的口语学习课程，覆盖不少于10大场景（包含洗衣房、购物、吃饭、乘飞机、银行转账等场景），能够解决口语交流的常见问题。</w:t>
            </w:r>
          </w:p>
          <w:p w14:paraId="21168C2B">
            <w:pPr>
              <w:jc w:val="left"/>
              <w:rPr>
                <w:rFonts w:hint="eastAsia" w:ascii="宋体" w:hAnsi="宋体"/>
                <w:szCs w:val="21"/>
              </w:rPr>
            </w:pPr>
            <w:r>
              <w:rPr>
                <w:rFonts w:hint="eastAsia" w:ascii="宋体" w:hAnsi="宋体"/>
                <w:szCs w:val="21"/>
              </w:rPr>
              <w:t xml:space="preserve">1.2口语训练模块需要同时包含句子跟读，段落跟读，角色扮演等口语训练形式，用户应通过系统能够进行口语跟读训练，实现人机交互实时反馈测评结果。   </w:t>
            </w:r>
          </w:p>
          <w:p w14:paraId="2D9BC0EC">
            <w:pPr>
              <w:jc w:val="left"/>
              <w:rPr>
                <w:rFonts w:hint="eastAsia" w:ascii="宋体" w:hAnsi="宋体"/>
                <w:szCs w:val="21"/>
              </w:rPr>
            </w:pPr>
            <w:r>
              <w:rPr>
                <w:rFonts w:hint="eastAsia" w:ascii="宋体" w:hAnsi="宋体"/>
                <w:szCs w:val="21"/>
              </w:rPr>
              <w:t>2.在线双语阅读资源模块</w:t>
            </w:r>
          </w:p>
          <w:p w14:paraId="5EB998C7">
            <w:pPr>
              <w:jc w:val="left"/>
              <w:rPr>
                <w:rFonts w:hint="eastAsia" w:ascii="宋体" w:hAnsi="宋体"/>
                <w:szCs w:val="21"/>
              </w:rPr>
            </w:pPr>
            <w:r>
              <w:rPr>
                <w:rFonts w:hint="eastAsia" w:ascii="宋体" w:hAnsi="宋体"/>
                <w:szCs w:val="21"/>
              </w:rPr>
              <w:t>2.1需包含中外双语经典电子书不少于2000册，电子图书应包含国内著名外语出版机构（外语教学与研究出版社、上海外语教育出版社、外文出版社）出版的经典电子图书。</w:t>
            </w:r>
          </w:p>
          <w:p w14:paraId="2C92F02A">
            <w:pPr>
              <w:jc w:val="left"/>
              <w:rPr>
                <w:rFonts w:hint="eastAsia" w:ascii="宋体" w:hAnsi="宋体"/>
                <w:szCs w:val="21"/>
              </w:rPr>
            </w:pPr>
            <w:r>
              <w:rPr>
                <w:rFonts w:hint="eastAsia" w:ascii="宋体" w:hAnsi="宋体"/>
                <w:szCs w:val="21"/>
              </w:rPr>
              <w:t>2.2电子书主题需至少涵盖小说散文、人物传记、教育成长、历史人文、科幻冒险、经管励志等不少于10类主题，部分电子图书阅读支持中英文自由切换，阅读版块需支持移动设备同步访问。</w:t>
            </w:r>
          </w:p>
          <w:p w14:paraId="235D4B09">
            <w:pPr>
              <w:jc w:val="left"/>
              <w:rPr>
                <w:rFonts w:hint="eastAsia" w:ascii="宋体" w:hAnsi="宋体"/>
                <w:szCs w:val="21"/>
              </w:rPr>
            </w:pPr>
            <w:r>
              <w:rPr>
                <w:rFonts w:hint="eastAsia" w:ascii="宋体" w:hAnsi="宋体"/>
                <w:szCs w:val="21"/>
              </w:rPr>
              <w:t>3.英语口语评测引擎</w:t>
            </w:r>
          </w:p>
          <w:p w14:paraId="509AD7EC">
            <w:pPr>
              <w:jc w:val="left"/>
              <w:rPr>
                <w:rFonts w:hint="eastAsia" w:ascii="宋体" w:hAnsi="宋体"/>
                <w:szCs w:val="21"/>
              </w:rPr>
            </w:pPr>
            <w:r>
              <w:rPr>
                <w:rFonts w:hint="eastAsia" w:ascii="宋体" w:hAnsi="宋体"/>
                <w:szCs w:val="21"/>
              </w:rPr>
              <w:t>3.1语音评测是通过智能语音技术自动对发音水平进行评价、发音错误、缺陷定位和问题分析的软件系统。</w:t>
            </w:r>
          </w:p>
          <w:p w14:paraId="0010B199">
            <w:pPr>
              <w:jc w:val="left"/>
              <w:rPr>
                <w:rFonts w:hint="eastAsia" w:ascii="宋体" w:hAnsi="宋体"/>
                <w:szCs w:val="21"/>
              </w:rPr>
            </w:pPr>
            <w:r>
              <w:rPr>
                <w:rFonts w:hint="eastAsia" w:ascii="宋体" w:hAnsi="宋体"/>
                <w:szCs w:val="21"/>
              </w:rPr>
              <w:t>3.2核心技术可分为三个部分：中文普通话发音水平自动评测技术、英文发音水平自动评测技术、中英文发音自动评测统一技术框架。</w:t>
            </w:r>
          </w:p>
          <w:p w14:paraId="534939E5">
            <w:pPr>
              <w:jc w:val="left"/>
              <w:rPr>
                <w:rFonts w:hint="eastAsia" w:ascii="宋体" w:hAnsi="宋体"/>
                <w:szCs w:val="21"/>
              </w:rPr>
            </w:pPr>
            <w:r>
              <w:rPr>
                <w:rFonts w:hint="eastAsia" w:ascii="宋体" w:hAnsi="宋体"/>
                <w:szCs w:val="21"/>
              </w:rPr>
              <w:t xml:space="preserve">口语评测技术基于语音建模、数据挖掘、信号处理、模式识别等技术，采用具有针对性的中英文bi-gram语言模型，基于大量高水平中英语发音数据提取倒谱域特征并训练高复杂度隐马尔科夫声学模型；根据具体考生发音特点不同，对标准隐马尔科夫模型进行自适应，弥补因发音特点原因产生的消极影响，并基于大量实际考试数据及多名专家的标注、训练，构建形成SVM分类器和分数回归映射模型。 </w:t>
            </w:r>
          </w:p>
          <w:p w14:paraId="4027BFA2">
            <w:pPr>
              <w:jc w:val="left"/>
              <w:rPr>
                <w:rFonts w:hint="eastAsia" w:ascii="宋体" w:hAnsi="宋体"/>
                <w:szCs w:val="21"/>
              </w:rPr>
            </w:pPr>
            <w:r>
              <w:rPr>
                <w:rFonts w:hint="eastAsia" w:ascii="宋体" w:hAnsi="宋体"/>
                <w:szCs w:val="21"/>
              </w:rPr>
              <w:t>4.互动在线课程资源模块</w:t>
            </w:r>
          </w:p>
          <w:p w14:paraId="7BF5F390">
            <w:pPr>
              <w:jc w:val="left"/>
              <w:rPr>
                <w:rFonts w:hint="eastAsia" w:ascii="宋体" w:hAnsi="宋体"/>
                <w:szCs w:val="21"/>
              </w:rPr>
            </w:pPr>
            <w:r>
              <w:rPr>
                <w:rFonts w:hint="eastAsia" w:ascii="宋体" w:hAnsi="宋体"/>
                <w:szCs w:val="21"/>
              </w:rPr>
              <w:t>4.1英语学习课程应包括涵盖多媒体内容形式的交互课程，主要包括综合英语、通识英语、学术英语、名师讲座、职业英语等不同类型的学习课程。</w:t>
            </w:r>
          </w:p>
          <w:p w14:paraId="778F9742">
            <w:pPr>
              <w:jc w:val="left"/>
              <w:rPr>
                <w:rFonts w:hint="eastAsia" w:ascii="宋体" w:hAnsi="宋体"/>
                <w:szCs w:val="21"/>
              </w:rPr>
            </w:pPr>
            <w:r>
              <w:rPr>
                <w:rFonts w:hint="eastAsia" w:ascii="宋体" w:hAnsi="宋体"/>
                <w:szCs w:val="21"/>
              </w:rPr>
              <w:t>4.2综合英语应包括基本的听说读写译课程；通识英语应包括日常类和文学类课程。</w:t>
            </w:r>
          </w:p>
          <w:p w14:paraId="1B06A15D">
            <w:pPr>
              <w:jc w:val="left"/>
              <w:rPr>
                <w:rFonts w:hint="eastAsia" w:ascii="宋体" w:hAnsi="宋体"/>
                <w:szCs w:val="21"/>
              </w:rPr>
            </w:pPr>
            <w:r>
              <w:rPr>
                <w:rFonts w:hint="eastAsia" w:ascii="宋体" w:hAnsi="宋体"/>
                <w:szCs w:val="21"/>
              </w:rPr>
              <w:t>5.视听影音学习资源模块</w:t>
            </w:r>
          </w:p>
          <w:p w14:paraId="79E3F599">
            <w:pPr>
              <w:jc w:val="left"/>
              <w:rPr>
                <w:rFonts w:hint="eastAsia" w:ascii="宋体" w:hAnsi="宋体"/>
                <w:szCs w:val="21"/>
              </w:rPr>
            </w:pPr>
            <w:r>
              <w:rPr>
                <w:rFonts w:hint="eastAsia" w:ascii="宋体" w:hAnsi="宋体"/>
                <w:szCs w:val="21"/>
              </w:rPr>
              <w:t>5.1需提供多种视听资源，包括BBC、VOA、TED、ITN等国际媒体的各类主题的音视频资源。应具有不同类别的国内外音频、视频资源，视听资源需涵盖电影剪辑、纪录片、演讲等方式，部分视听资源必须配有字幕脚本、语言解析、文化背景等功能模块，提供完整系统的学习资料。</w:t>
            </w:r>
          </w:p>
          <w:p w14:paraId="645110D1">
            <w:pPr>
              <w:jc w:val="left"/>
              <w:rPr>
                <w:rFonts w:hint="eastAsia" w:ascii="宋体" w:hAnsi="宋体"/>
                <w:szCs w:val="21"/>
              </w:rPr>
            </w:pPr>
            <w:r>
              <w:rPr>
                <w:rFonts w:hint="eastAsia" w:ascii="宋体" w:hAnsi="宋体"/>
                <w:szCs w:val="21"/>
              </w:rPr>
              <w:t xml:space="preserve">6.外语学习资讯模块  </w:t>
            </w:r>
          </w:p>
          <w:p w14:paraId="223627B4">
            <w:pPr>
              <w:jc w:val="left"/>
              <w:rPr>
                <w:rFonts w:hint="eastAsia" w:ascii="宋体" w:hAnsi="宋体"/>
                <w:szCs w:val="21"/>
              </w:rPr>
            </w:pPr>
            <w:r>
              <w:rPr>
                <w:rFonts w:hint="eastAsia" w:ascii="宋体" w:hAnsi="宋体"/>
                <w:szCs w:val="21"/>
              </w:rPr>
              <w:t>6.1需提供外语学习资讯、推送外语学习方法，应试技巧，趣味学习内容，时事英语等各类外语学习资讯。</w:t>
            </w:r>
          </w:p>
          <w:p w14:paraId="7C2194EA">
            <w:pPr>
              <w:jc w:val="left"/>
              <w:rPr>
                <w:rFonts w:hint="eastAsia" w:ascii="宋体" w:hAnsi="宋体"/>
                <w:szCs w:val="21"/>
              </w:rPr>
            </w:pPr>
            <w:r>
              <w:rPr>
                <w:rFonts w:hint="eastAsia" w:ascii="宋体" w:hAnsi="宋体"/>
                <w:szCs w:val="21"/>
              </w:rPr>
              <w:t>7.多语言学习资源模块</w:t>
            </w:r>
          </w:p>
          <w:p w14:paraId="53AD7494">
            <w:pPr>
              <w:jc w:val="left"/>
              <w:rPr>
                <w:rFonts w:hint="eastAsia" w:ascii="宋体" w:hAnsi="宋体"/>
                <w:szCs w:val="21"/>
              </w:rPr>
            </w:pPr>
            <w:r>
              <w:rPr>
                <w:rFonts w:hint="eastAsia" w:ascii="宋体" w:hAnsi="宋体"/>
                <w:szCs w:val="21"/>
              </w:rPr>
              <w:t>7.1需支持韩语、泰语、俄语、德语、西班牙语、阿拉伯语、意大利语、法语、阿拉伯语、西班牙语等多语种学习在线课程、课程需为著名外语类专业院校教师主讲。</w:t>
            </w:r>
          </w:p>
          <w:p w14:paraId="6E6211FF">
            <w:pPr>
              <w:jc w:val="left"/>
              <w:rPr>
                <w:rFonts w:hint="eastAsia" w:ascii="宋体" w:hAnsi="宋体"/>
                <w:szCs w:val="21"/>
              </w:rPr>
            </w:pPr>
            <w:r>
              <w:rPr>
                <w:rFonts w:hint="eastAsia" w:ascii="宋体" w:hAnsi="宋体"/>
                <w:szCs w:val="21"/>
              </w:rPr>
              <w:t>8.用户中心统计分析模块</w:t>
            </w:r>
          </w:p>
          <w:p w14:paraId="3813D3A0">
            <w:pPr>
              <w:jc w:val="left"/>
              <w:rPr>
                <w:rFonts w:hint="eastAsia" w:ascii="宋体" w:hAnsi="宋体"/>
                <w:szCs w:val="21"/>
              </w:rPr>
            </w:pPr>
            <w:r>
              <w:rPr>
                <w:rFonts w:hint="eastAsia" w:ascii="宋体" w:hAnsi="宋体"/>
                <w:szCs w:val="21"/>
              </w:rPr>
              <w:t>8.1需提供用户中心，提供该用户的学习足迹、收藏记录、学习进度等信息，使用户在登录个人账号情况下能随时掌握个人的学习进度，便于系统性掌握个人学习目标。</w:t>
            </w:r>
          </w:p>
          <w:p w14:paraId="46AC49FF">
            <w:pPr>
              <w:jc w:val="left"/>
              <w:rPr>
                <w:rFonts w:hint="eastAsia" w:ascii="宋体" w:hAnsi="宋体"/>
                <w:szCs w:val="21"/>
              </w:rPr>
            </w:pPr>
            <w:r>
              <w:rPr>
                <w:rFonts w:hint="eastAsia" w:ascii="宋体" w:hAnsi="宋体"/>
                <w:szCs w:val="21"/>
              </w:rPr>
              <w:t>9.个性化学习诊断模块</w:t>
            </w:r>
          </w:p>
          <w:p w14:paraId="2FCC69F1">
            <w:pPr>
              <w:jc w:val="left"/>
              <w:rPr>
                <w:rFonts w:hint="eastAsia" w:ascii="宋体" w:hAnsi="宋体"/>
                <w:szCs w:val="21"/>
              </w:rPr>
            </w:pPr>
            <w:r>
              <w:rPr>
                <w:rFonts w:hint="eastAsia" w:ascii="宋体" w:hAnsi="宋体"/>
                <w:szCs w:val="21"/>
              </w:rPr>
              <w:t>9.1帮助学生进行个性化学习诊断，让学生熟悉在线考试环境，备考四六级、雅思、托福。全面支持听、说、读、写、译各类专项技能测试，并涵盖了多种英语水平测试的试题，学生可利用四六级、雅思和托福在线题库进行备考，并针对单项技能进行训练，获得实时有效的个人在线测试评估反馈和试题解析。</w:t>
            </w:r>
          </w:p>
          <w:p w14:paraId="02A35A02">
            <w:pPr>
              <w:jc w:val="left"/>
              <w:rPr>
                <w:rFonts w:hint="eastAsia" w:ascii="宋体" w:hAnsi="宋体"/>
                <w:szCs w:val="21"/>
              </w:rPr>
            </w:pPr>
            <w:r>
              <w:rPr>
                <w:rFonts w:hint="eastAsia" w:ascii="宋体" w:hAnsi="宋体"/>
                <w:szCs w:val="21"/>
              </w:rPr>
              <w:t>10.软件运行环境配置参数如下：</w:t>
            </w:r>
          </w:p>
          <w:p w14:paraId="4C59FE7D">
            <w:pPr>
              <w:jc w:val="left"/>
              <w:rPr>
                <w:rFonts w:hint="eastAsia" w:ascii="宋体" w:hAnsi="宋体"/>
                <w:szCs w:val="21"/>
              </w:rPr>
            </w:pPr>
            <w:r>
              <w:rPr>
                <w:rFonts w:hint="eastAsia" w:ascii="宋体" w:hAnsi="宋体"/>
                <w:szCs w:val="21"/>
              </w:rPr>
              <w:t xml:space="preserve">10.1系统采用B/S系统架构模式。 </w:t>
            </w:r>
          </w:p>
          <w:p w14:paraId="6CFEB149">
            <w:pPr>
              <w:jc w:val="left"/>
              <w:rPr>
                <w:rFonts w:hint="eastAsia" w:ascii="宋体" w:hAnsi="宋体"/>
                <w:szCs w:val="21"/>
              </w:rPr>
            </w:pPr>
            <w:r>
              <w:rPr>
                <w:rFonts w:hint="eastAsia" w:ascii="宋体" w:hAnsi="宋体"/>
                <w:szCs w:val="21"/>
              </w:rPr>
              <w:t>10.2系统采用Java开发，以spring mvc系统架构为框架进行研发。</w:t>
            </w:r>
          </w:p>
          <w:p w14:paraId="5DFA7F40">
            <w:pPr>
              <w:jc w:val="left"/>
              <w:rPr>
                <w:rFonts w:hint="eastAsia" w:ascii="宋体" w:hAnsi="宋体"/>
                <w:szCs w:val="21"/>
              </w:rPr>
            </w:pPr>
            <w:r>
              <w:rPr>
                <w:rFonts w:hint="eastAsia" w:ascii="宋体" w:hAnsi="宋体"/>
                <w:szCs w:val="21"/>
              </w:rPr>
              <w:t>10.3系统通过cas及cycore实现用户单点登录及系统访问权限。</w:t>
            </w:r>
          </w:p>
          <w:p w14:paraId="5A90C0E3">
            <w:pPr>
              <w:jc w:val="left"/>
              <w:rPr>
                <w:rFonts w:hint="eastAsia" w:ascii="宋体" w:hAnsi="宋体"/>
                <w:szCs w:val="21"/>
              </w:rPr>
            </w:pPr>
            <w:r>
              <w:rPr>
                <w:rFonts w:hint="eastAsia" w:ascii="宋体" w:hAnsi="宋体"/>
                <w:szCs w:val="21"/>
              </w:rPr>
              <w:t xml:space="preserve">10.4系统前端采用Jquery/Ajax技术，后端采用Java语言进行开发；数据库采用关系型数据库mysql。 </w:t>
            </w:r>
          </w:p>
          <w:p w14:paraId="155C5DFD">
            <w:pPr>
              <w:jc w:val="left"/>
              <w:rPr>
                <w:rFonts w:hint="eastAsia" w:ascii="宋体" w:hAnsi="宋体"/>
                <w:szCs w:val="21"/>
                <w:lang w:val="en-US" w:eastAsia="zh-CN"/>
              </w:rPr>
            </w:pPr>
            <w:r>
              <w:rPr>
                <w:rFonts w:hint="eastAsia" w:ascii="宋体" w:hAnsi="宋体"/>
                <w:szCs w:val="21"/>
              </w:rPr>
              <w:t>11.需支持远程访问，IP许可范围内，无需登录即可使用，开放学校支持学生IP范围内注册且校外可访问。不限制并发数。</w:t>
            </w:r>
          </w:p>
        </w:tc>
        <w:tc>
          <w:tcPr>
            <w:tcW w:w="0" w:type="auto"/>
            <w:shd w:val="clear" w:color="auto" w:fill="FFFFFF"/>
            <w:vAlign w:val="center"/>
          </w:tcPr>
          <w:p w14:paraId="1E84FF9D">
            <w:pPr>
              <w:jc w:val="center"/>
              <w:rPr>
                <w:rFonts w:hint="eastAsia" w:ascii="宋体" w:hAnsi="宋体"/>
                <w:szCs w:val="21"/>
                <w:lang w:val="en-US" w:eastAsia="zh-CN"/>
              </w:rPr>
            </w:pPr>
            <w:r>
              <w:rPr>
                <w:rFonts w:hint="eastAsia" w:ascii="宋体" w:hAnsi="宋体"/>
                <w:szCs w:val="21"/>
              </w:rPr>
              <w:t>套</w:t>
            </w:r>
          </w:p>
        </w:tc>
        <w:tc>
          <w:tcPr>
            <w:tcW w:w="0" w:type="auto"/>
            <w:shd w:val="clear" w:color="auto" w:fill="FFFFFF"/>
            <w:vAlign w:val="center"/>
          </w:tcPr>
          <w:p w14:paraId="53395B38">
            <w:pPr>
              <w:jc w:val="center"/>
              <w:rPr>
                <w:rFonts w:hint="eastAsia" w:ascii="宋体" w:hAnsi="宋体"/>
                <w:szCs w:val="21"/>
                <w:lang w:val="en-US" w:eastAsia="zh-CN"/>
              </w:rPr>
            </w:pPr>
            <w:r>
              <w:rPr>
                <w:rFonts w:hint="eastAsia" w:ascii="宋体" w:hAnsi="宋体"/>
                <w:szCs w:val="21"/>
              </w:rPr>
              <w:t>1</w:t>
            </w:r>
          </w:p>
        </w:tc>
        <w:tc>
          <w:tcPr>
            <w:tcW w:w="0" w:type="auto"/>
            <w:shd w:val="clear" w:color="auto" w:fill="FFFFFF"/>
            <w:vAlign w:val="center"/>
          </w:tcPr>
          <w:p w14:paraId="6298338F">
            <w:pPr>
              <w:jc w:val="center"/>
              <w:rPr>
                <w:rFonts w:hint="eastAsia" w:ascii="宋体" w:hAnsi="宋体"/>
                <w:szCs w:val="21"/>
                <w:lang w:val="en-US" w:eastAsia="zh-CN"/>
              </w:rPr>
            </w:pPr>
            <w:r>
              <w:rPr>
                <w:rFonts w:hint="eastAsia" w:ascii="宋体" w:hAnsi="宋体"/>
                <w:szCs w:val="21"/>
              </w:rPr>
              <w:t>软件及信息技术服务业</w:t>
            </w:r>
          </w:p>
        </w:tc>
      </w:tr>
      <w:tr w14:paraId="76B2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FFFFFF"/>
            <w:vAlign w:val="center"/>
          </w:tcPr>
          <w:p w14:paraId="0924F108">
            <w:pPr>
              <w:jc w:val="center"/>
              <w:rPr>
                <w:rFonts w:hint="eastAsia" w:ascii="宋体" w:hAnsi="宋体"/>
                <w:szCs w:val="21"/>
                <w:lang w:val="en-US" w:eastAsia="zh-CN"/>
              </w:rPr>
            </w:pPr>
            <w:r>
              <w:rPr>
                <w:rFonts w:hint="eastAsia" w:ascii="宋体" w:hAnsi="宋体"/>
                <w:szCs w:val="21"/>
              </w:rPr>
              <w:t>6</w:t>
            </w:r>
          </w:p>
        </w:tc>
        <w:tc>
          <w:tcPr>
            <w:tcW w:w="0" w:type="auto"/>
            <w:shd w:val="clear" w:color="auto" w:fill="FFFFFF"/>
            <w:vAlign w:val="center"/>
          </w:tcPr>
          <w:p w14:paraId="2F7B3783">
            <w:pPr>
              <w:jc w:val="center"/>
              <w:rPr>
                <w:rFonts w:hint="eastAsia" w:ascii="宋体" w:hAnsi="宋体"/>
                <w:szCs w:val="21"/>
                <w:lang w:val="en-US" w:eastAsia="zh-CN"/>
              </w:rPr>
            </w:pPr>
            <w:r>
              <w:rPr>
                <w:rFonts w:hint="eastAsia" w:ascii="宋体" w:hAnsi="宋体"/>
                <w:szCs w:val="21"/>
              </w:rPr>
              <w:t>中文期刊服务平台</w:t>
            </w:r>
          </w:p>
        </w:tc>
        <w:tc>
          <w:tcPr>
            <w:tcW w:w="0" w:type="auto"/>
            <w:shd w:val="clear" w:color="auto" w:fill="FFFFFF"/>
            <w:vAlign w:val="center"/>
          </w:tcPr>
          <w:p w14:paraId="541E2F13">
            <w:pPr>
              <w:jc w:val="left"/>
              <w:rPr>
                <w:rFonts w:hint="eastAsia" w:ascii="宋体" w:hAnsi="宋体"/>
                <w:szCs w:val="21"/>
              </w:rPr>
            </w:pPr>
            <w:r>
              <w:rPr>
                <w:rFonts w:hint="eastAsia" w:ascii="宋体" w:hAnsi="宋体"/>
                <w:szCs w:val="21"/>
              </w:rPr>
              <w:t xml:space="preserve">1.累计收录期刊不少于15000种，其中现刊不少于9300种。 </w:t>
            </w:r>
          </w:p>
          <w:p w14:paraId="1F7207BF">
            <w:pPr>
              <w:jc w:val="left"/>
              <w:rPr>
                <w:rFonts w:hint="eastAsia" w:ascii="宋体" w:hAnsi="宋体"/>
                <w:szCs w:val="21"/>
              </w:rPr>
            </w:pPr>
            <w:r>
              <w:rPr>
                <w:rFonts w:hint="eastAsia" w:ascii="宋体" w:hAnsi="宋体"/>
                <w:szCs w:val="21"/>
              </w:rPr>
              <w:t>2.多数期刊回溯至1989年，部分期刊回溯至1955年或更早（1920年）。</w:t>
            </w:r>
          </w:p>
          <w:p w14:paraId="12BC0D49">
            <w:pPr>
              <w:jc w:val="left"/>
              <w:rPr>
                <w:rFonts w:hint="eastAsia" w:ascii="宋体" w:hAnsi="宋体"/>
                <w:szCs w:val="21"/>
              </w:rPr>
            </w:pPr>
            <w:r>
              <w:rPr>
                <w:rFonts w:hint="eastAsia" w:ascii="宋体" w:hAnsi="宋体"/>
                <w:szCs w:val="21"/>
              </w:rPr>
              <w:t>3.北大核心收录期刊不少于1900种（2023版）、CSSCI 收录期刊不少于800种（2023-2024），CSCD 收录期刊不少于1200种（2023-2024）。</w:t>
            </w:r>
          </w:p>
          <w:p w14:paraId="1B02ECD1">
            <w:pPr>
              <w:jc w:val="left"/>
              <w:rPr>
                <w:rFonts w:hint="eastAsia" w:ascii="宋体" w:hAnsi="宋体"/>
                <w:szCs w:val="21"/>
              </w:rPr>
            </w:pPr>
            <w:r>
              <w:rPr>
                <w:rFonts w:hint="eastAsia" w:ascii="宋体" w:hAnsi="宋体"/>
                <w:szCs w:val="21"/>
              </w:rPr>
              <w:t>4.文献总量不少于7500万篇，年更新不少于200万。</w:t>
            </w:r>
          </w:p>
          <w:p w14:paraId="58BEE139">
            <w:pPr>
              <w:jc w:val="left"/>
              <w:rPr>
                <w:rFonts w:hint="eastAsia" w:ascii="宋体" w:hAnsi="宋体"/>
                <w:szCs w:val="21"/>
              </w:rPr>
            </w:pPr>
            <w:r>
              <w:rPr>
                <w:rFonts w:hint="eastAsia" w:ascii="宋体" w:hAnsi="宋体"/>
                <w:szCs w:val="21"/>
              </w:rPr>
              <w:t>5.提供多种渠道的原文保障服务，包括在线阅读、下载全文和OA期刊免费下载、文献传递、发送至邮箱（APP端）等多途径原文保障服务。</w:t>
            </w:r>
          </w:p>
          <w:p w14:paraId="2786F068">
            <w:pPr>
              <w:jc w:val="left"/>
              <w:rPr>
                <w:rFonts w:hint="eastAsia" w:ascii="宋体" w:hAnsi="宋体"/>
                <w:szCs w:val="21"/>
              </w:rPr>
            </w:pPr>
            <w:r>
              <w:rPr>
                <w:rFonts w:hint="eastAsia" w:ascii="宋体" w:hAnsi="宋体"/>
                <w:szCs w:val="21"/>
              </w:rPr>
              <w:t>6.学科分类体系参考《中国图书馆分类法》及教育部学科分类设置，形成</w:t>
            </w:r>
            <w:r>
              <w:rPr>
                <w:rFonts w:hint="eastAsia" w:ascii="宋体" w:hAnsi="宋体"/>
                <w:szCs w:val="21"/>
              </w:rPr>
              <w:fldChar w:fldCharType="begin"/>
            </w:r>
            <w:r>
              <w:rPr>
                <w:rFonts w:hint="eastAsia" w:ascii="宋体" w:hAnsi="宋体"/>
                <w:szCs w:val="21"/>
              </w:rPr>
              <w:instrText xml:space="preserve"> HYPERLINK "http://qikan.cqvip.com/domain/domainguide.aspx?id=30&amp;" </w:instrText>
            </w:r>
            <w:r>
              <w:rPr>
                <w:rFonts w:hint="eastAsia" w:ascii="宋体" w:hAnsi="宋体"/>
                <w:szCs w:val="21"/>
              </w:rPr>
              <w:fldChar w:fldCharType="separate"/>
            </w:r>
            <w:r>
              <w:rPr>
                <w:rFonts w:hint="eastAsia" w:ascii="宋体" w:hAnsi="宋体"/>
                <w:szCs w:val="21"/>
              </w:rPr>
              <w:t>医药卫生</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hint="eastAsia" w:ascii="宋体" w:hAnsi="宋体"/>
                <w:szCs w:val="21"/>
              </w:rPr>
              <w:instrText xml:space="preserve"> HYPERLINK "http://qikan.cqvip.com/domain/domainguide.aspx?id=35&amp;" </w:instrText>
            </w:r>
            <w:r>
              <w:rPr>
                <w:rFonts w:hint="eastAsia" w:ascii="宋体" w:hAnsi="宋体"/>
                <w:szCs w:val="21"/>
              </w:rPr>
              <w:fldChar w:fldCharType="separate"/>
            </w:r>
            <w:r>
              <w:rPr>
                <w:rFonts w:hint="eastAsia" w:ascii="宋体" w:hAnsi="宋体"/>
                <w:szCs w:val="21"/>
              </w:rPr>
              <w:t>农业科学</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hint="eastAsia" w:ascii="宋体" w:hAnsi="宋体"/>
                <w:szCs w:val="21"/>
              </w:rPr>
              <w:instrText xml:space="preserve"> HYPERLINK "http://qikan.cqvip.com/domain/domainguide.aspx?id=17&amp;" </w:instrText>
            </w:r>
            <w:r>
              <w:rPr>
                <w:rFonts w:hint="eastAsia" w:ascii="宋体" w:hAnsi="宋体"/>
                <w:szCs w:val="21"/>
              </w:rPr>
              <w:fldChar w:fldCharType="separate"/>
            </w:r>
            <w:r>
              <w:rPr>
                <w:rFonts w:hint="eastAsia" w:ascii="宋体" w:hAnsi="宋体"/>
                <w:szCs w:val="21"/>
              </w:rPr>
              <w:t>机械工程</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hint="eastAsia" w:ascii="宋体" w:hAnsi="宋体"/>
                <w:szCs w:val="21"/>
              </w:rPr>
              <w:instrText xml:space="preserve"> HYPERLINK "http://qikan.cqvip.com/domain/domainguide.aspx?id=21&amp;" </w:instrText>
            </w:r>
            <w:r>
              <w:rPr>
                <w:rFonts w:hint="eastAsia" w:ascii="宋体" w:hAnsi="宋体"/>
                <w:szCs w:val="21"/>
              </w:rPr>
              <w:fldChar w:fldCharType="separate"/>
            </w:r>
            <w:r>
              <w:rPr>
                <w:rFonts w:hint="eastAsia" w:ascii="宋体" w:hAnsi="宋体"/>
                <w:szCs w:val="21"/>
              </w:rPr>
              <w:t>自动化与计算机技术</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hint="eastAsia" w:ascii="宋体" w:hAnsi="宋体"/>
                <w:szCs w:val="21"/>
              </w:rPr>
              <w:instrText xml:space="preserve"> HYPERLINK "http://qikan.cqvip.com/domain/domainguide.aspx?id=12&amp;" </w:instrText>
            </w:r>
            <w:r>
              <w:rPr>
                <w:rFonts w:hint="eastAsia" w:ascii="宋体" w:hAnsi="宋体"/>
                <w:szCs w:val="21"/>
              </w:rPr>
              <w:fldChar w:fldCharType="separate"/>
            </w:r>
            <w:r>
              <w:rPr>
                <w:rFonts w:hint="eastAsia" w:ascii="宋体" w:hAnsi="宋体"/>
                <w:szCs w:val="21"/>
              </w:rPr>
              <w:t>化学工程</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hint="eastAsia" w:ascii="宋体" w:hAnsi="宋体"/>
                <w:szCs w:val="21"/>
              </w:rPr>
              <w:instrText xml:space="preserve"> HYPERLINK "http://qikan.cqvip.com/domain/domainguide.aspx?id=2&amp;" </w:instrText>
            </w:r>
            <w:r>
              <w:rPr>
                <w:rFonts w:hint="eastAsia" w:ascii="宋体" w:hAnsi="宋体"/>
                <w:szCs w:val="21"/>
              </w:rPr>
              <w:fldChar w:fldCharType="separate"/>
            </w:r>
            <w:r>
              <w:rPr>
                <w:rFonts w:hint="eastAsia" w:ascii="宋体" w:hAnsi="宋体"/>
                <w:szCs w:val="21"/>
              </w:rPr>
              <w:t>经济管理</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hint="eastAsia" w:ascii="宋体" w:hAnsi="宋体"/>
                <w:szCs w:val="21"/>
              </w:rPr>
              <w:instrText xml:space="preserve"> HYPERLINK "http://qikan.cqvip.com/domain/domainguide.aspx?id=259&amp;" </w:instrText>
            </w:r>
            <w:r>
              <w:rPr>
                <w:rFonts w:hint="eastAsia" w:ascii="宋体" w:hAnsi="宋体"/>
                <w:szCs w:val="21"/>
              </w:rPr>
              <w:fldChar w:fldCharType="separate"/>
            </w:r>
            <w:r>
              <w:rPr>
                <w:rFonts w:hint="eastAsia" w:ascii="宋体" w:hAnsi="宋体"/>
                <w:szCs w:val="21"/>
              </w:rPr>
              <w:t>政治法律</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hint="eastAsia" w:ascii="宋体" w:hAnsi="宋体"/>
                <w:szCs w:val="21"/>
              </w:rPr>
              <w:instrText xml:space="preserve"> HYPERLINK "http://qikan.cqvip.com/domain/domainguide.aspx?id=8&amp;" </w:instrText>
            </w:r>
            <w:r>
              <w:rPr>
                <w:rFonts w:hint="eastAsia" w:ascii="宋体" w:hAnsi="宋体"/>
                <w:szCs w:val="21"/>
              </w:rPr>
              <w:fldChar w:fldCharType="separate"/>
            </w:r>
            <w:r>
              <w:rPr>
                <w:rFonts w:hint="eastAsia" w:ascii="宋体" w:hAnsi="宋体"/>
                <w:szCs w:val="21"/>
              </w:rPr>
              <w:t>哲学宗教</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hint="eastAsia" w:ascii="宋体" w:hAnsi="宋体"/>
                <w:szCs w:val="21"/>
              </w:rPr>
              <w:instrText xml:space="preserve"> HYPERLINK "http://qikan.cqvip.com/domain/domainguide.aspx?id=263&amp;" </w:instrText>
            </w:r>
            <w:r>
              <w:rPr>
                <w:rFonts w:hint="eastAsia" w:ascii="宋体" w:hAnsi="宋体"/>
                <w:szCs w:val="21"/>
              </w:rPr>
              <w:fldChar w:fldCharType="separate"/>
            </w:r>
            <w:r>
              <w:rPr>
                <w:rFonts w:hint="eastAsia" w:ascii="宋体" w:hAnsi="宋体"/>
                <w:szCs w:val="21"/>
              </w:rPr>
              <w:t>文学</w:t>
            </w:r>
            <w:r>
              <w:rPr>
                <w:rFonts w:hint="eastAsia" w:ascii="宋体" w:hAnsi="宋体"/>
                <w:szCs w:val="21"/>
              </w:rPr>
              <w:fldChar w:fldCharType="end"/>
            </w:r>
            <w:r>
              <w:rPr>
                <w:rFonts w:hint="eastAsia" w:ascii="宋体" w:hAnsi="宋体"/>
                <w:szCs w:val="21"/>
              </w:rPr>
              <w:t>艺术等35个学科大类，457个学科小类的学科分类体系，全学科覆盖。</w:t>
            </w:r>
          </w:p>
          <w:p w14:paraId="0D12224E">
            <w:pPr>
              <w:jc w:val="left"/>
              <w:rPr>
                <w:rFonts w:hint="eastAsia" w:ascii="宋体" w:hAnsi="宋体"/>
                <w:szCs w:val="21"/>
              </w:rPr>
            </w:pPr>
            <w:r>
              <w:rPr>
                <w:rFonts w:hint="eastAsia" w:ascii="宋体" w:hAnsi="宋体"/>
                <w:szCs w:val="21"/>
              </w:rPr>
              <w:t>7.服务模式为远程包库。</w:t>
            </w:r>
          </w:p>
          <w:p w14:paraId="59D4CB51">
            <w:pPr>
              <w:jc w:val="left"/>
              <w:rPr>
                <w:rFonts w:hint="eastAsia" w:ascii="宋体" w:hAnsi="宋体"/>
                <w:szCs w:val="21"/>
              </w:rPr>
            </w:pPr>
            <w:r>
              <w:rPr>
                <w:rFonts w:hint="eastAsia" w:ascii="宋体" w:hAnsi="宋体"/>
                <w:szCs w:val="21"/>
              </w:rPr>
              <w:t>8.数据标引：期刊和文献均按《中国图书馆分类法》，采用人工标引和自动标引结合，每篇文献入类时以文献内容特征为依据，科学准确，保证查全率和数据统计准确性，对题名、关键词、作者、分类号等13个字段建立索引。</w:t>
            </w:r>
          </w:p>
          <w:p w14:paraId="4A2DA164">
            <w:pPr>
              <w:jc w:val="left"/>
              <w:rPr>
                <w:rFonts w:hint="eastAsia" w:ascii="宋体" w:hAnsi="宋体"/>
                <w:szCs w:val="21"/>
              </w:rPr>
            </w:pPr>
            <w:r>
              <w:rPr>
                <w:rFonts w:hint="eastAsia" w:ascii="宋体" w:hAnsi="宋体"/>
                <w:szCs w:val="21"/>
              </w:rPr>
              <w:t>9.引文检索能力：提供单篇文章的引用线索漫游，提供多篇文章的引证追踪检索，提供基于作者、机构、期刊等的科研产出及引用情况统计分析。</w:t>
            </w:r>
          </w:p>
          <w:p w14:paraId="4C6DD483">
            <w:pPr>
              <w:jc w:val="left"/>
              <w:rPr>
                <w:rFonts w:hint="eastAsia" w:ascii="宋体" w:hAnsi="宋体"/>
                <w:szCs w:val="21"/>
              </w:rPr>
            </w:pPr>
            <w:r>
              <w:rPr>
                <w:rFonts w:hint="eastAsia" w:ascii="宋体" w:hAnsi="宋体"/>
                <w:szCs w:val="21"/>
              </w:rPr>
              <w:t>10.检索方式：基本检索、高级检索、检索式检索、二次检索、期刊检索、作者检索、机构检索。</w:t>
            </w:r>
          </w:p>
          <w:p w14:paraId="3AEB606F">
            <w:pPr>
              <w:jc w:val="left"/>
              <w:rPr>
                <w:rFonts w:hint="eastAsia" w:ascii="宋体" w:hAnsi="宋体"/>
                <w:szCs w:val="21"/>
              </w:rPr>
            </w:pPr>
            <w:r>
              <w:rPr>
                <w:rFonts w:hint="eastAsia" w:ascii="宋体" w:hAnsi="宋体"/>
                <w:szCs w:val="21"/>
              </w:rPr>
              <w:t>11.特殊检索能力：支持中英文、繁简体混合检索，支持精确匹配、逻辑组配检索（支持布尔逻辑运算符大小写、符号组配）、同义词扩展检索等。</w:t>
            </w:r>
          </w:p>
          <w:p w14:paraId="0C29F3D3">
            <w:pPr>
              <w:jc w:val="left"/>
              <w:rPr>
                <w:rFonts w:hint="eastAsia" w:ascii="宋体" w:hAnsi="宋体"/>
                <w:szCs w:val="21"/>
              </w:rPr>
            </w:pPr>
            <w:r>
              <w:rPr>
                <w:rFonts w:hint="eastAsia" w:ascii="宋体" w:hAnsi="宋体"/>
                <w:szCs w:val="21"/>
              </w:rPr>
              <w:t>12.导航方式：作者导航、期刊导航、机构导航。</w:t>
            </w:r>
          </w:p>
          <w:p w14:paraId="5C1A570E">
            <w:pPr>
              <w:jc w:val="left"/>
              <w:rPr>
                <w:rFonts w:hint="eastAsia" w:ascii="宋体" w:hAnsi="宋体"/>
                <w:szCs w:val="21"/>
              </w:rPr>
            </w:pPr>
            <w:r>
              <w:rPr>
                <w:rFonts w:hint="eastAsia" w:ascii="宋体" w:hAnsi="宋体"/>
                <w:szCs w:val="21"/>
              </w:rPr>
              <w:t>13.个性化服务：支持个人用户查阅检索历史、浏览历史、下载历史，提供文章收藏、期刊关注、检索式订阅等个性化服务。</w:t>
            </w:r>
          </w:p>
          <w:p w14:paraId="152A651E">
            <w:pPr>
              <w:jc w:val="left"/>
              <w:rPr>
                <w:rFonts w:hint="eastAsia" w:ascii="宋体" w:hAnsi="宋体"/>
                <w:szCs w:val="21"/>
              </w:rPr>
            </w:pPr>
            <w:r>
              <w:rPr>
                <w:rFonts w:hint="eastAsia" w:ascii="宋体" w:hAnsi="宋体"/>
                <w:szCs w:val="21"/>
              </w:rPr>
              <w:t>14.文献情报价值：提供二次文献分析及基于情报信息提炼加工的知识服务价值，提高用户检索及学习研究效率。</w:t>
            </w:r>
          </w:p>
          <w:p w14:paraId="69C47402">
            <w:pPr>
              <w:jc w:val="left"/>
              <w:rPr>
                <w:rFonts w:hint="eastAsia" w:ascii="宋体" w:hAnsi="宋体"/>
                <w:szCs w:val="21"/>
              </w:rPr>
            </w:pPr>
            <w:r>
              <w:rPr>
                <w:rFonts w:hint="eastAsia" w:ascii="宋体" w:hAnsi="宋体"/>
                <w:szCs w:val="21"/>
              </w:rPr>
              <w:t>15.查收查引：提供自定义检索报告生成、查阅、下载。</w:t>
            </w:r>
          </w:p>
          <w:p w14:paraId="4AA4FF1D">
            <w:pPr>
              <w:jc w:val="left"/>
              <w:rPr>
                <w:rFonts w:hint="eastAsia" w:ascii="宋体" w:hAnsi="宋体"/>
                <w:szCs w:val="21"/>
              </w:rPr>
            </w:pPr>
            <w:r>
              <w:rPr>
                <w:rFonts w:hint="eastAsia" w:ascii="宋体" w:hAnsi="宋体"/>
                <w:szCs w:val="21"/>
              </w:rPr>
              <w:t>16.职称辅助：提供“职称评审材料打包下载”功能，一键下载职称评审所需全文、题录、期刊封面、封底、目录等材料、保障率不低于80%。</w:t>
            </w:r>
          </w:p>
          <w:p w14:paraId="0AB6EF57">
            <w:pPr>
              <w:jc w:val="left"/>
              <w:rPr>
                <w:rFonts w:hint="eastAsia" w:ascii="宋体" w:hAnsi="宋体"/>
                <w:szCs w:val="21"/>
              </w:rPr>
            </w:pPr>
            <w:r>
              <w:rPr>
                <w:rFonts w:hint="eastAsia" w:ascii="宋体" w:hAnsi="宋体"/>
                <w:szCs w:val="21"/>
              </w:rPr>
              <w:t>17.计量评价：提供基于期刊、机构、作者维度的对象分析报告。</w:t>
            </w:r>
          </w:p>
          <w:p w14:paraId="0D257B4B">
            <w:pPr>
              <w:jc w:val="left"/>
              <w:rPr>
                <w:rFonts w:hint="eastAsia" w:ascii="宋体" w:hAnsi="宋体"/>
                <w:szCs w:val="21"/>
              </w:rPr>
            </w:pPr>
            <w:r>
              <w:rPr>
                <w:rFonts w:hint="eastAsia" w:ascii="宋体" w:hAnsi="宋体"/>
                <w:szCs w:val="21"/>
              </w:rPr>
              <w:t>18.移动应用：提供适用于机构成员的移动应用APP，解决用户资源馆外访问和移动端应用体验问题。</w:t>
            </w:r>
          </w:p>
          <w:p w14:paraId="3E45A303">
            <w:pPr>
              <w:jc w:val="left"/>
              <w:rPr>
                <w:rFonts w:hint="eastAsia" w:ascii="宋体" w:hAnsi="宋体"/>
                <w:szCs w:val="21"/>
                <w:lang w:val="en-US" w:eastAsia="zh-CN"/>
              </w:rPr>
            </w:pPr>
            <w:r>
              <w:rPr>
                <w:rFonts w:hint="eastAsia" w:ascii="宋体" w:hAnsi="宋体"/>
                <w:szCs w:val="21"/>
              </w:rPr>
              <w:t>19.馆外授权访问：基于LBS、二维码技术和wifi定位技术，为用户手机APP授权，使得用户取得平台的馆外访问权限；同时支持APP取得的权限反向传递回指定PC设备，用户可在馆外继续使用PC设备访问平台。</w:t>
            </w:r>
          </w:p>
        </w:tc>
        <w:tc>
          <w:tcPr>
            <w:tcW w:w="0" w:type="auto"/>
            <w:shd w:val="clear" w:color="auto" w:fill="FFFFFF"/>
            <w:vAlign w:val="center"/>
          </w:tcPr>
          <w:p w14:paraId="25836303">
            <w:pPr>
              <w:jc w:val="center"/>
              <w:rPr>
                <w:rFonts w:hint="eastAsia" w:ascii="宋体" w:hAnsi="宋体"/>
                <w:szCs w:val="21"/>
                <w:lang w:val="en-US" w:eastAsia="zh-CN"/>
              </w:rPr>
            </w:pPr>
            <w:r>
              <w:rPr>
                <w:rFonts w:hint="eastAsia" w:ascii="宋体" w:hAnsi="宋体"/>
                <w:szCs w:val="21"/>
              </w:rPr>
              <w:t>套</w:t>
            </w:r>
          </w:p>
        </w:tc>
        <w:tc>
          <w:tcPr>
            <w:tcW w:w="0" w:type="auto"/>
            <w:shd w:val="clear" w:color="auto" w:fill="FFFFFF"/>
            <w:vAlign w:val="center"/>
          </w:tcPr>
          <w:p w14:paraId="63F704A8">
            <w:pPr>
              <w:jc w:val="center"/>
              <w:rPr>
                <w:rFonts w:hint="eastAsia" w:ascii="宋体" w:hAnsi="宋体"/>
                <w:szCs w:val="21"/>
                <w:lang w:val="en-US" w:eastAsia="zh-CN"/>
              </w:rPr>
            </w:pPr>
            <w:r>
              <w:rPr>
                <w:rFonts w:hint="eastAsia" w:ascii="宋体" w:hAnsi="宋体"/>
                <w:szCs w:val="21"/>
              </w:rPr>
              <w:t>1</w:t>
            </w:r>
          </w:p>
        </w:tc>
        <w:tc>
          <w:tcPr>
            <w:tcW w:w="0" w:type="auto"/>
            <w:shd w:val="clear" w:color="auto" w:fill="FFFFFF"/>
            <w:vAlign w:val="center"/>
          </w:tcPr>
          <w:p w14:paraId="7D2782D5">
            <w:pPr>
              <w:jc w:val="center"/>
              <w:rPr>
                <w:rFonts w:hint="eastAsia" w:ascii="宋体" w:hAnsi="宋体"/>
                <w:szCs w:val="21"/>
                <w:lang w:val="en-US" w:eastAsia="zh-CN"/>
              </w:rPr>
            </w:pPr>
            <w:r>
              <w:rPr>
                <w:rFonts w:hint="eastAsia" w:ascii="宋体" w:hAnsi="宋体"/>
                <w:szCs w:val="21"/>
              </w:rPr>
              <w:t>软件及信息技术服务业</w:t>
            </w:r>
          </w:p>
        </w:tc>
      </w:tr>
      <w:tr w14:paraId="56BD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FFFFFF"/>
            <w:vAlign w:val="center"/>
          </w:tcPr>
          <w:p w14:paraId="1D34B5AA">
            <w:pPr>
              <w:jc w:val="center"/>
              <w:rPr>
                <w:rFonts w:hint="eastAsia" w:ascii="宋体" w:hAnsi="宋体"/>
                <w:szCs w:val="21"/>
                <w:lang w:val="en-US" w:eastAsia="zh-CN"/>
              </w:rPr>
            </w:pPr>
            <w:r>
              <w:rPr>
                <w:rFonts w:hint="eastAsia" w:ascii="宋体" w:hAnsi="宋体"/>
                <w:szCs w:val="21"/>
              </w:rPr>
              <w:t>7</w:t>
            </w:r>
          </w:p>
        </w:tc>
        <w:tc>
          <w:tcPr>
            <w:tcW w:w="0" w:type="auto"/>
            <w:shd w:val="clear" w:color="auto" w:fill="FFFFFF"/>
            <w:vAlign w:val="center"/>
          </w:tcPr>
          <w:p w14:paraId="2DF29181">
            <w:pPr>
              <w:jc w:val="center"/>
              <w:rPr>
                <w:rFonts w:hint="eastAsia" w:ascii="宋体" w:hAnsi="宋体"/>
                <w:szCs w:val="21"/>
                <w:lang w:val="en-US" w:eastAsia="zh-CN"/>
              </w:rPr>
            </w:pPr>
            <w:r>
              <w:rPr>
                <w:rFonts w:hint="eastAsia" w:ascii="宋体" w:hAnsi="宋体"/>
                <w:szCs w:val="21"/>
              </w:rPr>
              <w:t>知网研学团队版服务平台</w:t>
            </w:r>
          </w:p>
        </w:tc>
        <w:tc>
          <w:tcPr>
            <w:tcW w:w="0" w:type="auto"/>
            <w:shd w:val="clear" w:color="auto" w:fill="FFFFFF"/>
            <w:vAlign w:val="center"/>
          </w:tcPr>
          <w:p w14:paraId="13A463C3">
            <w:pPr>
              <w:jc w:val="left"/>
              <w:rPr>
                <w:rFonts w:hint="eastAsia" w:ascii="宋体" w:hAnsi="宋体"/>
                <w:szCs w:val="21"/>
              </w:rPr>
            </w:pPr>
            <w:r>
              <w:rPr>
                <w:rFonts w:hint="eastAsia" w:ascii="宋体" w:hAnsi="宋体"/>
                <w:szCs w:val="21"/>
              </w:rPr>
              <w:t>1、包含知网总库的学术期刊、博硕、会议、报纸、年鉴数据库所有文献资源，数据量保持与知网五大源库一致。</w:t>
            </w:r>
          </w:p>
          <w:p w14:paraId="557E7C30">
            <w:pPr>
              <w:jc w:val="left"/>
              <w:rPr>
                <w:rFonts w:hint="eastAsia" w:ascii="宋体" w:hAnsi="宋体"/>
                <w:szCs w:val="21"/>
              </w:rPr>
            </w:pPr>
            <w:r>
              <w:rPr>
                <w:rFonts w:hint="eastAsia" w:ascii="宋体" w:hAnsi="宋体"/>
                <w:szCs w:val="21"/>
              </w:rPr>
              <w:t>2、提供Web端、PC端（可兼容Windows/Mac系统）、移动端（可兼容Android/iOS系统，APP和PAD）三端应用服务。</w:t>
            </w:r>
          </w:p>
          <w:p w14:paraId="4738A9E2">
            <w:pPr>
              <w:jc w:val="left"/>
              <w:rPr>
                <w:rFonts w:hint="eastAsia" w:ascii="宋体" w:hAnsi="宋体"/>
                <w:szCs w:val="21"/>
              </w:rPr>
            </w:pPr>
            <w:r>
              <w:rPr>
                <w:rFonts w:hint="eastAsia" w:ascii="宋体" w:hAnsi="宋体"/>
                <w:szCs w:val="21"/>
              </w:rPr>
              <w:t>3、同一账号，多端同步，单个用户可同步桌面端、移动端的5台设备数据。</w:t>
            </w:r>
          </w:p>
          <w:p w14:paraId="189CF1BF">
            <w:pPr>
              <w:jc w:val="left"/>
              <w:rPr>
                <w:rFonts w:hint="eastAsia" w:ascii="宋体" w:hAnsi="宋体"/>
                <w:szCs w:val="21"/>
              </w:rPr>
            </w:pPr>
            <w:r>
              <w:rPr>
                <w:rFonts w:hint="eastAsia" w:ascii="宋体" w:hAnsi="宋体"/>
                <w:szCs w:val="21"/>
              </w:rPr>
              <w:t>4、提供云服务模式，无IP限制</w:t>
            </w:r>
          </w:p>
          <w:p w14:paraId="285A45A2">
            <w:pPr>
              <w:jc w:val="left"/>
              <w:rPr>
                <w:rFonts w:hint="eastAsia" w:ascii="宋体" w:hAnsi="宋体"/>
                <w:szCs w:val="21"/>
              </w:rPr>
            </w:pPr>
            <w:r>
              <w:rPr>
                <w:rFonts w:hint="eastAsia" w:ascii="宋体" w:hAnsi="宋体"/>
                <w:szCs w:val="21"/>
              </w:rPr>
              <w:t>5、提供一框式检索、高级检索、专业检索、作者发文检索、句子检索等多种检索方式，可对检索结果进一步进行筛选分析，检索文献结果一键收藏管理，支持导出引文参考文献题录，支持可视化分析。</w:t>
            </w:r>
          </w:p>
          <w:p w14:paraId="78039362">
            <w:pPr>
              <w:jc w:val="left"/>
              <w:rPr>
                <w:rFonts w:hint="eastAsia" w:ascii="宋体" w:hAnsi="宋体"/>
                <w:szCs w:val="21"/>
              </w:rPr>
            </w:pPr>
            <w:r>
              <w:rPr>
                <w:rFonts w:hint="eastAsia" w:ascii="宋体" w:hAnsi="宋体"/>
                <w:szCs w:val="21"/>
              </w:rPr>
              <w:t>6、提供XML数据阅读，提供文献大纲阅读功能；提供笔记、划线、摘录以及相关标签和管理等操作；提供参考文献、引证文献一键链接，提供作者、关键词、机构等知网节链接功能；提供一键查询专业词汇释义功能；提供多项在线翻译功能；提供单篇、专题、引文文献三种类型的文献矩阵功能；提供手机扫码阅读，在线打印文献，查看PDF格式原文等功能。</w:t>
            </w:r>
          </w:p>
          <w:p w14:paraId="6A900A25">
            <w:pPr>
              <w:jc w:val="left"/>
              <w:rPr>
                <w:rFonts w:hint="eastAsia" w:ascii="宋体" w:hAnsi="宋体"/>
                <w:szCs w:val="21"/>
              </w:rPr>
            </w:pPr>
            <w:r>
              <w:rPr>
                <w:rFonts w:hint="eastAsia" w:ascii="宋体" w:hAnsi="宋体"/>
                <w:szCs w:val="21"/>
              </w:rPr>
              <w:t>7、提供在线创作功能，提供思维导图功能，提供思维导图生成创作大纲功能；可一键添加摘录、笔记、个人素材、收藏文献、知网在线文献等，并可自动生成参考文献；支持创作内容以Word、PDF格式导出到本地；支持个人创作上传至创作模板库中；提供版本对比功能；提供在线翻译功能。</w:t>
            </w:r>
          </w:p>
          <w:p w14:paraId="616564F2">
            <w:pPr>
              <w:jc w:val="left"/>
              <w:rPr>
                <w:rFonts w:hint="eastAsia" w:ascii="宋体" w:hAnsi="宋体"/>
                <w:szCs w:val="21"/>
              </w:rPr>
            </w:pPr>
            <w:r>
              <w:rPr>
                <w:rFonts w:hint="eastAsia" w:ascii="宋体" w:hAnsi="宋体"/>
                <w:szCs w:val="21"/>
              </w:rPr>
              <w:t>8、提供多种期刊官方投稿网址；可根据学科导航筛选，根据核心期刊、官方期刊、CBPT筛选期刊；提供投稿分析功能；针对文章的题目、摘要、关键词等信息，查找适合文章发表的期刊，提供匹配度，具备CBPT投稿网址和官网投稿网址的刊物，提供直接的投稿入口。</w:t>
            </w:r>
          </w:p>
          <w:p w14:paraId="49687253">
            <w:pPr>
              <w:jc w:val="left"/>
              <w:rPr>
                <w:rFonts w:hint="eastAsia" w:ascii="宋体" w:hAnsi="宋体"/>
                <w:szCs w:val="21"/>
              </w:rPr>
            </w:pPr>
            <w:r>
              <w:rPr>
                <w:rFonts w:hint="eastAsia" w:ascii="宋体" w:hAnsi="宋体"/>
                <w:szCs w:val="21"/>
              </w:rPr>
              <w:t>9、提供学术规范知识库，用户可以查看学术规范方面的法律道德准则、格式规范指导、高校学术规范、期刊论文规范、视频课程等学术规范相关文件。</w:t>
            </w:r>
          </w:p>
          <w:p w14:paraId="4A5F23D5">
            <w:pPr>
              <w:jc w:val="left"/>
              <w:rPr>
                <w:rFonts w:hint="eastAsia" w:ascii="宋体" w:hAnsi="宋体"/>
                <w:szCs w:val="21"/>
              </w:rPr>
            </w:pPr>
            <w:r>
              <w:rPr>
                <w:rFonts w:hint="eastAsia" w:ascii="宋体" w:hAnsi="宋体"/>
                <w:szCs w:val="21"/>
              </w:rPr>
              <w:t>10、提供学科资源包，基于学术大数据，发挥网络协同、聚合效应，实现知识服务。学科专家、学科编辑、研学用户对学科文献进行汇编、点评、导读，经专家审核后，推荐给由大数据技术画像的学习者，优化学习路径与资源，提供知识服务。</w:t>
            </w:r>
          </w:p>
          <w:p w14:paraId="2650E9A8">
            <w:pPr>
              <w:jc w:val="left"/>
              <w:rPr>
                <w:rFonts w:hint="eastAsia" w:ascii="宋体" w:hAnsi="宋体"/>
                <w:szCs w:val="21"/>
              </w:rPr>
            </w:pPr>
            <w:r>
              <w:rPr>
                <w:rFonts w:hint="eastAsia" w:ascii="宋体" w:hAnsi="宋体"/>
                <w:szCs w:val="21"/>
              </w:rPr>
              <w:t>11、提供个人知识管理功能；支持文献多终端管理，多条件筛选文献，个人各类学习资料、研究成果的终身管理；提供多种订阅功能，包含期刊订阅、学科订阅、主题订阅、RSS订阅模式。</w:t>
            </w:r>
          </w:p>
          <w:p w14:paraId="39CC7F57">
            <w:pPr>
              <w:jc w:val="left"/>
              <w:rPr>
                <w:rFonts w:hint="eastAsia" w:ascii="宋体" w:hAnsi="宋体"/>
                <w:szCs w:val="21"/>
              </w:rPr>
            </w:pPr>
            <w:r>
              <w:rPr>
                <w:rFonts w:hint="eastAsia" w:ascii="宋体" w:hAnsi="宋体"/>
                <w:szCs w:val="21"/>
              </w:rPr>
              <w:t>12、具备管理员管理账号，并提供相关管理功能，实现账号的管理和权限设定；提供后台统计分析功能，可统计用户的使用情况，包括登录、文献阅读、笔记摘录、创作文档数量等；提供群组统计、共享资料管理功能；提供用户管理功能。</w:t>
            </w:r>
          </w:p>
          <w:p w14:paraId="112105A7">
            <w:pPr>
              <w:jc w:val="left"/>
              <w:rPr>
                <w:rFonts w:hint="eastAsia" w:ascii="宋体" w:hAnsi="宋体"/>
                <w:szCs w:val="21"/>
              </w:rPr>
            </w:pPr>
            <w:r>
              <w:rPr>
                <w:rFonts w:hint="eastAsia" w:ascii="宋体" w:hAnsi="宋体"/>
                <w:szCs w:val="21"/>
              </w:rPr>
              <w:t>13、提供团队功能，支持团队资料共享、交流、学习任务发放等；提供自建个性化主题资源包，可直接添加知网研学文献及本地文献资料。</w:t>
            </w:r>
          </w:p>
          <w:p w14:paraId="76989CDA">
            <w:pPr>
              <w:jc w:val="left"/>
              <w:rPr>
                <w:rFonts w:hint="eastAsia" w:ascii="宋体" w:hAnsi="宋体"/>
                <w:szCs w:val="21"/>
                <w:lang w:val="en-US" w:eastAsia="zh-CN"/>
              </w:rPr>
            </w:pPr>
            <w:r>
              <w:rPr>
                <w:rFonts w:hint="eastAsia" w:ascii="宋体" w:hAnsi="宋体"/>
                <w:szCs w:val="21"/>
              </w:rPr>
              <w:t>14、要求系统采用B/S模式；系统提供云服务，无需提供服务器等硬件设备；支持谷歌、火狐等兼容性好的浏览器。</w:t>
            </w:r>
          </w:p>
        </w:tc>
        <w:tc>
          <w:tcPr>
            <w:tcW w:w="0" w:type="auto"/>
            <w:shd w:val="clear" w:color="auto" w:fill="FFFFFF"/>
            <w:vAlign w:val="center"/>
          </w:tcPr>
          <w:p w14:paraId="600B3409">
            <w:pPr>
              <w:jc w:val="center"/>
              <w:rPr>
                <w:rFonts w:hint="eastAsia" w:ascii="宋体" w:hAnsi="宋体"/>
                <w:szCs w:val="21"/>
                <w:lang w:val="en-US" w:eastAsia="zh-CN"/>
              </w:rPr>
            </w:pPr>
            <w:r>
              <w:rPr>
                <w:rFonts w:hint="eastAsia" w:ascii="宋体" w:hAnsi="宋体"/>
                <w:szCs w:val="21"/>
              </w:rPr>
              <w:t>套</w:t>
            </w:r>
          </w:p>
        </w:tc>
        <w:tc>
          <w:tcPr>
            <w:tcW w:w="0" w:type="auto"/>
            <w:shd w:val="clear" w:color="auto" w:fill="FFFFFF"/>
            <w:vAlign w:val="center"/>
          </w:tcPr>
          <w:p w14:paraId="6D6A36B5">
            <w:pPr>
              <w:jc w:val="center"/>
              <w:rPr>
                <w:rFonts w:hint="eastAsia" w:ascii="宋体" w:hAnsi="宋体"/>
                <w:szCs w:val="21"/>
                <w:lang w:val="en-US" w:eastAsia="zh-CN"/>
              </w:rPr>
            </w:pPr>
            <w:r>
              <w:rPr>
                <w:rFonts w:hint="eastAsia" w:ascii="宋体" w:hAnsi="宋体"/>
                <w:szCs w:val="21"/>
              </w:rPr>
              <w:t>1</w:t>
            </w:r>
          </w:p>
        </w:tc>
        <w:tc>
          <w:tcPr>
            <w:tcW w:w="0" w:type="auto"/>
            <w:shd w:val="clear" w:color="auto" w:fill="FFFFFF"/>
            <w:vAlign w:val="center"/>
          </w:tcPr>
          <w:p w14:paraId="080E356A">
            <w:pPr>
              <w:jc w:val="center"/>
              <w:rPr>
                <w:rFonts w:hint="eastAsia" w:ascii="宋体" w:hAnsi="宋体"/>
                <w:szCs w:val="21"/>
                <w:lang w:val="en-US" w:eastAsia="zh-CN"/>
              </w:rPr>
            </w:pPr>
            <w:r>
              <w:rPr>
                <w:rFonts w:hint="eastAsia" w:ascii="宋体" w:hAnsi="宋体"/>
                <w:szCs w:val="21"/>
              </w:rPr>
              <w:t>软件及信息技术服务业</w:t>
            </w:r>
          </w:p>
        </w:tc>
      </w:tr>
      <w:tr w14:paraId="7194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FFFFFF"/>
            <w:vAlign w:val="center"/>
          </w:tcPr>
          <w:p w14:paraId="2057E75E">
            <w:pPr>
              <w:jc w:val="center"/>
              <w:rPr>
                <w:rFonts w:hint="eastAsia" w:ascii="宋体" w:hAnsi="宋体"/>
                <w:szCs w:val="21"/>
                <w:lang w:val="en-US" w:eastAsia="zh-CN"/>
              </w:rPr>
            </w:pPr>
            <w:r>
              <w:rPr>
                <w:rFonts w:hint="eastAsia" w:ascii="宋体" w:hAnsi="宋体"/>
                <w:szCs w:val="21"/>
              </w:rPr>
              <w:t>8</w:t>
            </w:r>
          </w:p>
        </w:tc>
        <w:tc>
          <w:tcPr>
            <w:tcW w:w="0" w:type="auto"/>
            <w:shd w:val="clear" w:color="auto" w:fill="FFFFFF"/>
            <w:vAlign w:val="center"/>
          </w:tcPr>
          <w:p w14:paraId="75F5AAB5">
            <w:pPr>
              <w:jc w:val="center"/>
              <w:rPr>
                <w:rFonts w:hint="eastAsia" w:ascii="宋体" w:hAnsi="宋体"/>
                <w:szCs w:val="21"/>
                <w:lang w:val="en-US" w:eastAsia="zh-CN"/>
              </w:rPr>
            </w:pPr>
            <w:r>
              <w:rPr>
                <w:rFonts w:hint="eastAsia" w:ascii="宋体" w:hAnsi="宋体"/>
                <w:szCs w:val="21"/>
              </w:rPr>
              <w:t>ＡＩ馆员</w:t>
            </w:r>
          </w:p>
        </w:tc>
        <w:tc>
          <w:tcPr>
            <w:tcW w:w="0" w:type="auto"/>
            <w:shd w:val="clear" w:color="auto" w:fill="FFFFFF"/>
            <w:vAlign w:val="center"/>
          </w:tcPr>
          <w:p w14:paraId="46DD90A5">
            <w:pPr>
              <w:jc w:val="left"/>
              <w:rPr>
                <w:rFonts w:hint="eastAsia" w:ascii="宋体" w:hAnsi="宋体"/>
                <w:szCs w:val="21"/>
              </w:rPr>
            </w:pPr>
            <w:r>
              <w:rPr>
                <w:rFonts w:hint="eastAsia" w:ascii="宋体" w:hAnsi="宋体"/>
                <w:szCs w:val="21"/>
              </w:rPr>
              <w:t xml:space="preserve">1.AI智能馆员系统是人工智能通用大模型与图书馆行业专有垂直模型深度融合的产品。 </w:t>
            </w:r>
          </w:p>
          <w:p w14:paraId="11678FF1">
            <w:pPr>
              <w:jc w:val="left"/>
              <w:rPr>
                <w:rFonts w:hint="eastAsia" w:ascii="宋体" w:hAnsi="宋体"/>
                <w:szCs w:val="21"/>
              </w:rPr>
            </w:pPr>
            <w:r>
              <w:rPr>
                <w:rFonts w:hint="eastAsia" w:ascii="宋体" w:hAnsi="宋体"/>
                <w:szCs w:val="21"/>
              </w:rPr>
              <w:t>2、AI智能馆员系统包含电子资源检索、馆藏纸本资源检索、阅读辅助、资源推荐、常用工具调用、专属知识库等功能。</w:t>
            </w:r>
          </w:p>
          <w:p w14:paraId="4BCF6455">
            <w:pPr>
              <w:jc w:val="left"/>
              <w:rPr>
                <w:rFonts w:hint="eastAsia" w:ascii="宋体" w:hAnsi="宋体"/>
                <w:szCs w:val="21"/>
              </w:rPr>
            </w:pPr>
            <w:r>
              <w:rPr>
                <w:rFonts w:hint="eastAsia" w:ascii="宋体" w:hAnsi="宋体"/>
                <w:szCs w:val="21"/>
              </w:rPr>
              <w:t>3、AI智能馆员系统可以PC端、智能交互屏端、微信端、学习通端等多终端展示使用。</w:t>
            </w:r>
          </w:p>
          <w:p w14:paraId="5BE1E767">
            <w:pPr>
              <w:jc w:val="left"/>
              <w:rPr>
                <w:rFonts w:hint="eastAsia" w:ascii="宋体" w:hAnsi="宋体"/>
                <w:szCs w:val="21"/>
              </w:rPr>
            </w:pPr>
            <w:r>
              <w:rPr>
                <w:rFonts w:hint="eastAsia" w:ascii="宋体" w:hAnsi="宋体"/>
                <w:szCs w:val="21"/>
              </w:rPr>
              <w:t>4、AI智能馆员系统具有智能学习功能，根据用户行为自动记录待学习问题，超级管理员可进行一键学习或一键通过；</w:t>
            </w:r>
          </w:p>
          <w:p w14:paraId="70404C07">
            <w:pPr>
              <w:jc w:val="left"/>
              <w:rPr>
                <w:rFonts w:hint="eastAsia" w:ascii="宋体" w:hAnsi="宋体"/>
                <w:szCs w:val="21"/>
              </w:rPr>
            </w:pPr>
            <w:r>
              <w:rPr>
                <w:rFonts w:hint="eastAsia" w:ascii="宋体" w:hAnsi="宋体"/>
                <w:szCs w:val="21"/>
              </w:rPr>
              <w:t>5、AI智能馆员系统支持查询图书、期刊等文献，根据用户输入问题推荐相关文献；支持期刊元数据查看以及文献传递；</w:t>
            </w:r>
          </w:p>
          <w:p w14:paraId="09217F1F">
            <w:pPr>
              <w:jc w:val="left"/>
              <w:rPr>
                <w:rFonts w:hint="eastAsia" w:ascii="宋体" w:hAnsi="宋体"/>
                <w:szCs w:val="21"/>
                <w:lang w:val="en-US" w:eastAsia="zh-CN"/>
              </w:rPr>
            </w:pPr>
            <w:r>
              <w:rPr>
                <w:rFonts w:hint="eastAsia" w:ascii="宋体" w:hAnsi="宋体"/>
                <w:szCs w:val="21"/>
              </w:rPr>
              <w:t>6、AI智能馆员系统支持在后台操作问答库数据自动同步到文档库进行RAG识别。</w:t>
            </w:r>
          </w:p>
        </w:tc>
        <w:tc>
          <w:tcPr>
            <w:tcW w:w="0" w:type="auto"/>
            <w:shd w:val="clear" w:color="auto" w:fill="FFFFFF"/>
            <w:vAlign w:val="center"/>
          </w:tcPr>
          <w:p w14:paraId="435F0D20">
            <w:pPr>
              <w:jc w:val="center"/>
              <w:rPr>
                <w:rFonts w:hint="eastAsia" w:ascii="宋体" w:hAnsi="宋体"/>
                <w:szCs w:val="21"/>
                <w:lang w:val="en-US" w:eastAsia="zh-CN"/>
              </w:rPr>
            </w:pPr>
            <w:r>
              <w:rPr>
                <w:rFonts w:hint="eastAsia" w:ascii="宋体" w:hAnsi="宋体"/>
                <w:szCs w:val="21"/>
              </w:rPr>
              <w:t>套</w:t>
            </w:r>
          </w:p>
        </w:tc>
        <w:tc>
          <w:tcPr>
            <w:tcW w:w="0" w:type="auto"/>
            <w:shd w:val="clear" w:color="auto" w:fill="FFFFFF"/>
            <w:vAlign w:val="center"/>
          </w:tcPr>
          <w:p w14:paraId="1DE8D96B">
            <w:pPr>
              <w:jc w:val="center"/>
              <w:rPr>
                <w:rFonts w:hint="eastAsia" w:ascii="宋体" w:hAnsi="宋体"/>
                <w:szCs w:val="21"/>
                <w:lang w:val="en-US" w:eastAsia="zh-CN"/>
              </w:rPr>
            </w:pPr>
            <w:r>
              <w:rPr>
                <w:rFonts w:hint="eastAsia" w:ascii="宋体" w:hAnsi="宋体"/>
                <w:szCs w:val="21"/>
              </w:rPr>
              <w:t>1</w:t>
            </w:r>
          </w:p>
        </w:tc>
        <w:tc>
          <w:tcPr>
            <w:tcW w:w="0" w:type="auto"/>
            <w:shd w:val="clear" w:color="auto" w:fill="FFFFFF"/>
            <w:vAlign w:val="center"/>
          </w:tcPr>
          <w:p w14:paraId="1F920A39">
            <w:pPr>
              <w:jc w:val="center"/>
              <w:rPr>
                <w:rFonts w:hint="eastAsia" w:ascii="宋体" w:hAnsi="宋体"/>
                <w:szCs w:val="21"/>
                <w:lang w:val="en-US" w:eastAsia="zh-CN"/>
              </w:rPr>
            </w:pPr>
            <w:r>
              <w:rPr>
                <w:rFonts w:hint="eastAsia" w:ascii="宋体" w:hAnsi="宋体"/>
                <w:szCs w:val="21"/>
              </w:rPr>
              <w:t>软件及信息技术服务业</w:t>
            </w:r>
          </w:p>
        </w:tc>
      </w:tr>
      <w:tr w14:paraId="2C54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FFFFFF"/>
            <w:vAlign w:val="center"/>
          </w:tcPr>
          <w:p w14:paraId="01E0EE9B">
            <w:pPr>
              <w:jc w:val="center"/>
              <w:rPr>
                <w:rFonts w:hint="eastAsia" w:ascii="宋体" w:hAnsi="宋体"/>
                <w:szCs w:val="21"/>
                <w:lang w:val="en-US" w:eastAsia="zh-CN"/>
              </w:rPr>
            </w:pPr>
            <w:r>
              <w:rPr>
                <w:rFonts w:hint="eastAsia" w:ascii="宋体" w:hAnsi="宋体"/>
                <w:szCs w:val="21"/>
              </w:rPr>
              <w:t>9</w:t>
            </w:r>
          </w:p>
        </w:tc>
        <w:tc>
          <w:tcPr>
            <w:tcW w:w="0" w:type="auto"/>
            <w:shd w:val="clear" w:color="auto" w:fill="FFFFFF"/>
            <w:vAlign w:val="center"/>
          </w:tcPr>
          <w:p w14:paraId="175F4D46">
            <w:pPr>
              <w:jc w:val="center"/>
              <w:rPr>
                <w:rFonts w:hint="eastAsia" w:ascii="宋体" w:hAnsi="宋体"/>
                <w:szCs w:val="21"/>
                <w:lang w:val="en-US" w:eastAsia="zh-CN"/>
              </w:rPr>
            </w:pPr>
            <w:r>
              <w:rPr>
                <w:rFonts w:hint="eastAsia" w:ascii="宋体" w:hAnsi="宋体"/>
                <w:szCs w:val="21"/>
              </w:rPr>
              <w:t>高等教育多媒体库</w:t>
            </w:r>
          </w:p>
        </w:tc>
        <w:tc>
          <w:tcPr>
            <w:tcW w:w="0" w:type="auto"/>
            <w:shd w:val="clear" w:color="auto" w:fill="FFFFFF"/>
            <w:vAlign w:val="center"/>
          </w:tcPr>
          <w:p w14:paraId="6472D74D">
            <w:pPr>
              <w:jc w:val="left"/>
              <w:rPr>
                <w:rFonts w:hint="eastAsia" w:ascii="宋体" w:hAnsi="宋体"/>
                <w:szCs w:val="21"/>
              </w:rPr>
            </w:pPr>
            <w:r>
              <w:rPr>
                <w:rFonts w:hint="eastAsia" w:ascii="宋体" w:hAnsi="宋体"/>
                <w:szCs w:val="21"/>
              </w:rPr>
              <w:t>1、高等教育多媒体库应包含：材料与能源大类、电子信息大类、交通运输大类、土建大类、文化教育大类、制造大类、财经大类、医药卫生大类、艺术设计传媒大类、轻纺食品大类、农林牧渔大类、旅游大类、法律大类、生化与药品大类、资源开发与测绘大类、水利大类，平台容量及集数不少于3.1TB,不少于24797集，不少于820000分钟。</w:t>
            </w:r>
          </w:p>
          <w:p w14:paraId="5AFBDF67">
            <w:pPr>
              <w:jc w:val="left"/>
              <w:rPr>
                <w:rFonts w:hint="eastAsia" w:ascii="宋体" w:hAnsi="宋体"/>
                <w:szCs w:val="21"/>
              </w:rPr>
            </w:pPr>
            <w:r>
              <w:rPr>
                <w:rFonts w:hint="eastAsia" w:ascii="宋体" w:hAnsi="宋体"/>
                <w:szCs w:val="21"/>
              </w:rPr>
              <w:t>2、系统模块要求基于流媒体服务平台的解决方案，要求可以独立运营，整个模块需是基于B/S架构，采用VConnect服务内核，支持所有非媒体流格式，同时支持广域网任意拖拽，响应时间要极短。</w:t>
            </w:r>
          </w:p>
          <w:p w14:paraId="1E43CB42">
            <w:pPr>
              <w:jc w:val="left"/>
              <w:rPr>
                <w:rFonts w:hint="eastAsia" w:ascii="宋体" w:hAnsi="宋体"/>
                <w:szCs w:val="21"/>
              </w:rPr>
            </w:pPr>
            <w:r>
              <w:rPr>
                <w:rFonts w:hint="eastAsia" w:ascii="宋体" w:hAnsi="宋体"/>
                <w:szCs w:val="21"/>
              </w:rPr>
              <w:t>3、需采用标准HTTP协议，全面实现对多网卡、跨网段、跨路由、跨防火墙的支持。单服务器支持1000并发流（无缓冲）.</w:t>
            </w:r>
          </w:p>
          <w:p w14:paraId="6B3060C2">
            <w:pPr>
              <w:jc w:val="left"/>
              <w:rPr>
                <w:rFonts w:hint="eastAsia" w:ascii="宋体" w:hAnsi="宋体"/>
                <w:szCs w:val="21"/>
              </w:rPr>
            </w:pPr>
            <w:r>
              <w:rPr>
                <w:rFonts w:hint="eastAsia" w:ascii="宋体" w:hAnsi="宋体"/>
                <w:szCs w:val="21"/>
              </w:rPr>
              <w:t xml:space="preserve">4、需是基于PHP + MySQL 视频点播系统，要求运行效率高、功能完善、高安全性、压力承载能力强、用户接口丰富灵活. </w:t>
            </w:r>
          </w:p>
          <w:p w14:paraId="5A2D55D3">
            <w:pPr>
              <w:jc w:val="left"/>
              <w:rPr>
                <w:rFonts w:hint="eastAsia" w:ascii="宋体" w:hAnsi="宋体"/>
                <w:szCs w:val="21"/>
              </w:rPr>
            </w:pPr>
            <w:r>
              <w:rPr>
                <w:rFonts w:hint="eastAsia" w:ascii="宋体" w:hAnsi="宋体"/>
                <w:szCs w:val="21"/>
              </w:rPr>
              <w:t>5、要求采用H5+Flash Video技术进行视频媒体的传播，用户无需安装任何软件(如Real Player，Windows Media Player等)即可实现在线观看，</w:t>
            </w:r>
          </w:p>
          <w:p w14:paraId="510D13D9">
            <w:pPr>
              <w:jc w:val="left"/>
              <w:rPr>
                <w:rFonts w:hint="eastAsia" w:ascii="宋体" w:hAnsi="宋体"/>
                <w:szCs w:val="21"/>
              </w:rPr>
            </w:pPr>
            <w:r>
              <w:rPr>
                <w:rFonts w:hint="eastAsia" w:ascii="宋体" w:hAnsi="宋体"/>
                <w:szCs w:val="21"/>
              </w:rPr>
              <w:t>6、采用MP4 搭配H.264，实现高清流畅播放。</w:t>
            </w:r>
          </w:p>
          <w:p w14:paraId="62FE4DC2">
            <w:pPr>
              <w:jc w:val="left"/>
              <w:rPr>
                <w:rFonts w:hint="eastAsia" w:ascii="宋体" w:hAnsi="宋体"/>
                <w:szCs w:val="21"/>
              </w:rPr>
            </w:pPr>
            <w:r>
              <w:rPr>
                <w:rFonts w:hint="eastAsia" w:ascii="宋体" w:hAnsi="宋体"/>
                <w:szCs w:val="21"/>
              </w:rPr>
              <w:t>7、支持广域网任意拖拽，响应时间极短。</w:t>
            </w:r>
          </w:p>
          <w:p w14:paraId="7E4EDDB5">
            <w:pPr>
              <w:jc w:val="left"/>
              <w:rPr>
                <w:rFonts w:hint="eastAsia" w:ascii="宋体" w:hAnsi="宋体"/>
                <w:szCs w:val="21"/>
              </w:rPr>
            </w:pPr>
            <w:r>
              <w:rPr>
                <w:rFonts w:hint="eastAsia" w:ascii="宋体" w:hAnsi="宋体"/>
                <w:szCs w:val="21"/>
              </w:rPr>
              <w:t>8、要求支持视频的在线分段截取下载。</w:t>
            </w:r>
          </w:p>
          <w:p w14:paraId="508467AB">
            <w:pPr>
              <w:jc w:val="left"/>
              <w:rPr>
                <w:rFonts w:hint="eastAsia" w:ascii="宋体" w:hAnsi="宋体"/>
                <w:szCs w:val="21"/>
              </w:rPr>
            </w:pPr>
            <w:r>
              <w:rPr>
                <w:rFonts w:hint="eastAsia" w:ascii="宋体" w:hAnsi="宋体"/>
                <w:szCs w:val="21"/>
              </w:rPr>
              <w:t>9、要求产品中每个视频右下角有二维码扫码功能，可以实现手机及移动终端的自适应界面在线观看。</w:t>
            </w:r>
          </w:p>
          <w:p w14:paraId="152C3C41">
            <w:pPr>
              <w:jc w:val="left"/>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、要求有严格的访问控制，基于IP或者用户的授权登录观看。</w:t>
            </w:r>
          </w:p>
        </w:tc>
        <w:tc>
          <w:tcPr>
            <w:tcW w:w="0" w:type="auto"/>
            <w:shd w:val="clear" w:color="auto" w:fill="FFFFFF"/>
            <w:vAlign w:val="center"/>
          </w:tcPr>
          <w:p w14:paraId="575190A3">
            <w:pPr>
              <w:jc w:val="center"/>
              <w:rPr>
                <w:rFonts w:hint="eastAsia" w:ascii="宋体" w:hAnsi="宋体"/>
                <w:szCs w:val="21"/>
                <w:lang w:val="en-US" w:eastAsia="zh-CN"/>
              </w:rPr>
            </w:pPr>
            <w:r>
              <w:rPr>
                <w:rFonts w:hint="eastAsia" w:ascii="宋体" w:hAnsi="宋体"/>
                <w:szCs w:val="21"/>
              </w:rPr>
              <w:t>套</w:t>
            </w:r>
          </w:p>
        </w:tc>
        <w:tc>
          <w:tcPr>
            <w:tcW w:w="0" w:type="auto"/>
            <w:shd w:val="clear" w:color="auto" w:fill="FFFFFF"/>
            <w:vAlign w:val="center"/>
          </w:tcPr>
          <w:p w14:paraId="45FAA5C2">
            <w:pPr>
              <w:jc w:val="center"/>
              <w:rPr>
                <w:rFonts w:hint="eastAsia" w:ascii="宋体" w:hAnsi="宋体"/>
                <w:szCs w:val="21"/>
                <w:lang w:val="en-US" w:eastAsia="zh-CN"/>
              </w:rPr>
            </w:pPr>
            <w:r>
              <w:rPr>
                <w:rFonts w:hint="eastAsia" w:ascii="宋体" w:hAnsi="宋体"/>
                <w:szCs w:val="21"/>
              </w:rPr>
              <w:t>1</w:t>
            </w:r>
          </w:p>
        </w:tc>
        <w:tc>
          <w:tcPr>
            <w:tcW w:w="0" w:type="auto"/>
            <w:shd w:val="clear" w:color="auto" w:fill="FFFFFF"/>
            <w:vAlign w:val="center"/>
          </w:tcPr>
          <w:p w14:paraId="73827D71">
            <w:pPr>
              <w:jc w:val="center"/>
              <w:rPr>
                <w:rFonts w:hint="eastAsia" w:ascii="宋体" w:hAnsi="宋体"/>
                <w:szCs w:val="21"/>
                <w:lang w:val="en-US" w:eastAsia="zh-CN"/>
              </w:rPr>
            </w:pPr>
            <w:r>
              <w:rPr>
                <w:rFonts w:hint="eastAsia" w:ascii="宋体" w:hAnsi="宋体"/>
                <w:szCs w:val="21"/>
              </w:rPr>
              <w:t>软件及信息技术服务业</w:t>
            </w:r>
          </w:p>
        </w:tc>
      </w:tr>
      <w:tr w14:paraId="0BA9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FFFFFF"/>
            <w:vAlign w:val="center"/>
          </w:tcPr>
          <w:p w14:paraId="7F3DEDF0">
            <w:pPr>
              <w:jc w:val="center"/>
              <w:rPr>
                <w:rFonts w:hint="eastAsia" w:ascii="宋体" w:hAnsi="宋体"/>
                <w:szCs w:val="21"/>
                <w:lang w:val="en-US" w:eastAsia="zh-CN"/>
              </w:rPr>
            </w:pPr>
            <w:r>
              <w:rPr>
                <w:rFonts w:hint="eastAsia" w:ascii="宋体" w:hAnsi="宋体"/>
                <w:szCs w:val="21"/>
              </w:rPr>
              <w:t>10</w:t>
            </w:r>
          </w:p>
        </w:tc>
        <w:tc>
          <w:tcPr>
            <w:tcW w:w="0" w:type="auto"/>
            <w:shd w:val="clear" w:color="auto" w:fill="FFFFFF"/>
            <w:vAlign w:val="center"/>
          </w:tcPr>
          <w:p w14:paraId="327C4C05">
            <w:pPr>
              <w:jc w:val="center"/>
              <w:rPr>
                <w:rFonts w:hint="eastAsia" w:ascii="宋体" w:hAnsi="宋体"/>
                <w:szCs w:val="21"/>
                <w:lang w:val="en-US" w:eastAsia="zh-CN"/>
              </w:rPr>
            </w:pPr>
            <w:r>
              <w:rPr>
                <w:rFonts w:hint="eastAsia" w:ascii="宋体" w:hAnsi="宋体"/>
                <w:szCs w:val="21"/>
              </w:rPr>
              <w:t>经纶知识服务平台</w:t>
            </w:r>
          </w:p>
        </w:tc>
        <w:tc>
          <w:tcPr>
            <w:tcW w:w="0" w:type="auto"/>
            <w:shd w:val="clear" w:color="auto" w:fill="FFFFFF"/>
            <w:vAlign w:val="center"/>
          </w:tcPr>
          <w:p w14:paraId="7895404E">
            <w:pPr>
              <w:jc w:val="left"/>
              <w:rPr>
                <w:rFonts w:hint="eastAsia" w:ascii="宋体" w:hAnsi="宋体"/>
                <w:szCs w:val="21"/>
              </w:rPr>
            </w:pPr>
            <w:r>
              <w:rPr>
                <w:rFonts w:hint="eastAsia" w:ascii="宋体" w:hAnsi="宋体"/>
                <w:szCs w:val="21"/>
              </w:rPr>
              <w:t>1.提供全球文献知识检索服务，对中外文文献资源一站式发现。用户在检索结果页面中，可查看包含多种文献类型、多个文献来源的电子与纸本文献内容。</w:t>
            </w:r>
          </w:p>
          <w:p w14:paraId="49C405B0">
            <w:pPr>
              <w:jc w:val="left"/>
              <w:rPr>
                <w:rFonts w:hint="eastAsia" w:ascii="宋体" w:hAnsi="宋体"/>
                <w:szCs w:val="21"/>
              </w:rPr>
            </w:pPr>
            <w:r>
              <w:rPr>
                <w:rFonts w:hint="eastAsia" w:ascii="宋体" w:hAnsi="宋体"/>
                <w:szCs w:val="21"/>
              </w:rPr>
              <w:t>2.检索发现结果应按照检索条件的相关度进行综合排序，并支持按出版日期、学术相关性等方式进行排序。在检索结果中对与检索条件相匹配的内容进行标红显示。</w:t>
            </w:r>
          </w:p>
          <w:p w14:paraId="361C1179">
            <w:pPr>
              <w:jc w:val="left"/>
              <w:rPr>
                <w:rFonts w:hint="eastAsia" w:ascii="宋体" w:hAnsi="宋体"/>
                <w:szCs w:val="21"/>
              </w:rPr>
            </w:pPr>
            <w:r>
              <w:rPr>
                <w:rFonts w:hint="eastAsia" w:ascii="宋体" w:hAnsi="宋体"/>
                <w:szCs w:val="21"/>
              </w:rPr>
              <w:t>3.知识发现覆盖的文献数据规模不低于10亿条数据，类型包括中外文的期刊论文、图书、学位论文、会议论文、专利、标准、法规、资讯、视频、科技报告。</w:t>
            </w:r>
          </w:p>
          <w:p w14:paraId="0F2031EA">
            <w:pPr>
              <w:jc w:val="left"/>
              <w:rPr>
                <w:rFonts w:hint="eastAsia" w:ascii="宋体" w:hAnsi="宋体"/>
                <w:szCs w:val="21"/>
              </w:rPr>
            </w:pPr>
            <w:r>
              <w:rPr>
                <w:rFonts w:hint="eastAsia" w:ascii="宋体" w:hAnsi="宋体"/>
                <w:szCs w:val="21"/>
              </w:rPr>
              <w:t>4.其中中文期刊文献数不少于2亿篇，外文期刊文献数不少于4亿篇，电子图书不少于250万种，学位论文不少于1300万篇，专利不少于1.7亿篇，法规不少于500万篇，司法案例不少于3000万篇。</w:t>
            </w:r>
          </w:p>
          <w:p w14:paraId="513FE764">
            <w:pPr>
              <w:jc w:val="left"/>
              <w:rPr>
                <w:rFonts w:hint="eastAsia" w:ascii="宋体" w:hAnsi="宋体"/>
                <w:szCs w:val="21"/>
              </w:rPr>
            </w:pPr>
            <w:r>
              <w:rPr>
                <w:rFonts w:hint="eastAsia" w:ascii="宋体" w:hAnsi="宋体"/>
                <w:szCs w:val="21"/>
              </w:rPr>
              <w:t>5.北大核心期刊不少于1990种，SCI期刊文献不少于6500万篇，EI期刊文献不少于2000万篇，scopus期刊文献不少于7000万篇。</w:t>
            </w:r>
          </w:p>
          <w:p w14:paraId="684BE4DE">
            <w:pPr>
              <w:jc w:val="left"/>
              <w:rPr>
                <w:rFonts w:hint="eastAsia" w:ascii="宋体" w:hAnsi="宋体"/>
                <w:szCs w:val="21"/>
              </w:rPr>
            </w:pPr>
            <w:r>
              <w:rPr>
                <w:rFonts w:hint="eastAsia" w:ascii="宋体" w:hAnsi="宋体"/>
                <w:szCs w:val="21"/>
              </w:rPr>
              <w:t>6.所有类型文献数据都同时标引中图分类号与教育部学科分类号。</w:t>
            </w:r>
          </w:p>
          <w:p w14:paraId="4B227A2A">
            <w:pPr>
              <w:jc w:val="left"/>
              <w:rPr>
                <w:rFonts w:hint="eastAsia" w:ascii="宋体" w:hAnsi="宋体"/>
                <w:szCs w:val="21"/>
              </w:rPr>
            </w:pPr>
            <w:r>
              <w:rPr>
                <w:rFonts w:hint="eastAsia" w:ascii="宋体" w:hAnsi="宋体"/>
                <w:szCs w:val="21"/>
              </w:rPr>
              <w:t>7.知识发现覆盖的元数据定期持续更新，与来源数据保持一致。更新周期延迟应该在合理范围内，期刊论文更新延迟不超过1周。全年更新元数据不低于1000万条。</w:t>
            </w:r>
          </w:p>
          <w:p w14:paraId="02D096BD">
            <w:pPr>
              <w:jc w:val="left"/>
              <w:rPr>
                <w:rFonts w:hint="eastAsia" w:ascii="宋体" w:hAnsi="宋体"/>
                <w:szCs w:val="21"/>
              </w:rPr>
            </w:pPr>
            <w:r>
              <w:rPr>
                <w:rFonts w:hint="eastAsia" w:ascii="宋体" w:hAnsi="宋体"/>
                <w:szCs w:val="21"/>
              </w:rPr>
              <w:t>8.文献发现结果中如果有来源多个数据库中的同一篇文献符合读者的检索要求，应在检索结果中的对相同内容合并显示，只保留一条结果记录，但要完整显示该文献的多个来源连接，允许读者选择获取全文的途径。</w:t>
            </w:r>
          </w:p>
          <w:p w14:paraId="6EC3AEA5">
            <w:pPr>
              <w:jc w:val="left"/>
              <w:rPr>
                <w:rFonts w:hint="eastAsia" w:ascii="宋体" w:hAnsi="宋体"/>
                <w:szCs w:val="21"/>
              </w:rPr>
            </w:pPr>
            <w:r>
              <w:rPr>
                <w:rFonts w:hint="eastAsia" w:ascii="宋体" w:hAnsi="宋体"/>
                <w:szCs w:val="21"/>
              </w:rPr>
              <w:t>9.支持切换不同的文献类型选择相应的检索入口，不限于图书、期刊、学位论文。不同的文献类型检索入口划分不同检索条件。提供高级检索与二次检索，高级检索可以根据元数据字段进行组合检索，包括标题、关键词、作者、isbn、issn、出版物名称、出版社、分类号、摘要、基金等。</w:t>
            </w:r>
          </w:p>
          <w:p w14:paraId="4EB16C8D">
            <w:pPr>
              <w:jc w:val="left"/>
              <w:rPr>
                <w:rFonts w:hint="eastAsia" w:ascii="宋体" w:hAnsi="宋体"/>
                <w:szCs w:val="21"/>
              </w:rPr>
            </w:pPr>
            <w:r>
              <w:rPr>
                <w:rFonts w:hint="eastAsia" w:ascii="宋体" w:hAnsi="宋体"/>
                <w:szCs w:val="21"/>
              </w:rPr>
              <w:t>10.文献发现可支持任意字段的精确匹配、模糊匹配、前置匹配等多种方式检索。支持读者输入复杂检索表达式进行检索。在检索结果中标识核心期刊</w:t>
            </w:r>
          </w:p>
          <w:p w14:paraId="5D89AD0D">
            <w:pPr>
              <w:jc w:val="left"/>
              <w:rPr>
                <w:rFonts w:hint="eastAsia" w:ascii="宋体" w:hAnsi="宋体"/>
                <w:szCs w:val="21"/>
              </w:rPr>
            </w:pPr>
            <w:r>
              <w:rPr>
                <w:rFonts w:hint="eastAsia" w:ascii="宋体" w:hAnsi="宋体"/>
                <w:szCs w:val="21"/>
              </w:rPr>
              <w:t>11.可整合纸本系统OPAC内容，通过元数据整合的方式，将图书馆纸本文献数据融合到知识发现结果中。检索纸本图书内容结果与OPAC的检索结果一致。结果详情中显示与OPAC中相同文献的详细信息，包括标题、丛书名、封面、作者、主题词、摘要、出版社、出版年、ISBN；馆藏状态，包括藏书位置、索书号、可借阅状态等。</w:t>
            </w:r>
          </w:p>
          <w:p w14:paraId="0FD05E34">
            <w:pPr>
              <w:jc w:val="left"/>
              <w:rPr>
                <w:rFonts w:hint="eastAsia" w:ascii="宋体" w:hAnsi="宋体"/>
                <w:szCs w:val="21"/>
              </w:rPr>
            </w:pPr>
            <w:r>
              <w:rPr>
                <w:rFonts w:hint="eastAsia" w:ascii="宋体" w:hAnsi="宋体"/>
                <w:szCs w:val="21"/>
              </w:rPr>
              <w:t>12.检索结果提供分面聚类的筛选，包括文献类型、出版年份、主题词、作者、学科分类、语言；支持将结果按引文、endnote、noteexpress等格式导出。</w:t>
            </w:r>
          </w:p>
          <w:p w14:paraId="7D0C663C">
            <w:pPr>
              <w:jc w:val="left"/>
              <w:rPr>
                <w:rFonts w:hint="eastAsia" w:ascii="宋体" w:hAnsi="宋体"/>
                <w:szCs w:val="21"/>
              </w:rPr>
            </w:pPr>
            <w:r>
              <w:rPr>
                <w:rFonts w:hint="eastAsia" w:ascii="宋体" w:hAnsi="宋体"/>
                <w:szCs w:val="21"/>
              </w:rPr>
              <w:t>13.文献的详细页面显示内容按不同文献类型显示元数据信息，在详情页提供来源链接，读者须点击该链接可直达文献原始访问位置。</w:t>
            </w:r>
          </w:p>
          <w:p w14:paraId="5FB6013A">
            <w:pPr>
              <w:jc w:val="left"/>
              <w:rPr>
                <w:rFonts w:hint="eastAsia" w:ascii="宋体" w:hAnsi="宋体"/>
                <w:szCs w:val="21"/>
              </w:rPr>
            </w:pPr>
            <w:r>
              <w:rPr>
                <w:rFonts w:hint="eastAsia" w:ascii="宋体" w:hAnsi="宋体"/>
                <w:szCs w:val="21"/>
              </w:rPr>
              <w:t>14.支持文献传递服务，且一小时内能获取相关文献资源；如果检索结果中的学术文献（期刊论文、图书、学位论文、会议论文、专利、标准、法律法规、司法案例、报纸等）无法直接获取全文，读者可以提交该文献传递申请，并通过智慧图书馆服务联盟协同以邮件的方式获取全文。</w:t>
            </w:r>
          </w:p>
          <w:p w14:paraId="6ED31ADC">
            <w:pPr>
              <w:jc w:val="left"/>
              <w:rPr>
                <w:rFonts w:hint="eastAsia" w:ascii="宋体" w:hAnsi="宋体"/>
                <w:szCs w:val="21"/>
              </w:rPr>
            </w:pPr>
            <w:r>
              <w:rPr>
                <w:rFonts w:hint="eastAsia" w:ascii="宋体" w:hAnsi="宋体"/>
                <w:szCs w:val="21"/>
              </w:rPr>
              <w:t>15.设有知识专辑功能，支持通过多种方式进行添加，如检索、收藏、借阅等。此外，还支持将专辑公开至“专辑大厅”，供全网读者浏览。在“专辑大厅”中，用户可通过检索、筛选等功能查找感兴趣的专辑，并获得热门专辑和同作者专辑的推荐。</w:t>
            </w:r>
          </w:p>
          <w:p w14:paraId="33846955">
            <w:pPr>
              <w:jc w:val="left"/>
              <w:rPr>
                <w:rFonts w:hint="eastAsia" w:ascii="宋体" w:hAnsi="宋体"/>
                <w:szCs w:val="21"/>
              </w:rPr>
            </w:pPr>
            <w:r>
              <w:rPr>
                <w:rFonts w:hint="eastAsia" w:ascii="宋体" w:hAnsi="宋体"/>
                <w:szCs w:val="21"/>
              </w:rPr>
              <w:t>16.采用web访问服务模式，判断用户IP登陆或者使用机构账号登陆。</w:t>
            </w:r>
          </w:p>
          <w:p w14:paraId="16DC308E">
            <w:pPr>
              <w:jc w:val="left"/>
              <w:rPr>
                <w:rFonts w:hint="eastAsia" w:ascii="宋体" w:hAnsi="宋体"/>
                <w:szCs w:val="21"/>
              </w:rPr>
            </w:pPr>
            <w:r>
              <w:rPr>
                <w:rFonts w:hint="eastAsia" w:ascii="宋体" w:hAnsi="宋体"/>
                <w:szCs w:val="21"/>
              </w:rPr>
              <w:t>17.支持个人漫游账号注册，读者可以在校外使用个人账号登陆使用文献。</w:t>
            </w:r>
          </w:p>
          <w:p w14:paraId="6429570D">
            <w:pPr>
              <w:jc w:val="left"/>
              <w:rPr>
                <w:rFonts w:hint="eastAsia" w:ascii="宋体" w:hAnsi="宋体"/>
                <w:szCs w:val="21"/>
              </w:rPr>
            </w:pPr>
            <w:r>
              <w:rPr>
                <w:rFonts w:hint="eastAsia" w:ascii="宋体" w:hAnsi="宋体"/>
                <w:szCs w:val="21"/>
              </w:rPr>
              <w:t>18.支持问答式资源 AI 搜索。配备意图识别智能体，可自动分析拆解用户问题或研究主题的检索意图。搜索智能体据此精准查询高度相关文献，并通过内置筛选机制，依据核心收录、影响因子、引用次数、发布年份等指标，提供高相关性参考文献。同时，学术问答智能体能够解答学术问题，并推荐相关问题。</w:t>
            </w:r>
          </w:p>
          <w:p w14:paraId="69EA9136">
            <w:pPr>
              <w:jc w:val="left"/>
              <w:rPr>
                <w:rFonts w:hint="eastAsia" w:ascii="宋体" w:hAnsi="宋体"/>
                <w:szCs w:val="21"/>
              </w:rPr>
            </w:pPr>
            <w:r>
              <w:rPr>
                <w:rFonts w:hint="eastAsia" w:ascii="宋体" w:hAnsi="宋体"/>
                <w:szCs w:val="21"/>
              </w:rPr>
              <w:t>19.AI 搜索结果资源揭示与功能支持。清晰展示本馆馆藏及非馆藏来源资源，涵盖期刊文献、学位论文、会议论文等类型。资源列表呈现标题、作者、年份、摘要、核心收录等关键信息，且在揭示资源的同时，提供原文来源指引、文献传递服务以及全文研读功能。</w:t>
            </w:r>
          </w:p>
          <w:p w14:paraId="479A7C07">
            <w:pPr>
              <w:jc w:val="left"/>
              <w:rPr>
                <w:rFonts w:hint="eastAsia" w:ascii="宋体" w:hAnsi="宋体"/>
                <w:szCs w:val="21"/>
              </w:rPr>
            </w:pPr>
            <w:r>
              <w:rPr>
                <w:rFonts w:hint="eastAsia" w:ascii="宋体" w:hAnsi="宋体"/>
                <w:szCs w:val="21"/>
              </w:rPr>
              <w:t>20.全文研读功能。支持查看 pdf 全文，提供文章总结、章节速览。研读时，用户可对选中的文本内容进行解释、翻译或自由提问 。其中，内容解释会结合全文将选中片段转化为通俗易懂的表述，并阐释学术名词；翻译针对选中片段，结合全文语境进行；自由提问功能则依据全文内容，对用户问题作出准确解答。</w:t>
            </w:r>
          </w:p>
          <w:p w14:paraId="09A9FDF4">
            <w:pPr>
              <w:jc w:val="left"/>
              <w:rPr>
                <w:rFonts w:hint="eastAsia" w:ascii="宋体" w:hAnsi="宋体"/>
                <w:szCs w:val="21"/>
                <w:lang w:val="en-US" w:eastAsia="zh-CN"/>
              </w:rPr>
            </w:pPr>
            <w:r>
              <w:rPr>
                <w:rFonts w:hint="eastAsia" w:ascii="宋体" w:hAnsi="宋体"/>
                <w:szCs w:val="21"/>
              </w:rPr>
              <w:t>21.搜索框嵌入，支持以搜索框形式嵌入门户网站，包含统一搜索、AI 搜索功能，支持以iframe框、form表单方式嵌入，搜索框支持按文献类型筛选。</w:t>
            </w:r>
          </w:p>
        </w:tc>
        <w:tc>
          <w:tcPr>
            <w:tcW w:w="0" w:type="auto"/>
            <w:shd w:val="clear" w:color="auto" w:fill="FFFFFF"/>
            <w:vAlign w:val="center"/>
          </w:tcPr>
          <w:p w14:paraId="5AFD03ED">
            <w:pPr>
              <w:jc w:val="center"/>
              <w:rPr>
                <w:rFonts w:hint="eastAsia" w:ascii="宋体" w:hAnsi="宋体"/>
                <w:szCs w:val="21"/>
                <w:lang w:val="en-US" w:eastAsia="zh-CN"/>
              </w:rPr>
            </w:pPr>
            <w:r>
              <w:rPr>
                <w:rFonts w:hint="eastAsia" w:ascii="宋体" w:hAnsi="宋体"/>
                <w:szCs w:val="21"/>
              </w:rPr>
              <w:t>套</w:t>
            </w:r>
          </w:p>
        </w:tc>
        <w:tc>
          <w:tcPr>
            <w:tcW w:w="0" w:type="auto"/>
            <w:shd w:val="clear" w:color="auto" w:fill="FFFFFF"/>
            <w:vAlign w:val="center"/>
          </w:tcPr>
          <w:p w14:paraId="0438F017">
            <w:pPr>
              <w:jc w:val="center"/>
              <w:rPr>
                <w:rFonts w:hint="eastAsia" w:ascii="宋体" w:hAnsi="宋体"/>
                <w:szCs w:val="21"/>
                <w:lang w:val="en-US" w:eastAsia="zh-CN"/>
              </w:rPr>
            </w:pPr>
            <w:r>
              <w:rPr>
                <w:rFonts w:hint="eastAsia" w:ascii="宋体" w:hAnsi="宋体"/>
                <w:szCs w:val="21"/>
              </w:rPr>
              <w:t>1</w:t>
            </w:r>
          </w:p>
        </w:tc>
        <w:tc>
          <w:tcPr>
            <w:tcW w:w="0" w:type="auto"/>
            <w:shd w:val="clear" w:color="auto" w:fill="FFFFFF"/>
            <w:vAlign w:val="center"/>
          </w:tcPr>
          <w:p w14:paraId="3FF8351D">
            <w:pPr>
              <w:jc w:val="center"/>
              <w:rPr>
                <w:rFonts w:hint="eastAsia" w:ascii="宋体" w:hAnsi="宋体"/>
                <w:szCs w:val="21"/>
                <w:lang w:val="en-US" w:eastAsia="zh-CN"/>
              </w:rPr>
            </w:pPr>
            <w:r>
              <w:rPr>
                <w:rFonts w:hint="eastAsia" w:ascii="宋体" w:hAnsi="宋体"/>
                <w:szCs w:val="21"/>
              </w:rPr>
              <w:t>软件及信息技术服务业</w:t>
            </w:r>
          </w:p>
        </w:tc>
      </w:tr>
      <w:tr w14:paraId="4AD9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shd w:val="clear" w:color="auto" w:fill="FFFFFF"/>
            <w:vAlign w:val="center"/>
          </w:tcPr>
          <w:p w14:paraId="72D88547">
            <w:pPr>
              <w:jc w:val="center"/>
              <w:rPr>
                <w:rFonts w:hint="eastAsia" w:ascii="宋体" w:hAnsi="宋体"/>
                <w:szCs w:val="21"/>
                <w:lang w:val="en-US" w:eastAsia="zh-CN"/>
              </w:rPr>
            </w:pPr>
            <w:r>
              <w:rPr>
                <w:rFonts w:hint="eastAsia" w:ascii="宋体" w:hAnsi="宋体"/>
                <w:szCs w:val="21"/>
              </w:rPr>
              <w:t>11</w:t>
            </w:r>
          </w:p>
        </w:tc>
        <w:tc>
          <w:tcPr>
            <w:tcW w:w="0" w:type="auto"/>
            <w:shd w:val="clear" w:color="auto" w:fill="FFFFFF"/>
            <w:vAlign w:val="center"/>
          </w:tcPr>
          <w:p w14:paraId="29C6B139">
            <w:pPr>
              <w:jc w:val="center"/>
              <w:rPr>
                <w:rFonts w:hint="eastAsia" w:ascii="宋体" w:hAnsi="宋体"/>
                <w:szCs w:val="21"/>
                <w:lang w:val="en-US" w:eastAsia="zh-CN"/>
              </w:rPr>
            </w:pPr>
            <w:r>
              <w:rPr>
                <w:rFonts w:hint="eastAsia" w:ascii="宋体" w:hAnsi="宋体"/>
                <w:szCs w:val="21"/>
              </w:rPr>
              <w:t>高校信息素养教育数据库</w:t>
            </w:r>
          </w:p>
        </w:tc>
        <w:tc>
          <w:tcPr>
            <w:tcW w:w="0" w:type="auto"/>
            <w:shd w:val="clear" w:color="auto" w:fill="FFFFFF"/>
            <w:vAlign w:val="center"/>
          </w:tcPr>
          <w:p w14:paraId="0D63FE5E">
            <w:pPr>
              <w:jc w:val="left"/>
              <w:rPr>
                <w:rFonts w:hint="eastAsia" w:ascii="宋体" w:hAnsi="宋体"/>
                <w:szCs w:val="21"/>
              </w:rPr>
            </w:pPr>
            <w:r>
              <w:rPr>
                <w:rFonts w:hint="eastAsia" w:ascii="宋体" w:hAnsi="宋体"/>
                <w:szCs w:val="21"/>
              </w:rPr>
              <w:t>1、高校信息素养教育数据库应包含：材料与能源大类、电子信息大类、交通运输大类、土建大类、文化教育大类、制造大类、财经大类、医药卫生大类、艺术设计传媒大类、轻纺食品大类、农林牧渔大类、旅游大类、法律大类、生化与药品大类、资源开发与测绘大类、水利大类，平台容量及集数不少于3.1TB,不少于24797集，不少于820000分钟。</w:t>
            </w:r>
          </w:p>
          <w:p w14:paraId="273EB7D4">
            <w:pPr>
              <w:jc w:val="left"/>
              <w:rPr>
                <w:rFonts w:hint="eastAsia" w:ascii="宋体" w:hAnsi="宋体"/>
                <w:szCs w:val="21"/>
              </w:rPr>
            </w:pPr>
            <w:r>
              <w:rPr>
                <w:rFonts w:hint="eastAsia" w:ascii="宋体" w:hAnsi="宋体"/>
                <w:szCs w:val="21"/>
              </w:rPr>
              <w:t>2、系统模块要求基于流媒体服务平台的解决方案，要求可以独立运营，整个模块需是基于B/S架构，采用VConnect服务内核，支持所有非媒体流格式，同时支持广域网任意拖拽，响应时间要极短。</w:t>
            </w:r>
          </w:p>
          <w:p w14:paraId="6B8095D2">
            <w:pPr>
              <w:jc w:val="left"/>
              <w:rPr>
                <w:rFonts w:hint="eastAsia" w:ascii="宋体" w:hAnsi="宋体"/>
                <w:szCs w:val="21"/>
              </w:rPr>
            </w:pPr>
            <w:r>
              <w:rPr>
                <w:rFonts w:hint="eastAsia" w:ascii="宋体" w:hAnsi="宋体"/>
                <w:szCs w:val="21"/>
              </w:rPr>
              <w:t>3、需采用标准HTTP协议，全面实现对多网卡、跨网段、跨路由、跨防火墙的支持。单服务器支持1000并发流（无缓冲）.</w:t>
            </w:r>
          </w:p>
          <w:p w14:paraId="10BE8BA2">
            <w:pPr>
              <w:jc w:val="left"/>
              <w:rPr>
                <w:rFonts w:hint="eastAsia" w:ascii="宋体" w:hAnsi="宋体"/>
                <w:szCs w:val="21"/>
              </w:rPr>
            </w:pPr>
            <w:r>
              <w:rPr>
                <w:rFonts w:hint="eastAsia" w:ascii="宋体" w:hAnsi="宋体"/>
                <w:szCs w:val="21"/>
              </w:rPr>
              <w:t xml:space="preserve">4、需是基于PHP + MySQL 视频点播系统，要求运行效率高、功能完善、高安全性、压力承载能力强、用户接口丰富灵活. </w:t>
            </w:r>
          </w:p>
          <w:p w14:paraId="7F7B3933">
            <w:pPr>
              <w:jc w:val="left"/>
              <w:rPr>
                <w:rFonts w:hint="eastAsia" w:ascii="宋体" w:hAnsi="宋体"/>
                <w:szCs w:val="21"/>
              </w:rPr>
            </w:pPr>
            <w:r>
              <w:rPr>
                <w:rFonts w:hint="eastAsia" w:ascii="宋体" w:hAnsi="宋体"/>
                <w:szCs w:val="21"/>
              </w:rPr>
              <w:t>5、要求采用H5+Flash Video技术进行视频媒体的传播，用户无需安装任何软件(如Real Player，Windows Media Player等)即可实现在线观看，</w:t>
            </w:r>
          </w:p>
          <w:p w14:paraId="77F06989">
            <w:pPr>
              <w:jc w:val="left"/>
              <w:rPr>
                <w:rFonts w:hint="eastAsia" w:ascii="宋体" w:hAnsi="宋体"/>
                <w:szCs w:val="21"/>
              </w:rPr>
            </w:pPr>
            <w:r>
              <w:rPr>
                <w:rFonts w:hint="eastAsia" w:ascii="宋体" w:hAnsi="宋体"/>
                <w:szCs w:val="21"/>
              </w:rPr>
              <w:t>6、采用MP4 搭配H.264，实现高清流畅播放。</w:t>
            </w:r>
          </w:p>
          <w:p w14:paraId="3CC798DF">
            <w:pPr>
              <w:jc w:val="left"/>
              <w:rPr>
                <w:rFonts w:hint="eastAsia" w:ascii="宋体" w:hAnsi="宋体"/>
                <w:szCs w:val="21"/>
              </w:rPr>
            </w:pPr>
            <w:r>
              <w:rPr>
                <w:rFonts w:hint="eastAsia" w:ascii="宋体" w:hAnsi="宋体"/>
                <w:szCs w:val="21"/>
              </w:rPr>
              <w:t>7、支持广域网任意拖拽，响应时间极短。</w:t>
            </w:r>
          </w:p>
          <w:p w14:paraId="02C4FF24">
            <w:pPr>
              <w:jc w:val="left"/>
              <w:rPr>
                <w:rFonts w:hint="eastAsia" w:ascii="宋体" w:hAnsi="宋体"/>
                <w:szCs w:val="21"/>
              </w:rPr>
            </w:pPr>
            <w:r>
              <w:rPr>
                <w:rFonts w:hint="eastAsia" w:ascii="宋体" w:hAnsi="宋体"/>
                <w:szCs w:val="21"/>
              </w:rPr>
              <w:t>8、要求支持视频的在线分段截取下载。</w:t>
            </w:r>
          </w:p>
          <w:p w14:paraId="08CB8337">
            <w:pPr>
              <w:jc w:val="left"/>
              <w:rPr>
                <w:rFonts w:hint="eastAsia" w:ascii="宋体" w:hAnsi="宋体"/>
                <w:szCs w:val="21"/>
              </w:rPr>
            </w:pPr>
            <w:r>
              <w:rPr>
                <w:rFonts w:hint="eastAsia" w:ascii="宋体" w:hAnsi="宋体"/>
                <w:szCs w:val="21"/>
              </w:rPr>
              <w:t>9、要求产品中每个视频右下角有二维码扫码功能，可以实现手机及移动终端的自适应界面在线观看。</w:t>
            </w:r>
          </w:p>
          <w:p w14:paraId="4AA2C371">
            <w:pPr>
              <w:jc w:val="left"/>
              <w:rPr>
                <w:rFonts w:hint="eastAsia" w:ascii="宋体" w:hAnsi="宋体"/>
                <w:szCs w:val="21"/>
                <w:lang w:val="en-US" w:eastAsia="zh-CN"/>
              </w:rPr>
            </w:pPr>
            <w:r>
              <w:rPr>
                <w:rFonts w:hint="eastAsia" w:ascii="宋体" w:hAnsi="宋体"/>
                <w:szCs w:val="21"/>
              </w:rPr>
              <w:t>10、要求有严格的访问控制，基于IP或者用户的授权登录观看。</w:t>
            </w:r>
          </w:p>
        </w:tc>
        <w:tc>
          <w:tcPr>
            <w:tcW w:w="0" w:type="auto"/>
            <w:shd w:val="clear" w:color="auto" w:fill="FFFFFF"/>
            <w:vAlign w:val="center"/>
          </w:tcPr>
          <w:p w14:paraId="31E659C2">
            <w:pPr>
              <w:jc w:val="center"/>
              <w:rPr>
                <w:rFonts w:hint="eastAsia" w:ascii="宋体" w:hAnsi="宋体"/>
                <w:szCs w:val="21"/>
                <w:lang w:val="en-US" w:eastAsia="zh-CN"/>
              </w:rPr>
            </w:pPr>
            <w:r>
              <w:rPr>
                <w:rFonts w:hint="eastAsia" w:ascii="宋体" w:hAnsi="宋体"/>
                <w:szCs w:val="21"/>
              </w:rPr>
              <w:t>套</w:t>
            </w:r>
          </w:p>
        </w:tc>
        <w:tc>
          <w:tcPr>
            <w:tcW w:w="0" w:type="auto"/>
            <w:shd w:val="clear" w:color="auto" w:fill="FFFFFF"/>
            <w:vAlign w:val="center"/>
          </w:tcPr>
          <w:p w14:paraId="207C0F5E">
            <w:pPr>
              <w:jc w:val="center"/>
              <w:rPr>
                <w:rFonts w:hint="eastAsia" w:ascii="宋体" w:hAnsi="宋体"/>
                <w:szCs w:val="21"/>
                <w:lang w:val="en-US" w:eastAsia="zh-CN"/>
              </w:rPr>
            </w:pPr>
            <w:r>
              <w:rPr>
                <w:rFonts w:hint="eastAsia" w:ascii="宋体" w:hAnsi="宋体"/>
                <w:szCs w:val="21"/>
              </w:rPr>
              <w:t>1</w:t>
            </w:r>
          </w:p>
        </w:tc>
        <w:tc>
          <w:tcPr>
            <w:tcW w:w="0" w:type="auto"/>
            <w:shd w:val="clear" w:color="auto" w:fill="FFFFFF"/>
            <w:vAlign w:val="center"/>
          </w:tcPr>
          <w:p w14:paraId="4226F049">
            <w:pPr>
              <w:jc w:val="center"/>
              <w:rPr>
                <w:rFonts w:hint="eastAsia" w:ascii="宋体" w:hAnsi="宋体"/>
                <w:szCs w:val="21"/>
                <w:lang w:val="en-US" w:eastAsia="zh-CN"/>
              </w:rPr>
            </w:pPr>
            <w:r>
              <w:rPr>
                <w:rFonts w:hint="eastAsia" w:ascii="宋体" w:hAnsi="宋体"/>
                <w:szCs w:val="21"/>
              </w:rPr>
              <w:t>软件及信息技术服务业</w:t>
            </w:r>
          </w:p>
        </w:tc>
      </w:tr>
    </w:tbl>
    <w:p w14:paraId="6D562781">
      <w:pPr>
        <w:spacing w:line="360" w:lineRule="auto"/>
        <w:ind w:firstLine="482" w:firstLineChars="2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本项目核心产品为：序号</w:t>
      </w:r>
      <w:r>
        <w:rPr>
          <w:rFonts w:hint="eastAsia" w:cs="仿宋_GB2312" w:asciiTheme="minorEastAsia" w:hAnsiTheme="minorEastAsia"/>
          <w:b/>
          <w:sz w:val="24"/>
          <w:szCs w:val="24"/>
          <w:lang w:val="en-US" w:eastAsia="zh-CN"/>
        </w:rPr>
        <w:t>1</w:t>
      </w:r>
    </w:p>
    <w:p w14:paraId="63A8781B">
      <w:pPr>
        <w:widowControl/>
        <w:shd w:val="clear" w:color="auto" w:fill="FFFFFF"/>
        <w:spacing w:line="360" w:lineRule="auto"/>
        <w:ind w:firstLine="482" w:firstLineChars="200"/>
        <w:contextualSpacing/>
        <w:jc w:val="left"/>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本采购清单中所列技术规格或主要参数为最低要求，需对上述参数进行实质性响应，不允许负偏离，否则将承担其投标被视为非实质性响应投标的风险。</w:t>
      </w:r>
    </w:p>
    <w:p w14:paraId="48D5561B">
      <w:pPr>
        <w:widowControl/>
        <w:shd w:val="clear" w:color="auto" w:fill="FFFFFF"/>
        <w:spacing w:line="360" w:lineRule="auto"/>
        <w:ind w:firstLine="6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三、技术要求</w:t>
      </w:r>
    </w:p>
    <w:p w14:paraId="2013F3F3">
      <w:pPr>
        <w:widowControl/>
        <w:shd w:val="clear" w:color="auto" w:fill="FFFFFF"/>
        <w:spacing w:line="360" w:lineRule="auto"/>
        <w:ind w:firstLine="480" w:firstLineChars="2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1、免费现场培训</w:t>
      </w:r>
    </w:p>
    <w:p w14:paraId="462B0C94">
      <w:pPr>
        <w:widowControl/>
        <w:shd w:val="clear" w:color="auto" w:fill="FFFFFF"/>
        <w:spacing w:line="360" w:lineRule="auto"/>
        <w:ind w:firstLine="480" w:firstLineChars="2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在使用期内，加强对我院师生使用数据库资源的培训，使师生尽快了解使用，为采购单位每年至少提供2场免费现场培训。使任何读者可以在校园网内，利用任意可上网的计算机登录视频库进行学习。投标人根据用户需求提供免费咨询服务，通过图书馆微信公众号活动、线下现场宣传等途径推广，发挥其应用的作用。（需提供培训方案，格式自拟）</w:t>
      </w:r>
    </w:p>
    <w:p w14:paraId="4F4CF494">
      <w:pPr>
        <w:widowControl/>
        <w:shd w:val="clear" w:color="auto" w:fill="FFFFFF"/>
        <w:spacing w:line="360" w:lineRule="auto"/>
        <w:ind w:firstLine="480" w:firstLineChars="2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2、产品免费质保期</w:t>
      </w:r>
    </w:p>
    <w:p w14:paraId="6A4B53AA">
      <w:pPr>
        <w:widowControl/>
        <w:shd w:val="clear" w:color="auto" w:fill="FFFFFF"/>
        <w:spacing w:line="360" w:lineRule="auto"/>
        <w:ind w:firstLine="480" w:firstLineChars="2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免费质保期为自采购人出具验收合格报告之日起至少一年。</w:t>
      </w:r>
    </w:p>
    <w:p w14:paraId="386FA446">
      <w:pPr>
        <w:widowControl/>
        <w:shd w:val="clear" w:color="auto" w:fill="FFFFFF"/>
        <w:spacing w:line="360" w:lineRule="auto"/>
        <w:ind w:firstLine="480" w:firstLineChars="2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3、对项目中涉及软件产品的基本要求</w:t>
      </w:r>
    </w:p>
    <w:p w14:paraId="5E82E088">
      <w:pPr>
        <w:widowControl/>
        <w:shd w:val="clear" w:color="auto" w:fill="FFFFFF"/>
        <w:spacing w:line="360" w:lineRule="auto"/>
        <w:ind w:firstLine="6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（1）投标人必须承诺保证提供的软件产品为该公司截止投标日期的软件最新版本（正版软件），</w:t>
      </w:r>
      <w:r>
        <w:rPr>
          <w:rFonts w:hint="eastAsia" w:ascii="宋体" w:hAnsi="Calibri" w:eastAsia="宋体" w:cs="宋体"/>
          <w:b/>
          <w:bCs/>
          <w:kern w:val="0"/>
          <w:sz w:val="24"/>
          <w:szCs w:val="24"/>
          <w:highlight w:val="white"/>
          <w:lang w:val="zh-CN"/>
        </w:rPr>
        <w:t>投标文件中须提供承诺函</w:t>
      </w:r>
      <w:r>
        <w:rPr>
          <w:rFonts w:hint="eastAsia" w:ascii="宋体" w:hAnsi="Calibri" w:eastAsia="宋体" w:cs="宋体"/>
          <w:kern w:val="0"/>
          <w:sz w:val="24"/>
          <w:szCs w:val="24"/>
          <w:highlight w:val="white"/>
          <w:lang w:val="zh-CN"/>
        </w:rPr>
        <w:t>。</w:t>
      </w:r>
    </w:p>
    <w:p w14:paraId="3AA1D548">
      <w:pPr>
        <w:widowControl/>
        <w:shd w:val="clear" w:color="auto" w:fill="FFFFFF"/>
        <w:spacing w:line="360" w:lineRule="auto"/>
        <w:ind w:firstLine="6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（2）投标人必须承诺保证提供的软件产品都具有在中国境内的合法使用权，</w:t>
      </w:r>
      <w:r>
        <w:rPr>
          <w:rFonts w:hint="eastAsia" w:ascii="宋体" w:hAnsi="Calibri" w:eastAsia="宋体" w:cs="宋体"/>
          <w:b/>
          <w:bCs/>
          <w:kern w:val="0"/>
          <w:sz w:val="24"/>
          <w:szCs w:val="24"/>
          <w:highlight w:val="white"/>
          <w:lang w:val="zh-CN"/>
        </w:rPr>
        <w:t>投标文件中须提供承诺函</w:t>
      </w:r>
      <w:r>
        <w:rPr>
          <w:rFonts w:hint="eastAsia" w:ascii="宋体" w:hAnsi="Calibri" w:eastAsia="宋体" w:cs="宋体"/>
          <w:kern w:val="0"/>
          <w:sz w:val="24"/>
          <w:szCs w:val="24"/>
          <w:highlight w:val="white"/>
          <w:lang w:val="zh-CN"/>
        </w:rPr>
        <w:t>。</w:t>
      </w:r>
    </w:p>
    <w:p w14:paraId="573A6A5A">
      <w:pPr>
        <w:widowControl/>
        <w:shd w:val="clear" w:color="auto" w:fill="FFFFFF"/>
        <w:spacing w:line="360" w:lineRule="auto"/>
        <w:ind w:firstLine="6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（3）投标人必须承诺采购清单中所提供的产品及服务需保证无侵权行为，</w:t>
      </w:r>
      <w:r>
        <w:rPr>
          <w:rFonts w:hint="eastAsia" w:ascii="宋体" w:hAnsi="Calibri" w:eastAsia="宋体" w:cs="宋体"/>
          <w:b/>
          <w:bCs/>
          <w:kern w:val="0"/>
          <w:sz w:val="24"/>
          <w:szCs w:val="24"/>
          <w:highlight w:val="white"/>
          <w:lang w:val="zh-CN"/>
        </w:rPr>
        <w:t>投标文件中须提供承诺函</w:t>
      </w:r>
      <w:r>
        <w:rPr>
          <w:rFonts w:hint="eastAsia" w:ascii="宋体" w:hAnsi="Calibri" w:eastAsia="宋体" w:cs="宋体"/>
          <w:kern w:val="0"/>
          <w:sz w:val="24"/>
          <w:szCs w:val="24"/>
          <w:highlight w:val="white"/>
          <w:lang w:val="zh-CN"/>
        </w:rPr>
        <w:t>。</w:t>
      </w:r>
    </w:p>
    <w:p w14:paraId="12409C90">
      <w:pPr>
        <w:widowControl/>
        <w:shd w:val="clear" w:color="auto" w:fill="FFFFFF"/>
        <w:spacing w:line="360" w:lineRule="auto"/>
        <w:ind w:firstLine="6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（4）采购清单序号1电子图书数据库平台免费支持与学校正在使用的学习通、读秀、移动图书馆等平台无缝对接。并可提供馆外访问及第三方认证对接。</w:t>
      </w:r>
    </w:p>
    <w:p w14:paraId="451028DB">
      <w:pPr>
        <w:widowControl/>
        <w:shd w:val="clear" w:color="auto" w:fill="FFFFFF"/>
        <w:spacing w:line="360" w:lineRule="auto"/>
        <w:ind w:firstLine="6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四、商务要求</w:t>
      </w:r>
    </w:p>
    <w:p w14:paraId="3AAC5B84">
      <w:pPr>
        <w:widowControl/>
        <w:shd w:val="clear" w:color="auto" w:fill="FFFFFF"/>
        <w:spacing w:line="360" w:lineRule="auto"/>
        <w:ind w:firstLine="480" w:firstLineChars="200"/>
        <w:contextualSpacing/>
        <w:jc w:val="left"/>
        <w:rPr>
          <w:rFonts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1、交付（实施）时间（期限）：自合同生效之日起30日历天。</w:t>
      </w:r>
    </w:p>
    <w:p w14:paraId="6D975E9A">
      <w:pPr>
        <w:widowControl/>
        <w:shd w:val="clear" w:color="auto" w:fill="FFFFFF"/>
        <w:spacing w:line="360" w:lineRule="auto"/>
        <w:ind w:firstLine="480" w:firstLineChars="200"/>
        <w:contextualSpacing/>
        <w:jc w:val="left"/>
        <w:rPr>
          <w:rFonts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2、交付（实施）地点（范围）：许昌职业技术学院图书馆</w:t>
      </w:r>
    </w:p>
    <w:p w14:paraId="17DC16E5">
      <w:pPr>
        <w:widowControl/>
        <w:shd w:val="clear" w:color="auto" w:fill="FFFFFF"/>
        <w:spacing w:line="360" w:lineRule="auto"/>
        <w:ind w:firstLine="480" w:firstLineChars="200"/>
        <w:contextualSpacing/>
        <w:jc w:val="left"/>
        <w:rPr>
          <w:rFonts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3、付款条件：</w:t>
      </w:r>
    </w:p>
    <w:p w14:paraId="13E1252B">
      <w:pPr>
        <w:widowControl/>
        <w:shd w:val="clear" w:color="auto" w:fill="FFFFFF"/>
        <w:spacing w:line="360" w:lineRule="auto"/>
        <w:ind w:firstLine="480" w:firstLineChars="200"/>
        <w:contextualSpacing/>
        <w:jc w:val="left"/>
        <w:rPr>
          <w:rFonts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（1）支付方式：银行转账</w:t>
      </w:r>
    </w:p>
    <w:p w14:paraId="20F5B87A">
      <w:pPr>
        <w:widowControl/>
        <w:shd w:val="clear" w:color="auto" w:fill="FFFFFF"/>
        <w:spacing w:line="360" w:lineRule="auto"/>
        <w:ind w:firstLine="480" w:firstLineChars="200"/>
        <w:contextualSpacing/>
        <w:jc w:val="left"/>
        <w:rPr>
          <w:rFonts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（2）支付进度：</w:t>
      </w:r>
      <w:r>
        <w:rPr>
          <w:rFonts w:hint="eastAsia" w:cs="宋体" w:asciiTheme="minorEastAsia" w:hAnsiTheme="minorEastAsia"/>
          <w:kern w:val="0"/>
          <w:sz w:val="24"/>
          <w:szCs w:val="24"/>
          <w:lang w:val="zh-CN"/>
        </w:rPr>
        <w:t>经验收合格采购人收到发票后</w:t>
      </w: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lang w:val="zh-CN"/>
        </w:rPr>
        <w:t>个工作日内一次付清。</w:t>
      </w:r>
    </w:p>
    <w:p w14:paraId="73447EEC">
      <w:pPr>
        <w:widowControl/>
        <w:shd w:val="clear" w:color="auto" w:fill="FFFFFF"/>
        <w:spacing w:line="360" w:lineRule="auto"/>
        <w:ind w:firstLine="480" w:firstLineChars="200"/>
        <w:contextualSpacing/>
        <w:jc w:val="left"/>
        <w:rPr>
          <w:rFonts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4、包装和运输</w:t>
      </w:r>
    </w:p>
    <w:p w14:paraId="13AD3F89">
      <w:pPr>
        <w:widowControl/>
        <w:shd w:val="clear" w:color="auto" w:fill="FFFFFF"/>
        <w:spacing w:line="360" w:lineRule="auto"/>
        <w:ind w:firstLine="480" w:firstLineChars="200"/>
        <w:contextualSpacing/>
        <w:jc w:val="left"/>
        <w:rPr>
          <w:rFonts w:cs="宋体" w:asciiTheme="minorEastAsia" w:hAnsiTheme="minorEastAsia"/>
          <w:b/>
          <w:kern w:val="0"/>
          <w:sz w:val="24"/>
          <w:szCs w:val="24"/>
          <w:lang w:val="zh-CN"/>
        </w:rPr>
      </w:pPr>
      <w:r>
        <w:rPr>
          <w:rFonts w:hint="eastAsia" w:asciiTheme="minorEastAsia" w:hAnsiTheme="minorEastAsia" w:eastAsiaTheme="minorEastAsia" w:cstheme="minorEastAsia"/>
          <w:kern w:val="0"/>
          <w:sz w:val="24"/>
          <w:szCs w:val="24"/>
          <w:highlight w:val="white"/>
          <w:lang w:val="zh-CN"/>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w:t>
      </w:r>
      <w:r>
        <w:rPr>
          <w:rFonts w:hint="eastAsia" w:asciiTheme="minorEastAsia" w:hAnsiTheme="minorEastAsia" w:eastAsiaTheme="minorEastAsia" w:cstheme="minorEastAsia"/>
          <w:kern w:val="0"/>
          <w:sz w:val="24"/>
          <w:szCs w:val="24"/>
          <w:highlight w:val="white"/>
        </w:rPr>
        <w:t>2020</w:t>
      </w:r>
      <w:r>
        <w:rPr>
          <w:rFonts w:hint="eastAsia" w:asciiTheme="minorEastAsia" w:hAnsiTheme="minorEastAsia" w:eastAsiaTheme="minorEastAsia" w:cstheme="minorEastAsia"/>
          <w:kern w:val="0"/>
          <w:sz w:val="24"/>
          <w:szCs w:val="24"/>
          <w:highlight w:val="white"/>
          <w:lang w:val="zh-CN"/>
        </w:rPr>
        <w:t>〕</w:t>
      </w:r>
      <w:r>
        <w:rPr>
          <w:rFonts w:hint="eastAsia" w:asciiTheme="minorEastAsia" w:hAnsiTheme="minorEastAsia" w:eastAsiaTheme="minorEastAsia" w:cstheme="minorEastAsia"/>
          <w:kern w:val="0"/>
          <w:sz w:val="24"/>
          <w:szCs w:val="24"/>
          <w:highlight w:val="white"/>
        </w:rPr>
        <w:t>123</w:t>
      </w:r>
      <w:r>
        <w:rPr>
          <w:rFonts w:hint="eastAsia" w:asciiTheme="minorEastAsia" w:hAnsiTheme="minorEastAsia" w:eastAsiaTheme="minorEastAsia" w:cstheme="minorEastAsia"/>
          <w:kern w:val="0"/>
          <w:sz w:val="24"/>
          <w:szCs w:val="24"/>
          <w:highlight w:val="white"/>
          <w:lang w:val="zh-CN"/>
        </w:rPr>
        <w:t>号）的规定。</w:t>
      </w:r>
    </w:p>
    <w:p w14:paraId="26955B4A">
      <w:pPr>
        <w:widowControl/>
        <w:numPr>
          <w:ilvl w:val="0"/>
          <w:numId w:val="8"/>
        </w:numPr>
        <w:shd w:val="clear" w:color="auto" w:fill="FFFFFF"/>
        <w:spacing w:line="360" w:lineRule="auto"/>
        <w:ind w:firstLine="480" w:firstLineChars="2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售后服务</w:t>
      </w:r>
    </w:p>
    <w:p w14:paraId="1B58644D">
      <w:pPr>
        <w:widowControl/>
        <w:numPr>
          <w:ilvl w:val="0"/>
          <w:numId w:val="0"/>
        </w:numPr>
        <w:shd w:val="clear" w:color="auto" w:fill="FFFFFF"/>
        <w:spacing w:line="360" w:lineRule="auto"/>
        <w:ind w:firstLine="480" w:firstLineChars="200"/>
        <w:contextualSpacing/>
        <w:jc w:val="left"/>
        <w:rPr>
          <w:rFonts w:ascii="宋体" w:hAnsi="Calibri" w:eastAsia="宋体" w:cs="宋体"/>
          <w:kern w:val="0"/>
          <w:sz w:val="24"/>
          <w:szCs w:val="24"/>
          <w:highlight w:val="white"/>
          <w:lang w:val="zh-CN"/>
        </w:rPr>
      </w:pPr>
      <w:r>
        <w:rPr>
          <w:rFonts w:hint="eastAsia" w:cs="宋体" w:asciiTheme="minorEastAsia" w:hAnsiTheme="minorEastAsia"/>
          <w:kern w:val="0"/>
          <w:sz w:val="24"/>
          <w:szCs w:val="24"/>
          <w:lang w:val="zh-CN"/>
        </w:rPr>
        <w:t>质保期内免费进行数据的更新，数据库使用中出现任何问题需2小时内作出响应，24小时内派技术人员抵达现场进行维修。质保期满后中标人应终身提供服务，经双方协商收取适当零配件费和维修费。</w:t>
      </w:r>
    </w:p>
    <w:p w14:paraId="3DE6F76F">
      <w:pPr>
        <w:widowControl/>
        <w:numPr>
          <w:ilvl w:val="0"/>
          <w:numId w:val="8"/>
        </w:numPr>
        <w:shd w:val="clear" w:color="auto" w:fill="FFFFFF"/>
        <w:spacing w:line="360" w:lineRule="auto"/>
        <w:ind w:left="0" w:leftChars="0" w:firstLine="480" w:firstLineChars="200"/>
        <w:contextualSpacing/>
        <w:jc w:val="left"/>
        <w:rPr>
          <w:rFonts w:hint="eastAsia" w:ascii="宋体" w:hAnsi="Calibri" w:eastAsia="宋体" w:cs="宋体"/>
          <w:kern w:val="0"/>
          <w:sz w:val="24"/>
          <w:szCs w:val="24"/>
          <w:highlight w:val="white"/>
          <w:lang w:val="zh-CN"/>
        </w:rPr>
      </w:pPr>
      <w:r>
        <w:rPr>
          <w:rFonts w:hint="eastAsia" w:ascii="宋体" w:hAnsi="Calibri" w:eastAsia="宋体" w:cs="宋体"/>
          <w:kern w:val="0"/>
          <w:sz w:val="24"/>
          <w:szCs w:val="24"/>
          <w:highlight w:val="white"/>
          <w:lang w:val="zh-CN"/>
        </w:rPr>
        <w:t>保险</w:t>
      </w:r>
    </w:p>
    <w:p w14:paraId="5876C058">
      <w:pPr>
        <w:widowControl/>
        <w:shd w:val="clear" w:color="auto" w:fill="FFFFFF"/>
        <w:spacing w:line="360" w:lineRule="auto"/>
        <w:ind w:firstLine="480" w:firstLineChars="200"/>
        <w:contextualSpacing/>
        <w:jc w:val="left"/>
        <w:rPr>
          <w:rFonts w:hint="eastAsia" w:ascii="宋体" w:hAnsi="Calibri" w:eastAsia="宋体" w:cs="宋体"/>
          <w:kern w:val="0"/>
          <w:sz w:val="24"/>
          <w:szCs w:val="24"/>
          <w:highlight w:val="white"/>
          <w:lang w:val="zh-CN" w:eastAsia="zh-CN"/>
        </w:rPr>
      </w:pPr>
      <w:r>
        <w:rPr>
          <w:rFonts w:hint="eastAsia" w:ascii="宋体" w:hAnsi="Calibri" w:eastAsia="宋体" w:cs="宋体"/>
          <w:kern w:val="0"/>
          <w:sz w:val="24"/>
          <w:szCs w:val="24"/>
          <w:highlight w:val="white"/>
          <w:lang w:val="zh-CN" w:eastAsia="zh-CN"/>
        </w:rPr>
        <w:t>在项目实施过程中直至验收之前所发生的货物/服务保险和人员保险均由中标人承担。</w:t>
      </w:r>
    </w:p>
    <w:p w14:paraId="5F27B91F">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五、验收标准</w:t>
      </w:r>
    </w:p>
    <w:p w14:paraId="17BAB90B">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1、采购人在收到供应商项目验收建议之日起7个工作日内，由采购人成立验收小组,按照采购合同的约定对中标人履约情况进行实质性验收。</w:t>
      </w:r>
      <w:r>
        <w:rPr>
          <w:rFonts w:cs="宋体" w:asciiTheme="minorEastAsia" w:hAnsiTheme="minorEastAsia"/>
          <w:kern w:val="0"/>
          <w:sz w:val="24"/>
          <w:szCs w:val="24"/>
          <w:lang w:val="zh-CN"/>
        </w:rPr>
        <w:t>验收时,按照采购合同的约定对每一项技术、服务、安全标准的履约情况进行确认。验收结束后,出具验收书,列明各项标准的验收情况及项目总体评价,由验收双方共同签署。</w:t>
      </w:r>
    </w:p>
    <w:p w14:paraId="17A517A2">
      <w:pPr>
        <w:widowControl/>
        <w:shd w:val="clear" w:color="auto" w:fill="FFFFFF"/>
        <w:spacing w:line="360" w:lineRule="auto"/>
        <w:ind w:firstLine="480" w:firstLineChars="200"/>
        <w:contextualSpacing/>
        <w:jc w:val="left"/>
        <w:rPr>
          <w:rFonts w:ascii="仿宋" w:hAnsi="仿宋" w:eastAsia="仿宋" w:cs="宋体"/>
          <w:kern w:val="0"/>
          <w:sz w:val="24"/>
          <w:szCs w:val="24"/>
          <w:lang w:val="zh-CN"/>
        </w:rPr>
      </w:pPr>
      <w:r>
        <w:rPr>
          <w:rFonts w:hint="eastAsia" w:cs="宋体" w:asciiTheme="minorEastAsia" w:hAnsiTheme="minorEastAsia"/>
          <w:kern w:val="0"/>
          <w:sz w:val="24"/>
          <w:szCs w:val="24"/>
          <w:lang w:val="zh-CN"/>
        </w:rPr>
        <w:t>2、按照采购文件要求、投标文件响应和承诺验收</w:t>
      </w:r>
      <w:r>
        <w:rPr>
          <w:rFonts w:hint="eastAsia" w:ascii="仿宋" w:hAnsi="仿宋" w:eastAsia="仿宋" w:cs="宋体"/>
          <w:kern w:val="0"/>
          <w:sz w:val="24"/>
          <w:szCs w:val="24"/>
          <w:lang w:val="zh-CN"/>
        </w:rPr>
        <w:t>；</w:t>
      </w:r>
    </w:p>
    <w:p w14:paraId="5F38CA1C">
      <w:pPr>
        <w:widowControl/>
        <w:shd w:val="clear" w:color="auto" w:fill="FFFFFF"/>
        <w:spacing w:line="360" w:lineRule="auto"/>
        <w:ind w:firstLine="482" w:firstLineChars="200"/>
        <w:contextualSpacing/>
        <w:jc w:val="left"/>
        <w:rPr>
          <w:rFonts w:cs="宋体" w:asciiTheme="minorEastAsia" w:hAnsiTheme="minorEastAsia"/>
          <w:b/>
          <w:kern w:val="0"/>
          <w:szCs w:val="21"/>
          <w:lang w:val="zh-CN"/>
        </w:rPr>
      </w:pPr>
      <w:r>
        <w:rPr>
          <w:rFonts w:hint="eastAsia" w:cs="宋体" w:asciiTheme="minorEastAsia" w:hAnsiTheme="minorEastAsia"/>
          <w:b/>
          <w:kern w:val="0"/>
          <w:sz w:val="24"/>
          <w:szCs w:val="24"/>
          <w:lang w:val="zh-CN"/>
        </w:rPr>
        <w:t>六、采购标的的其他技术、服务等要求</w:t>
      </w:r>
    </w:p>
    <w:p w14:paraId="708B2332">
      <w:pPr>
        <w:topLinePunct/>
        <w:spacing w:line="360" w:lineRule="auto"/>
        <w:ind w:firstLine="480" w:firstLineChars="200"/>
        <w:contextualSpacing/>
        <w:rPr>
          <w:rFonts w:ascii="宋体" w:cs="宋体"/>
          <w:sz w:val="24"/>
          <w:lang w:val="zh-CN"/>
        </w:rPr>
      </w:pPr>
      <w:r>
        <w:rPr>
          <w:rFonts w:hint="eastAsia" w:ascii="宋体" w:cs="宋体"/>
          <w:sz w:val="24"/>
          <w:lang w:val="zh-CN"/>
        </w:rPr>
        <w:t>1、供应商须明确响应产品的厂家、品牌、型号、参数（采购清单中序号</w:t>
      </w:r>
      <w:r>
        <w:rPr>
          <w:rFonts w:hint="eastAsia" w:ascii="宋体" w:cs="宋体"/>
          <w:sz w:val="24"/>
          <w:lang w:val="en-US" w:eastAsia="zh-CN"/>
        </w:rPr>
        <w:t>1-序号11</w:t>
      </w:r>
      <w:r>
        <w:rPr>
          <w:rFonts w:hint="eastAsia" w:ascii="宋体" w:cs="宋体"/>
          <w:sz w:val="24"/>
          <w:lang w:val="zh-CN"/>
        </w:rPr>
        <w:t>），</w:t>
      </w:r>
      <w:r>
        <w:rPr>
          <w:rFonts w:hint="eastAsia" w:ascii="宋体" w:cs="宋体"/>
          <w:b/>
          <w:sz w:val="24"/>
          <w:lang w:val="zh-CN"/>
        </w:rPr>
        <w:t>否则为无效响应。</w:t>
      </w:r>
    </w:p>
    <w:p w14:paraId="44A1CEDC">
      <w:pPr>
        <w:topLinePunct/>
        <w:autoSpaceDE w:val="0"/>
        <w:autoSpaceDN w:val="0"/>
        <w:adjustRightInd w:val="0"/>
        <w:spacing w:line="360" w:lineRule="auto"/>
        <w:ind w:firstLine="482"/>
        <w:contextualSpacing/>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14:paraId="325260E1">
      <w:pPr>
        <w:topLinePunct/>
        <w:spacing w:line="360" w:lineRule="auto"/>
        <w:ind w:firstLine="480" w:firstLineChars="200"/>
        <w:contextualSpacing/>
        <w:rPr>
          <w:rFonts w:ascii="宋体" w:cs="宋体"/>
          <w:sz w:val="24"/>
          <w:lang w:val="zh-CN"/>
        </w:rPr>
      </w:pPr>
      <w:r>
        <w:rPr>
          <w:rFonts w:hint="eastAsia" w:ascii="宋体" w:cs="宋体"/>
          <w:sz w:val="24"/>
          <w:lang w:val="zh-CN"/>
        </w:rPr>
        <w:t>3、所响应产品应为符合采购文件规定标准的全新正品现货。</w:t>
      </w:r>
    </w:p>
    <w:p w14:paraId="0F083E3C">
      <w:pPr>
        <w:topLinePunct/>
        <w:spacing w:line="360" w:lineRule="auto"/>
        <w:ind w:firstLine="480" w:firstLineChars="200"/>
        <w:contextualSpacing/>
        <w:rPr>
          <w:rFonts w:ascii="宋体" w:cs="宋体"/>
          <w:sz w:val="24"/>
          <w:lang w:val="zh-CN"/>
        </w:rPr>
      </w:pPr>
      <w:r>
        <w:rPr>
          <w:rFonts w:hint="eastAsia" w:ascii="宋体" w:cs="宋体"/>
          <w:sz w:val="24"/>
          <w:lang w:val="zh-CN"/>
        </w:rPr>
        <w:t>4、本项目为交钥匙工程。</w:t>
      </w:r>
    </w:p>
    <w:p w14:paraId="621CEF3B">
      <w:pPr>
        <w:wordWrap w:val="0"/>
        <w:topLinePunct/>
        <w:spacing w:line="360" w:lineRule="auto"/>
        <w:ind w:firstLine="480" w:firstLineChars="200"/>
        <w:rPr>
          <w:rFonts w:ascii="宋体" w:cs="宋体"/>
          <w:sz w:val="24"/>
          <w:lang w:val="zh-CN"/>
        </w:rPr>
      </w:pPr>
      <w:r>
        <w:rPr>
          <w:rFonts w:hint="eastAsia" w:ascii="宋体" w:cs="宋体"/>
          <w:sz w:val="24"/>
          <w:lang w:val="zh-CN"/>
        </w:rPr>
        <w:t>5、本项目执行《许昌市市级行政事业单位国有资产配置管理办法的通知》》（许政文[2017]15号）的相关规定。</w:t>
      </w:r>
    </w:p>
    <w:p w14:paraId="5F39B43E">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hd w:val="clear" w:color="auto" w:fill="FFFFFF"/>
        </w:rPr>
        <w:t>七、本项目预算金额</w:t>
      </w:r>
      <w:r>
        <w:rPr>
          <w:rFonts w:hint="eastAsia" w:cs="黑体" w:asciiTheme="minorEastAsia" w:hAnsiTheme="minorEastAsia" w:eastAsiaTheme="minorEastAsia"/>
          <w:b/>
          <w:bCs/>
          <w:shd w:val="clear" w:color="auto" w:fill="FFFFFF"/>
          <w:lang w:val="en-US" w:eastAsia="zh-CN"/>
        </w:rPr>
        <w:t>70万</w:t>
      </w:r>
      <w:r>
        <w:rPr>
          <w:rFonts w:hint="eastAsia" w:cs="黑体" w:asciiTheme="minorEastAsia" w:hAnsiTheme="minorEastAsia" w:eastAsiaTheme="minorEastAsia"/>
          <w:b/>
          <w:bCs/>
          <w:shd w:val="clear" w:color="auto" w:fill="FFFFFF"/>
        </w:rPr>
        <w:t>元。最高限价</w:t>
      </w:r>
      <w:r>
        <w:rPr>
          <w:rFonts w:hint="eastAsia" w:cs="黑体" w:asciiTheme="minorEastAsia" w:hAnsiTheme="minorEastAsia" w:eastAsiaTheme="minorEastAsia"/>
          <w:b/>
          <w:bCs/>
          <w:shd w:val="clear" w:color="auto" w:fill="FFFFFF"/>
          <w:lang w:val="en-US" w:eastAsia="zh-CN"/>
        </w:rPr>
        <w:t>70万</w:t>
      </w:r>
      <w:r>
        <w:rPr>
          <w:rFonts w:hint="eastAsia" w:cs="宋体" w:asciiTheme="minorEastAsia" w:hAnsiTheme="minorEastAsia" w:eastAsiaTheme="minorEastAsia"/>
          <w:b/>
          <w:kern w:val="0"/>
          <w:lang w:val="zh-CN"/>
        </w:rPr>
        <w:t>元。超出最高限价的投标无效。</w:t>
      </w:r>
    </w:p>
    <w:p w14:paraId="463E1A55">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0051CCE9">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1E3B031A">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08A4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40FFEE75">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4EBBB60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7CA20542">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7D5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0D5BABD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52E89B2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E74951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项目名称：许昌职业技术学院电子资源项目</w:t>
            </w:r>
          </w:p>
          <w:p w14:paraId="0D3F1ED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项目编号：ZFCG-T2025</w:t>
            </w:r>
            <w:r>
              <w:rPr>
                <w:rFonts w:hint="eastAsia" w:cs="仿宋_GB2312" w:asciiTheme="minorEastAsia" w:hAnsiTheme="minorEastAsia"/>
                <w:szCs w:val="21"/>
                <w:lang w:val="en-US" w:eastAsia="zh-CN"/>
              </w:rPr>
              <w:t>003</w:t>
            </w:r>
            <w:r>
              <w:rPr>
                <w:rFonts w:hint="eastAsia" w:cs="仿宋_GB2312" w:asciiTheme="minorEastAsia" w:hAnsiTheme="minorEastAsia"/>
                <w:szCs w:val="21"/>
              </w:rPr>
              <w:t>号</w:t>
            </w:r>
          </w:p>
          <w:p w14:paraId="1ABFD9E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电子图书数据库1套、移动图书馆系统1套、读秀学术资源数据库1套、数据知识服务平台1套、外语学习资源库1套、中文期刊服务平台1套、知网研学团队版服务平台1套、AI馆员1套、高等教育多媒体库1套、经纶知识服务平台1套、高校信息素养教育数据库1套。</w:t>
            </w:r>
          </w:p>
          <w:p w14:paraId="18896A47">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项目地址：许昌职业技术学院图书馆</w:t>
            </w:r>
          </w:p>
        </w:tc>
      </w:tr>
      <w:tr w14:paraId="749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1BAA8BA6">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4F35E572">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0BD9F27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名称：许昌职业技术学院</w:t>
            </w:r>
          </w:p>
          <w:p w14:paraId="72406783">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地址：许昌市新兴东路4336号</w:t>
            </w:r>
          </w:p>
          <w:p w14:paraId="24142D9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联系人：蒲滨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电话：18637402226</w:t>
            </w:r>
          </w:p>
        </w:tc>
      </w:tr>
      <w:tr w14:paraId="0408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47788BA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14E5A5E2">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5AD214C7">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14:paraId="3247069C">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14:paraId="5C774813">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韩先生</w:t>
            </w:r>
            <w:r>
              <w:rPr>
                <w:rFonts w:hint="eastAsia" w:cs="仿宋_GB2312" w:asciiTheme="minorEastAsia" w:hAnsiTheme="minorEastAsia"/>
                <w:szCs w:val="21"/>
              </w:rPr>
              <w:t xml:space="preserve">              电话：0374-2968687</w:t>
            </w:r>
          </w:p>
        </w:tc>
      </w:tr>
      <w:tr w14:paraId="2F5E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06" w:type="dxa"/>
            <w:vAlign w:val="center"/>
          </w:tcPr>
          <w:p w14:paraId="3FC6700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14:paraId="120752F3">
            <w:pPr>
              <w:autoSpaceDE w:val="0"/>
              <w:autoSpaceDN w:val="0"/>
              <w:adjustRightInd w:val="0"/>
              <w:spacing w:line="276" w:lineRule="auto"/>
              <w:jc w:val="center"/>
              <w:rPr>
                <w:rFonts w:cs="微软雅黑" w:asciiTheme="minorEastAsia" w:hAnsiTheme="minorEastAsia"/>
                <w:b/>
                <w:szCs w:val="21"/>
              </w:rPr>
            </w:pPr>
            <w:r>
              <w:rPr>
                <w:rFonts w:hint="eastAsia" w:cs="微软雅黑" w:asciiTheme="minorEastAsia" w:hAnsiTheme="minorEastAsia"/>
                <w:b/>
                <w:szCs w:val="21"/>
              </w:rPr>
              <w:t>★</w:t>
            </w:r>
            <w:r>
              <w:rPr>
                <w:rFonts w:hint="eastAsia" w:cs="微软雅黑" w:asciiTheme="minorEastAsia" w:hAnsiTheme="minorEastAsia"/>
                <w:szCs w:val="21"/>
              </w:rPr>
              <w:t>供应商资格</w:t>
            </w:r>
          </w:p>
        </w:tc>
        <w:tc>
          <w:tcPr>
            <w:tcW w:w="6813" w:type="dxa"/>
            <w:vAlign w:val="center"/>
          </w:tcPr>
          <w:p w14:paraId="14FC94A5">
            <w:pPr>
              <w:autoSpaceDE w:val="0"/>
              <w:autoSpaceDN w:val="0"/>
              <w:adjustRightInd w:val="0"/>
              <w:spacing w:line="360" w:lineRule="auto"/>
              <w:jc w:val="left"/>
              <w:rPr>
                <w:rFonts w:cs="Arial" w:asciiTheme="minorEastAsia" w:hAnsiTheme="minorEastAsia"/>
                <w:b/>
                <w:szCs w:val="21"/>
              </w:rPr>
            </w:pPr>
            <w:r>
              <w:rPr>
                <w:rFonts w:hint="eastAsia" w:cs="Arial" w:asciiTheme="minorEastAsia" w:hAnsiTheme="minorEastAsia"/>
                <w:b/>
                <w:szCs w:val="21"/>
              </w:rPr>
              <w:t>符合《政府采购法》第二十二条规定</w:t>
            </w:r>
          </w:p>
          <w:p w14:paraId="34A0EFAC">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1．具有独立承担民事责任的能力；</w:t>
            </w:r>
          </w:p>
          <w:p w14:paraId="2D764FA2">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2．具有良好的商业信誉和健全的财务会计制度；</w:t>
            </w:r>
          </w:p>
          <w:p w14:paraId="59DD9ED7">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3．具有履行合同所必需的设备和专业技术能力；</w:t>
            </w:r>
          </w:p>
          <w:p w14:paraId="230F1485">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4．具有依法缴纳税收和社会保障资金的良好记录；</w:t>
            </w:r>
          </w:p>
          <w:p w14:paraId="6CA3FA7A">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5．参加政府采购活动前三年内，在经营活动中没有重大违法记录；</w:t>
            </w:r>
          </w:p>
          <w:p w14:paraId="2A8EFDF6">
            <w:pPr>
              <w:autoSpaceDE w:val="0"/>
              <w:autoSpaceDN w:val="0"/>
              <w:adjustRightInd w:val="0"/>
              <w:spacing w:line="360" w:lineRule="auto"/>
              <w:contextualSpacing/>
              <w:rPr>
                <w:rFonts w:cs="Arial" w:asciiTheme="minorEastAsia" w:hAnsiTheme="minorEastAsia"/>
                <w:b/>
                <w:szCs w:val="21"/>
              </w:rPr>
            </w:pPr>
            <w:r>
              <w:rPr>
                <w:rFonts w:hint="eastAsia" w:cs="仿宋_GB2312" w:asciiTheme="minorEastAsia" w:hAnsiTheme="minorEastAsia"/>
                <w:szCs w:val="21"/>
              </w:rPr>
              <w:t>6．</w:t>
            </w:r>
            <w:r>
              <w:rPr>
                <w:rFonts w:hint="eastAsia" w:cs="Arial" w:asciiTheme="minorEastAsia" w:hAnsiTheme="minorEastAsia"/>
                <w:b/>
                <w:szCs w:val="21"/>
              </w:rPr>
              <w:t>投标人应具备的特殊要求（无）。</w:t>
            </w:r>
          </w:p>
          <w:p w14:paraId="04E2FE79">
            <w:pPr>
              <w:autoSpaceDE w:val="0"/>
              <w:autoSpaceDN w:val="0"/>
              <w:adjustRightInd w:val="0"/>
              <w:spacing w:line="360" w:lineRule="auto"/>
              <w:contextualSpacing/>
              <w:rPr>
                <w:rFonts w:cs="仿宋_GB2312" w:asciiTheme="minorEastAsia" w:hAnsiTheme="minorEastAsia"/>
                <w:b/>
                <w:spacing w:val="-11"/>
                <w:szCs w:val="21"/>
              </w:rPr>
            </w:pPr>
            <w:r>
              <w:rPr>
                <w:rFonts w:hint="eastAsia" w:cs="仿宋_GB2312" w:asciiTheme="minorEastAsia" w:hAnsiTheme="minorEastAsia"/>
                <w:b/>
                <w:spacing w:val="-11"/>
                <w:szCs w:val="21"/>
              </w:rPr>
              <w:t>注：</w:t>
            </w:r>
          </w:p>
          <w:p w14:paraId="12EF7938">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1、供应商在投标时，提供《许昌市政府采购供应商信用承诺函》（详见招标文件第八章3.7格式），无需再提交上述证明材料。</w:t>
            </w:r>
          </w:p>
          <w:p w14:paraId="250E26E2">
            <w:pPr>
              <w:autoSpaceDE w:val="0"/>
              <w:autoSpaceDN w:val="0"/>
              <w:adjustRightInd w:val="0"/>
              <w:spacing w:line="360" w:lineRule="auto"/>
              <w:contextualSpacing/>
              <w:rPr>
                <w:rFonts w:cs="宋体" w:asciiTheme="minorEastAsia" w:hAnsiTheme="minorEastAsia"/>
                <w:szCs w:val="21"/>
              </w:rPr>
            </w:pPr>
            <w:r>
              <w:rPr>
                <w:rFonts w:hint="eastAsia" w:cs="宋体" w:asciiTheme="minorEastAsia" w:hAnsiTheme="minorEastAsia"/>
                <w:szCs w:val="21"/>
              </w:rPr>
              <w:t>2、采购人有权在签订合同前要求成交供应商提供相关证明材料以核实成交供应商承诺事项的真实性。</w:t>
            </w:r>
          </w:p>
          <w:p w14:paraId="5A05B783">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szCs w:val="21"/>
              </w:rPr>
              <w:t>3、供应商对信用承诺内容的真实性、合法性、有效性负责。如作出虚假信用承诺，视同为“提供虚假材料谋取中标”的违法行为。</w:t>
            </w:r>
          </w:p>
        </w:tc>
      </w:tr>
      <w:tr w14:paraId="650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4905A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019CBF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47135A52">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4927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C205A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356B20C7">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3C63961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700000</w:t>
            </w:r>
            <w:r>
              <w:rPr>
                <w:rFonts w:hint="eastAsia" w:cs="宋体" w:asciiTheme="minorEastAsia" w:hAnsiTheme="minorEastAsia"/>
                <w:bCs/>
                <w:szCs w:val="21"/>
                <w:lang w:val="zh-CN"/>
              </w:rPr>
              <w:t>元，超出预算金额的响应无效</w:t>
            </w:r>
          </w:p>
        </w:tc>
      </w:tr>
      <w:tr w14:paraId="37A3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A30575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205073D2">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4F29B50E">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E5971B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7F67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BB35A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14BACBF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2B22C2A1">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F56C61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16D7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176B31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20C8616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325E1275">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7F8E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F561D4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361509A7">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5A47A454">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14:paraId="6D37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B68AF6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128F3E75">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3D5C4107">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BA7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EB33C6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065E08EC">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70B8189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14:paraId="1C05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717F28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0FD93688">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51FA43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33F26344">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谈判响应文件开启地点：许昌市公共资源交易中心三楼开标</w:t>
            </w:r>
            <w:r>
              <w:rPr>
                <w:rFonts w:hint="eastAsia" w:cs="仿宋_GB2312" w:asciiTheme="minorEastAsia" w:hAnsiTheme="minorEastAsia"/>
                <w:szCs w:val="21"/>
                <w:lang w:eastAsia="zh-CN"/>
              </w:rPr>
              <w:t>二</w:t>
            </w:r>
            <w:bookmarkStart w:id="11" w:name="_GoBack"/>
            <w:bookmarkEnd w:id="11"/>
            <w:r>
              <w:rPr>
                <w:rFonts w:hint="eastAsia" w:cs="仿宋_GB2312" w:asciiTheme="minorEastAsia" w:hAnsiTheme="minorEastAsia"/>
                <w:szCs w:val="21"/>
              </w:rPr>
              <w:t>室。（</w:t>
            </w:r>
            <w:r>
              <w:rPr>
                <w:rFonts w:hint="eastAsia" w:cs="Arial" w:asciiTheme="minorEastAsia" w:hAnsiTheme="minorEastAsia"/>
                <w:b/>
                <w:szCs w:val="21"/>
              </w:rPr>
              <w:t>本项目采用远程不见面谈判，供应商无须到达现场</w:t>
            </w:r>
            <w:r>
              <w:rPr>
                <w:rFonts w:hint="eastAsia" w:cs="Arial" w:asciiTheme="minorEastAsia" w:hAnsiTheme="minorEastAsia"/>
                <w:szCs w:val="21"/>
              </w:rPr>
              <w:t>）</w:t>
            </w:r>
          </w:p>
        </w:tc>
      </w:tr>
      <w:tr w14:paraId="61DF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C780F6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27083E2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19D8DA8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475B85">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37DD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14:paraId="73ABDF6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7F2CD6A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4FA512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Cs w:val="21"/>
              </w:rPr>
              <w:t>许昌市人民政府门户网</w:t>
            </w:r>
            <w:r>
              <w:rPr>
                <w:rFonts w:cs="宋体" w:asciiTheme="minorEastAsia" w:hAnsiTheme="minorEastAsia"/>
                <w:szCs w:val="21"/>
              </w:rPr>
              <w:fldChar w:fldCharType="end"/>
            </w:r>
            <w:r>
              <w:rPr>
                <w:rFonts w:cs="宋体" w:asciiTheme="minorEastAsia" w:hAnsiTheme="minorEastAsia"/>
                <w:szCs w:val="21"/>
              </w:rPr>
              <w:t>站</w:t>
            </w:r>
            <w:r>
              <w:rPr>
                <w:rFonts w:hint="eastAsia" w:cs="宋体" w:asciiTheme="minorEastAsia" w:hAnsiTheme="minorEastAsia"/>
                <w:szCs w:val="21"/>
              </w:rPr>
              <w:t>》</w:t>
            </w:r>
          </w:p>
        </w:tc>
      </w:tr>
      <w:tr w14:paraId="0FD7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1A3852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17D437F">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0C68DC">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1AB94FA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2C51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1E65BD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2ED8968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5789790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1188FDD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4190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783514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6A0183EE">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395D8B5D">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电子响应文件：全流程电子化交易项目，供应商提交电子响应文件。成功上传至《全国公共资源交易平台（河南省·许昌市）》许昌市公共资源电子交易系统加密电子响应文件1份（文件后缀格式为.XCSTF）。</w:t>
            </w:r>
          </w:p>
          <w:p w14:paraId="726AF3F3">
            <w:pPr>
              <w:autoSpaceDE w:val="0"/>
              <w:autoSpaceDN w:val="0"/>
              <w:adjustRightInd w:val="0"/>
              <w:spacing w:line="360" w:lineRule="auto"/>
              <w:rPr>
                <w:rFonts w:cs="宋体" w:asciiTheme="minorEastAsia" w:hAnsiTheme="minorEastAsia"/>
                <w:szCs w:val="21"/>
              </w:rPr>
            </w:pPr>
            <w:r>
              <w:rPr>
                <w:rFonts w:hint="eastAsia" w:ascii="新宋体" w:hAnsi="新宋体" w:eastAsia="新宋体"/>
                <w:szCs w:val="21"/>
              </w:rPr>
              <w:t>注:供应商提交的电子响应文件，必须是通过“新点投标文件制作软件（河南省版）”制作，并经过CA数字证书或CA移动数字证书签章和加密后生成的电子响应文件。</w:t>
            </w:r>
          </w:p>
          <w:p w14:paraId="7933B3FD">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6DF0646E">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24D6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36DA1D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70D88F6">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7D5AE7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4A46364B">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电子响应文件：按谈判文件要求加盖供应商电子印章和法定代表人电子印章。</w:t>
            </w:r>
          </w:p>
          <w:p w14:paraId="355DEA1B">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694D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B35EC08">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40C49A9B">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34925F8A">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59710149">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b/>
                <w:bCs/>
                <w:szCs w:val="21"/>
                <w:lang w:val="zh-CN"/>
              </w:rPr>
              <w:t>☑</w:t>
            </w:r>
            <w:r>
              <w:rPr>
                <w:rFonts w:hint="eastAsia" w:cs="仿宋_GB2312" w:asciiTheme="minorEastAsia" w:hAnsiTheme="minorEastAsia"/>
                <w:szCs w:val="21"/>
                <w:lang w:val="zh-CN"/>
              </w:rPr>
              <w:t>由评审专家组成。评审专家从政府采购评审专家库中随机抽取。</w:t>
            </w:r>
          </w:p>
        </w:tc>
      </w:tr>
      <w:tr w14:paraId="30B6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BBE3B85">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1B199103">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604F325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w:t>
            </w:r>
            <w:r>
              <w:rPr>
                <w:rFonts w:hint="eastAsia"/>
                <w:b/>
                <w:bCs/>
              </w:rPr>
              <w:t>（</w:t>
            </w:r>
            <w:r>
              <w:rPr>
                <w:rFonts w:hint="eastAsia" w:cs="仿宋_GB2312" w:asciiTheme="minorEastAsia" w:hAnsiTheme="minorEastAsia"/>
                <w:b/>
                <w:bCs/>
                <w:szCs w:val="21"/>
                <w:lang w:val="zh-CN"/>
              </w:rPr>
              <w:t>进行政策性价格扣除后的价格</w:t>
            </w:r>
            <w:r>
              <w:rPr>
                <w:rFonts w:hint="eastAsia"/>
                <w:b/>
                <w:bCs/>
              </w:rPr>
              <w:t>）</w:t>
            </w:r>
            <w:r>
              <w:rPr>
                <w:rFonts w:hint="eastAsia"/>
              </w:rPr>
              <w:t>最低的原则确定成交供应商</w:t>
            </w:r>
            <w:r>
              <w:rPr>
                <w:rFonts w:hint="eastAsia" w:ascii="新宋体" w:hAnsi="新宋体" w:eastAsia="新宋体"/>
                <w:szCs w:val="21"/>
              </w:rPr>
              <w:t>。</w:t>
            </w:r>
          </w:p>
        </w:tc>
      </w:tr>
      <w:tr w14:paraId="213A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AF25D4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67F21B0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218ED51D">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磋商文件格式要求提供《中小企业声明函》，</w:t>
            </w:r>
            <w:r>
              <w:rPr>
                <w:rFonts w:ascii="ˎ̥" w:hAnsi="ˎ̥"/>
              </w:rPr>
              <w:t>否则不得享受相关中小企业扶持政策。</w:t>
            </w:r>
          </w:p>
          <w:p w14:paraId="5E9A97CA">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5D113074">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1EDD5E01">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u w:val="single"/>
              </w:rPr>
              <w:t>4</w:t>
            </w:r>
            <w:r>
              <w:rPr>
                <w:rFonts w:ascii="ˎ̥" w:hAnsi="ˎ̥"/>
              </w:rPr>
              <w:t>%（</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563BC15A">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14:paraId="52D6331D">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14:paraId="227D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91EFF8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6D641D3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7755A3EB">
            <w:pPr>
              <w:autoSpaceDE w:val="0"/>
              <w:autoSpaceDN w:val="0"/>
              <w:adjustRightInd w:val="0"/>
              <w:spacing w:line="360" w:lineRule="auto"/>
              <w:rPr>
                <w:rFonts w:cs="宋体" w:asciiTheme="minorEastAsia" w:hAnsiTheme="minorEastAsia"/>
                <w:b/>
                <w:bCs/>
                <w:szCs w:val="21"/>
                <w:lang w:val="zh-CN"/>
              </w:rPr>
            </w:pPr>
            <w:r>
              <w:rPr>
                <w:rFonts w:hint="eastAsia" w:cs="宋体" w:asciiTheme="minorEastAsia" w:hAnsiTheme="minorEastAsia"/>
                <w:bCs/>
                <w:szCs w:val="21"/>
                <w:lang w:val="zh-CN"/>
              </w:rPr>
              <w:t>1、本项目强制采购的节能产品：</w:t>
            </w:r>
            <w:r>
              <w:rPr>
                <w:rFonts w:hint="eastAsia" w:cs="宋体" w:asciiTheme="minorEastAsia" w:hAnsiTheme="minorEastAsia"/>
                <w:b/>
                <w:bCs/>
                <w:szCs w:val="21"/>
                <w:lang w:val="zh-CN"/>
              </w:rPr>
              <w:t>（无）</w:t>
            </w:r>
          </w:p>
          <w:p w14:paraId="44922C02">
            <w:pPr>
              <w:autoSpaceDE w:val="0"/>
              <w:autoSpaceDN w:val="0"/>
              <w:adjustRightInd w:val="0"/>
              <w:spacing w:line="360" w:lineRule="auto"/>
              <w:rPr>
                <w:rFonts w:ascii="ˎ̥" w:hAnsi="ˎ̥"/>
              </w:rPr>
            </w:pPr>
            <w:r>
              <w:rPr>
                <w:rFonts w:hint="eastAsia" w:cs="宋体" w:asciiTheme="minorEastAsia" w:hAnsiTheme="minor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4F15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09D1AA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052A4C0E">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14:paraId="312E759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1、本项目网络关键设备：</w:t>
            </w:r>
            <w:r>
              <w:rPr>
                <w:rFonts w:hint="eastAsia" w:cs="宋体" w:asciiTheme="minorEastAsia" w:hAnsiTheme="minorEastAsia"/>
                <w:b/>
                <w:bCs/>
                <w:szCs w:val="21"/>
                <w:lang w:val="zh-CN"/>
              </w:rPr>
              <w:t>（无）；</w:t>
            </w:r>
            <w:r>
              <w:rPr>
                <w:rFonts w:hint="eastAsia" w:cs="宋体" w:asciiTheme="minorEastAsia" w:hAnsiTheme="minorEastAsia"/>
                <w:bCs/>
                <w:szCs w:val="21"/>
                <w:lang w:val="zh-CN"/>
              </w:rPr>
              <w:t>网络安全专用产品：</w:t>
            </w:r>
            <w:r>
              <w:rPr>
                <w:rFonts w:hint="eastAsia" w:cs="宋体" w:asciiTheme="minorEastAsia" w:hAnsiTheme="minorEastAsia"/>
                <w:b/>
                <w:bCs/>
                <w:szCs w:val="21"/>
                <w:lang w:val="zh-CN"/>
              </w:rPr>
              <w:t>（无）</w:t>
            </w:r>
          </w:p>
          <w:p w14:paraId="2D172E20">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39E0BCA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72441799">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1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12ADBB57">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2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139F674">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3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10F19A">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4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cs="宋体" w:asciiTheme="minorEastAsia" w:hAnsiTheme="minorEastAsia"/>
                <w:bCs/>
                <w:szCs w:val="21"/>
                <w:lang w:val="zh-CN"/>
              </w:rPr>
              <w:fldChar w:fldCharType="end"/>
            </w:r>
            <w:r>
              <w:rPr>
                <w:rFonts w:hint="eastAsia" w:cs="宋体" w:asciiTheme="minorEastAsia" w:hAnsiTheme="minorEastAsia"/>
                <w:bCs/>
                <w:szCs w:val="21"/>
                <w:lang w:val="zh-CN"/>
              </w:rPr>
              <w:t>中国网信网</w:t>
            </w:r>
            <w:r>
              <w:rPr>
                <w:rFonts w:hint="eastAsia" w:cs="宋体" w:asciiTheme="minorEastAsia" w:hAnsiTheme="minorEastAsia"/>
                <w:b/>
                <w:bCs/>
                <w:szCs w:val="21"/>
                <w:lang w:val="zh-CN"/>
              </w:rPr>
              <w:t>或</w:t>
            </w:r>
            <w:r>
              <w:rPr>
                <w:rFonts w:hint="eastAsia" w:cs="宋体" w:asciiTheme="minorEastAsia" w:hAnsiTheme="minorEastAsia"/>
                <w:bCs/>
                <w:szCs w:val="21"/>
                <w:lang w:val="zh-CN"/>
              </w:rPr>
              <w:t>工业和信息化部网站</w:t>
            </w:r>
            <w:r>
              <w:rPr>
                <w:rFonts w:hint="eastAsia" w:cs="宋体" w:asciiTheme="minorEastAsia" w:hAnsiTheme="minorEastAsia"/>
                <w:b/>
                <w:bCs/>
                <w:szCs w:val="21"/>
                <w:lang w:val="zh-CN"/>
              </w:rPr>
              <w:t>或</w:t>
            </w:r>
            <w:r>
              <w:rPr>
                <w:rFonts w:hint="eastAsia" w:cs="宋体" w:asciiTheme="minorEastAsia" w:hAnsiTheme="minorEastAsia"/>
                <w:bCs/>
                <w:szCs w:val="21"/>
                <w:lang w:val="zh-CN"/>
              </w:rPr>
              <w:t>公安部网站</w:t>
            </w:r>
            <w:r>
              <w:rPr>
                <w:rFonts w:hint="eastAsia" w:cs="宋体" w:asciiTheme="minorEastAsia" w:hAnsiTheme="minorEastAsia"/>
                <w:b/>
                <w:bCs/>
                <w:szCs w:val="21"/>
                <w:lang w:val="zh-CN"/>
              </w:rPr>
              <w:t>或</w:t>
            </w:r>
            <w:r>
              <w:rPr>
                <w:rFonts w:hint="eastAsia" w:cs="宋体" w:asciiTheme="minorEastAsia" w:hAnsiTheme="minorEastAsia"/>
                <w:bCs/>
                <w:szCs w:val="21"/>
                <w:lang w:val="zh-CN"/>
              </w:rPr>
              <w:t>国家认证认可监督管理委员会网站公布的认证、检测结果（提供公布安全认证、安全检测结果页面网址和安全认证、检测结果截图）。</w:t>
            </w:r>
          </w:p>
        </w:tc>
      </w:tr>
      <w:tr w14:paraId="746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A1E3EA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1FDDCCF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681743D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2BE157A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szCs w:val="21"/>
              </w:rPr>
              <w:t>。中标人以支票、汇票、本票或者金融机构、担保机构出具的保函等非现金形式向采购人提交。</w:t>
            </w:r>
          </w:p>
        </w:tc>
      </w:tr>
      <w:tr w14:paraId="58BC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CAC0F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52ED918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5BEA21E1">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3776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C5BD20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255EA3C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388BFB3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代理机构出具授权函，且不得超过2人。</w:t>
            </w:r>
          </w:p>
        </w:tc>
      </w:tr>
      <w:tr w14:paraId="3327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B9321A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781779F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349B2562">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575A0C93">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4CDC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0AB821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4B448675">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065503DD">
            <w:pPr>
              <w:wordWrap w:val="0"/>
              <w:autoSpaceDE w:val="0"/>
              <w:autoSpaceDN w:val="0"/>
              <w:adjustRightInd w:val="0"/>
              <w:spacing w:line="360" w:lineRule="auto"/>
              <w:contextualSpacing/>
              <w:rPr>
                <w:rFonts w:ascii="ˎ̥" w:hAnsi="ˎ̥"/>
              </w:rPr>
            </w:pPr>
            <w:r>
              <w:rPr>
                <w:rFonts w:hint="eastAsia" w:ascii="ˎ̥" w:hAnsi="ˎ̥"/>
              </w:rPr>
              <w:t>根</w:t>
            </w:r>
            <w:r>
              <w:rPr>
                <w:rFonts w:hint="eastAsia" w:ascii="宋体" w:hAnsi="宋体" w:eastAsia="宋体" w:cs="宋体"/>
              </w:rPr>
              <w:t>据谈判小组要求，供应商须使用CA数字证书或CA移动数字证书登录登录《全国公共资源交易平台（河南省·许昌市）》（</w:t>
            </w:r>
            <w:r>
              <w:rPr>
                <w:rFonts w:hint="eastAsia" w:ascii="宋体" w:hAnsi="宋体" w:eastAsia="宋体" w:cs="宋体"/>
                <w:lang w:eastAsia="zh-CN"/>
              </w:rPr>
              <w:t>https://ggzy.xuchang.gov.cn</w:t>
            </w:r>
            <w:r>
              <w:rPr>
                <w:rFonts w:hint="eastAsia" w:ascii="宋体" w:hAnsi="宋体" w:eastAsia="宋体" w:cs="宋体"/>
              </w:rPr>
              <w:t>/）许昌市公共资源电子交易系统进行最后报价，最后报价应包括：①总报价②分项报价。</w:t>
            </w:r>
          </w:p>
          <w:p w14:paraId="43CDC4F4">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0EBAD707">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①谈判小组要求供应商提交一次最后报价时，在谈判小组规定时间内，供应商应提交最后报价（包括总报价及分项报价）。最后报价是供应商响应文件的有效组成部分。</w:t>
            </w:r>
          </w:p>
          <w:p w14:paraId="19FF24E0">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7532DB88">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411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C4A558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5805004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AB458E7">
            <w:pPr>
              <w:autoSpaceDE w:val="0"/>
              <w:autoSpaceDN w:val="0"/>
              <w:adjustRightInd w:val="0"/>
              <w:spacing w:line="360" w:lineRule="auto"/>
              <w:contextualSpacing/>
              <w:rPr>
                <w:rFonts w:ascii="宋体" w:hAnsi="宋体" w:eastAsia="宋体" w:cs="宋体"/>
              </w:rPr>
            </w:pPr>
            <w:r>
              <w:rPr>
                <w:rFonts w:hint="eastAsia" w:ascii="宋体" w:hAnsi="宋体" w:eastAsia="宋体" w:cs="宋体"/>
              </w:rPr>
              <w:t>按照《关于推进全流程电子化交易和在线监管工作有关问题的通知》（许公管办[2019]3号）规定：</w:t>
            </w:r>
          </w:p>
          <w:p w14:paraId="598FB26F">
            <w:pPr>
              <w:autoSpaceDE w:val="0"/>
              <w:autoSpaceDN w:val="0"/>
              <w:adjustRightInd w:val="0"/>
              <w:spacing w:line="360" w:lineRule="auto"/>
              <w:contextualSpacing/>
              <w:rPr>
                <w:rFonts w:ascii="宋体" w:hAnsi="宋体" w:eastAsia="宋体" w:cs="宋体"/>
              </w:rPr>
            </w:pPr>
            <w:r>
              <w:rPr>
                <w:rFonts w:hint="eastAsia" w:ascii="宋体" w:hAnsi="宋体" w:eastAsia="宋体" w:cs="宋体"/>
              </w:rPr>
              <w:t>不同投标人电子投标文件的文件制作机器码(即许公管办[2019]3号文中的投标文件制作“硬件特征码”，其由网卡MAC地址、CPU序列号、硬盘序列号等组成，以下均称为“文件制作机器码”)均一致时，视为‘不同投标人电子投标文件由同一单位或者个人编制’或‘不同投标人委托同一单位或者个人办理响应事宜’，其投标无效。</w:t>
            </w:r>
          </w:p>
          <w:p w14:paraId="4CAEC9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宋体" w:hAnsi="宋体" w:eastAsia="宋体" w:cs="宋体"/>
              </w:rPr>
              <w:t>评审专家应严格按照要求查看“文件制作机器码”相关信息并进行评审，在评审报告中显示“不同投标人电子投标文件的文件制作机器码”是否雷同的分析及判定结果。</w:t>
            </w:r>
          </w:p>
        </w:tc>
      </w:tr>
      <w:tr w14:paraId="6489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1241E3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14:paraId="6B6099D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3B78675A">
            <w:pPr>
              <w:autoSpaceDE w:val="0"/>
              <w:autoSpaceDN w:val="0"/>
              <w:adjustRightInd w:val="0"/>
              <w:spacing w:line="360" w:lineRule="auto"/>
              <w:ind w:right="-11"/>
              <w:rPr>
                <w:rFonts w:ascii="ˎ̥" w:hAnsi="ˎ̥"/>
              </w:rPr>
            </w:pPr>
            <w:r>
              <w:rPr>
                <w:rFonts w:hint="eastAsia" w:ascii="ˎ̥" w:hAnsi="ˎ̥"/>
              </w:rPr>
              <w:t>供应商在成交后，应将由《许昌市政府采购供应商信用承诺函》替代的证明材料提交采购人核验。</w:t>
            </w:r>
          </w:p>
          <w:p w14:paraId="4B8B08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一、法人</w:t>
            </w:r>
            <w:r>
              <w:rPr>
                <w:rFonts w:cs="宋体" w:asciiTheme="minorEastAsia" w:hAnsiTheme="minorEastAsia"/>
                <w:b/>
                <w:bCs/>
                <w:szCs w:val="21"/>
                <w:lang w:val="zh-CN"/>
              </w:rPr>
              <w:t>或者其他组织的营业执照等证明文件，自然人的身份证明</w:t>
            </w:r>
          </w:p>
          <w:p w14:paraId="185EE07F">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1、企业法定代表人营业执照或营业执照。（企业提供）</w:t>
            </w:r>
          </w:p>
          <w:p w14:paraId="7BA9163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2、事业单位法定代表人证书。（事业单位提供）</w:t>
            </w:r>
          </w:p>
          <w:p w14:paraId="5D50A1F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4D58154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2F92982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231428D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67842A9F">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0CCA295E">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58B3B623">
            <w:pPr>
              <w:spacing w:line="360" w:lineRule="auto"/>
              <w:rPr>
                <w:rFonts w:asciiTheme="minorEastAsia" w:hAnsiTheme="minorEastAsia"/>
                <w:bCs/>
                <w:szCs w:val="21"/>
              </w:rPr>
            </w:pPr>
            <w:r>
              <w:rPr>
                <w:rFonts w:hint="eastAsia" w:asciiTheme="minorEastAsia" w:hAnsiTheme="minorEastAsia"/>
                <w:bCs/>
                <w:szCs w:val="21"/>
              </w:rPr>
              <w:t>①2024年度经审计的财务报告，包括资产负债表、利润表、现金流量表、所有者权益变动表及其附注；</w:t>
            </w:r>
          </w:p>
          <w:p w14:paraId="2D46D4E5">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7CDCBD7F">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26876808">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3C3D7CB9">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1F028B20">
            <w:pPr>
              <w:spacing w:line="360" w:lineRule="auto"/>
              <w:rPr>
                <w:rFonts w:asciiTheme="minorEastAsia" w:hAnsiTheme="minorEastAsia"/>
                <w:bCs/>
                <w:szCs w:val="21"/>
              </w:rPr>
            </w:pPr>
            <w:r>
              <w:rPr>
                <w:rFonts w:hint="eastAsia" w:asciiTheme="minorEastAsia" w:hAnsiTheme="minorEastAsia"/>
                <w:bCs/>
                <w:szCs w:val="21"/>
              </w:rPr>
              <w:t>①2024年度经审计的财务报告，包括资产负债表、利润表、现金流量表、所有者权益变动表及其附注；</w:t>
            </w:r>
          </w:p>
          <w:p w14:paraId="2BB64087">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5EAE928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2B9CE33">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C08FEEE">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1CF803D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3B7B3A5A">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315475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5CF790B3">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6F6A7A47">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4C088F40">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14:paraId="4EBAB39F">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40D5B13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10BC8BA">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396373E7">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3404316A">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5E54925F">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48FE725">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6EA475CC">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75389B2B">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24F46E4B">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14:paraId="780F4862">
            <w:pPr>
              <w:autoSpaceDE w:val="0"/>
              <w:autoSpaceDN w:val="0"/>
              <w:spacing w:line="360" w:lineRule="auto"/>
              <w:contextualSpacing/>
              <w:rPr>
                <w:rFonts w:cs="仿宋_GB2312" w:asciiTheme="minorEastAsia" w:hAnsiTheme="minorEastAsia"/>
                <w:szCs w:val="21"/>
              </w:rPr>
            </w:pPr>
            <w:r>
              <w:rPr>
                <w:rFonts w:cs="仿宋_GB2312" w:asciiTheme="minorEastAsia" w:hAnsiTheme="minorEastAsia"/>
                <w:b/>
                <w:szCs w:val="21"/>
                <w:shd w:val="clear" w:color="auto" w:fill="FFFFFF"/>
              </w:rPr>
              <w:t>八</w:t>
            </w:r>
            <w:r>
              <w:rPr>
                <w:rFonts w:hint="eastAsia" w:cs="仿宋_GB2312" w:asciiTheme="minorEastAsia" w:hAnsiTheme="minorEastAsia"/>
                <w:b/>
                <w:szCs w:val="21"/>
                <w:shd w:val="clear" w:color="auto" w:fill="FFFFFF"/>
              </w:rPr>
              <w:t>、供应商应具备的特殊要求（无）。</w:t>
            </w:r>
          </w:p>
        </w:tc>
      </w:tr>
    </w:tbl>
    <w:p w14:paraId="12AD0E4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010538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B3070D1">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5DE4A9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4DAF53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01FC5C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CD0126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51BE29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D7184F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C9B081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F580608">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239739C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48054884">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5A553EE0">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0DEFEE62">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4ADF06F9">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9D54FE0">
      <w:pPr>
        <w:pStyle w:val="52"/>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7F40FBDC">
      <w:pPr>
        <w:pStyle w:val="52"/>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7D30516A">
      <w:pPr>
        <w:pStyle w:val="52"/>
        <w:autoSpaceDE w:val="0"/>
        <w:autoSpaceDN w:val="0"/>
        <w:spacing w:line="360" w:lineRule="auto"/>
        <w:ind w:left="780" w:firstLine="0" w:firstLineChars="0"/>
        <w:contextualSpacing/>
        <w:rPr>
          <w:rFonts w:cs="宋体" w:asciiTheme="minorEastAsia" w:hAnsiTheme="minorEastAsia"/>
          <w:kern w:val="0"/>
          <w:szCs w:val="21"/>
        </w:rPr>
      </w:pPr>
    </w:p>
    <w:p w14:paraId="6DCF7AA7">
      <w:pPr>
        <w:pStyle w:val="52"/>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14:paraId="4786FF35">
      <w:pPr>
        <w:pStyle w:val="52"/>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30244C51">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0194A4B6">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430EF073">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34D49DFE">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716331">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657FDA4C">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763F22D3">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123F51C">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16356475">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4A6AA5D3">
      <w:pPr>
        <w:pStyle w:val="52"/>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42CFD3AE">
      <w:pPr>
        <w:pStyle w:val="52"/>
        <w:autoSpaceDE w:val="0"/>
        <w:autoSpaceDN w:val="0"/>
        <w:spacing w:line="360" w:lineRule="auto"/>
        <w:ind w:left="964" w:firstLine="0" w:firstLineChars="0"/>
        <w:contextualSpacing/>
        <w:rPr>
          <w:rFonts w:cs="宋体" w:asciiTheme="minorEastAsia" w:hAnsiTheme="minorEastAsia"/>
          <w:kern w:val="0"/>
          <w:szCs w:val="21"/>
        </w:rPr>
      </w:pPr>
    </w:p>
    <w:p w14:paraId="6395E6BE">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14:paraId="5747777B">
      <w:pPr>
        <w:pStyle w:val="52"/>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在中华人民共和国境内注册，具有本项目生产、制造、供应或实施能力，符合、承认并承诺履行本谈判文件各项规定的法定代表人、其他组织或者自然人。</w:t>
      </w:r>
    </w:p>
    <w:p w14:paraId="2718C2DA">
      <w:pPr>
        <w:pStyle w:val="52"/>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0006AFDD">
      <w:pPr>
        <w:pStyle w:val="52"/>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447B271E">
      <w:pPr>
        <w:pStyle w:val="52"/>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HYPERLINK "http://www.chinanpo.gov.cn"</w:instrText>
      </w:r>
      <w:r>
        <w:fldChar w:fldCharType="separate"/>
      </w:r>
      <w:r>
        <w:rPr>
          <w:rStyle w:val="31"/>
          <w:rFonts w:cs="宋体" w:asciiTheme="minorEastAsia" w:hAnsiTheme="minorEastAsia"/>
          <w:color w:val="auto"/>
          <w:szCs w:val="21"/>
        </w:rPr>
        <w:t>https://chinanpo.mca.gov.cn</w:t>
      </w:r>
      <w:r>
        <w:fldChar w:fldCharType="end"/>
      </w:r>
      <w:r>
        <w:rPr>
          <w:rFonts w:hint="eastAsia" w:cs="宋体" w:asciiTheme="minorEastAsia" w:hAnsiTheme="minorEastAsia"/>
          <w:kern w:val="0"/>
          <w:szCs w:val="21"/>
        </w:rPr>
        <w:t>）；</w:t>
      </w:r>
    </w:p>
    <w:p w14:paraId="603CAB09">
      <w:pPr>
        <w:pStyle w:val="52"/>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6399233">
      <w:pPr>
        <w:pStyle w:val="52"/>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5B4BEAB3">
      <w:pPr>
        <w:pStyle w:val="52"/>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0808BCB5">
      <w:pPr>
        <w:pStyle w:val="52"/>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6667E849">
      <w:pPr>
        <w:pStyle w:val="52"/>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6453DE55">
      <w:pPr>
        <w:pStyle w:val="52"/>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4520782C">
      <w:pPr>
        <w:pStyle w:val="52"/>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4411AC32">
      <w:pPr>
        <w:pStyle w:val="52"/>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29526536">
      <w:pPr>
        <w:pStyle w:val="52"/>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40D01A09">
      <w:pPr>
        <w:pStyle w:val="52"/>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658D50A5">
      <w:pPr>
        <w:pStyle w:val="52"/>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67F687EE">
      <w:pPr>
        <w:pStyle w:val="52"/>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74F5D026">
      <w:pPr>
        <w:pStyle w:val="52"/>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44F2091">
      <w:pPr>
        <w:pStyle w:val="52"/>
        <w:autoSpaceDE w:val="0"/>
        <w:autoSpaceDN w:val="0"/>
        <w:spacing w:line="360" w:lineRule="auto"/>
        <w:ind w:left="964" w:firstLine="0" w:firstLineChars="0"/>
        <w:contextualSpacing/>
        <w:rPr>
          <w:rFonts w:cs="宋体" w:asciiTheme="minorEastAsia" w:hAnsiTheme="minorEastAsia"/>
          <w:kern w:val="0"/>
          <w:szCs w:val="21"/>
        </w:rPr>
      </w:pPr>
    </w:p>
    <w:p w14:paraId="29173CE5">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01A9A4F">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0AFAB7EF">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20A256A7">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4EED87D">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w:t>
      </w:r>
      <w:r>
        <w:rPr>
          <w:rFonts w:hint="eastAsia" w:cs="宋体" w:asciiTheme="minorEastAsia" w:hAnsiTheme="minorEastAsia"/>
          <w:bCs/>
          <w:szCs w:val="21"/>
          <w:lang w:val="zh-CN"/>
        </w:rPr>
        <w:t>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74815AC0">
      <w:pPr>
        <w:pStyle w:val="52"/>
        <w:autoSpaceDE w:val="0"/>
        <w:autoSpaceDN w:val="0"/>
        <w:spacing w:line="360" w:lineRule="auto"/>
        <w:ind w:left="964" w:firstLine="0" w:firstLineChars="0"/>
        <w:contextualSpacing/>
        <w:rPr>
          <w:rFonts w:cs="宋体" w:asciiTheme="minorEastAsia" w:hAnsiTheme="minorEastAsia"/>
          <w:kern w:val="0"/>
          <w:szCs w:val="21"/>
        </w:rPr>
      </w:pPr>
    </w:p>
    <w:p w14:paraId="79A4FF92">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14:paraId="681DB635">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1BF915B1">
      <w:pPr>
        <w:autoSpaceDE w:val="0"/>
        <w:autoSpaceDN w:val="0"/>
        <w:spacing w:line="360" w:lineRule="auto"/>
        <w:ind w:left="964"/>
        <w:contextualSpacing/>
        <w:rPr>
          <w:rFonts w:cs="宋体" w:asciiTheme="minorEastAsia" w:hAnsiTheme="minorEastAsia"/>
          <w:kern w:val="0"/>
          <w:szCs w:val="21"/>
        </w:rPr>
      </w:pPr>
    </w:p>
    <w:p w14:paraId="3403878F">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4A2E1F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许昌市人民政府门户网站》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159F43EB">
      <w:pPr>
        <w:autoSpaceDE w:val="0"/>
        <w:autoSpaceDN w:val="0"/>
        <w:spacing w:line="360" w:lineRule="auto"/>
        <w:ind w:left="964"/>
        <w:contextualSpacing/>
        <w:rPr>
          <w:rFonts w:cs="宋体" w:asciiTheme="minorEastAsia" w:hAnsiTheme="minorEastAsia"/>
          <w:kern w:val="0"/>
          <w:szCs w:val="21"/>
        </w:rPr>
      </w:pPr>
    </w:p>
    <w:p w14:paraId="32E101B2">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14:paraId="52A286BB">
      <w:pPr>
        <w:pStyle w:val="52"/>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48258E11">
      <w:pPr>
        <w:pStyle w:val="52"/>
        <w:autoSpaceDE w:val="0"/>
        <w:autoSpaceDN w:val="0"/>
        <w:spacing w:line="360" w:lineRule="auto"/>
        <w:ind w:left="964" w:firstLine="0" w:firstLineChars="0"/>
        <w:contextualSpacing/>
        <w:rPr>
          <w:rFonts w:cs="宋体" w:asciiTheme="minorEastAsia" w:hAnsiTheme="minorEastAsia"/>
          <w:kern w:val="0"/>
          <w:szCs w:val="21"/>
        </w:rPr>
      </w:pPr>
    </w:p>
    <w:p w14:paraId="77AD4068">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606E4B1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62C2DB05">
      <w:pPr>
        <w:autoSpaceDE w:val="0"/>
        <w:autoSpaceDN w:val="0"/>
        <w:spacing w:line="360" w:lineRule="auto"/>
        <w:ind w:left="964"/>
        <w:contextualSpacing/>
        <w:rPr>
          <w:rFonts w:cs="宋体" w:asciiTheme="minorEastAsia" w:hAnsiTheme="minorEastAsia"/>
          <w:kern w:val="0"/>
          <w:szCs w:val="21"/>
        </w:rPr>
      </w:pPr>
    </w:p>
    <w:p w14:paraId="45FF7939">
      <w:pPr>
        <w:autoSpaceDE w:val="0"/>
        <w:autoSpaceDN w:val="0"/>
        <w:spacing w:line="360" w:lineRule="auto"/>
        <w:contextualSpacing/>
        <w:rPr>
          <w:rFonts w:cs="宋体" w:asciiTheme="minorEastAsia" w:hAnsiTheme="minorEastAsia"/>
          <w:kern w:val="0"/>
          <w:szCs w:val="21"/>
        </w:rPr>
      </w:pPr>
    </w:p>
    <w:p w14:paraId="55A4A098">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14:paraId="5A549351">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14:paraId="0860C265">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0B92A97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68AB6A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4655353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77F6DF9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5759AA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3E9D986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132306D0">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11C2AC6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0EA5B2B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99A345D">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242D8149">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344688E">
      <w:pPr>
        <w:pStyle w:val="52"/>
        <w:autoSpaceDE w:val="0"/>
        <w:autoSpaceDN w:val="0"/>
        <w:spacing w:line="360" w:lineRule="auto"/>
        <w:ind w:left="964" w:firstLine="0" w:firstLineChars="0"/>
        <w:contextualSpacing/>
        <w:rPr>
          <w:rFonts w:cs="宋体" w:asciiTheme="minorEastAsia" w:hAnsiTheme="minorEastAsia"/>
          <w:kern w:val="0"/>
          <w:szCs w:val="21"/>
        </w:rPr>
      </w:pPr>
    </w:p>
    <w:p w14:paraId="736AD110">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3CC4E59">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5E99A545">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02F2064F">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1BE3B2F0">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08F3DE6C">
      <w:pPr>
        <w:autoSpaceDE w:val="0"/>
        <w:autoSpaceDN w:val="0"/>
        <w:spacing w:line="360" w:lineRule="auto"/>
        <w:contextualSpacing/>
        <w:rPr>
          <w:rFonts w:cs="宋体" w:asciiTheme="minorEastAsia" w:hAnsiTheme="minorEastAsia"/>
          <w:kern w:val="0"/>
          <w:szCs w:val="21"/>
        </w:rPr>
      </w:pPr>
    </w:p>
    <w:p w14:paraId="146D782B">
      <w:pPr>
        <w:autoSpaceDE w:val="0"/>
        <w:autoSpaceDN w:val="0"/>
        <w:spacing w:line="360" w:lineRule="auto"/>
        <w:contextualSpacing/>
        <w:rPr>
          <w:rFonts w:cs="宋体" w:asciiTheme="minorEastAsia" w:hAnsiTheme="minorEastAsia"/>
          <w:kern w:val="0"/>
          <w:szCs w:val="21"/>
        </w:rPr>
      </w:pPr>
    </w:p>
    <w:p w14:paraId="725CD2F5">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1E857EBE">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3C3F0638">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1DDA8789">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65E45914">
      <w:pPr>
        <w:pStyle w:val="52"/>
        <w:autoSpaceDE w:val="0"/>
        <w:autoSpaceDN w:val="0"/>
        <w:spacing w:line="360" w:lineRule="auto"/>
        <w:ind w:left="964" w:firstLine="0" w:firstLineChars="0"/>
        <w:contextualSpacing/>
        <w:rPr>
          <w:rFonts w:cs="宋体" w:asciiTheme="minorEastAsia" w:hAnsiTheme="minorEastAsia"/>
          <w:kern w:val="0"/>
          <w:szCs w:val="21"/>
        </w:rPr>
      </w:pPr>
    </w:p>
    <w:p w14:paraId="5FFAB5DC">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14:paraId="132C05B4">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6D851EC5">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296983B8">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5BB7132A">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w:t>
      </w:r>
      <w:r>
        <w:rPr>
          <w:rFonts w:hint="eastAsia" w:cs="宋体" w:asciiTheme="minorEastAsia" w:hAnsiTheme="minorEastAsia"/>
          <w:kern w:val="0"/>
          <w:szCs w:val="21"/>
          <w:lang w:eastAsia="zh-CN"/>
        </w:rPr>
        <w:t>一切费用和利润，包括但不限于人工</w:t>
      </w:r>
      <w:r>
        <w:rPr>
          <w:rFonts w:hint="eastAsia" w:cs="宋体" w:asciiTheme="minorEastAsia" w:hAnsiTheme="minorEastAsia"/>
          <w:kern w:val="0"/>
          <w:szCs w:val="21"/>
        </w:rPr>
        <w:t>（含工资、社会统筹保险金、加班工资、工作餐、相关福利、关于人员聘用的费用等）、设备、国家规定检测、外发包、材料（含辅材）、管理、税费及利润等。经通知参加谈判的供应商，在谈判结束后还有一次最终报价的机会。</w:t>
      </w:r>
    </w:p>
    <w:p w14:paraId="113FC220">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206EF40E">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报价不得高于本项目预算金额。供应商的响应报价高于预算金额（项目控制金额上限）的，该供应商的响应文件将被视为非实质性响应予以拒绝。</w:t>
      </w:r>
    </w:p>
    <w:p w14:paraId="42EB2705">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14:paraId="6F33A036">
      <w:pPr>
        <w:autoSpaceDE w:val="0"/>
        <w:autoSpaceDN w:val="0"/>
        <w:spacing w:line="360" w:lineRule="auto"/>
        <w:ind w:left="420"/>
        <w:contextualSpacing/>
        <w:rPr>
          <w:rFonts w:cs="宋体" w:asciiTheme="minorEastAsia" w:hAnsiTheme="minorEastAsia"/>
          <w:kern w:val="0"/>
          <w:szCs w:val="21"/>
        </w:rPr>
      </w:pPr>
    </w:p>
    <w:p w14:paraId="0149EC77">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14:paraId="4C774513">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35200A36">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0CBF2A7E">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7F22EACA">
      <w:pPr>
        <w:pStyle w:val="52"/>
        <w:autoSpaceDE w:val="0"/>
        <w:autoSpaceDN w:val="0"/>
        <w:spacing w:line="360" w:lineRule="auto"/>
        <w:ind w:left="964" w:firstLine="0" w:firstLineChars="0"/>
        <w:contextualSpacing/>
        <w:rPr>
          <w:rFonts w:cs="宋体" w:asciiTheme="minorEastAsia" w:hAnsiTheme="minorEastAsia"/>
          <w:kern w:val="0"/>
          <w:szCs w:val="21"/>
        </w:rPr>
      </w:pPr>
    </w:p>
    <w:p w14:paraId="4F283608">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14:paraId="79D29284">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5D8BB06F">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1925DCC7">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14:paraId="51FA3733">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6B3BD271">
      <w:pPr>
        <w:autoSpaceDE w:val="0"/>
        <w:autoSpaceDN w:val="0"/>
        <w:spacing w:line="360" w:lineRule="auto"/>
        <w:ind w:left="964"/>
        <w:contextualSpacing/>
        <w:rPr>
          <w:rFonts w:cs="宋体" w:asciiTheme="minorEastAsia" w:hAnsiTheme="minorEastAsia"/>
          <w:kern w:val="0"/>
          <w:szCs w:val="21"/>
        </w:rPr>
      </w:pPr>
      <w:r>
        <w:rPr>
          <w:rFonts w:hint="eastAsia" w:ascii="宋体" w:hAnsi="宋体"/>
          <w:kern w:val="0"/>
        </w:rPr>
        <w:t>供应商登录《全国公共资源交易平台（河南省·许昌市）》（</w:t>
      </w:r>
      <w:r>
        <w:rPr>
          <w:rFonts w:hint="eastAsia" w:ascii="宋体" w:hAnsi="宋体"/>
          <w:kern w:val="0"/>
          <w:lang w:eastAsia="zh-CN"/>
        </w:rPr>
        <w:t>https://ggzy.xuchang.gov.cn</w:t>
      </w:r>
      <w:r>
        <w:rPr>
          <w:rFonts w:hint="eastAsia" w:ascii="宋体" w:hAnsi="宋体"/>
          <w:kern w:val="0"/>
        </w:rPr>
        <w:t>/）下载“新点投标文件制作软件（河南省版）”</w:t>
      </w:r>
      <w:r>
        <w:rPr>
          <w:rFonts w:hint="eastAsia" w:cs="宋体" w:asciiTheme="minorEastAsia" w:hAnsiTheme="minorEastAsia"/>
          <w:kern w:val="0"/>
          <w:szCs w:val="21"/>
        </w:rPr>
        <w:t>（在“投标人”登录页面右下方“投标文件制作工具下载”）制作电子响应文件，按所响应标段磋商文件的要求制作电子响应文件。一个标段对应生成2份电子响应文件（后缀格式为.XCSTF和.nXCSTF）,其中后缀格式为“.XCSTF”的加密电子响应文件用于上传至交易系统中投标，后缀格式为“.nXCSTF”的不加密电子响应文件用于查看响应文件内容或导出PDF格式响应文件。</w:t>
      </w:r>
    </w:p>
    <w:p w14:paraId="36EB808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电子响应文件制作过程中如遇到技术问题，可拨打技术咨询电话：</w:t>
      </w:r>
      <w:r>
        <w:rPr>
          <w:rFonts w:hint="eastAsia" w:cs="宋体" w:asciiTheme="minorEastAsia" w:hAnsiTheme="minorEastAsia"/>
          <w:b/>
          <w:kern w:val="0"/>
          <w:szCs w:val="21"/>
        </w:rPr>
        <w:t>0512-58188538、0374-2961598</w:t>
      </w:r>
      <w:r>
        <w:rPr>
          <w:rFonts w:hint="eastAsia" w:cs="宋体" w:asciiTheme="minorEastAsia" w:hAnsiTheme="minorEastAsia"/>
          <w:kern w:val="0"/>
          <w:szCs w:val="21"/>
        </w:rPr>
        <w:t>。</w:t>
      </w:r>
    </w:p>
    <w:p w14:paraId="1A8F132C">
      <w:pPr>
        <w:autoSpaceDE w:val="0"/>
        <w:autoSpaceDN w:val="0"/>
        <w:spacing w:line="360" w:lineRule="auto"/>
        <w:ind w:left="964"/>
        <w:contextualSpacing/>
        <w:rPr>
          <w:rFonts w:cs="宋体" w:asciiTheme="minorEastAsia" w:hAnsiTheme="minorEastAsia"/>
          <w:kern w:val="0"/>
          <w:szCs w:val="21"/>
        </w:rPr>
      </w:pPr>
    </w:p>
    <w:p w14:paraId="45DEFF4E">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14:paraId="4BB5D017">
      <w:pPr>
        <w:pStyle w:val="5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连贯页码，并在响应文件封面上注明：所投项目名称、项目编号、供应商名称、日期等字样。</w:t>
      </w:r>
    </w:p>
    <w:p w14:paraId="57CE72FB">
      <w:pPr>
        <w:pStyle w:val="5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66A2838F">
      <w:pPr>
        <w:autoSpaceDE w:val="0"/>
        <w:autoSpaceDN w:val="0"/>
        <w:spacing w:line="360" w:lineRule="auto"/>
        <w:ind w:left="420"/>
        <w:contextualSpacing/>
        <w:rPr>
          <w:rFonts w:cs="宋体" w:asciiTheme="minorEastAsia" w:hAnsiTheme="minorEastAsia"/>
          <w:kern w:val="0"/>
          <w:szCs w:val="21"/>
        </w:rPr>
      </w:pPr>
    </w:p>
    <w:p w14:paraId="2EB22C11">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14:paraId="0078A5C6">
      <w:pPr>
        <w:pStyle w:val="5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0F146A3">
      <w:pPr>
        <w:pStyle w:val="5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28FB75F6">
      <w:pPr>
        <w:pStyle w:val="52"/>
        <w:autoSpaceDE w:val="0"/>
        <w:autoSpaceDN w:val="0"/>
        <w:spacing w:line="360" w:lineRule="auto"/>
        <w:ind w:left="964" w:firstLine="0" w:firstLineChars="0"/>
        <w:contextualSpacing/>
        <w:rPr>
          <w:rFonts w:cs="宋体" w:asciiTheme="minorEastAsia" w:hAnsiTheme="minorEastAsia"/>
          <w:kern w:val="0"/>
          <w:szCs w:val="21"/>
        </w:rPr>
      </w:pPr>
    </w:p>
    <w:p w14:paraId="51D3A895">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6B753A96">
      <w:pPr>
        <w:pStyle w:val="52"/>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6A0A7017">
      <w:pPr>
        <w:pStyle w:val="52"/>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在谈判文件中已明示需盖章及签名之处，电子响应文件应按谈判文件要求加盖供应商电子印章和法定代表人电子印章或授权代表电子印章。</w:t>
      </w:r>
    </w:p>
    <w:p w14:paraId="3AEBEB70">
      <w:pPr>
        <w:tabs>
          <w:tab w:val="left" w:pos="1260"/>
        </w:tabs>
        <w:autoSpaceDE w:val="0"/>
        <w:autoSpaceDN w:val="0"/>
        <w:spacing w:line="360" w:lineRule="auto"/>
        <w:contextualSpacing/>
        <w:rPr>
          <w:rFonts w:cs="仿宋_GB2312" w:asciiTheme="minorEastAsia" w:hAnsiTheme="minorEastAsia"/>
          <w:szCs w:val="21"/>
          <w:lang w:val="zh-CN"/>
        </w:rPr>
      </w:pPr>
    </w:p>
    <w:p w14:paraId="4E81FEBC">
      <w:pPr>
        <w:tabs>
          <w:tab w:val="left" w:pos="1260"/>
        </w:tabs>
        <w:autoSpaceDE w:val="0"/>
        <w:autoSpaceDN w:val="0"/>
        <w:spacing w:line="360" w:lineRule="auto"/>
        <w:contextualSpacing/>
        <w:rPr>
          <w:rFonts w:cs="仿宋_GB2312" w:asciiTheme="minorEastAsia" w:hAnsiTheme="minorEastAsia"/>
          <w:szCs w:val="21"/>
          <w:lang w:val="zh-CN"/>
        </w:rPr>
      </w:pPr>
    </w:p>
    <w:p w14:paraId="1E549E1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0BAE45ED">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2A424B01">
      <w:pPr>
        <w:pStyle w:val="52"/>
        <w:numPr>
          <w:ilvl w:val="0"/>
          <w:numId w:val="29"/>
        </w:numPr>
        <w:wordWrap w:val="0"/>
        <w:autoSpaceDE w:val="0"/>
        <w:autoSpaceDN w:val="0"/>
        <w:spacing w:line="360" w:lineRule="auto"/>
        <w:ind w:left="992" w:hanging="992"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加密电子投标文件（.XCSTF格式）通过《全国公共资源交易平台（河南省·许昌市）》— “投标人”— “许昌市公共资源电子交易系统”（</w:t>
      </w:r>
      <w:r>
        <w:rPr>
          <w:rFonts w:hint="eastAsia" w:cs="仿宋_GB2312" w:asciiTheme="minorEastAsia" w:hAnsiTheme="minorEastAsia"/>
          <w:szCs w:val="21"/>
          <w:lang w:eastAsia="zh-CN"/>
        </w:rPr>
        <w:t>https://ggzy.xuchang.gov.cn</w:t>
      </w:r>
      <w:r>
        <w:rPr>
          <w:rFonts w:hint="eastAsia" w:cs="仿宋_GB2312" w:asciiTheme="minorEastAsia" w:hAnsiTheme="minorEastAsia"/>
          <w:szCs w:val="21"/>
        </w:rPr>
        <w:t>/tpbidder）成功上传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6EE720BC">
      <w:pPr>
        <w:pStyle w:val="52"/>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44E954EA">
      <w:pPr>
        <w:pStyle w:val="52"/>
        <w:autoSpaceDE w:val="0"/>
        <w:autoSpaceDN w:val="0"/>
        <w:spacing w:line="360" w:lineRule="auto"/>
        <w:ind w:left="964" w:firstLine="0" w:firstLineChars="0"/>
        <w:contextualSpacing/>
        <w:rPr>
          <w:rFonts w:cs="宋体" w:asciiTheme="minorEastAsia" w:hAnsiTheme="minorEastAsia"/>
          <w:kern w:val="0"/>
          <w:szCs w:val="21"/>
        </w:rPr>
      </w:pPr>
    </w:p>
    <w:p w14:paraId="5618B1F0">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14:paraId="33AB78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14:paraId="72414A66">
      <w:pPr>
        <w:autoSpaceDE w:val="0"/>
        <w:autoSpaceDN w:val="0"/>
        <w:spacing w:line="360" w:lineRule="auto"/>
        <w:ind w:left="964"/>
        <w:contextualSpacing/>
        <w:rPr>
          <w:rFonts w:cs="宋体" w:asciiTheme="minorEastAsia" w:hAnsiTheme="minorEastAsia"/>
          <w:kern w:val="0"/>
          <w:szCs w:val="21"/>
        </w:rPr>
      </w:pPr>
    </w:p>
    <w:p w14:paraId="65DA1EE5">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56863B12">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22027B0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359A7F4D">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3DEF2CB1">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07EA0BC7">
      <w:pPr>
        <w:autoSpaceDE w:val="0"/>
        <w:autoSpaceDN w:val="0"/>
        <w:spacing w:line="360" w:lineRule="auto"/>
        <w:ind w:left="420"/>
        <w:contextualSpacing/>
        <w:rPr>
          <w:rFonts w:cs="宋体" w:asciiTheme="minorEastAsia" w:hAnsiTheme="minorEastAsia"/>
          <w:kern w:val="0"/>
          <w:szCs w:val="21"/>
        </w:rPr>
      </w:pPr>
    </w:p>
    <w:p w14:paraId="22D8DD0D">
      <w:pPr>
        <w:pStyle w:val="52"/>
        <w:numPr>
          <w:ilvl w:val="0"/>
          <w:numId w:val="1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05C2B877">
      <w:pPr>
        <w:autoSpaceDE w:val="0"/>
        <w:autoSpaceDN w:val="0"/>
        <w:spacing w:line="360" w:lineRule="auto"/>
        <w:contextualSpacing/>
        <w:rPr>
          <w:rFonts w:cs="宋体" w:asciiTheme="minorEastAsia" w:hAnsiTheme="minorEastAsia"/>
          <w:kern w:val="0"/>
          <w:szCs w:val="21"/>
        </w:rPr>
      </w:pPr>
    </w:p>
    <w:p w14:paraId="5DEC33BF">
      <w:pPr>
        <w:autoSpaceDE w:val="0"/>
        <w:autoSpaceDN w:val="0"/>
        <w:spacing w:line="360" w:lineRule="auto"/>
        <w:contextualSpacing/>
        <w:rPr>
          <w:rFonts w:cs="宋体" w:asciiTheme="minorEastAsia" w:hAnsiTheme="minorEastAsia"/>
          <w:kern w:val="0"/>
          <w:szCs w:val="21"/>
        </w:rPr>
      </w:pPr>
    </w:p>
    <w:p w14:paraId="34937A57">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14:paraId="62860140">
      <w:pPr>
        <w:pStyle w:val="52"/>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14:paraId="167B9B5A">
      <w:pPr>
        <w:pStyle w:val="52"/>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14:paraId="4F4A29EC">
      <w:pPr>
        <w:pStyle w:val="52"/>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，由代理机构开通远程不见面开标大厅；供应商应当在响应截止时间前使用CA数字证书或CA移动数字证书登录“网上开标大厅”在线准时参加并进行响应文件远程解密、电子签章等。</w:t>
      </w:r>
    </w:p>
    <w:p w14:paraId="6BD16032">
      <w:pPr>
        <w:pStyle w:val="52"/>
        <w:numPr>
          <w:ilvl w:val="0"/>
          <w:numId w:val="3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谈判响应截止时间到达时，招标代理机构“公布投标人”。</w:t>
      </w:r>
    </w:p>
    <w:p w14:paraId="7D53AB21">
      <w:pPr>
        <w:pStyle w:val="52"/>
        <w:numPr>
          <w:ilvl w:val="0"/>
          <w:numId w:val="3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在“标书解密”环节，各供应商根据“网上开标大厅”界面右侧“公告栏”中的系统提示，完成电子响应文件解密操作。供应商未解密或因供应商原因解密失败的，其响应文件将被拒绝。</w:t>
      </w:r>
    </w:p>
    <w:p w14:paraId="02498283">
      <w:pPr>
        <w:pStyle w:val="52"/>
        <w:numPr>
          <w:ilvl w:val="0"/>
          <w:numId w:val="3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“开标结束”环节，供应商应在《开标情况记录表》上进行电子签章，不见面响应活动结束。供应商未签章的，视同认可解密结果。</w:t>
      </w:r>
    </w:p>
    <w:p w14:paraId="3200FF71">
      <w:pPr>
        <w:pStyle w:val="52"/>
        <w:numPr>
          <w:ilvl w:val="0"/>
          <w:numId w:val="3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供应商对开标过程和开标记录如有疑义，可在本项目“网上开标大厅”—“发起异议”中提出。</w:t>
      </w:r>
    </w:p>
    <w:p w14:paraId="09FBC4EF">
      <w:pPr>
        <w:pStyle w:val="52"/>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7511E952">
      <w:pPr>
        <w:pStyle w:val="52"/>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19E112D6">
      <w:pPr>
        <w:pStyle w:val="52"/>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50EB7817">
      <w:pPr>
        <w:pStyle w:val="52"/>
        <w:autoSpaceDE w:val="0"/>
        <w:autoSpaceDN w:val="0"/>
        <w:spacing w:line="360" w:lineRule="auto"/>
        <w:ind w:left="964" w:firstLine="0" w:firstLineChars="0"/>
        <w:contextualSpacing/>
        <w:rPr>
          <w:rFonts w:cs="宋体" w:asciiTheme="minorEastAsia" w:hAnsiTheme="minorEastAsia"/>
          <w:kern w:val="0"/>
          <w:szCs w:val="21"/>
        </w:rPr>
      </w:pPr>
    </w:p>
    <w:p w14:paraId="34D54606">
      <w:pPr>
        <w:pStyle w:val="52"/>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14:paraId="4D21F9EF">
      <w:pPr>
        <w:pStyle w:val="5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019110C6">
      <w:pPr>
        <w:pStyle w:val="52"/>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7EF5FA54">
      <w:pPr>
        <w:pStyle w:val="52"/>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5D6E77FC">
      <w:pPr>
        <w:pStyle w:val="5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22C0D87F">
      <w:pPr>
        <w:pStyle w:val="5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5D65FC5D">
      <w:pPr>
        <w:pStyle w:val="52"/>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44227DB1">
      <w:pPr>
        <w:pStyle w:val="52"/>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46596923">
      <w:pPr>
        <w:pStyle w:val="52"/>
        <w:numPr>
          <w:ilvl w:val="0"/>
          <w:numId w:val="36"/>
        </w:numPr>
        <w:autoSpaceDE w:val="0"/>
        <w:autoSpaceDN w:val="0"/>
        <w:spacing w:line="360" w:lineRule="auto"/>
        <w:ind w:hanging="1369" w:firstLineChars="0"/>
        <w:contextualSpacing/>
        <w:rPr>
          <w:rFonts w:cs="宋体" w:asciiTheme="minorEastAsia" w:hAnsiTheme="minorEastAsia"/>
          <w:vanish/>
          <w:kern w:val="0"/>
          <w:szCs w:val="21"/>
        </w:rPr>
      </w:pPr>
      <w:r>
        <w:rPr>
          <w:rFonts w:hint="eastAsia" w:ascii="ˎ̥" w:hAnsi="ˎ̥"/>
        </w:rPr>
        <w:t>与供应商有其他可能影响政府采购活动公平、公正进行的关系。</w:t>
      </w:r>
    </w:p>
    <w:p w14:paraId="63F5A51F">
      <w:pPr>
        <w:pStyle w:val="5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5C4F1725">
      <w:pPr>
        <w:pStyle w:val="5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12D6E258">
      <w:pPr>
        <w:pStyle w:val="5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5AAA7EBA">
      <w:pPr>
        <w:autoSpaceDE w:val="0"/>
        <w:autoSpaceDN w:val="0"/>
        <w:spacing w:line="360" w:lineRule="auto"/>
        <w:ind w:left="420"/>
        <w:contextualSpacing/>
        <w:rPr>
          <w:rFonts w:cs="宋体" w:asciiTheme="minorEastAsia" w:hAnsiTheme="minorEastAsia"/>
          <w:kern w:val="0"/>
          <w:szCs w:val="21"/>
        </w:rPr>
      </w:pPr>
    </w:p>
    <w:p w14:paraId="5D9142D2">
      <w:pPr>
        <w:pStyle w:val="52"/>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58263757">
      <w:pPr>
        <w:pStyle w:val="52"/>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66C97D6B">
      <w:pPr>
        <w:pStyle w:val="5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0D225670">
      <w:pPr>
        <w:pStyle w:val="52"/>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3D084B2D">
      <w:pPr>
        <w:pStyle w:val="52"/>
        <w:autoSpaceDE w:val="0"/>
        <w:autoSpaceDN w:val="0"/>
        <w:spacing w:line="360" w:lineRule="auto"/>
        <w:ind w:left="964" w:firstLine="0" w:firstLineChars="0"/>
        <w:contextualSpacing/>
        <w:rPr>
          <w:rFonts w:cs="宋体" w:asciiTheme="minorEastAsia" w:hAnsiTheme="minorEastAsia"/>
          <w:kern w:val="0"/>
          <w:szCs w:val="21"/>
        </w:rPr>
      </w:pPr>
    </w:p>
    <w:p w14:paraId="1B110432">
      <w:pPr>
        <w:pStyle w:val="52"/>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14:paraId="7B4D3074">
      <w:pPr>
        <w:pStyle w:val="52"/>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CEE78C8">
      <w:pPr>
        <w:pStyle w:val="52"/>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177BA2F2">
      <w:pPr>
        <w:pStyle w:val="52"/>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15E9C410">
      <w:pPr>
        <w:pStyle w:val="52"/>
        <w:autoSpaceDE w:val="0"/>
        <w:autoSpaceDN w:val="0"/>
        <w:spacing w:line="360" w:lineRule="auto"/>
        <w:ind w:left="964" w:firstLine="0" w:firstLineChars="0"/>
        <w:contextualSpacing/>
        <w:rPr>
          <w:rFonts w:cs="宋体" w:asciiTheme="minorEastAsia" w:hAnsiTheme="minorEastAsia"/>
          <w:kern w:val="0"/>
          <w:szCs w:val="21"/>
        </w:rPr>
      </w:pPr>
    </w:p>
    <w:p w14:paraId="59538DE0">
      <w:pPr>
        <w:pStyle w:val="52"/>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5F9D5C1C">
      <w:pPr>
        <w:pStyle w:val="52"/>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0C0E8F03">
      <w:pPr>
        <w:pStyle w:val="52"/>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56128BFD">
      <w:pPr>
        <w:pStyle w:val="52"/>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78E70A82">
      <w:pPr>
        <w:autoSpaceDE w:val="0"/>
        <w:autoSpaceDN w:val="0"/>
        <w:spacing w:line="360" w:lineRule="auto"/>
        <w:ind w:left="964"/>
        <w:contextualSpacing/>
        <w:rPr>
          <w:rFonts w:cs="宋体" w:asciiTheme="minorEastAsia" w:hAnsiTheme="minorEastAsia"/>
          <w:kern w:val="0"/>
          <w:szCs w:val="21"/>
        </w:rPr>
      </w:pPr>
    </w:p>
    <w:p w14:paraId="0E4264CF">
      <w:pPr>
        <w:pStyle w:val="52"/>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14:paraId="79E36E80">
      <w:pPr>
        <w:pStyle w:val="52"/>
        <w:numPr>
          <w:ilvl w:val="0"/>
          <w:numId w:val="40"/>
        </w:numPr>
        <w:autoSpaceDE w:val="0"/>
        <w:autoSpaceDN w:val="0"/>
        <w:spacing w:line="360" w:lineRule="auto"/>
        <w:ind w:firstLineChars="0"/>
        <w:contextualSpacing/>
        <w:rPr>
          <w:rFonts w:cs="宋体" w:asciiTheme="minorEastAsia" w:hAnsiTheme="minorEastAsia"/>
          <w:vanish/>
          <w:kern w:val="0"/>
          <w:szCs w:val="21"/>
        </w:rPr>
      </w:pPr>
      <w:r>
        <w:rPr>
          <w:rFonts w:hint="eastAsia" w:cs="宋体" w:asciiTheme="minorEastAsia" w:hAnsiTheme="minorEastAsia"/>
          <w:kern w:val="0"/>
          <w:szCs w:val="21"/>
        </w:rPr>
        <w:t xml:space="preserve"> 响应文件属下列情况之一的，按照无效响应处理：</w:t>
      </w:r>
    </w:p>
    <w:p w14:paraId="5E1F4014">
      <w:pPr>
        <w:pStyle w:val="52"/>
        <w:numPr>
          <w:ilvl w:val="0"/>
          <w:numId w:val="41"/>
        </w:numPr>
        <w:autoSpaceDE w:val="0"/>
        <w:autoSpaceDN w:val="0"/>
        <w:spacing w:line="360" w:lineRule="auto"/>
        <w:ind w:left="993" w:hanging="963"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未按照磋商文件的规定提交《许昌市政府采购供应商信用承诺函》的；</w:t>
      </w:r>
    </w:p>
    <w:p w14:paraId="0BC12B62">
      <w:pPr>
        <w:pStyle w:val="52"/>
        <w:numPr>
          <w:ilvl w:val="0"/>
          <w:numId w:val="41"/>
        </w:numPr>
        <w:autoSpaceDE w:val="0"/>
        <w:autoSpaceDN w:val="0"/>
        <w:spacing w:line="360" w:lineRule="auto"/>
        <w:ind w:left="993" w:hanging="963"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未按照磋商文件的规定提交谈判承诺函的；</w:t>
      </w:r>
    </w:p>
    <w:p w14:paraId="2EC3A1CA">
      <w:pPr>
        <w:pStyle w:val="52"/>
        <w:numPr>
          <w:ilvl w:val="0"/>
          <w:numId w:val="41"/>
        </w:numPr>
        <w:autoSpaceDE w:val="0"/>
        <w:autoSpaceDN w:val="0"/>
        <w:spacing w:line="360" w:lineRule="auto"/>
        <w:ind w:left="993" w:hanging="96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14:paraId="342C0EC9">
      <w:pPr>
        <w:pStyle w:val="52"/>
        <w:numPr>
          <w:ilvl w:val="0"/>
          <w:numId w:val="41"/>
        </w:numPr>
        <w:autoSpaceDE w:val="0"/>
        <w:autoSpaceDN w:val="0"/>
        <w:spacing w:line="360" w:lineRule="auto"/>
        <w:ind w:left="993" w:hanging="963"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165BE62A">
      <w:pPr>
        <w:pStyle w:val="52"/>
        <w:numPr>
          <w:ilvl w:val="0"/>
          <w:numId w:val="41"/>
        </w:numPr>
        <w:autoSpaceDE w:val="0"/>
        <w:autoSpaceDN w:val="0"/>
        <w:spacing w:line="360" w:lineRule="auto"/>
        <w:ind w:left="993" w:hanging="96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60F9E59D">
      <w:pPr>
        <w:pStyle w:val="52"/>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根据《河南省财政厅关于防范供应商串通投标促进政府采购公平竞争的通知》（豫财购 </w:t>
      </w:r>
    </w:p>
    <w:p w14:paraId="1E42B313">
      <w:pPr>
        <w:pStyle w:val="52"/>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﹝2021﹞6号）要求，参与同一个标段的供应商存在下列情形之一的，其投标文件无效：</w:t>
      </w:r>
    </w:p>
    <w:p w14:paraId="5B29D3EE">
      <w:pPr>
        <w:pStyle w:val="52"/>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FC007EE">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5B945919">
      <w:pPr>
        <w:pStyle w:val="52"/>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5829911D">
      <w:pPr>
        <w:pStyle w:val="52"/>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6440D5B0">
      <w:pPr>
        <w:pStyle w:val="52"/>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470B5967">
      <w:pPr>
        <w:pStyle w:val="52"/>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1A6813AD">
      <w:pPr>
        <w:pStyle w:val="52"/>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6CC5ADC7">
      <w:pPr>
        <w:pStyle w:val="52"/>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7ABC825B">
      <w:pPr>
        <w:pStyle w:val="52"/>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47732E17">
      <w:pPr>
        <w:pStyle w:val="52"/>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06CA7217">
      <w:pPr>
        <w:pStyle w:val="52"/>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74CCBD5">
      <w:pPr>
        <w:pStyle w:val="52"/>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C15985">
      <w:pPr>
        <w:pStyle w:val="52"/>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7D9763E6">
      <w:pPr>
        <w:pStyle w:val="52"/>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7EA7FE27">
      <w:pPr>
        <w:pStyle w:val="52"/>
        <w:numPr>
          <w:ilvl w:val="0"/>
          <w:numId w:val="40"/>
        </w:numPr>
        <w:autoSpaceDE w:val="0"/>
        <w:autoSpaceDN w:val="0"/>
        <w:adjustRightInd w:val="0"/>
        <w:spacing w:line="360" w:lineRule="auto"/>
        <w:ind w:left="993" w:hanging="993"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3CDA2A36">
      <w:pPr>
        <w:pStyle w:val="52"/>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即许公管办[2019]3号文中的投标文件制作“硬件特征码”，其由网卡MAC地址、CPU序列号、硬盘序列号等组成，以下均称为“文件制作机器码”)均一致时，视为‘不同供应商的响应文件由同一单位或者个人编制’或‘不同供应商委托同一单位或者个人办理响应事宜’，其谈判响应无效。</w:t>
      </w:r>
    </w:p>
    <w:p w14:paraId="03E3BEFE">
      <w:pPr>
        <w:pStyle w:val="52"/>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3CDD1BAF">
      <w:pPr>
        <w:pStyle w:val="52"/>
        <w:autoSpaceDE w:val="0"/>
        <w:autoSpaceDN w:val="0"/>
        <w:spacing w:line="360" w:lineRule="auto"/>
        <w:ind w:left="964" w:firstLine="0" w:firstLineChars="0"/>
        <w:contextualSpacing/>
        <w:rPr>
          <w:rFonts w:cs="宋体" w:asciiTheme="minorEastAsia" w:hAnsiTheme="minorEastAsia"/>
          <w:kern w:val="0"/>
          <w:szCs w:val="21"/>
        </w:rPr>
      </w:pPr>
    </w:p>
    <w:p w14:paraId="03CCF148">
      <w:pPr>
        <w:pStyle w:val="52"/>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2ABE9F4A">
      <w:pPr>
        <w:pStyle w:val="52"/>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7DC89FB0">
      <w:pPr>
        <w:pStyle w:val="52"/>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6AC9B9F8">
      <w:pPr>
        <w:pStyle w:val="52"/>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32667319">
      <w:pPr>
        <w:pStyle w:val="52"/>
        <w:numPr>
          <w:ilvl w:val="0"/>
          <w:numId w:val="55"/>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40AE1AD0">
      <w:pPr>
        <w:pStyle w:val="52"/>
        <w:numPr>
          <w:ilvl w:val="0"/>
          <w:numId w:val="55"/>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718DBFEE">
      <w:pPr>
        <w:pStyle w:val="52"/>
        <w:numPr>
          <w:ilvl w:val="0"/>
          <w:numId w:val="55"/>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603445CA">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089CEE28">
      <w:pPr>
        <w:pStyle w:val="52"/>
        <w:numPr>
          <w:ilvl w:val="0"/>
          <w:numId w:val="55"/>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14:paraId="068890DE">
      <w:pPr>
        <w:pStyle w:val="52"/>
        <w:numPr>
          <w:ilvl w:val="0"/>
          <w:numId w:val="55"/>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14:paraId="26B5F277">
      <w:pPr>
        <w:pStyle w:val="52"/>
        <w:numPr>
          <w:ilvl w:val="0"/>
          <w:numId w:val="55"/>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14:paraId="4A6DBA53">
      <w:pPr>
        <w:pStyle w:val="52"/>
        <w:autoSpaceDE w:val="0"/>
        <w:autoSpaceDN w:val="0"/>
        <w:spacing w:line="360" w:lineRule="auto"/>
        <w:ind w:left="964" w:firstLine="0" w:firstLineChars="0"/>
        <w:contextualSpacing/>
        <w:rPr>
          <w:rFonts w:ascii="ˎ̥" w:hAnsi="ˎ̥"/>
        </w:rPr>
      </w:pPr>
    </w:p>
    <w:p w14:paraId="393E04D4">
      <w:pPr>
        <w:pStyle w:val="52"/>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1572D9D9">
      <w:pPr>
        <w:pStyle w:val="52"/>
        <w:autoSpaceDE w:val="0"/>
        <w:autoSpaceDN w:val="0"/>
        <w:spacing w:line="360" w:lineRule="auto"/>
        <w:ind w:left="840" w:leftChars="400"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w:t>
      </w:r>
      <w:r>
        <w:rPr>
          <w:rFonts w:hint="eastAsia"/>
          <w:b/>
          <w:bCs/>
        </w:rPr>
        <w:t>（</w:t>
      </w:r>
      <w:r>
        <w:rPr>
          <w:rFonts w:hint="eastAsia" w:cs="仿宋_GB2312" w:asciiTheme="minorEastAsia" w:hAnsiTheme="minorEastAsia"/>
          <w:b/>
          <w:bCs/>
          <w:szCs w:val="21"/>
          <w:lang w:val="zh-CN"/>
        </w:rPr>
        <w:t>进行政策性价格扣除后的价格</w:t>
      </w:r>
      <w:r>
        <w:rPr>
          <w:rFonts w:hint="eastAsia"/>
          <w:b/>
          <w:bCs/>
        </w:rPr>
        <w:t>）</w:t>
      </w:r>
      <w:r>
        <w:rPr>
          <w:rFonts w:ascii="ˎ̥" w:hAnsi="ˎ̥"/>
        </w:rPr>
        <w:t>由低到高的顺序提出3名以上成交候选人，并编写评审报告。</w:t>
      </w:r>
    </w:p>
    <w:p w14:paraId="7E198526">
      <w:pPr>
        <w:tabs>
          <w:tab w:val="left" w:pos="1260"/>
        </w:tabs>
        <w:autoSpaceDE w:val="0"/>
        <w:autoSpaceDN w:val="0"/>
        <w:spacing w:line="360" w:lineRule="auto"/>
        <w:contextualSpacing/>
        <w:jc w:val="center"/>
        <w:rPr>
          <w:rFonts w:cs="宋体" w:asciiTheme="minorEastAsia" w:hAnsiTheme="minorEastAsia"/>
          <w:b/>
          <w:kern w:val="0"/>
          <w:szCs w:val="21"/>
        </w:rPr>
      </w:pPr>
    </w:p>
    <w:p w14:paraId="6B8793AF">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6C610CE0">
      <w:pPr>
        <w:pStyle w:val="52"/>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14:paraId="4682B283">
      <w:pPr>
        <w:pStyle w:val="52"/>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w:t>
      </w:r>
      <w:r>
        <w:rPr>
          <w:rFonts w:hint="eastAsia"/>
          <w:b/>
          <w:bCs/>
        </w:rPr>
        <w:t>（</w:t>
      </w:r>
      <w:r>
        <w:rPr>
          <w:rFonts w:hint="eastAsia" w:cs="仿宋_GB2312" w:asciiTheme="minorEastAsia" w:hAnsiTheme="minorEastAsia"/>
          <w:b/>
          <w:bCs/>
          <w:szCs w:val="21"/>
          <w:lang w:val="zh-CN"/>
        </w:rPr>
        <w:t>进行政策性价格扣除后的价格</w:t>
      </w:r>
      <w:r>
        <w:rPr>
          <w:rFonts w:hint="eastAsia"/>
          <w:b/>
          <w:bCs/>
        </w:rPr>
        <w:t>）</w:t>
      </w:r>
      <w:r>
        <w:rPr>
          <w:rFonts w:ascii="ˎ̥" w:hAnsi="ˎ̥"/>
        </w:rPr>
        <w:t>的原则确定成交供应商</w:t>
      </w:r>
      <w:r>
        <w:rPr>
          <w:rFonts w:hint="eastAsia" w:cs="宋体" w:asciiTheme="minorEastAsia" w:hAnsiTheme="minorEastAsia"/>
          <w:kern w:val="0"/>
          <w:szCs w:val="21"/>
        </w:rPr>
        <w:t>（核验成交供应商由《许昌市政府采购供应商信用承诺函》替代的证明材料）。</w:t>
      </w:r>
    </w:p>
    <w:p w14:paraId="7DC34B3B">
      <w:pPr>
        <w:pStyle w:val="52"/>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0637408F">
      <w:pPr>
        <w:pStyle w:val="52"/>
        <w:autoSpaceDE w:val="0"/>
        <w:autoSpaceDN w:val="0"/>
        <w:spacing w:line="360" w:lineRule="auto"/>
        <w:ind w:left="964" w:firstLine="0" w:firstLineChars="0"/>
        <w:contextualSpacing/>
        <w:rPr>
          <w:rFonts w:cs="宋体" w:asciiTheme="minorEastAsia" w:hAnsiTheme="minorEastAsia"/>
          <w:kern w:val="0"/>
          <w:szCs w:val="21"/>
        </w:rPr>
      </w:pPr>
    </w:p>
    <w:p w14:paraId="449CF018">
      <w:pPr>
        <w:pStyle w:val="52"/>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31B72D2D">
      <w:pPr>
        <w:pStyle w:val="52"/>
        <w:autoSpaceDE w:val="0"/>
        <w:autoSpaceDN w:val="0"/>
        <w:spacing w:line="360" w:lineRule="auto"/>
        <w:ind w:left="993" w:firstLine="0" w:firstLineChars="0"/>
        <w:contextualSpacing/>
        <w:rPr>
          <w:rFonts w:cs="宋体" w:asciiTheme="minorEastAsia" w:hAnsiTheme="minorEastAsia"/>
          <w:vanish/>
          <w:kern w:val="0"/>
          <w:szCs w:val="21"/>
        </w:rPr>
      </w:pPr>
      <w:r>
        <w:rPr>
          <w:rFonts w:hint="eastAsia" w:cs="微软雅黑"/>
        </w:rPr>
        <w:t>在谈判采购中，出现下列情形之一的，采购人应当终止竞争性谈判采购活动，发布项目终止公告并说明原因，重新开展采购活动：</w:t>
      </w:r>
    </w:p>
    <w:p w14:paraId="51EE7141">
      <w:pPr>
        <w:pStyle w:val="52"/>
        <w:numPr>
          <w:ilvl w:val="0"/>
          <w:numId w:val="57"/>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1520078D">
      <w:pPr>
        <w:pStyle w:val="52"/>
        <w:numPr>
          <w:ilvl w:val="0"/>
          <w:numId w:val="57"/>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54926D8B">
      <w:pPr>
        <w:pStyle w:val="52"/>
        <w:numPr>
          <w:ilvl w:val="0"/>
          <w:numId w:val="57"/>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16527A27">
      <w:pPr>
        <w:pStyle w:val="52"/>
        <w:autoSpaceDE w:val="0"/>
        <w:autoSpaceDN w:val="0"/>
        <w:spacing w:line="360" w:lineRule="auto"/>
        <w:ind w:left="964" w:firstLine="0" w:firstLineChars="0"/>
        <w:contextualSpacing/>
        <w:rPr>
          <w:rFonts w:ascii="ˎ̥" w:hAnsi="ˎ̥"/>
        </w:rPr>
      </w:pPr>
    </w:p>
    <w:p w14:paraId="35B313AB">
      <w:pPr>
        <w:pStyle w:val="52"/>
        <w:numPr>
          <w:ilvl w:val="0"/>
          <w:numId w:val="5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41AEC2C1">
      <w:pPr>
        <w:pStyle w:val="52"/>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采购人确认成交人后公告成交结果的同时，许昌市政府采购服务中心向成交人发出成交通知书。</w:t>
      </w:r>
    </w:p>
    <w:p w14:paraId="7D1D6427">
      <w:pPr>
        <w:pStyle w:val="52"/>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7881E6C7">
      <w:pPr>
        <w:pStyle w:val="52"/>
        <w:autoSpaceDE w:val="0"/>
        <w:autoSpaceDN w:val="0"/>
        <w:spacing w:line="360" w:lineRule="auto"/>
        <w:ind w:left="964" w:firstLine="0" w:firstLineChars="0"/>
        <w:contextualSpacing/>
        <w:rPr>
          <w:rFonts w:cs="宋体" w:asciiTheme="minorEastAsia" w:hAnsiTheme="minorEastAsia"/>
          <w:kern w:val="0"/>
          <w:szCs w:val="21"/>
        </w:rPr>
      </w:pPr>
    </w:p>
    <w:p w14:paraId="187076A8">
      <w:pPr>
        <w:pStyle w:val="52"/>
        <w:numPr>
          <w:ilvl w:val="0"/>
          <w:numId w:val="6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3F3F6D63">
      <w:pPr>
        <w:pStyle w:val="52"/>
        <w:numPr>
          <w:ilvl w:val="0"/>
          <w:numId w:val="6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56B10192">
      <w:pPr>
        <w:pStyle w:val="52"/>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0EE3BB6F">
      <w:pPr>
        <w:pStyle w:val="52"/>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600D5B1B">
      <w:pPr>
        <w:pStyle w:val="52"/>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A9B00E1">
      <w:pPr>
        <w:pStyle w:val="52"/>
        <w:numPr>
          <w:ilvl w:val="0"/>
          <w:numId w:val="6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2744C1E8">
      <w:pPr>
        <w:pStyle w:val="52"/>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1BECD7BC">
      <w:pPr>
        <w:pStyle w:val="52"/>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64FD9B58">
      <w:pPr>
        <w:autoSpaceDE w:val="0"/>
        <w:autoSpaceDN w:val="0"/>
        <w:spacing w:line="360" w:lineRule="auto"/>
        <w:ind w:left="964"/>
        <w:contextualSpacing/>
        <w:rPr>
          <w:rFonts w:cs="宋体" w:asciiTheme="minorEastAsia" w:hAnsiTheme="minorEastAsia"/>
          <w:kern w:val="0"/>
          <w:szCs w:val="21"/>
        </w:rPr>
      </w:pPr>
    </w:p>
    <w:p w14:paraId="1A5E7D3A">
      <w:pPr>
        <w:pStyle w:val="52"/>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投诉</w:t>
      </w:r>
    </w:p>
    <w:p w14:paraId="076A589D">
      <w:pPr>
        <w:pStyle w:val="52"/>
        <w:numPr>
          <w:ilvl w:val="0"/>
          <w:numId w:val="66"/>
        </w:numPr>
        <w:autoSpaceDE w:val="0"/>
        <w:autoSpaceDN w:val="0"/>
        <w:spacing w:line="360" w:lineRule="auto"/>
        <w:ind w:left="851" w:hanging="851" w:firstLineChars="0"/>
        <w:contextualSpacing/>
        <w:rPr>
          <w:rFonts w:cs="宋体" w:asciiTheme="minorEastAsia" w:hAnsiTheme="minorEastAsia"/>
          <w:kern w:val="0"/>
          <w:szCs w:val="21"/>
        </w:rPr>
      </w:pPr>
      <w:r>
        <w:rPr>
          <w:rFonts w:cs="宋体" w:asciiTheme="minorEastAsia" w:hAnsiTheme="minorEastAsia"/>
          <w:kern w:val="0"/>
          <w:szCs w:val="21"/>
        </w:rPr>
        <w:t>若对质疑答复不满意或质疑答复未在答复期限内作出，质疑</w:t>
      </w:r>
      <w:r>
        <w:rPr>
          <w:rFonts w:hint="eastAsia" w:cs="宋体" w:asciiTheme="minorEastAsia" w:hAnsiTheme="minorEastAsia"/>
          <w:kern w:val="0"/>
          <w:szCs w:val="21"/>
        </w:rPr>
        <w:t>供应商</w:t>
      </w:r>
      <w:r>
        <w:rPr>
          <w:rFonts w:cs="宋体" w:asciiTheme="minorEastAsia" w:hAnsiTheme="minorEastAsia"/>
          <w:kern w:val="0"/>
          <w:szCs w:val="21"/>
        </w:rPr>
        <w:t>可在答复期满</w:t>
      </w:r>
      <w:r>
        <w:rPr>
          <w:rFonts w:hint="eastAsia" w:cs="宋体" w:asciiTheme="minorEastAsia" w:hAnsiTheme="minorEastAsia"/>
          <w:kern w:val="0"/>
          <w:szCs w:val="21"/>
        </w:rPr>
        <w:t>后</w:t>
      </w:r>
      <w:r>
        <w:rPr>
          <w:rFonts w:cs="宋体" w:asciiTheme="minorEastAsia" w:hAnsiTheme="minorEastAsia"/>
          <w:kern w:val="0"/>
          <w:szCs w:val="21"/>
        </w:rPr>
        <w:t>15个工作日内按照</w:t>
      </w:r>
      <w:r>
        <w:rPr>
          <w:rFonts w:hint="eastAsia" w:cs="宋体" w:asciiTheme="minorEastAsia" w:hAnsiTheme="minorEastAsia"/>
          <w:kern w:val="0"/>
          <w:szCs w:val="21"/>
        </w:rPr>
        <w:t>《</w:t>
      </w:r>
      <w:r>
        <w:rPr>
          <w:rFonts w:cs="宋体" w:asciiTheme="minorEastAsia" w:hAnsiTheme="minorEastAsia"/>
          <w:kern w:val="0"/>
          <w:szCs w:val="21"/>
        </w:rPr>
        <w:t>政府采购质疑和投诉办法</w:t>
      </w:r>
      <w:r>
        <w:rPr>
          <w:rFonts w:hint="eastAsia" w:cs="宋体" w:asciiTheme="minorEastAsia" w:hAnsiTheme="minorEastAsia"/>
          <w:kern w:val="0"/>
          <w:szCs w:val="21"/>
        </w:rPr>
        <w:t>》</w:t>
      </w:r>
      <w:r>
        <w:rPr>
          <w:rFonts w:cs="宋体" w:asciiTheme="minorEastAsia" w:hAnsiTheme="minorEastAsia"/>
          <w:kern w:val="0"/>
          <w:szCs w:val="21"/>
        </w:rPr>
        <w:t>的有关规定向招标文件第</w:t>
      </w:r>
      <w:r>
        <w:rPr>
          <w:rFonts w:hint="eastAsia" w:cs="宋体" w:asciiTheme="minorEastAsia" w:hAnsiTheme="minorEastAsia"/>
          <w:kern w:val="0"/>
          <w:szCs w:val="21"/>
        </w:rPr>
        <w:t>一</w:t>
      </w:r>
      <w:r>
        <w:rPr>
          <w:rFonts w:cs="宋体" w:asciiTheme="minorEastAsia" w:hAnsiTheme="minorEastAsia"/>
          <w:kern w:val="0"/>
          <w:szCs w:val="21"/>
        </w:rPr>
        <w:t>章载明的本项目监督管理部门提起投诉。</w:t>
      </w:r>
    </w:p>
    <w:p w14:paraId="7B70FB91">
      <w:pPr>
        <w:pStyle w:val="52"/>
        <w:numPr>
          <w:ilvl w:val="0"/>
          <w:numId w:val="66"/>
        </w:numPr>
        <w:autoSpaceDE w:val="0"/>
        <w:autoSpaceDN w:val="0"/>
        <w:spacing w:line="360" w:lineRule="auto"/>
        <w:ind w:left="851" w:hanging="851" w:firstLineChars="0"/>
        <w:contextualSpacing/>
        <w:rPr>
          <w:rFonts w:cs="宋体" w:asciiTheme="minorEastAsia" w:hAnsiTheme="minorEastAsia"/>
          <w:kern w:val="0"/>
          <w:szCs w:val="21"/>
        </w:rPr>
      </w:pPr>
      <w:r>
        <w:rPr>
          <w:rFonts w:cs="宋体" w:asciiTheme="minorEastAsia" w:hAnsiTheme="minorEastAsia"/>
          <w:kern w:val="0"/>
          <w:szCs w:val="21"/>
        </w:rPr>
        <w:t>投诉应有明确的请求和必要的证明材料，投诉的事项不得超出已质疑事项的范围。</w:t>
      </w:r>
    </w:p>
    <w:p w14:paraId="0CC30773">
      <w:pPr>
        <w:autoSpaceDE w:val="0"/>
        <w:autoSpaceDN w:val="0"/>
        <w:spacing w:line="360" w:lineRule="auto"/>
        <w:ind w:left="964"/>
        <w:contextualSpacing/>
        <w:rPr>
          <w:rFonts w:cs="宋体" w:asciiTheme="minorEastAsia" w:hAnsiTheme="minorEastAsia"/>
          <w:kern w:val="0"/>
          <w:szCs w:val="21"/>
        </w:rPr>
      </w:pPr>
    </w:p>
    <w:p w14:paraId="2298708F">
      <w:pPr>
        <w:pStyle w:val="52"/>
        <w:numPr>
          <w:ilvl w:val="0"/>
          <w:numId w:val="6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14:paraId="759FA31F">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lang w:eastAsia="zh-CN"/>
        </w:rPr>
        <w:t>15日</w:t>
      </w:r>
      <w:r>
        <w:rPr>
          <w:rFonts w:cs="宋体" w:asciiTheme="minorEastAsia" w:hAnsiTheme="minorEastAsia"/>
          <w:kern w:val="0"/>
          <w:szCs w:val="21"/>
        </w:rPr>
        <w:t>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14:paraId="08FA89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采购人自采购合同签订之日起，2个</w:t>
      </w:r>
      <w:r>
        <w:rPr>
          <w:rFonts w:cs="宋体" w:asciiTheme="minorEastAsia" w:hAnsiTheme="minorEastAsia"/>
          <w:kern w:val="0"/>
          <w:szCs w:val="21"/>
        </w:rPr>
        <w:t>工作日内</w:t>
      </w:r>
      <w:r>
        <w:rPr>
          <w:rFonts w:hint="eastAsia" w:cs="宋体" w:asciiTheme="minorEastAsia" w:hAnsiTheme="minorEastAsia"/>
          <w:kern w:val="0"/>
          <w:szCs w:val="21"/>
        </w:rPr>
        <w:t>到许昌市政府采购监督管理办公室进行合同备案，并登陆“许昌市政府采购网”进行网上备案。</w:t>
      </w:r>
    </w:p>
    <w:p w14:paraId="3F9616ED">
      <w:pPr>
        <w:pStyle w:val="52"/>
        <w:autoSpaceDE w:val="0"/>
        <w:autoSpaceDN w:val="0"/>
        <w:spacing w:line="360" w:lineRule="auto"/>
        <w:ind w:left="964" w:firstLine="0" w:firstLineChars="0"/>
        <w:contextualSpacing/>
        <w:rPr>
          <w:rFonts w:cs="宋体" w:asciiTheme="minorEastAsia" w:hAnsiTheme="minorEastAsia"/>
          <w:kern w:val="0"/>
          <w:szCs w:val="21"/>
        </w:rPr>
      </w:pPr>
    </w:p>
    <w:p w14:paraId="2D0977EA">
      <w:pPr>
        <w:pStyle w:val="52"/>
        <w:numPr>
          <w:ilvl w:val="0"/>
          <w:numId w:val="6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E345ACD">
      <w:pPr>
        <w:tabs>
          <w:tab w:val="left" w:pos="993"/>
        </w:tabs>
        <w:autoSpaceDE w:val="0"/>
        <w:autoSpaceDN w:val="0"/>
        <w:spacing w:line="360" w:lineRule="auto"/>
        <w:ind w:left="991" w:leftChars="471" w:hanging="2"/>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020D7C4">
      <w:pPr>
        <w:autoSpaceDE w:val="0"/>
        <w:autoSpaceDN w:val="0"/>
        <w:spacing w:line="360" w:lineRule="auto"/>
        <w:contextualSpacing/>
        <w:rPr>
          <w:rFonts w:ascii="宋体" w:hAnsi="宋体" w:eastAsia="宋体" w:cs="宋体"/>
          <w:sz w:val="24"/>
          <w:szCs w:val="24"/>
        </w:rPr>
      </w:pPr>
    </w:p>
    <w:p w14:paraId="5B717824">
      <w:pPr>
        <w:pStyle w:val="52"/>
        <w:numPr>
          <w:ilvl w:val="0"/>
          <w:numId w:val="6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政府采购合同融资</w:t>
      </w:r>
    </w:p>
    <w:p w14:paraId="0042B8EE">
      <w:pPr>
        <w:pStyle w:val="52"/>
        <w:numPr>
          <w:ilvl w:val="0"/>
          <w:numId w:val="68"/>
        </w:numPr>
        <w:wordWrap w:val="0"/>
        <w:topLinePunct/>
        <w:autoSpaceDE w:val="0"/>
        <w:autoSpaceDN w:val="0"/>
        <w:adjustRightInd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14:paraId="21292F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F3CD941">
      <w:pPr>
        <w:pStyle w:val="52"/>
        <w:numPr>
          <w:ilvl w:val="1"/>
          <w:numId w:val="6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合作金融机构（排名不分先后）</w:t>
      </w:r>
    </w:p>
    <w:p w14:paraId="161609A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1）合作金融机构名称：中原银行许昌分行（小微金融部）</w:t>
      </w:r>
    </w:p>
    <w:p w14:paraId="32F478C7">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4DD75C57">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7020D7C8">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2）合作金融机构名称：浦发银行许昌分行</w:t>
      </w:r>
    </w:p>
    <w:p w14:paraId="593460A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0374-7313569、7313502 18937459920</w:t>
      </w:r>
    </w:p>
    <w:p w14:paraId="2603316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地址：许昌市许继大道1163号许继花园</w:t>
      </w:r>
    </w:p>
    <w:p w14:paraId="7FB3599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3）合作金融机构名称：交通银行许昌分行</w:t>
      </w:r>
    </w:p>
    <w:p w14:paraId="4634D7BC">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联系人：宋纪刚  0374-2369912  13733951305</w:t>
      </w:r>
    </w:p>
    <w:p w14:paraId="3F4C6BA4">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地址：许昌市莲城大道114号</w:t>
      </w:r>
    </w:p>
    <w:p w14:paraId="0AD5548C">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4）合作金融机构名称：光大银行许昌分行</w:t>
      </w:r>
    </w:p>
    <w:p w14:paraId="3D134FE4">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联系人：李东磊  0374-2928168 18569936868</w:t>
      </w:r>
    </w:p>
    <w:p w14:paraId="2132AC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地址：许昌市魏都区八一路文峰路交叉口西北角</w:t>
      </w:r>
    </w:p>
    <w:p w14:paraId="7DC18EDB">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5）合作金融机构名称：招商银行许昌分行</w:t>
      </w:r>
    </w:p>
    <w:p w14:paraId="391A2142">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联系人及电话：崔星迪  0374-5376058  18839983051</w:t>
      </w:r>
    </w:p>
    <w:p w14:paraId="231F935B">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地址：许昌市建安大道中段新天下AB座</w:t>
      </w:r>
    </w:p>
    <w:p w14:paraId="5F142158">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6）合作金融机构名称：邮储银行许昌市分行</w:t>
      </w:r>
    </w:p>
    <w:p w14:paraId="4027D96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联系人及电话：张彦峰13839001972 武松涛18839902679</w:t>
      </w:r>
    </w:p>
    <w:p w14:paraId="5DE06AB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徐亚爽15038297574</w:t>
      </w:r>
    </w:p>
    <w:p w14:paraId="41633862">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地址：许昌市莲城大道邮储银行莲城支行二楼</w:t>
      </w:r>
    </w:p>
    <w:p w14:paraId="793C37F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7）合作金融机构名称：中国银行许昌分行</w:t>
      </w:r>
    </w:p>
    <w:p w14:paraId="3DE43E74">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联系人及电话：白炜 13938772680   刘晓飞  0374-3338596</w:t>
      </w:r>
    </w:p>
    <w:p w14:paraId="7A25B8FD">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地址：许昌市魏都区建设路1488号</w:t>
      </w:r>
    </w:p>
    <w:p w14:paraId="78DED55D">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8）合作金融机构名称：中信银行郑州红专路支行</w:t>
      </w:r>
    </w:p>
    <w:p w14:paraId="1C9F310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联系人：韩晨  13253490679</w:t>
      </w:r>
    </w:p>
    <w:p w14:paraId="1E238D9D">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地址：郑州市金水区经三路北26号中信银行郑州红专路支行</w:t>
      </w:r>
    </w:p>
    <w:p w14:paraId="22F9561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9）合作金融机构名称：</w:t>
      </w:r>
      <w:r>
        <w:rPr>
          <w:rFonts w:hint="eastAsia" w:cs="宋体" w:asciiTheme="minorEastAsia" w:hAnsiTheme="minorEastAsia"/>
          <w:bCs/>
          <w:kern w:val="0"/>
          <w:szCs w:val="21"/>
        </w:rPr>
        <w:t>郑州银行许昌分行</w:t>
      </w:r>
    </w:p>
    <w:p w14:paraId="6071F51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联系人：王晶  0374-2298011 18339062222</w:t>
      </w:r>
    </w:p>
    <w:p w14:paraId="3002ABD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地址：河南省许昌市魏都区莲城大道与魏文路交叉口西南角亨通君成国际大厦</w:t>
      </w:r>
    </w:p>
    <w:p w14:paraId="715D134A">
      <w:pPr>
        <w:pStyle w:val="52"/>
        <w:numPr>
          <w:ilvl w:val="1"/>
          <w:numId w:val="6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“许昌市政府采购合同融资金融产品推介名录”链接</w:t>
      </w:r>
    </w:p>
    <w:p w14:paraId="25DFCBB6">
      <w:pPr>
        <w:autoSpaceDE w:val="0"/>
        <w:autoSpaceDN w:val="0"/>
        <w:spacing w:line="360" w:lineRule="auto"/>
        <w:ind w:left="964"/>
        <w:contextualSpacing/>
        <w:jc w:val="left"/>
        <w:rPr>
          <w:rFonts w:cs="宋体" w:asciiTheme="minorEastAsia" w:hAnsiTheme="minorEastAsia"/>
          <w:kern w:val="0"/>
          <w:szCs w:val="21"/>
        </w:rPr>
      </w:pPr>
      <w:r>
        <w:fldChar w:fldCharType="begin"/>
      </w:r>
      <w:r>
        <w:instrText xml:space="preserve"> HYPERLINK "http://xuchang.hngp.gov.cn/xuchang/content?infoId=1606365368231095&amp;channelCode=H711001" </w:instrText>
      </w:r>
      <w:r>
        <w:fldChar w:fldCharType="separate"/>
      </w:r>
      <w:r>
        <w:rPr>
          <w:rStyle w:val="31"/>
          <w:rFonts w:hint="eastAsia" w:cs="宋体" w:asciiTheme="minorEastAsia" w:hAnsiTheme="minorEastAsia"/>
          <w:color w:val="auto"/>
          <w:kern w:val="0"/>
          <w:szCs w:val="21"/>
        </w:rPr>
        <w:t>http://xuchang.hngp.gov.cn/xuchang/content?infoId=1606365368231095&amp;channelCode=H711001</w:t>
      </w:r>
      <w:r>
        <w:rPr>
          <w:rStyle w:val="31"/>
          <w:rFonts w:hint="eastAsia" w:cs="宋体" w:asciiTheme="minorEastAsia" w:hAnsiTheme="minorEastAsia"/>
          <w:color w:val="auto"/>
          <w:kern w:val="0"/>
          <w:szCs w:val="21"/>
        </w:rPr>
        <w:fldChar w:fldCharType="end"/>
      </w:r>
    </w:p>
    <w:p w14:paraId="20674880">
      <w:pPr>
        <w:numPr>
          <w:ilvl w:val="0"/>
          <w:numId w:val="70"/>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0D6EBF07">
      <w:pPr>
        <w:autoSpaceDE w:val="0"/>
        <w:autoSpaceDN w:val="0"/>
        <w:spacing w:line="360" w:lineRule="auto"/>
        <w:ind w:left="964"/>
        <w:contextualSpacing/>
        <w:jc w:val="left"/>
        <w:rPr>
          <w:rFonts w:cs="宋体" w:asciiTheme="minorEastAsia" w:hAnsiTheme="minorEastAsia"/>
          <w:vanish/>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cs="宋体" w:asciiTheme="minorEastAsia" w:hAnsiTheme="minorEastAsia"/>
          <w:kern w:val="0"/>
          <w:szCs w:val="21"/>
        </w:rPr>
        <w:t>许昌市财政局政府采购监督管理办公室人员、许昌市政府采购服务中心人员组成“采小帮”服务团队，提供政府采购政策咨询服务，以及项目实施全程跟踪提醒、监督预警服务。</w:t>
      </w:r>
    </w:p>
    <w:p w14:paraId="0494AF72">
      <w:pPr>
        <w:pStyle w:val="52"/>
        <w:numPr>
          <w:ilvl w:val="0"/>
          <w:numId w:val="71"/>
        </w:numPr>
        <w:wordWrap w:val="0"/>
        <w:topLinePunct/>
        <w:autoSpaceDE w:val="0"/>
        <w:autoSpaceDN w:val="0"/>
        <w:adjustRightInd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“采小帮”服务团队依据职责分工，向供应商提供个性化、精准化服务，包括政策咨询、政策宣传、采购辅导、节点提醒、风险提示、问题反馈等。</w:t>
      </w:r>
    </w:p>
    <w:p w14:paraId="4B298454">
      <w:pPr>
        <w:pStyle w:val="52"/>
        <w:numPr>
          <w:ilvl w:val="0"/>
          <w:numId w:val="71"/>
        </w:numPr>
        <w:wordWrap w:val="0"/>
        <w:topLinePunct/>
        <w:autoSpaceDE w:val="0"/>
        <w:autoSpaceDN w:val="0"/>
        <w:adjustRightInd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0038E63A">
      <w:pPr>
        <w:pStyle w:val="52"/>
        <w:numPr>
          <w:ilvl w:val="0"/>
          <w:numId w:val="71"/>
        </w:numPr>
        <w:wordWrap w:val="0"/>
        <w:topLinePunct/>
        <w:autoSpaceDE w:val="0"/>
        <w:autoSpaceDN w:val="0"/>
        <w:adjustRightInd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26"/>
        <w:tblW w:w="9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620"/>
        <w:gridCol w:w="1717"/>
        <w:gridCol w:w="3794"/>
      </w:tblGrid>
      <w:tr w14:paraId="11F6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908" w:type="dxa"/>
            <w:shd w:val="clear" w:color="auto" w:fill="auto"/>
          </w:tcPr>
          <w:p w14:paraId="3651B72B">
            <w:pPr>
              <w:spacing w:line="360" w:lineRule="auto"/>
              <w:jc w:val="center"/>
              <w:rPr>
                <w:rFonts w:ascii="黑体" w:hAnsi="黑体" w:eastAsia="黑体"/>
                <w:szCs w:val="21"/>
              </w:rPr>
            </w:pPr>
            <w:r>
              <w:rPr>
                <w:rFonts w:hint="eastAsia" w:ascii="黑体" w:hAnsi="黑体" w:eastAsia="黑体"/>
                <w:szCs w:val="21"/>
              </w:rPr>
              <w:t>部门</w:t>
            </w:r>
          </w:p>
        </w:tc>
        <w:tc>
          <w:tcPr>
            <w:tcW w:w="1620" w:type="dxa"/>
            <w:shd w:val="clear" w:color="auto" w:fill="auto"/>
          </w:tcPr>
          <w:p w14:paraId="47843C63">
            <w:pPr>
              <w:spacing w:line="360" w:lineRule="auto"/>
              <w:jc w:val="center"/>
              <w:rPr>
                <w:rFonts w:ascii="黑体" w:hAnsi="黑体" w:eastAsia="黑体"/>
                <w:szCs w:val="21"/>
              </w:rPr>
            </w:pPr>
            <w:r>
              <w:rPr>
                <w:rFonts w:hint="eastAsia" w:ascii="黑体" w:hAnsi="黑体" w:eastAsia="黑体"/>
                <w:szCs w:val="21"/>
              </w:rPr>
              <w:t>姓名</w:t>
            </w:r>
          </w:p>
        </w:tc>
        <w:tc>
          <w:tcPr>
            <w:tcW w:w="1717" w:type="dxa"/>
            <w:shd w:val="clear" w:color="auto" w:fill="auto"/>
          </w:tcPr>
          <w:p w14:paraId="6F121525">
            <w:pPr>
              <w:spacing w:line="360" w:lineRule="auto"/>
              <w:jc w:val="center"/>
              <w:rPr>
                <w:rFonts w:ascii="黑体" w:hAnsi="黑体" w:eastAsia="黑体"/>
                <w:szCs w:val="21"/>
              </w:rPr>
            </w:pPr>
            <w:r>
              <w:rPr>
                <w:rFonts w:hint="eastAsia" w:ascii="黑体" w:hAnsi="黑体" w:eastAsia="黑体"/>
                <w:szCs w:val="21"/>
              </w:rPr>
              <w:t>联系方式</w:t>
            </w:r>
          </w:p>
        </w:tc>
        <w:tc>
          <w:tcPr>
            <w:tcW w:w="3794" w:type="dxa"/>
            <w:shd w:val="clear" w:color="auto" w:fill="auto"/>
          </w:tcPr>
          <w:p w14:paraId="45AD128F">
            <w:pPr>
              <w:spacing w:line="360" w:lineRule="auto"/>
              <w:jc w:val="center"/>
              <w:rPr>
                <w:rFonts w:ascii="黑体" w:hAnsi="黑体" w:eastAsia="黑体"/>
                <w:szCs w:val="21"/>
              </w:rPr>
            </w:pPr>
            <w:r>
              <w:rPr>
                <w:rFonts w:hint="eastAsia" w:ascii="黑体" w:hAnsi="黑体" w:eastAsia="黑体"/>
                <w:szCs w:val="21"/>
              </w:rPr>
              <w:t>服务领域</w:t>
            </w:r>
          </w:p>
        </w:tc>
      </w:tr>
      <w:tr w14:paraId="20EE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shd w:val="clear" w:color="auto" w:fill="auto"/>
            <w:vAlign w:val="center"/>
          </w:tcPr>
          <w:p w14:paraId="711854C4">
            <w:pPr>
              <w:spacing w:line="360" w:lineRule="auto"/>
              <w:jc w:val="center"/>
              <w:rPr>
                <w:rFonts w:asciiTheme="minorEastAsia" w:hAnsiTheme="minorEastAsia"/>
                <w:szCs w:val="21"/>
              </w:rPr>
            </w:pPr>
            <w:r>
              <w:rPr>
                <w:rFonts w:hint="eastAsia" w:asciiTheme="minorEastAsia" w:hAnsiTheme="minorEastAsia"/>
                <w:szCs w:val="21"/>
              </w:rPr>
              <w:t>许昌市政府采购</w:t>
            </w:r>
          </w:p>
          <w:p w14:paraId="0EB99D01">
            <w:pPr>
              <w:spacing w:line="360" w:lineRule="auto"/>
              <w:jc w:val="center"/>
              <w:rPr>
                <w:rFonts w:asciiTheme="minorEastAsia" w:hAnsiTheme="minorEastAsia"/>
                <w:szCs w:val="21"/>
              </w:rPr>
            </w:pPr>
            <w:r>
              <w:rPr>
                <w:rFonts w:hint="eastAsia" w:asciiTheme="minorEastAsia" w:hAnsiTheme="minorEastAsia"/>
                <w:szCs w:val="21"/>
              </w:rPr>
              <w:t>监督管理办公室</w:t>
            </w:r>
          </w:p>
        </w:tc>
        <w:tc>
          <w:tcPr>
            <w:tcW w:w="1620" w:type="dxa"/>
            <w:shd w:val="clear" w:color="auto" w:fill="auto"/>
          </w:tcPr>
          <w:p w14:paraId="0A90021A">
            <w:pPr>
              <w:spacing w:line="360" w:lineRule="auto"/>
              <w:jc w:val="center"/>
              <w:rPr>
                <w:rFonts w:asciiTheme="minorEastAsia" w:hAnsiTheme="minorEastAsia"/>
                <w:szCs w:val="21"/>
              </w:rPr>
            </w:pPr>
            <w:r>
              <w:rPr>
                <w:rFonts w:hint="eastAsia" w:asciiTheme="minorEastAsia" w:hAnsiTheme="minorEastAsia"/>
                <w:szCs w:val="21"/>
              </w:rPr>
              <w:t>李燕玲</w:t>
            </w:r>
          </w:p>
        </w:tc>
        <w:tc>
          <w:tcPr>
            <w:tcW w:w="1717" w:type="dxa"/>
            <w:shd w:val="clear" w:color="auto" w:fill="auto"/>
          </w:tcPr>
          <w:p w14:paraId="0DC5627C">
            <w:pPr>
              <w:spacing w:line="360" w:lineRule="auto"/>
              <w:jc w:val="center"/>
              <w:rPr>
                <w:rFonts w:asciiTheme="minorEastAsia" w:hAnsiTheme="minorEastAsia"/>
                <w:szCs w:val="21"/>
              </w:rPr>
            </w:pPr>
            <w:r>
              <w:rPr>
                <w:rFonts w:hint="eastAsia" w:asciiTheme="minorEastAsia" w:hAnsiTheme="minorEastAsia"/>
                <w:szCs w:val="21"/>
              </w:rPr>
              <w:t>0374-2676018</w:t>
            </w:r>
          </w:p>
        </w:tc>
        <w:tc>
          <w:tcPr>
            <w:tcW w:w="3794" w:type="dxa"/>
            <w:shd w:val="clear" w:color="auto" w:fill="auto"/>
          </w:tcPr>
          <w:p w14:paraId="3AA13CDF">
            <w:pPr>
              <w:spacing w:line="360" w:lineRule="auto"/>
              <w:jc w:val="center"/>
              <w:rPr>
                <w:rFonts w:asciiTheme="minorEastAsia" w:hAnsiTheme="minorEastAsia"/>
                <w:szCs w:val="21"/>
              </w:rPr>
            </w:pPr>
            <w:r>
              <w:rPr>
                <w:rFonts w:hint="eastAsia" w:asciiTheme="minorEastAsia" w:hAnsiTheme="minorEastAsia"/>
                <w:szCs w:val="21"/>
              </w:rPr>
              <w:t>优化政府采购营商环境</w:t>
            </w:r>
          </w:p>
        </w:tc>
      </w:tr>
      <w:tr w14:paraId="2FFD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4FEFBD45">
            <w:pPr>
              <w:spacing w:line="360" w:lineRule="auto"/>
              <w:jc w:val="center"/>
              <w:rPr>
                <w:rFonts w:asciiTheme="minorEastAsia" w:hAnsiTheme="minorEastAsia"/>
                <w:szCs w:val="21"/>
              </w:rPr>
            </w:pPr>
          </w:p>
        </w:tc>
        <w:tc>
          <w:tcPr>
            <w:tcW w:w="1620" w:type="dxa"/>
            <w:shd w:val="clear" w:color="auto" w:fill="auto"/>
          </w:tcPr>
          <w:p w14:paraId="3E926300">
            <w:pPr>
              <w:spacing w:line="360" w:lineRule="auto"/>
              <w:jc w:val="center"/>
              <w:rPr>
                <w:rFonts w:asciiTheme="minorEastAsia" w:hAnsiTheme="minorEastAsia"/>
                <w:szCs w:val="21"/>
              </w:rPr>
            </w:pPr>
            <w:r>
              <w:rPr>
                <w:rFonts w:hint="eastAsia" w:asciiTheme="minorEastAsia" w:hAnsiTheme="minorEastAsia"/>
                <w:szCs w:val="21"/>
              </w:rPr>
              <w:t>霍春育</w:t>
            </w:r>
          </w:p>
        </w:tc>
        <w:tc>
          <w:tcPr>
            <w:tcW w:w="1717" w:type="dxa"/>
            <w:shd w:val="clear" w:color="auto" w:fill="auto"/>
          </w:tcPr>
          <w:p w14:paraId="6AB2BAA4">
            <w:pPr>
              <w:spacing w:line="360" w:lineRule="auto"/>
              <w:jc w:val="center"/>
              <w:rPr>
                <w:rFonts w:asciiTheme="minorEastAsia" w:hAnsiTheme="minorEastAsia"/>
                <w:szCs w:val="21"/>
              </w:rPr>
            </w:pPr>
            <w:r>
              <w:rPr>
                <w:rFonts w:hint="eastAsia" w:asciiTheme="minorEastAsia" w:hAnsiTheme="minorEastAsia"/>
                <w:szCs w:val="21"/>
              </w:rPr>
              <w:t>0374-2676171</w:t>
            </w:r>
          </w:p>
        </w:tc>
        <w:tc>
          <w:tcPr>
            <w:tcW w:w="3794" w:type="dxa"/>
            <w:shd w:val="clear" w:color="auto" w:fill="auto"/>
          </w:tcPr>
          <w:p w14:paraId="320D4590">
            <w:pPr>
              <w:spacing w:line="360" w:lineRule="auto"/>
              <w:jc w:val="center"/>
              <w:rPr>
                <w:rFonts w:asciiTheme="minorEastAsia" w:hAnsiTheme="minorEastAsia"/>
                <w:szCs w:val="21"/>
              </w:rPr>
            </w:pPr>
            <w:r>
              <w:rPr>
                <w:rFonts w:hint="eastAsia" w:asciiTheme="minorEastAsia" w:hAnsiTheme="minorEastAsia"/>
                <w:szCs w:val="21"/>
              </w:rPr>
              <w:t>优化政府采购营商环境</w:t>
            </w:r>
          </w:p>
        </w:tc>
      </w:tr>
      <w:tr w14:paraId="378F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789E8BAB">
            <w:pPr>
              <w:spacing w:line="360" w:lineRule="auto"/>
              <w:jc w:val="center"/>
              <w:rPr>
                <w:rFonts w:asciiTheme="minorEastAsia" w:hAnsiTheme="minorEastAsia"/>
                <w:szCs w:val="21"/>
              </w:rPr>
            </w:pPr>
          </w:p>
        </w:tc>
        <w:tc>
          <w:tcPr>
            <w:tcW w:w="1620" w:type="dxa"/>
            <w:shd w:val="clear" w:color="auto" w:fill="auto"/>
            <w:vAlign w:val="center"/>
          </w:tcPr>
          <w:p w14:paraId="14237AF1">
            <w:pPr>
              <w:spacing w:line="360" w:lineRule="auto"/>
              <w:jc w:val="center"/>
              <w:rPr>
                <w:rFonts w:asciiTheme="minorEastAsia" w:hAnsiTheme="minorEastAsia"/>
                <w:szCs w:val="21"/>
              </w:rPr>
            </w:pPr>
            <w:r>
              <w:rPr>
                <w:rFonts w:hint="eastAsia" w:asciiTheme="minorEastAsia" w:hAnsiTheme="minorEastAsia"/>
                <w:szCs w:val="21"/>
              </w:rPr>
              <w:t>袁  航</w:t>
            </w:r>
          </w:p>
        </w:tc>
        <w:tc>
          <w:tcPr>
            <w:tcW w:w="1717" w:type="dxa"/>
            <w:shd w:val="clear" w:color="auto" w:fill="auto"/>
            <w:vAlign w:val="center"/>
          </w:tcPr>
          <w:p w14:paraId="20B67FF0">
            <w:pPr>
              <w:spacing w:line="360" w:lineRule="auto"/>
              <w:jc w:val="center"/>
              <w:rPr>
                <w:rFonts w:asciiTheme="minorEastAsia" w:hAnsiTheme="minorEastAsia"/>
                <w:szCs w:val="21"/>
              </w:rPr>
            </w:pPr>
            <w:r>
              <w:rPr>
                <w:rFonts w:hint="eastAsia" w:asciiTheme="minorEastAsia" w:hAnsiTheme="minorEastAsia"/>
                <w:szCs w:val="21"/>
              </w:rPr>
              <w:t>0374-2676018</w:t>
            </w:r>
          </w:p>
        </w:tc>
        <w:tc>
          <w:tcPr>
            <w:tcW w:w="3794" w:type="dxa"/>
            <w:shd w:val="clear" w:color="auto" w:fill="auto"/>
          </w:tcPr>
          <w:p w14:paraId="7D2EA8F7">
            <w:pPr>
              <w:contextualSpacing/>
              <w:rPr>
                <w:rFonts w:asciiTheme="minorEastAsia" w:hAnsiTheme="minorEastAsia"/>
                <w:szCs w:val="21"/>
              </w:rPr>
            </w:pPr>
            <w:r>
              <w:rPr>
                <w:rFonts w:hint="eastAsia" w:asciiTheme="minorEastAsia" w:hAnsiTheme="minorEastAsia"/>
                <w:szCs w:val="21"/>
              </w:rPr>
              <w:t>集采机构监管、进口产品、支持中小企业发展、政府采购专家管理、质疑投诉处理</w:t>
            </w:r>
          </w:p>
        </w:tc>
      </w:tr>
      <w:tr w14:paraId="4EA4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05DAFF9C">
            <w:pPr>
              <w:spacing w:line="360" w:lineRule="auto"/>
              <w:jc w:val="center"/>
              <w:rPr>
                <w:rFonts w:asciiTheme="minorEastAsia" w:hAnsiTheme="minorEastAsia"/>
                <w:szCs w:val="21"/>
              </w:rPr>
            </w:pPr>
          </w:p>
        </w:tc>
        <w:tc>
          <w:tcPr>
            <w:tcW w:w="1620" w:type="dxa"/>
            <w:shd w:val="clear" w:color="auto" w:fill="auto"/>
            <w:vAlign w:val="center"/>
          </w:tcPr>
          <w:p w14:paraId="4DDE820C">
            <w:pPr>
              <w:spacing w:line="360" w:lineRule="auto"/>
              <w:jc w:val="center"/>
              <w:rPr>
                <w:rFonts w:asciiTheme="minorEastAsia" w:hAnsiTheme="minorEastAsia"/>
                <w:szCs w:val="21"/>
              </w:rPr>
            </w:pPr>
            <w:r>
              <w:rPr>
                <w:rFonts w:hint="eastAsia" w:asciiTheme="minorEastAsia" w:hAnsiTheme="minorEastAsia"/>
                <w:szCs w:val="21"/>
              </w:rPr>
              <w:t>丁  姚</w:t>
            </w:r>
          </w:p>
        </w:tc>
        <w:tc>
          <w:tcPr>
            <w:tcW w:w="1717" w:type="dxa"/>
            <w:shd w:val="clear" w:color="auto" w:fill="auto"/>
            <w:vAlign w:val="center"/>
          </w:tcPr>
          <w:p w14:paraId="3E15907A">
            <w:pPr>
              <w:spacing w:line="360" w:lineRule="auto"/>
              <w:jc w:val="center"/>
              <w:rPr>
                <w:rFonts w:asciiTheme="minorEastAsia" w:hAnsiTheme="minorEastAsia"/>
                <w:szCs w:val="21"/>
              </w:rPr>
            </w:pPr>
            <w:r>
              <w:rPr>
                <w:rFonts w:hint="eastAsia" w:asciiTheme="minorEastAsia" w:hAnsiTheme="minorEastAsia"/>
                <w:szCs w:val="21"/>
              </w:rPr>
              <w:t>0374-2676171</w:t>
            </w:r>
          </w:p>
        </w:tc>
        <w:tc>
          <w:tcPr>
            <w:tcW w:w="3794" w:type="dxa"/>
            <w:shd w:val="clear" w:color="auto" w:fill="auto"/>
          </w:tcPr>
          <w:p w14:paraId="24809506">
            <w:pPr>
              <w:contextualSpacing/>
              <w:rPr>
                <w:rFonts w:asciiTheme="minorEastAsia" w:hAnsiTheme="minorEastAsia"/>
                <w:szCs w:val="21"/>
              </w:rPr>
            </w:pPr>
            <w:r>
              <w:rPr>
                <w:rFonts w:hint="eastAsia" w:asciiTheme="minorEastAsia" w:hAnsiTheme="minorEastAsia"/>
                <w:szCs w:val="21"/>
              </w:rPr>
              <w:t>政府采购政策制度、信用信息收集、政府采购专家管理</w:t>
            </w:r>
          </w:p>
        </w:tc>
      </w:tr>
      <w:tr w14:paraId="2529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7444BBCC">
            <w:pPr>
              <w:spacing w:line="360" w:lineRule="auto"/>
              <w:jc w:val="center"/>
              <w:rPr>
                <w:rFonts w:asciiTheme="minorEastAsia" w:hAnsiTheme="minorEastAsia"/>
                <w:szCs w:val="21"/>
              </w:rPr>
            </w:pPr>
          </w:p>
        </w:tc>
        <w:tc>
          <w:tcPr>
            <w:tcW w:w="1620" w:type="dxa"/>
            <w:shd w:val="clear" w:color="auto" w:fill="auto"/>
            <w:vAlign w:val="center"/>
          </w:tcPr>
          <w:p w14:paraId="02D06730">
            <w:pPr>
              <w:spacing w:line="360" w:lineRule="auto"/>
              <w:jc w:val="center"/>
              <w:rPr>
                <w:rFonts w:asciiTheme="minorEastAsia" w:hAnsiTheme="minorEastAsia"/>
                <w:szCs w:val="21"/>
              </w:rPr>
            </w:pPr>
            <w:r>
              <w:rPr>
                <w:rFonts w:hint="eastAsia" w:asciiTheme="minorEastAsia" w:hAnsiTheme="minorEastAsia"/>
                <w:szCs w:val="21"/>
              </w:rPr>
              <w:t>郭逸飞</w:t>
            </w:r>
          </w:p>
        </w:tc>
        <w:tc>
          <w:tcPr>
            <w:tcW w:w="1717" w:type="dxa"/>
            <w:shd w:val="clear" w:color="auto" w:fill="auto"/>
            <w:vAlign w:val="center"/>
          </w:tcPr>
          <w:p w14:paraId="1F21F2C2">
            <w:pPr>
              <w:spacing w:line="360" w:lineRule="auto"/>
              <w:jc w:val="center"/>
              <w:rPr>
                <w:rFonts w:asciiTheme="minorEastAsia" w:hAnsiTheme="minorEastAsia"/>
                <w:szCs w:val="21"/>
              </w:rPr>
            </w:pPr>
            <w:r>
              <w:rPr>
                <w:rFonts w:hint="eastAsia" w:asciiTheme="minorEastAsia" w:hAnsiTheme="minorEastAsia"/>
                <w:szCs w:val="21"/>
              </w:rPr>
              <w:t>0374-2676166</w:t>
            </w:r>
          </w:p>
        </w:tc>
        <w:tc>
          <w:tcPr>
            <w:tcW w:w="3794" w:type="dxa"/>
            <w:shd w:val="clear" w:color="auto" w:fill="auto"/>
          </w:tcPr>
          <w:p w14:paraId="430FA40A">
            <w:pPr>
              <w:contextualSpacing/>
              <w:rPr>
                <w:rFonts w:asciiTheme="minorEastAsia" w:hAnsiTheme="minorEastAsia"/>
                <w:szCs w:val="21"/>
              </w:rPr>
            </w:pPr>
            <w:r>
              <w:rPr>
                <w:rFonts w:hint="eastAsia" w:asciiTheme="minorEastAsia" w:hAnsiTheme="minorEastAsia"/>
                <w:szCs w:val="21"/>
              </w:rPr>
              <w:t>政府采购政策咨询、信息公开、质疑投诉处理</w:t>
            </w:r>
          </w:p>
        </w:tc>
      </w:tr>
      <w:tr w14:paraId="1A52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6C17D34D">
            <w:pPr>
              <w:spacing w:line="360" w:lineRule="auto"/>
              <w:jc w:val="center"/>
              <w:rPr>
                <w:rFonts w:asciiTheme="minorEastAsia" w:hAnsiTheme="minorEastAsia"/>
                <w:szCs w:val="21"/>
              </w:rPr>
            </w:pPr>
          </w:p>
        </w:tc>
        <w:tc>
          <w:tcPr>
            <w:tcW w:w="1620" w:type="dxa"/>
            <w:shd w:val="clear" w:color="auto" w:fill="auto"/>
            <w:vAlign w:val="center"/>
          </w:tcPr>
          <w:p w14:paraId="316A4BF7">
            <w:pPr>
              <w:spacing w:line="360" w:lineRule="auto"/>
              <w:jc w:val="center"/>
              <w:rPr>
                <w:rFonts w:asciiTheme="minorEastAsia" w:hAnsiTheme="minorEastAsia"/>
                <w:szCs w:val="21"/>
              </w:rPr>
            </w:pPr>
            <w:r>
              <w:rPr>
                <w:rFonts w:hint="eastAsia" w:asciiTheme="minorEastAsia" w:hAnsiTheme="minorEastAsia"/>
                <w:szCs w:val="21"/>
              </w:rPr>
              <w:t>段尧方</w:t>
            </w:r>
          </w:p>
        </w:tc>
        <w:tc>
          <w:tcPr>
            <w:tcW w:w="1717" w:type="dxa"/>
            <w:shd w:val="clear" w:color="auto" w:fill="auto"/>
            <w:vAlign w:val="center"/>
          </w:tcPr>
          <w:p w14:paraId="23851E30">
            <w:pPr>
              <w:spacing w:line="360" w:lineRule="auto"/>
              <w:jc w:val="center"/>
              <w:rPr>
                <w:rFonts w:asciiTheme="minorEastAsia" w:hAnsiTheme="minorEastAsia"/>
                <w:szCs w:val="21"/>
              </w:rPr>
            </w:pPr>
            <w:r>
              <w:rPr>
                <w:rFonts w:hint="eastAsia" w:asciiTheme="minorEastAsia" w:hAnsiTheme="minorEastAsia"/>
                <w:szCs w:val="21"/>
              </w:rPr>
              <w:t>0374-2676166</w:t>
            </w:r>
          </w:p>
        </w:tc>
        <w:tc>
          <w:tcPr>
            <w:tcW w:w="3794" w:type="dxa"/>
            <w:shd w:val="clear" w:color="auto" w:fill="auto"/>
          </w:tcPr>
          <w:p w14:paraId="3C387438">
            <w:pPr>
              <w:contextualSpacing/>
              <w:rPr>
                <w:rFonts w:asciiTheme="minorEastAsia" w:hAnsiTheme="minorEastAsia"/>
                <w:szCs w:val="21"/>
              </w:rPr>
            </w:pPr>
            <w:r>
              <w:rPr>
                <w:rFonts w:hint="eastAsia" w:asciiTheme="minorEastAsia" w:hAnsiTheme="minorEastAsia"/>
                <w:szCs w:val="21"/>
              </w:rPr>
              <w:t>绿色采购、832平台、供应商监管</w:t>
            </w:r>
          </w:p>
        </w:tc>
      </w:tr>
      <w:tr w14:paraId="7E54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08" w:type="dxa"/>
            <w:vMerge w:val="restart"/>
            <w:shd w:val="clear" w:color="auto" w:fill="auto"/>
            <w:vAlign w:val="center"/>
          </w:tcPr>
          <w:p w14:paraId="3B08F12F">
            <w:pPr>
              <w:spacing w:line="360" w:lineRule="auto"/>
              <w:jc w:val="center"/>
              <w:rPr>
                <w:rFonts w:asciiTheme="minorEastAsia" w:hAnsiTheme="minorEastAsia"/>
                <w:szCs w:val="21"/>
              </w:rPr>
            </w:pPr>
            <w:r>
              <w:rPr>
                <w:rFonts w:hint="eastAsia" w:asciiTheme="minorEastAsia" w:hAnsiTheme="minorEastAsia"/>
                <w:szCs w:val="21"/>
              </w:rPr>
              <w:t>许昌市政府采购服务中心</w:t>
            </w:r>
          </w:p>
        </w:tc>
        <w:tc>
          <w:tcPr>
            <w:tcW w:w="1620" w:type="dxa"/>
            <w:shd w:val="clear" w:color="auto" w:fill="auto"/>
            <w:vAlign w:val="center"/>
          </w:tcPr>
          <w:p w14:paraId="7AF5FD3E">
            <w:pPr>
              <w:spacing w:line="360" w:lineRule="auto"/>
              <w:jc w:val="center"/>
              <w:rPr>
                <w:rFonts w:asciiTheme="minorEastAsia" w:hAnsiTheme="minorEastAsia"/>
                <w:szCs w:val="21"/>
              </w:rPr>
            </w:pPr>
            <w:r>
              <w:rPr>
                <w:rFonts w:hint="eastAsia" w:asciiTheme="minorEastAsia" w:hAnsiTheme="minorEastAsia"/>
                <w:szCs w:val="21"/>
              </w:rPr>
              <w:t>尚晓燕</w:t>
            </w:r>
          </w:p>
        </w:tc>
        <w:tc>
          <w:tcPr>
            <w:tcW w:w="1717" w:type="dxa"/>
            <w:shd w:val="clear" w:color="auto" w:fill="auto"/>
            <w:vAlign w:val="center"/>
          </w:tcPr>
          <w:p w14:paraId="42A6C93D">
            <w:pPr>
              <w:spacing w:line="360" w:lineRule="auto"/>
              <w:jc w:val="center"/>
              <w:rPr>
                <w:rFonts w:asciiTheme="minorEastAsia" w:hAnsiTheme="minorEastAsia"/>
                <w:szCs w:val="21"/>
              </w:rPr>
            </w:pPr>
            <w:r>
              <w:rPr>
                <w:rFonts w:hint="eastAsia" w:asciiTheme="minorEastAsia" w:hAnsiTheme="minorEastAsia"/>
                <w:szCs w:val="21"/>
              </w:rPr>
              <w:t>0374-2968687</w:t>
            </w:r>
          </w:p>
        </w:tc>
        <w:tc>
          <w:tcPr>
            <w:tcW w:w="3794" w:type="dxa"/>
            <w:shd w:val="clear" w:color="auto" w:fill="auto"/>
            <w:vAlign w:val="center"/>
          </w:tcPr>
          <w:p w14:paraId="6F8BF78C">
            <w:pPr>
              <w:contextualSpacing/>
              <w:jc w:val="center"/>
              <w:rPr>
                <w:rFonts w:asciiTheme="minorEastAsia" w:hAnsiTheme="minorEastAsia"/>
                <w:szCs w:val="21"/>
              </w:rPr>
            </w:pPr>
            <w:r>
              <w:rPr>
                <w:rFonts w:hint="eastAsia" w:asciiTheme="minorEastAsia" w:hAnsiTheme="minorEastAsia"/>
                <w:szCs w:val="21"/>
              </w:rPr>
              <w:t>优化政府采购营商环境</w:t>
            </w:r>
          </w:p>
        </w:tc>
      </w:tr>
      <w:tr w14:paraId="13EB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5AB4BB48">
            <w:pPr>
              <w:spacing w:line="360" w:lineRule="auto"/>
              <w:jc w:val="center"/>
              <w:rPr>
                <w:rFonts w:asciiTheme="minorEastAsia" w:hAnsiTheme="minorEastAsia"/>
                <w:szCs w:val="21"/>
              </w:rPr>
            </w:pPr>
          </w:p>
        </w:tc>
        <w:tc>
          <w:tcPr>
            <w:tcW w:w="1620" w:type="dxa"/>
            <w:shd w:val="clear" w:color="auto" w:fill="auto"/>
            <w:vAlign w:val="center"/>
          </w:tcPr>
          <w:p w14:paraId="21D1AF9E">
            <w:pPr>
              <w:spacing w:line="360" w:lineRule="auto"/>
              <w:jc w:val="center"/>
              <w:rPr>
                <w:rFonts w:asciiTheme="minorEastAsia" w:hAnsiTheme="minorEastAsia"/>
                <w:szCs w:val="21"/>
              </w:rPr>
            </w:pPr>
            <w:r>
              <w:rPr>
                <w:rFonts w:hint="eastAsia" w:asciiTheme="minorEastAsia" w:hAnsiTheme="minorEastAsia"/>
                <w:szCs w:val="21"/>
              </w:rPr>
              <w:t>李 轩</w:t>
            </w:r>
          </w:p>
        </w:tc>
        <w:tc>
          <w:tcPr>
            <w:tcW w:w="1717" w:type="dxa"/>
            <w:shd w:val="clear" w:color="auto" w:fill="auto"/>
            <w:vAlign w:val="center"/>
          </w:tcPr>
          <w:p w14:paraId="48E6FD9A">
            <w:pPr>
              <w:spacing w:line="360" w:lineRule="auto"/>
              <w:jc w:val="center"/>
              <w:rPr>
                <w:rFonts w:asciiTheme="minorEastAsia" w:hAnsiTheme="minorEastAsia"/>
                <w:szCs w:val="21"/>
              </w:rPr>
            </w:pPr>
            <w:r>
              <w:rPr>
                <w:rFonts w:hint="eastAsia" w:asciiTheme="minorEastAsia" w:hAnsiTheme="minorEastAsia"/>
                <w:szCs w:val="21"/>
              </w:rPr>
              <w:t>0374-2968687</w:t>
            </w:r>
          </w:p>
        </w:tc>
        <w:tc>
          <w:tcPr>
            <w:tcW w:w="3794" w:type="dxa"/>
            <w:shd w:val="clear" w:color="auto" w:fill="auto"/>
            <w:vAlign w:val="center"/>
          </w:tcPr>
          <w:p w14:paraId="0C9BEB4D">
            <w:pPr>
              <w:contextualSpacing/>
              <w:jc w:val="left"/>
              <w:rPr>
                <w:rFonts w:asciiTheme="minorEastAsia" w:hAnsiTheme="minorEastAsia"/>
                <w:szCs w:val="21"/>
              </w:rPr>
            </w:pPr>
            <w:r>
              <w:rPr>
                <w:rFonts w:hint="eastAsia" w:asciiTheme="minorEastAsia" w:hAnsiTheme="minorEastAsia"/>
                <w:szCs w:val="21"/>
              </w:rPr>
              <w:t>集采交易文件编制，信息（公告、文件）发布，集采项目答疑</w:t>
            </w:r>
          </w:p>
        </w:tc>
      </w:tr>
      <w:tr w14:paraId="0EF8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13995B3A">
            <w:pPr>
              <w:spacing w:line="360" w:lineRule="auto"/>
              <w:jc w:val="center"/>
              <w:rPr>
                <w:rFonts w:asciiTheme="minorEastAsia" w:hAnsiTheme="minorEastAsia"/>
                <w:szCs w:val="21"/>
              </w:rPr>
            </w:pPr>
          </w:p>
        </w:tc>
        <w:tc>
          <w:tcPr>
            <w:tcW w:w="1620" w:type="dxa"/>
            <w:shd w:val="clear" w:color="auto" w:fill="auto"/>
            <w:vAlign w:val="center"/>
          </w:tcPr>
          <w:p w14:paraId="0C8BF0AD">
            <w:pPr>
              <w:spacing w:line="360" w:lineRule="auto"/>
              <w:jc w:val="center"/>
              <w:rPr>
                <w:rFonts w:asciiTheme="minorEastAsia" w:hAnsiTheme="minorEastAsia"/>
                <w:szCs w:val="21"/>
              </w:rPr>
            </w:pPr>
            <w:r>
              <w:rPr>
                <w:rFonts w:hint="eastAsia" w:asciiTheme="minorEastAsia" w:hAnsiTheme="minorEastAsia"/>
                <w:szCs w:val="21"/>
              </w:rPr>
              <w:t>黄莹莹</w:t>
            </w:r>
          </w:p>
        </w:tc>
        <w:tc>
          <w:tcPr>
            <w:tcW w:w="1717" w:type="dxa"/>
            <w:shd w:val="clear" w:color="auto" w:fill="auto"/>
            <w:vAlign w:val="center"/>
          </w:tcPr>
          <w:p w14:paraId="7D324CD9">
            <w:pPr>
              <w:spacing w:line="360" w:lineRule="auto"/>
              <w:jc w:val="center"/>
              <w:rPr>
                <w:rFonts w:asciiTheme="minorEastAsia" w:hAnsiTheme="minorEastAsia"/>
                <w:szCs w:val="21"/>
              </w:rPr>
            </w:pPr>
            <w:r>
              <w:rPr>
                <w:rFonts w:hint="eastAsia" w:asciiTheme="minorEastAsia" w:hAnsiTheme="minorEastAsia"/>
                <w:szCs w:val="21"/>
              </w:rPr>
              <w:t>0374-2968687</w:t>
            </w:r>
          </w:p>
        </w:tc>
        <w:tc>
          <w:tcPr>
            <w:tcW w:w="3794" w:type="dxa"/>
            <w:shd w:val="clear" w:color="auto" w:fill="auto"/>
            <w:vAlign w:val="center"/>
          </w:tcPr>
          <w:p w14:paraId="1325D925">
            <w:pPr>
              <w:contextualSpacing/>
              <w:rPr>
                <w:rFonts w:asciiTheme="minorEastAsia" w:hAnsiTheme="minorEastAsia"/>
                <w:szCs w:val="21"/>
              </w:rPr>
            </w:pPr>
            <w:r>
              <w:rPr>
                <w:rFonts w:hint="eastAsia" w:asciiTheme="minorEastAsia" w:hAnsiTheme="minorEastAsia"/>
                <w:szCs w:val="21"/>
              </w:rPr>
              <w:t>交易文件编制、核验，信息（公告、文件）发布，集采项目答疑</w:t>
            </w:r>
          </w:p>
        </w:tc>
      </w:tr>
      <w:tr w14:paraId="1A59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shd w:val="clear" w:color="auto" w:fill="auto"/>
          </w:tcPr>
          <w:p w14:paraId="5789A1E7">
            <w:pPr>
              <w:spacing w:line="360" w:lineRule="auto"/>
              <w:jc w:val="center"/>
              <w:rPr>
                <w:rFonts w:asciiTheme="minorEastAsia" w:hAnsiTheme="minorEastAsia"/>
                <w:szCs w:val="21"/>
              </w:rPr>
            </w:pPr>
          </w:p>
        </w:tc>
        <w:tc>
          <w:tcPr>
            <w:tcW w:w="1620" w:type="dxa"/>
            <w:shd w:val="clear" w:color="auto" w:fill="auto"/>
            <w:vAlign w:val="center"/>
          </w:tcPr>
          <w:p w14:paraId="7A4AAA62">
            <w:pPr>
              <w:spacing w:line="360" w:lineRule="auto"/>
              <w:jc w:val="center"/>
              <w:rPr>
                <w:rFonts w:asciiTheme="minorEastAsia" w:hAnsiTheme="minorEastAsia"/>
                <w:szCs w:val="21"/>
              </w:rPr>
            </w:pPr>
            <w:r>
              <w:rPr>
                <w:rFonts w:asciiTheme="minorEastAsia" w:hAnsiTheme="minorEastAsia"/>
                <w:szCs w:val="21"/>
              </w:rPr>
              <w:t>马</w:t>
            </w:r>
            <w:r>
              <w:rPr>
                <w:rFonts w:hint="eastAsia" w:asciiTheme="minorEastAsia" w:hAnsiTheme="minorEastAsia"/>
                <w:szCs w:val="21"/>
              </w:rPr>
              <w:t xml:space="preserve"> </w:t>
            </w:r>
            <w:r>
              <w:rPr>
                <w:rFonts w:asciiTheme="minorEastAsia" w:hAnsiTheme="minorEastAsia"/>
                <w:szCs w:val="21"/>
              </w:rPr>
              <w:t>峰</w:t>
            </w:r>
          </w:p>
        </w:tc>
        <w:tc>
          <w:tcPr>
            <w:tcW w:w="1717" w:type="dxa"/>
            <w:shd w:val="clear" w:color="auto" w:fill="auto"/>
            <w:vAlign w:val="center"/>
          </w:tcPr>
          <w:p w14:paraId="6D193290">
            <w:pPr>
              <w:spacing w:line="360" w:lineRule="auto"/>
              <w:jc w:val="center"/>
              <w:rPr>
                <w:rFonts w:asciiTheme="minorEastAsia" w:hAnsiTheme="minorEastAsia"/>
                <w:szCs w:val="21"/>
              </w:rPr>
            </w:pPr>
            <w:r>
              <w:rPr>
                <w:rFonts w:hint="eastAsia" w:asciiTheme="minorEastAsia" w:hAnsiTheme="minorEastAsia"/>
                <w:szCs w:val="21"/>
              </w:rPr>
              <w:t>0374-2968687</w:t>
            </w:r>
          </w:p>
        </w:tc>
        <w:tc>
          <w:tcPr>
            <w:tcW w:w="3794" w:type="dxa"/>
            <w:shd w:val="clear" w:color="auto" w:fill="auto"/>
            <w:vAlign w:val="center"/>
          </w:tcPr>
          <w:p w14:paraId="6662C2DE">
            <w:pPr>
              <w:contextualSpacing/>
              <w:rPr>
                <w:rFonts w:asciiTheme="minorEastAsia" w:hAnsiTheme="minorEastAsia"/>
                <w:szCs w:val="21"/>
              </w:rPr>
            </w:pPr>
            <w:r>
              <w:rPr>
                <w:rFonts w:hint="eastAsia" w:asciiTheme="minorEastAsia" w:hAnsiTheme="minorEastAsia"/>
                <w:szCs w:val="21"/>
              </w:rPr>
              <w:t>交易文件编制、核验，信息（公告、文件）发布，集采项目答疑</w:t>
            </w:r>
          </w:p>
        </w:tc>
      </w:tr>
    </w:tbl>
    <w:p w14:paraId="42B7DEB7">
      <w:pPr>
        <w:pStyle w:val="52"/>
        <w:numPr>
          <w:ilvl w:val="0"/>
          <w:numId w:val="71"/>
        </w:numPr>
        <w:wordWrap w:val="0"/>
        <w:topLinePunct/>
        <w:autoSpaceDE w:val="0"/>
        <w:autoSpaceDN w:val="0"/>
        <w:adjustRightInd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14:paraId="76457036">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02CE8603">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0EBF9799">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①发送电子邮件至许昌市政府采购监督管理办公室咨询邮箱，邮箱地址：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kern w:val="0"/>
          <w:szCs w:val="21"/>
          <w:u w:val="single"/>
        </w:rPr>
        <w:t>xcscgb@126.com</w:t>
      </w:r>
      <w:r>
        <w:rPr>
          <w:rFonts w:hint="eastAsia" w:cs="宋体" w:asciiTheme="minorEastAsia" w:hAnsiTheme="minorEastAsia"/>
          <w:kern w:val="0"/>
          <w:szCs w:val="21"/>
          <w:u w:val="single"/>
        </w:rPr>
        <w:fldChar w:fldCharType="end"/>
      </w:r>
      <w:r>
        <w:rPr>
          <w:rFonts w:hint="eastAsia" w:cs="宋体" w:asciiTheme="minorEastAsia" w:hAnsiTheme="minorEastAsia"/>
          <w:kern w:val="0"/>
          <w:szCs w:val="21"/>
        </w:rPr>
        <w:t>；</w:t>
      </w:r>
    </w:p>
    <w:p w14:paraId="16D5A9F6">
      <w:pPr>
        <w:autoSpaceDE w:val="0"/>
        <w:autoSpaceDN w:val="0"/>
        <w:spacing w:line="360" w:lineRule="auto"/>
        <w:ind w:left="964" w:firstLine="453" w:firstLineChars="216"/>
        <w:contextualSpacing/>
        <w:jc w:val="left"/>
        <w:rPr>
          <w:rFonts w:cs="宋体" w:asciiTheme="minorEastAsia" w:hAnsiTheme="minorEastAsia"/>
          <w:kern w:val="0"/>
          <w:szCs w:val="21"/>
        </w:rPr>
      </w:pPr>
      <w:r>
        <w:rPr>
          <w:rFonts w:hint="eastAsia" w:cs="宋体" w:asciiTheme="minorEastAsia" w:hAnsiTheme="minorEastAsia"/>
          <w:kern w:val="0"/>
          <w:szCs w:val="21"/>
        </w:rPr>
        <w:t>②发送电子邮件至许昌市政府采购中心咨询邮箱，邮箱地址：</w:t>
      </w:r>
      <w:r>
        <w:fldChar w:fldCharType="begin"/>
      </w:r>
      <w:r>
        <w:instrText xml:space="preserve"> HYPERLINK "mailto:xcszfcgzx@126.com" </w:instrText>
      </w:r>
      <w:r>
        <w:fldChar w:fldCharType="separate"/>
      </w:r>
      <w:r>
        <w:rPr>
          <w:rFonts w:hint="eastAsia" w:cs="宋体" w:asciiTheme="minorEastAsia" w:hAnsiTheme="minorEastAsia"/>
          <w:kern w:val="0"/>
          <w:szCs w:val="21"/>
          <w:u w:val="single"/>
        </w:rPr>
        <w:t>xcszfcgzx@126.com</w:t>
      </w:r>
      <w:r>
        <w:rPr>
          <w:rFonts w:hint="eastAsia" w:cs="宋体" w:asciiTheme="minorEastAsia" w:hAnsiTheme="minorEastAsia"/>
          <w:kern w:val="0"/>
          <w:szCs w:val="21"/>
          <w:u w:val="single"/>
        </w:rPr>
        <w:fldChar w:fldCharType="end"/>
      </w:r>
      <w:r>
        <w:rPr>
          <w:rFonts w:hint="eastAsia" w:cs="宋体" w:asciiTheme="minorEastAsia" w:hAnsiTheme="minorEastAsia"/>
          <w:kern w:val="0"/>
          <w:szCs w:val="21"/>
        </w:rPr>
        <w:t>；</w:t>
      </w:r>
    </w:p>
    <w:p w14:paraId="33AB7FF5">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（3）微信咨询：有咨询需求的供应商拨打电话申请加入微信群，在线提出咨询问题。</w:t>
      </w:r>
    </w:p>
    <w:p w14:paraId="22CAD416">
      <w:pPr>
        <w:autoSpaceDE w:val="0"/>
        <w:autoSpaceDN w:val="0"/>
        <w:spacing w:line="360" w:lineRule="auto"/>
        <w:ind w:left="964"/>
        <w:contextualSpacing/>
        <w:rPr>
          <w:rFonts w:cs="宋体" w:asciiTheme="majorEastAsia" w:hAnsiTheme="majorEastAsia" w:eastAsiaTheme="majorEastAsia"/>
          <w:b/>
          <w:kern w:val="0"/>
          <w:sz w:val="36"/>
          <w:szCs w:val="36"/>
        </w:rPr>
      </w:pPr>
    </w:p>
    <w:p w14:paraId="2DDC6A1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57213821">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194A97E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37DD466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245DEFCC">
      <w:pPr>
        <w:widowControl/>
        <w:jc w:val="left"/>
        <w:rPr>
          <w:rFonts w:cs="宋体" w:asciiTheme="majorEastAsia" w:hAnsiTheme="majorEastAsia" w:eastAsiaTheme="majorEastAsia"/>
          <w:b/>
          <w:kern w:val="0"/>
          <w:sz w:val="32"/>
          <w:szCs w:val="32"/>
        </w:rPr>
      </w:pPr>
    </w:p>
    <w:p w14:paraId="070F4368">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79888EB8">
      <w:pPr>
        <w:jc w:val="center"/>
        <w:rPr>
          <w:rFonts w:cs="宋体" w:asciiTheme="majorEastAsia" w:hAnsiTheme="majorEastAsia" w:eastAsiaTheme="majorEastAsia"/>
          <w:b/>
          <w:kern w:val="0"/>
          <w:sz w:val="36"/>
          <w:szCs w:val="36"/>
        </w:rPr>
      </w:pPr>
    </w:p>
    <w:p w14:paraId="225A7074">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7492D79">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4DF93597">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23956BB">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494C646">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w:t>
      </w:r>
    </w:p>
    <w:p w14:paraId="2EF88827">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66123175">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0A29F7AB">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1A64435">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5FB5512A">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3D390CEF">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D648D9E">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3CDFD723">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 w:name="OLE_LINK6"/>
      <w:r>
        <w:rPr>
          <w:rFonts w:hint="eastAsia" w:cs="仿宋_GB2312" w:asciiTheme="minorEastAsia" w:hAnsiTheme="minorEastAsia"/>
          <w:szCs w:val="21"/>
          <w:lang w:val="zh-CN"/>
        </w:rPr>
        <w:t>财库[2014]68号</w:t>
      </w:r>
      <w:bookmarkEnd w:id="4"/>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55EE78A">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08A44023">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779E9AB3">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55B793F">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62DF3E6F">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39B5DF32">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4AAAE882">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4BFEE40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09E31137">
      <w:pPr>
        <w:pStyle w:val="15"/>
        <w:spacing w:line="360" w:lineRule="auto"/>
        <w:contextualSpacing/>
        <w:rPr>
          <w:rFonts w:cs="仿宋_GB2312" w:asciiTheme="minorEastAsia" w:hAnsiTheme="minorEastAsia"/>
          <w:lang w:val="zh-CN"/>
        </w:rPr>
      </w:pPr>
    </w:p>
    <w:p w14:paraId="13D8FE97">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7941D076">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0BE1AC83">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024B75CB">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4E6B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089885B">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42034665">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64A1C1B9">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1D1E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BBF9CA7">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1778CE36">
            <w:pPr>
              <w:spacing w:line="360" w:lineRule="auto"/>
              <w:jc w:val="center"/>
              <w:rPr>
                <w:rFonts w:asciiTheme="minorEastAsia" w:hAnsiTheme="minorEastAsia"/>
                <w:b/>
                <w:szCs w:val="21"/>
              </w:rPr>
            </w:pPr>
            <w:r>
              <w:rPr>
                <w:rFonts w:hint="eastAsia" w:asciiTheme="minorEastAsia" w:hAnsiTheme="minorEastAsia"/>
                <w:b/>
                <w:szCs w:val="21"/>
              </w:rPr>
              <w:t>报价函</w:t>
            </w:r>
          </w:p>
        </w:tc>
        <w:tc>
          <w:tcPr>
            <w:tcW w:w="5954" w:type="dxa"/>
            <w:vAlign w:val="center"/>
          </w:tcPr>
          <w:p w14:paraId="0E68B679">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7F80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FDCB665">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41D9014D">
            <w:pPr>
              <w:spacing w:line="360" w:lineRule="auto"/>
              <w:jc w:val="center"/>
              <w:rPr>
                <w:rFonts w:asciiTheme="minorEastAsia" w:hAnsiTheme="minorEastAsia"/>
                <w:b/>
                <w:szCs w:val="21"/>
              </w:rPr>
            </w:pPr>
            <w:r>
              <w:rPr>
                <w:rFonts w:asciiTheme="minorEastAsia" w:hAnsiTheme="minorEastAsia"/>
                <w:b/>
                <w:szCs w:val="21"/>
              </w:rPr>
              <w:t>许昌市政府采购</w:t>
            </w:r>
          </w:p>
          <w:p w14:paraId="1180369A">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14:paraId="154B3CDD">
            <w:pPr>
              <w:pStyle w:val="10"/>
            </w:pPr>
            <w:r>
              <w:rPr>
                <w:rFonts w:hint="eastAsia"/>
              </w:rPr>
              <w:t>按照招标文件第八章3.5格式填写</w:t>
            </w:r>
          </w:p>
        </w:tc>
      </w:tr>
      <w:tr w14:paraId="4936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31446C">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47FF5028">
            <w:pPr>
              <w:spacing w:line="360" w:lineRule="auto"/>
              <w:jc w:val="center"/>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1C288ECA">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507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2A97D1D">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76F28D6F">
            <w:pPr>
              <w:spacing w:line="360" w:lineRule="auto"/>
              <w:jc w:val="center"/>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5CB399BC">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05AA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8294CF">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58CC830B">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11521966">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14:paraId="7A13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E693CDF">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8802CB4">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5A8C25EB">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（1）法定代表人身份证明或提供法定代表人授权委托书及被授权人身份证明。（法定代表人提供）</w:t>
            </w:r>
          </w:p>
          <w:p w14:paraId="637A99CF">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（2）单位负责人身份证明或提供单位负责人授权委托书及被授权人身份证明。（非法定代表人提供）</w:t>
            </w:r>
          </w:p>
          <w:p w14:paraId="4DCF7C81">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4104920D">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①企业（银行、保险、石油石化、电力、电信等行业除外）、事业单位和社会团体以法定代表人身份参加谈判的，法定代表人应与实际提交的“营业执照等证明文件”载明的一致。</w:t>
            </w:r>
          </w:p>
          <w:p w14:paraId="6AE2A093">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定代表人身份参加谈判的，法定代表人应与实际提交的“营业执照等证明文件”载明的一致；以非法定代表人身份参加谈判的，“单位负责人”指代表单位行使职权的主要负责人，应与实际提交的“营业执照等证明文件”载明的一致。</w:t>
            </w:r>
          </w:p>
          <w:p w14:paraId="77BCD536">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bl>
    <w:p w14:paraId="3D024266">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2764F7DD">
      <w:pPr>
        <w:pStyle w:val="15"/>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14:paraId="218B930F">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6CBF5D63">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14:paraId="1524ABE1">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14:paraId="78BA1A19">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38FE39A3">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AF2A0F8">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091AEF8">
      <w:pPr>
        <w:spacing w:line="360" w:lineRule="auto"/>
        <w:ind w:firstLine="465"/>
        <w:contextualSpacing/>
        <w:jc w:val="left"/>
        <w:rPr>
          <w:rFonts w:cs="仿宋_GB2312" w:asciiTheme="minorEastAsia" w:hAnsiTheme="minorEastAsia"/>
          <w:b/>
          <w:szCs w:val="21"/>
          <w:lang w:val="zh-CN"/>
        </w:rPr>
      </w:pPr>
      <w:r>
        <w:rPr>
          <w:rFonts w:hint="eastAsia" w:cs="仿宋_GB2312" w:asciiTheme="minorEastAsia" w:hAnsiTheme="minorEastAsia"/>
          <w:b/>
          <w:szCs w:val="21"/>
          <w:lang w:val="zh-CN"/>
        </w:rPr>
        <w:t>3、谈判</w:t>
      </w:r>
      <w:r>
        <w:rPr>
          <w:rFonts w:cs="仿宋_GB2312" w:asciiTheme="minorEastAsia" w:hAnsiTheme="minorEastAsia"/>
          <w:b/>
          <w:szCs w:val="21"/>
          <w:lang w:val="zh-CN"/>
        </w:rPr>
        <w:t>小组应严格按照电子化评标系统规定的流程要求</w:t>
      </w:r>
      <w:r>
        <w:rPr>
          <w:rFonts w:hint="eastAsia" w:cs="仿宋_GB2312" w:asciiTheme="minorEastAsia" w:hAnsiTheme="minorEastAsia"/>
          <w:b/>
          <w:szCs w:val="21"/>
          <w:lang w:val="zh-CN"/>
        </w:rPr>
        <w:t xml:space="preserve">投标供应商使用CA数字证书或CA移动数字证书登录许昌市公共资源电子交易系统进行报价，禁止通过交易系统中的聊天通讯页面要求投标供应商提交报价、工程量清单等相关材料。  </w:t>
      </w:r>
    </w:p>
    <w:p w14:paraId="6C48D828">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14:paraId="009FCDD3">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（1）价格分计算</w:t>
      </w:r>
    </w:p>
    <w:p w14:paraId="4B9B9D18">
      <w:pPr>
        <w:spacing w:line="360" w:lineRule="auto"/>
        <w:ind w:firstLine="420" w:firstLineChars="200"/>
        <w:contextualSpacing/>
        <w:rPr>
          <w:rFonts w:ascii="ˎ̥" w:hAnsi="ˎ̥" w:eastAsia="宋体"/>
          <w:sz w:val="24"/>
        </w:rPr>
      </w:pPr>
      <w:r>
        <w:rPr>
          <w:rFonts w:hint="eastAsia" w:cs="仿宋_GB2312" w:asciiTheme="minorEastAsia" w:hAnsiTheme="minorEastAsia"/>
          <w:szCs w:val="21"/>
          <w:lang w:val="zh-CN"/>
        </w:rPr>
        <w:t>1）</w:t>
      </w:r>
      <w:r>
        <w:rPr>
          <w:rFonts w:hint="eastAsia" w:ascii="ˎ̥" w:hAnsi="ˎ̥" w:eastAsia="宋体"/>
          <w:szCs w:val="21"/>
        </w:rPr>
        <w:t>如果本项目非专门面向中小企业采购，对</w:t>
      </w:r>
      <w:r>
        <w:rPr>
          <w:rFonts w:ascii="ˎ̥" w:hAnsi="ˎ̥" w:eastAsia="宋体"/>
          <w:szCs w:val="21"/>
        </w:rPr>
        <w:t>符合</w:t>
      </w:r>
      <w:r>
        <w:rPr>
          <w:rFonts w:hint="eastAsia" w:ascii="ˎ̥" w:hAnsi="ˎ̥" w:eastAsia="宋体"/>
          <w:szCs w:val="21"/>
        </w:rPr>
        <w:t>《政府采购促进中小企业发展管理办法》(财库〔2020〕46号、《关于进一步加大政府采购支持中小企业力度的通知》（财库〔2022〕19号）</w:t>
      </w:r>
      <w:r>
        <w:rPr>
          <w:rFonts w:ascii="ˎ̥" w:hAnsi="ˎ̥" w:eastAsia="宋体"/>
          <w:szCs w:val="21"/>
        </w:rPr>
        <w:t>规定的小微企业报价</w:t>
      </w:r>
      <w:r>
        <w:rPr>
          <w:rFonts w:hint="eastAsia" w:ascii="ˎ̥" w:hAnsi="ˎ̥" w:eastAsia="宋体"/>
          <w:szCs w:val="21"/>
        </w:rPr>
        <w:t>给予20%的扣除，用扣除后的价格参与评审。</w:t>
      </w:r>
      <w:r>
        <w:rPr>
          <w:rFonts w:ascii="ˎ̥" w:hAnsi="ˎ̥" w:eastAsia="宋体"/>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eastAsia="宋体"/>
          <w:szCs w:val="21"/>
          <w:u w:val="single"/>
        </w:rPr>
        <w:t>4</w:t>
      </w:r>
      <w:r>
        <w:rPr>
          <w:rFonts w:ascii="ˎ̥" w:hAnsi="ˎ̥" w:eastAsia="宋体"/>
          <w:szCs w:val="21"/>
        </w:rPr>
        <w:t>%的扣除，用扣除后的价格参加评审。组成联合体或者接受分包的小微企业与联合体内其他企业、分包企业之间存在直接控股、管理关系的，不享受价格扣除优惠政策。</w:t>
      </w:r>
      <w:r>
        <w:rPr>
          <w:rFonts w:hint="eastAsia" w:ascii="ˎ̥" w:hAnsi="ˎ̥" w:eastAsia="宋体"/>
          <w:szCs w:val="21"/>
        </w:rPr>
        <w:t>按照本次采购标的所属行业的划型标准，符合条件的中小企业应按照招标文件格式要求提供《中小企业声明函》，</w:t>
      </w:r>
      <w:r>
        <w:rPr>
          <w:rFonts w:ascii="ˎ̥" w:hAnsi="ˎ̥" w:eastAsia="宋体"/>
          <w:szCs w:val="21"/>
        </w:rPr>
        <w:t>否则不得享受相关中小企业扶持政策。</w:t>
      </w:r>
    </w:p>
    <w:p w14:paraId="062E105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小型和微型企业不包含民办非企业单位。</w:t>
      </w:r>
    </w:p>
    <w:p w14:paraId="0ED8AE0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2）对监狱企业价格给予20%的扣除，用扣除后的价格参与评审。监狱企业应当提供由省级以上监狱管理局、戒毒管理局(含新疆生产建设兵团)出具的属于监狱企业的证明文件。</w:t>
      </w:r>
    </w:p>
    <w:p w14:paraId="45E0DCF5">
      <w:pPr>
        <w:spacing w:line="360" w:lineRule="auto"/>
        <w:ind w:firstLine="420" w:firstLineChars="200"/>
        <w:contextualSpacing/>
        <w:rPr>
          <w:rFonts w:asciiTheme="minorEastAsia" w:hAnsiTheme="minorEastAsia"/>
          <w:szCs w:val="21"/>
        </w:rPr>
      </w:pPr>
      <w:r>
        <w:rPr>
          <w:rFonts w:hint="eastAsia" w:cs="仿宋_GB2312" w:asciiTheme="minorEastAsia" w:hAnsiTheme="minorEastAsia"/>
          <w:szCs w:val="21"/>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szCs w:val="21"/>
        </w:rPr>
        <w:t>残疾人福利性单位属于小型、微型企业的，不重复享受政策。</w:t>
      </w:r>
    </w:p>
    <w:p w14:paraId="465C838D">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hint="eastAsia" w:asciiTheme="minorEastAsia" w:hAnsiTheme="minorEastAsia" w:eastAsiaTheme="minorEastAsia"/>
          <w:b/>
          <w:sz w:val="21"/>
          <w:szCs w:val="21"/>
        </w:rPr>
        <w:t>强制采购节能产品和优先采购节能产品、优先采购环保产品</w:t>
      </w:r>
    </w:p>
    <w:p w14:paraId="2BCA21DD">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44C3B0C2">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1A4C1DCC">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CF71BE7">
      <w:pPr>
        <w:spacing w:line="360" w:lineRule="auto"/>
        <w:ind w:firstLine="465"/>
        <w:contextualSpacing/>
        <w:jc w:val="left"/>
        <w:rPr>
          <w:rFonts w:cs="仿宋_GB2312" w:asciiTheme="minorEastAsia" w:hAnsiTheme="minorEastAsia"/>
          <w:b/>
          <w:szCs w:val="21"/>
          <w:lang w:val="zh-CN"/>
        </w:rPr>
      </w:pPr>
      <w:r>
        <w:rPr>
          <w:rFonts w:hint="eastAsia" w:cs="仿宋_GB2312" w:asciiTheme="minorEastAsia" w:hAnsiTheme="minorEastAsia"/>
          <w:b/>
          <w:szCs w:val="21"/>
          <w:lang w:val="zh-CN"/>
        </w:rPr>
        <w:t>（3）网络关键设备、网络安全专用产品要求</w:t>
      </w:r>
    </w:p>
    <w:p w14:paraId="1C00F2C0">
      <w:pPr>
        <w:spacing w:line="360" w:lineRule="auto"/>
        <w:ind w:firstLine="420" w:firstLineChars="200"/>
        <w:contextualSpacing/>
        <w:rPr>
          <w:rFonts w:cs="宋体" w:asciiTheme="minorEastAsia" w:hAnsiTheme="minorEastAsia"/>
          <w:bCs/>
          <w:szCs w:val="21"/>
          <w:lang w:val="zh-CN"/>
        </w:rPr>
      </w:pPr>
      <w:r>
        <w:rPr>
          <w:rFonts w:hint="eastAsia" w:cs="仿宋_GB2312" w:asciiTheme="minorEastAsia" w:hAnsiTheme="minorEastAsia"/>
          <w:szCs w:val="21"/>
          <w:lang w:val="zh-CN"/>
        </w:rPr>
        <w:t>1）</w:t>
      </w:r>
      <w:r>
        <w:rPr>
          <w:rFonts w:hint="eastAsia" w:cs="宋体" w:asciiTheme="minorEastAsia" w:hAnsiTheme="minorEastAsia"/>
          <w:bCs/>
          <w:szCs w:val="21"/>
          <w:lang w:val="zh-CN"/>
        </w:rPr>
        <w:t>项目中涉及网络关键设备或网络安全专用产品的，至少符合以下条件之一：一是已由具备资格的机构安全认证合格或安全检测符合要求；二是已获得《计算机信息系统安全专用产品销售许可证》，且在有效期内。</w:t>
      </w:r>
    </w:p>
    <w:p w14:paraId="38B099B9">
      <w:pPr>
        <w:spacing w:line="360" w:lineRule="auto"/>
        <w:ind w:firstLine="420" w:firstLineChars="200"/>
        <w:contextualSpacing/>
        <w:rPr>
          <w:rFonts w:cs="宋体" w:asciiTheme="minorEastAsia" w:hAnsiTheme="minorEastAsia"/>
          <w:bCs/>
          <w:szCs w:val="21"/>
          <w:lang w:val="zh-CN"/>
        </w:rPr>
      </w:pPr>
      <w:r>
        <w:rPr>
          <w:rFonts w:hint="eastAsia" w:cs="宋体" w:asciiTheme="minorEastAsia" w:hAnsiTheme="minorEastAsia"/>
          <w:bCs/>
          <w:szCs w:val="21"/>
          <w:lang w:val="zh-CN"/>
        </w:rPr>
        <w:t>提供资料（下列资料任意一项）</w:t>
      </w:r>
    </w:p>
    <w:p w14:paraId="31BB3B78">
      <w:pPr>
        <w:spacing w:line="360" w:lineRule="auto"/>
        <w:ind w:firstLine="420" w:firstLineChars="200"/>
        <w:contextualSpacing/>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1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7C259573">
      <w:pPr>
        <w:spacing w:line="360" w:lineRule="auto"/>
        <w:ind w:firstLine="420" w:firstLineChars="200"/>
        <w:contextualSpacing/>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2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2B732D3F">
      <w:pPr>
        <w:spacing w:line="360" w:lineRule="auto"/>
        <w:ind w:firstLine="420" w:firstLineChars="200"/>
        <w:contextualSpacing/>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3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1DD2E3BA">
      <w:pPr>
        <w:spacing w:line="360" w:lineRule="auto"/>
        <w:ind w:firstLine="420" w:firstLineChars="200"/>
        <w:contextualSpacing/>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 </w:instrText>
      </w:r>
      <w:r>
        <w:rPr>
          <w:rFonts w:hint="eastAsia" w:cs="宋体" w:asciiTheme="minorEastAsia" w:hAnsiTheme="minorEastAsia"/>
          <w:bCs/>
          <w:szCs w:val="21"/>
          <w:lang w:val="zh-CN"/>
        </w:rPr>
        <w:instrText xml:space="preserve">= 4 \* GB3</w:instrText>
      </w:r>
      <w:r>
        <w:rPr>
          <w:rFonts w:cs="宋体" w:asciiTheme="minorEastAsia" w:hAnsiTheme="minorEastAsia"/>
          <w:bCs/>
          <w:szCs w:val="21"/>
          <w:lang w:val="zh-CN"/>
        </w:rPr>
        <w:instrText xml:space="preserve"> </w:instrText>
      </w:r>
      <w:r>
        <w:rPr>
          <w:rFonts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cs="宋体" w:asciiTheme="minorEastAsia" w:hAnsiTheme="minorEastAsia"/>
          <w:bCs/>
          <w:szCs w:val="21"/>
          <w:lang w:val="zh-CN"/>
        </w:rPr>
        <w:fldChar w:fldCharType="end"/>
      </w:r>
      <w:r>
        <w:rPr>
          <w:rFonts w:hint="eastAsia" w:cs="宋体" w:asciiTheme="minorEastAsia" w:hAnsiTheme="minorEastAsia"/>
          <w:bCs/>
          <w:szCs w:val="21"/>
          <w:lang w:val="zh-CN"/>
        </w:rPr>
        <w:t>中国网信网</w:t>
      </w:r>
      <w:r>
        <w:rPr>
          <w:rFonts w:hint="eastAsia" w:cs="宋体" w:asciiTheme="minorEastAsia" w:hAnsiTheme="minorEastAsia"/>
          <w:b/>
          <w:bCs/>
          <w:szCs w:val="21"/>
          <w:lang w:val="zh-CN"/>
        </w:rPr>
        <w:t>或</w:t>
      </w:r>
      <w:r>
        <w:rPr>
          <w:rFonts w:hint="eastAsia" w:cs="宋体" w:asciiTheme="minorEastAsia" w:hAnsiTheme="minorEastAsia"/>
          <w:bCs/>
          <w:szCs w:val="21"/>
          <w:lang w:val="zh-CN"/>
        </w:rPr>
        <w:t>工业和信息化部网站</w:t>
      </w:r>
      <w:r>
        <w:rPr>
          <w:rFonts w:hint="eastAsia" w:cs="宋体" w:asciiTheme="minorEastAsia" w:hAnsiTheme="minorEastAsia"/>
          <w:b/>
          <w:bCs/>
          <w:szCs w:val="21"/>
          <w:lang w:val="zh-CN"/>
        </w:rPr>
        <w:t>或</w:t>
      </w:r>
      <w:r>
        <w:rPr>
          <w:rFonts w:hint="eastAsia" w:cs="宋体" w:asciiTheme="minorEastAsia" w:hAnsiTheme="minorEastAsia"/>
          <w:bCs/>
          <w:szCs w:val="21"/>
          <w:lang w:val="zh-CN"/>
        </w:rPr>
        <w:t>公安部网站</w:t>
      </w:r>
      <w:r>
        <w:rPr>
          <w:rFonts w:hint="eastAsia" w:cs="宋体" w:asciiTheme="minorEastAsia" w:hAnsiTheme="minorEastAsia"/>
          <w:b/>
          <w:bCs/>
          <w:szCs w:val="21"/>
          <w:lang w:val="zh-CN"/>
        </w:rPr>
        <w:t>或</w:t>
      </w:r>
      <w:r>
        <w:rPr>
          <w:rFonts w:hint="eastAsia" w:cs="宋体" w:asciiTheme="minorEastAsia" w:hAnsiTheme="minorEastAsia"/>
          <w:bCs/>
          <w:szCs w:val="21"/>
          <w:lang w:val="zh-CN"/>
        </w:rPr>
        <w:t>国家认证认可监督管理委员会网站公布的认证、检测结果（提供公布安全认证、安全检测结果页面网址和安全认证、检测结果截图）。</w:t>
      </w:r>
    </w:p>
    <w:p w14:paraId="2FC29F1C">
      <w:pPr>
        <w:spacing w:line="360" w:lineRule="auto"/>
        <w:ind w:firstLine="465"/>
        <w:contextualSpacing/>
        <w:jc w:val="left"/>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14:paraId="2979C19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E1D48C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36281DA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68E6556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482A4A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0A8523F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31D414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5F556C8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056A439A">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B3B4DD8">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按照《关于推进全流程电子化交易和在线监管工作有关问题的通知》（许公管办[2019]3号）规定，不同供应商电子响应文件的文件制作机器码(即许公管办[2019]3号文中的投标文件制作“硬件特征码”，其由网卡MAC地址、CPU序列号、硬盘序列号等组成，以下均称为“文件制作机器码”)均一致时，视为‘不同投标人电子投标文件由同一单位或者个人编制’或‘不同投标人委托同一单位或者个人办理响应事宜’，其响应无效。</w:t>
      </w:r>
    </w:p>
    <w:p w14:paraId="57D4E6F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6）</w:t>
      </w:r>
      <w:r>
        <w:rPr>
          <w:rFonts w:cs="仿宋_GB2312" w:asciiTheme="minorEastAsia" w:hAnsiTheme="minorEastAsia"/>
          <w:szCs w:val="21"/>
          <w:lang w:val="zh-CN"/>
        </w:rPr>
        <w:t>法律、法规和招标文件规定的其他无效情形。</w:t>
      </w:r>
    </w:p>
    <w:p w14:paraId="1789D344">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rPr>
        <w:t>5</w:t>
      </w:r>
      <w:r>
        <w:rPr>
          <w:rFonts w:hint="eastAsia" w:cs="仿宋_GB2312" w:asciiTheme="minorEastAsia" w:hAnsiTheme="minorEastAsia"/>
          <w:b/>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14:paraId="5918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1DB9C6CF">
            <w:pPr>
              <w:jc w:val="center"/>
              <w:rPr>
                <w:rFonts w:ascii="宋体" w:hAnsi="宋体"/>
                <w:b/>
                <w:szCs w:val="21"/>
                <w:lang w:val="en-GB"/>
              </w:rPr>
            </w:pPr>
            <w:r>
              <w:rPr>
                <w:rFonts w:hint="eastAsia" w:ascii="宋体" w:hAnsi="宋体"/>
                <w:b/>
                <w:szCs w:val="21"/>
                <w:lang w:val="en-GB"/>
              </w:rPr>
              <w:t>序号</w:t>
            </w:r>
          </w:p>
        </w:tc>
        <w:tc>
          <w:tcPr>
            <w:tcW w:w="2823" w:type="dxa"/>
            <w:vAlign w:val="center"/>
          </w:tcPr>
          <w:p w14:paraId="79BF2758">
            <w:pPr>
              <w:jc w:val="center"/>
              <w:rPr>
                <w:rFonts w:ascii="宋体" w:hAnsi="宋体"/>
                <w:b/>
                <w:szCs w:val="21"/>
                <w:lang w:val="en-GB"/>
              </w:rPr>
            </w:pPr>
            <w:r>
              <w:rPr>
                <w:rFonts w:hint="eastAsia" w:ascii="宋体" w:hAnsi="宋体"/>
                <w:b/>
                <w:szCs w:val="21"/>
                <w:lang w:val="en-GB"/>
              </w:rPr>
              <w:t>情形</w:t>
            </w:r>
          </w:p>
        </w:tc>
        <w:tc>
          <w:tcPr>
            <w:tcW w:w="2552" w:type="dxa"/>
            <w:vAlign w:val="center"/>
          </w:tcPr>
          <w:p w14:paraId="7627EF92">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14:paraId="7AD66A1E">
            <w:pPr>
              <w:jc w:val="center"/>
              <w:rPr>
                <w:rFonts w:ascii="宋体" w:hAnsi="宋体"/>
                <w:b/>
                <w:szCs w:val="21"/>
                <w:lang w:val="en-GB"/>
              </w:rPr>
            </w:pPr>
            <w:r>
              <w:rPr>
                <w:rFonts w:hint="eastAsia" w:ascii="宋体" w:hAnsi="宋体"/>
                <w:b/>
                <w:szCs w:val="21"/>
                <w:lang w:val="en-GB"/>
              </w:rPr>
              <w:t>计算公式</w:t>
            </w:r>
          </w:p>
        </w:tc>
      </w:tr>
      <w:tr w14:paraId="2027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22459693">
            <w:pPr>
              <w:jc w:val="center"/>
              <w:rPr>
                <w:rFonts w:ascii="宋体" w:hAnsi="宋体"/>
                <w:b/>
                <w:szCs w:val="21"/>
                <w:lang w:val="en-GB"/>
              </w:rPr>
            </w:pPr>
            <w:r>
              <w:rPr>
                <w:rFonts w:hint="eastAsia" w:ascii="宋体" w:hAnsi="宋体"/>
                <w:b/>
                <w:szCs w:val="21"/>
                <w:lang w:val="en-GB"/>
              </w:rPr>
              <w:t>1</w:t>
            </w:r>
          </w:p>
        </w:tc>
        <w:tc>
          <w:tcPr>
            <w:tcW w:w="2823" w:type="dxa"/>
            <w:vAlign w:val="center"/>
          </w:tcPr>
          <w:p w14:paraId="356D589B">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14:paraId="6924A299">
            <w:pPr>
              <w:jc w:val="center"/>
              <w:rPr>
                <w:rFonts w:ascii="ˎ̥" w:hAnsi="ˎ̥" w:eastAsia="宋体"/>
                <w:szCs w:val="21"/>
              </w:rPr>
            </w:pPr>
            <w:r>
              <w:rPr>
                <w:rFonts w:hint="eastAsia" w:ascii="ˎ̥" w:hAnsi="ˎ̥" w:eastAsia="宋体"/>
                <w:szCs w:val="21"/>
              </w:rPr>
              <w:t>对小型和微型企业报价</w:t>
            </w:r>
          </w:p>
          <w:p w14:paraId="7D499ACB">
            <w:pPr>
              <w:jc w:val="center"/>
              <w:rPr>
                <w:rFonts w:ascii="宋体" w:hAnsi="宋体"/>
                <w:b/>
                <w:szCs w:val="21"/>
                <w:lang w:val="en-GB"/>
              </w:rPr>
            </w:pPr>
            <w:r>
              <w:rPr>
                <w:rFonts w:hint="eastAsia" w:ascii="ˎ̥" w:hAnsi="ˎ̥" w:eastAsia="宋体"/>
                <w:szCs w:val="21"/>
              </w:rPr>
              <w:t>扣除20%</w:t>
            </w:r>
          </w:p>
        </w:tc>
        <w:tc>
          <w:tcPr>
            <w:tcW w:w="2835" w:type="dxa"/>
            <w:vMerge w:val="restart"/>
            <w:shd w:val="clear" w:color="auto" w:fill="auto"/>
            <w:vAlign w:val="center"/>
          </w:tcPr>
          <w:p w14:paraId="051AD8D1">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szCs w:val="21"/>
              </w:rPr>
              <w:t>20</w:t>
            </w:r>
            <w:r>
              <w:rPr>
                <w:rFonts w:hint="eastAsia"/>
                <w:szCs w:val="21"/>
                <w:lang w:val="en-GB"/>
              </w:rPr>
              <w:t>%</w:t>
            </w:r>
            <w:r>
              <w:rPr>
                <w:rFonts w:hint="eastAsia" w:ascii="宋体" w:hAnsi="宋体"/>
                <w:szCs w:val="21"/>
                <w:lang w:val="en-GB"/>
              </w:rPr>
              <w:t>）</w:t>
            </w:r>
          </w:p>
          <w:p w14:paraId="3750941E">
            <w:pPr>
              <w:jc w:val="center"/>
              <w:rPr>
                <w:rFonts w:ascii="宋体" w:hAnsi="宋体"/>
                <w:b/>
                <w:szCs w:val="21"/>
                <w:lang w:val="en-GB"/>
              </w:rPr>
            </w:pPr>
          </w:p>
        </w:tc>
      </w:tr>
      <w:tr w14:paraId="7F48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7420DCBB">
            <w:pPr>
              <w:jc w:val="center"/>
              <w:rPr>
                <w:rFonts w:ascii="宋体" w:hAnsi="宋体"/>
                <w:b/>
                <w:szCs w:val="21"/>
                <w:lang w:val="en-GB"/>
              </w:rPr>
            </w:pPr>
            <w:r>
              <w:rPr>
                <w:rFonts w:hint="eastAsia" w:ascii="宋体" w:hAnsi="宋体"/>
                <w:b/>
                <w:szCs w:val="21"/>
                <w:lang w:val="en-GB"/>
              </w:rPr>
              <w:t>2</w:t>
            </w:r>
          </w:p>
        </w:tc>
        <w:tc>
          <w:tcPr>
            <w:tcW w:w="2823" w:type="dxa"/>
            <w:vAlign w:val="center"/>
          </w:tcPr>
          <w:p w14:paraId="56DE0101">
            <w:pPr>
              <w:jc w:val="center"/>
              <w:rPr>
                <w:rFonts w:ascii="宋体" w:hAnsi="宋体"/>
                <w:szCs w:val="21"/>
                <w:lang w:val="en-GB"/>
              </w:rPr>
            </w:pPr>
            <w:r>
              <w:rPr>
                <w:rFonts w:hint="eastAsia" w:ascii="宋体" w:hAnsi="宋体"/>
                <w:szCs w:val="21"/>
                <w:lang w:val="en-GB"/>
              </w:rPr>
              <w:t>联合体各方均为</w:t>
            </w:r>
          </w:p>
          <w:p w14:paraId="24A18BA6">
            <w:pPr>
              <w:jc w:val="center"/>
              <w:rPr>
                <w:rFonts w:ascii="宋体" w:hAnsi="宋体"/>
                <w:b/>
                <w:szCs w:val="21"/>
              </w:rPr>
            </w:pPr>
            <w:r>
              <w:rPr>
                <w:rFonts w:hint="eastAsia" w:ascii="宋体" w:hAnsi="宋体"/>
                <w:szCs w:val="21"/>
                <w:lang w:val="en-GB"/>
              </w:rPr>
              <w:t>小型、微型企业</w:t>
            </w:r>
          </w:p>
        </w:tc>
        <w:tc>
          <w:tcPr>
            <w:tcW w:w="2552" w:type="dxa"/>
            <w:vAlign w:val="center"/>
          </w:tcPr>
          <w:p w14:paraId="134246C5">
            <w:pPr>
              <w:jc w:val="center"/>
              <w:rPr>
                <w:rFonts w:ascii="宋体" w:hAnsi="宋体"/>
                <w:szCs w:val="21"/>
              </w:rPr>
            </w:pPr>
            <w:r>
              <w:rPr>
                <w:rFonts w:hint="eastAsia" w:ascii="ˎ̥" w:hAnsi="ˎ̥" w:eastAsia="宋体"/>
                <w:szCs w:val="21"/>
              </w:rPr>
              <w:t>对小型和微型企业报价</w:t>
            </w:r>
          </w:p>
          <w:p w14:paraId="3C75C526">
            <w:pPr>
              <w:jc w:val="center"/>
              <w:rPr>
                <w:rFonts w:ascii="宋体" w:hAnsi="宋体"/>
                <w:szCs w:val="21"/>
              </w:rPr>
            </w:pPr>
            <w:r>
              <w:rPr>
                <w:rFonts w:hint="eastAsia" w:ascii="宋体" w:hAnsi="宋体"/>
                <w:szCs w:val="21"/>
              </w:rPr>
              <w:t>扣除</w:t>
            </w:r>
            <w:r>
              <w:rPr>
                <w:rFonts w:hint="eastAsia" w:ascii="ˎ̥" w:hAnsi="ˎ̥" w:eastAsia="宋体"/>
                <w:szCs w:val="21"/>
              </w:rPr>
              <w:t>20</w:t>
            </w:r>
            <w:r>
              <w:rPr>
                <w:rFonts w:hint="eastAsia" w:ascii="宋体" w:hAnsi="宋体"/>
                <w:szCs w:val="21"/>
              </w:rPr>
              <w:t>%</w:t>
            </w:r>
          </w:p>
          <w:p w14:paraId="2BDE1502">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14:paraId="4911CD1D">
            <w:pPr>
              <w:rPr>
                <w:rFonts w:ascii="宋体" w:hAnsi="宋体"/>
                <w:szCs w:val="21"/>
                <w:lang w:val="en-GB"/>
              </w:rPr>
            </w:pPr>
          </w:p>
        </w:tc>
      </w:tr>
      <w:tr w14:paraId="3C03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F5BF48C">
            <w:pPr>
              <w:jc w:val="center"/>
              <w:rPr>
                <w:rFonts w:ascii="宋体" w:hAnsi="宋体"/>
                <w:b/>
                <w:szCs w:val="21"/>
                <w:lang w:val="en-GB"/>
              </w:rPr>
            </w:pPr>
            <w:r>
              <w:rPr>
                <w:rFonts w:hint="eastAsia" w:ascii="宋体" w:hAnsi="宋体"/>
                <w:b/>
                <w:szCs w:val="21"/>
                <w:lang w:val="en-GB"/>
              </w:rPr>
              <w:t>3</w:t>
            </w:r>
          </w:p>
        </w:tc>
        <w:tc>
          <w:tcPr>
            <w:tcW w:w="2823" w:type="dxa"/>
            <w:vAlign w:val="center"/>
          </w:tcPr>
          <w:p w14:paraId="1E92CD2D">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14:paraId="3EEBA69A">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w:t>
            </w:r>
            <w:r>
              <w:rPr>
                <w:rFonts w:hint="eastAsia" w:ascii="ˎ̥" w:hAnsi="ˎ̥" w:eastAsia="宋体"/>
                <w:szCs w:val="21"/>
              </w:rPr>
              <w:t>4</w:t>
            </w:r>
            <w:r>
              <w:rPr>
                <w:rFonts w:hint="eastAsia" w:ascii="宋体" w:hAnsi="宋体"/>
                <w:szCs w:val="21"/>
              </w:rPr>
              <w:t>%</w:t>
            </w:r>
          </w:p>
        </w:tc>
        <w:tc>
          <w:tcPr>
            <w:tcW w:w="2835" w:type="dxa"/>
            <w:shd w:val="clear" w:color="auto" w:fill="auto"/>
            <w:vAlign w:val="center"/>
          </w:tcPr>
          <w:p w14:paraId="7B5E3D10">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w:t>
            </w:r>
            <w:r>
              <w:rPr>
                <w:rFonts w:hint="eastAsia" w:ascii="ˎ̥" w:hAnsi="ˎ̥" w:eastAsia="宋体"/>
                <w:szCs w:val="21"/>
              </w:rPr>
              <w:t>4</w:t>
            </w:r>
            <w:r>
              <w:rPr>
                <w:rFonts w:hint="eastAsia"/>
                <w:szCs w:val="21"/>
                <w:lang w:val="en-GB"/>
              </w:rPr>
              <w:t>%)</w:t>
            </w:r>
          </w:p>
        </w:tc>
      </w:tr>
      <w:tr w14:paraId="6FD7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3133140B">
            <w:pPr>
              <w:jc w:val="center"/>
              <w:rPr>
                <w:rFonts w:ascii="宋体" w:hAnsi="宋体"/>
                <w:b/>
                <w:szCs w:val="21"/>
                <w:lang w:val="en-GB"/>
              </w:rPr>
            </w:pPr>
            <w:r>
              <w:rPr>
                <w:rFonts w:hint="eastAsia" w:ascii="宋体" w:hAnsi="宋体"/>
                <w:b/>
                <w:szCs w:val="21"/>
                <w:lang w:val="en-GB"/>
              </w:rPr>
              <w:t>4</w:t>
            </w:r>
          </w:p>
        </w:tc>
        <w:tc>
          <w:tcPr>
            <w:tcW w:w="2823" w:type="dxa"/>
            <w:vAlign w:val="center"/>
          </w:tcPr>
          <w:p w14:paraId="3B238F41">
            <w:pPr>
              <w:jc w:val="center"/>
              <w:rPr>
                <w:rFonts w:ascii="宋体" w:hAnsi="宋体"/>
                <w:szCs w:val="21"/>
                <w:lang w:val="en-GB"/>
              </w:rPr>
            </w:pPr>
            <w:r>
              <w:rPr>
                <w:rFonts w:hint="eastAsia" w:ascii="宋体" w:hAnsi="宋体"/>
                <w:szCs w:val="21"/>
                <w:lang w:val="en-GB"/>
              </w:rPr>
              <w:t>监狱企业</w:t>
            </w:r>
          </w:p>
        </w:tc>
        <w:tc>
          <w:tcPr>
            <w:tcW w:w="2552" w:type="dxa"/>
            <w:vAlign w:val="center"/>
          </w:tcPr>
          <w:p w14:paraId="38A4407C">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szCs w:val="21"/>
              </w:rPr>
              <w:t>20</w:t>
            </w:r>
            <w:r>
              <w:rPr>
                <w:rFonts w:hint="eastAsia" w:ascii="宋体" w:hAnsi="宋体"/>
                <w:szCs w:val="21"/>
              </w:rPr>
              <w:t>%</w:t>
            </w:r>
          </w:p>
        </w:tc>
        <w:tc>
          <w:tcPr>
            <w:tcW w:w="2835" w:type="dxa"/>
            <w:shd w:val="clear" w:color="auto" w:fill="auto"/>
            <w:vAlign w:val="center"/>
          </w:tcPr>
          <w:p w14:paraId="6034D99E">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szCs w:val="21"/>
              </w:rPr>
              <w:t>20</w:t>
            </w:r>
            <w:r>
              <w:rPr>
                <w:rFonts w:hint="eastAsia"/>
                <w:szCs w:val="21"/>
                <w:lang w:val="en-GB"/>
              </w:rPr>
              <w:t>%</w:t>
            </w:r>
          </w:p>
        </w:tc>
      </w:tr>
      <w:tr w14:paraId="05B3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790C20D">
            <w:pPr>
              <w:jc w:val="center"/>
              <w:rPr>
                <w:rFonts w:ascii="宋体" w:hAnsi="宋体"/>
                <w:b/>
                <w:szCs w:val="21"/>
                <w:lang w:val="en-GB"/>
              </w:rPr>
            </w:pPr>
            <w:r>
              <w:rPr>
                <w:rFonts w:hint="eastAsia" w:ascii="宋体" w:hAnsi="宋体"/>
                <w:b/>
                <w:szCs w:val="21"/>
                <w:lang w:val="en-GB"/>
              </w:rPr>
              <w:t>5</w:t>
            </w:r>
          </w:p>
        </w:tc>
        <w:tc>
          <w:tcPr>
            <w:tcW w:w="2823" w:type="dxa"/>
            <w:vAlign w:val="center"/>
          </w:tcPr>
          <w:p w14:paraId="5DDE14B6">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14:paraId="3ED6ABE2">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szCs w:val="21"/>
              </w:rPr>
              <w:t>20</w:t>
            </w:r>
            <w:r>
              <w:rPr>
                <w:rFonts w:hint="eastAsia" w:ascii="宋体" w:hAnsi="宋体"/>
                <w:szCs w:val="21"/>
              </w:rPr>
              <w:t>%</w:t>
            </w:r>
          </w:p>
        </w:tc>
        <w:tc>
          <w:tcPr>
            <w:tcW w:w="2835" w:type="dxa"/>
            <w:shd w:val="clear" w:color="auto" w:fill="auto"/>
            <w:vAlign w:val="center"/>
          </w:tcPr>
          <w:p w14:paraId="37D41B63">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szCs w:val="21"/>
              </w:rPr>
              <w:t>20</w:t>
            </w:r>
            <w:r>
              <w:rPr>
                <w:rFonts w:hint="eastAsia"/>
                <w:szCs w:val="21"/>
                <w:lang w:val="en-GB"/>
              </w:rPr>
              <w:t>%</w:t>
            </w:r>
          </w:p>
        </w:tc>
      </w:tr>
      <w:tr w14:paraId="0EEE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8931" w:type="dxa"/>
            <w:gridSpan w:val="4"/>
            <w:vAlign w:val="center"/>
          </w:tcPr>
          <w:p w14:paraId="6F65B204">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14:paraId="7D6AEF82">
      <w:pPr>
        <w:spacing w:line="360" w:lineRule="auto"/>
        <w:rPr>
          <w:rFonts w:ascii="宋体" w:hAnsi="宋体"/>
          <w:bCs/>
          <w:szCs w:val="21"/>
          <w:lang w:val="en-GB"/>
        </w:rPr>
      </w:pPr>
      <w:r>
        <w:rPr>
          <w:rFonts w:hint="eastAsia" w:ascii="宋体" w:hAnsi="宋体"/>
          <w:bCs/>
          <w:szCs w:val="21"/>
          <w:lang w:val="en-GB"/>
        </w:rPr>
        <w:t>备注：</w:t>
      </w:r>
    </w:p>
    <w:p w14:paraId="508B006B">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14:paraId="26FDB1F6">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14:paraId="4206AF4F">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14:paraId="0BD33FDF">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14:paraId="0220177D">
      <w:pPr>
        <w:spacing w:line="360" w:lineRule="auto"/>
        <w:ind w:firstLine="420" w:firstLineChars="200"/>
        <w:rPr>
          <w:rFonts w:ascii="宋体" w:hAnsi="宋体"/>
          <w:bCs/>
          <w:szCs w:val="21"/>
          <w:lang w:val="en-GB"/>
        </w:rPr>
      </w:pPr>
      <w:r>
        <w:rPr>
          <w:rFonts w:hint="eastAsia" w:ascii="宋体" w:hAnsi="宋体"/>
          <w:bCs/>
          <w:szCs w:val="21"/>
        </w:rPr>
        <w:t>e</w:t>
      </w:r>
      <w:r>
        <w:rPr>
          <w:rFonts w:hint="eastAsia" w:ascii="宋体" w:hAnsi="宋体"/>
          <w:bCs/>
          <w:szCs w:val="21"/>
          <w:lang w:val="en-GB"/>
        </w:rPr>
        <w:t>、小型和微型企业不包括民办非企业单位。</w:t>
      </w:r>
    </w:p>
    <w:p w14:paraId="27C0F7B2">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3C2BBE22">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w:t>
      </w:r>
      <w:r>
        <w:rPr>
          <w:rFonts w:hint="eastAsia" w:cs="仿宋_GB2312" w:asciiTheme="minorEastAsia" w:hAnsiTheme="minorEastAsia" w:eastAsiaTheme="minorEastAsia"/>
          <w:b/>
          <w:bCs/>
          <w:sz w:val="21"/>
          <w:szCs w:val="21"/>
          <w:lang w:val="zh-CN"/>
        </w:rPr>
        <w:t>（进行政策性价格扣除后的价格）</w:t>
      </w:r>
      <w:r>
        <w:rPr>
          <w:rFonts w:hint="eastAsia" w:cs="仿宋_GB2312" w:asciiTheme="minorEastAsia" w:hAnsiTheme="minorEastAsia" w:eastAsiaTheme="minorEastAsia"/>
          <w:sz w:val="21"/>
          <w:szCs w:val="21"/>
          <w:lang w:val="zh-CN"/>
        </w:rPr>
        <w:t>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14:paraId="2E21190D">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19788C2B">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000730E">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注：按照《关于推进全流程电子化交易和在线监管工作有关问题的通知》（许公管办[2019]3号）规定：评审专家应严格按照要求查看“文件制作机器码” 相关信息并进行评审，在评审报告中显示“不同供应商电子响应文件的文件制作机器码”是否雷同的分析及判定结果。</w:t>
      </w:r>
    </w:p>
    <w:p w14:paraId="18734357">
      <w:pPr>
        <w:pStyle w:val="15"/>
        <w:spacing w:line="360" w:lineRule="auto"/>
        <w:contextualSpacing/>
        <w:rPr>
          <w:rFonts w:cs="仿宋_GB2312" w:asciiTheme="minorEastAsia" w:hAnsiTheme="minorEastAsia" w:eastAsiaTheme="minorEastAsia"/>
          <w:b/>
          <w:sz w:val="21"/>
          <w:szCs w:val="21"/>
          <w:lang w:val="zh-CN"/>
        </w:rPr>
      </w:pPr>
    </w:p>
    <w:p w14:paraId="574B1D5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69BDE5A">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2DBCA121">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300DC96D">
      <w:pPr>
        <w:spacing w:line="360" w:lineRule="auto"/>
        <w:jc w:val="center"/>
        <w:rPr>
          <w:rFonts w:hint="eastAsia" w:ascii="宋体" w:hAnsi="宋体" w:eastAsia="宋体"/>
          <w:b/>
          <w:bCs/>
          <w:sz w:val="24"/>
          <w:szCs w:val="24"/>
        </w:rPr>
      </w:pPr>
      <w:r>
        <w:rPr>
          <w:rFonts w:hint="eastAsia" w:ascii="宋体" w:hAnsi="宋体" w:eastAsia="宋体"/>
          <w:b/>
          <w:bCs/>
          <w:sz w:val="24"/>
          <w:szCs w:val="24"/>
          <w:lang w:val="en-US" w:eastAsia="zh-CN"/>
        </w:rPr>
        <w:t>（此合同仅供参考。以最终采购人与中标人签定的合同条款为准进行公示，最终签定合同的主要条款不能与招标文件有冲突）</w:t>
      </w:r>
    </w:p>
    <w:p w14:paraId="55163CD4">
      <w:pPr>
        <w:keepNext w:val="0"/>
        <w:keepLines w:val="0"/>
        <w:widowControl/>
        <w:suppressLineNumbers w:val="0"/>
        <w:jc w:val="left"/>
      </w:pPr>
    </w:p>
    <w:p w14:paraId="2EC88095">
      <w:pPr>
        <w:pStyle w:val="10"/>
        <w:spacing w:before="217" w:line="221" w:lineRule="auto"/>
        <w:ind w:left="148"/>
        <w:rPr>
          <w:sz w:val="21"/>
          <w:szCs w:val="21"/>
        </w:rPr>
      </w:pPr>
      <w:r>
        <w:rPr>
          <w:spacing w:val="-3"/>
          <w:sz w:val="21"/>
          <w:szCs w:val="21"/>
        </w:rPr>
        <w:t>甲方：许昌职业技术学院</w:t>
      </w:r>
    </w:p>
    <w:p w14:paraId="2044FA26">
      <w:pPr>
        <w:pStyle w:val="10"/>
        <w:spacing w:before="217" w:line="222" w:lineRule="auto"/>
        <w:ind w:left="138"/>
        <w:rPr>
          <w:sz w:val="21"/>
          <w:szCs w:val="21"/>
        </w:rPr>
      </w:pPr>
      <w:r>
        <w:rPr>
          <w:spacing w:val="-16"/>
          <w:sz w:val="21"/>
          <w:szCs w:val="21"/>
        </w:rPr>
        <w:t>乙方：</w:t>
      </w:r>
    </w:p>
    <w:p w14:paraId="5B1361BA">
      <w:pPr>
        <w:pStyle w:val="10"/>
        <w:spacing w:before="214" w:line="412" w:lineRule="auto"/>
        <w:ind w:left="121" w:right="17"/>
        <w:rPr>
          <w:sz w:val="21"/>
          <w:szCs w:val="21"/>
        </w:rPr>
      </w:pPr>
      <w:r>
        <w:rPr>
          <w:spacing w:val="-6"/>
          <w:sz w:val="21"/>
          <w:szCs w:val="21"/>
        </w:rPr>
        <w:t>根据招标编号为</w:t>
      </w:r>
      <w:r>
        <w:rPr>
          <w:spacing w:val="-6"/>
          <w:sz w:val="21"/>
          <w:szCs w:val="21"/>
          <w:u w:val="single" w:color="auto"/>
        </w:rPr>
        <w:t xml:space="preserve">              </w:t>
      </w:r>
      <w:r>
        <w:rPr>
          <w:spacing w:val="-79"/>
          <w:sz w:val="21"/>
          <w:szCs w:val="21"/>
        </w:rPr>
        <w:t xml:space="preserve"> </w:t>
      </w:r>
      <w:r>
        <w:rPr>
          <w:spacing w:val="-6"/>
          <w:sz w:val="21"/>
          <w:szCs w:val="21"/>
        </w:rPr>
        <w:t>的</w:t>
      </w:r>
      <w:r>
        <w:rPr>
          <w:spacing w:val="-6"/>
          <w:sz w:val="21"/>
          <w:szCs w:val="21"/>
          <w:u w:val="single" w:color="auto"/>
        </w:rPr>
        <w:t>许昌职业技术学院         项目</w:t>
      </w:r>
      <w:r>
        <w:rPr>
          <w:spacing w:val="-6"/>
          <w:sz w:val="21"/>
          <w:szCs w:val="21"/>
        </w:rPr>
        <w:t>（以下简</w:t>
      </w:r>
      <w:r>
        <w:rPr>
          <w:spacing w:val="-7"/>
          <w:sz w:val="21"/>
          <w:szCs w:val="21"/>
        </w:rPr>
        <w:t>称：“本项目”）的招</w:t>
      </w:r>
      <w:r>
        <w:rPr>
          <w:sz w:val="21"/>
          <w:szCs w:val="21"/>
        </w:rPr>
        <w:t xml:space="preserve"> </w:t>
      </w:r>
      <w:r>
        <w:rPr>
          <w:spacing w:val="-1"/>
          <w:sz w:val="21"/>
          <w:szCs w:val="21"/>
        </w:rPr>
        <w:t>标结果，乙方为中标人。现经甲乙双方友好协商，就以下事项达成一致并签订本合同：</w:t>
      </w:r>
    </w:p>
    <w:p w14:paraId="500E4E40">
      <w:pPr>
        <w:pStyle w:val="10"/>
        <w:spacing w:line="221" w:lineRule="auto"/>
        <w:ind w:left="136"/>
        <w:rPr>
          <w:sz w:val="21"/>
          <w:szCs w:val="21"/>
        </w:rPr>
      </w:pPr>
      <w:r>
        <w:rPr>
          <w:spacing w:val="-4"/>
          <w:sz w:val="21"/>
          <w:szCs w:val="21"/>
        </w:rPr>
        <w:t>1、合同标的</w:t>
      </w:r>
    </w:p>
    <w:p w14:paraId="11E151E9">
      <w:pPr>
        <w:spacing w:line="88" w:lineRule="exact"/>
      </w:pPr>
    </w:p>
    <w:tbl>
      <w:tblPr>
        <w:tblStyle w:val="6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6"/>
        <w:gridCol w:w="1214"/>
        <w:gridCol w:w="1211"/>
        <w:gridCol w:w="1214"/>
        <w:gridCol w:w="1214"/>
        <w:gridCol w:w="1211"/>
        <w:gridCol w:w="1219"/>
      </w:tblGrid>
      <w:tr w14:paraId="18FED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16" w:type="dxa"/>
            <w:noWrap w:val="0"/>
            <w:vAlign w:val="top"/>
          </w:tcPr>
          <w:p w14:paraId="2E13EC89">
            <w:pPr>
              <w:pStyle w:val="64"/>
              <w:spacing w:before="132" w:line="223" w:lineRule="auto"/>
              <w:ind w:left="118"/>
            </w:pPr>
            <w:r>
              <w:rPr>
                <w:spacing w:val="-5"/>
              </w:rPr>
              <w:t>名</w:t>
            </w:r>
            <w:r>
              <w:rPr>
                <w:spacing w:val="2"/>
              </w:rPr>
              <w:t xml:space="preserve">   </w:t>
            </w:r>
            <w:r>
              <w:rPr>
                <w:spacing w:val="-5"/>
              </w:rPr>
              <w:t>称</w:t>
            </w:r>
          </w:p>
        </w:tc>
        <w:tc>
          <w:tcPr>
            <w:tcW w:w="1214" w:type="dxa"/>
            <w:noWrap w:val="0"/>
            <w:vAlign w:val="top"/>
          </w:tcPr>
          <w:p w14:paraId="74816F85">
            <w:pPr>
              <w:pStyle w:val="64"/>
              <w:spacing w:before="132" w:line="221" w:lineRule="auto"/>
              <w:ind w:left="112"/>
            </w:pPr>
            <w:r>
              <w:rPr>
                <w:spacing w:val="-2"/>
              </w:rPr>
              <w:t>规格型号</w:t>
            </w:r>
          </w:p>
        </w:tc>
        <w:tc>
          <w:tcPr>
            <w:tcW w:w="1211" w:type="dxa"/>
            <w:noWrap w:val="0"/>
            <w:vAlign w:val="top"/>
          </w:tcPr>
          <w:p w14:paraId="729E381D">
            <w:pPr>
              <w:pStyle w:val="64"/>
              <w:spacing w:before="132" w:line="221" w:lineRule="auto"/>
              <w:ind w:left="112"/>
            </w:pPr>
            <w:r>
              <w:rPr>
                <w:spacing w:val="-2"/>
              </w:rPr>
              <w:t>数量</w:t>
            </w:r>
          </w:p>
        </w:tc>
        <w:tc>
          <w:tcPr>
            <w:tcW w:w="1214" w:type="dxa"/>
            <w:tcBorders>
              <w:right w:val="single" w:color="000000" w:sz="4" w:space="0"/>
            </w:tcBorders>
            <w:noWrap w:val="0"/>
            <w:vAlign w:val="top"/>
          </w:tcPr>
          <w:p w14:paraId="7A67FE99">
            <w:pPr>
              <w:pStyle w:val="64"/>
              <w:spacing w:before="133" w:line="221" w:lineRule="auto"/>
              <w:ind w:left="115"/>
            </w:pPr>
            <w:r>
              <w:rPr>
                <w:spacing w:val="-2"/>
              </w:rPr>
              <w:t>单位</w:t>
            </w:r>
          </w:p>
        </w:tc>
        <w:tc>
          <w:tcPr>
            <w:tcW w:w="1214" w:type="dxa"/>
            <w:tcBorders>
              <w:left w:val="single" w:color="000000" w:sz="4" w:space="0"/>
            </w:tcBorders>
            <w:noWrap w:val="0"/>
            <w:vAlign w:val="top"/>
          </w:tcPr>
          <w:p w14:paraId="2B1671BB">
            <w:pPr>
              <w:pStyle w:val="64"/>
              <w:spacing w:before="132" w:line="219" w:lineRule="auto"/>
              <w:ind w:left="111"/>
            </w:pPr>
            <w:r>
              <w:rPr>
                <w:spacing w:val="-2"/>
              </w:rPr>
              <w:t>单价(元)</w:t>
            </w:r>
          </w:p>
        </w:tc>
        <w:tc>
          <w:tcPr>
            <w:tcW w:w="1211" w:type="dxa"/>
            <w:noWrap w:val="0"/>
            <w:vAlign w:val="top"/>
          </w:tcPr>
          <w:p w14:paraId="51DE3EDC">
            <w:pPr>
              <w:pStyle w:val="64"/>
              <w:spacing w:before="132" w:line="219" w:lineRule="auto"/>
              <w:ind w:left="115"/>
            </w:pPr>
            <w:r>
              <w:rPr>
                <w:spacing w:val="-2"/>
              </w:rPr>
              <w:t>总价(元)</w:t>
            </w:r>
          </w:p>
        </w:tc>
        <w:tc>
          <w:tcPr>
            <w:tcW w:w="1219" w:type="dxa"/>
            <w:noWrap w:val="0"/>
            <w:vAlign w:val="top"/>
          </w:tcPr>
          <w:p w14:paraId="7D6AB109">
            <w:pPr>
              <w:pStyle w:val="64"/>
              <w:spacing w:before="132" w:line="221" w:lineRule="auto"/>
              <w:ind w:left="116"/>
            </w:pPr>
            <w:r>
              <w:rPr>
                <w:spacing w:val="-2"/>
              </w:rPr>
              <w:t>产地品牌</w:t>
            </w:r>
          </w:p>
        </w:tc>
      </w:tr>
      <w:tr w14:paraId="361F8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16" w:type="dxa"/>
            <w:noWrap w:val="0"/>
            <w:vAlign w:val="top"/>
          </w:tcPr>
          <w:p w14:paraId="03FFB9CD">
            <w:pPr>
              <w:rPr>
                <w:rFonts w:ascii="Arial"/>
                <w:sz w:val="21"/>
              </w:rPr>
            </w:pPr>
          </w:p>
        </w:tc>
        <w:tc>
          <w:tcPr>
            <w:tcW w:w="1214" w:type="dxa"/>
            <w:noWrap w:val="0"/>
            <w:vAlign w:val="top"/>
          </w:tcPr>
          <w:p w14:paraId="17A724BF">
            <w:pPr>
              <w:rPr>
                <w:rFonts w:ascii="Arial"/>
                <w:sz w:val="21"/>
              </w:rPr>
            </w:pPr>
          </w:p>
        </w:tc>
        <w:tc>
          <w:tcPr>
            <w:tcW w:w="1211" w:type="dxa"/>
            <w:noWrap w:val="0"/>
            <w:vAlign w:val="top"/>
          </w:tcPr>
          <w:p w14:paraId="0E59A715">
            <w:pPr>
              <w:rPr>
                <w:rFonts w:ascii="Arial"/>
                <w:sz w:val="21"/>
              </w:rPr>
            </w:pPr>
          </w:p>
        </w:tc>
        <w:tc>
          <w:tcPr>
            <w:tcW w:w="1214" w:type="dxa"/>
            <w:tcBorders>
              <w:right w:val="single" w:color="000000" w:sz="4" w:space="0"/>
            </w:tcBorders>
            <w:noWrap w:val="0"/>
            <w:vAlign w:val="top"/>
          </w:tcPr>
          <w:p w14:paraId="23DAFD7C">
            <w:pPr>
              <w:rPr>
                <w:rFonts w:ascii="Arial"/>
                <w:sz w:val="21"/>
              </w:rPr>
            </w:pPr>
          </w:p>
        </w:tc>
        <w:tc>
          <w:tcPr>
            <w:tcW w:w="1214" w:type="dxa"/>
            <w:tcBorders>
              <w:left w:val="single" w:color="000000" w:sz="4" w:space="0"/>
            </w:tcBorders>
            <w:noWrap w:val="0"/>
            <w:vAlign w:val="top"/>
          </w:tcPr>
          <w:p w14:paraId="25FB97AE">
            <w:pPr>
              <w:rPr>
                <w:rFonts w:ascii="Arial"/>
                <w:sz w:val="21"/>
              </w:rPr>
            </w:pPr>
          </w:p>
        </w:tc>
        <w:tc>
          <w:tcPr>
            <w:tcW w:w="1211" w:type="dxa"/>
            <w:noWrap w:val="0"/>
            <w:vAlign w:val="top"/>
          </w:tcPr>
          <w:p w14:paraId="6143B53C">
            <w:pPr>
              <w:rPr>
                <w:rFonts w:ascii="Arial"/>
                <w:sz w:val="21"/>
              </w:rPr>
            </w:pPr>
          </w:p>
        </w:tc>
        <w:tc>
          <w:tcPr>
            <w:tcW w:w="1219" w:type="dxa"/>
            <w:noWrap w:val="0"/>
            <w:vAlign w:val="top"/>
          </w:tcPr>
          <w:p w14:paraId="2E135238">
            <w:pPr>
              <w:rPr>
                <w:rFonts w:ascii="Arial"/>
                <w:sz w:val="21"/>
              </w:rPr>
            </w:pPr>
          </w:p>
        </w:tc>
      </w:tr>
    </w:tbl>
    <w:p w14:paraId="1D408840">
      <w:pPr>
        <w:pStyle w:val="10"/>
        <w:spacing w:before="128" w:line="221" w:lineRule="auto"/>
        <w:ind w:left="123"/>
        <w:rPr>
          <w:sz w:val="21"/>
          <w:szCs w:val="21"/>
        </w:rPr>
      </w:pPr>
      <w:r>
        <w:rPr>
          <w:spacing w:val="-2"/>
          <w:sz w:val="21"/>
          <w:szCs w:val="21"/>
        </w:rPr>
        <w:t>2、合同总金额</w:t>
      </w:r>
    </w:p>
    <w:p w14:paraId="7C0F4BAC">
      <w:pPr>
        <w:pStyle w:val="10"/>
        <w:spacing w:before="217" w:line="220" w:lineRule="auto"/>
        <w:ind w:left="123"/>
        <w:rPr>
          <w:sz w:val="21"/>
          <w:szCs w:val="21"/>
        </w:rPr>
      </w:pPr>
      <w:r>
        <w:rPr>
          <w:sz w:val="21"/>
          <w:szCs w:val="21"/>
        </w:rPr>
        <w:t>2.1</w:t>
      </w:r>
      <w:r>
        <w:rPr>
          <w:spacing w:val="-38"/>
          <w:sz w:val="21"/>
          <w:szCs w:val="21"/>
        </w:rPr>
        <w:t xml:space="preserve"> </w:t>
      </w:r>
      <w:r>
        <w:rPr>
          <w:sz w:val="21"/>
          <w:szCs w:val="21"/>
        </w:rPr>
        <w:t>合同总金额为人民币大写：</w:t>
      </w:r>
      <w:r>
        <w:rPr>
          <w:sz w:val="21"/>
          <w:szCs w:val="21"/>
          <w:u w:val="single" w:color="auto"/>
        </w:rPr>
        <w:t xml:space="preserve">          </w:t>
      </w:r>
      <w:r>
        <w:rPr>
          <w:spacing w:val="-95"/>
          <w:sz w:val="21"/>
          <w:szCs w:val="21"/>
        </w:rPr>
        <w:t xml:space="preserve"> </w:t>
      </w:r>
      <w:r>
        <w:rPr>
          <w:sz w:val="21"/>
          <w:szCs w:val="21"/>
        </w:rPr>
        <w:t>元(</w:t>
      </w:r>
      <w:r>
        <w:rPr>
          <w:spacing w:val="-74"/>
          <w:sz w:val="21"/>
          <w:szCs w:val="21"/>
        </w:rPr>
        <w:t xml:space="preserve"> </w:t>
      </w:r>
      <w:r>
        <w:rPr>
          <w:spacing w:val="-84"/>
          <w:sz w:val="21"/>
          <w:szCs w:val="21"/>
          <w:u w:val="single" w:color="auto"/>
        </w:rPr>
        <w:t xml:space="preserve"> </w:t>
      </w:r>
      <w:r>
        <w:rPr>
          <w:sz w:val="21"/>
          <w:szCs w:val="21"/>
          <w:u w:val="single" w:color="auto"/>
        </w:rPr>
        <w:t xml:space="preserve">￥                </w:t>
      </w:r>
      <w:r>
        <w:rPr>
          <w:spacing w:val="-75"/>
          <w:sz w:val="21"/>
          <w:szCs w:val="21"/>
        </w:rPr>
        <w:t xml:space="preserve"> </w:t>
      </w:r>
      <w:r>
        <w:rPr>
          <w:sz w:val="21"/>
          <w:szCs w:val="21"/>
        </w:rPr>
        <w:t>)。</w:t>
      </w:r>
    </w:p>
    <w:p w14:paraId="5A82E750">
      <w:pPr>
        <w:pStyle w:val="10"/>
        <w:spacing w:before="218" w:line="221" w:lineRule="auto"/>
        <w:ind w:left="125"/>
        <w:rPr>
          <w:sz w:val="21"/>
          <w:szCs w:val="21"/>
        </w:rPr>
      </w:pPr>
      <w:r>
        <w:rPr>
          <w:spacing w:val="-1"/>
          <w:sz w:val="21"/>
          <w:szCs w:val="21"/>
        </w:rPr>
        <w:t>3、合同标的交付时间、地点和条件</w:t>
      </w:r>
    </w:p>
    <w:p w14:paraId="50B87079">
      <w:pPr>
        <w:pStyle w:val="10"/>
        <w:spacing w:before="217" w:line="221" w:lineRule="auto"/>
        <w:ind w:left="125"/>
        <w:rPr>
          <w:sz w:val="21"/>
          <w:szCs w:val="21"/>
        </w:rPr>
      </w:pPr>
      <w:r>
        <w:rPr>
          <w:spacing w:val="-4"/>
          <w:sz w:val="21"/>
          <w:szCs w:val="21"/>
        </w:rPr>
        <w:t>3.1</w:t>
      </w:r>
      <w:r>
        <w:rPr>
          <w:spacing w:val="-40"/>
          <w:sz w:val="21"/>
          <w:szCs w:val="21"/>
        </w:rPr>
        <w:t xml:space="preserve"> </w:t>
      </w:r>
      <w:r>
        <w:rPr>
          <w:spacing w:val="-4"/>
          <w:sz w:val="21"/>
          <w:szCs w:val="21"/>
        </w:rPr>
        <w:t>交付时间</w:t>
      </w:r>
      <w:r>
        <w:rPr>
          <w:spacing w:val="1"/>
          <w:sz w:val="21"/>
          <w:szCs w:val="21"/>
        </w:rPr>
        <w:t>：</w:t>
      </w:r>
      <w:r>
        <w:rPr>
          <w:spacing w:val="5"/>
          <w:sz w:val="21"/>
          <w:szCs w:val="21"/>
          <w:u w:val="single" w:color="auto"/>
        </w:rPr>
        <w:t xml:space="preserve">                  </w:t>
      </w:r>
      <w:r>
        <w:rPr>
          <w:spacing w:val="1"/>
          <w:sz w:val="21"/>
          <w:szCs w:val="21"/>
        </w:rPr>
        <w:t>；</w:t>
      </w:r>
    </w:p>
    <w:p w14:paraId="112F4050">
      <w:pPr>
        <w:pStyle w:val="10"/>
        <w:spacing w:before="216" w:line="221" w:lineRule="auto"/>
        <w:ind w:left="125"/>
        <w:rPr>
          <w:sz w:val="21"/>
          <w:szCs w:val="21"/>
        </w:rPr>
      </w:pPr>
      <w:r>
        <w:rPr>
          <w:spacing w:val="-2"/>
          <w:sz w:val="21"/>
          <w:szCs w:val="21"/>
        </w:rPr>
        <w:t>3.2</w:t>
      </w:r>
      <w:r>
        <w:rPr>
          <w:spacing w:val="-23"/>
          <w:sz w:val="21"/>
          <w:szCs w:val="21"/>
        </w:rPr>
        <w:t xml:space="preserve"> </w:t>
      </w:r>
      <w:r>
        <w:rPr>
          <w:spacing w:val="-2"/>
          <w:sz w:val="21"/>
          <w:szCs w:val="21"/>
        </w:rPr>
        <w:t>交付地点：</w:t>
      </w:r>
      <w:r>
        <w:rPr>
          <w:spacing w:val="-2"/>
          <w:sz w:val="21"/>
          <w:szCs w:val="21"/>
          <w:u w:val="single" w:color="auto"/>
        </w:rPr>
        <w:t xml:space="preserve">  许昌职业技术学院 </w:t>
      </w:r>
      <w:r>
        <w:rPr>
          <w:spacing w:val="-2"/>
          <w:sz w:val="21"/>
          <w:szCs w:val="21"/>
        </w:rPr>
        <w:t>；</w:t>
      </w:r>
    </w:p>
    <w:p w14:paraId="2637CC62">
      <w:pPr>
        <w:pStyle w:val="10"/>
        <w:spacing w:before="217" w:line="221" w:lineRule="auto"/>
        <w:ind w:left="125"/>
        <w:rPr>
          <w:sz w:val="21"/>
          <w:szCs w:val="21"/>
        </w:rPr>
      </w:pPr>
      <w:r>
        <w:rPr>
          <w:spacing w:val="-2"/>
          <w:sz w:val="21"/>
          <w:szCs w:val="21"/>
        </w:rPr>
        <w:t>3.3</w:t>
      </w:r>
      <w:r>
        <w:rPr>
          <w:spacing w:val="-33"/>
          <w:sz w:val="21"/>
          <w:szCs w:val="21"/>
        </w:rPr>
        <w:t xml:space="preserve"> </w:t>
      </w:r>
      <w:r>
        <w:rPr>
          <w:spacing w:val="-2"/>
          <w:sz w:val="21"/>
          <w:szCs w:val="21"/>
        </w:rPr>
        <w:t>交付质量：</w:t>
      </w:r>
      <w:r>
        <w:rPr>
          <w:spacing w:val="-2"/>
          <w:sz w:val="21"/>
          <w:szCs w:val="21"/>
          <w:u w:val="single" w:color="auto"/>
        </w:rPr>
        <w:t xml:space="preserve">     合格</w:t>
      </w:r>
      <w:r>
        <w:rPr>
          <w:spacing w:val="11"/>
          <w:sz w:val="21"/>
          <w:szCs w:val="21"/>
          <w:u w:val="single" w:color="auto"/>
        </w:rPr>
        <w:t xml:space="preserve">         </w:t>
      </w:r>
      <w:r>
        <w:rPr>
          <w:spacing w:val="-2"/>
          <w:sz w:val="21"/>
          <w:szCs w:val="21"/>
        </w:rPr>
        <w:t>；</w:t>
      </w:r>
    </w:p>
    <w:p w14:paraId="277E901E">
      <w:pPr>
        <w:pStyle w:val="10"/>
        <w:spacing w:before="216" w:line="348" w:lineRule="auto"/>
        <w:ind w:left="120" w:firstLine="5"/>
        <w:rPr>
          <w:sz w:val="21"/>
          <w:szCs w:val="21"/>
        </w:rPr>
      </w:pPr>
      <w:r>
        <w:rPr>
          <w:spacing w:val="-3"/>
          <w:sz w:val="21"/>
          <w:szCs w:val="21"/>
        </w:rPr>
        <w:t>3.4</w:t>
      </w:r>
      <w:r>
        <w:rPr>
          <w:spacing w:val="-40"/>
          <w:sz w:val="21"/>
          <w:szCs w:val="21"/>
        </w:rPr>
        <w:t xml:space="preserve"> </w:t>
      </w:r>
      <w:r>
        <w:rPr>
          <w:spacing w:val="-3"/>
          <w:sz w:val="21"/>
          <w:szCs w:val="21"/>
        </w:rPr>
        <w:t>交付条件：</w:t>
      </w:r>
      <w:r>
        <w:rPr>
          <w:spacing w:val="-3"/>
          <w:sz w:val="21"/>
          <w:szCs w:val="21"/>
          <w:u w:val="single" w:color="auto"/>
        </w:rPr>
        <w:t xml:space="preserve">  乙方将原装新品货物，保</w:t>
      </w:r>
      <w:r>
        <w:rPr>
          <w:spacing w:val="-4"/>
          <w:sz w:val="21"/>
          <w:szCs w:val="21"/>
          <w:u w:val="single" w:color="auto"/>
        </w:rPr>
        <w:t>证质量运到甲方指定地点并调试安装完毕，交付使用。</w:t>
      </w:r>
      <w:r>
        <w:rPr>
          <w:sz w:val="21"/>
          <w:szCs w:val="21"/>
        </w:rPr>
        <w:t xml:space="preserve"> </w:t>
      </w:r>
      <w:r>
        <w:rPr>
          <w:sz w:val="21"/>
          <w:szCs w:val="21"/>
          <w:u w:val="single" w:color="auto"/>
        </w:rPr>
        <w:t>运输、装卸、安装调试、现场培训费用由乙方承担。本项目为交钥匙工程（包括设备、材料、元</w:t>
      </w:r>
      <w:r>
        <w:rPr>
          <w:spacing w:val="18"/>
          <w:sz w:val="21"/>
          <w:szCs w:val="21"/>
        </w:rPr>
        <w:t xml:space="preserve"> </w:t>
      </w:r>
      <w:r>
        <w:rPr>
          <w:spacing w:val="-4"/>
          <w:sz w:val="21"/>
          <w:szCs w:val="21"/>
          <w:u w:val="single" w:color="auto"/>
        </w:rPr>
        <w:t>件等购置、安装调试、验收、与其它施工单位协作所产生的费用等）。</w:t>
      </w:r>
    </w:p>
    <w:p w14:paraId="487C6FC8">
      <w:pPr>
        <w:pStyle w:val="10"/>
        <w:spacing w:before="217" w:line="221" w:lineRule="auto"/>
        <w:ind w:left="120"/>
        <w:rPr>
          <w:sz w:val="21"/>
          <w:szCs w:val="21"/>
        </w:rPr>
      </w:pPr>
      <w:r>
        <w:rPr>
          <w:spacing w:val="-1"/>
          <w:sz w:val="21"/>
          <w:szCs w:val="21"/>
        </w:rPr>
        <w:t>4、合同标的应符合招标文件、乙方投标文件的规定或约定，具体如下：</w:t>
      </w:r>
    </w:p>
    <w:p w14:paraId="278DCDD3">
      <w:pPr>
        <w:pStyle w:val="10"/>
        <w:spacing w:before="217" w:line="221" w:lineRule="auto"/>
        <w:ind w:left="120"/>
        <w:rPr>
          <w:sz w:val="21"/>
          <w:szCs w:val="21"/>
        </w:rPr>
      </w:pPr>
      <w:r>
        <w:rPr>
          <w:sz w:val="21"/>
          <w:szCs w:val="21"/>
        </w:rPr>
        <w:t>4.1</w:t>
      </w:r>
      <w:r>
        <w:rPr>
          <w:spacing w:val="-43"/>
          <w:sz w:val="21"/>
          <w:szCs w:val="21"/>
        </w:rPr>
        <w:t xml:space="preserve"> </w:t>
      </w:r>
      <w:r>
        <w:rPr>
          <w:sz w:val="21"/>
          <w:szCs w:val="21"/>
        </w:rPr>
        <w:t>技术服务：</w:t>
      </w:r>
      <w:r>
        <w:rPr>
          <w:sz w:val="21"/>
          <w:szCs w:val="21"/>
          <w:u w:val="single" w:color="auto"/>
        </w:rPr>
        <w:t>安装调试完毕后，乙方对</w:t>
      </w:r>
      <w:r>
        <w:rPr>
          <w:spacing w:val="-1"/>
          <w:sz w:val="21"/>
          <w:szCs w:val="21"/>
          <w:u w:val="single" w:color="auto"/>
        </w:rPr>
        <w:t>甲方使用人员进行现场培训。</w:t>
      </w:r>
    </w:p>
    <w:p w14:paraId="3594F9C7">
      <w:pPr>
        <w:pStyle w:val="10"/>
        <w:spacing w:before="217" w:line="221" w:lineRule="auto"/>
        <w:ind w:left="120"/>
        <w:rPr>
          <w:sz w:val="21"/>
          <w:szCs w:val="21"/>
        </w:rPr>
      </w:pPr>
      <w:r>
        <w:rPr>
          <w:spacing w:val="-5"/>
          <w:sz w:val="21"/>
          <w:szCs w:val="21"/>
        </w:rPr>
        <w:t>4.2</w:t>
      </w:r>
      <w:r>
        <w:rPr>
          <w:spacing w:val="-43"/>
          <w:sz w:val="21"/>
          <w:szCs w:val="21"/>
        </w:rPr>
        <w:t xml:space="preserve"> </w:t>
      </w:r>
      <w:r>
        <w:rPr>
          <w:spacing w:val="-5"/>
          <w:sz w:val="21"/>
          <w:szCs w:val="21"/>
        </w:rPr>
        <w:t>售后服务：</w:t>
      </w:r>
    </w:p>
    <w:p w14:paraId="641B8725">
      <w:pPr>
        <w:pStyle w:val="10"/>
        <w:spacing w:before="218" w:line="413" w:lineRule="auto"/>
        <w:ind w:left="123" w:hanging="3"/>
        <w:rPr>
          <w:sz w:val="21"/>
          <w:szCs w:val="21"/>
        </w:rPr>
      </w:pPr>
      <w:r>
        <w:rPr>
          <w:sz w:val="21"/>
          <w:szCs w:val="21"/>
        </w:rPr>
        <w:t>4.2.1 设备整机保修：</w:t>
      </w:r>
      <w:r>
        <w:rPr>
          <w:sz w:val="21"/>
          <w:szCs w:val="21"/>
          <w:u w:val="single" w:color="auto"/>
        </w:rPr>
        <w:t xml:space="preserve">    年，在保修期内设备发生所有故障均由乙方负责免费进行维修（包含</w:t>
      </w:r>
      <w:r>
        <w:rPr>
          <w:spacing w:val="9"/>
          <w:sz w:val="21"/>
          <w:szCs w:val="21"/>
        </w:rPr>
        <w:t xml:space="preserve"> </w:t>
      </w:r>
      <w:r>
        <w:rPr>
          <w:spacing w:val="-4"/>
          <w:sz w:val="21"/>
          <w:szCs w:val="21"/>
          <w:u w:val="single" w:color="auto"/>
        </w:rPr>
        <w:t>更换零部件）。保修时间按甲方验收合格之日起</w:t>
      </w:r>
      <w:r>
        <w:rPr>
          <w:spacing w:val="-5"/>
          <w:sz w:val="21"/>
          <w:szCs w:val="21"/>
          <w:u w:val="single" w:color="auto"/>
        </w:rPr>
        <w:t>计算。保修期内对设备进行维修的，保修日期按维</w:t>
      </w:r>
    </w:p>
    <w:p w14:paraId="3CAA3AE9">
      <w:pPr>
        <w:spacing w:line="413" w:lineRule="auto"/>
        <w:rPr>
          <w:sz w:val="21"/>
          <w:szCs w:val="21"/>
        </w:rPr>
        <w:sectPr>
          <w:pgSz w:w="11907" w:h="16839"/>
          <w:pgMar w:top="1431" w:right="1469" w:bottom="1174" w:left="1476" w:header="0" w:footer="948" w:gutter="0"/>
          <w:pgNumType w:fmt="decimal"/>
          <w:cols w:space="720" w:num="1"/>
        </w:sectPr>
      </w:pPr>
    </w:p>
    <w:p w14:paraId="6BEB8237">
      <w:pPr>
        <w:rPr>
          <w:rFonts w:ascii="Arial"/>
          <w:sz w:val="21"/>
        </w:rPr>
      </w:pPr>
    </w:p>
    <w:p w14:paraId="36A50F97">
      <w:pPr>
        <w:rPr>
          <w:rFonts w:ascii="Arial"/>
          <w:sz w:val="21"/>
        </w:rPr>
      </w:pPr>
    </w:p>
    <w:p w14:paraId="28CCF1AB">
      <w:pPr>
        <w:spacing w:line="241" w:lineRule="auto"/>
        <w:rPr>
          <w:rFonts w:ascii="Arial"/>
          <w:sz w:val="21"/>
        </w:rPr>
      </w:pPr>
    </w:p>
    <w:p w14:paraId="19BB178A">
      <w:pPr>
        <w:pStyle w:val="10"/>
        <w:spacing w:before="68" w:line="221" w:lineRule="auto"/>
        <w:ind w:left="1"/>
        <w:rPr>
          <w:sz w:val="21"/>
          <w:szCs w:val="21"/>
        </w:rPr>
      </w:pPr>
      <w:r>
        <w:rPr>
          <w:spacing w:val="-1"/>
          <w:sz w:val="21"/>
          <w:szCs w:val="21"/>
          <w:u w:val="single" w:color="auto"/>
        </w:rPr>
        <w:t>修后验收时间往后顺延。</w:t>
      </w:r>
    </w:p>
    <w:p w14:paraId="6EB0E819">
      <w:pPr>
        <w:pStyle w:val="10"/>
        <w:spacing w:before="216" w:line="221" w:lineRule="auto"/>
        <w:ind w:left="5"/>
        <w:rPr>
          <w:sz w:val="21"/>
          <w:szCs w:val="21"/>
        </w:rPr>
      </w:pPr>
      <w:r>
        <w:rPr>
          <w:spacing w:val="-5"/>
          <w:sz w:val="21"/>
          <w:szCs w:val="21"/>
        </w:rPr>
        <w:t>5、验收</w:t>
      </w:r>
    </w:p>
    <w:p w14:paraId="00F4EC85">
      <w:pPr>
        <w:pStyle w:val="10"/>
        <w:spacing w:before="216" w:line="221" w:lineRule="auto"/>
        <w:ind w:left="5"/>
        <w:rPr>
          <w:sz w:val="21"/>
          <w:szCs w:val="21"/>
        </w:rPr>
      </w:pPr>
      <w:r>
        <w:rPr>
          <w:spacing w:val="-1"/>
          <w:sz w:val="21"/>
          <w:szCs w:val="21"/>
        </w:rPr>
        <w:t>5.1</w:t>
      </w:r>
      <w:r>
        <w:rPr>
          <w:spacing w:val="-27"/>
          <w:sz w:val="21"/>
          <w:szCs w:val="21"/>
        </w:rPr>
        <w:t xml:space="preserve"> </w:t>
      </w:r>
      <w:r>
        <w:rPr>
          <w:spacing w:val="-1"/>
          <w:sz w:val="21"/>
          <w:szCs w:val="21"/>
        </w:rPr>
        <w:t>验收应按照招标文件、乙方投标文件的规定或约定进行，具体如下：</w:t>
      </w:r>
    </w:p>
    <w:p w14:paraId="52C02CE6">
      <w:pPr>
        <w:pStyle w:val="10"/>
        <w:spacing w:before="217" w:line="363" w:lineRule="auto"/>
        <w:ind w:left="1" w:firstLine="435"/>
        <w:rPr>
          <w:sz w:val="21"/>
          <w:szCs w:val="21"/>
        </w:rPr>
      </w:pPr>
      <w:r>
        <w:rPr>
          <w:spacing w:val="-1"/>
          <w:sz w:val="21"/>
          <w:szCs w:val="21"/>
          <w:u w:val="single" w:color="auto"/>
        </w:rPr>
        <w:t>1、采购人在收到供应商项目验收建议之日起</w:t>
      </w:r>
      <w:r>
        <w:rPr>
          <w:spacing w:val="-25"/>
          <w:sz w:val="21"/>
          <w:szCs w:val="21"/>
          <w:u w:val="single" w:color="auto"/>
        </w:rPr>
        <w:t xml:space="preserve"> </w:t>
      </w:r>
      <w:r>
        <w:rPr>
          <w:spacing w:val="-1"/>
          <w:sz w:val="21"/>
          <w:szCs w:val="21"/>
          <w:u w:val="single" w:color="auto"/>
        </w:rPr>
        <w:t>7</w:t>
      </w:r>
      <w:r>
        <w:rPr>
          <w:spacing w:val="-34"/>
          <w:sz w:val="21"/>
          <w:szCs w:val="21"/>
          <w:u w:val="single" w:color="auto"/>
        </w:rPr>
        <w:t xml:space="preserve"> </w:t>
      </w:r>
      <w:r>
        <w:rPr>
          <w:spacing w:val="-1"/>
          <w:sz w:val="21"/>
          <w:szCs w:val="21"/>
          <w:u w:val="single" w:color="auto"/>
        </w:rPr>
        <w:t>个工作日内，由采购人依法成立验收小组,按</w:t>
      </w:r>
      <w:r>
        <w:rPr>
          <w:spacing w:val="-3"/>
          <w:sz w:val="21"/>
          <w:szCs w:val="21"/>
          <w:u w:val="single" w:color="auto"/>
        </w:rPr>
        <w:t>照采购合同的约定对中标人履约情况进行实质性验收。验收时,按照采购合同的约定对每一项技术、</w:t>
      </w:r>
      <w:r>
        <w:rPr>
          <w:sz w:val="21"/>
          <w:szCs w:val="21"/>
          <w:u w:val="single" w:color="auto"/>
        </w:rPr>
        <w:t>服务、安全标准的履约情况进行确认。验收结束后,出具验收书,列明各项标准的验收情况及项目</w:t>
      </w:r>
      <w:r>
        <w:rPr>
          <w:spacing w:val="-1"/>
          <w:sz w:val="21"/>
          <w:szCs w:val="21"/>
          <w:u w:val="single" w:color="auto"/>
        </w:rPr>
        <w:t>总体评价,由验收双方共同签署。</w:t>
      </w:r>
    </w:p>
    <w:p w14:paraId="09514A31">
      <w:pPr>
        <w:pStyle w:val="10"/>
        <w:spacing w:before="224" w:line="379" w:lineRule="auto"/>
        <w:ind w:right="180" w:firstLine="423"/>
        <w:rPr>
          <w:sz w:val="21"/>
          <w:szCs w:val="21"/>
        </w:rPr>
      </w:pPr>
      <w:r>
        <w:rPr>
          <w:spacing w:val="-2"/>
          <w:sz w:val="21"/>
          <w:szCs w:val="21"/>
          <w:u w:val="single" w:color="auto"/>
        </w:rPr>
        <w:t>2、投标人完成的项目应达到的质量标准应符合国家质量检测标准，验收条</w:t>
      </w:r>
      <w:r>
        <w:rPr>
          <w:spacing w:val="-3"/>
          <w:sz w:val="21"/>
          <w:szCs w:val="21"/>
          <w:u w:val="single" w:color="auto"/>
        </w:rPr>
        <w:t>件应符合甲方招标</w:t>
      </w:r>
      <w:r>
        <w:rPr>
          <w:sz w:val="21"/>
          <w:szCs w:val="21"/>
        </w:rPr>
        <w:t xml:space="preserve"> </w:t>
      </w:r>
      <w:r>
        <w:rPr>
          <w:spacing w:val="-4"/>
          <w:sz w:val="21"/>
          <w:szCs w:val="21"/>
          <w:u w:val="single" w:color="auto"/>
        </w:rPr>
        <w:t>文件、乙方投标文件的规定或约定，以有利于甲方</w:t>
      </w:r>
      <w:r>
        <w:rPr>
          <w:spacing w:val="-5"/>
          <w:sz w:val="21"/>
          <w:szCs w:val="21"/>
          <w:u w:val="single" w:color="auto"/>
        </w:rPr>
        <w:t>为原则进行。设备安装调试及现场培训结束后，</w:t>
      </w:r>
      <w:r>
        <w:rPr>
          <w:sz w:val="21"/>
          <w:szCs w:val="21"/>
          <w:u w:val="single" w:color="auto"/>
        </w:rPr>
        <w:t>乙方及时通知甲方组织验收，甲方应在一周内组织相关人员进行验收。验收时乙方人员应同时在</w:t>
      </w:r>
      <w:r>
        <w:rPr>
          <w:spacing w:val="18"/>
          <w:sz w:val="21"/>
          <w:szCs w:val="21"/>
        </w:rPr>
        <w:t xml:space="preserve"> </w:t>
      </w:r>
      <w:r>
        <w:rPr>
          <w:spacing w:val="-4"/>
          <w:sz w:val="21"/>
          <w:szCs w:val="21"/>
          <w:u w:val="single" w:color="auto"/>
        </w:rPr>
        <w:t>场。甲方原因造成验收逾期，视为验收合格；乙方</w:t>
      </w:r>
      <w:r>
        <w:rPr>
          <w:spacing w:val="-5"/>
          <w:sz w:val="21"/>
          <w:szCs w:val="21"/>
          <w:u w:val="single" w:color="auto"/>
        </w:rPr>
        <w:t>原因造成验收逾期，乙方负责，视为逾期交付。</w:t>
      </w:r>
      <w:r>
        <w:rPr>
          <w:sz w:val="21"/>
          <w:szCs w:val="21"/>
          <w:u w:val="single" w:color="auto"/>
        </w:rPr>
        <w:t>验收时乙方人员应提供公司资质、产品资质、产品使用说明等相关文件，进口产品必须提供报关单和商检证明及中文使用说明。乙方提供文件不全影响验收，由乙方</w:t>
      </w:r>
      <w:r>
        <w:rPr>
          <w:spacing w:val="-1"/>
          <w:sz w:val="21"/>
          <w:szCs w:val="21"/>
          <w:u w:val="single" w:color="auto"/>
        </w:rPr>
        <w:t>负责。</w:t>
      </w:r>
    </w:p>
    <w:p w14:paraId="6DB52838">
      <w:pPr>
        <w:pStyle w:val="10"/>
        <w:spacing w:before="217" w:line="316" w:lineRule="auto"/>
        <w:ind w:left="1" w:right="180" w:firstLine="1"/>
        <w:rPr>
          <w:rFonts w:hint="eastAsia" w:eastAsia="宋体"/>
          <w:sz w:val="21"/>
          <w:szCs w:val="21"/>
          <w:lang w:eastAsia="zh-CN"/>
        </w:rPr>
      </w:pPr>
      <w:r>
        <w:rPr>
          <w:sz w:val="21"/>
          <w:szCs w:val="21"/>
        </w:rPr>
        <w:t>6、合同款项的支付应按照招标文件的规定进行，具体如下：</w:t>
      </w:r>
      <w:r>
        <w:rPr>
          <w:sz w:val="21"/>
          <w:szCs w:val="21"/>
          <w:u w:val="single" w:color="auto"/>
        </w:rPr>
        <w:t xml:space="preserve"> 支付时间及条件：</w:t>
      </w:r>
      <w:r>
        <w:rPr>
          <w:rFonts w:hint="eastAsia"/>
          <w:sz w:val="21"/>
          <w:szCs w:val="21"/>
          <w:u w:val="single" w:color="auto"/>
        </w:rPr>
        <w:t>经验收合格采购人收到发票后5个工作日内一次付清</w:t>
      </w:r>
      <w:r>
        <w:rPr>
          <w:rFonts w:hint="eastAsia"/>
          <w:sz w:val="21"/>
          <w:szCs w:val="21"/>
          <w:u w:val="single" w:color="auto"/>
          <w:lang w:eastAsia="zh-CN"/>
        </w:rPr>
        <w:t>。</w:t>
      </w:r>
    </w:p>
    <w:p w14:paraId="2B028D84">
      <w:pPr>
        <w:pStyle w:val="10"/>
        <w:spacing w:before="219" w:line="221" w:lineRule="auto"/>
        <w:ind w:left="6"/>
        <w:rPr>
          <w:sz w:val="21"/>
          <w:szCs w:val="21"/>
        </w:rPr>
      </w:pPr>
      <w:r>
        <w:rPr>
          <w:spacing w:val="-3"/>
          <w:sz w:val="21"/>
          <w:szCs w:val="21"/>
        </w:rPr>
        <w:t>7、合同有效期</w:t>
      </w:r>
    </w:p>
    <w:p w14:paraId="37FF4D63">
      <w:pPr>
        <w:pStyle w:val="10"/>
        <w:spacing w:before="216" w:line="221" w:lineRule="auto"/>
        <w:ind w:left="36"/>
        <w:rPr>
          <w:sz w:val="21"/>
          <w:szCs w:val="21"/>
        </w:rPr>
      </w:pPr>
      <w:r>
        <w:rPr>
          <w:spacing w:val="-1"/>
          <w:sz w:val="21"/>
          <w:szCs w:val="21"/>
        </w:rPr>
        <w:t>自合同生效之日起至保修结束后双方义务履行完毕且无异议，合同自动</w:t>
      </w:r>
      <w:r>
        <w:rPr>
          <w:spacing w:val="-2"/>
          <w:sz w:val="21"/>
          <w:szCs w:val="21"/>
        </w:rPr>
        <w:t>终止。</w:t>
      </w:r>
    </w:p>
    <w:p w14:paraId="3255BFDB">
      <w:pPr>
        <w:pStyle w:val="10"/>
        <w:spacing w:before="216" w:line="221" w:lineRule="auto"/>
        <w:ind w:left="2"/>
        <w:rPr>
          <w:sz w:val="21"/>
          <w:szCs w:val="21"/>
        </w:rPr>
      </w:pPr>
      <w:r>
        <w:rPr>
          <w:spacing w:val="-2"/>
          <w:sz w:val="21"/>
          <w:szCs w:val="21"/>
        </w:rPr>
        <w:t>8、违约责任</w:t>
      </w:r>
    </w:p>
    <w:p w14:paraId="5E3092BA">
      <w:pPr>
        <w:pStyle w:val="10"/>
        <w:spacing w:before="214" w:line="412" w:lineRule="auto"/>
        <w:ind w:right="177" w:firstLine="424"/>
        <w:jc w:val="both"/>
        <w:rPr>
          <w:sz w:val="21"/>
          <w:szCs w:val="21"/>
        </w:rPr>
      </w:pPr>
      <w:r>
        <w:rPr>
          <w:sz w:val="21"/>
          <w:szCs w:val="21"/>
          <w:u w:val="single" w:color="auto"/>
        </w:rPr>
        <w:t>如果乙方不能按合同约定时间或交付货物存在质量问题且经维修仍不符合合同约定的，甲方</w:t>
      </w:r>
      <w:r>
        <w:rPr>
          <w:spacing w:val="12"/>
          <w:sz w:val="21"/>
          <w:szCs w:val="21"/>
        </w:rPr>
        <w:t xml:space="preserve"> </w:t>
      </w:r>
      <w:r>
        <w:rPr>
          <w:spacing w:val="-1"/>
          <w:sz w:val="21"/>
          <w:szCs w:val="21"/>
          <w:u w:val="single" w:color="auto"/>
        </w:rPr>
        <w:t>有权终止合同，并由乙方应向甲方一次性赔付总货款的</w:t>
      </w:r>
      <w:r>
        <w:rPr>
          <w:spacing w:val="-40"/>
          <w:sz w:val="21"/>
          <w:szCs w:val="21"/>
          <w:u w:val="single" w:color="auto"/>
        </w:rPr>
        <w:t xml:space="preserve"> </w:t>
      </w:r>
      <w:r>
        <w:rPr>
          <w:spacing w:val="-1"/>
          <w:sz w:val="21"/>
          <w:szCs w:val="21"/>
          <w:u w:val="single" w:color="auto"/>
        </w:rPr>
        <w:t>5%作为赔偿；如果乙方不能按合同约定的</w:t>
      </w:r>
      <w:r>
        <w:rPr>
          <w:sz w:val="21"/>
          <w:szCs w:val="21"/>
        </w:rPr>
        <w:t xml:space="preserve"> </w:t>
      </w:r>
      <w:r>
        <w:rPr>
          <w:spacing w:val="-1"/>
          <w:sz w:val="21"/>
          <w:szCs w:val="21"/>
          <w:u w:val="single" w:color="auto"/>
        </w:rPr>
        <w:t>时间供货，甲方要求乙方继续供货的，则乙方按每日总货款的</w:t>
      </w:r>
      <w:r>
        <w:rPr>
          <w:spacing w:val="-40"/>
          <w:sz w:val="21"/>
          <w:szCs w:val="21"/>
          <w:u w:val="single" w:color="auto"/>
        </w:rPr>
        <w:t xml:space="preserve"> </w:t>
      </w:r>
      <w:r>
        <w:rPr>
          <w:spacing w:val="-1"/>
          <w:sz w:val="21"/>
          <w:szCs w:val="21"/>
          <w:u w:val="single" w:color="auto"/>
        </w:rPr>
        <w:t>2%的标准自合同约定交货之日起直</w:t>
      </w:r>
      <w:r>
        <w:rPr>
          <w:sz w:val="21"/>
          <w:szCs w:val="21"/>
        </w:rPr>
        <w:t xml:space="preserve"> </w:t>
      </w:r>
      <w:r>
        <w:rPr>
          <w:spacing w:val="1"/>
          <w:sz w:val="21"/>
          <w:szCs w:val="21"/>
          <w:u w:val="single" w:color="auto"/>
        </w:rPr>
        <w:t>至货到并经验收合格之日为止向甲方支付违</w:t>
      </w:r>
      <w:r>
        <w:rPr>
          <w:sz w:val="21"/>
          <w:szCs w:val="21"/>
          <w:u w:val="single" w:color="auto"/>
        </w:rPr>
        <w:t>约金。如因甲方原因导致变更、中止或者终止政府采</w:t>
      </w:r>
      <w:r>
        <w:rPr>
          <w:sz w:val="21"/>
          <w:szCs w:val="21"/>
        </w:rPr>
        <w:t xml:space="preserve"> </w:t>
      </w:r>
      <w:r>
        <w:rPr>
          <w:spacing w:val="-1"/>
          <w:sz w:val="21"/>
          <w:szCs w:val="21"/>
          <w:u w:val="single" w:color="auto"/>
        </w:rPr>
        <w:t>购合同的，应向乙方支付无正当理由拒收设备金额</w:t>
      </w:r>
      <w:r>
        <w:rPr>
          <w:spacing w:val="-40"/>
          <w:sz w:val="21"/>
          <w:szCs w:val="21"/>
          <w:u w:val="single" w:color="auto"/>
        </w:rPr>
        <w:t xml:space="preserve"> </w:t>
      </w:r>
      <w:r>
        <w:rPr>
          <w:spacing w:val="-1"/>
          <w:sz w:val="21"/>
          <w:szCs w:val="21"/>
          <w:u w:val="single" w:color="auto"/>
        </w:rPr>
        <w:t>5%的违约金。如甲方逾期付款，则乙方有权要</w:t>
      </w:r>
      <w:r>
        <w:rPr>
          <w:sz w:val="21"/>
          <w:szCs w:val="21"/>
        </w:rPr>
        <w:t xml:space="preserve"> </w:t>
      </w:r>
      <w:r>
        <w:rPr>
          <w:sz w:val="21"/>
          <w:szCs w:val="21"/>
          <w:u w:val="single" w:color="auto"/>
        </w:rPr>
        <w:t>求甲方从逾期之日按同期贷款市场报价利率承担未付款利息直至甲方付清拖欠货款时止。</w:t>
      </w:r>
    </w:p>
    <w:p w14:paraId="1EE8E4F1">
      <w:pPr>
        <w:pStyle w:val="10"/>
        <w:spacing w:before="1" w:line="220" w:lineRule="auto"/>
        <w:ind w:left="2"/>
        <w:rPr>
          <w:sz w:val="21"/>
          <w:szCs w:val="21"/>
        </w:rPr>
      </w:pPr>
      <w:r>
        <w:rPr>
          <w:spacing w:val="-2"/>
          <w:sz w:val="21"/>
          <w:szCs w:val="21"/>
        </w:rPr>
        <w:t>9、知识产权</w:t>
      </w:r>
    </w:p>
    <w:p w14:paraId="601811D1">
      <w:pPr>
        <w:pStyle w:val="10"/>
        <w:spacing w:before="218" w:line="413" w:lineRule="auto"/>
        <w:ind w:left="18" w:right="121" w:hanging="16"/>
        <w:rPr>
          <w:sz w:val="21"/>
          <w:szCs w:val="21"/>
        </w:rPr>
      </w:pPr>
      <w:r>
        <w:rPr>
          <w:spacing w:val="-2"/>
          <w:sz w:val="21"/>
          <w:szCs w:val="21"/>
        </w:rPr>
        <w:t>9.1</w:t>
      </w:r>
      <w:r>
        <w:rPr>
          <w:spacing w:val="-27"/>
          <w:sz w:val="21"/>
          <w:szCs w:val="21"/>
        </w:rPr>
        <w:t xml:space="preserve"> </w:t>
      </w:r>
      <w:r>
        <w:rPr>
          <w:spacing w:val="-2"/>
          <w:sz w:val="21"/>
          <w:szCs w:val="21"/>
        </w:rPr>
        <w:t>乙方提供的采购标的应符合国家知识产权法律、法</w:t>
      </w:r>
      <w:r>
        <w:rPr>
          <w:spacing w:val="-3"/>
          <w:sz w:val="21"/>
          <w:szCs w:val="21"/>
        </w:rPr>
        <w:t>规的规定且非假冒伪劣品的全新正品现货；</w:t>
      </w:r>
      <w:r>
        <w:rPr>
          <w:sz w:val="21"/>
          <w:szCs w:val="21"/>
        </w:rPr>
        <w:t xml:space="preserve"> 乙方还应保证甲方不受到第三方关于侵犯知识产权及专利权、商标权或工业设计权等知识产权方</w:t>
      </w:r>
    </w:p>
    <w:p w14:paraId="67CA1F9B">
      <w:pPr>
        <w:spacing w:line="413" w:lineRule="auto"/>
        <w:rPr>
          <w:sz w:val="21"/>
          <w:szCs w:val="21"/>
        </w:rPr>
        <w:sectPr>
          <w:footerReference r:id="rId4" w:type="default"/>
          <w:pgSz w:w="11907" w:h="16839"/>
          <w:pgMar w:top="1431" w:right="1289" w:bottom="1174" w:left="1595" w:header="0" w:footer="948" w:gutter="0"/>
          <w:pgNumType w:fmt="decimal"/>
          <w:cols w:space="720" w:num="1"/>
        </w:sectPr>
      </w:pPr>
    </w:p>
    <w:p w14:paraId="65CF40D4">
      <w:pPr>
        <w:spacing w:line="241" w:lineRule="auto"/>
        <w:rPr>
          <w:rFonts w:ascii="Arial"/>
          <w:sz w:val="21"/>
        </w:rPr>
      </w:pPr>
    </w:p>
    <w:p w14:paraId="07073DBD">
      <w:pPr>
        <w:spacing w:line="241" w:lineRule="auto"/>
        <w:rPr>
          <w:rFonts w:ascii="Arial"/>
          <w:sz w:val="21"/>
        </w:rPr>
      </w:pPr>
    </w:p>
    <w:p w14:paraId="2ED5DA10">
      <w:pPr>
        <w:spacing w:line="242" w:lineRule="auto"/>
        <w:rPr>
          <w:rFonts w:ascii="Arial"/>
          <w:sz w:val="21"/>
        </w:rPr>
      </w:pPr>
    </w:p>
    <w:p w14:paraId="142CD34E">
      <w:pPr>
        <w:pStyle w:val="10"/>
        <w:spacing w:before="68" w:line="411" w:lineRule="auto"/>
        <w:ind w:right="3" w:firstLine="1"/>
        <w:jc w:val="both"/>
        <w:rPr>
          <w:sz w:val="21"/>
          <w:szCs w:val="21"/>
        </w:rPr>
      </w:pPr>
      <w:r>
        <w:rPr>
          <w:sz w:val="21"/>
          <w:szCs w:val="21"/>
        </w:rPr>
        <w:t>面的指控，若任何第三方提出此方面指控均与甲方无关，乙方应与第三方交涉，并承担可能发生</w:t>
      </w:r>
      <w:r>
        <w:rPr>
          <w:spacing w:val="17"/>
          <w:sz w:val="21"/>
          <w:szCs w:val="21"/>
        </w:rPr>
        <w:t xml:space="preserve"> </w:t>
      </w:r>
      <w:r>
        <w:rPr>
          <w:sz w:val="21"/>
          <w:szCs w:val="21"/>
        </w:rPr>
        <w:t>的一切法律责任、费用和后果；若甲方因此而遭致损失，则乙方应赔偿该损失，该损失包括但不</w:t>
      </w:r>
      <w:r>
        <w:rPr>
          <w:spacing w:val="18"/>
          <w:sz w:val="21"/>
          <w:szCs w:val="21"/>
        </w:rPr>
        <w:t xml:space="preserve"> </w:t>
      </w:r>
      <w:r>
        <w:rPr>
          <w:sz w:val="21"/>
          <w:szCs w:val="21"/>
        </w:rPr>
        <w:t>限于直接损失、间接损失、诉讼费用、保全保险费、保全费、律师费用、及其他与追溯违约方责</w:t>
      </w:r>
      <w:r>
        <w:rPr>
          <w:spacing w:val="18"/>
          <w:sz w:val="21"/>
          <w:szCs w:val="21"/>
        </w:rPr>
        <w:t xml:space="preserve"> </w:t>
      </w:r>
      <w:r>
        <w:rPr>
          <w:spacing w:val="-3"/>
          <w:sz w:val="21"/>
          <w:szCs w:val="21"/>
        </w:rPr>
        <w:t>任有关的所有费用。</w:t>
      </w:r>
    </w:p>
    <w:p w14:paraId="3A243AF1">
      <w:pPr>
        <w:pStyle w:val="10"/>
        <w:spacing w:line="411" w:lineRule="auto"/>
        <w:ind w:right="3"/>
        <w:rPr>
          <w:sz w:val="21"/>
          <w:szCs w:val="21"/>
        </w:rPr>
      </w:pPr>
      <w:r>
        <w:rPr>
          <w:sz w:val="21"/>
          <w:szCs w:val="21"/>
        </w:rPr>
        <w:t>9.2 若乙方提供的采购标的不符合国家知识产权法律、法规的规定或被有关主管机关认定为假冒</w:t>
      </w:r>
      <w:r>
        <w:rPr>
          <w:spacing w:val="17"/>
          <w:sz w:val="21"/>
          <w:szCs w:val="21"/>
        </w:rPr>
        <w:t xml:space="preserve"> </w:t>
      </w:r>
      <w:r>
        <w:rPr>
          <w:sz w:val="21"/>
          <w:szCs w:val="21"/>
        </w:rPr>
        <w:t>伪劣品，则乙方中标资格将被取消；甲方还将按照有关</w:t>
      </w:r>
      <w:r>
        <w:rPr>
          <w:spacing w:val="-1"/>
          <w:sz w:val="21"/>
          <w:szCs w:val="21"/>
        </w:rPr>
        <w:t>法律、法规和规章的规定进行处理。</w:t>
      </w:r>
    </w:p>
    <w:p w14:paraId="66FA61B1">
      <w:pPr>
        <w:pStyle w:val="10"/>
        <w:spacing w:line="220" w:lineRule="auto"/>
        <w:ind w:left="16"/>
        <w:rPr>
          <w:sz w:val="21"/>
          <w:szCs w:val="21"/>
        </w:rPr>
      </w:pPr>
      <w:r>
        <w:rPr>
          <w:spacing w:val="-3"/>
          <w:sz w:val="21"/>
          <w:szCs w:val="21"/>
        </w:rPr>
        <w:t>10、解决争议的方法</w:t>
      </w:r>
    </w:p>
    <w:p w14:paraId="2ED470F6">
      <w:pPr>
        <w:pStyle w:val="10"/>
        <w:spacing w:before="217" w:line="221" w:lineRule="auto"/>
        <w:ind w:left="16"/>
        <w:rPr>
          <w:sz w:val="21"/>
          <w:szCs w:val="21"/>
        </w:rPr>
      </w:pPr>
      <w:r>
        <w:rPr>
          <w:spacing w:val="-5"/>
          <w:sz w:val="21"/>
          <w:szCs w:val="21"/>
        </w:rPr>
        <w:t>10.1 甲、乙双方协商解决。</w:t>
      </w:r>
    </w:p>
    <w:p w14:paraId="75097538">
      <w:pPr>
        <w:pStyle w:val="10"/>
        <w:spacing w:before="216" w:line="221" w:lineRule="auto"/>
        <w:ind w:left="16"/>
        <w:rPr>
          <w:sz w:val="21"/>
          <w:szCs w:val="21"/>
        </w:rPr>
      </w:pPr>
      <w:r>
        <w:rPr>
          <w:spacing w:val="-1"/>
          <w:sz w:val="21"/>
          <w:szCs w:val="21"/>
        </w:rPr>
        <w:t>10.2</w:t>
      </w:r>
      <w:r>
        <w:rPr>
          <w:spacing w:val="-41"/>
          <w:sz w:val="21"/>
          <w:szCs w:val="21"/>
        </w:rPr>
        <w:t xml:space="preserve"> </w:t>
      </w:r>
      <w:r>
        <w:rPr>
          <w:spacing w:val="-1"/>
          <w:sz w:val="21"/>
          <w:szCs w:val="21"/>
        </w:rPr>
        <w:t>若协商解决不成，则通过向人民法院提起诉讼解决，具体如下：</w:t>
      </w:r>
    </w:p>
    <w:p w14:paraId="0DE3FA6F">
      <w:pPr>
        <w:pStyle w:val="10"/>
        <w:spacing w:before="218" w:line="221" w:lineRule="auto"/>
        <w:ind w:left="424"/>
        <w:rPr>
          <w:sz w:val="21"/>
          <w:szCs w:val="21"/>
        </w:rPr>
      </w:pPr>
      <w:r>
        <w:rPr>
          <w:spacing w:val="-1"/>
          <w:sz w:val="21"/>
          <w:szCs w:val="21"/>
          <w:u w:val="single" w:color="auto"/>
        </w:rPr>
        <w:t>如协商不成，可向甲方所在地人民法院起诉。</w:t>
      </w:r>
    </w:p>
    <w:p w14:paraId="0D1CB36A">
      <w:pPr>
        <w:pStyle w:val="10"/>
        <w:spacing w:before="216" w:line="221" w:lineRule="auto"/>
        <w:ind w:left="16"/>
        <w:rPr>
          <w:sz w:val="21"/>
          <w:szCs w:val="21"/>
        </w:rPr>
      </w:pPr>
      <w:r>
        <w:rPr>
          <w:spacing w:val="-3"/>
          <w:sz w:val="21"/>
          <w:szCs w:val="21"/>
        </w:rPr>
        <w:t>11、不可抗力</w:t>
      </w:r>
    </w:p>
    <w:p w14:paraId="2E29ACE3">
      <w:pPr>
        <w:pStyle w:val="10"/>
        <w:spacing w:before="215" w:line="364" w:lineRule="auto"/>
        <w:ind w:firstLine="16"/>
        <w:rPr>
          <w:sz w:val="21"/>
          <w:szCs w:val="21"/>
        </w:rPr>
      </w:pPr>
      <w:r>
        <w:rPr>
          <w:spacing w:val="-2"/>
          <w:sz w:val="21"/>
          <w:szCs w:val="21"/>
        </w:rPr>
        <w:t>11.1</w:t>
      </w:r>
      <w:r>
        <w:rPr>
          <w:spacing w:val="-12"/>
          <w:sz w:val="21"/>
          <w:szCs w:val="21"/>
        </w:rPr>
        <w:t xml:space="preserve"> </w:t>
      </w:r>
      <w:r>
        <w:rPr>
          <w:spacing w:val="-2"/>
          <w:sz w:val="21"/>
          <w:szCs w:val="21"/>
        </w:rPr>
        <w:t>因不可抗力造成违约的，遭受不可抗力一方应及时向对方通报不能履行或不能完全履行的理</w:t>
      </w:r>
      <w:r>
        <w:rPr>
          <w:sz w:val="21"/>
          <w:szCs w:val="21"/>
        </w:rPr>
        <w:t xml:space="preserve"> </w:t>
      </w:r>
      <w:r>
        <w:rPr>
          <w:spacing w:val="-4"/>
          <w:sz w:val="21"/>
          <w:szCs w:val="21"/>
        </w:rPr>
        <w:t>由，并在随后取得有关主管机关证明后的</w:t>
      </w:r>
      <w:r>
        <w:rPr>
          <w:spacing w:val="-15"/>
          <w:sz w:val="21"/>
          <w:szCs w:val="21"/>
        </w:rPr>
        <w:t xml:space="preserve"> </w:t>
      </w:r>
      <w:r>
        <w:rPr>
          <w:spacing w:val="-4"/>
          <w:sz w:val="21"/>
          <w:szCs w:val="21"/>
        </w:rPr>
        <w:t>15 日内向另一方提供不可抗力发生及持续期间的充分证</w:t>
      </w:r>
      <w:r>
        <w:rPr>
          <w:sz w:val="21"/>
          <w:szCs w:val="21"/>
        </w:rPr>
        <w:t xml:space="preserve"> 据，逾期提供不适用该条款。基于以上行为，允许遭受不可抗力一方延期履行、部分履行或不履</w:t>
      </w:r>
      <w:r>
        <w:rPr>
          <w:spacing w:val="18"/>
          <w:sz w:val="21"/>
          <w:szCs w:val="21"/>
        </w:rPr>
        <w:t xml:space="preserve"> </w:t>
      </w:r>
      <w:r>
        <w:rPr>
          <w:spacing w:val="-1"/>
          <w:sz w:val="21"/>
          <w:szCs w:val="21"/>
        </w:rPr>
        <w:t>行合同，并根据情况可部分或全部免于承担违约责任。</w:t>
      </w:r>
    </w:p>
    <w:p w14:paraId="55B28340">
      <w:pPr>
        <w:pStyle w:val="10"/>
        <w:spacing w:before="217" w:line="348" w:lineRule="auto"/>
        <w:ind w:left="3" w:firstLine="13"/>
        <w:rPr>
          <w:sz w:val="21"/>
          <w:szCs w:val="21"/>
        </w:rPr>
      </w:pPr>
      <w:r>
        <w:rPr>
          <w:spacing w:val="-1"/>
          <w:sz w:val="21"/>
          <w:szCs w:val="21"/>
        </w:rPr>
        <w:t>11.2</w:t>
      </w:r>
      <w:r>
        <w:rPr>
          <w:spacing w:val="-45"/>
          <w:sz w:val="21"/>
          <w:szCs w:val="21"/>
        </w:rPr>
        <w:t xml:space="preserve"> </w:t>
      </w:r>
      <w:r>
        <w:rPr>
          <w:spacing w:val="-1"/>
          <w:sz w:val="21"/>
          <w:szCs w:val="21"/>
        </w:rPr>
        <w:t>本合同中的不可抗力指不能预见、不能避免、不能克服的客观情况</w:t>
      </w:r>
      <w:r>
        <w:rPr>
          <w:spacing w:val="-2"/>
          <w:sz w:val="21"/>
          <w:szCs w:val="21"/>
        </w:rPr>
        <w:t>，包括但不限于：自然灾</w:t>
      </w:r>
      <w:r>
        <w:rPr>
          <w:sz w:val="21"/>
          <w:szCs w:val="21"/>
        </w:rPr>
        <w:t xml:space="preserve"> 害如地震、台风、洪水、火灾及政府行为、法律规定或其适用的变化或其他任何无法预见、避免</w:t>
      </w:r>
      <w:r>
        <w:rPr>
          <w:spacing w:val="15"/>
          <w:sz w:val="21"/>
          <w:szCs w:val="21"/>
        </w:rPr>
        <w:t xml:space="preserve"> </w:t>
      </w:r>
      <w:r>
        <w:rPr>
          <w:spacing w:val="-4"/>
          <w:sz w:val="21"/>
          <w:szCs w:val="21"/>
        </w:rPr>
        <w:t>或控制的事件。</w:t>
      </w:r>
    </w:p>
    <w:p w14:paraId="597414F1">
      <w:pPr>
        <w:pStyle w:val="10"/>
        <w:spacing w:before="217" w:line="221" w:lineRule="auto"/>
        <w:ind w:left="16"/>
        <w:rPr>
          <w:sz w:val="21"/>
          <w:szCs w:val="21"/>
        </w:rPr>
      </w:pPr>
      <w:r>
        <w:rPr>
          <w:spacing w:val="-3"/>
          <w:sz w:val="21"/>
          <w:szCs w:val="21"/>
        </w:rPr>
        <w:t>12、合同条款</w:t>
      </w:r>
    </w:p>
    <w:p w14:paraId="79FA5832">
      <w:pPr>
        <w:pStyle w:val="10"/>
        <w:spacing w:before="218" w:line="411" w:lineRule="auto"/>
        <w:ind w:left="4" w:right="4" w:firstLine="12"/>
        <w:rPr>
          <w:sz w:val="21"/>
          <w:szCs w:val="21"/>
        </w:rPr>
      </w:pPr>
      <w:r>
        <w:rPr>
          <w:sz w:val="21"/>
          <w:szCs w:val="21"/>
        </w:rPr>
        <w:t>12.1：质量鉴定：</w:t>
      </w:r>
      <w:r>
        <w:rPr>
          <w:sz w:val="21"/>
          <w:szCs w:val="21"/>
          <w:u w:val="single" w:color="auto"/>
        </w:rPr>
        <w:t>因质量问题发生争议，由许昌市质量技术监督局或其指定机构进行质量鉴定，</w:t>
      </w:r>
      <w:r>
        <w:rPr>
          <w:sz w:val="21"/>
          <w:szCs w:val="21"/>
        </w:rPr>
        <w:t xml:space="preserve"> </w:t>
      </w:r>
      <w:r>
        <w:rPr>
          <w:spacing w:val="-1"/>
          <w:sz w:val="21"/>
          <w:szCs w:val="21"/>
          <w:u w:val="single" w:color="auto"/>
        </w:rPr>
        <w:t>该鉴定结论是最终结论，双方均应接受此鉴定结论。</w:t>
      </w:r>
    </w:p>
    <w:p w14:paraId="7CF63276">
      <w:pPr>
        <w:pStyle w:val="10"/>
        <w:spacing w:line="221" w:lineRule="auto"/>
        <w:ind w:left="16"/>
        <w:rPr>
          <w:sz w:val="21"/>
          <w:szCs w:val="21"/>
        </w:rPr>
      </w:pPr>
      <w:r>
        <w:rPr>
          <w:spacing w:val="-3"/>
          <w:sz w:val="21"/>
          <w:szCs w:val="21"/>
        </w:rPr>
        <w:t>13、其他约定</w:t>
      </w:r>
    </w:p>
    <w:p w14:paraId="0BFE3225">
      <w:pPr>
        <w:pStyle w:val="10"/>
        <w:spacing w:before="216" w:line="220" w:lineRule="auto"/>
        <w:ind w:left="16"/>
        <w:rPr>
          <w:sz w:val="21"/>
          <w:szCs w:val="21"/>
        </w:rPr>
      </w:pPr>
      <w:r>
        <w:rPr>
          <w:spacing w:val="-2"/>
          <w:sz w:val="21"/>
          <w:szCs w:val="21"/>
        </w:rPr>
        <w:t>13.1</w:t>
      </w:r>
      <w:r>
        <w:rPr>
          <w:spacing w:val="-33"/>
          <w:sz w:val="21"/>
          <w:szCs w:val="21"/>
        </w:rPr>
        <w:t xml:space="preserve"> </w:t>
      </w:r>
      <w:r>
        <w:rPr>
          <w:spacing w:val="-2"/>
          <w:sz w:val="21"/>
          <w:szCs w:val="21"/>
        </w:rPr>
        <w:t>合同文件与本合同具有同等法律效力。</w:t>
      </w:r>
    </w:p>
    <w:p w14:paraId="3CAFE42C">
      <w:pPr>
        <w:pStyle w:val="10"/>
        <w:spacing w:before="218" w:line="220" w:lineRule="auto"/>
        <w:ind w:left="16"/>
        <w:rPr>
          <w:sz w:val="21"/>
          <w:szCs w:val="21"/>
        </w:rPr>
      </w:pPr>
      <w:r>
        <w:rPr>
          <w:spacing w:val="-3"/>
          <w:sz w:val="21"/>
          <w:szCs w:val="21"/>
        </w:rPr>
        <w:t>13.2</w:t>
      </w:r>
      <w:r>
        <w:rPr>
          <w:spacing w:val="-30"/>
          <w:sz w:val="21"/>
          <w:szCs w:val="21"/>
        </w:rPr>
        <w:t xml:space="preserve"> </w:t>
      </w:r>
      <w:r>
        <w:rPr>
          <w:spacing w:val="-3"/>
          <w:sz w:val="21"/>
          <w:szCs w:val="21"/>
        </w:rPr>
        <w:t>本合同未尽事宜，双方可另行补充。</w:t>
      </w:r>
    </w:p>
    <w:p w14:paraId="04D48272">
      <w:pPr>
        <w:pStyle w:val="10"/>
        <w:spacing w:before="219" w:line="221" w:lineRule="auto"/>
        <w:ind w:left="16"/>
        <w:rPr>
          <w:sz w:val="21"/>
          <w:szCs w:val="21"/>
        </w:rPr>
      </w:pPr>
      <w:r>
        <w:rPr>
          <w:spacing w:val="-5"/>
          <w:sz w:val="21"/>
          <w:szCs w:val="21"/>
        </w:rPr>
        <w:t>13.3</w:t>
      </w:r>
      <w:r>
        <w:rPr>
          <w:spacing w:val="-30"/>
          <w:sz w:val="21"/>
          <w:szCs w:val="21"/>
        </w:rPr>
        <w:t xml:space="preserve"> </w:t>
      </w:r>
      <w:r>
        <w:rPr>
          <w:spacing w:val="-5"/>
          <w:sz w:val="21"/>
          <w:szCs w:val="21"/>
        </w:rPr>
        <w:t>合同生效：</w:t>
      </w:r>
      <w:r>
        <w:rPr>
          <w:spacing w:val="-61"/>
          <w:sz w:val="21"/>
          <w:szCs w:val="21"/>
        </w:rPr>
        <w:t xml:space="preserve"> </w:t>
      </w:r>
      <w:r>
        <w:rPr>
          <w:spacing w:val="-5"/>
          <w:sz w:val="21"/>
          <w:szCs w:val="21"/>
          <w:u w:val="single" w:color="auto"/>
        </w:rPr>
        <w:t>自签订之日起生效。</w:t>
      </w:r>
    </w:p>
    <w:p w14:paraId="1EB4DFD6">
      <w:pPr>
        <w:pStyle w:val="10"/>
        <w:spacing w:before="215" w:line="316" w:lineRule="auto"/>
        <w:ind w:left="1" w:firstLine="14"/>
        <w:rPr>
          <w:sz w:val="21"/>
          <w:szCs w:val="21"/>
        </w:rPr>
      </w:pPr>
      <w:r>
        <w:rPr>
          <w:sz w:val="21"/>
          <w:szCs w:val="21"/>
        </w:rPr>
        <w:t>13.4</w:t>
      </w:r>
      <w:r>
        <w:rPr>
          <w:spacing w:val="-45"/>
          <w:sz w:val="21"/>
          <w:szCs w:val="21"/>
        </w:rPr>
        <w:t xml:space="preserve"> </w:t>
      </w:r>
      <w:r>
        <w:rPr>
          <w:sz w:val="21"/>
          <w:szCs w:val="21"/>
        </w:rPr>
        <w:t>本合同生效文本一式</w:t>
      </w:r>
      <w:r>
        <w:rPr>
          <w:sz w:val="21"/>
          <w:szCs w:val="21"/>
          <w:u w:val="single" w:color="auto"/>
        </w:rPr>
        <w:t>5</w:t>
      </w:r>
      <w:r>
        <w:rPr>
          <w:spacing w:val="-44"/>
          <w:sz w:val="21"/>
          <w:szCs w:val="21"/>
          <w:u w:val="single" w:color="auto"/>
        </w:rPr>
        <w:t xml:space="preserve"> </w:t>
      </w:r>
      <w:r>
        <w:rPr>
          <w:sz w:val="21"/>
          <w:szCs w:val="21"/>
        </w:rPr>
        <w:t>份，经双方法定代表人或者委托代理人签字</w:t>
      </w:r>
      <w:r>
        <w:rPr>
          <w:spacing w:val="-1"/>
          <w:sz w:val="21"/>
          <w:szCs w:val="21"/>
        </w:rPr>
        <w:t>并盖章后生效。甲方、乙</w:t>
      </w:r>
      <w:r>
        <w:rPr>
          <w:sz w:val="21"/>
          <w:szCs w:val="21"/>
        </w:rPr>
        <w:t xml:space="preserve"> </w:t>
      </w:r>
      <w:r>
        <w:rPr>
          <w:spacing w:val="-2"/>
          <w:sz w:val="21"/>
          <w:szCs w:val="21"/>
        </w:rPr>
        <w:t>方各执</w:t>
      </w:r>
      <w:r>
        <w:rPr>
          <w:spacing w:val="-42"/>
          <w:sz w:val="21"/>
          <w:szCs w:val="21"/>
        </w:rPr>
        <w:t xml:space="preserve"> </w:t>
      </w:r>
      <w:r>
        <w:rPr>
          <w:spacing w:val="-2"/>
          <w:sz w:val="21"/>
          <w:szCs w:val="21"/>
          <w:u w:val="single" w:color="auto"/>
        </w:rPr>
        <w:t>2</w:t>
      </w:r>
      <w:r>
        <w:rPr>
          <w:spacing w:val="-44"/>
          <w:sz w:val="21"/>
          <w:szCs w:val="21"/>
          <w:u w:val="single" w:color="auto"/>
        </w:rPr>
        <w:t xml:space="preserve"> </w:t>
      </w:r>
      <w:r>
        <w:rPr>
          <w:spacing w:val="-2"/>
          <w:sz w:val="21"/>
          <w:szCs w:val="21"/>
        </w:rPr>
        <w:t>份，送</w:t>
      </w:r>
      <w:r>
        <w:rPr>
          <w:spacing w:val="-2"/>
          <w:sz w:val="21"/>
          <w:szCs w:val="21"/>
          <w:u w:val="single" w:color="auto"/>
        </w:rPr>
        <w:t>许昌市财政局采购办</w:t>
      </w:r>
      <w:r>
        <w:rPr>
          <w:spacing w:val="-2"/>
          <w:sz w:val="21"/>
          <w:szCs w:val="21"/>
        </w:rPr>
        <w:t>备案</w:t>
      </w:r>
      <w:r>
        <w:rPr>
          <w:spacing w:val="-52"/>
          <w:sz w:val="21"/>
          <w:szCs w:val="21"/>
        </w:rPr>
        <w:t xml:space="preserve"> </w:t>
      </w:r>
      <w:r>
        <w:rPr>
          <w:spacing w:val="-81"/>
          <w:sz w:val="21"/>
          <w:szCs w:val="21"/>
          <w:u w:val="single" w:color="auto"/>
        </w:rPr>
        <w:t xml:space="preserve"> </w:t>
      </w:r>
      <w:r>
        <w:rPr>
          <w:spacing w:val="-2"/>
          <w:sz w:val="21"/>
          <w:szCs w:val="21"/>
          <w:u w:val="single" w:color="auto"/>
        </w:rPr>
        <w:t>1</w:t>
      </w:r>
      <w:r>
        <w:rPr>
          <w:spacing w:val="-44"/>
          <w:sz w:val="21"/>
          <w:szCs w:val="21"/>
          <w:u w:val="single" w:color="auto"/>
        </w:rPr>
        <w:t xml:space="preserve"> </w:t>
      </w:r>
      <w:r>
        <w:rPr>
          <w:spacing w:val="-2"/>
          <w:sz w:val="21"/>
          <w:szCs w:val="21"/>
        </w:rPr>
        <w:t>份，具有同等效力。</w:t>
      </w:r>
    </w:p>
    <w:p w14:paraId="39A810E3">
      <w:pPr>
        <w:spacing w:line="316" w:lineRule="auto"/>
        <w:rPr>
          <w:sz w:val="21"/>
          <w:szCs w:val="21"/>
        </w:rPr>
        <w:sectPr>
          <w:footerReference r:id="rId5" w:type="default"/>
          <w:pgSz w:w="11907" w:h="16839"/>
          <w:pgMar w:top="1431" w:right="1466" w:bottom="1174" w:left="1596" w:header="0" w:footer="948" w:gutter="0"/>
          <w:pgNumType w:fmt="decimal"/>
          <w:cols w:space="720" w:num="1"/>
        </w:sectPr>
      </w:pPr>
    </w:p>
    <w:p w14:paraId="0F0ED920">
      <w:pPr>
        <w:rPr>
          <w:rFonts w:ascii="Arial"/>
          <w:sz w:val="21"/>
        </w:rPr>
      </w:pPr>
    </w:p>
    <w:p w14:paraId="61E3CED3">
      <w:pPr>
        <w:rPr>
          <w:rFonts w:ascii="Arial"/>
          <w:sz w:val="21"/>
        </w:rPr>
      </w:pPr>
    </w:p>
    <w:p w14:paraId="6078EFEA">
      <w:pPr>
        <w:spacing w:line="241" w:lineRule="auto"/>
        <w:rPr>
          <w:rFonts w:ascii="Arial"/>
          <w:sz w:val="21"/>
        </w:rPr>
      </w:pPr>
    </w:p>
    <w:p w14:paraId="294628E9">
      <w:pPr>
        <w:pStyle w:val="10"/>
        <w:spacing w:before="68" w:line="221" w:lineRule="auto"/>
        <w:ind w:left="15"/>
        <w:rPr>
          <w:sz w:val="21"/>
          <w:szCs w:val="21"/>
        </w:rPr>
      </w:pPr>
      <w:r>
        <w:rPr>
          <w:spacing w:val="-4"/>
          <w:sz w:val="21"/>
          <w:szCs w:val="21"/>
        </w:rPr>
        <w:t>13.5</w:t>
      </w:r>
      <w:r>
        <w:rPr>
          <w:spacing w:val="-45"/>
          <w:sz w:val="21"/>
          <w:szCs w:val="21"/>
        </w:rPr>
        <w:t xml:space="preserve"> </w:t>
      </w:r>
      <w:r>
        <w:rPr>
          <w:spacing w:val="-4"/>
          <w:sz w:val="21"/>
          <w:szCs w:val="21"/>
        </w:rPr>
        <w:t>其他：□无。□有</w:t>
      </w:r>
      <w:r>
        <w:rPr>
          <w:spacing w:val="-4"/>
          <w:sz w:val="21"/>
          <w:szCs w:val="21"/>
          <w:u w:val="single" w:color="auto"/>
        </w:rPr>
        <w:t>（按照实际情况编制填写</w:t>
      </w:r>
      <w:r>
        <w:rPr>
          <w:spacing w:val="-5"/>
          <w:sz w:val="21"/>
          <w:szCs w:val="21"/>
          <w:u w:val="single" w:color="auto"/>
        </w:rPr>
        <w:t>需要增加的内容）。</w:t>
      </w:r>
    </w:p>
    <w:p w14:paraId="699ACA95">
      <w:pPr>
        <w:spacing w:line="306" w:lineRule="auto"/>
        <w:rPr>
          <w:rFonts w:ascii="Arial"/>
          <w:sz w:val="21"/>
        </w:rPr>
      </w:pPr>
    </w:p>
    <w:p w14:paraId="121B5FFE">
      <w:pPr>
        <w:spacing w:line="307" w:lineRule="auto"/>
        <w:rPr>
          <w:rFonts w:ascii="Arial"/>
          <w:sz w:val="21"/>
        </w:rPr>
      </w:pPr>
    </w:p>
    <w:p w14:paraId="0A80448E">
      <w:pPr>
        <w:pStyle w:val="10"/>
        <w:spacing w:before="68" w:line="222" w:lineRule="auto"/>
        <w:ind w:left="27"/>
        <w:rPr>
          <w:sz w:val="21"/>
          <w:szCs w:val="21"/>
        </w:rPr>
      </w:pPr>
      <w:r>
        <w:rPr>
          <w:spacing w:val="-5"/>
          <w:sz w:val="21"/>
          <w:szCs w:val="21"/>
        </w:rPr>
        <w:t>甲方：                                          乙</w:t>
      </w:r>
      <w:r>
        <w:rPr>
          <w:spacing w:val="-6"/>
          <w:sz w:val="21"/>
          <w:szCs w:val="21"/>
        </w:rPr>
        <w:t>方：</w:t>
      </w:r>
    </w:p>
    <w:p w14:paraId="2D1682BF">
      <w:pPr>
        <w:pStyle w:val="10"/>
        <w:spacing w:before="215" w:line="230" w:lineRule="auto"/>
        <w:rPr>
          <w:sz w:val="21"/>
          <w:szCs w:val="21"/>
        </w:rPr>
      </w:pPr>
      <w:r>
        <w:rPr>
          <w:spacing w:val="-3"/>
          <w:sz w:val="21"/>
          <w:szCs w:val="21"/>
        </w:rPr>
        <w:t>地址：                                         地</w:t>
      </w:r>
      <w:r>
        <w:rPr>
          <w:spacing w:val="-4"/>
          <w:sz w:val="21"/>
          <w:szCs w:val="21"/>
        </w:rPr>
        <w:t>址：</w:t>
      </w:r>
    </w:p>
    <w:p w14:paraId="6A73C878">
      <w:pPr>
        <w:pStyle w:val="10"/>
        <w:spacing w:before="205" w:line="221" w:lineRule="auto"/>
        <w:rPr>
          <w:sz w:val="21"/>
          <w:szCs w:val="21"/>
        </w:rPr>
      </w:pPr>
      <w:r>
        <w:rPr>
          <w:sz w:val="21"/>
          <w:szCs w:val="21"/>
        </w:rPr>
        <w:t>法定代表人或委托代理人：                      法定代表人</w:t>
      </w:r>
      <w:r>
        <w:rPr>
          <w:spacing w:val="-1"/>
          <w:sz w:val="21"/>
          <w:szCs w:val="21"/>
        </w:rPr>
        <w:t>或委托代理人：</w:t>
      </w:r>
    </w:p>
    <w:p w14:paraId="57EB88E9">
      <w:pPr>
        <w:pStyle w:val="10"/>
        <w:spacing w:before="217" w:line="222" w:lineRule="auto"/>
        <w:rPr>
          <w:sz w:val="21"/>
          <w:szCs w:val="21"/>
        </w:rPr>
      </w:pPr>
      <w:r>
        <w:rPr>
          <w:sz w:val="21"/>
          <w:szCs w:val="21"/>
        </w:rPr>
        <w:t>联系方法：                                    联</w:t>
      </w:r>
      <w:r>
        <w:rPr>
          <w:spacing w:val="-1"/>
          <w:sz w:val="21"/>
          <w:szCs w:val="21"/>
        </w:rPr>
        <w:t>系方法：</w:t>
      </w:r>
    </w:p>
    <w:p w14:paraId="2C93F344">
      <w:pPr>
        <w:pStyle w:val="10"/>
        <w:spacing w:before="216" w:line="221" w:lineRule="auto"/>
        <w:rPr>
          <w:sz w:val="21"/>
          <w:szCs w:val="21"/>
        </w:rPr>
      </w:pPr>
      <w:r>
        <w:rPr>
          <w:sz w:val="21"/>
          <w:szCs w:val="21"/>
        </w:rPr>
        <w:t>开户银行：                                    开</w:t>
      </w:r>
      <w:r>
        <w:rPr>
          <w:spacing w:val="-1"/>
          <w:sz w:val="21"/>
          <w:szCs w:val="21"/>
        </w:rPr>
        <w:t>户银行：</w:t>
      </w:r>
    </w:p>
    <w:p w14:paraId="7DEC262C">
      <w:pPr>
        <w:pStyle w:val="10"/>
        <w:spacing w:before="217" w:line="222" w:lineRule="auto"/>
        <w:ind w:left="3"/>
        <w:rPr>
          <w:sz w:val="21"/>
          <w:szCs w:val="21"/>
        </w:rPr>
      </w:pPr>
      <w:r>
        <w:rPr>
          <w:spacing w:val="-4"/>
          <w:sz w:val="21"/>
          <w:szCs w:val="21"/>
        </w:rPr>
        <w:t>账号：</w:t>
      </w:r>
      <w:r>
        <w:rPr>
          <w:sz w:val="21"/>
          <w:szCs w:val="21"/>
        </w:rPr>
        <w:t xml:space="preserve">                                        </w:t>
      </w:r>
      <w:r>
        <w:rPr>
          <w:spacing w:val="-4"/>
          <w:sz w:val="21"/>
          <w:szCs w:val="21"/>
        </w:rPr>
        <w:t>账号：</w:t>
      </w:r>
    </w:p>
    <w:p w14:paraId="19B0C414">
      <w:pPr>
        <w:spacing w:line="305" w:lineRule="auto"/>
        <w:rPr>
          <w:rFonts w:ascii="Arial"/>
          <w:sz w:val="21"/>
        </w:rPr>
      </w:pPr>
    </w:p>
    <w:p w14:paraId="4C380284">
      <w:pPr>
        <w:spacing w:line="306" w:lineRule="auto"/>
        <w:rPr>
          <w:rFonts w:ascii="Arial"/>
          <w:sz w:val="21"/>
        </w:rPr>
      </w:pPr>
    </w:p>
    <w:p w14:paraId="5819014B">
      <w:pPr>
        <w:pStyle w:val="10"/>
        <w:spacing w:before="69" w:line="223" w:lineRule="auto"/>
        <w:rPr>
          <w:sz w:val="21"/>
          <w:szCs w:val="21"/>
        </w:rPr>
      </w:pPr>
      <w:r>
        <w:rPr>
          <w:spacing w:val="-6"/>
          <w:sz w:val="21"/>
          <w:szCs w:val="21"/>
        </w:rPr>
        <w:t>签订地点：</w:t>
      </w:r>
    </w:p>
    <w:p w14:paraId="5912DACD">
      <w:pPr>
        <w:pStyle w:val="10"/>
        <w:spacing w:before="214" w:line="221" w:lineRule="auto"/>
        <w:rPr>
          <w:rFonts w:hint="eastAsia"/>
        </w:rPr>
      </w:pPr>
      <w:r>
        <w:rPr>
          <w:spacing w:val="-2"/>
          <w:sz w:val="21"/>
          <w:szCs w:val="21"/>
        </w:rPr>
        <w:t>签订日期：        年</w:t>
      </w:r>
      <w:r>
        <w:rPr>
          <w:spacing w:val="4"/>
          <w:sz w:val="21"/>
          <w:szCs w:val="21"/>
        </w:rPr>
        <w:t xml:space="preserve">      </w:t>
      </w:r>
      <w:r>
        <w:rPr>
          <w:spacing w:val="-2"/>
          <w:sz w:val="21"/>
          <w:szCs w:val="21"/>
        </w:rPr>
        <w:t>月</w:t>
      </w:r>
      <w:r>
        <w:rPr>
          <w:spacing w:val="7"/>
          <w:sz w:val="21"/>
          <w:szCs w:val="21"/>
        </w:rPr>
        <w:t xml:space="preserve">    </w:t>
      </w:r>
    </w:p>
    <w:p w14:paraId="35D7F8AF">
      <w:pPr>
        <w:pStyle w:val="15"/>
        <w:spacing w:line="360" w:lineRule="auto"/>
        <w:contextualSpacing/>
        <w:jc w:val="center"/>
        <w:rPr>
          <w:rFonts w:cs="宋体" w:asciiTheme="majorEastAsia" w:hAnsiTheme="majorEastAsia" w:eastAsiaTheme="majorEastAsia"/>
          <w:b/>
          <w:kern w:val="0"/>
          <w:sz w:val="36"/>
          <w:szCs w:val="36"/>
        </w:rPr>
      </w:pPr>
    </w:p>
    <w:p w14:paraId="3668ABFB">
      <w:pPr>
        <w:pStyle w:val="15"/>
        <w:spacing w:line="360" w:lineRule="auto"/>
        <w:contextualSpacing/>
        <w:jc w:val="center"/>
        <w:rPr>
          <w:rFonts w:cs="宋体" w:asciiTheme="majorEastAsia" w:hAnsiTheme="majorEastAsia" w:eastAsiaTheme="majorEastAsia"/>
          <w:b/>
          <w:kern w:val="0"/>
          <w:sz w:val="36"/>
          <w:szCs w:val="36"/>
        </w:rPr>
      </w:pPr>
    </w:p>
    <w:p w14:paraId="069F1D96">
      <w:pPr>
        <w:pStyle w:val="15"/>
        <w:spacing w:line="360" w:lineRule="auto"/>
        <w:contextualSpacing/>
        <w:jc w:val="center"/>
        <w:rPr>
          <w:rFonts w:cs="宋体" w:asciiTheme="majorEastAsia" w:hAnsiTheme="majorEastAsia" w:eastAsiaTheme="majorEastAsia"/>
          <w:b/>
          <w:kern w:val="0"/>
          <w:sz w:val="36"/>
          <w:szCs w:val="36"/>
        </w:rPr>
      </w:pPr>
    </w:p>
    <w:p w14:paraId="4AA2EC2C">
      <w:pPr>
        <w:pStyle w:val="15"/>
        <w:spacing w:line="360" w:lineRule="auto"/>
        <w:contextualSpacing/>
        <w:jc w:val="center"/>
        <w:rPr>
          <w:rFonts w:cs="宋体" w:asciiTheme="majorEastAsia" w:hAnsiTheme="majorEastAsia" w:eastAsiaTheme="majorEastAsia"/>
          <w:b/>
          <w:kern w:val="0"/>
          <w:sz w:val="36"/>
          <w:szCs w:val="36"/>
        </w:rPr>
      </w:pPr>
    </w:p>
    <w:p w14:paraId="6EC329EE">
      <w:pPr>
        <w:pStyle w:val="15"/>
        <w:spacing w:line="360" w:lineRule="auto"/>
        <w:contextualSpacing/>
        <w:jc w:val="center"/>
        <w:rPr>
          <w:rFonts w:cs="宋体" w:asciiTheme="majorEastAsia" w:hAnsiTheme="majorEastAsia" w:eastAsiaTheme="majorEastAsia"/>
          <w:b/>
          <w:kern w:val="0"/>
          <w:sz w:val="36"/>
          <w:szCs w:val="36"/>
        </w:rPr>
      </w:pPr>
    </w:p>
    <w:p w14:paraId="6FED5221">
      <w:pPr>
        <w:pStyle w:val="15"/>
        <w:spacing w:line="360" w:lineRule="auto"/>
        <w:contextualSpacing/>
        <w:jc w:val="center"/>
        <w:rPr>
          <w:rFonts w:cs="宋体" w:asciiTheme="majorEastAsia" w:hAnsiTheme="majorEastAsia" w:eastAsiaTheme="majorEastAsia"/>
          <w:b/>
          <w:kern w:val="0"/>
          <w:sz w:val="36"/>
          <w:szCs w:val="36"/>
        </w:rPr>
      </w:pPr>
    </w:p>
    <w:p w14:paraId="5166A7B9">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418A62B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67CCB6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4377BB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0AA213C1">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CA6B1DF">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00D4110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6E371C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第八章响应文件有关格式</w:t>
      </w:r>
    </w:p>
    <w:p w14:paraId="39A6D83B">
      <w:pPr>
        <w:autoSpaceDE w:val="0"/>
        <w:autoSpaceDN w:val="0"/>
        <w:adjustRightInd w:val="0"/>
        <w:spacing w:line="700" w:lineRule="exact"/>
        <w:ind w:firstLine="551"/>
        <w:jc w:val="center"/>
        <w:rPr>
          <w:rFonts w:cs="黑体" w:asciiTheme="minorEastAsia" w:hAnsiTheme="minorEastAsia"/>
          <w:b/>
          <w:bCs/>
          <w:sz w:val="44"/>
          <w:szCs w:val="44"/>
          <w:lang w:val="zh-CN"/>
        </w:rPr>
      </w:pPr>
    </w:p>
    <w:p w14:paraId="2235A15F">
      <w:pPr>
        <w:autoSpaceDE w:val="0"/>
        <w:autoSpaceDN w:val="0"/>
        <w:adjustRightInd w:val="0"/>
        <w:spacing w:line="700" w:lineRule="exact"/>
        <w:ind w:firstLine="551"/>
        <w:jc w:val="center"/>
        <w:rPr>
          <w:rFonts w:cs="黑体" w:asciiTheme="minorEastAsia" w:hAnsiTheme="minorEastAsia"/>
          <w:b/>
          <w:bCs/>
          <w:sz w:val="44"/>
          <w:szCs w:val="44"/>
          <w:lang w:val="zh-CN"/>
        </w:rPr>
      </w:pPr>
    </w:p>
    <w:p w14:paraId="7D428FC6">
      <w:pPr>
        <w:autoSpaceDE w:val="0"/>
        <w:autoSpaceDN w:val="0"/>
        <w:adjustRightInd w:val="0"/>
        <w:spacing w:line="700" w:lineRule="exact"/>
        <w:ind w:firstLine="551"/>
        <w:jc w:val="center"/>
        <w:rPr>
          <w:rFonts w:cs="黑体" w:asciiTheme="minorEastAsia" w:hAnsiTheme="minorEastAsia"/>
          <w:b/>
          <w:bCs/>
          <w:sz w:val="44"/>
          <w:szCs w:val="44"/>
          <w:lang w:val="zh-CN"/>
        </w:rPr>
      </w:pPr>
    </w:p>
    <w:p w14:paraId="4A06C063">
      <w:pPr>
        <w:autoSpaceDE w:val="0"/>
        <w:autoSpaceDN w:val="0"/>
        <w:adjustRightInd w:val="0"/>
        <w:spacing w:line="700" w:lineRule="exact"/>
        <w:ind w:firstLine="551"/>
        <w:jc w:val="center"/>
        <w:rPr>
          <w:rFonts w:cs="黑体" w:asciiTheme="minorEastAsia" w:hAnsiTheme="minorEastAsia"/>
          <w:b/>
          <w:bCs/>
          <w:sz w:val="44"/>
          <w:szCs w:val="44"/>
          <w:lang w:val="zh-CN"/>
        </w:rPr>
      </w:pPr>
    </w:p>
    <w:p w14:paraId="54F458C3">
      <w:pPr>
        <w:autoSpaceDE w:val="0"/>
        <w:autoSpaceDN w:val="0"/>
        <w:adjustRightInd w:val="0"/>
        <w:spacing w:line="700" w:lineRule="exact"/>
        <w:ind w:firstLine="551"/>
        <w:jc w:val="center"/>
        <w:rPr>
          <w:rFonts w:cs="黑体" w:asciiTheme="minorEastAsia" w:hAnsiTheme="minorEastAsia"/>
          <w:b/>
          <w:bCs/>
          <w:sz w:val="44"/>
          <w:szCs w:val="44"/>
          <w:lang w:val="zh-CN"/>
        </w:rPr>
      </w:pPr>
    </w:p>
    <w:p w14:paraId="57EB8BA8">
      <w:pPr>
        <w:autoSpaceDE w:val="0"/>
        <w:autoSpaceDN w:val="0"/>
        <w:adjustRightInd w:val="0"/>
        <w:spacing w:line="700" w:lineRule="exact"/>
        <w:ind w:firstLine="551"/>
        <w:jc w:val="center"/>
        <w:rPr>
          <w:rFonts w:cs="黑体" w:asciiTheme="minorEastAsia" w:hAnsiTheme="minorEastAsia"/>
          <w:b/>
          <w:bCs/>
          <w:sz w:val="44"/>
          <w:szCs w:val="44"/>
          <w:lang w:val="zh-CN"/>
        </w:rPr>
      </w:pPr>
    </w:p>
    <w:p w14:paraId="7556FD29">
      <w:pPr>
        <w:autoSpaceDE w:val="0"/>
        <w:autoSpaceDN w:val="0"/>
        <w:adjustRightInd w:val="0"/>
        <w:spacing w:line="700" w:lineRule="exact"/>
        <w:ind w:firstLine="551"/>
        <w:jc w:val="center"/>
        <w:rPr>
          <w:rFonts w:cs="黑体" w:asciiTheme="minorEastAsia" w:hAnsiTheme="minorEastAsia"/>
          <w:b/>
          <w:bCs/>
          <w:sz w:val="44"/>
          <w:szCs w:val="44"/>
          <w:lang w:val="zh-CN"/>
        </w:rPr>
      </w:pPr>
    </w:p>
    <w:p w14:paraId="7E7D26E2">
      <w:pPr>
        <w:autoSpaceDE w:val="0"/>
        <w:autoSpaceDN w:val="0"/>
        <w:adjustRightInd w:val="0"/>
        <w:spacing w:line="700" w:lineRule="exact"/>
        <w:ind w:firstLine="551"/>
        <w:jc w:val="center"/>
        <w:rPr>
          <w:rFonts w:cs="黑体" w:asciiTheme="minorEastAsia" w:hAnsiTheme="minorEastAsia"/>
          <w:b/>
          <w:bCs/>
          <w:sz w:val="44"/>
          <w:szCs w:val="44"/>
          <w:lang w:val="zh-CN"/>
        </w:rPr>
      </w:pPr>
    </w:p>
    <w:p w14:paraId="47708883">
      <w:pPr>
        <w:autoSpaceDE w:val="0"/>
        <w:autoSpaceDN w:val="0"/>
        <w:adjustRightInd w:val="0"/>
        <w:spacing w:line="700" w:lineRule="exact"/>
        <w:ind w:firstLine="551"/>
        <w:jc w:val="center"/>
        <w:rPr>
          <w:rFonts w:cs="黑体" w:asciiTheme="minorEastAsia" w:hAnsiTheme="minorEastAsia"/>
          <w:b/>
          <w:bCs/>
          <w:sz w:val="44"/>
          <w:szCs w:val="44"/>
          <w:lang w:val="zh-CN"/>
        </w:rPr>
      </w:pPr>
    </w:p>
    <w:p w14:paraId="2C5D2954">
      <w:pPr>
        <w:autoSpaceDE w:val="0"/>
        <w:autoSpaceDN w:val="0"/>
        <w:adjustRightInd w:val="0"/>
        <w:spacing w:line="700" w:lineRule="exact"/>
        <w:ind w:firstLine="551"/>
        <w:jc w:val="center"/>
        <w:rPr>
          <w:rFonts w:cs="黑体" w:asciiTheme="minorEastAsia" w:hAnsiTheme="minorEastAsia"/>
          <w:b/>
          <w:bCs/>
          <w:sz w:val="44"/>
          <w:szCs w:val="44"/>
          <w:lang w:val="zh-CN"/>
        </w:rPr>
      </w:pPr>
    </w:p>
    <w:p w14:paraId="13538FB6">
      <w:pPr>
        <w:autoSpaceDE w:val="0"/>
        <w:autoSpaceDN w:val="0"/>
        <w:adjustRightInd w:val="0"/>
        <w:spacing w:line="700" w:lineRule="exact"/>
        <w:ind w:firstLine="551"/>
        <w:jc w:val="center"/>
        <w:rPr>
          <w:rFonts w:cs="黑体" w:asciiTheme="minorEastAsia" w:hAnsiTheme="minorEastAsia"/>
          <w:b/>
          <w:bCs/>
          <w:sz w:val="44"/>
          <w:szCs w:val="44"/>
          <w:lang w:val="zh-CN"/>
        </w:rPr>
      </w:pPr>
    </w:p>
    <w:p w14:paraId="1DFC2633">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2E524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B1A4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38F45CA3">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345646CE">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303C8044">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CBB6D53">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1B8D7430">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50482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73100D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14:paraId="490720E9">
            <w:pPr>
              <w:kinsoku w:val="0"/>
              <w:overflowPunct w:val="0"/>
              <w:autoSpaceDE w:val="0"/>
              <w:autoSpaceDN w:val="0"/>
              <w:spacing w:line="320" w:lineRule="exact"/>
              <w:rPr>
                <w:rFonts w:hAnsi="宋体" w:eastAsia="宋体" w:cs="微软雅黑"/>
                <w:bCs/>
                <w:kern w:val="0"/>
                <w:szCs w:val="21"/>
              </w:rPr>
            </w:pPr>
            <w:r>
              <w:rPr>
                <w:rFonts w:hint="eastAsia" w:hAnsi="宋体" w:eastAsia="宋体"/>
                <w:kern w:val="0"/>
                <w:szCs w:val="21"/>
              </w:rPr>
              <w:t>供应商应答索引表</w:t>
            </w:r>
          </w:p>
        </w:tc>
        <w:tc>
          <w:tcPr>
            <w:tcW w:w="1559" w:type="dxa"/>
            <w:vAlign w:val="center"/>
          </w:tcPr>
          <w:p w14:paraId="561E8E9B">
            <w:pPr>
              <w:snapToGrid w:val="0"/>
              <w:spacing w:line="400" w:lineRule="exact"/>
              <w:jc w:val="center"/>
              <w:rPr>
                <w:rFonts w:ascii="宋体" w:hAnsi="宋体" w:cs="微软雅黑"/>
                <w:szCs w:val="21"/>
              </w:rPr>
            </w:pPr>
          </w:p>
        </w:tc>
        <w:tc>
          <w:tcPr>
            <w:tcW w:w="1560" w:type="dxa"/>
            <w:vAlign w:val="center"/>
          </w:tcPr>
          <w:p w14:paraId="716F1733">
            <w:pPr>
              <w:snapToGrid w:val="0"/>
              <w:spacing w:line="400" w:lineRule="exact"/>
              <w:rPr>
                <w:rFonts w:ascii="宋体" w:hAnsi="宋体" w:cs="微软雅黑"/>
                <w:szCs w:val="21"/>
              </w:rPr>
            </w:pPr>
          </w:p>
        </w:tc>
        <w:tc>
          <w:tcPr>
            <w:tcW w:w="2018" w:type="dxa"/>
            <w:vAlign w:val="center"/>
          </w:tcPr>
          <w:p w14:paraId="5C1475F6">
            <w:pPr>
              <w:snapToGrid w:val="0"/>
              <w:spacing w:line="400" w:lineRule="exact"/>
              <w:rPr>
                <w:rFonts w:ascii="宋体" w:hAnsi="宋体" w:cs="微软雅黑"/>
                <w:szCs w:val="21"/>
              </w:rPr>
            </w:pPr>
          </w:p>
        </w:tc>
      </w:tr>
      <w:tr w14:paraId="34AA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3116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14:paraId="08BEA692">
            <w:pPr>
              <w:kinsoku w:val="0"/>
              <w:overflowPunct w:val="0"/>
              <w:autoSpaceDE w:val="0"/>
              <w:autoSpaceDN w:val="0"/>
              <w:spacing w:line="320" w:lineRule="exact"/>
              <w:rPr>
                <w:rFonts w:hAnsi="宋体" w:eastAsia="宋体"/>
                <w:kern w:val="0"/>
                <w:szCs w:val="21"/>
              </w:rPr>
            </w:pPr>
            <w:r>
              <w:rPr>
                <w:rFonts w:hint="eastAsia" w:hAnsi="宋体" w:eastAsia="宋体"/>
                <w:kern w:val="0"/>
                <w:szCs w:val="21"/>
              </w:rPr>
              <w:t>报价一览表</w:t>
            </w:r>
          </w:p>
        </w:tc>
        <w:tc>
          <w:tcPr>
            <w:tcW w:w="1559" w:type="dxa"/>
            <w:vAlign w:val="center"/>
          </w:tcPr>
          <w:p w14:paraId="583F274E">
            <w:pPr>
              <w:snapToGrid w:val="0"/>
              <w:spacing w:line="400" w:lineRule="exact"/>
              <w:jc w:val="center"/>
              <w:rPr>
                <w:rFonts w:ascii="宋体" w:hAnsi="宋体" w:cs="微软雅黑"/>
                <w:szCs w:val="21"/>
              </w:rPr>
            </w:pPr>
          </w:p>
        </w:tc>
        <w:tc>
          <w:tcPr>
            <w:tcW w:w="1560" w:type="dxa"/>
            <w:vAlign w:val="center"/>
          </w:tcPr>
          <w:p w14:paraId="1037DB83">
            <w:pPr>
              <w:snapToGrid w:val="0"/>
              <w:spacing w:line="400" w:lineRule="exact"/>
              <w:rPr>
                <w:rFonts w:ascii="宋体" w:hAnsi="宋体" w:cs="微软雅黑"/>
                <w:szCs w:val="21"/>
              </w:rPr>
            </w:pPr>
          </w:p>
        </w:tc>
        <w:tc>
          <w:tcPr>
            <w:tcW w:w="2018" w:type="dxa"/>
            <w:vAlign w:val="center"/>
          </w:tcPr>
          <w:p w14:paraId="3E1E5EBD">
            <w:pPr>
              <w:snapToGrid w:val="0"/>
              <w:spacing w:line="400" w:lineRule="exact"/>
              <w:rPr>
                <w:rFonts w:ascii="宋体" w:hAnsi="宋体" w:cs="微软雅黑"/>
                <w:szCs w:val="21"/>
              </w:rPr>
            </w:pPr>
          </w:p>
        </w:tc>
      </w:tr>
      <w:tr w14:paraId="35F05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59D6EB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14:paraId="090023E0">
            <w:pPr>
              <w:kinsoku w:val="0"/>
              <w:overflowPunct w:val="0"/>
              <w:autoSpaceDE w:val="0"/>
              <w:autoSpaceDN w:val="0"/>
              <w:spacing w:line="320" w:lineRule="exact"/>
              <w:rPr>
                <w:rFonts w:hAnsi="宋体" w:eastAsia="宋体" w:cs="微软雅黑"/>
                <w:bCs/>
                <w:kern w:val="0"/>
                <w:szCs w:val="21"/>
              </w:rPr>
            </w:pPr>
            <w:r>
              <w:rPr>
                <w:rFonts w:hint="eastAsia" w:hAnsi="宋体" w:eastAsia="宋体"/>
                <w:kern w:val="0"/>
                <w:szCs w:val="21"/>
              </w:rPr>
              <w:t>报价函</w:t>
            </w:r>
          </w:p>
        </w:tc>
        <w:tc>
          <w:tcPr>
            <w:tcW w:w="1559" w:type="dxa"/>
            <w:vAlign w:val="center"/>
          </w:tcPr>
          <w:p w14:paraId="213C196D">
            <w:pPr>
              <w:snapToGrid w:val="0"/>
              <w:spacing w:line="400" w:lineRule="exact"/>
              <w:jc w:val="center"/>
              <w:rPr>
                <w:rFonts w:ascii="宋体" w:hAnsi="宋体" w:cs="微软雅黑"/>
                <w:szCs w:val="21"/>
              </w:rPr>
            </w:pPr>
          </w:p>
        </w:tc>
        <w:tc>
          <w:tcPr>
            <w:tcW w:w="1560" w:type="dxa"/>
            <w:vAlign w:val="center"/>
          </w:tcPr>
          <w:p w14:paraId="0DA3CC05">
            <w:pPr>
              <w:snapToGrid w:val="0"/>
              <w:spacing w:line="400" w:lineRule="exact"/>
              <w:rPr>
                <w:rFonts w:ascii="宋体" w:hAnsi="宋体" w:cs="微软雅黑"/>
                <w:szCs w:val="21"/>
              </w:rPr>
            </w:pPr>
          </w:p>
        </w:tc>
        <w:tc>
          <w:tcPr>
            <w:tcW w:w="2018" w:type="dxa"/>
            <w:vAlign w:val="center"/>
          </w:tcPr>
          <w:p w14:paraId="20AC82DB">
            <w:pPr>
              <w:snapToGrid w:val="0"/>
              <w:spacing w:line="400" w:lineRule="exact"/>
              <w:rPr>
                <w:rFonts w:ascii="宋体" w:hAnsi="宋体" w:cs="微软雅黑"/>
                <w:szCs w:val="21"/>
              </w:rPr>
            </w:pPr>
          </w:p>
        </w:tc>
      </w:tr>
      <w:tr w14:paraId="47C3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8BE96A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14:paraId="61E6462B">
            <w:pPr>
              <w:kinsoku w:val="0"/>
              <w:overflowPunct w:val="0"/>
              <w:autoSpaceDE w:val="0"/>
              <w:autoSpaceDN w:val="0"/>
              <w:spacing w:line="320" w:lineRule="exact"/>
              <w:rPr>
                <w:rFonts w:hAnsi="宋体" w:eastAsia="宋体"/>
                <w:kern w:val="0"/>
                <w:szCs w:val="21"/>
              </w:rPr>
            </w:pPr>
            <w:r>
              <w:rPr>
                <w:rFonts w:hint="eastAsia" w:asciiTheme="majorEastAsia" w:hAnsiTheme="majorEastAsia" w:eastAsiaTheme="majorEastAsia" w:cstheme="majorEastAsia"/>
                <w:bCs/>
                <w:szCs w:val="21"/>
                <w:lang w:val="zh-CN"/>
              </w:rPr>
              <w:t>法定代表人（单位负责人）</w:t>
            </w:r>
            <w:r>
              <w:rPr>
                <w:rFonts w:asciiTheme="majorEastAsia" w:hAnsiTheme="majorEastAsia" w:eastAsiaTheme="majorEastAsia" w:cstheme="majorEastAsia"/>
                <w:bCs/>
                <w:szCs w:val="21"/>
                <w:lang w:val="zh-CN"/>
              </w:rPr>
              <w:t>资</w:t>
            </w:r>
            <w:r>
              <w:rPr>
                <w:rFonts w:hint="eastAsia" w:asciiTheme="majorEastAsia" w:hAnsiTheme="majorEastAsia" w:eastAsiaTheme="majorEastAsia" w:cstheme="majorEastAsia"/>
                <w:bCs/>
                <w:szCs w:val="21"/>
                <w:lang w:val="zh-CN"/>
              </w:rPr>
              <w:t>格</w:t>
            </w:r>
            <w:r>
              <w:rPr>
                <w:rFonts w:asciiTheme="majorEastAsia" w:hAnsiTheme="majorEastAsia" w:eastAsiaTheme="majorEastAsia" w:cstheme="majorEastAsia"/>
                <w:bCs/>
                <w:szCs w:val="21"/>
                <w:lang w:val="zh-CN"/>
              </w:rPr>
              <w:t>证</w:t>
            </w:r>
            <w:r>
              <w:rPr>
                <w:rFonts w:hint="eastAsia" w:asciiTheme="majorEastAsia" w:hAnsiTheme="majorEastAsia" w:eastAsiaTheme="majorEastAsia" w:cstheme="majorEastAsia"/>
                <w:bCs/>
                <w:szCs w:val="21"/>
                <w:lang w:val="zh-CN"/>
              </w:rPr>
              <w:t>明</w:t>
            </w:r>
            <w:r>
              <w:rPr>
                <w:rFonts w:asciiTheme="majorEastAsia" w:hAnsiTheme="majorEastAsia" w:eastAsiaTheme="majorEastAsia" w:cstheme="majorEastAsia"/>
                <w:bCs/>
                <w:szCs w:val="21"/>
                <w:lang w:val="zh-CN"/>
              </w:rPr>
              <w:t>书</w:t>
            </w:r>
          </w:p>
        </w:tc>
        <w:tc>
          <w:tcPr>
            <w:tcW w:w="1559" w:type="dxa"/>
            <w:vAlign w:val="center"/>
          </w:tcPr>
          <w:p w14:paraId="689A8B8E">
            <w:pPr>
              <w:snapToGrid w:val="0"/>
              <w:spacing w:line="400" w:lineRule="exact"/>
              <w:jc w:val="center"/>
              <w:rPr>
                <w:rFonts w:ascii="宋体" w:hAnsi="宋体" w:cs="微软雅黑"/>
                <w:szCs w:val="21"/>
              </w:rPr>
            </w:pPr>
          </w:p>
        </w:tc>
        <w:tc>
          <w:tcPr>
            <w:tcW w:w="1560" w:type="dxa"/>
            <w:vAlign w:val="center"/>
          </w:tcPr>
          <w:p w14:paraId="1971A59F">
            <w:pPr>
              <w:snapToGrid w:val="0"/>
              <w:spacing w:line="400" w:lineRule="exact"/>
              <w:rPr>
                <w:rFonts w:ascii="宋体" w:hAnsi="宋体" w:cs="微软雅黑"/>
                <w:szCs w:val="21"/>
              </w:rPr>
            </w:pPr>
          </w:p>
        </w:tc>
        <w:tc>
          <w:tcPr>
            <w:tcW w:w="2018" w:type="dxa"/>
            <w:vAlign w:val="center"/>
          </w:tcPr>
          <w:p w14:paraId="714ADEA5">
            <w:pPr>
              <w:snapToGrid w:val="0"/>
              <w:spacing w:line="400" w:lineRule="exact"/>
              <w:rPr>
                <w:rFonts w:ascii="宋体" w:hAnsi="宋体" w:cs="微软雅黑"/>
                <w:szCs w:val="21"/>
              </w:rPr>
            </w:pPr>
          </w:p>
        </w:tc>
      </w:tr>
      <w:tr w14:paraId="305B2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B1EFA3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14:paraId="717AC080">
            <w:pPr>
              <w:kinsoku w:val="0"/>
              <w:overflowPunct w:val="0"/>
              <w:autoSpaceDE w:val="0"/>
              <w:autoSpaceDN w:val="0"/>
              <w:spacing w:line="320" w:lineRule="exact"/>
              <w:rPr>
                <w:rFonts w:hAnsi="宋体" w:eastAsia="宋体"/>
                <w:kern w:val="0"/>
                <w:szCs w:val="21"/>
              </w:rPr>
            </w:pPr>
            <w:r>
              <w:rPr>
                <w:rFonts w:hint="eastAsia" w:hAnsi="宋体" w:eastAsia="宋体"/>
                <w:kern w:val="0"/>
                <w:szCs w:val="21"/>
              </w:rPr>
              <w:t>法定代表人（单位负责人）授权书</w:t>
            </w:r>
          </w:p>
        </w:tc>
        <w:tc>
          <w:tcPr>
            <w:tcW w:w="1559" w:type="dxa"/>
            <w:vAlign w:val="center"/>
          </w:tcPr>
          <w:p w14:paraId="27E66E0A">
            <w:pPr>
              <w:snapToGrid w:val="0"/>
              <w:spacing w:line="400" w:lineRule="exact"/>
              <w:jc w:val="center"/>
              <w:rPr>
                <w:rFonts w:ascii="宋体" w:hAnsi="宋体" w:cs="微软雅黑"/>
                <w:szCs w:val="21"/>
              </w:rPr>
            </w:pPr>
          </w:p>
        </w:tc>
        <w:tc>
          <w:tcPr>
            <w:tcW w:w="1560" w:type="dxa"/>
            <w:vAlign w:val="center"/>
          </w:tcPr>
          <w:p w14:paraId="2E186502">
            <w:pPr>
              <w:snapToGrid w:val="0"/>
              <w:spacing w:line="400" w:lineRule="exact"/>
              <w:rPr>
                <w:rFonts w:ascii="宋体" w:hAnsi="宋体" w:cs="微软雅黑"/>
                <w:szCs w:val="21"/>
              </w:rPr>
            </w:pPr>
          </w:p>
        </w:tc>
        <w:tc>
          <w:tcPr>
            <w:tcW w:w="2018" w:type="dxa"/>
            <w:vAlign w:val="center"/>
          </w:tcPr>
          <w:p w14:paraId="0439493D">
            <w:pPr>
              <w:snapToGrid w:val="0"/>
              <w:spacing w:line="400" w:lineRule="exact"/>
              <w:rPr>
                <w:rFonts w:ascii="宋体" w:hAnsi="宋体" w:cs="微软雅黑"/>
                <w:szCs w:val="21"/>
              </w:rPr>
            </w:pPr>
          </w:p>
        </w:tc>
      </w:tr>
      <w:tr w14:paraId="7D7F5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D8269B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14:paraId="3A5BE992">
            <w:pPr>
              <w:kinsoku w:val="0"/>
              <w:overflowPunct w:val="0"/>
              <w:autoSpaceDE w:val="0"/>
              <w:autoSpaceDN w:val="0"/>
              <w:spacing w:line="320" w:lineRule="exact"/>
              <w:rPr>
                <w:rFonts w:hAnsi="宋体" w:eastAsia="宋体" w:cs="微软雅黑"/>
                <w:bCs/>
                <w:kern w:val="0"/>
                <w:szCs w:val="21"/>
              </w:rPr>
            </w:pPr>
            <w:r>
              <w:rPr>
                <w:rFonts w:hint="eastAsia" w:asciiTheme="majorEastAsia" w:hAnsiTheme="majorEastAsia" w:eastAsiaTheme="majorEastAsia" w:cstheme="majorEastAsia"/>
                <w:bCs/>
                <w:szCs w:val="21"/>
                <w:lang w:val="zh-CN"/>
              </w:rPr>
              <w:t>谈判承诺函</w:t>
            </w:r>
          </w:p>
        </w:tc>
        <w:tc>
          <w:tcPr>
            <w:tcW w:w="1559" w:type="dxa"/>
            <w:vAlign w:val="center"/>
          </w:tcPr>
          <w:p w14:paraId="6FF032A9">
            <w:pPr>
              <w:snapToGrid w:val="0"/>
              <w:spacing w:line="400" w:lineRule="exact"/>
              <w:jc w:val="center"/>
              <w:rPr>
                <w:rFonts w:ascii="宋体" w:hAnsi="宋体" w:cs="微软雅黑"/>
                <w:szCs w:val="21"/>
              </w:rPr>
            </w:pPr>
          </w:p>
        </w:tc>
        <w:tc>
          <w:tcPr>
            <w:tcW w:w="1560" w:type="dxa"/>
            <w:vAlign w:val="center"/>
          </w:tcPr>
          <w:p w14:paraId="08E161CD">
            <w:pPr>
              <w:snapToGrid w:val="0"/>
              <w:spacing w:line="400" w:lineRule="exact"/>
              <w:rPr>
                <w:rFonts w:ascii="宋体" w:hAnsi="宋体" w:cs="微软雅黑"/>
                <w:szCs w:val="21"/>
              </w:rPr>
            </w:pPr>
          </w:p>
        </w:tc>
        <w:tc>
          <w:tcPr>
            <w:tcW w:w="2018" w:type="dxa"/>
            <w:vAlign w:val="center"/>
          </w:tcPr>
          <w:p w14:paraId="7CEC0E0C">
            <w:pPr>
              <w:snapToGrid w:val="0"/>
              <w:spacing w:line="400" w:lineRule="exact"/>
              <w:rPr>
                <w:rFonts w:ascii="宋体" w:hAnsi="宋体" w:cs="微软雅黑"/>
                <w:szCs w:val="21"/>
              </w:rPr>
            </w:pPr>
          </w:p>
        </w:tc>
      </w:tr>
      <w:tr w14:paraId="71B84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99C6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14:paraId="49E04309">
            <w:pPr>
              <w:kinsoku w:val="0"/>
              <w:overflowPunct w:val="0"/>
              <w:autoSpaceDE w:val="0"/>
              <w:autoSpaceDN w:val="0"/>
              <w:spacing w:line="320" w:lineRule="exact"/>
              <w:rPr>
                <w:rFonts w:hAnsi="宋体" w:eastAsia="宋体" w:cs="微软雅黑"/>
                <w:bCs/>
                <w:kern w:val="0"/>
                <w:szCs w:val="21"/>
              </w:rPr>
            </w:pPr>
            <w:r>
              <w:rPr>
                <w:rFonts w:hint="eastAsia" w:hAnsi="宋体" w:eastAsia="宋体"/>
                <w:kern w:val="0"/>
                <w:szCs w:val="21"/>
              </w:rPr>
              <w:t>许昌市政府采购供应商信用承诺函</w:t>
            </w:r>
          </w:p>
        </w:tc>
        <w:tc>
          <w:tcPr>
            <w:tcW w:w="1559" w:type="dxa"/>
            <w:vAlign w:val="center"/>
          </w:tcPr>
          <w:p w14:paraId="4F37031A">
            <w:pPr>
              <w:jc w:val="center"/>
              <w:rPr>
                <w:szCs w:val="21"/>
              </w:rPr>
            </w:pPr>
          </w:p>
        </w:tc>
        <w:tc>
          <w:tcPr>
            <w:tcW w:w="1560" w:type="dxa"/>
            <w:vAlign w:val="center"/>
          </w:tcPr>
          <w:p w14:paraId="67EC5005">
            <w:pPr>
              <w:snapToGrid w:val="0"/>
              <w:spacing w:line="400" w:lineRule="exact"/>
              <w:rPr>
                <w:rFonts w:ascii="宋体" w:hAnsi="宋体" w:cs="微软雅黑"/>
                <w:szCs w:val="21"/>
              </w:rPr>
            </w:pPr>
          </w:p>
        </w:tc>
        <w:tc>
          <w:tcPr>
            <w:tcW w:w="2018" w:type="dxa"/>
            <w:vAlign w:val="center"/>
          </w:tcPr>
          <w:p w14:paraId="7650A4DF">
            <w:pPr>
              <w:snapToGrid w:val="0"/>
              <w:spacing w:line="400" w:lineRule="exact"/>
              <w:rPr>
                <w:rFonts w:ascii="宋体" w:hAnsi="宋体" w:cs="微软雅黑"/>
                <w:szCs w:val="21"/>
              </w:rPr>
            </w:pPr>
          </w:p>
        </w:tc>
      </w:tr>
      <w:tr w14:paraId="68A6B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1F1FCC7">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8</w:t>
            </w:r>
          </w:p>
        </w:tc>
        <w:tc>
          <w:tcPr>
            <w:tcW w:w="3751" w:type="dxa"/>
            <w:vAlign w:val="center"/>
          </w:tcPr>
          <w:p w14:paraId="5B037139">
            <w:pPr>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联合体协议</w:t>
            </w:r>
          </w:p>
        </w:tc>
        <w:tc>
          <w:tcPr>
            <w:tcW w:w="1559" w:type="dxa"/>
            <w:vAlign w:val="center"/>
          </w:tcPr>
          <w:p w14:paraId="0D29AD36">
            <w:pPr>
              <w:jc w:val="center"/>
              <w:rPr>
                <w:szCs w:val="21"/>
              </w:rPr>
            </w:pPr>
          </w:p>
        </w:tc>
        <w:tc>
          <w:tcPr>
            <w:tcW w:w="1560" w:type="dxa"/>
            <w:vAlign w:val="center"/>
          </w:tcPr>
          <w:p w14:paraId="1631C8C6">
            <w:pPr>
              <w:snapToGrid w:val="0"/>
              <w:spacing w:line="400" w:lineRule="exact"/>
              <w:rPr>
                <w:rFonts w:ascii="宋体" w:hAnsi="宋体" w:cs="微软雅黑"/>
                <w:szCs w:val="21"/>
              </w:rPr>
            </w:pPr>
          </w:p>
        </w:tc>
        <w:tc>
          <w:tcPr>
            <w:tcW w:w="2018" w:type="dxa"/>
            <w:vAlign w:val="center"/>
          </w:tcPr>
          <w:p w14:paraId="5172CB99">
            <w:pPr>
              <w:snapToGrid w:val="0"/>
              <w:spacing w:line="400" w:lineRule="exact"/>
              <w:rPr>
                <w:rFonts w:ascii="宋体" w:hAnsi="宋体" w:cs="微软雅黑"/>
                <w:szCs w:val="21"/>
              </w:rPr>
            </w:pPr>
          </w:p>
        </w:tc>
      </w:tr>
      <w:tr w14:paraId="232F0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E5323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tcBorders>
              <w:top w:val="double" w:color="auto" w:sz="4" w:space="0"/>
            </w:tcBorders>
            <w:vAlign w:val="center"/>
          </w:tcPr>
          <w:p w14:paraId="08E2F0F0">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分项报价表</w:t>
            </w:r>
          </w:p>
        </w:tc>
        <w:tc>
          <w:tcPr>
            <w:tcW w:w="1559" w:type="dxa"/>
            <w:tcBorders>
              <w:top w:val="double" w:color="auto" w:sz="4" w:space="0"/>
            </w:tcBorders>
            <w:vAlign w:val="center"/>
          </w:tcPr>
          <w:p w14:paraId="78D7A0AD">
            <w:pPr>
              <w:jc w:val="center"/>
              <w:rPr>
                <w:szCs w:val="21"/>
              </w:rPr>
            </w:pPr>
          </w:p>
        </w:tc>
        <w:tc>
          <w:tcPr>
            <w:tcW w:w="1560" w:type="dxa"/>
            <w:tcBorders>
              <w:top w:val="double" w:color="auto" w:sz="4" w:space="0"/>
            </w:tcBorders>
            <w:vAlign w:val="center"/>
          </w:tcPr>
          <w:p w14:paraId="5018EF05">
            <w:pPr>
              <w:snapToGrid w:val="0"/>
              <w:spacing w:line="400" w:lineRule="exact"/>
              <w:rPr>
                <w:rFonts w:ascii="宋体" w:hAnsi="宋体" w:cs="微软雅黑"/>
                <w:szCs w:val="21"/>
              </w:rPr>
            </w:pPr>
          </w:p>
        </w:tc>
        <w:tc>
          <w:tcPr>
            <w:tcW w:w="2018" w:type="dxa"/>
            <w:tcBorders>
              <w:top w:val="double" w:color="auto" w:sz="4" w:space="0"/>
            </w:tcBorders>
            <w:vAlign w:val="center"/>
          </w:tcPr>
          <w:p w14:paraId="3B7EB6A8">
            <w:pPr>
              <w:snapToGrid w:val="0"/>
              <w:spacing w:line="400" w:lineRule="exact"/>
              <w:rPr>
                <w:rFonts w:ascii="宋体" w:hAnsi="宋体" w:cs="微软雅黑"/>
                <w:szCs w:val="21"/>
              </w:rPr>
            </w:pPr>
          </w:p>
        </w:tc>
      </w:tr>
      <w:tr w14:paraId="1232D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688FE5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14:paraId="3B4DAFB3">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技术规格偏离表</w:t>
            </w:r>
          </w:p>
        </w:tc>
        <w:tc>
          <w:tcPr>
            <w:tcW w:w="1559" w:type="dxa"/>
            <w:vAlign w:val="center"/>
          </w:tcPr>
          <w:p w14:paraId="72730DA5">
            <w:pPr>
              <w:jc w:val="center"/>
              <w:rPr>
                <w:szCs w:val="21"/>
              </w:rPr>
            </w:pPr>
          </w:p>
        </w:tc>
        <w:tc>
          <w:tcPr>
            <w:tcW w:w="1560" w:type="dxa"/>
            <w:vAlign w:val="center"/>
          </w:tcPr>
          <w:p w14:paraId="7B9B7664">
            <w:pPr>
              <w:snapToGrid w:val="0"/>
              <w:spacing w:line="400" w:lineRule="exact"/>
              <w:rPr>
                <w:rFonts w:ascii="宋体" w:hAnsi="宋体" w:cs="微软雅黑"/>
                <w:szCs w:val="21"/>
              </w:rPr>
            </w:pPr>
          </w:p>
        </w:tc>
        <w:tc>
          <w:tcPr>
            <w:tcW w:w="2018" w:type="dxa"/>
            <w:vAlign w:val="center"/>
          </w:tcPr>
          <w:p w14:paraId="11C6BC89">
            <w:pPr>
              <w:snapToGrid w:val="0"/>
              <w:spacing w:line="400" w:lineRule="exact"/>
              <w:rPr>
                <w:rFonts w:ascii="宋体" w:hAnsi="宋体" w:cs="微软雅黑"/>
                <w:szCs w:val="21"/>
              </w:rPr>
            </w:pPr>
          </w:p>
        </w:tc>
      </w:tr>
      <w:tr w14:paraId="1A72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34623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14:paraId="01E4EAE6">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技术方案（实施方案）</w:t>
            </w:r>
          </w:p>
        </w:tc>
        <w:tc>
          <w:tcPr>
            <w:tcW w:w="1559" w:type="dxa"/>
            <w:vAlign w:val="center"/>
          </w:tcPr>
          <w:p w14:paraId="4D897F53">
            <w:pPr>
              <w:jc w:val="center"/>
              <w:rPr>
                <w:szCs w:val="21"/>
              </w:rPr>
            </w:pPr>
          </w:p>
        </w:tc>
        <w:tc>
          <w:tcPr>
            <w:tcW w:w="1560" w:type="dxa"/>
            <w:tcBorders>
              <w:top w:val="single" w:color="auto" w:sz="4" w:space="0"/>
            </w:tcBorders>
            <w:vAlign w:val="center"/>
          </w:tcPr>
          <w:p w14:paraId="6ADA3CFC">
            <w:pPr>
              <w:snapToGrid w:val="0"/>
              <w:spacing w:line="400" w:lineRule="exact"/>
              <w:rPr>
                <w:rFonts w:ascii="宋体" w:hAnsi="宋体" w:cs="微软雅黑"/>
                <w:szCs w:val="21"/>
              </w:rPr>
            </w:pPr>
          </w:p>
        </w:tc>
        <w:tc>
          <w:tcPr>
            <w:tcW w:w="2018" w:type="dxa"/>
            <w:tcBorders>
              <w:top w:val="single" w:color="auto" w:sz="4" w:space="0"/>
            </w:tcBorders>
            <w:vAlign w:val="center"/>
          </w:tcPr>
          <w:p w14:paraId="3155B2CD">
            <w:pPr>
              <w:snapToGrid w:val="0"/>
              <w:spacing w:line="400" w:lineRule="exact"/>
              <w:rPr>
                <w:rFonts w:ascii="宋体" w:hAnsi="宋体" w:cs="微软雅黑"/>
                <w:szCs w:val="21"/>
              </w:rPr>
            </w:pPr>
          </w:p>
        </w:tc>
      </w:tr>
      <w:tr w14:paraId="62A3E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7F1C3F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18A16007">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业绩情况表</w:t>
            </w:r>
          </w:p>
        </w:tc>
        <w:tc>
          <w:tcPr>
            <w:tcW w:w="1559" w:type="dxa"/>
            <w:vAlign w:val="center"/>
          </w:tcPr>
          <w:p w14:paraId="524F4D67">
            <w:pPr>
              <w:jc w:val="center"/>
              <w:rPr>
                <w:szCs w:val="21"/>
              </w:rPr>
            </w:pPr>
          </w:p>
        </w:tc>
        <w:tc>
          <w:tcPr>
            <w:tcW w:w="1560" w:type="dxa"/>
            <w:vAlign w:val="center"/>
          </w:tcPr>
          <w:p w14:paraId="46711E64">
            <w:pPr>
              <w:snapToGrid w:val="0"/>
              <w:spacing w:line="400" w:lineRule="exact"/>
              <w:rPr>
                <w:rFonts w:ascii="宋体" w:hAnsi="宋体" w:cs="微软雅黑"/>
                <w:szCs w:val="21"/>
              </w:rPr>
            </w:pPr>
          </w:p>
        </w:tc>
        <w:tc>
          <w:tcPr>
            <w:tcW w:w="2018" w:type="dxa"/>
            <w:vAlign w:val="center"/>
          </w:tcPr>
          <w:p w14:paraId="2AD09B4F">
            <w:pPr>
              <w:snapToGrid w:val="0"/>
              <w:spacing w:line="400" w:lineRule="exact"/>
              <w:rPr>
                <w:rFonts w:ascii="宋体" w:hAnsi="宋体" w:cs="微软雅黑"/>
                <w:szCs w:val="21"/>
              </w:rPr>
            </w:pPr>
          </w:p>
        </w:tc>
      </w:tr>
      <w:tr w14:paraId="4FD65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E61B2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6C04E623">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售后服务方案</w:t>
            </w:r>
          </w:p>
        </w:tc>
        <w:tc>
          <w:tcPr>
            <w:tcW w:w="1559" w:type="dxa"/>
            <w:vAlign w:val="center"/>
          </w:tcPr>
          <w:p w14:paraId="48795A79">
            <w:pPr>
              <w:jc w:val="center"/>
              <w:rPr>
                <w:szCs w:val="21"/>
              </w:rPr>
            </w:pPr>
          </w:p>
        </w:tc>
        <w:tc>
          <w:tcPr>
            <w:tcW w:w="1560" w:type="dxa"/>
            <w:vAlign w:val="center"/>
          </w:tcPr>
          <w:p w14:paraId="741DE848">
            <w:pPr>
              <w:snapToGrid w:val="0"/>
              <w:spacing w:line="400" w:lineRule="exact"/>
              <w:rPr>
                <w:rFonts w:ascii="宋体" w:hAnsi="宋体" w:cs="微软雅黑"/>
                <w:szCs w:val="21"/>
              </w:rPr>
            </w:pPr>
          </w:p>
        </w:tc>
        <w:tc>
          <w:tcPr>
            <w:tcW w:w="2018" w:type="dxa"/>
            <w:vAlign w:val="center"/>
          </w:tcPr>
          <w:p w14:paraId="5C07CBDC">
            <w:pPr>
              <w:snapToGrid w:val="0"/>
              <w:spacing w:line="400" w:lineRule="exact"/>
              <w:rPr>
                <w:rFonts w:ascii="宋体" w:hAnsi="宋体" w:cs="微软雅黑"/>
                <w:szCs w:val="21"/>
              </w:rPr>
            </w:pPr>
          </w:p>
        </w:tc>
      </w:tr>
      <w:tr w14:paraId="4C5D7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D15AA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6CE093E3">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中小企业声明函</w:t>
            </w:r>
          </w:p>
        </w:tc>
        <w:tc>
          <w:tcPr>
            <w:tcW w:w="1559" w:type="dxa"/>
            <w:vAlign w:val="center"/>
          </w:tcPr>
          <w:p w14:paraId="34D8C33E">
            <w:pPr>
              <w:jc w:val="center"/>
              <w:rPr>
                <w:szCs w:val="21"/>
              </w:rPr>
            </w:pPr>
          </w:p>
        </w:tc>
        <w:tc>
          <w:tcPr>
            <w:tcW w:w="1560" w:type="dxa"/>
            <w:vAlign w:val="center"/>
          </w:tcPr>
          <w:p w14:paraId="0CC4F2EC">
            <w:pPr>
              <w:snapToGrid w:val="0"/>
              <w:spacing w:line="400" w:lineRule="exact"/>
              <w:rPr>
                <w:rFonts w:ascii="宋体" w:hAnsi="宋体" w:cs="微软雅黑"/>
                <w:szCs w:val="21"/>
              </w:rPr>
            </w:pPr>
          </w:p>
        </w:tc>
        <w:tc>
          <w:tcPr>
            <w:tcW w:w="2018" w:type="dxa"/>
            <w:vAlign w:val="center"/>
          </w:tcPr>
          <w:p w14:paraId="3BF13854">
            <w:pPr>
              <w:snapToGrid w:val="0"/>
              <w:spacing w:line="400" w:lineRule="exact"/>
              <w:rPr>
                <w:rFonts w:ascii="宋体" w:hAnsi="宋体" w:cs="微软雅黑"/>
                <w:szCs w:val="21"/>
              </w:rPr>
            </w:pPr>
          </w:p>
        </w:tc>
      </w:tr>
      <w:tr w14:paraId="4D33D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99F4C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0CBA2CEE">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政府强制采购节能产品品目清单情况</w:t>
            </w:r>
          </w:p>
        </w:tc>
        <w:tc>
          <w:tcPr>
            <w:tcW w:w="1559" w:type="dxa"/>
            <w:vAlign w:val="center"/>
          </w:tcPr>
          <w:p w14:paraId="5C8D98B4">
            <w:pPr>
              <w:jc w:val="center"/>
              <w:rPr>
                <w:szCs w:val="21"/>
              </w:rPr>
            </w:pPr>
          </w:p>
        </w:tc>
        <w:tc>
          <w:tcPr>
            <w:tcW w:w="1560" w:type="dxa"/>
            <w:vAlign w:val="center"/>
          </w:tcPr>
          <w:p w14:paraId="70D14545">
            <w:pPr>
              <w:snapToGrid w:val="0"/>
              <w:spacing w:line="400" w:lineRule="exact"/>
              <w:rPr>
                <w:rFonts w:ascii="宋体" w:hAnsi="宋体" w:cs="微软雅黑"/>
                <w:szCs w:val="21"/>
              </w:rPr>
            </w:pPr>
          </w:p>
        </w:tc>
        <w:tc>
          <w:tcPr>
            <w:tcW w:w="2018" w:type="dxa"/>
            <w:vAlign w:val="center"/>
          </w:tcPr>
          <w:p w14:paraId="693B182A">
            <w:pPr>
              <w:snapToGrid w:val="0"/>
              <w:spacing w:line="400" w:lineRule="exact"/>
              <w:rPr>
                <w:rFonts w:ascii="宋体" w:hAnsi="宋体" w:cs="微软雅黑"/>
                <w:szCs w:val="21"/>
              </w:rPr>
            </w:pPr>
          </w:p>
        </w:tc>
      </w:tr>
      <w:tr w14:paraId="7CEB3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3463A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2E17D8CA">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优先采购节能产品政府采购品目清单情况</w:t>
            </w:r>
          </w:p>
        </w:tc>
        <w:tc>
          <w:tcPr>
            <w:tcW w:w="1559" w:type="dxa"/>
            <w:vAlign w:val="center"/>
          </w:tcPr>
          <w:p w14:paraId="58B40C03">
            <w:pPr>
              <w:jc w:val="center"/>
              <w:rPr>
                <w:szCs w:val="21"/>
              </w:rPr>
            </w:pPr>
          </w:p>
        </w:tc>
        <w:tc>
          <w:tcPr>
            <w:tcW w:w="1560" w:type="dxa"/>
            <w:vAlign w:val="center"/>
          </w:tcPr>
          <w:p w14:paraId="26E8C1AB">
            <w:pPr>
              <w:snapToGrid w:val="0"/>
              <w:spacing w:line="400" w:lineRule="exact"/>
              <w:rPr>
                <w:rFonts w:ascii="宋体" w:hAnsi="宋体" w:cs="微软雅黑"/>
                <w:szCs w:val="21"/>
              </w:rPr>
            </w:pPr>
          </w:p>
        </w:tc>
        <w:tc>
          <w:tcPr>
            <w:tcW w:w="2018" w:type="dxa"/>
            <w:vAlign w:val="center"/>
          </w:tcPr>
          <w:p w14:paraId="62FECAF1">
            <w:pPr>
              <w:snapToGrid w:val="0"/>
              <w:spacing w:line="400" w:lineRule="exact"/>
              <w:rPr>
                <w:rFonts w:ascii="宋体" w:hAnsi="宋体" w:cs="微软雅黑"/>
                <w:szCs w:val="21"/>
              </w:rPr>
            </w:pPr>
          </w:p>
        </w:tc>
      </w:tr>
      <w:tr w14:paraId="7B5B9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60498E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2E412273">
            <w:pPr>
              <w:kinsoku w:val="0"/>
              <w:overflowPunct w:val="0"/>
              <w:autoSpaceDE w:val="0"/>
              <w:autoSpaceDN w:val="0"/>
              <w:spacing w:line="320" w:lineRule="exact"/>
              <w:rPr>
                <w:rFonts w:hAnsi="宋体" w:eastAsia="宋体" w:cs="微软雅黑"/>
                <w:bCs/>
                <w:kern w:val="0"/>
                <w:szCs w:val="21"/>
              </w:rPr>
            </w:pPr>
            <w:r>
              <w:rPr>
                <w:rFonts w:hint="eastAsia" w:ascii="宋体" w:hAnsi="宋体" w:eastAsia="宋体"/>
                <w:szCs w:val="21"/>
                <w:lang w:val="en-GB"/>
              </w:rPr>
              <w:t>优先采购环境标志产品政府采购品目清单情况</w:t>
            </w:r>
          </w:p>
        </w:tc>
        <w:tc>
          <w:tcPr>
            <w:tcW w:w="1559" w:type="dxa"/>
            <w:vAlign w:val="center"/>
          </w:tcPr>
          <w:p w14:paraId="74F45878">
            <w:pPr>
              <w:jc w:val="center"/>
              <w:rPr>
                <w:szCs w:val="21"/>
              </w:rPr>
            </w:pPr>
          </w:p>
        </w:tc>
        <w:tc>
          <w:tcPr>
            <w:tcW w:w="1560" w:type="dxa"/>
            <w:vAlign w:val="center"/>
          </w:tcPr>
          <w:p w14:paraId="126F812D">
            <w:pPr>
              <w:snapToGrid w:val="0"/>
              <w:spacing w:line="400" w:lineRule="exact"/>
              <w:rPr>
                <w:rFonts w:ascii="宋体" w:hAnsi="宋体" w:cs="微软雅黑"/>
                <w:szCs w:val="21"/>
              </w:rPr>
            </w:pPr>
          </w:p>
        </w:tc>
        <w:tc>
          <w:tcPr>
            <w:tcW w:w="2018" w:type="dxa"/>
            <w:vAlign w:val="center"/>
          </w:tcPr>
          <w:p w14:paraId="5E3578D6">
            <w:pPr>
              <w:snapToGrid w:val="0"/>
              <w:spacing w:line="400" w:lineRule="exact"/>
              <w:rPr>
                <w:rFonts w:ascii="宋体" w:hAnsi="宋体" w:cs="微软雅黑"/>
                <w:szCs w:val="21"/>
              </w:rPr>
            </w:pPr>
          </w:p>
        </w:tc>
      </w:tr>
      <w:tr w14:paraId="2AA14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426A74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550A437F">
            <w:pPr>
              <w:kinsoku w:val="0"/>
              <w:overflowPunct w:val="0"/>
              <w:autoSpaceDE w:val="0"/>
              <w:autoSpaceDN w:val="0"/>
              <w:spacing w:line="320" w:lineRule="exact"/>
              <w:rPr>
                <w:rFonts w:hAnsi="宋体" w:eastAsia="宋体" w:cs="微软雅黑"/>
                <w:bCs/>
                <w:kern w:val="0"/>
                <w:szCs w:val="21"/>
              </w:rPr>
            </w:pPr>
            <w:r>
              <w:rPr>
                <w:rFonts w:hint="eastAsia" w:cs="仿宋_GB2312" w:asciiTheme="minorEastAsia" w:hAnsiTheme="minorEastAsia"/>
                <w:szCs w:val="21"/>
                <w:lang w:val="zh-CN"/>
              </w:rPr>
              <w:t>残疾人福利性单位声明函</w:t>
            </w:r>
          </w:p>
        </w:tc>
        <w:tc>
          <w:tcPr>
            <w:tcW w:w="1559" w:type="dxa"/>
            <w:vAlign w:val="center"/>
          </w:tcPr>
          <w:p w14:paraId="7E1F43C2">
            <w:pPr>
              <w:jc w:val="center"/>
              <w:rPr>
                <w:szCs w:val="21"/>
              </w:rPr>
            </w:pPr>
          </w:p>
        </w:tc>
        <w:tc>
          <w:tcPr>
            <w:tcW w:w="1560" w:type="dxa"/>
            <w:vAlign w:val="center"/>
          </w:tcPr>
          <w:p w14:paraId="528E8332">
            <w:pPr>
              <w:snapToGrid w:val="0"/>
              <w:spacing w:line="400" w:lineRule="exact"/>
              <w:rPr>
                <w:rFonts w:ascii="宋体" w:hAnsi="宋体" w:cs="微软雅黑"/>
                <w:szCs w:val="21"/>
              </w:rPr>
            </w:pPr>
          </w:p>
        </w:tc>
        <w:tc>
          <w:tcPr>
            <w:tcW w:w="2018" w:type="dxa"/>
            <w:vAlign w:val="center"/>
          </w:tcPr>
          <w:p w14:paraId="51AC3CFD">
            <w:pPr>
              <w:snapToGrid w:val="0"/>
              <w:spacing w:line="400" w:lineRule="exact"/>
              <w:rPr>
                <w:rFonts w:ascii="宋体" w:hAnsi="宋体" w:cs="微软雅黑"/>
                <w:szCs w:val="21"/>
              </w:rPr>
            </w:pPr>
          </w:p>
        </w:tc>
      </w:tr>
      <w:tr w14:paraId="36CBF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BACA2F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08B2B1D3">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监狱企业证明文件</w:t>
            </w:r>
          </w:p>
        </w:tc>
        <w:tc>
          <w:tcPr>
            <w:tcW w:w="1559" w:type="dxa"/>
            <w:vAlign w:val="center"/>
          </w:tcPr>
          <w:p w14:paraId="01A5EF9D">
            <w:pPr>
              <w:jc w:val="center"/>
              <w:rPr>
                <w:szCs w:val="21"/>
              </w:rPr>
            </w:pPr>
          </w:p>
        </w:tc>
        <w:tc>
          <w:tcPr>
            <w:tcW w:w="1560" w:type="dxa"/>
            <w:vAlign w:val="center"/>
          </w:tcPr>
          <w:p w14:paraId="15601521">
            <w:pPr>
              <w:snapToGrid w:val="0"/>
              <w:spacing w:line="400" w:lineRule="exact"/>
              <w:rPr>
                <w:rFonts w:ascii="宋体" w:hAnsi="宋体" w:cs="微软雅黑"/>
                <w:szCs w:val="21"/>
              </w:rPr>
            </w:pPr>
          </w:p>
        </w:tc>
        <w:tc>
          <w:tcPr>
            <w:tcW w:w="2018" w:type="dxa"/>
            <w:vAlign w:val="center"/>
          </w:tcPr>
          <w:p w14:paraId="3ED9B51E">
            <w:pPr>
              <w:snapToGrid w:val="0"/>
              <w:spacing w:line="400" w:lineRule="exact"/>
              <w:rPr>
                <w:rFonts w:ascii="宋体" w:hAnsi="宋体" w:cs="微软雅黑"/>
                <w:szCs w:val="21"/>
              </w:rPr>
            </w:pPr>
          </w:p>
        </w:tc>
      </w:tr>
      <w:tr w14:paraId="51C1A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468" w:type="dxa"/>
            <w:vAlign w:val="center"/>
          </w:tcPr>
          <w:p w14:paraId="58B622F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6F6379D4">
            <w:pPr>
              <w:kinsoku w:val="0"/>
              <w:overflowPunct w:val="0"/>
              <w:autoSpaceDE w:val="0"/>
              <w:autoSpaceDN w:val="0"/>
              <w:spacing w:line="320" w:lineRule="exact"/>
              <w:rPr>
                <w:rFonts w:ascii="宋体" w:hAnsi="宋体" w:eastAsia="宋体"/>
                <w:szCs w:val="21"/>
                <w:lang w:val="en-GB"/>
              </w:rPr>
            </w:pPr>
            <w:r>
              <w:rPr>
                <w:rFonts w:hint="eastAsia" w:cs="宋体" w:asciiTheme="minorEastAsia" w:hAnsiTheme="minorEastAsia"/>
                <w:bCs/>
                <w:szCs w:val="21"/>
                <w:lang w:val="zh-CN"/>
              </w:rPr>
              <w:t>网络关键设备和网络安全专用产品</w:t>
            </w:r>
            <w:r>
              <w:rPr>
                <w:rFonts w:hint="eastAsia" w:ascii="宋体" w:hAnsi="宋体" w:eastAsia="宋体"/>
                <w:szCs w:val="21"/>
                <w:lang w:val="en-GB"/>
              </w:rPr>
              <w:t>（下列资料任意一项）：</w:t>
            </w:r>
          </w:p>
          <w:p w14:paraId="4D2CFEC7">
            <w:pPr>
              <w:kinsoku w:val="0"/>
              <w:overflowPunct w:val="0"/>
              <w:autoSpaceDE w:val="0"/>
              <w:autoSpaceDN w:val="0"/>
              <w:spacing w:line="320" w:lineRule="exact"/>
              <w:rPr>
                <w:rFonts w:ascii="宋体" w:hAnsi="宋体" w:eastAsia="宋体"/>
                <w:szCs w:val="21"/>
                <w:lang w:val="en-GB"/>
              </w:rPr>
            </w:pPr>
            <w:r>
              <w:rPr>
                <w:rFonts w:hint="eastAsia" w:ascii="宋体" w:hAnsi="宋体" w:eastAsia="宋体"/>
                <w:szCs w:val="21"/>
                <w:lang w:val="en-GB"/>
              </w:rPr>
              <w:t>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c>
          <w:tcPr>
            <w:tcW w:w="1559" w:type="dxa"/>
            <w:vAlign w:val="center"/>
          </w:tcPr>
          <w:p w14:paraId="4CEBAED1">
            <w:pPr>
              <w:rPr>
                <w:rFonts w:eastAsia="宋体"/>
                <w:szCs w:val="21"/>
              </w:rPr>
            </w:pPr>
          </w:p>
        </w:tc>
        <w:tc>
          <w:tcPr>
            <w:tcW w:w="1560" w:type="dxa"/>
            <w:vAlign w:val="center"/>
          </w:tcPr>
          <w:p w14:paraId="76478A92">
            <w:pPr>
              <w:snapToGrid w:val="0"/>
              <w:spacing w:line="400" w:lineRule="exact"/>
              <w:rPr>
                <w:rFonts w:ascii="宋体" w:hAnsi="宋体" w:cs="微软雅黑"/>
                <w:szCs w:val="21"/>
              </w:rPr>
            </w:pPr>
          </w:p>
        </w:tc>
        <w:tc>
          <w:tcPr>
            <w:tcW w:w="2018" w:type="dxa"/>
            <w:vAlign w:val="center"/>
          </w:tcPr>
          <w:p w14:paraId="3CCE100B">
            <w:pPr>
              <w:snapToGrid w:val="0"/>
              <w:spacing w:line="400" w:lineRule="exact"/>
              <w:rPr>
                <w:rFonts w:ascii="宋体" w:hAnsi="宋体" w:cs="微软雅黑"/>
                <w:szCs w:val="21"/>
              </w:rPr>
            </w:pPr>
          </w:p>
        </w:tc>
      </w:tr>
      <w:tr w14:paraId="732AD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38360E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38A454DC">
            <w:pPr>
              <w:pStyle w:val="15"/>
              <w:kinsoku w:val="0"/>
              <w:overflowPunct w:val="0"/>
              <w:autoSpaceDE w:val="0"/>
              <w:autoSpaceDN w:val="0"/>
              <w:spacing w:line="320" w:lineRule="exact"/>
              <w:rPr>
                <w:rFonts w:hAnsi="宋体" w:cs="微软雅黑"/>
                <w:bCs/>
                <w:kern w:val="0"/>
                <w:sz w:val="21"/>
                <w:szCs w:val="21"/>
              </w:rPr>
            </w:pPr>
            <w:r>
              <w:rPr>
                <w:rFonts w:hint="eastAsia" w:cs="宋体" w:asciiTheme="minorEastAsia" w:hAnsiTheme="minorEastAsia"/>
                <w:bCs/>
                <w:sz w:val="21"/>
                <w:szCs w:val="21"/>
                <w:lang w:val="zh-CN"/>
              </w:rPr>
              <w:t>主要标的信息提供资料（备用）</w:t>
            </w:r>
          </w:p>
        </w:tc>
        <w:tc>
          <w:tcPr>
            <w:tcW w:w="1559" w:type="dxa"/>
            <w:vAlign w:val="center"/>
          </w:tcPr>
          <w:p w14:paraId="645534FD">
            <w:pPr>
              <w:jc w:val="center"/>
              <w:rPr>
                <w:szCs w:val="21"/>
              </w:rPr>
            </w:pPr>
          </w:p>
        </w:tc>
        <w:tc>
          <w:tcPr>
            <w:tcW w:w="1560" w:type="dxa"/>
            <w:vAlign w:val="center"/>
          </w:tcPr>
          <w:p w14:paraId="0D60927A">
            <w:pPr>
              <w:snapToGrid w:val="0"/>
              <w:spacing w:line="400" w:lineRule="exact"/>
              <w:rPr>
                <w:rFonts w:ascii="宋体" w:hAnsi="宋体" w:cs="微软雅黑"/>
                <w:szCs w:val="21"/>
              </w:rPr>
            </w:pPr>
          </w:p>
        </w:tc>
        <w:tc>
          <w:tcPr>
            <w:tcW w:w="2018" w:type="dxa"/>
            <w:vAlign w:val="center"/>
          </w:tcPr>
          <w:p w14:paraId="3B205E3B">
            <w:pPr>
              <w:snapToGrid w:val="0"/>
              <w:spacing w:line="400" w:lineRule="exact"/>
              <w:rPr>
                <w:rFonts w:ascii="宋体" w:hAnsi="宋体" w:cs="微软雅黑"/>
                <w:szCs w:val="21"/>
              </w:rPr>
            </w:pPr>
          </w:p>
        </w:tc>
      </w:tr>
      <w:tr w14:paraId="1E491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4D09407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tcBorders>
              <w:bottom w:val="single" w:color="auto" w:sz="4" w:space="0"/>
            </w:tcBorders>
            <w:vAlign w:val="center"/>
          </w:tcPr>
          <w:p w14:paraId="68C811AC">
            <w:pPr>
              <w:kinsoku w:val="0"/>
              <w:overflowPunct w:val="0"/>
              <w:autoSpaceDE w:val="0"/>
              <w:autoSpaceDN w:val="0"/>
              <w:spacing w:line="320" w:lineRule="exact"/>
              <w:rPr>
                <w:rFonts w:hAnsi="宋体" w:eastAsia="宋体" w:cs="微软雅黑"/>
                <w:bCs/>
                <w:kern w:val="0"/>
                <w:szCs w:val="21"/>
              </w:rPr>
            </w:pPr>
            <w:r>
              <w:rPr>
                <w:rFonts w:hint="eastAsia" w:hAnsi="宋体" w:eastAsia="宋体" w:cs="微软雅黑"/>
                <w:bCs/>
                <w:kern w:val="0"/>
                <w:szCs w:val="21"/>
              </w:rPr>
              <w:t>其它资料</w:t>
            </w:r>
          </w:p>
        </w:tc>
        <w:tc>
          <w:tcPr>
            <w:tcW w:w="1559" w:type="dxa"/>
            <w:vAlign w:val="center"/>
          </w:tcPr>
          <w:p w14:paraId="6C5CF183">
            <w:pPr>
              <w:rPr>
                <w:rFonts w:eastAsia="宋体"/>
                <w:sz w:val="24"/>
                <w:szCs w:val="21"/>
              </w:rPr>
            </w:pPr>
          </w:p>
        </w:tc>
        <w:tc>
          <w:tcPr>
            <w:tcW w:w="1560" w:type="dxa"/>
            <w:vAlign w:val="center"/>
          </w:tcPr>
          <w:p w14:paraId="6742CE2F">
            <w:pPr>
              <w:snapToGrid w:val="0"/>
              <w:spacing w:line="400" w:lineRule="exact"/>
              <w:rPr>
                <w:rFonts w:ascii="宋体" w:hAnsi="宋体" w:cs="微软雅黑"/>
                <w:szCs w:val="21"/>
              </w:rPr>
            </w:pPr>
          </w:p>
        </w:tc>
        <w:tc>
          <w:tcPr>
            <w:tcW w:w="2018" w:type="dxa"/>
            <w:vAlign w:val="center"/>
          </w:tcPr>
          <w:p w14:paraId="7E8A10FD">
            <w:pPr>
              <w:snapToGrid w:val="0"/>
              <w:spacing w:line="400" w:lineRule="exact"/>
              <w:rPr>
                <w:rFonts w:ascii="宋体" w:hAnsi="宋体" w:cs="微软雅黑"/>
                <w:szCs w:val="21"/>
              </w:rPr>
            </w:pPr>
          </w:p>
        </w:tc>
      </w:tr>
    </w:tbl>
    <w:p w14:paraId="3339B05A">
      <w:pPr>
        <w:tabs>
          <w:tab w:val="left" w:pos="1260"/>
        </w:tabs>
        <w:autoSpaceDE w:val="0"/>
        <w:autoSpaceDN w:val="0"/>
        <w:adjustRightInd w:val="0"/>
        <w:spacing w:line="360" w:lineRule="auto"/>
        <w:ind w:left="424" w:leftChars="202"/>
        <w:contextualSpacing/>
        <w:rPr>
          <w:rFonts w:ascii="楷体" w:hAnsi="楷体" w:eastAsia="楷体"/>
          <w:sz w:val="24"/>
          <w:szCs w:val="24"/>
        </w:rPr>
      </w:pPr>
    </w:p>
    <w:p w14:paraId="07007B84">
      <w:pPr>
        <w:pStyle w:val="15"/>
        <w:spacing w:line="360" w:lineRule="auto"/>
        <w:jc w:val="center"/>
        <w:rPr>
          <w:rFonts w:asciiTheme="majorEastAsia" w:hAnsiTheme="majorEastAsia" w:eastAsiaTheme="majorEastAsia"/>
          <w:b/>
          <w:snapToGrid w:val="0"/>
          <w:kern w:val="0"/>
          <w:sz w:val="28"/>
          <w:szCs w:val="28"/>
        </w:rPr>
      </w:pPr>
    </w:p>
    <w:p w14:paraId="7D3D583E">
      <w:pPr>
        <w:pStyle w:val="15"/>
        <w:spacing w:line="360" w:lineRule="auto"/>
        <w:jc w:val="center"/>
        <w:rPr>
          <w:rFonts w:asciiTheme="majorEastAsia" w:hAnsiTheme="majorEastAsia" w:eastAsiaTheme="majorEastAsia"/>
          <w:b/>
          <w:snapToGrid w:val="0"/>
          <w:kern w:val="0"/>
          <w:sz w:val="28"/>
          <w:szCs w:val="28"/>
        </w:rPr>
      </w:pPr>
    </w:p>
    <w:p w14:paraId="53CB8485">
      <w:pPr>
        <w:pStyle w:val="15"/>
        <w:spacing w:line="360" w:lineRule="auto"/>
        <w:jc w:val="center"/>
        <w:rPr>
          <w:rFonts w:asciiTheme="majorEastAsia" w:hAnsiTheme="majorEastAsia" w:eastAsiaTheme="majorEastAsia"/>
          <w:b/>
          <w:snapToGrid w:val="0"/>
          <w:kern w:val="0"/>
          <w:sz w:val="28"/>
          <w:szCs w:val="28"/>
        </w:rPr>
      </w:pPr>
    </w:p>
    <w:p w14:paraId="6E4C9AFB">
      <w:pPr>
        <w:pStyle w:val="15"/>
        <w:spacing w:line="360" w:lineRule="auto"/>
        <w:jc w:val="center"/>
        <w:rPr>
          <w:rFonts w:asciiTheme="majorEastAsia" w:hAnsiTheme="majorEastAsia" w:eastAsiaTheme="majorEastAsia"/>
          <w:b/>
          <w:snapToGrid w:val="0"/>
          <w:kern w:val="0"/>
          <w:sz w:val="28"/>
          <w:szCs w:val="28"/>
        </w:rPr>
      </w:pPr>
    </w:p>
    <w:p w14:paraId="3498DA52">
      <w:pPr>
        <w:pStyle w:val="15"/>
        <w:spacing w:line="360" w:lineRule="auto"/>
        <w:jc w:val="center"/>
        <w:rPr>
          <w:rFonts w:asciiTheme="majorEastAsia" w:hAnsiTheme="majorEastAsia" w:eastAsiaTheme="majorEastAsia"/>
          <w:b/>
          <w:snapToGrid w:val="0"/>
          <w:kern w:val="0"/>
          <w:sz w:val="28"/>
          <w:szCs w:val="28"/>
        </w:rPr>
      </w:pPr>
    </w:p>
    <w:p w14:paraId="42FFF600">
      <w:pPr>
        <w:pStyle w:val="15"/>
        <w:spacing w:line="360" w:lineRule="auto"/>
        <w:jc w:val="center"/>
        <w:rPr>
          <w:rFonts w:asciiTheme="majorEastAsia" w:hAnsiTheme="majorEastAsia" w:eastAsiaTheme="majorEastAsia"/>
          <w:b/>
          <w:snapToGrid w:val="0"/>
          <w:kern w:val="0"/>
          <w:sz w:val="28"/>
          <w:szCs w:val="28"/>
        </w:rPr>
      </w:pPr>
    </w:p>
    <w:p w14:paraId="630B6010">
      <w:pPr>
        <w:pStyle w:val="15"/>
        <w:spacing w:line="360" w:lineRule="auto"/>
        <w:jc w:val="center"/>
        <w:rPr>
          <w:rFonts w:asciiTheme="majorEastAsia" w:hAnsiTheme="majorEastAsia" w:eastAsiaTheme="majorEastAsia"/>
          <w:b/>
          <w:snapToGrid w:val="0"/>
          <w:kern w:val="0"/>
          <w:sz w:val="28"/>
          <w:szCs w:val="28"/>
        </w:rPr>
      </w:pPr>
    </w:p>
    <w:p w14:paraId="30F6500D">
      <w:pPr>
        <w:pStyle w:val="15"/>
        <w:spacing w:line="360" w:lineRule="auto"/>
        <w:jc w:val="center"/>
        <w:rPr>
          <w:rFonts w:asciiTheme="majorEastAsia" w:hAnsiTheme="majorEastAsia" w:eastAsiaTheme="majorEastAsia"/>
          <w:b/>
          <w:snapToGrid w:val="0"/>
          <w:kern w:val="0"/>
          <w:sz w:val="28"/>
          <w:szCs w:val="28"/>
        </w:rPr>
      </w:pPr>
    </w:p>
    <w:p w14:paraId="04D13241">
      <w:pPr>
        <w:pStyle w:val="15"/>
        <w:spacing w:line="360" w:lineRule="auto"/>
        <w:jc w:val="center"/>
        <w:rPr>
          <w:rFonts w:asciiTheme="majorEastAsia" w:hAnsiTheme="majorEastAsia" w:eastAsiaTheme="majorEastAsia"/>
          <w:b/>
          <w:snapToGrid w:val="0"/>
          <w:kern w:val="0"/>
          <w:sz w:val="28"/>
          <w:szCs w:val="28"/>
        </w:rPr>
      </w:pPr>
    </w:p>
    <w:p w14:paraId="1C014ACE">
      <w:pPr>
        <w:pStyle w:val="15"/>
        <w:spacing w:line="360" w:lineRule="auto"/>
        <w:jc w:val="center"/>
        <w:rPr>
          <w:rFonts w:asciiTheme="majorEastAsia" w:hAnsiTheme="majorEastAsia" w:eastAsiaTheme="majorEastAsia"/>
          <w:b/>
          <w:snapToGrid w:val="0"/>
          <w:kern w:val="0"/>
          <w:sz w:val="28"/>
          <w:szCs w:val="28"/>
        </w:rPr>
      </w:pPr>
    </w:p>
    <w:p w14:paraId="25DE72F3">
      <w:pPr>
        <w:pStyle w:val="15"/>
        <w:spacing w:line="360" w:lineRule="auto"/>
        <w:jc w:val="center"/>
        <w:rPr>
          <w:rFonts w:asciiTheme="majorEastAsia" w:hAnsiTheme="majorEastAsia" w:eastAsiaTheme="majorEastAsia"/>
          <w:b/>
          <w:snapToGrid w:val="0"/>
          <w:kern w:val="0"/>
          <w:sz w:val="28"/>
          <w:szCs w:val="28"/>
        </w:rPr>
      </w:pPr>
    </w:p>
    <w:p w14:paraId="52A6DA4F">
      <w:pPr>
        <w:pStyle w:val="15"/>
        <w:spacing w:line="360" w:lineRule="auto"/>
        <w:jc w:val="center"/>
        <w:rPr>
          <w:rFonts w:asciiTheme="majorEastAsia" w:hAnsiTheme="majorEastAsia" w:eastAsiaTheme="majorEastAsia"/>
          <w:b/>
          <w:snapToGrid w:val="0"/>
          <w:kern w:val="0"/>
          <w:sz w:val="28"/>
          <w:szCs w:val="28"/>
        </w:rPr>
      </w:pPr>
    </w:p>
    <w:p w14:paraId="2F857392">
      <w:pPr>
        <w:pStyle w:val="15"/>
        <w:spacing w:line="360" w:lineRule="auto"/>
        <w:jc w:val="center"/>
        <w:rPr>
          <w:rFonts w:asciiTheme="majorEastAsia" w:hAnsiTheme="majorEastAsia" w:eastAsiaTheme="majorEastAsia"/>
          <w:b/>
          <w:snapToGrid w:val="0"/>
          <w:kern w:val="0"/>
          <w:sz w:val="28"/>
          <w:szCs w:val="28"/>
        </w:rPr>
      </w:pPr>
    </w:p>
    <w:p w14:paraId="1C392959">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2718CD6C">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2F7E508D">
      <w:pPr>
        <w:pStyle w:val="15"/>
        <w:spacing w:line="360" w:lineRule="auto"/>
        <w:jc w:val="center"/>
        <w:rPr>
          <w:rFonts w:asciiTheme="majorEastAsia" w:hAnsiTheme="majorEastAsia" w:eastAsiaTheme="majorEastAsia"/>
          <w:b/>
          <w:snapToGrid w:val="0"/>
          <w:kern w:val="0"/>
          <w:sz w:val="28"/>
          <w:szCs w:val="28"/>
        </w:rPr>
      </w:pPr>
    </w:p>
    <w:p w14:paraId="1B21A25A">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397A4CA1">
      <w:pPr>
        <w:spacing w:line="360" w:lineRule="auto"/>
        <w:contextualSpacing/>
        <w:rPr>
          <w:rFonts w:asciiTheme="minorEastAsia" w:hAnsiTheme="minorEastAsia"/>
          <w:szCs w:val="21"/>
        </w:rPr>
      </w:pPr>
      <w:r>
        <w:rPr>
          <w:rFonts w:hint="eastAsia" w:asciiTheme="minorEastAsia" w:hAnsiTheme="minorEastAsia"/>
          <w:szCs w:val="21"/>
        </w:rPr>
        <w:t>项目名称：</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81FD5E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E1CC18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123C379">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DB720B">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54EC9">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A893A70">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7D089A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BBA99B8">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3A6F4610">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7D33C3D">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314AF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6F58BC7">
            <w:pPr>
              <w:autoSpaceDE w:val="0"/>
              <w:autoSpaceDN w:val="0"/>
              <w:adjustRightInd w:val="0"/>
              <w:spacing w:line="480" w:lineRule="exact"/>
              <w:ind w:firstLine="240"/>
              <w:rPr>
                <w:rFonts w:cs="宋体" w:asciiTheme="minorEastAsia" w:hAnsiTheme="minorEastAsia"/>
                <w:szCs w:val="21"/>
                <w:lang w:val="zh-CN"/>
              </w:rPr>
            </w:pPr>
          </w:p>
        </w:tc>
      </w:tr>
      <w:tr w14:paraId="3AAF71C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6B84188">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72AAD720">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05D4AF6">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A5A9722">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F12FAF6">
            <w:pPr>
              <w:autoSpaceDE w:val="0"/>
              <w:autoSpaceDN w:val="0"/>
              <w:adjustRightInd w:val="0"/>
              <w:spacing w:line="480" w:lineRule="exact"/>
              <w:ind w:firstLine="240"/>
              <w:rPr>
                <w:rFonts w:cs="宋体" w:asciiTheme="minorEastAsia" w:hAnsiTheme="minorEastAsia"/>
                <w:szCs w:val="21"/>
                <w:lang w:val="zh-CN"/>
              </w:rPr>
            </w:pPr>
          </w:p>
        </w:tc>
      </w:tr>
    </w:tbl>
    <w:p w14:paraId="7321C08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（全称）</w:t>
      </w:r>
      <w:r>
        <w:rPr>
          <w:rFonts w:hint="eastAsia" w:cs="宋体" w:asciiTheme="minorEastAsia" w:hAnsiTheme="minorEastAsia"/>
          <w:szCs w:val="21"/>
          <w:lang w:val="zh-CN"/>
        </w:rPr>
        <w:t>（公章）：</w:t>
      </w:r>
    </w:p>
    <w:p w14:paraId="54205D4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4A890BE7">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参加谈判的法定代表人或授权代表</w:t>
      </w:r>
    </w:p>
    <w:p w14:paraId="7ABC7AEA">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姓名：</w:t>
      </w:r>
      <w:r>
        <w:rPr>
          <w:rFonts w:hint="eastAsia" w:cs="宋体" w:asciiTheme="minorEastAsia" w:hAnsiTheme="minorEastAsia"/>
          <w:szCs w:val="21"/>
        </w:rPr>
        <w:t xml:space="preserve">                      联系电话（手机）：</w:t>
      </w:r>
    </w:p>
    <w:p w14:paraId="568AC03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5609C9BA">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72E83DCD">
      <w:pPr>
        <w:autoSpaceDE w:val="0"/>
        <w:autoSpaceDN w:val="0"/>
        <w:adjustRightInd w:val="0"/>
        <w:spacing w:line="360" w:lineRule="auto"/>
        <w:rPr>
          <w:rFonts w:ascii="宋体" w:cs="宋体"/>
          <w:sz w:val="24"/>
          <w:lang w:val="zh-CN"/>
        </w:rPr>
      </w:pPr>
    </w:p>
    <w:p w14:paraId="2A923416">
      <w:pPr>
        <w:autoSpaceDE w:val="0"/>
        <w:autoSpaceDN w:val="0"/>
        <w:adjustRightInd w:val="0"/>
        <w:spacing w:line="360" w:lineRule="auto"/>
        <w:rPr>
          <w:rFonts w:ascii="宋体" w:cs="宋体"/>
          <w:sz w:val="24"/>
          <w:lang w:val="zh-CN"/>
        </w:rPr>
      </w:pPr>
    </w:p>
    <w:p w14:paraId="0D155A2F">
      <w:pPr>
        <w:autoSpaceDE w:val="0"/>
        <w:autoSpaceDN w:val="0"/>
        <w:adjustRightInd w:val="0"/>
        <w:spacing w:line="360" w:lineRule="auto"/>
        <w:rPr>
          <w:rFonts w:ascii="宋体" w:cs="宋体"/>
          <w:sz w:val="24"/>
          <w:lang w:val="zh-CN"/>
        </w:rPr>
      </w:pPr>
    </w:p>
    <w:p w14:paraId="7C41F1C6">
      <w:pPr>
        <w:autoSpaceDE w:val="0"/>
        <w:autoSpaceDN w:val="0"/>
        <w:adjustRightInd w:val="0"/>
        <w:spacing w:line="360" w:lineRule="auto"/>
        <w:rPr>
          <w:rFonts w:ascii="宋体" w:cs="宋体"/>
          <w:sz w:val="24"/>
          <w:lang w:val="zh-CN"/>
        </w:rPr>
      </w:pPr>
    </w:p>
    <w:p w14:paraId="5CA09E60">
      <w:pPr>
        <w:autoSpaceDE w:val="0"/>
        <w:autoSpaceDN w:val="0"/>
        <w:adjustRightInd w:val="0"/>
        <w:spacing w:line="360" w:lineRule="auto"/>
        <w:rPr>
          <w:rFonts w:ascii="宋体" w:cs="宋体"/>
          <w:sz w:val="24"/>
          <w:lang w:val="zh-CN"/>
        </w:rPr>
      </w:pPr>
    </w:p>
    <w:p w14:paraId="257FD273">
      <w:pPr>
        <w:autoSpaceDE w:val="0"/>
        <w:autoSpaceDN w:val="0"/>
        <w:adjustRightInd w:val="0"/>
        <w:spacing w:line="360" w:lineRule="auto"/>
        <w:rPr>
          <w:rFonts w:ascii="宋体" w:cs="宋体"/>
          <w:sz w:val="24"/>
          <w:lang w:val="zh-CN"/>
        </w:rPr>
      </w:pPr>
    </w:p>
    <w:p w14:paraId="354B6A30">
      <w:pPr>
        <w:autoSpaceDE w:val="0"/>
        <w:autoSpaceDN w:val="0"/>
        <w:adjustRightInd w:val="0"/>
        <w:spacing w:line="360" w:lineRule="auto"/>
        <w:rPr>
          <w:rFonts w:ascii="宋体" w:cs="宋体"/>
          <w:sz w:val="24"/>
          <w:lang w:val="zh-CN"/>
        </w:rPr>
      </w:pPr>
    </w:p>
    <w:p w14:paraId="4355808F">
      <w:pPr>
        <w:autoSpaceDE w:val="0"/>
        <w:autoSpaceDN w:val="0"/>
        <w:adjustRightInd w:val="0"/>
        <w:spacing w:line="360" w:lineRule="auto"/>
        <w:rPr>
          <w:rFonts w:ascii="宋体" w:cs="宋体"/>
          <w:sz w:val="24"/>
          <w:lang w:val="zh-CN"/>
        </w:rPr>
      </w:pPr>
    </w:p>
    <w:p w14:paraId="7EF8615F">
      <w:pPr>
        <w:autoSpaceDE w:val="0"/>
        <w:autoSpaceDN w:val="0"/>
        <w:adjustRightInd w:val="0"/>
        <w:spacing w:line="360" w:lineRule="auto"/>
        <w:rPr>
          <w:rFonts w:ascii="宋体" w:cs="宋体"/>
          <w:sz w:val="24"/>
          <w:lang w:val="zh-CN"/>
        </w:rPr>
      </w:pPr>
    </w:p>
    <w:p w14:paraId="2399703D">
      <w:pPr>
        <w:autoSpaceDE w:val="0"/>
        <w:autoSpaceDN w:val="0"/>
        <w:adjustRightInd w:val="0"/>
        <w:spacing w:line="360" w:lineRule="auto"/>
        <w:rPr>
          <w:rFonts w:ascii="宋体" w:cs="宋体"/>
          <w:sz w:val="24"/>
          <w:lang w:val="zh-CN"/>
        </w:rPr>
      </w:pPr>
    </w:p>
    <w:p w14:paraId="24454E4D">
      <w:pPr>
        <w:autoSpaceDE w:val="0"/>
        <w:autoSpaceDN w:val="0"/>
        <w:adjustRightInd w:val="0"/>
        <w:spacing w:line="360" w:lineRule="auto"/>
        <w:rPr>
          <w:rFonts w:ascii="宋体" w:cs="宋体"/>
          <w:sz w:val="24"/>
          <w:lang w:val="zh-CN"/>
        </w:rPr>
      </w:pPr>
    </w:p>
    <w:p w14:paraId="06E16D9F">
      <w:pPr>
        <w:autoSpaceDE w:val="0"/>
        <w:autoSpaceDN w:val="0"/>
        <w:adjustRightInd w:val="0"/>
        <w:spacing w:line="360" w:lineRule="auto"/>
        <w:jc w:val="center"/>
        <w:rPr>
          <w:rFonts w:cs="黑体" w:asciiTheme="minorEastAsia" w:hAnsiTheme="minorEastAsia"/>
          <w:b/>
          <w:bCs/>
          <w:sz w:val="44"/>
          <w:szCs w:val="44"/>
          <w:lang w:val="zh-CN"/>
        </w:rPr>
      </w:pPr>
    </w:p>
    <w:p w14:paraId="34DDFBB7">
      <w:pPr>
        <w:autoSpaceDE w:val="0"/>
        <w:autoSpaceDN w:val="0"/>
        <w:adjustRightInd w:val="0"/>
        <w:spacing w:line="360" w:lineRule="auto"/>
        <w:jc w:val="center"/>
        <w:rPr>
          <w:rFonts w:cs="黑体" w:asciiTheme="minorEastAsia" w:hAnsiTheme="minorEastAsia"/>
          <w:b/>
          <w:bCs/>
          <w:sz w:val="44"/>
          <w:szCs w:val="44"/>
          <w:lang w:val="zh-CN"/>
        </w:rPr>
      </w:pPr>
    </w:p>
    <w:p w14:paraId="1BB28B1F">
      <w:pPr>
        <w:autoSpaceDE w:val="0"/>
        <w:autoSpaceDN w:val="0"/>
        <w:adjustRightInd w:val="0"/>
        <w:spacing w:line="360" w:lineRule="auto"/>
        <w:jc w:val="center"/>
        <w:rPr>
          <w:rFonts w:cs="黑体" w:asciiTheme="minorEastAsia" w:hAnsiTheme="minorEastAsia"/>
          <w:b/>
          <w:bCs/>
          <w:sz w:val="44"/>
          <w:szCs w:val="44"/>
          <w:lang w:val="zh-CN"/>
        </w:rPr>
      </w:pPr>
    </w:p>
    <w:p w14:paraId="54B4864C">
      <w:pPr>
        <w:autoSpaceDE w:val="0"/>
        <w:autoSpaceDN w:val="0"/>
        <w:adjustRightInd w:val="0"/>
        <w:spacing w:line="360" w:lineRule="auto"/>
        <w:jc w:val="center"/>
        <w:rPr>
          <w:rFonts w:cs="黑体" w:asciiTheme="minorEastAsia" w:hAnsiTheme="minorEastAsia"/>
          <w:b/>
          <w:bCs/>
          <w:sz w:val="44"/>
          <w:szCs w:val="44"/>
          <w:lang w:val="zh-CN"/>
        </w:rPr>
      </w:pPr>
    </w:p>
    <w:p w14:paraId="78A75BD0">
      <w:pPr>
        <w:autoSpaceDE w:val="0"/>
        <w:autoSpaceDN w:val="0"/>
        <w:adjustRightInd w:val="0"/>
        <w:spacing w:line="360" w:lineRule="auto"/>
        <w:jc w:val="center"/>
        <w:rPr>
          <w:rFonts w:cs="黑体" w:asciiTheme="minorEastAsia" w:hAnsiTheme="minorEastAsia"/>
          <w:b/>
          <w:bCs/>
          <w:sz w:val="44"/>
          <w:szCs w:val="44"/>
          <w:lang w:val="zh-CN"/>
        </w:rPr>
      </w:pPr>
    </w:p>
    <w:p w14:paraId="1D0B5389">
      <w:pPr>
        <w:autoSpaceDE w:val="0"/>
        <w:autoSpaceDN w:val="0"/>
        <w:adjustRightInd w:val="0"/>
        <w:spacing w:line="360" w:lineRule="auto"/>
        <w:jc w:val="center"/>
        <w:rPr>
          <w:rFonts w:cs="黑体" w:asciiTheme="minorEastAsia" w:hAnsiTheme="minorEastAsia"/>
          <w:b/>
          <w:bCs/>
          <w:sz w:val="44"/>
          <w:szCs w:val="44"/>
          <w:lang w:val="zh-CN"/>
        </w:rPr>
      </w:pPr>
    </w:p>
    <w:p w14:paraId="5E75FBC1">
      <w:pPr>
        <w:autoSpaceDE w:val="0"/>
        <w:autoSpaceDN w:val="0"/>
        <w:adjustRightInd w:val="0"/>
        <w:spacing w:line="360" w:lineRule="auto"/>
        <w:jc w:val="center"/>
        <w:rPr>
          <w:rFonts w:cs="黑体" w:asciiTheme="minorEastAsia" w:hAnsiTheme="minorEastAsia"/>
          <w:b/>
          <w:bCs/>
          <w:sz w:val="44"/>
          <w:szCs w:val="44"/>
          <w:lang w:val="zh-CN"/>
        </w:rPr>
      </w:pPr>
    </w:p>
    <w:p w14:paraId="093019FE">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2EEB60EE">
      <w:pPr>
        <w:pStyle w:val="15"/>
        <w:spacing w:line="360" w:lineRule="auto"/>
        <w:jc w:val="center"/>
        <w:rPr>
          <w:rFonts w:asciiTheme="majorEastAsia" w:hAnsiTheme="majorEastAsia" w:eastAsiaTheme="majorEastAsia"/>
          <w:b/>
          <w:snapToGrid w:val="0"/>
          <w:kern w:val="0"/>
          <w:sz w:val="36"/>
          <w:szCs w:val="36"/>
        </w:rPr>
      </w:pPr>
    </w:p>
    <w:p w14:paraId="00E25CF0">
      <w:pPr>
        <w:pStyle w:val="15"/>
        <w:spacing w:line="360" w:lineRule="auto"/>
        <w:jc w:val="center"/>
        <w:rPr>
          <w:rFonts w:asciiTheme="majorEastAsia" w:hAnsiTheme="majorEastAsia" w:eastAsiaTheme="majorEastAsia"/>
          <w:b/>
          <w:snapToGrid w:val="0"/>
          <w:kern w:val="0"/>
          <w:sz w:val="36"/>
          <w:szCs w:val="36"/>
        </w:rPr>
      </w:pPr>
    </w:p>
    <w:p w14:paraId="5A98D3A0">
      <w:pPr>
        <w:pStyle w:val="15"/>
        <w:spacing w:line="360" w:lineRule="auto"/>
        <w:jc w:val="center"/>
        <w:rPr>
          <w:rFonts w:asciiTheme="majorEastAsia" w:hAnsiTheme="majorEastAsia" w:eastAsiaTheme="majorEastAsia"/>
          <w:b/>
          <w:snapToGrid w:val="0"/>
          <w:kern w:val="0"/>
          <w:sz w:val="36"/>
          <w:szCs w:val="36"/>
        </w:rPr>
      </w:pPr>
    </w:p>
    <w:p w14:paraId="59EC446A">
      <w:pPr>
        <w:pStyle w:val="15"/>
        <w:spacing w:line="360" w:lineRule="auto"/>
        <w:jc w:val="center"/>
        <w:rPr>
          <w:rFonts w:asciiTheme="majorEastAsia" w:hAnsiTheme="majorEastAsia" w:eastAsiaTheme="majorEastAsia"/>
          <w:b/>
          <w:snapToGrid w:val="0"/>
          <w:kern w:val="0"/>
          <w:sz w:val="36"/>
          <w:szCs w:val="36"/>
        </w:rPr>
      </w:pPr>
    </w:p>
    <w:p w14:paraId="5BC9739F">
      <w:pPr>
        <w:pStyle w:val="15"/>
        <w:spacing w:line="360" w:lineRule="auto"/>
        <w:jc w:val="center"/>
        <w:rPr>
          <w:rFonts w:asciiTheme="majorEastAsia" w:hAnsiTheme="majorEastAsia" w:eastAsiaTheme="majorEastAsia"/>
          <w:b/>
          <w:snapToGrid w:val="0"/>
          <w:kern w:val="0"/>
          <w:sz w:val="36"/>
          <w:szCs w:val="36"/>
        </w:rPr>
      </w:pPr>
    </w:p>
    <w:p w14:paraId="2B140716">
      <w:pPr>
        <w:pStyle w:val="15"/>
        <w:spacing w:line="360" w:lineRule="auto"/>
        <w:jc w:val="center"/>
        <w:rPr>
          <w:rFonts w:asciiTheme="majorEastAsia" w:hAnsiTheme="majorEastAsia" w:eastAsiaTheme="majorEastAsia"/>
          <w:b/>
          <w:snapToGrid w:val="0"/>
          <w:kern w:val="0"/>
          <w:sz w:val="36"/>
          <w:szCs w:val="36"/>
        </w:rPr>
      </w:pPr>
    </w:p>
    <w:p w14:paraId="4C5A7572">
      <w:pPr>
        <w:pStyle w:val="15"/>
        <w:spacing w:line="360" w:lineRule="auto"/>
        <w:jc w:val="center"/>
        <w:rPr>
          <w:rFonts w:asciiTheme="majorEastAsia" w:hAnsiTheme="majorEastAsia" w:eastAsiaTheme="majorEastAsia"/>
          <w:b/>
          <w:snapToGrid w:val="0"/>
          <w:kern w:val="0"/>
          <w:sz w:val="36"/>
          <w:szCs w:val="36"/>
        </w:rPr>
      </w:pPr>
    </w:p>
    <w:p w14:paraId="66D6CB64">
      <w:pPr>
        <w:pStyle w:val="15"/>
        <w:spacing w:line="360" w:lineRule="auto"/>
        <w:jc w:val="center"/>
        <w:rPr>
          <w:rFonts w:asciiTheme="majorEastAsia" w:hAnsiTheme="majorEastAsia" w:eastAsiaTheme="majorEastAsia"/>
          <w:b/>
          <w:snapToGrid w:val="0"/>
          <w:kern w:val="0"/>
          <w:sz w:val="36"/>
          <w:szCs w:val="36"/>
        </w:rPr>
      </w:pPr>
    </w:p>
    <w:p w14:paraId="78477B89">
      <w:pPr>
        <w:pStyle w:val="15"/>
        <w:spacing w:line="360" w:lineRule="auto"/>
        <w:jc w:val="center"/>
        <w:rPr>
          <w:rFonts w:asciiTheme="majorEastAsia" w:hAnsiTheme="majorEastAsia" w:eastAsiaTheme="majorEastAsia"/>
          <w:b/>
          <w:snapToGrid w:val="0"/>
          <w:kern w:val="0"/>
          <w:sz w:val="36"/>
          <w:szCs w:val="36"/>
        </w:rPr>
      </w:pPr>
    </w:p>
    <w:p w14:paraId="4F9521AE">
      <w:pPr>
        <w:pStyle w:val="15"/>
        <w:spacing w:line="360" w:lineRule="auto"/>
        <w:jc w:val="center"/>
        <w:rPr>
          <w:rFonts w:asciiTheme="majorEastAsia" w:hAnsiTheme="majorEastAsia" w:eastAsiaTheme="majorEastAsia"/>
          <w:b/>
          <w:snapToGrid w:val="0"/>
          <w:kern w:val="0"/>
          <w:sz w:val="36"/>
          <w:szCs w:val="36"/>
        </w:rPr>
      </w:pPr>
    </w:p>
    <w:p w14:paraId="58A0EC8C">
      <w:pPr>
        <w:pStyle w:val="15"/>
        <w:spacing w:line="360" w:lineRule="auto"/>
        <w:jc w:val="center"/>
        <w:rPr>
          <w:rFonts w:asciiTheme="majorEastAsia" w:hAnsiTheme="majorEastAsia" w:eastAsiaTheme="majorEastAsia"/>
          <w:b/>
          <w:snapToGrid w:val="0"/>
          <w:kern w:val="0"/>
          <w:sz w:val="36"/>
          <w:szCs w:val="36"/>
        </w:rPr>
      </w:pPr>
    </w:p>
    <w:p w14:paraId="0E34A91C">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6E27112F">
      <w:pPr>
        <w:pStyle w:val="15"/>
        <w:spacing w:line="360" w:lineRule="auto"/>
        <w:jc w:val="center"/>
        <w:rPr>
          <w:rFonts w:asciiTheme="majorEastAsia" w:hAnsiTheme="majorEastAsia" w:eastAsiaTheme="majorEastAsia"/>
          <w:b/>
          <w:snapToGrid w:val="0"/>
          <w:kern w:val="0"/>
          <w:sz w:val="28"/>
          <w:szCs w:val="28"/>
        </w:rPr>
      </w:pPr>
    </w:p>
    <w:p w14:paraId="4AC8AE6E">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14:paraId="391B43EB">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i/>
          <w:u w:val="single"/>
        </w:rPr>
        <w:t>项目编号、项目名称</w:t>
      </w:r>
      <w:r>
        <w:rPr>
          <w:rFonts w:hint="eastAsia" w:asciiTheme="minorEastAsia" w:hAnsiTheme="minorEastAsia"/>
          <w:snapToGrid w:val="0"/>
          <w:kern w:val="0"/>
          <w:szCs w:val="21"/>
        </w:rPr>
        <w:t>）采购的竞争性谈判公告及谈判邀请，</w:t>
      </w:r>
      <w:r>
        <w:rPr>
          <w:rFonts w:hint="eastAsia" w:asciiTheme="minorEastAsia" w:hAnsiTheme="minorEastAsia"/>
          <w:i/>
          <w:snapToGrid w:val="0"/>
          <w:kern w:val="0"/>
          <w:szCs w:val="21"/>
          <w:u w:val="single"/>
        </w:rPr>
        <w:t>（姓名和职务）</w:t>
      </w:r>
      <w:r>
        <w:rPr>
          <w:rFonts w:hint="eastAsia" w:asciiTheme="minorEastAsia" w:hAnsiTheme="minorEastAsia"/>
          <w:snapToGrid w:val="0"/>
          <w:kern w:val="0"/>
          <w:szCs w:val="21"/>
        </w:rPr>
        <w:t>被正式授权并代表（</w:t>
      </w:r>
      <w:r>
        <w:rPr>
          <w:rFonts w:hint="eastAsia" w:asciiTheme="minorEastAsia" w:hAnsiTheme="minorEastAsia"/>
          <w:i/>
          <w:snapToGrid w:val="0"/>
          <w:kern w:val="0"/>
          <w:szCs w:val="21"/>
          <w:u w:val="single"/>
        </w:rPr>
        <w:t>供应商名称、地址</w:t>
      </w:r>
      <w:r>
        <w:rPr>
          <w:rFonts w:hint="eastAsia" w:asciiTheme="minorEastAsia" w:hAnsiTheme="minorEastAsia"/>
          <w:snapToGrid w:val="0"/>
          <w:kern w:val="0"/>
          <w:szCs w:val="21"/>
        </w:rPr>
        <w:t>）提交。</w:t>
      </w:r>
    </w:p>
    <w:p w14:paraId="7BAAF917">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i/>
          <w:snapToGrid w:val="0"/>
          <w:kern w:val="0"/>
          <w:sz w:val="21"/>
          <w:szCs w:val="21"/>
          <w:u w:val="single"/>
        </w:rPr>
        <w:t>项目编号、项目名称</w:t>
      </w:r>
      <w:r>
        <w:rPr>
          <w:rFonts w:hint="eastAsia" w:asciiTheme="minorEastAsia" w:hAnsiTheme="minorEastAsia" w:eastAsiaTheme="minorEastAsia"/>
          <w:snapToGrid w:val="0"/>
          <w:kern w:val="0"/>
          <w:sz w:val="21"/>
          <w:szCs w:val="21"/>
        </w:rPr>
        <w:t>）谈判文件的全部内容。</w:t>
      </w:r>
    </w:p>
    <w:p w14:paraId="3800ECAA">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6AA57AE5">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5398A05A">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4F8003FD">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DB1F11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5E68FA95">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14:paraId="6F4CC206">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26203403">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2166076B">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3D078851">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5430DAD5">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6C483995">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具有独立承担民事责任能力的在中华人民共和国境内注册的法定代表人或其他组织或自然人，有效的营业执照（或事业法定代表人登记证或身份证等相关证明）。</w:t>
      </w:r>
    </w:p>
    <w:p w14:paraId="3160857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480B577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C3497A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1C569FF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6AC036F4">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14:paraId="05EFA699">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4FB6F5E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01003D7D">
      <w:pPr>
        <w:pStyle w:val="15"/>
        <w:adjustRightInd w:val="0"/>
        <w:snapToGrid w:val="0"/>
        <w:spacing w:line="360" w:lineRule="auto"/>
        <w:rPr>
          <w:rFonts w:asciiTheme="minorEastAsia" w:hAnsiTheme="minorEastAsia" w:eastAsiaTheme="minorEastAsia"/>
          <w:sz w:val="21"/>
          <w:szCs w:val="21"/>
        </w:rPr>
      </w:pPr>
    </w:p>
    <w:p w14:paraId="7D940223">
      <w:pPr>
        <w:pStyle w:val="15"/>
        <w:adjustRightInd w:val="0"/>
        <w:snapToGrid w:val="0"/>
        <w:spacing w:line="360" w:lineRule="auto"/>
        <w:rPr>
          <w:rFonts w:asciiTheme="minorEastAsia" w:hAnsiTheme="minorEastAsia" w:eastAsiaTheme="minorEastAsia"/>
          <w:sz w:val="21"/>
          <w:szCs w:val="21"/>
        </w:rPr>
      </w:pPr>
    </w:p>
    <w:p w14:paraId="431B3377">
      <w:pPr>
        <w:pStyle w:val="15"/>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5D15793A">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地    址：.                                     邮政编码：.</w:t>
      </w:r>
    </w:p>
    <w:p w14:paraId="3EEEA175">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供应商代表姓名：.                               职    务：.</w:t>
      </w:r>
    </w:p>
    <w:p w14:paraId="4B227981">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手    机：.                                     固定电话：.</w:t>
      </w:r>
    </w:p>
    <w:p w14:paraId="77ECD134">
      <w:pPr>
        <w:adjustRightInd w:val="0"/>
        <w:snapToGrid w:val="0"/>
        <w:spacing w:line="360" w:lineRule="auto"/>
        <w:ind w:firstLine="422" w:firstLineChars="200"/>
        <w:rPr>
          <w:rFonts w:cs="宋体" w:asciiTheme="minorEastAsia" w:hAnsiTheme="minorEastAsia"/>
          <w:b/>
          <w:szCs w:val="21"/>
        </w:rPr>
      </w:pPr>
      <w:r>
        <w:rPr>
          <w:rFonts w:hint="eastAsia" w:cs="宋体" w:asciiTheme="minorEastAsia" w:hAnsiTheme="minorEastAsia"/>
          <w:b/>
          <w:szCs w:val="21"/>
        </w:rPr>
        <w:t>注：</w:t>
      </w:r>
    </w:p>
    <w:p w14:paraId="7D30A386">
      <w:pPr>
        <w:adjustRightInd w:val="0"/>
        <w:snapToGrid w:val="0"/>
        <w:spacing w:line="360" w:lineRule="auto"/>
        <w:ind w:firstLine="422" w:firstLineChars="200"/>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0F47481B">
      <w:pPr>
        <w:adjustRightInd w:val="0"/>
        <w:snapToGrid w:val="0"/>
        <w:spacing w:line="360" w:lineRule="auto"/>
        <w:rPr>
          <w:rFonts w:cs="宋体" w:asciiTheme="minorEastAsia" w:hAnsiTheme="minorEastAsia"/>
          <w:szCs w:val="21"/>
          <w:u w:val="single"/>
        </w:rPr>
      </w:pPr>
    </w:p>
    <w:p w14:paraId="6381D003">
      <w:pPr>
        <w:adjustRightInd w:val="0"/>
        <w:snapToGrid w:val="0"/>
        <w:spacing w:line="360" w:lineRule="auto"/>
        <w:rPr>
          <w:rFonts w:cs="宋体" w:asciiTheme="minorEastAsia" w:hAnsiTheme="minorEastAsia"/>
          <w:szCs w:val="21"/>
          <w:u w:val="single"/>
        </w:rPr>
      </w:pPr>
    </w:p>
    <w:p w14:paraId="26436887">
      <w:pPr>
        <w:adjustRightInd w:val="0"/>
        <w:snapToGrid w:val="0"/>
        <w:spacing w:line="360" w:lineRule="auto"/>
        <w:rPr>
          <w:rFonts w:cs="宋体" w:asciiTheme="minorEastAsia" w:hAnsiTheme="minorEastAsia"/>
          <w:szCs w:val="21"/>
          <w:u w:val="single"/>
        </w:rPr>
      </w:pPr>
    </w:p>
    <w:p w14:paraId="3975D468">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5E237084">
      <w:pPr>
        <w:adjustRightInd w:val="0"/>
        <w:snapToGrid w:val="0"/>
        <w:spacing w:line="360" w:lineRule="auto"/>
        <w:ind w:firstLine="4305" w:firstLineChars="2050"/>
        <w:rPr>
          <w:rFonts w:cs="宋体" w:asciiTheme="minorEastAsia" w:hAnsiTheme="minorEastAsia"/>
          <w:szCs w:val="21"/>
        </w:rPr>
      </w:pPr>
    </w:p>
    <w:p w14:paraId="147AC453">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7FFC3588">
      <w:pPr>
        <w:adjustRightInd w:val="0"/>
        <w:snapToGrid w:val="0"/>
        <w:spacing w:line="360" w:lineRule="auto"/>
        <w:ind w:firstLine="4305" w:firstLineChars="2050"/>
        <w:rPr>
          <w:rFonts w:cs="宋体" w:asciiTheme="minorEastAsia" w:hAnsiTheme="minorEastAsia"/>
          <w:szCs w:val="21"/>
        </w:rPr>
      </w:pPr>
    </w:p>
    <w:p w14:paraId="4C6BA1DB">
      <w:pPr>
        <w:adjustRightInd w:val="0"/>
        <w:snapToGrid w:val="0"/>
        <w:spacing w:line="360" w:lineRule="auto"/>
        <w:ind w:firstLine="4305" w:firstLineChars="2050"/>
        <w:rPr>
          <w:rFonts w:cs="宋体" w:asciiTheme="minorEastAsia" w:hAnsiTheme="minorEastAsia"/>
          <w:szCs w:val="21"/>
        </w:rPr>
      </w:pPr>
    </w:p>
    <w:p w14:paraId="705329F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1C146860">
      <w:pPr>
        <w:autoSpaceDE w:val="0"/>
        <w:autoSpaceDN w:val="0"/>
        <w:adjustRightInd w:val="0"/>
        <w:spacing w:line="480" w:lineRule="auto"/>
        <w:ind w:firstLine="616" w:firstLineChars="257"/>
        <w:rPr>
          <w:rFonts w:ascii="宋体" w:hAnsi="宋体"/>
          <w:sz w:val="24"/>
          <w:szCs w:val="24"/>
        </w:rPr>
      </w:pPr>
    </w:p>
    <w:p w14:paraId="5926753F">
      <w:pPr>
        <w:pStyle w:val="54"/>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DE48563">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4D7C75A">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67013785">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w:t>
      </w:r>
      <w:r>
        <w:rPr>
          <w:rFonts w:asciiTheme="minorEastAsia" w:hAnsiTheme="minorEastAsia"/>
          <w:sz w:val="21"/>
          <w:szCs w:val="21"/>
        </w:rPr>
        <w:t>（</w:t>
      </w:r>
      <w:r>
        <w:rPr>
          <w:rFonts w:asciiTheme="minorEastAsia" w:hAnsiTheme="minorEastAsia"/>
          <w:i/>
          <w:sz w:val="21"/>
          <w:szCs w:val="21"/>
          <w:u w:val="single"/>
        </w:rPr>
        <w:t>项目编号</w:t>
      </w:r>
      <w:r>
        <w:rPr>
          <w:rFonts w:asciiTheme="minorEastAsia" w:hAnsiTheme="minorEastAsia"/>
          <w:sz w:val="21"/>
          <w:szCs w:val="21"/>
        </w:rPr>
        <w:t>）</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5CA85B98">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44A9BF96">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0CC2000D">
      <w:pPr>
        <w:pStyle w:val="54"/>
        <w:spacing w:line="480" w:lineRule="auto"/>
        <w:ind w:firstLine="472" w:firstLineChars="225"/>
        <w:jc w:val="left"/>
        <w:rPr>
          <w:rFonts w:asciiTheme="minorEastAsia" w:hAnsiTheme="minorEastAsia"/>
          <w:sz w:val="21"/>
          <w:szCs w:val="21"/>
        </w:rPr>
      </w:pPr>
    </w:p>
    <w:p w14:paraId="019DD286">
      <w:pPr>
        <w:pStyle w:val="54"/>
        <w:spacing w:line="480" w:lineRule="auto"/>
        <w:ind w:firstLine="472" w:firstLineChars="225"/>
        <w:jc w:val="left"/>
        <w:rPr>
          <w:rFonts w:asciiTheme="minorEastAsia" w:hAnsiTheme="minorEastAsia"/>
          <w:sz w:val="21"/>
          <w:szCs w:val="21"/>
        </w:rPr>
      </w:pPr>
    </w:p>
    <w:p w14:paraId="1EF38FF2">
      <w:pPr>
        <w:pStyle w:val="54"/>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7E2C9B16">
      <w:pPr>
        <w:pStyle w:val="54"/>
        <w:spacing w:line="480" w:lineRule="auto"/>
        <w:ind w:left="-538" w:leftChars="-256" w:firstLine="539" w:firstLineChars="257"/>
        <w:jc w:val="center"/>
        <w:rPr>
          <w:rFonts w:asciiTheme="minorEastAsia" w:hAnsiTheme="minorEastAsia"/>
          <w:bCs/>
          <w:sz w:val="21"/>
          <w:szCs w:val="21"/>
        </w:rPr>
      </w:pPr>
    </w:p>
    <w:p w14:paraId="75443DBB">
      <w:pPr>
        <w:autoSpaceDE w:val="0"/>
        <w:autoSpaceDN w:val="0"/>
        <w:adjustRightInd w:val="0"/>
        <w:spacing w:line="360" w:lineRule="auto"/>
        <w:ind w:right="-11"/>
        <w:rPr>
          <w:rFonts w:cs="宋体" w:asciiTheme="minorEastAsia" w:hAnsiTheme="minorEastAsia"/>
          <w:szCs w:val="21"/>
          <w:lang w:val="zh-CN"/>
        </w:rPr>
      </w:pPr>
    </w:p>
    <w:p w14:paraId="76D71CA2">
      <w:pPr>
        <w:autoSpaceDE w:val="0"/>
        <w:autoSpaceDN w:val="0"/>
        <w:adjustRightInd w:val="0"/>
        <w:spacing w:line="360" w:lineRule="auto"/>
        <w:ind w:right="-11"/>
        <w:rPr>
          <w:rFonts w:cs="宋体" w:asciiTheme="minorEastAsia" w:hAnsiTheme="minorEastAsia"/>
          <w:szCs w:val="21"/>
          <w:lang w:val="zh-CN"/>
        </w:rPr>
      </w:pPr>
    </w:p>
    <w:p w14:paraId="3F0C5E72">
      <w:pPr>
        <w:autoSpaceDE w:val="0"/>
        <w:autoSpaceDN w:val="0"/>
        <w:adjustRightInd w:val="0"/>
        <w:spacing w:line="360" w:lineRule="auto"/>
        <w:ind w:right="-11"/>
        <w:rPr>
          <w:rFonts w:cs="宋体" w:asciiTheme="minorEastAsia" w:hAnsiTheme="minorEastAsia"/>
          <w:szCs w:val="21"/>
          <w:lang w:val="zh-CN"/>
        </w:rPr>
      </w:pPr>
    </w:p>
    <w:p w14:paraId="4F934EA2">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CEC38D7">
      <w:pPr>
        <w:pStyle w:val="57"/>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5A653AF5">
      <w:pPr>
        <w:pStyle w:val="56"/>
        <w:spacing w:line="480" w:lineRule="auto"/>
        <w:rPr>
          <w:rFonts w:cs="Arial" w:asciiTheme="minorEastAsia" w:hAnsiTheme="minorEastAsia"/>
          <w:sz w:val="21"/>
          <w:szCs w:val="21"/>
        </w:rPr>
      </w:pPr>
    </w:p>
    <w:p w14:paraId="4DB18C58">
      <w:pPr>
        <w:rPr>
          <w:szCs w:val="21"/>
        </w:rPr>
      </w:pPr>
    </w:p>
    <w:p w14:paraId="322EA393">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34D044E3">
      <w:pPr>
        <w:spacing w:line="320" w:lineRule="exact"/>
        <w:ind w:firstLine="420" w:firstLineChars="200"/>
        <w:rPr>
          <w:rFonts w:asciiTheme="minorEastAsia" w:hAnsiTheme="minorEastAsia"/>
          <w:bCs/>
          <w:kern w:val="12"/>
          <w:szCs w:val="21"/>
        </w:rPr>
      </w:pPr>
    </w:p>
    <w:p w14:paraId="2EC300C8">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4E415FB7">
      <w:pPr>
        <w:spacing w:line="480" w:lineRule="exact"/>
        <w:jc w:val="center"/>
        <w:rPr>
          <w:rFonts w:ascii="宋体" w:hAnsi="宋体"/>
          <w:b/>
          <w:bCs/>
          <w:sz w:val="36"/>
          <w:szCs w:val="36"/>
        </w:rPr>
      </w:pPr>
    </w:p>
    <w:p w14:paraId="195AEC1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asciiTheme="minorEastAsia" w:hAnsiTheme="minorEastAsia"/>
          <w:i/>
          <w:snapToGrid w:val="0"/>
          <w:szCs w:val="21"/>
          <w:u w:val="single"/>
        </w:rPr>
        <w:t>法定代表人姓名</w:t>
      </w:r>
      <w:r>
        <w:rPr>
          <w:rFonts w:hint="eastAsia" w:cs="Arial" w:asciiTheme="minorEastAsia" w:hAnsiTheme="minorEastAsia"/>
          <w:szCs w:val="21"/>
        </w:rPr>
        <w:t>）系</w:t>
      </w:r>
      <w:r>
        <w:rPr>
          <w:rFonts w:hint="eastAsia" w:cs="Arial" w:asciiTheme="minorEastAsia" w:hAnsiTheme="minorEastAsia"/>
          <w:szCs w:val="21"/>
          <w:u w:val="single"/>
        </w:rPr>
        <w:t>（</w:t>
      </w:r>
      <w:r>
        <w:rPr>
          <w:rFonts w:hint="eastAsia" w:asciiTheme="minorEastAsia" w:hAnsiTheme="minorEastAsia"/>
          <w:i/>
          <w:snapToGrid w:val="0"/>
          <w:szCs w:val="21"/>
          <w:u w:val="single"/>
        </w:rPr>
        <w:t>供应商名称</w:t>
      </w:r>
      <w:r>
        <w:rPr>
          <w:rFonts w:hint="eastAsia" w:cs="Arial" w:asciiTheme="minorEastAsia" w:hAnsiTheme="minorEastAsia"/>
          <w:szCs w:val="21"/>
          <w:u w:val="single"/>
        </w:rPr>
        <w:t>）</w:t>
      </w:r>
      <w:r>
        <w:rPr>
          <w:rFonts w:hint="eastAsia" w:cs="Arial" w:asciiTheme="minorEastAsia" w:hAnsiTheme="minorEastAsia"/>
          <w:szCs w:val="21"/>
        </w:rPr>
        <w:t>的法定代表人（单位负责人），现委托（</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hint="eastAsia" w:asciiTheme="minorEastAsia" w:hAnsiTheme="minorEastAsia"/>
          <w:snapToGrid w:val="0"/>
          <w:kern w:val="0"/>
          <w:szCs w:val="21"/>
        </w:rPr>
        <w:t>（</w:t>
      </w:r>
      <w:r>
        <w:rPr>
          <w:rFonts w:hint="eastAsia"/>
          <w:i/>
          <w:u w:val="single"/>
        </w:rPr>
        <w:t>项目编号、项目名称</w:t>
      </w:r>
      <w:r>
        <w:rPr>
          <w:rFonts w:hint="eastAsia" w:asciiTheme="minorEastAsia" w:hAnsiTheme="minorEastAsia"/>
          <w:snapToGrid w:val="0"/>
          <w:kern w:val="0"/>
          <w:szCs w:val="21"/>
        </w:rPr>
        <w:t>）</w:t>
      </w:r>
      <w:r>
        <w:rPr>
          <w:rFonts w:hint="eastAsia" w:cs="Arial" w:asciiTheme="minorEastAsia" w:hAnsiTheme="minorEastAsia"/>
          <w:szCs w:val="21"/>
        </w:rPr>
        <w:t>的谈判响应活动，并代表我方全权办理针对上述项目的谈判、响应文件澄清、签约等一切具体事务和签署相关文件。</w:t>
      </w:r>
    </w:p>
    <w:p w14:paraId="2FBFE8B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3888B36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6828E5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033B471F">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2BA74432">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7C4BCB45">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7FECFDF7">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88F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C7F354D">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6CCB532D">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18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27C749A8">
            <w:pPr>
              <w:jc w:val="center"/>
              <w:rPr>
                <w:rFonts w:asciiTheme="minorEastAsia" w:hAnsiTheme="minorEastAsia"/>
                <w:szCs w:val="21"/>
              </w:rPr>
            </w:pPr>
            <w:r>
              <w:rPr>
                <w:rFonts w:hint="eastAsia" w:asciiTheme="minorEastAsia" w:hAnsiTheme="minorEastAsia"/>
                <w:szCs w:val="21"/>
              </w:rPr>
              <w:t>法定代表人（单位负责人）授权代表身份证</w:t>
            </w:r>
          </w:p>
          <w:p w14:paraId="2D6133BF">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660B690C">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F10D5A5">
            <w:pPr>
              <w:jc w:val="center"/>
              <w:rPr>
                <w:rFonts w:asciiTheme="minorEastAsia" w:hAnsiTheme="minorEastAsia"/>
                <w:szCs w:val="21"/>
              </w:rPr>
            </w:pPr>
            <w:r>
              <w:rPr>
                <w:rFonts w:hint="eastAsia" w:asciiTheme="minorEastAsia" w:hAnsiTheme="minorEastAsia"/>
                <w:szCs w:val="21"/>
              </w:rPr>
              <w:t>（反面）</w:t>
            </w:r>
          </w:p>
        </w:tc>
      </w:tr>
    </w:tbl>
    <w:p w14:paraId="762735C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谈判承诺函</w:t>
      </w:r>
    </w:p>
    <w:p w14:paraId="044099ED">
      <w:pPr>
        <w:autoSpaceDE w:val="0"/>
        <w:autoSpaceDN w:val="0"/>
        <w:snapToGrid w:val="0"/>
        <w:spacing w:line="360" w:lineRule="auto"/>
        <w:jc w:val="center"/>
        <w:rPr>
          <w:rFonts w:ascii="宋体" w:hAnsi="宋体"/>
          <w:b/>
          <w:bCs/>
          <w:sz w:val="24"/>
          <w:szCs w:val="24"/>
        </w:rPr>
      </w:pPr>
    </w:p>
    <w:p w14:paraId="2A198072">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14:paraId="65C0CFBF">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w:t>
      </w:r>
      <w:r>
        <w:rPr>
          <w:rFonts w:hint="eastAsia" w:cs="宋体" w:asciiTheme="minorEastAsia" w:hAnsiTheme="minorEastAsia"/>
          <w:szCs w:val="21"/>
          <w:lang w:val="zh-CN"/>
        </w:rPr>
        <w:t>（</w:t>
      </w:r>
      <w:r>
        <w:rPr>
          <w:rFonts w:hint="eastAsia" w:cs="宋体" w:asciiTheme="minorEastAsia" w:hAnsiTheme="minorEastAsia"/>
          <w:i/>
          <w:szCs w:val="21"/>
          <w:u w:val="single"/>
          <w:lang w:val="zh-CN"/>
        </w:rPr>
        <w:t>项目编号、项目名称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86A2086">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299F687D">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0D9FDC6">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62DCAFF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3AA6F3BF">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51C2F0BD">
      <w:pPr>
        <w:rPr>
          <w:sz w:val="28"/>
          <w:szCs w:val="28"/>
          <w:u w:val="single"/>
        </w:rPr>
      </w:pPr>
    </w:p>
    <w:p w14:paraId="6DE21324">
      <w:pPr>
        <w:rPr>
          <w:sz w:val="28"/>
          <w:szCs w:val="28"/>
          <w:u w:val="single"/>
        </w:rPr>
      </w:pPr>
    </w:p>
    <w:p w14:paraId="00F92832">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3723B2E8">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A91453B">
      <w:pPr>
        <w:autoSpaceDE w:val="0"/>
        <w:autoSpaceDN w:val="0"/>
        <w:adjustRightInd w:val="0"/>
        <w:spacing w:line="360" w:lineRule="auto"/>
        <w:jc w:val="center"/>
        <w:rPr>
          <w:rFonts w:ascii="宋体" w:cs="宋体"/>
          <w:szCs w:val="21"/>
          <w:lang w:val="zh-CN"/>
        </w:rPr>
      </w:pPr>
    </w:p>
    <w:p w14:paraId="6B1FD33B">
      <w:pPr>
        <w:autoSpaceDE w:val="0"/>
        <w:autoSpaceDN w:val="0"/>
        <w:adjustRightInd w:val="0"/>
        <w:spacing w:line="360" w:lineRule="auto"/>
        <w:ind w:right="-11"/>
        <w:rPr>
          <w:rFonts w:ascii="宋体" w:cs="宋体"/>
          <w:szCs w:val="21"/>
          <w:lang w:val="zh-CN"/>
        </w:rPr>
      </w:pPr>
    </w:p>
    <w:p w14:paraId="1239779D">
      <w:pPr>
        <w:autoSpaceDE w:val="0"/>
        <w:autoSpaceDN w:val="0"/>
        <w:adjustRightInd w:val="0"/>
        <w:spacing w:line="360" w:lineRule="auto"/>
        <w:jc w:val="center"/>
        <w:rPr>
          <w:rFonts w:cs="宋体" w:asciiTheme="minorEastAsia" w:hAnsiTheme="minorEastAsia"/>
          <w:sz w:val="24"/>
          <w:szCs w:val="24"/>
          <w:lang w:val="zh-CN"/>
        </w:rPr>
      </w:pPr>
    </w:p>
    <w:p w14:paraId="7DF52E21">
      <w:pPr>
        <w:autoSpaceDE w:val="0"/>
        <w:autoSpaceDN w:val="0"/>
        <w:adjustRightInd w:val="0"/>
        <w:spacing w:line="360" w:lineRule="auto"/>
        <w:jc w:val="center"/>
        <w:rPr>
          <w:rFonts w:cs="宋体" w:asciiTheme="minorEastAsia" w:hAnsiTheme="minorEastAsia"/>
          <w:sz w:val="24"/>
          <w:szCs w:val="24"/>
          <w:lang w:val="zh-CN"/>
        </w:rPr>
      </w:pPr>
    </w:p>
    <w:p w14:paraId="72FE508A">
      <w:pPr>
        <w:autoSpaceDE w:val="0"/>
        <w:autoSpaceDN w:val="0"/>
        <w:adjustRightInd w:val="0"/>
        <w:spacing w:line="360" w:lineRule="auto"/>
        <w:jc w:val="center"/>
        <w:rPr>
          <w:rFonts w:cs="宋体" w:asciiTheme="minorEastAsia" w:hAnsiTheme="minorEastAsia"/>
          <w:sz w:val="24"/>
          <w:szCs w:val="24"/>
          <w:lang w:val="zh-CN"/>
        </w:rPr>
      </w:pPr>
    </w:p>
    <w:p w14:paraId="1D6FB999">
      <w:pPr>
        <w:autoSpaceDE w:val="0"/>
        <w:autoSpaceDN w:val="0"/>
        <w:adjustRightInd w:val="0"/>
        <w:spacing w:line="360" w:lineRule="auto"/>
        <w:jc w:val="center"/>
        <w:rPr>
          <w:rFonts w:cs="宋体" w:asciiTheme="minorEastAsia" w:hAnsiTheme="minorEastAsia"/>
          <w:sz w:val="24"/>
          <w:szCs w:val="24"/>
          <w:lang w:val="zh-CN"/>
        </w:rPr>
      </w:pPr>
    </w:p>
    <w:p w14:paraId="58372C1C">
      <w:pPr>
        <w:autoSpaceDE w:val="0"/>
        <w:autoSpaceDN w:val="0"/>
        <w:adjustRightInd w:val="0"/>
        <w:spacing w:line="360" w:lineRule="auto"/>
        <w:jc w:val="center"/>
        <w:rPr>
          <w:rFonts w:cs="宋体" w:asciiTheme="minorEastAsia" w:hAnsiTheme="minorEastAsia"/>
          <w:sz w:val="24"/>
          <w:szCs w:val="24"/>
          <w:lang w:val="zh-CN"/>
        </w:rPr>
      </w:pPr>
    </w:p>
    <w:p w14:paraId="4CDEDD86">
      <w:pPr>
        <w:autoSpaceDE w:val="0"/>
        <w:autoSpaceDN w:val="0"/>
        <w:adjustRightInd w:val="0"/>
        <w:spacing w:line="360" w:lineRule="auto"/>
        <w:jc w:val="center"/>
        <w:rPr>
          <w:rFonts w:cs="宋体" w:asciiTheme="minorEastAsia" w:hAnsiTheme="minorEastAsia"/>
          <w:sz w:val="24"/>
          <w:szCs w:val="24"/>
          <w:lang w:val="zh-CN"/>
        </w:rPr>
      </w:pPr>
    </w:p>
    <w:p w14:paraId="256E05E6">
      <w:pPr>
        <w:autoSpaceDE w:val="0"/>
        <w:autoSpaceDN w:val="0"/>
        <w:adjustRightInd w:val="0"/>
        <w:spacing w:line="360" w:lineRule="auto"/>
        <w:jc w:val="center"/>
        <w:rPr>
          <w:rFonts w:cs="宋体" w:asciiTheme="minorEastAsia" w:hAnsiTheme="minorEastAsia"/>
          <w:sz w:val="24"/>
          <w:szCs w:val="24"/>
          <w:lang w:val="zh-CN"/>
        </w:rPr>
      </w:pPr>
    </w:p>
    <w:p w14:paraId="3F4356D3">
      <w:pPr>
        <w:autoSpaceDE w:val="0"/>
        <w:autoSpaceDN w:val="0"/>
        <w:adjustRightInd w:val="0"/>
        <w:spacing w:line="360" w:lineRule="auto"/>
        <w:jc w:val="center"/>
        <w:rPr>
          <w:rFonts w:cs="宋体" w:asciiTheme="minorEastAsia" w:hAnsiTheme="minorEastAsia"/>
          <w:sz w:val="24"/>
          <w:szCs w:val="24"/>
          <w:lang w:val="zh-CN"/>
        </w:rPr>
      </w:pPr>
    </w:p>
    <w:p w14:paraId="137C8396">
      <w:pPr>
        <w:jc w:val="center"/>
        <w:rPr>
          <w:rFonts w:cs="方正小标宋简体" w:asciiTheme="minorEastAsia" w:hAnsiTheme="minorEastAsia"/>
          <w:b/>
          <w:sz w:val="36"/>
          <w:szCs w:val="36"/>
        </w:rPr>
      </w:pPr>
      <w:r>
        <w:rPr>
          <w:rFonts w:hint="eastAsia" w:asciiTheme="minorEastAsia" w:hAnsiTheme="minorEastAsia"/>
          <w:b/>
          <w:bCs/>
          <w:sz w:val="24"/>
          <w:szCs w:val="24"/>
        </w:rPr>
        <w:t>3.5</w:t>
      </w:r>
      <w:r>
        <w:rPr>
          <w:rFonts w:hint="eastAsia" w:cs="方正小标宋简体" w:asciiTheme="minorEastAsia" w:hAnsiTheme="minorEastAsia"/>
          <w:b/>
          <w:sz w:val="24"/>
          <w:szCs w:val="24"/>
        </w:rPr>
        <w:t>许昌市政府采购供应商信用承诺函</w:t>
      </w:r>
    </w:p>
    <w:p w14:paraId="02ABE73B">
      <w:pPr>
        <w:rPr>
          <w:rFonts w:ascii="仿宋_GB2312" w:hAnsi="仿宋_GB2312" w:eastAsia="仿宋_GB2312" w:cs="仿宋_GB2312"/>
          <w:sz w:val="32"/>
          <w:szCs w:val="32"/>
        </w:rPr>
      </w:pPr>
    </w:p>
    <w:p w14:paraId="086B11AB">
      <w:pPr>
        <w:spacing w:line="600" w:lineRule="exact"/>
        <w:rPr>
          <w:rFonts w:ascii="宋体" w:hAnsi="宋体" w:eastAsia="宋体" w:cs="仿宋_GB2312"/>
          <w:szCs w:val="21"/>
        </w:rPr>
      </w:pPr>
      <w:r>
        <w:rPr>
          <w:rFonts w:hint="eastAsia" w:ascii="宋体" w:hAnsi="宋体" w:eastAsia="宋体" w:cs="仿宋_GB2312"/>
          <w:szCs w:val="21"/>
        </w:rPr>
        <w:t>致</w:t>
      </w:r>
      <w:r>
        <w:rPr>
          <w:rFonts w:hint="eastAsia" w:ascii="宋体" w:hAnsi="宋体" w:eastAsia="宋体" w:cs="仿宋_GB2312"/>
          <w:szCs w:val="21"/>
          <w:u w:val="single"/>
        </w:rPr>
        <w:t>（采购人或采购代理机构）</w:t>
      </w:r>
      <w:r>
        <w:rPr>
          <w:rFonts w:hint="eastAsia" w:ascii="宋体" w:hAnsi="宋体" w:eastAsia="宋体" w:cs="仿宋_GB2312"/>
          <w:szCs w:val="21"/>
        </w:rPr>
        <w:t>：</w:t>
      </w:r>
    </w:p>
    <w:p w14:paraId="4A5AA411">
      <w:pPr>
        <w:spacing w:line="600" w:lineRule="exact"/>
        <w:ind w:firstLine="376" w:firstLineChars="200"/>
        <w:rPr>
          <w:rFonts w:ascii="宋体" w:hAnsi="宋体" w:eastAsia="宋体" w:cs="仿宋_GB2312"/>
          <w:spacing w:val="-11"/>
          <w:szCs w:val="21"/>
          <w:u w:val="single"/>
        </w:rPr>
      </w:pPr>
      <w:r>
        <w:rPr>
          <w:rFonts w:hint="eastAsia" w:ascii="宋体" w:hAnsi="宋体" w:eastAsia="宋体" w:cs="仿宋_GB2312"/>
          <w:spacing w:val="-11"/>
          <w:szCs w:val="21"/>
        </w:rPr>
        <w:t>单位名称（自然人姓名）:</w:t>
      </w:r>
      <w:r>
        <w:rPr>
          <w:rFonts w:hint="eastAsia" w:ascii="宋体" w:hAnsi="宋体" w:eastAsia="宋体" w:cs="仿宋_GB2312"/>
          <w:spacing w:val="-11"/>
          <w:szCs w:val="21"/>
          <w:u w:val="single"/>
        </w:rPr>
        <w:t xml:space="preserve">                             </w:t>
      </w:r>
    </w:p>
    <w:p w14:paraId="4980E73A">
      <w:pPr>
        <w:spacing w:line="600" w:lineRule="exact"/>
        <w:ind w:firstLine="376" w:firstLineChars="200"/>
        <w:rPr>
          <w:rFonts w:ascii="宋体" w:hAnsi="宋体" w:eastAsia="宋体" w:cs="仿宋_GB2312"/>
          <w:spacing w:val="-11"/>
          <w:szCs w:val="21"/>
          <w:u w:val="single"/>
        </w:rPr>
      </w:pPr>
      <w:r>
        <w:rPr>
          <w:rFonts w:hint="eastAsia" w:ascii="宋体" w:hAnsi="宋体" w:eastAsia="宋体" w:cs="仿宋_GB2312"/>
          <w:spacing w:val="-11"/>
          <w:szCs w:val="21"/>
        </w:rPr>
        <w:t>统一社会信用代码（身份证号码）:</w:t>
      </w:r>
      <w:r>
        <w:rPr>
          <w:rFonts w:hint="eastAsia" w:ascii="宋体" w:hAnsi="宋体" w:eastAsia="宋体" w:cs="仿宋_GB2312"/>
          <w:spacing w:val="-11"/>
          <w:szCs w:val="21"/>
          <w:u w:val="single"/>
        </w:rPr>
        <w:t xml:space="preserve">                     </w:t>
      </w:r>
    </w:p>
    <w:p w14:paraId="5488D5F3">
      <w:pPr>
        <w:spacing w:line="600" w:lineRule="exact"/>
        <w:ind w:firstLine="376" w:firstLineChars="200"/>
        <w:rPr>
          <w:rFonts w:ascii="宋体" w:hAnsi="宋体" w:eastAsia="宋体" w:cs="仿宋_GB2312"/>
          <w:spacing w:val="-11"/>
          <w:szCs w:val="21"/>
          <w:u w:val="single"/>
        </w:rPr>
      </w:pPr>
      <w:r>
        <w:rPr>
          <w:rFonts w:hint="eastAsia" w:ascii="宋体" w:hAnsi="宋体" w:eastAsia="宋体" w:cs="仿宋_GB2312"/>
          <w:spacing w:val="-11"/>
          <w:szCs w:val="21"/>
        </w:rPr>
        <w:t>法定代表人（负责人）:</w:t>
      </w:r>
      <w:r>
        <w:rPr>
          <w:rFonts w:hint="eastAsia" w:ascii="宋体" w:hAnsi="宋体" w:eastAsia="宋体" w:cs="仿宋_GB2312"/>
          <w:spacing w:val="-11"/>
          <w:szCs w:val="21"/>
          <w:u w:val="single"/>
        </w:rPr>
        <w:t xml:space="preserve">                               </w:t>
      </w:r>
    </w:p>
    <w:p w14:paraId="386F6493">
      <w:pPr>
        <w:spacing w:line="600" w:lineRule="exact"/>
        <w:ind w:firstLine="376" w:firstLineChars="200"/>
        <w:rPr>
          <w:rFonts w:ascii="宋体" w:hAnsi="宋体" w:eastAsia="宋体" w:cs="仿宋_GB2312"/>
          <w:spacing w:val="-11"/>
          <w:szCs w:val="21"/>
          <w:u w:val="single"/>
        </w:rPr>
      </w:pPr>
      <w:r>
        <w:rPr>
          <w:rFonts w:hint="eastAsia" w:ascii="宋体" w:hAnsi="宋体" w:eastAsia="宋体" w:cs="仿宋_GB2312"/>
          <w:spacing w:val="-11"/>
          <w:szCs w:val="21"/>
        </w:rPr>
        <w:t>联系地址和电话：</w:t>
      </w:r>
      <w:r>
        <w:rPr>
          <w:rFonts w:hint="eastAsia" w:ascii="宋体" w:hAnsi="宋体" w:eastAsia="宋体" w:cs="仿宋_GB2312"/>
          <w:spacing w:val="-11"/>
          <w:szCs w:val="21"/>
          <w:u w:val="single"/>
        </w:rPr>
        <w:t xml:space="preserve">                                    </w:t>
      </w:r>
    </w:p>
    <w:p w14:paraId="28BFAF5F">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为维护公平、公正、公开的政府采购市场秩序，树立诚实守信的政府采购供应商形象，我单位（本人）自愿作出以下承诺：</w:t>
      </w:r>
    </w:p>
    <w:p w14:paraId="7AC48924">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864AF54">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（一）具有独立承担民事责任的能力；</w:t>
      </w:r>
    </w:p>
    <w:p w14:paraId="5884C5BC">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（二）具有良好的商业信誉和健全的财务会计制度；</w:t>
      </w:r>
    </w:p>
    <w:p w14:paraId="0EA12838">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（三）具有履行合同所必需的设备和专业技术能力；</w:t>
      </w:r>
    </w:p>
    <w:p w14:paraId="36703C6A">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（四）有依法缴纳税收和社会保障资金的良好记录；</w:t>
      </w:r>
    </w:p>
    <w:p w14:paraId="4454F4A5">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（五）参加政府采购活动前三年内，在经营活动中没有重大违法记录；</w:t>
      </w:r>
    </w:p>
    <w:p w14:paraId="07DE99E4">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（六）未</w:t>
      </w:r>
      <w:r>
        <w:rPr>
          <w:rFonts w:hint="eastAsia" w:ascii="宋体" w:hAnsi="宋体" w:eastAsia="宋体" w:cs="仿宋_GB2312"/>
          <w:spacing w:val="-6"/>
          <w:szCs w:val="21"/>
        </w:rPr>
        <w:t>被列入失信被执行人、重大税收违法案件当事人名单、政府采购严重违法失信行为记录名单、严重违法失信社会组织</w:t>
      </w:r>
      <w:r>
        <w:rPr>
          <w:rFonts w:hint="eastAsia" w:ascii="宋体" w:hAnsi="宋体" w:eastAsia="宋体" w:cs="仿宋_GB2312"/>
          <w:spacing w:val="-11"/>
          <w:szCs w:val="21"/>
        </w:rPr>
        <w:t>；</w:t>
      </w:r>
    </w:p>
    <w:p w14:paraId="57F84A76">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（七）与参加本项目投标的其他供应商之间，单位负责人不为同一人并且不存在直接控股、管理关系；</w:t>
      </w:r>
    </w:p>
    <w:p w14:paraId="725B21FD">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（八）未为本项目提供整体设计、规范编制或者项目管理、监理、检测等服务；</w:t>
      </w:r>
    </w:p>
    <w:p w14:paraId="3BD1D807">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（九）符合法律、行政法规规定的其他条件。</w:t>
      </w:r>
    </w:p>
    <w:p w14:paraId="663B1730">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3D81D3D">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供应商（电子章）:</w:t>
      </w:r>
    </w:p>
    <w:p w14:paraId="0C0BE6E3">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法定代表人、负责人、本人、或授权代表（签字或电子印章）:</w:t>
      </w:r>
    </w:p>
    <w:p w14:paraId="6A371E5D">
      <w:pPr>
        <w:spacing w:line="600" w:lineRule="exact"/>
        <w:ind w:firstLine="376" w:firstLineChars="200"/>
        <w:rPr>
          <w:rFonts w:ascii="宋体" w:hAnsi="宋体" w:eastAsia="宋体" w:cs="仿宋_GB2312"/>
          <w:spacing w:val="-11"/>
          <w:szCs w:val="21"/>
        </w:rPr>
      </w:pPr>
      <w:r>
        <w:rPr>
          <w:rFonts w:hint="eastAsia" w:ascii="宋体" w:hAnsi="宋体" w:eastAsia="宋体" w:cs="仿宋_GB2312"/>
          <w:spacing w:val="-11"/>
          <w:szCs w:val="21"/>
        </w:rPr>
        <w:t>日期：    年   月  日</w:t>
      </w:r>
    </w:p>
    <w:p w14:paraId="214201D0">
      <w:pPr>
        <w:rPr>
          <w:rFonts w:ascii="仿宋_GB2312" w:hAnsi="仿宋_GB2312" w:eastAsia="仿宋_GB2312" w:cs="仿宋_GB2312"/>
          <w:szCs w:val="21"/>
        </w:rPr>
      </w:pPr>
    </w:p>
    <w:p w14:paraId="1774E1DB">
      <w:pPr>
        <w:rPr>
          <w:rFonts w:ascii="华文仿宋" w:hAnsi="华文仿宋" w:eastAsia="华文仿宋" w:cs="华文仿宋"/>
          <w:szCs w:val="21"/>
        </w:rPr>
      </w:pPr>
    </w:p>
    <w:p w14:paraId="6CE9D3A8">
      <w:pPr>
        <w:rPr>
          <w:rFonts w:ascii="华文仿宋" w:hAnsi="华文仿宋" w:eastAsia="华文仿宋" w:cs="华文仿宋"/>
          <w:szCs w:val="21"/>
        </w:rPr>
      </w:pPr>
    </w:p>
    <w:p w14:paraId="4E8A682A">
      <w:pPr>
        <w:rPr>
          <w:rFonts w:ascii="华文仿宋" w:hAnsi="华文仿宋" w:eastAsia="华文仿宋" w:cs="华文仿宋"/>
          <w:szCs w:val="21"/>
        </w:rPr>
      </w:pPr>
    </w:p>
    <w:p w14:paraId="1367B1E0">
      <w:pPr>
        <w:rPr>
          <w:rFonts w:ascii="华文仿宋" w:hAnsi="华文仿宋" w:eastAsia="华文仿宋" w:cs="华文仿宋"/>
          <w:szCs w:val="21"/>
        </w:rPr>
      </w:pPr>
    </w:p>
    <w:p w14:paraId="71680608">
      <w:pPr>
        <w:rPr>
          <w:rFonts w:ascii="华文仿宋" w:hAnsi="华文仿宋" w:eastAsia="华文仿宋" w:cs="华文仿宋"/>
          <w:szCs w:val="21"/>
        </w:rPr>
      </w:pPr>
    </w:p>
    <w:p w14:paraId="235C0E79">
      <w:pPr>
        <w:rPr>
          <w:rFonts w:ascii="华文仿宋" w:hAnsi="华文仿宋" w:eastAsia="华文仿宋" w:cs="华文仿宋"/>
          <w:szCs w:val="21"/>
        </w:rPr>
      </w:pPr>
      <w:r>
        <w:rPr>
          <w:rFonts w:hint="eastAsia" w:ascii="华文仿宋" w:hAnsi="华文仿宋" w:eastAsia="华文仿宋" w:cs="华文仿宋"/>
          <w:szCs w:val="21"/>
        </w:rPr>
        <w:t>注：1.投标人须在投标文件中按此模板提供承诺函，未提供视为未实质性响应招标文件要求，按无效投标处理。</w:t>
      </w:r>
    </w:p>
    <w:p w14:paraId="5EC348AD">
      <w:pPr>
        <w:rPr>
          <w:rFonts w:ascii="华文仿宋" w:hAnsi="华文仿宋" w:eastAsia="华文仿宋" w:cs="华文仿宋"/>
          <w:szCs w:val="21"/>
        </w:rPr>
      </w:pPr>
      <w:r>
        <w:rPr>
          <w:rFonts w:hint="eastAsia" w:ascii="华文仿宋" w:hAnsi="华文仿宋" w:eastAsia="华文仿宋" w:cs="华文仿宋"/>
          <w:szCs w:val="21"/>
        </w:rPr>
        <w:t>2.投标人的法定代表人或者授权代表的签字或盖章应真实、有效，如由授权代表签字或盖章的，应提供“法定代表人授权书”。</w:t>
      </w:r>
    </w:p>
    <w:p w14:paraId="3C3AB0F3">
      <w:pPr>
        <w:spacing w:line="360" w:lineRule="auto"/>
        <w:jc w:val="center"/>
        <w:rPr>
          <w:rFonts w:ascii="宋体" w:cs="宋体"/>
          <w:sz w:val="24"/>
          <w:lang w:val="zh-CN"/>
        </w:rPr>
      </w:pPr>
      <w:r>
        <w:rPr>
          <w:rFonts w:ascii="宋体" w:cs="宋体"/>
          <w:sz w:val="24"/>
          <w:lang w:val="zh-CN"/>
        </w:rPr>
        <w:br w:type="page"/>
      </w:r>
    </w:p>
    <w:p w14:paraId="3178AC5C">
      <w:pPr>
        <w:spacing w:line="360" w:lineRule="auto"/>
        <w:jc w:val="center"/>
        <w:rPr>
          <w:rFonts w:ascii="宋体" w:hAnsi="宋体"/>
          <w:b/>
          <w:bCs/>
          <w:sz w:val="24"/>
          <w:szCs w:val="24"/>
        </w:rPr>
      </w:pPr>
      <w:r>
        <w:rPr>
          <w:rFonts w:hint="eastAsia" w:ascii="宋体" w:hAnsi="宋体"/>
          <w:b/>
          <w:bCs/>
          <w:sz w:val="24"/>
          <w:szCs w:val="24"/>
        </w:rPr>
        <w:t>3.6</w:t>
      </w:r>
      <w:r>
        <w:rPr>
          <w:rFonts w:ascii="宋体" w:hAnsi="宋体"/>
          <w:bCs/>
          <w:sz w:val="24"/>
          <w:szCs w:val="24"/>
        </w:rPr>
        <w:t xml:space="preserve"> </w:t>
      </w:r>
      <w:r>
        <w:rPr>
          <w:rFonts w:hint="eastAsia" w:ascii="宋体" w:hAnsi="宋体"/>
          <w:b/>
          <w:bCs/>
          <w:sz w:val="24"/>
          <w:szCs w:val="24"/>
        </w:rPr>
        <w:t xml:space="preserve">其他资格证书或材料 </w:t>
      </w:r>
    </w:p>
    <w:p w14:paraId="1410A6F0">
      <w:pPr>
        <w:autoSpaceDE w:val="0"/>
        <w:autoSpaceDN w:val="0"/>
        <w:adjustRightInd w:val="0"/>
        <w:spacing w:line="360" w:lineRule="auto"/>
        <w:jc w:val="center"/>
        <w:outlineLvl w:val="0"/>
        <w:rPr>
          <w:rFonts w:hAnsi="宋体" w:eastAsia="宋体"/>
          <w:b/>
          <w:snapToGrid w:val="0"/>
          <w:kern w:val="0"/>
          <w:sz w:val="36"/>
          <w:szCs w:val="36"/>
        </w:rPr>
      </w:pPr>
    </w:p>
    <w:p w14:paraId="4FEB5DD3">
      <w:pPr>
        <w:autoSpaceDE w:val="0"/>
        <w:autoSpaceDN w:val="0"/>
        <w:adjustRightInd w:val="0"/>
        <w:spacing w:line="360" w:lineRule="auto"/>
        <w:jc w:val="center"/>
        <w:outlineLvl w:val="0"/>
        <w:rPr>
          <w:rFonts w:hAnsi="宋体" w:eastAsia="宋体"/>
          <w:b/>
          <w:snapToGrid w:val="0"/>
          <w:kern w:val="0"/>
          <w:sz w:val="36"/>
          <w:szCs w:val="36"/>
        </w:rPr>
      </w:pPr>
    </w:p>
    <w:p w14:paraId="27C9FA8B">
      <w:pPr>
        <w:autoSpaceDE w:val="0"/>
        <w:autoSpaceDN w:val="0"/>
        <w:adjustRightInd w:val="0"/>
        <w:spacing w:line="360" w:lineRule="auto"/>
        <w:jc w:val="center"/>
        <w:outlineLvl w:val="0"/>
        <w:rPr>
          <w:rFonts w:hAnsi="宋体" w:eastAsia="宋体"/>
          <w:b/>
          <w:snapToGrid w:val="0"/>
          <w:kern w:val="0"/>
          <w:sz w:val="36"/>
          <w:szCs w:val="36"/>
        </w:rPr>
      </w:pPr>
    </w:p>
    <w:p w14:paraId="71D01F68">
      <w:pPr>
        <w:autoSpaceDE w:val="0"/>
        <w:autoSpaceDN w:val="0"/>
        <w:adjustRightInd w:val="0"/>
        <w:spacing w:line="360" w:lineRule="auto"/>
        <w:jc w:val="center"/>
        <w:outlineLvl w:val="0"/>
        <w:rPr>
          <w:rFonts w:hAnsi="宋体" w:eastAsia="宋体"/>
          <w:b/>
          <w:snapToGrid w:val="0"/>
          <w:kern w:val="0"/>
          <w:sz w:val="36"/>
          <w:szCs w:val="36"/>
        </w:rPr>
      </w:pPr>
    </w:p>
    <w:p w14:paraId="1E24E493">
      <w:pPr>
        <w:autoSpaceDE w:val="0"/>
        <w:autoSpaceDN w:val="0"/>
        <w:adjustRightInd w:val="0"/>
        <w:spacing w:line="360" w:lineRule="auto"/>
        <w:jc w:val="center"/>
        <w:rPr>
          <w:rFonts w:cs="黑体" w:asciiTheme="minorEastAsia" w:hAnsiTheme="minorEastAsia"/>
          <w:b/>
          <w:bCs/>
          <w:sz w:val="44"/>
          <w:szCs w:val="44"/>
          <w:lang w:val="zh-CN"/>
        </w:rPr>
      </w:pPr>
    </w:p>
    <w:p w14:paraId="61DAE3E8">
      <w:pPr>
        <w:autoSpaceDE w:val="0"/>
        <w:autoSpaceDN w:val="0"/>
        <w:adjustRightInd w:val="0"/>
        <w:spacing w:line="360" w:lineRule="auto"/>
        <w:jc w:val="center"/>
        <w:rPr>
          <w:rFonts w:cs="黑体" w:asciiTheme="minorEastAsia" w:hAnsiTheme="minorEastAsia"/>
          <w:b/>
          <w:bCs/>
          <w:sz w:val="44"/>
          <w:szCs w:val="44"/>
          <w:lang w:val="zh-CN"/>
        </w:rPr>
      </w:pPr>
    </w:p>
    <w:p w14:paraId="4A3B54D1">
      <w:pPr>
        <w:autoSpaceDE w:val="0"/>
        <w:autoSpaceDN w:val="0"/>
        <w:adjustRightInd w:val="0"/>
        <w:spacing w:line="360" w:lineRule="auto"/>
        <w:jc w:val="center"/>
        <w:rPr>
          <w:rFonts w:cs="黑体" w:asciiTheme="minorEastAsia" w:hAnsiTheme="minorEastAsia"/>
          <w:b/>
          <w:bCs/>
          <w:sz w:val="44"/>
          <w:szCs w:val="44"/>
          <w:lang w:val="zh-CN"/>
        </w:rPr>
      </w:pPr>
    </w:p>
    <w:p w14:paraId="68AE44B0">
      <w:pPr>
        <w:autoSpaceDE w:val="0"/>
        <w:autoSpaceDN w:val="0"/>
        <w:adjustRightInd w:val="0"/>
        <w:spacing w:line="360" w:lineRule="auto"/>
        <w:jc w:val="center"/>
        <w:rPr>
          <w:rFonts w:cs="黑体" w:asciiTheme="minorEastAsia" w:hAnsiTheme="minorEastAsia"/>
          <w:b/>
          <w:bCs/>
          <w:sz w:val="44"/>
          <w:szCs w:val="44"/>
          <w:lang w:val="zh-CN"/>
        </w:rPr>
      </w:pPr>
    </w:p>
    <w:p w14:paraId="46238EFE">
      <w:pPr>
        <w:autoSpaceDE w:val="0"/>
        <w:autoSpaceDN w:val="0"/>
        <w:adjustRightInd w:val="0"/>
        <w:spacing w:line="360" w:lineRule="auto"/>
        <w:jc w:val="center"/>
        <w:rPr>
          <w:rFonts w:cs="黑体" w:asciiTheme="minorEastAsia" w:hAnsiTheme="minorEastAsia"/>
          <w:b/>
          <w:bCs/>
          <w:sz w:val="44"/>
          <w:szCs w:val="44"/>
          <w:lang w:val="zh-CN"/>
        </w:rPr>
      </w:pPr>
    </w:p>
    <w:p w14:paraId="7740E723">
      <w:pPr>
        <w:autoSpaceDE w:val="0"/>
        <w:autoSpaceDN w:val="0"/>
        <w:adjustRightInd w:val="0"/>
        <w:spacing w:line="360" w:lineRule="auto"/>
        <w:jc w:val="center"/>
        <w:rPr>
          <w:rFonts w:cs="黑体" w:asciiTheme="minorEastAsia" w:hAnsiTheme="minorEastAsia"/>
          <w:b/>
          <w:bCs/>
          <w:sz w:val="44"/>
          <w:szCs w:val="44"/>
          <w:lang w:val="zh-CN"/>
        </w:rPr>
      </w:pPr>
    </w:p>
    <w:p w14:paraId="7D565EDB">
      <w:pPr>
        <w:autoSpaceDE w:val="0"/>
        <w:autoSpaceDN w:val="0"/>
        <w:adjustRightInd w:val="0"/>
        <w:spacing w:line="360" w:lineRule="auto"/>
        <w:jc w:val="center"/>
        <w:outlineLvl w:val="0"/>
        <w:rPr>
          <w:rFonts w:hAnsi="宋体" w:eastAsia="宋体"/>
          <w:b/>
          <w:snapToGrid w:val="0"/>
          <w:kern w:val="0"/>
          <w:sz w:val="36"/>
          <w:szCs w:val="36"/>
        </w:rPr>
      </w:pPr>
    </w:p>
    <w:p w14:paraId="580378A4">
      <w:pPr>
        <w:autoSpaceDE w:val="0"/>
        <w:autoSpaceDN w:val="0"/>
        <w:adjustRightInd w:val="0"/>
        <w:spacing w:line="360" w:lineRule="auto"/>
        <w:jc w:val="center"/>
        <w:outlineLvl w:val="0"/>
        <w:rPr>
          <w:rFonts w:hAnsi="宋体" w:eastAsia="宋体"/>
          <w:b/>
          <w:snapToGrid w:val="0"/>
          <w:kern w:val="0"/>
          <w:sz w:val="36"/>
          <w:szCs w:val="36"/>
        </w:rPr>
      </w:pPr>
    </w:p>
    <w:p w14:paraId="7E416FC5">
      <w:pPr>
        <w:autoSpaceDE w:val="0"/>
        <w:autoSpaceDN w:val="0"/>
        <w:adjustRightInd w:val="0"/>
        <w:spacing w:line="360" w:lineRule="auto"/>
        <w:jc w:val="center"/>
        <w:outlineLvl w:val="0"/>
        <w:rPr>
          <w:rFonts w:hAnsi="宋体" w:eastAsia="宋体"/>
          <w:b/>
          <w:snapToGrid w:val="0"/>
          <w:kern w:val="0"/>
          <w:sz w:val="36"/>
          <w:szCs w:val="36"/>
        </w:rPr>
      </w:pPr>
    </w:p>
    <w:p w14:paraId="0697CF30">
      <w:pPr>
        <w:autoSpaceDE w:val="0"/>
        <w:autoSpaceDN w:val="0"/>
        <w:adjustRightInd w:val="0"/>
        <w:spacing w:line="360" w:lineRule="auto"/>
        <w:jc w:val="center"/>
        <w:rPr>
          <w:rFonts w:cs="黑体" w:asciiTheme="minorEastAsia" w:hAnsiTheme="minorEastAsia"/>
          <w:b/>
          <w:bCs/>
          <w:sz w:val="44"/>
          <w:szCs w:val="44"/>
          <w:lang w:val="zh-CN"/>
        </w:rPr>
      </w:pPr>
    </w:p>
    <w:p w14:paraId="1A6EE7A0">
      <w:pPr>
        <w:autoSpaceDE w:val="0"/>
        <w:autoSpaceDN w:val="0"/>
        <w:adjustRightInd w:val="0"/>
        <w:spacing w:line="360" w:lineRule="auto"/>
        <w:jc w:val="center"/>
        <w:rPr>
          <w:rFonts w:cs="黑体" w:asciiTheme="minorEastAsia" w:hAnsiTheme="minorEastAsia"/>
          <w:b/>
          <w:bCs/>
          <w:sz w:val="44"/>
          <w:szCs w:val="44"/>
          <w:lang w:val="zh-CN"/>
        </w:rPr>
      </w:pPr>
    </w:p>
    <w:p w14:paraId="429B2516">
      <w:pPr>
        <w:autoSpaceDE w:val="0"/>
        <w:autoSpaceDN w:val="0"/>
        <w:adjustRightInd w:val="0"/>
        <w:spacing w:line="360" w:lineRule="auto"/>
        <w:jc w:val="center"/>
        <w:rPr>
          <w:rFonts w:cs="黑体" w:asciiTheme="minorEastAsia" w:hAnsiTheme="minorEastAsia"/>
          <w:b/>
          <w:bCs/>
          <w:sz w:val="44"/>
          <w:szCs w:val="44"/>
          <w:lang w:val="zh-CN"/>
        </w:rPr>
      </w:pPr>
    </w:p>
    <w:p w14:paraId="4FC91F3B">
      <w:pPr>
        <w:autoSpaceDE w:val="0"/>
        <w:autoSpaceDN w:val="0"/>
        <w:adjustRightInd w:val="0"/>
        <w:spacing w:line="360" w:lineRule="auto"/>
        <w:jc w:val="center"/>
        <w:rPr>
          <w:rFonts w:cs="黑体" w:asciiTheme="minorEastAsia" w:hAnsiTheme="minorEastAsia"/>
          <w:b/>
          <w:bCs/>
          <w:sz w:val="44"/>
          <w:szCs w:val="44"/>
          <w:lang w:val="zh-CN"/>
        </w:rPr>
      </w:pPr>
    </w:p>
    <w:p w14:paraId="4EC03621">
      <w:pPr>
        <w:autoSpaceDE w:val="0"/>
        <w:autoSpaceDN w:val="0"/>
        <w:adjustRightInd w:val="0"/>
        <w:spacing w:line="360" w:lineRule="auto"/>
        <w:jc w:val="center"/>
        <w:rPr>
          <w:rFonts w:cs="黑体" w:asciiTheme="minorEastAsia" w:hAnsiTheme="minorEastAsia"/>
          <w:b/>
          <w:bCs/>
          <w:sz w:val="44"/>
          <w:szCs w:val="44"/>
          <w:lang w:val="zh-CN"/>
        </w:rPr>
      </w:pPr>
    </w:p>
    <w:p w14:paraId="34177A3F">
      <w:pPr>
        <w:autoSpaceDE w:val="0"/>
        <w:autoSpaceDN w:val="0"/>
        <w:adjustRightInd w:val="0"/>
        <w:spacing w:line="360" w:lineRule="auto"/>
        <w:jc w:val="center"/>
        <w:rPr>
          <w:rFonts w:cs="黑体" w:asciiTheme="minorEastAsia" w:hAnsiTheme="minorEastAsia"/>
          <w:b/>
          <w:bCs/>
          <w:sz w:val="44"/>
          <w:szCs w:val="44"/>
          <w:lang w:val="zh-CN"/>
        </w:rPr>
      </w:pPr>
    </w:p>
    <w:p w14:paraId="6093D337">
      <w:pPr>
        <w:autoSpaceDE w:val="0"/>
        <w:autoSpaceDN w:val="0"/>
        <w:adjustRightInd w:val="0"/>
        <w:spacing w:line="360" w:lineRule="auto"/>
        <w:jc w:val="center"/>
        <w:outlineLvl w:val="0"/>
        <w:rPr>
          <w:rFonts w:hAnsi="宋体" w:eastAsia="宋体"/>
          <w:b/>
          <w:snapToGrid w:val="0"/>
          <w:kern w:val="0"/>
          <w:sz w:val="36"/>
          <w:szCs w:val="36"/>
        </w:rPr>
      </w:pPr>
    </w:p>
    <w:p w14:paraId="0C5DDF02">
      <w:pPr>
        <w:autoSpaceDE w:val="0"/>
        <w:autoSpaceDN w:val="0"/>
        <w:adjustRightInd w:val="0"/>
        <w:spacing w:line="360" w:lineRule="auto"/>
        <w:jc w:val="center"/>
        <w:rPr>
          <w:rFonts w:cs="黑体" w:asciiTheme="minorEastAsia" w:hAnsiTheme="minorEastAsia"/>
          <w:b/>
          <w:bCs/>
          <w:sz w:val="44"/>
          <w:szCs w:val="44"/>
          <w:lang w:val="zh-CN"/>
        </w:rPr>
      </w:pPr>
    </w:p>
    <w:p w14:paraId="7C02A22B">
      <w:pPr>
        <w:autoSpaceDE w:val="0"/>
        <w:autoSpaceDN w:val="0"/>
        <w:adjustRightInd w:val="0"/>
        <w:spacing w:line="360" w:lineRule="auto"/>
        <w:jc w:val="center"/>
        <w:rPr>
          <w:rFonts w:cs="黑体" w:asciiTheme="minorEastAsia" w:hAnsiTheme="minorEastAsia"/>
          <w:b/>
          <w:bCs/>
          <w:sz w:val="44"/>
          <w:szCs w:val="44"/>
          <w:lang w:val="zh-CN"/>
        </w:rPr>
      </w:pPr>
    </w:p>
    <w:p w14:paraId="3B4B9082">
      <w:pPr>
        <w:autoSpaceDE w:val="0"/>
        <w:autoSpaceDN w:val="0"/>
        <w:adjustRightInd w:val="0"/>
        <w:spacing w:line="360" w:lineRule="auto"/>
        <w:jc w:val="center"/>
        <w:rPr>
          <w:rFonts w:cs="黑体" w:asciiTheme="minorEastAsia" w:hAnsiTheme="minorEastAsia"/>
          <w:b/>
          <w:bCs/>
          <w:sz w:val="44"/>
          <w:szCs w:val="44"/>
          <w:lang w:val="zh-CN"/>
        </w:rPr>
      </w:pPr>
    </w:p>
    <w:p w14:paraId="5F598EA7">
      <w:pPr>
        <w:autoSpaceDE w:val="0"/>
        <w:autoSpaceDN w:val="0"/>
        <w:adjustRightInd w:val="0"/>
        <w:spacing w:line="360" w:lineRule="auto"/>
        <w:jc w:val="center"/>
        <w:rPr>
          <w:rFonts w:cs="黑体" w:asciiTheme="minorEastAsia" w:hAnsiTheme="minorEastAsia"/>
          <w:b/>
          <w:bCs/>
          <w:sz w:val="44"/>
          <w:szCs w:val="44"/>
          <w:lang w:val="zh-CN"/>
        </w:rPr>
      </w:pPr>
    </w:p>
    <w:p w14:paraId="16DBB652">
      <w:pPr>
        <w:autoSpaceDE w:val="0"/>
        <w:autoSpaceDN w:val="0"/>
        <w:adjustRightInd w:val="0"/>
        <w:spacing w:line="360" w:lineRule="auto"/>
        <w:jc w:val="center"/>
        <w:rPr>
          <w:rFonts w:cs="黑体" w:asciiTheme="minorEastAsia" w:hAnsiTheme="minorEastAsia"/>
          <w:b/>
          <w:bCs/>
          <w:sz w:val="44"/>
          <w:szCs w:val="44"/>
          <w:lang w:val="zh-CN"/>
        </w:rPr>
      </w:pPr>
    </w:p>
    <w:p w14:paraId="361DBB35">
      <w:pPr>
        <w:widowControl/>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3E2A767F">
      <w:pPr>
        <w:autoSpaceDE w:val="0"/>
        <w:autoSpaceDN w:val="0"/>
        <w:adjustRightInd w:val="0"/>
        <w:spacing w:line="360" w:lineRule="auto"/>
        <w:jc w:val="center"/>
        <w:outlineLvl w:val="0"/>
        <w:rPr>
          <w:rFonts w:hAnsi="宋体" w:eastAsia="宋体"/>
          <w:b/>
          <w:snapToGrid w:val="0"/>
          <w:kern w:val="0"/>
          <w:sz w:val="36"/>
          <w:szCs w:val="36"/>
        </w:rPr>
      </w:pPr>
    </w:p>
    <w:p w14:paraId="37420E8C">
      <w:pPr>
        <w:autoSpaceDE w:val="0"/>
        <w:autoSpaceDN w:val="0"/>
        <w:adjustRightInd w:val="0"/>
        <w:spacing w:line="360" w:lineRule="auto"/>
        <w:jc w:val="center"/>
        <w:outlineLvl w:val="0"/>
        <w:rPr>
          <w:rFonts w:hAnsi="宋体" w:eastAsia="宋体"/>
          <w:b/>
          <w:snapToGrid w:val="0"/>
          <w:kern w:val="0"/>
          <w:sz w:val="36"/>
          <w:szCs w:val="36"/>
        </w:rPr>
      </w:pPr>
    </w:p>
    <w:p w14:paraId="2CFA7890">
      <w:pPr>
        <w:autoSpaceDE w:val="0"/>
        <w:autoSpaceDN w:val="0"/>
        <w:adjustRightInd w:val="0"/>
        <w:spacing w:line="360" w:lineRule="auto"/>
        <w:jc w:val="center"/>
        <w:outlineLvl w:val="0"/>
        <w:rPr>
          <w:rFonts w:hAnsi="宋体" w:eastAsia="宋体"/>
          <w:b/>
          <w:snapToGrid w:val="0"/>
          <w:kern w:val="0"/>
          <w:sz w:val="36"/>
          <w:szCs w:val="36"/>
        </w:rPr>
      </w:pPr>
    </w:p>
    <w:p w14:paraId="777296EB">
      <w:pPr>
        <w:autoSpaceDE w:val="0"/>
        <w:autoSpaceDN w:val="0"/>
        <w:adjustRightInd w:val="0"/>
        <w:spacing w:line="360" w:lineRule="auto"/>
        <w:jc w:val="center"/>
        <w:outlineLvl w:val="0"/>
        <w:rPr>
          <w:rFonts w:hAnsi="宋体" w:eastAsia="宋体"/>
          <w:b/>
          <w:snapToGrid w:val="0"/>
          <w:kern w:val="0"/>
          <w:sz w:val="36"/>
          <w:szCs w:val="36"/>
        </w:rPr>
      </w:pPr>
    </w:p>
    <w:p w14:paraId="07445D31">
      <w:pPr>
        <w:autoSpaceDE w:val="0"/>
        <w:autoSpaceDN w:val="0"/>
        <w:adjustRightInd w:val="0"/>
        <w:spacing w:line="360" w:lineRule="auto"/>
        <w:jc w:val="center"/>
        <w:outlineLvl w:val="0"/>
        <w:rPr>
          <w:rFonts w:hAnsi="宋体" w:eastAsia="宋体"/>
          <w:b/>
          <w:snapToGrid w:val="0"/>
          <w:kern w:val="0"/>
          <w:sz w:val="36"/>
          <w:szCs w:val="36"/>
        </w:rPr>
      </w:pPr>
    </w:p>
    <w:p w14:paraId="3B35D673">
      <w:pPr>
        <w:autoSpaceDE w:val="0"/>
        <w:autoSpaceDN w:val="0"/>
        <w:adjustRightInd w:val="0"/>
        <w:spacing w:line="360" w:lineRule="auto"/>
        <w:jc w:val="center"/>
        <w:outlineLvl w:val="0"/>
        <w:rPr>
          <w:rFonts w:hAnsi="宋体" w:eastAsia="宋体"/>
          <w:b/>
          <w:snapToGrid w:val="0"/>
          <w:kern w:val="0"/>
          <w:sz w:val="36"/>
          <w:szCs w:val="36"/>
        </w:rPr>
      </w:pPr>
    </w:p>
    <w:p w14:paraId="349D67CF">
      <w:pPr>
        <w:autoSpaceDE w:val="0"/>
        <w:autoSpaceDN w:val="0"/>
        <w:adjustRightInd w:val="0"/>
        <w:spacing w:line="360" w:lineRule="auto"/>
        <w:jc w:val="center"/>
        <w:outlineLvl w:val="0"/>
        <w:rPr>
          <w:rFonts w:hAnsi="宋体" w:eastAsia="宋体"/>
          <w:b/>
          <w:snapToGrid w:val="0"/>
          <w:kern w:val="0"/>
          <w:sz w:val="36"/>
          <w:szCs w:val="36"/>
        </w:rPr>
      </w:pPr>
    </w:p>
    <w:p w14:paraId="1088A98F">
      <w:pPr>
        <w:autoSpaceDE w:val="0"/>
        <w:autoSpaceDN w:val="0"/>
        <w:adjustRightInd w:val="0"/>
        <w:spacing w:line="360" w:lineRule="auto"/>
        <w:jc w:val="center"/>
        <w:outlineLvl w:val="0"/>
        <w:rPr>
          <w:rFonts w:hAnsi="宋体" w:eastAsia="宋体"/>
          <w:b/>
          <w:snapToGrid w:val="0"/>
          <w:kern w:val="0"/>
          <w:sz w:val="36"/>
          <w:szCs w:val="36"/>
        </w:rPr>
      </w:pPr>
    </w:p>
    <w:p w14:paraId="18BE89EF">
      <w:pPr>
        <w:autoSpaceDE w:val="0"/>
        <w:autoSpaceDN w:val="0"/>
        <w:adjustRightInd w:val="0"/>
        <w:spacing w:line="360" w:lineRule="auto"/>
        <w:jc w:val="center"/>
        <w:outlineLvl w:val="0"/>
        <w:rPr>
          <w:rFonts w:hAnsi="宋体" w:eastAsia="宋体"/>
          <w:b/>
          <w:snapToGrid w:val="0"/>
          <w:kern w:val="0"/>
          <w:sz w:val="36"/>
          <w:szCs w:val="36"/>
        </w:rPr>
      </w:pPr>
    </w:p>
    <w:p w14:paraId="609DEAF0">
      <w:pPr>
        <w:autoSpaceDE w:val="0"/>
        <w:autoSpaceDN w:val="0"/>
        <w:adjustRightInd w:val="0"/>
        <w:spacing w:line="360" w:lineRule="auto"/>
        <w:jc w:val="center"/>
        <w:outlineLvl w:val="0"/>
        <w:rPr>
          <w:rFonts w:hAnsi="宋体" w:eastAsia="宋体"/>
          <w:b/>
          <w:snapToGrid w:val="0"/>
          <w:kern w:val="0"/>
          <w:sz w:val="36"/>
          <w:szCs w:val="36"/>
        </w:rPr>
      </w:pPr>
    </w:p>
    <w:p w14:paraId="1A2E328A">
      <w:pPr>
        <w:autoSpaceDE w:val="0"/>
        <w:autoSpaceDN w:val="0"/>
        <w:adjustRightInd w:val="0"/>
        <w:spacing w:line="360" w:lineRule="auto"/>
        <w:jc w:val="center"/>
        <w:outlineLvl w:val="0"/>
        <w:rPr>
          <w:rFonts w:hAnsi="宋体" w:eastAsia="宋体"/>
          <w:b/>
          <w:snapToGrid w:val="0"/>
          <w:kern w:val="0"/>
          <w:sz w:val="36"/>
          <w:szCs w:val="36"/>
        </w:rPr>
      </w:pPr>
    </w:p>
    <w:p w14:paraId="4551F6C6">
      <w:pPr>
        <w:autoSpaceDE w:val="0"/>
        <w:autoSpaceDN w:val="0"/>
        <w:adjustRightInd w:val="0"/>
        <w:spacing w:line="360" w:lineRule="auto"/>
        <w:jc w:val="center"/>
        <w:outlineLvl w:val="0"/>
        <w:rPr>
          <w:rFonts w:hAnsi="宋体" w:eastAsia="宋体"/>
          <w:b/>
          <w:snapToGrid w:val="0"/>
          <w:kern w:val="0"/>
          <w:sz w:val="36"/>
          <w:szCs w:val="36"/>
        </w:rPr>
      </w:pPr>
    </w:p>
    <w:p w14:paraId="51987C58">
      <w:pPr>
        <w:widowControl/>
        <w:jc w:val="left"/>
        <w:rPr>
          <w:rFonts w:ascii="宋体" w:hAnsi="宋体"/>
          <w:b/>
          <w:bCs/>
          <w:sz w:val="24"/>
          <w:szCs w:val="24"/>
        </w:rPr>
      </w:pPr>
      <w:r>
        <w:rPr>
          <w:rFonts w:ascii="宋体" w:hAnsi="宋体"/>
          <w:b/>
          <w:bCs/>
          <w:sz w:val="24"/>
          <w:szCs w:val="24"/>
        </w:rPr>
        <w:br w:type="page"/>
      </w:r>
    </w:p>
    <w:p w14:paraId="050E0B58">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分项报价表</w:t>
      </w:r>
    </w:p>
    <w:p w14:paraId="158E9B71">
      <w:pPr>
        <w:autoSpaceDE w:val="0"/>
        <w:autoSpaceDN w:val="0"/>
        <w:adjustRightInd w:val="0"/>
        <w:spacing w:line="480" w:lineRule="auto"/>
        <w:jc w:val="center"/>
        <w:rPr>
          <w:rFonts w:cs="宋体" w:asciiTheme="minorEastAsia" w:hAnsiTheme="minorEastAsia"/>
          <w:sz w:val="24"/>
          <w:szCs w:val="24"/>
          <w:lang w:val="zh-CN"/>
        </w:rPr>
      </w:pPr>
    </w:p>
    <w:p w14:paraId="55D5831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1AB1E70B">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842"/>
        <w:gridCol w:w="3402"/>
        <w:gridCol w:w="851"/>
        <w:gridCol w:w="992"/>
        <w:gridCol w:w="851"/>
        <w:gridCol w:w="928"/>
      </w:tblGrid>
      <w:tr w14:paraId="1FF039AB">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F563E4">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8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125A9B7">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2C294B">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厂家、品牌、</w:t>
            </w:r>
          </w:p>
          <w:p w14:paraId="48303DE1">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8F704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D7D5FE">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138955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9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690608">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r>
      <w:tr w14:paraId="0E6B5D9B">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2D5A1F68">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842" w:type="dxa"/>
            <w:tcBorders>
              <w:top w:val="single" w:color="auto" w:sz="6" w:space="0"/>
              <w:left w:val="single" w:color="auto" w:sz="6" w:space="0"/>
              <w:bottom w:val="single" w:color="auto" w:sz="6" w:space="0"/>
              <w:right w:val="single" w:color="auto" w:sz="6" w:space="0"/>
            </w:tcBorders>
          </w:tcPr>
          <w:p w14:paraId="63720587">
            <w:pPr>
              <w:autoSpaceDE w:val="0"/>
              <w:autoSpaceDN w:val="0"/>
              <w:adjustRightInd w:val="0"/>
              <w:spacing w:line="360" w:lineRule="auto"/>
              <w:rPr>
                <w:rFonts w:asciiTheme="minorEastAsia" w:hAnsiTheme="minorEastAsia"/>
                <w:szCs w:val="21"/>
              </w:rPr>
            </w:pPr>
          </w:p>
        </w:tc>
        <w:tc>
          <w:tcPr>
            <w:tcW w:w="3402" w:type="dxa"/>
            <w:tcBorders>
              <w:top w:val="single" w:color="auto" w:sz="6" w:space="0"/>
              <w:left w:val="single" w:color="auto" w:sz="6" w:space="0"/>
              <w:bottom w:val="single" w:color="auto" w:sz="6" w:space="0"/>
              <w:right w:val="single" w:color="auto" w:sz="6" w:space="0"/>
            </w:tcBorders>
          </w:tcPr>
          <w:p w14:paraId="45EBC839">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5140018D">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76790C6A">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397F5DC9">
            <w:pPr>
              <w:autoSpaceDE w:val="0"/>
              <w:autoSpaceDN w:val="0"/>
              <w:adjustRightInd w:val="0"/>
              <w:spacing w:line="360" w:lineRule="auto"/>
              <w:rPr>
                <w:rFonts w:asciiTheme="minorEastAsia" w:hAnsi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7336B409">
            <w:pPr>
              <w:autoSpaceDE w:val="0"/>
              <w:autoSpaceDN w:val="0"/>
              <w:adjustRightInd w:val="0"/>
              <w:spacing w:line="360" w:lineRule="auto"/>
              <w:rPr>
                <w:rFonts w:asciiTheme="minorEastAsia" w:hAnsiTheme="minorEastAsia"/>
                <w:szCs w:val="21"/>
              </w:rPr>
            </w:pPr>
          </w:p>
        </w:tc>
      </w:tr>
      <w:tr w14:paraId="0C21E86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1391F8E7">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842" w:type="dxa"/>
            <w:tcBorders>
              <w:top w:val="single" w:color="auto" w:sz="6" w:space="0"/>
              <w:left w:val="single" w:color="auto" w:sz="6" w:space="0"/>
              <w:bottom w:val="single" w:color="auto" w:sz="6" w:space="0"/>
              <w:right w:val="single" w:color="auto" w:sz="6" w:space="0"/>
            </w:tcBorders>
          </w:tcPr>
          <w:p w14:paraId="0C1F87DC">
            <w:pPr>
              <w:autoSpaceDE w:val="0"/>
              <w:autoSpaceDN w:val="0"/>
              <w:adjustRightInd w:val="0"/>
              <w:spacing w:line="360" w:lineRule="auto"/>
              <w:rPr>
                <w:rFonts w:asciiTheme="minorEastAsia" w:hAnsiTheme="minorEastAsia"/>
                <w:szCs w:val="21"/>
              </w:rPr>
            </w:pPr>
          </w:p>
        </w:tc>
        <w:tc>
          <w:tcPr>
            <w:tcW w:w="3402" w:type="dxa"/>
            <w:tcBorders>
              <w:top w:val="single" w:color="auto" w:sz="6" w:space="0"/>
              <w:left w:val="single" w:color="auto" w:sz="6" w:space="0"/>
              <w:bottom w:val="single" w:color="auto" w:sz="6" w:space="0"/>
              <w:right w:val="single" w:color="auto" w:sz="6" w:space="0"/>
            </w:tcBorders>
          </w:tcPr>
          <w:p w14:paraId="2943B6AF">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0CFA052D">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564D2DC7">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28864844">
            <w:pPr>
              <w:autoSpaceDE w:val="0"/>
              <w:autoSpaceDN w:val="0"/>
              <w:adjustRightInd w:val="0"/>
              <w:spacing w:line="360" w:lineRule="auto"/>
              <w:rPr>
                <w:rFonts w:asciiTheme="minorEastAsia" w:hAnsi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7A862244">
            <w:pPr>
              <w:autoSpaceDE w:val="0"/>
              <w:autoSpaceDN w:val="0"/>
              <w:adjustRightInd w:val="0"/>
              <w:spacing w:line="360" w:lineRule="auto"/>
              <w:rPr>
                <w:rFonts w:asciiTheme="minorEastAsia" w:hAnsiTheme="minorEastAsia"/>
                <w:szCs w:val="21"/>
              </w:rPr>
            </w:pPr>
          </w:p>
        </w:tc>
      </w:tr>
      <w:tr w14:paraId="4CB59BD8">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BAA8EEB">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842" w:type="dxa"/>
            <w:tcBorders>
              <w:top w:val="single" w:color="auto" w:sz="6" w:space="0"/>
              <w:left w:val="single" w:color="auto" w:sz="6" w:space="0"/>
              <w:bottom w:val="single" w:color="auto" w:sz="6" w:space="0"/>
              <w:right w:val="single" w:color="auto" w:sz="6" w:space="0"/>
            </w:tcBorders>
          </w:tcPr>
          <w:p w14:paraId="2D4266B1">
            <w:pPr>
              <w:autoSpaceDE w:val="0"/>
              <w:autoSpaceDN w:val="0"/>
              <w:adjustRightInd w:val="0"/>
              <w:spacing w:line="360" w:lineRule="auto"/>
              <w:rPr>
                <w:rFonts w:asciiTheme="minorEastAsia" w:hAnsiTheme="minorEastAsia"/>
                <w:szCs w:val="21"/>
              </w:rPr>
            </w:pPr>
          </w:p>
        </w:tc>
        <w:tc>
          <w:tcPr>
            <w:tcW w:w="3402" w:type="dxa"/>
            <w:tcBorders>
              <w:top w:val="single" w:color="auto" w:sz="6" w:space="0"/>
              <w:left w:val="single" w:color="auto" w:sz="6" w:space="0"/>
              <w:bottom w:val="single" w:color="auto" w:sz="6" w:space="0"/>
              <w:right w:val="single" w:color="auto" w:sz="6" w:space="0"/>
            </w:tcBorders>
          </w:tcPr>
          <w:p w14:paraId="1A50C3B7">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1CCD6B0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51803EF0">
            <w:pPr>
              <w:autoSpaceDE w:val="0"/>
              <w:autoSpaceDN w:val="0"/>
              <w:adjustRightInd w:val="0"/>
              <w:spacing w:line="360" w:lineRule="auto"/>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2BF2928C">
            <w:pPr>
              <w:autoSpaceDE w:val="0"/>
              <w:autoSpaceDN w:val="0"/>
              <w:adjustRightInd w:val="0"/>
              <w:spacing w:line="360" w:lineRule="auto"/>
              <w:rPr>
                <w:rFonts w:asciiTheme="minorEastAsia" w:hAnsi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067EFD80">
            <w:pPr>
              <w:autoSpaceDE w:val="0"/>
              <w:autoSpaceDN w:val="0"/>
              <w:adjustRightInd w:val="0"/>
              <w:spacing w:line="360" w:lineRule="auto"/>
              <w:rPr>
                <w:rFonts w:asciiTheme="minorEastAsia" w:hAnsiTheme="minorEastAsia"/>
                <w:szCs w:val="21"/>
              </w:rPr>
            </w:pPr>
          </w:p>
        </w:tc>
      </w:tr>
      <w:tr w14:paraId="50512224">
        <w:tblPrEx>
          <w:tblCellMar>
            <w:top w:w="0" w:type="dxa"/>
            <w:left w:w="108" w:type="dxa"/>
            <w:bottom w:w="0" w:type="dxa"/>
            <w:right w:w="108" w:type="dxa"/>
          </w:tblCellMar>
        </w:tblPrEx>
        <w:trPr>
          <w:trHeight w:val="851" w:hRule="atLeast"/>
        </w:trPr>
        <w:tc>
          <w:tcPr>
            <w:tcW w:w="2376" w:type="dxa"/>
            <w:gridSpan w:val="2"/>
            <w:tcBorders>
              <w:top w:val="single" w:color="auto" w:sz="6" w:space="0"/>
              <w:left w:val="single" w:color="auto" w:sz="6" w:space="0"/>
              <w:bottom w:val="single" w:color="auto" w:sz="6" w:space="0"/>
              <w:right w:val="single" w:color="auto" w:sz="6" w:space="0"/>
            </w:tcBorders>
            <w:vAlign w:val="center"/>
          </w:tcPr>
          <w:p w14:paraId="0B51F196">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024" w:type="dxa"/>
            <w:gridSpan w:val="5"/>
            <w:tcBorders>
              <w:top w:val="single" w:color="auto" w:sz="6" w:space="0"/>
              <w:left w:val="single" w:color="auto" w:sz="6" w:space="0"/>
              <w:bottom w:val="single" w:color="auto" w:sz="6" w:space="0"/>
              <w:right w:val="single" w:color="auto" w:sz="6" w:space="0"/>
            </w:tcBorders>
            <w:vAlign w:val="center"/>
          </w:tcPr>
          <w:p w14:paraId="222E7AC6">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7927B0D8">
      <w:pPr>
        <w:autoSpaceDE w:val="0"/>
        <w:autoSpaceDN w:val="0"/>
        <w:adjustRightInd w:val="0"/>
        <w:spacing w:line="480" w:lineRule="auto"/>
        <w:rPr>
          <w:rFonts w:cs="宋体" w:asciiTheme="minorEastAsia" w:hAnsiTheme="minorEastAsia"/>
          <w:szCs w:val="21"/>
        </w:rPr>
      </w:pPr>
    </w:p>
    <w:p w14:paraId="137F80F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8462187">
      <w:pPr>
        <w:autoSpaceDE w:val="0"/>
        <w:autoSpaceDN w:val="0"/>
        <w:adjustRightInd w:val="0"/>
        <w:spacing w:line="480" w:lineRule="auto"/>
        <w:rPr>
          <w:rFonts w:cs="宋体" w:asciiTheme="minorEastAsia" w:hAnsiTheme="minorEastAsia"/>
          <w:sz w:val="24"/>
          <w:szCs w:val="24"/>
          <w:lang w:val="zh-CN"/>
        </w:rPr>
      </w:pPr>
    </w:p>
    <w:p w14:paraId="5D639849">
      <w:pPr>
        <w:autoSpaceDE w:val="0"/>
        <w:autoSpaceDN w:val="0"/>
        <w:adjustRightInd w:val="0"/>
        <w:spacing w:line="480" w:lineRule="auto"/>
        <w:rPr>
          <w:rFonts w:cs="宋体" w:asciiTheme="minorEastAsia" w:hAnsiTheme="minorEastAsia"/>
          <w:sz w:val="24"/>
          <w:szCs w:val="24"/>
          <w:lang w:val="zh-CN"/>
        </w:rPr>
      </w:pPr>
    </w:p>
    <w:p w14:paraId="4F089666">
      <w:pPr>
        <w:autoSpaceDE w:val="0"/>
        <w:autoSpaceDN w:val="0"/>
        <w:adjustRightInd w:val="0"/>
        <w:spacing w:line="480" w:lineRule="auto"/>
        <w:rPr>
          <w:rFonts w:cs="宋体" w:asciiTheme="minorEastAsia" w:hAnsiTheme="minorEastAsia"/>
          <w:sz w:val="24"/>
          <w:szCs w:val="24"/>
          <w:lang w:val="zh-CN"/>
        </w:rPr>
      </w:pPr>
    </w:p>
    <w:p w14:paraId="5414392F">
      <w:pPr>
        <w:autoSpaceDE w:val="0"/>
        <w:autoSpaceDN w:val="0"/>
        <w:adjustRightInd w:val="0"/>
        <w:spacing w:line="480" w:lineRule="auto"/>
        <w:rPr>
          <w:rFonts w:cs="宋体" w:asciiTheme="minorEastAsia" w:hAnsiTheme="minorEastAsia"/>
          <w:sz w:val="24"/>
          <w:szCs w:val="24"/>
          <w:lang w:val="zh-CN"/>
        </w:rPr>
      </w:pPr>
    </w:p>
    <w:p w14:paraId="221687E8">
      <w:pPr>
        <w:autoSpaceDE w:val="0"/>
        <w:autoSpaceDN w:val="0"/>
        <w:adjustRightInd w:val="0"/>
        <w:spacing w:line="480" w:lineRule="auto"/>
        <w:rPr>
          <w:rFonts w:cs="宋体" w:asciiTheme="minorEastAsia" w:hAnsiTheme="minorEastAsia"/>
          <w:sz w:val="24"/>
          <w:szCs w:val="24"/>
          <w:lang w:val="zh-CN"/>
        </w:rPr>
      </w:pPr>
    </w:p>
    <w:p w14:paraId="5665969D">
      <w:pPr>
        <w:autoSpaceDE w:val="0"/>
        <w:autoSpaceDN w:val="0"/>
        <w:adjustRightInd w:val="0"/>
        <w:spacing w:line="480" w:lineRule="auto"/>
        <w:rPr>
          <w:rFonts w:cs="宋体" w:asciiTheme="minorEastAsia" w:hAnsiTheme="minorEastAsia"/>
          <w:sz w:val="24"/>
          <w:szCs w:val="24"/>
          <w:lang w:val="zh-CN"/>
        </w:rPr>
      </w:pPr>
    </w:p>
    <w:p w14:paraId="7BDBDE24">
      <w:pPr>
        <w:autoSpaceDE w:val="0"/>
        <w:autoSpaceDN w:val="0"/>
        <w:adjustRightInd w:val="0"/>
        <w:spacing w:line="480" w:lineRule="auto"/>
        <w:rPr>
          <w:rFonts w:cs="宋体" w:asciiTheme="minorEastAsia" w:hAnsiTheme="minorEastAsia"/>
          <w:sz w:val="24"/>
          <w:szCs w:val="24"/>
          <w:lang w:val="zh-CN"/>
        </w:rPr>
      </w:pPr>
    </w:p>
    <w:p w14:paraId="3DC822F5">
      <w:pPr>
        <w:autoSpaceDE w:val="0"/>
        <w:autoSpaceDN w:val="0"/>
        <w:adjustRightInd w:val="0"/>
        <w:spacing w:line="480" w:lineRule="auto"/>
        <w:rPr>
          <w:rFonts w:cs="宋体" w:asciiTheme="minorEastAsia" w:hAnsiTheme="minorEastAsia"/>
          <w:sz w:val="24"/>
          <w:szCs w:val="24"/>
          <w:lang w:val="zh-CN"/>
        </w:rPr>
      </w:pPr>
    </w:p>
    <w:p w14:paraId="1DADDDA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14:paraId="1FDC29A8">
      <w:pPr>
        <w:spacing w:before="50" w:afterLines="50" w:line="360" w:lineRule="auto"/>
        <w:contextualSpacing/>
        <w:jc w:val="left"/>
        <w:rPr>
          <w:rFonts w:asciiTheme="minorEastAsia" w:hAnsiTheme="minorEastAsia"/>
          <w:szCs w:val="21"/>
        </w:rPr>
      </w:pPr>
    </w:p>
    <w:p w14:paraId="4735053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1437A9BE">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14:paraId="621C382F">
      <w:pPr>
        <w:autoSpaceDE w:val="0"/>
        <w:autoSpaceDN w:val="0"/>
        <w:adjustRightInd w:val="0"/>
        <w:spacing w:line="360" w:lineRule="auto"/>
        <w:outlineLvl w:val="0"/>
        <w:rPr>
          <w:rFonts w:hAnsi="宋体" w:eastAsia="宋体"/>
          <w:b/>
          <w:snapToGrid w:val="0"/>
          <w:kern w:val="0"/>
          <w:szCs w:val="21"/>
        </w:rPr>
      </w:pPr>
    </w:p>
    <w:tbl>
      <w:tblPr>
        <w:tblStyle w:val="26"/>
        <w:tblW w:w="9214" w:type="dxa"/>
        <w:tblInd w:w="0" w:type="dxa"/>
        <w:tblLayout w:type="fixed"/>
        <w:tblCellMar>
          <w:top w:w="0" w:type="dxa"/>
          <w:left w:w="108" w:type="dxa"/>
          <w:bottom w:w="0" w:type="dxa"/>
          <w:right w:w="108" w:type="dxa"/>
        </w:tblCellMar>
      </w:tblPr>
      <w:tblGrid>
        <w:gridCol w:w="787"/>
        <w:gridCol w:w="1653"/>
        <w:gridCol w:w="1487"/>
        <w:gridCol w:w="1817"/>
        <w:gridCol w:w="1652"/>
        <w:gridCol w:w="1818"/>
      </w:tblGrid>
      <w:tr w14:paraId="3D09E01D">
        <w:tblPrEx>
          <w:tblCellMar>
            <w:top w:w="0" w:type="dxa"/>
            <w:left w:w="108" w:type="dxa"/>
            <w:bottom w:w="0" w:type="dxa"/>
            <w:right w:w="108" w:type="dxa"/>
          </w:tblCellMar>
        </w:tblPrEx>
        <w:trPr>
          <w:trHeight w:val="862" w:hRule="atLeast"/>
        </w:trPr>
        <w:tc>
          <w:tcPr>
            <w:tcW w:w="78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DB24EA">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65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F0C35B">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14:paraId="086CB9E0">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48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FF39965">
            <w:pPr>
              <w:pStyle w:val="8"/>
              <w:jc w:val="center"/>
              <w:rPr>
                <w:rFonts w:ascii="宋体" w:hAnsi="宋体" w:eastAsia="宋体" w:cs="宋体"/>
                <w:b/>
                <w:bCs/>
                <w:sz w:val="21"/>
                <w:szCs w:val="21"/>
              </w:rPr>
            </w:pPr>
            <w:r>
              <w:rPr>
                <w:rFonts w:hint="eastAsia" w:ascii="宋体" w:hAnsi="宋体" w:eastAsia="宋体" w:cs="宋体"/>
                <w:b/>
                <w:bCs/>
                <w:sz w:val="21"/>
                <w:szCs w:val="21"/>
              </w:rPr>
              <w:t>厂家、品牌</w:t>
            </w:r>
          </w:p>
          <w:p w14:paraId="28C6EAE8">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ACADB3">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14:paraId="037B5A5E">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65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0D2118A">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14:paraId="30B714E4">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8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CD060F">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45D9F741">
            <w:pPr>
              <w:jc w:val="center"/>
              <w:rPr>
                <w:rFonts w:ascii="宋体" w:hAnsi="宋体" w:eastAsia="宋体" w:cs="宋体"/>
                <w:b/>
                <w:bCs/>
                <w:szCs w:val="21"/>
              </w:rPr>
            </w:pPr>
            <w:r>
              <w:rPr>
                <w:rFonts w:hint="eastAsia" w:ascii="宋体" w:hAnsi="宋体" w:eastAsia="宋体" w:cs="宋体"/>
                <w:b/>
                <w:bCs/>
                <w:szCs w:val="21"/>
              </w:rPr>
              <w:t>（无偏离/正偏离/负偏离）</w:t>
            </w:r>
          </w:p>
        </w:tc>
      </w:tr>
      <w:tr w14:paraId="6D15C4B4">
        <w:tblPrEx>
          <w:tblCellMar>
            <w:top w:w="0" w:type="dxa"/>
            <w:left w:w="108" w:type="dxa"/>
            <w:bottom w:w="0" w:type="dxa"/>
            <w:right w:w="108" w:type="dxa"/>
          </w:tblCellMar>
        </w:tblPrEx>
        <w:trPr>
          <w:trHeight w:val="862" w:hRule="atLeast"/>
        </w:trPr>
        <w:tc>
          <w:tcPr>
            <w:tcW w:w="787" w:type="dxa"/>
            <w:tcBorders>
              <w:top w:val="single" w:color="auto" w:sz="6" w:space="0"/>
              <w:left w:val="single" w:color="auto" w:sz="6" w:space="0"/>
              <w:bottom w:val="single" w:color="auto" w:sz="6" w:space="0"/>
              <w:right w:val="single" w:color="auto" w:sz="6" w:space="0"/>
            </w:tcBorders>
            <w:vAlign w:val="center"/>
          </w:tcPr>
          <w:p w14:paraId="5DA6D16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653" w:type="dxa"/>
            <w:tcBorders>
              <w:top w:val="single" w:color="auto" w:sz="6" w:space="0"/>
              <w:left w:val="single" w:color="auto" w:sz="6" w:space="0"/>
              <w:bottom w:val="single" w:color="auto" w:sz="6" w:space="0"/>
              <w:right w:val="single" w:color="auto" w:sz="6" w:space="0"/>
            </w:tcBorders>
          </w:tcPr>
          <w:p w14:paraId="248CB572">
            <w:pPr>
              <w:autoSpaceDE w:val="0"/>
              <w:autoSpaceDN w:val="0"/>
              <w:adjustRightInd w:val="0"/>
              <w:spacing w:line="480" w:lineRule="exact"/>
              <w:rPr>
                <w:rFonts w:asciiTheme="minorEastAsia" w:hAnsiTheme="minorEastAsia"/>
                <w:b/>
                <w:bCs/>
                <w:szCs w:val="21"/>
              </w:rPr>
            </w:pPr>
          </w:p>
        </w:tc>
        <w:tc>
          <w:tcPr>
            <w:tcW w:w="1487" w:type="dxa"/>
            <w:tcBorders>
              <w:top w:val="single" w:color="auto" w:sz="6" w:space="0"/>
              <w:left w:val="single" w:color="auto" w:sz="6" w:space="0"/>
              <w:bottom w:val="single" w:color="auto" w:sz="6" w:space="0"/>
              <w:right w:val="single" w:color="auto" w:sz="6" w:space="0"/>
            </w:tcBorders>
          </w:tcPr>
          <w:p w14:paraId="454CDEAC">
            <w:pPr>
              <w:autoSpaceDE w:val="0"/>
              <w:autoSpaceDN w:val="0"/>
              <w:adjustRightInd w:val="0"/>
              <w:spacing w:line="480" w:lineRule="exact"/>
              <w:rPr>
                <w:rFonts w:asciiTheme="minorEastAsia" w:hAnsiTheme="minorEastAsia"/>
                <w:b/>
                <w:bCs/>
                <w:szCs w:val="21"/>
              </w:rPr>
            </w:pPr>
          </w:p>
        </w:tc>
        <w:tc>
          <w:tcPr>
            <w:tcW w:w="1817" w:type="dxa"/>
            <w:tcBorders>
              <w:top w:val="single" w:color="auto" w:sz="6" w:space="0"/>
              <w:left w:val="single" w:color="auto" w:sz="6" w:space="0"/>
              <w:bottom w:val="single" w:color="auto" w:sz="6" w:space="0"/>
              <w:right w:val="single" w:color="auto" w:sz="6" w:space="0"/>
            </w:tcBorders>
          </w:tcPr>
          <w:p w14:paraId="35E233CB">
            <w:pPr>
              <w:autoSpaceDE w:val="0"/>
              <w:autoSpaceDN w:val="0"/>
              <w:adjustRightInd w:val="0"/>
              <w:spacing w:line="480" w:lineRule="exact"/>
              <w:rPr>
                <w:rFonts w:asciiTheme="minorEastAsia" w:hAnsiTheme="minorEastAsia"/>
                <w:b/>
                <w:bCs/>
                <w:szCs w:val="21"/>
              </w:rPr>
            </w:pPr>
          </w:p>
        </w:tc>
        <w:tc>
          <w:tcPr>
            <w:tcW w:w="1652" w:type="dxa"/>
            <w:tcBorders>
              <w:top w:val="single" w:color="auto" w:sz="6" w:space="0"/>
              <w:left w:val="single" w:color="auto" w:sz="6" w:space="0"/>
              <w:bottom w:val="single" w:color="auto" w:sz="6" w:space="0"/>
              <w:right w:val="single" w:color="auto" w:sz="6" w:space="0"/>
            </w:tcBorders>
          </w:tcPr>
          <w:p w14:paraId="44E66136">
            <w:pPr>
              <w:autoSpaceDE w:val="0"/>
              <w:autoSpaceDN w:val="0"/>
              <w:adjustRightInd w:val="0"/>
              <w:spacing w:line="480" w:lineRule="exact"/>
              <w:rPr>
                <w:rFonts w:asciiTheme="minorEastAsia" w:hAnsiTheme="minorEastAsia"/>
                <w:b/>
                <w:bCs/>
                <w:szCs w:val="21"/>
              </w:rPr>
            </w:pPr>
          </w:p>
        </w:tc>
        <w:tc>
          <w:tcPr>
            <w:tcW w:w="1818" w:type="dxa"/>
            <w:tcBorders>
              <w:top w:val="single" w:color="auto" w:sz="6" w:space="0"/>
              <w:left w:val="single" w:color="auto" w:sz="6" w:space="0"/>
              <w:bottom w:val="single" w:color="auto" w:sz="6" w:space="0"/>
              <w:right w:val="single" w:color="auto" w:sz="6" w:space="0"/>
            </w:tcBorders>
          </w:tcPr>
          <w:p w14:paraId="3B340A00">
            <w:pPr>
              <w:autoSpaceDE w:val="0"/>
              <w:autoSpaceDN w:val="0"/>
              <w:adjustRightInd w:val="0"/>
              <w:spacing w:line="480" w:lineRule="exact"/>
              <w:rPr>
                <w:rFonts w:asciiTheme="minorEastAsia" w:hAnsiTheme="minorEastAsia"/>
                <w:b/>
                <w:bCs/>
                <w:szCs w:val="21"/>
              </w:rPr>
            </w:pPr>
          </w:p>
        </w:tc>
      </w:tr>
      <w:tr w14:paraId="11828ED7">
        <w:tblPrEx>
          <w:tblCellMar>
            <w:top w:w="0" w:type="dxa"/>
            <w:left w:w="108" w:type="dxa"/>
            <w:bottom w:w="0" w:type="dxa"/>
            <w:right w:w="108" w:type="dxa"/>
          </w:tblCellMar>
        </w:tblPrEx>
        <w:trPr>
          <w:trHeight w:val="862" w:hRule="atLeast"/>
        </w:trPr>
        <w:tc>
          <w:tcPr>
            <w:tcW w:w="787" w:type="dxa"/>
            <w:tcBorders>
              <w:top w:val="single" w:color="auto" w:sz="6" w:space="0"/>
              <w:left w:val="single" w:color="auto" w:sz="6" w:space="0"/>
              <w:bottom w:val="single" w:color="auto" w:sz="6" w:space="0"/>
              <w:right w:val="single" w:color="auto" w:sz="6" w:space="0"/>
            </w:tcBorders>
            <w:vAlign w:val="center"/>
          </w:tcPr>
          <w:p w14:paraId="6C8DC044">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653" w:type="dxa"/>
            <w:tcBorders>
              <w:top w:val="single" w:color="auto" w:sz="6" w:space="0"/>
              <w:left w:val="single" w:color="auto" w:sz="6" w:space="0"/>
              <w:bottom w:val="single" w:color="auto" w:sz="6" w:space="0"/>
              <w:right w:val="single" w:color="auto" w:sz="6" w:space="0"/>
            </w:tcBorders>
          </w:tcPr>
          <w:p w14:paraId="48553CF3">
            <w:pPr>
              <w:autoSpaceDE w:val="0"/>
              <w:autoSpaceDN w:val="0"/>
              <w:adjustRightInd w:val="0"/>
              <w:spacing w:line="480" w:lineRule="exact"/>
              <w:rPr>
                <w:rFonts w:asciiTheme="minorEastAsia" w:hAnsiTheme="minorEastAsia"/>
                <w:b/>
                <w:bCs/>
                <w:szCs w:val="21"/>
              </w:rPr>
            </w:pPr>
          </w:p>
        </w:tc>
        <w:tc>
          <w:tcPr>
            <w:tcW w:w="1487" w:type="dxa"/>
            <w:tcBorders>
              <w:top w:val="single" w:color="auto" w:sz="6" w:space="0"/>
              <w:left w:val="single" w:color="auto" w:sz="6" w:space="0"/>
              <w:bottom w:val="single" w:color="auto" w:sz="6" w:space="0"/>
              <w:right w:val="single" w:color="auto" w:sz="6" w:space="0"/>
            </w:tcBorders>
          </w:tcPr>
          <w:p w14:paraId="7CBEAD79">
            <w:pPr>
              <w:autoSpaceDE w:val="0"/>
              <w:autoSpaceDN w:val="0"/>
              <w:adjustRightInd w:val="0"/>
              <w:spacing w:line="480" w:lineRule="exact"/>
              <w:rPr>
                <w:rFonts w:asciiTheme="minorEastAsia" w:hAnsiTheme="minorEastAsia"/>
                <w:b/>
                <w:bCs/>
                <w:szCs w:val="21"/>
              </w:rPr>
            </w:pPr>
          </w:p>
        </w:tc>
        <w:tc>
          <w:tcPr>
            <w:tcW w:w="1817" w:type="dxa"/>
            <w:tcBorders>
              <w:top w:val="single" w:color="auto" w:sz="6" w:space="0"/>
              <w:left w:val="single" w:color="auto" w:sz="6" w:space="0"/>
              <w:bottom w:val="single" w:color="auto" w:sz="6" w:space="0"/>
              <w:right w:val="single" w:color="auto" w:sz="6" w:space="0"/>
            </w:tcBorders>
          </w:tcPr>
          <w:p w14:paraId="30082BE8">
            <w:pPr>
              <w:autoSpaceDE w:val="0"/>
              <w:autoSpaceDN w:val="0"/>
              <w:adjustRightInd w:val="0"/>
              <w:spacing w:line="480" w:lineRule="exact"/>
              <w:rPr>
                <w:rFonts w:asciiTheme="minorEastAsia" w:hAnsiTheme="minorEastAsia"/>
                <w:b/>
                <w:bCs/>
                <w:szCs w:val="21"/>
              </w:rPr>
            </w:pPr>
          </w:p>
        </w:tc>
        <w:tc>
          <w:tcPr>
            <w:tcW w:w="1652" w:type="dxa"/>
            <w:tcBorders>
              <w:top w:val="single" w:color="auto" w:sz="6" w:space="0"/>
              <w:left w:val="single" w:color="auto" w:sz="6" w:space="0"/>
              <w:bottom w:val="single" w:color="auto" w:sz="6" w:space="0"/>
              <w:right w:val="single" w:color="auto" w:sz="6" w:space="0"/>
            </w:tcBorders>
          </w:tcPr>
          <w:p w14:paraId="58649CD3">
            <w:pPr>
              <w:autoSpaceDE w:val="0"/>
              <w:autoSpaceDN w:val="0"/>
              <w:adjustRightInd w:val="0"/>
              <w:spacing w:line="480" w:lineRule="exact"/>
              <w:rPr>
                <w:rFonts w:asciiTheme="minorEastAsia" w:hAnsiTheme="minorEastAsia"/>
                <w:b/>
                <w:bCs/>
                <w:szCs w:val="21"/>
              </w:rPr>
            </w:pPr>
          </w:p>
        </w:tc>
        <w:tc>
          <w:tcPr>
            <w:tcW w:w="1818" w:type="dxa"/>
            <w:tcBorders>
              <w:top w:val="single" w:color="auto" w:sz="6" w:space="0"/>
              <w:left w:val="single" w:color="auto" w:sz="6" w:space="0"/>
              <w:bottom w:val="single" w:color="auto" w:sz="6" w:space="0"/>
              <w:right w:val="single" w:color="auto" w:sz="6" w:space="0"/>
            </w:tcBorders>
          </w:tcPr>
          <w:p w14:paraId="0B57833B">
            <w:pPr>
              <w:autoSpaceDE w:val="0"/>
              <w:autoSpaceDN w:val="0"/>
              <w:adjustRightInd w:val="0"/>
              <w:spacing w:line="480" w:lineRule="exact"/>
              <w:rPr>
                <w:rFonts w:asciiTheme="minorEastAsia" w:hAnsiTheme="minorEastAsia"/>
                <w:b/>
                <w:bCs/>
                <w:szCs w:val="21"/>
              </w:rPr>
            </w:pPr>
          </w:p>
        </w:tc>
      </w:tr>
      <w:tr w14:paraId="22B24A20">
        <w:tblPrEx>
          <w:tblCellMar>
            <w:top w:w="0" w:type="dxa"/>
            <w:left w:w="108" w:type="dxa"/>
            <w:bottom w:w="0" w:type="dxa"/>
            <w:right w:w="108" w:type="dxa"/>
          </w:tblCellMar>
        </w:tblPrEx>
        <w:trPr>
          <w:trHeight w:val="862" w:hRule="atLeast"/>
        </w:trPr>
        <w:tc>
          <w:tcPr>
            <w:tcW w:w="787" w:type="dxa"/>
            <w:tcBorders>
              <w:top w:val="single" w:color="auto" w:sz="6" w:space="0"/>
              <w:left w:val="single" w:color="auto" w:sz="6" w:space="0"/>
              <w:bottom w:val="single" w:color="auto" w:sz="6" w:space="0"/>
              <w:right w:val="single" w:color="auto" w:sz="6" w:space="0"/>
            </w:tcBorders>
            <w:vAlign w:val="center"/>
          </w:tcPr>
          <w:p w14:paraId="1B7CEA05">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653" w:type="dxa"/>
            <w:tcBorders>
              <w:top w:val="single" w:color="auto" w:sz="6" w:space="0"/>
              <w:left w:val="single" w:color="auto" w:sz="6" w:space="0"/>
              <w:bottom w:val="single" w:color="auto" w:sz="6" w:space="0"/>
              <w:right w:val="single" w:color="auto" w:sz="6" w:space="0"/>
            </w:tcBorders>
          </w:tcPr>
          <w:p w14:paraId="7F7B9994">
            <w:pPr>
              <w:autoSpaceDE w:val="0"/>
              <w:autoSpaceDN w:val="0"/>
              <w:adjustRightInd w:val="0"/>
              <w:spacing w:line="480" w:lineRule="exact"/>
              <w:rPr>
                <w:rFonts w:asciiTheme="minorEastAsia" w:hAnsiTheme="minorEastAsia"/>
                <w:b/>
                <w:bCs/>
                <w:szCs w:val="21"/>
              </w:rPr>
            </w:pPr>
          </w:p>
        </w:tc>
        <w:tc>
          <w:tcPr>
            <w:tcW w:w="1487" w:type="dxa"/>
            <w:tcBorders>
              <w:top w:val="single" w:color="auto" w:sz="6" w:space="0"/>
              <w:left w:val="single" w:color="auto" w:sz="6" w:space="0"/>
              <w:bottom w:val="single" w:color="auto" w:sz="6" w:space="0"/>
              <w:right w:val="single" w:color="auto" w:sz="6" w:space="0"/>
            </w:tcBorders>
          </w:tcPr>
          <w:p w14:paraId="18FCC110">
            <w:pPr>
              <w:autoSpaceDE w:val="0"/>
              <w:autoSpaceDN w:val="0"/>
              <w:adjustRightInd w:val="0"/>
              <w:spacing w:line="480" w:lineRule="exact"/>
              <w:rPr>
                <w:rFonts w:asciiTheme="minorEastAsia" w:hAnsiTheme="minorEastAsia"/>
                <w:b/>
                <w:bCs/>
                <w:szCs w:val="21"/>
              </w:rPr>
            </w:pPr>
          </w:p>
        </w:tc>
        <w:tc>
          <w:tcPr>
            <w:tcW w:w="1817" w:type="dxa"/>
            <w:tcBorders>
              <w:top w:val="single" w:color="auto" w:sz="6" w:space="0"/>
              <w:left w:val="single" w:color="auto" w:sz="6" w:space="0"/>
              <w:bottom w:val="single" w:color="auto" w:sz="6" w:space="0"/>
              <w:right w:val="single" w:color="auto" w:sz="6" w:space="0"/>
            </w:tcBorders>
          </w:tcPr>
          <w:p w14:paraId="44C7BFDC">
            <w:pPr>
              <w:autoSpaceDE w:val="0"/>
              <w:autoSpaceDN w:val="0"/>
              <w:adjustRightInd w:val="0"/>
              <w:spacing w:line="480" w:lineRule="exact"/>
              <w:rPr>
                <w:rFonts w:asciiTheme="minorEastAsia" w:hAnsiTheme="minorEastAsia"/>
                <w:b/>
                <w:bCs/>
                <w:szCs w:val="21"/>
              </w:rPr>
            </w:pPr>
          </w:p>
        </w:tc>
        <w:tc>
          <w:tcPr>
            <w:tcW w:w="1652" w:type="dxa"/>
            <w:tcBorders>
              <w:top w:val="single" w:color="auto" w:sz="6" w:space="0"/>
              <w:left w:val="single" w:color="auto" w:sz="6" w:space="0"/>
              <w:bottom w:val="single" w:color="auto" w:sz="6" w:space="0"/>
              <w:right w:val="single" w:color="auto" w:sz="6" w:space="0"/>
            </w:tcBorders>
          </w:tcPr>
          <w:p w14:paraId="203D05D8">
            <w:pPr>
              <w:autoSpaceDE w:val="0"/>
              <w:autoSpaceDN w:val="0"/>
              <w:adjustRightInd w:val="0"/>
              <w:spacing w:line="480" w:lineRule="exact"/>
              <w:rPr>
                <w:rFonts w:asciiTheme="minorEastAsia" w:hAnsiTheme="minorEastAsia"/>
                <w:b/>
                <w:bCs/>
                <w:szCs w:val="21"/>
              </w:rPr>
            </w:pPr>
          </w:p>
        </w:tc>
        <w:tc>
          <w:tcPr>
            <w:tcW w:w="1818" w:type="dxa"/>
            <w:tcBorders>
              <w:top w:val="single" w:color="auto" w:sz="6" w:space="0"/>
              <w:left w:val="single" w:color="auto" w:sz="6" w:space="0"/>
              <w:bottom w:val="single" w:color="auto" w:sz="6" w:space="0"/>
              <w:right w:val="single" w:color="auto" w:sz="6" w:space="0"/>
            </w:tcBorders>
          </w:tcPr>
          <w:p w14:paraId="27DE4DCE">
            <w:pPr>
              <w:autoSpaceDE w:val="0"/>
              <w:autoSpaceDN w:val="0"/>
              <w:adjustRightInd w:val="0"/>
              <w:spacing w:line="480" w:lineRule="exact"/>
              <w:rPr>
                <w:rFonts w:asciiTheme="minorEastAsia" w:hAnsiTheme="minorEastAsia"/>
                <w:b/>
                <w:bCs/>
                <w:szCs w:val="21"/>
              </w:rPr>
            </w:pPr>
          </w:p>
        </w:tc>
      </w:tr>
    </w:tbl>
    <w:p w14:paraId="757823E3">
      <w:pPr>
        <w:autoSpaceDE w:val="0"/>
        <w:autoSpaceDN w:val="0"/>
        <w:adjustRightInd w:val="0"/>
        <w:spacing w:line="480" w:lineRule="auto"/>
        <w:rPr>
          <w:rFonts w:cs="宋体" w:asciiTheme="minorEastAsia" w:hAnsiTheme="minorEastAsia"/>
          <w:szCs w:val="21"/>
          <w:lang w:val="zh-CN"/>
        </w:rPr>
      </w:pPr>
    </w:p>
    <w:p w14:paraId="17AE341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5BAF7294">
      <w:pPr>
        <w:autoSpaceDE w:val="0"/>
        <w:autoSpaceDN w:val="0"/>
        <w:adjustRightInd w:val="0"/>
        <w:spacing w:line="480" w:lineRule="auto"/>
        <w:rPr>
          <w:rFonts w:cs="宋体" w:asciiTheme="minorEastAsia" w:hAnsiTheme="minorEastAsia"/>
          <w:sz w:val="24"/>
          <w:szCs w:val="24"/>
          <w:lang w:val="zh-CN"/>
        </w:rPr>
      </w:pPr>
    </w:p>
    <w:p w14:paraId="6B682AB3">
      <w:pPr>
        <w:autoSpaceDE w:val="0"/>
        <w:autoSpaceDN w:val="0"/>
        <w:adjustRightInd w:val="0"/>
        <w:spacing w:line="480" w:lineRule="auto"/>
        <w:rPr>
          <w:rFonts w:cs="宋体" w:asciiTheme="minorEastAsia" w:hAnsiTheme="minorEastAsia"/>
          <w:sz w:val="24"/>
          <w:szCs w:val="24"/>
          <w:lang w:val="zh-CN"/>
        </w:rPr>
      </w:pPr>
    </w:p>
    <w:p w14:paraId="277ABF54">
      <w:pPr>
        <w:spacing w:line="300" w:lineRule="exact"/>
        <w:rPr>
          <w:rFonts w:asciiTheme="minorEastAsia" w:hAnsiTheme="minorEastAsia"/>
          <w:sz w:val="24"/>
          <w:szCs w:val="24"/>
        </w:rPr>
      </w:pPr>
    </w:p>
    <w:p w14:paraId="3EBCFD4A">
      <w:pPr>
        <w:widowControl/>
        <w:jc w:val="left"/>
        <w:rPr>
          <w:rFonts w:ascii="宋体" w:hAnsi="宋体"/>
          <w:b/>
          <w:bCs/>
          <w:sz w:val="24"/>
          <w:szCs w:val="24"/>
        </w:rPr>
      </w:pPr>
      <w:r>
        <w:rPr>
          <w:rFonts w:ascii="宋体" w:hAnsi="宋体"/>
          <w:b/>
          <w:bCs/>
          <w:sz w:val="24"/>
          <w:szCs w:val="24"/>
        </w:rPr>
        <w:br w:type="page"/>
      </w:r>
    </w:p>
    <w:p w14:paraId="19C6EDD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14:paraId="30936F00">
      <w:pPr>
        <w:snapToGrid w:val="0"/>
        <w:spacing w:line="360" w:lineRule="auto"/>
        <w:jc w:val="center"/>
        <w:rPr>
          <w:rFonts w:hAnsi="宋体" w:eastAsia="宋体"/>
          <w:b/>
          <w:snapToGrid w:val="0"/>
          <w:kern w:val="0"/>
          <w:sz w:val="36"/>
          <w:szCs w:val="36"/>
        </w:rPr>
      </w:pPr>
    </w:p>
    <w:p w14:paraId="4F0C8CD5">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14:paraId="37730CA0">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14:paraId="4C32365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14:paraId="636549E4">
      <w:pPr>
        <w:autoSpaceDE w:val="0"/>
        <w:autoSpaceDN w:val="0"/>
        <w:adjustRightInd w:val="0"/>
        <w:spacing w:line="360" w:lineRule="auto"/>
        <w:jc w:val="center"/>
        <w:outlineLvl w:val="0"/>
        <w:rPr>
          <w:rFonts w:ascii="宋体" w:hAnsi="宋体"/>
          <w:b/>
          <w:bCs/>
          <w:sz w:val="28"/>
          <w:szCs w:val="28"/>
        </w:rPr>
      </w:pPr>
    </w:p>
    <w:p w14:paraId="0973A70A">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9079AF6">
      <w:pPr>
        <w:snapToGrid w:val="0"/>
        <w:spacing w:line="360" w:lineRule="auto"/>
        <w:rPr>
          <w:rFonts w:hAnsi="宋体" w:eastAsia="宋体"/>
          <w:b/>
          <w:snapToGrid w:val="0"/>
          <w:kern w:val="0"/>
          <w:szCs w:val="21"/>
        </w:rPr>
      </w:pPr>
      <w:r>
        <w:rPr>
          <w:rFonts w:hint="eastAsia" w:asciiTheme="minorEastAsia" w:hAnsiTheme="minorEastAsia"/>
          <w:szCs w:val="21"/>
        </w:rPr>
        <w:t>项目名称：</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20C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31FBDE28">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2EB4F1BC">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40FBE4DF">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1929E754">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0D962A5D">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51E14121">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8AB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EA6A8FA">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7D5475F6">
            <w:pPr>
              <w:pStyle w:val="8"/>
              <w:spacing w:line="360" w:lineRule="auto"/>
              <w:rPr>
                <w:rFonts w:ascii="宋体" w:hAnsi="宋体" w:eastAsia="宋体" w:cs="Times New Roman"/>
                <w:sz w:val="21"/>
                <w:szCs w:val="21"/>
              </w:rPr>
            </w:pPr>
          </w:p>
        </w:tc>
        <w:tc>
          <w:tcPr>
            <w:tcW w:w="3579" w:type="dxa"/>
            <w:vAlign w:val="center"/>
          </w:tcPr>
          <w:p w14:paraId="454EBD62">
            <w:pPr>
              <w:pStyle w:val="8"/>
              <w:spacing w:line="360" w:lineRule="auto"/>
              <w:rPr>
                <w:rFonts w:ascii="宋体" w:hAnsi="宋体" w:eastAsia="宋体" w:cs="Times New Roman"/>
                <w:sz w:val="21"/>
                <w:szCs w:val="21"/>
              </w:rPr>
            </w:pPr>
          </w:p>
        </w:tc>
        <w:tc>
          <w:tcPr>
            <w:tcW w:w="1440" w:type="dxa"/>
            <w:vAlign w:val="center"/>
          </w:tcPr>
          <w:p w14:paraId="4EB75A8B">
            <w:pPr>
              <w:pStyle w:val="8"/>
              <w:spacing w:line="360" w:lineRule="auto"/>
              <w:rPr>
                <w:rFonts w:ascii="宋体" w:hAnsi="宋体" w:eastAsia="宋体" w:cs="Times New Roman"/>
                <w:sz w:val="21"/>
                <w:szCs w:val="21"/>
              </w:rPr>
            </w:pPr>
          </w:p>
        </w:tc>
        <w:tc>
          <w:tcPr>
            <w:tcW w:w="1706" w:type="dxa"/>
            <w:vAlign w:val="center"/>
          </w:tcPr>
          <w:p w14:paraId="0DBD8BFF">
            <w:pPr>
              <w:pStyle w:val="8"/>
              <w:spacing w:line="360" w:lineRule="auto"/>
              <w:rPr>
                <w:rFonts w:ascii="宋体" w:hAnsi="宋体" w:eastAsia="宋体" w:cs="Times New Roman"/>
                <w:sz w:val="21"/>
                <w:szCs w:val="21"/>
              </w:rPr>
            </w:pPr>
          </w:p>
        </w:tc>
      </w:tr>
      <w:tr w14:paraId="1F05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75178F5">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38702F59">
            <w:pPr>
              <w:pStyle w:val="8"/>
              <w:spacing w:line="360" w:lineRule="auto"/>
              <w:rPr>
                <w:rFonts w:ascii="宋体" w:hAnsi="宋体" w:eastAsia="宋体" w:cs="Times New Roman"/>
                <w:sz w:val="21"/>
                <w:szCs w:val="21"/>
              </w:rPr>
            </w:pPr>
          </w:p>
        </w:tc>
        <w:tc>
          <w:tcPr>
            <w:tcW w:w="3579" w:type="dxa"/>
            <w:vAlign w:val="center"/>
          </w:tcPr>
          <w:p w14:paraId="19656221">
            <w:pPr>
              <w:pStyle w:val="8"/>
              <w:spacing w:line="360" w:lineRule="auto"/>
              <w:rPr>
                <w:rFonts w:ascii="宋体" w:hAnsi="宋体" w:eastAsia="宋体" w:cs="Times New Roman"/>
                <w:sz w:val="21"/>
                <w:szCs w:val="21"/>
              </w:rPr>
            </w:pPr>
          </w:p>
        </w:tc>
        <w:tc>
          <w:tcPr>
            <w:tcW w:w="1440" w:type="dxa"/>
            <w:vAlign w:val="center"/>
          </w:tcPr>
          <w:p w14:paraId="6387C955">
            <w:pPr>
              <w:pStyle w:val="8"/>
              <w:spacing w:line="360" w:lineRule="auto"/>
              <w:rPr>
                <w:rFonts w:ascii="宋体" w:hAnsi="宋体" w:eastAsia="宋体" w:cs="Times New Roman"/>
                <w:sz w:val="21"/>
                <w:szCs w:val="21"/>
              </w:rPr>
            </w:pPr>
          </w:p>
        </w:tc>
        <w:tc>
          <w:tcPr>
            <w:tcW w:w="1706" w:type="dxa"/>
            <w:vAlign w:val="center"/>
          </w:tcPr>
          <w:p w14:paraId="422EC9E4">
            <w:pPr>
              <w:pStyle w:val="8"/>
              <w:spacing w:line="360" w:lineRule="auto"/>
              <w:rPr>
                <w:rFonts w:ascii="宋体" w:hAnsi="宋体" w:eastAsia="宋体" w:cs="Times New Roman"/>
                <w:sz w:val="21"/>
                <w:szCs w:val="21"/>
              </w:rPr>
            </w:pPr>
          </w:p>
        </w:tc>
      </w:tr>
      <w:tr w14:paraId="66D4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CB97144">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5BC345EB">
            <w:pPr>
              <w:pStyle w:val="8"/>
              <w:spacing w:line="360" w:lineRule="auto"/>
              <w:rPr>
                <w:rFonts w:ascii="宋体" w:hAnsi="宋体" w:eastAsia="宋体" w:cs="Times New Roman"/>
                <w:sz w:val="21"/>
                <w:szCs w:val="21"/>
              </w:rPr>
            </w:pPr>
          </w:p>
        </w:tc>
        <w:tc>
          <w:tcPr>
            <w:tcW w:w="3579" w:type="dxa"/>
            <w:vAlign w:val="center"/>
          </w:tcPr>
          <w:p w14:paraId="22FE8114">
            <w:pPr>
              <w:pStyle w:val="8"/>
              <w:spacing w:line="360" w:lineRule="auto"/>
              <w:rPr>
                <w:rFonts w:ascii="宋体" w:hAnsi="宋体" w:eastAsia="宋体" w:cs="Times New Roman"/>
                <w:sz w:val="21"/>
                <w:szCs w:val="21"/>
              </w:rPr>
            </w:pPr>
          </w:p>
        </w:tc>
        <w:tc>
          <w:tcPr>
            <w:tcW w:w="1440" w:type="dxa"/>
            <w:vAlign w:val="center"/>
          </w:tcPr>
          <w:p w14:paraId="0A4D3EEB">
            <w:pPr>
              <w:pStyle w:val="8"/>
              <w:spacing w:line="360" w:lineRule="auto"/>
              <w:rPr>
                <w:rFonts w:ascii="宋体" w:hAnsi="宋体" w:eastAsia="宋体" w:cs="Times New Roman"/>
                <w:sz w:val="21"/>
                <w:szCs w:val="21"/>
              </w:rPr>
            </w:pPr>
          </w:p>
        </w:tc>
        <w:tc>
          <w:tcPr>
            <w:tcW w:w="1706" w:type="dxa"/>
            <w:vAlign w:val="center"/>
          </w:tcPr>
          <w:p w14:paraId="22200752">
            <w:pPr>
              <w:pStyle w:val="8"/>
              <w:spacing w:line="360" w:lineRule="auto"/>
              <w:rPr>
                <w:rFonts w:ascii="宋体" w:hAnsi="宋体" w:eastAsia="宋体" w:cs="Times New Roman"/>
                <w:sz w:val="21"/>
                <w:szCs w:val="21"/>
              </w:rPr>
            </w:pPr>
          </w:p>
        </w:tc>
      </w:tr>
      <w:tr w14:paraId="2DA0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D1F0C3A">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FD9F7D5">
            <w:pPr>
              <w:rPr>
                <w:rFonts w:ascii="宋体"/>
                <w:szCs w:val="21"/>
              </w:rPr>
            </w:pPr>
          </w:p>
        </w:tc>
        <w:tc>
          <w:tcPr>
            <w:tcW w:w="3579" w:type="dxa"/>
            <w:vAlign w:val="center"/>
          </w:tcPr>
          <w:p w14:paraId="01CEE832">
            <w:pPr>
              <w:rPr>
                <w:rFonts w:ascii="宋体"/>
                <w:szCs w:val="21"/>
              </w:rPr>
            </w:pPr>
          </w:p>
        </w:tc>
        <w:tc>
          <w:tcPr>
            <w:tcW w:w="1440" w:type="dxa"/>
            <w:vAlign w:val="center"/>
          </w:tcPr>
          <w:p w14:paraId="68563C9F">
            <w:pPr>
              <w:rPr>
                <w:rFonts w:ascii="宋体"/>
                <w:szCs w:val="21"/>
              </w:rPr>
            </w:pPr>
          </w:p>
        </w:tc>
        <w:tc>
          <w:tcPr>
            <w:tcW w:w="1706" w:type="dxa"/>
            <w:vAlign w:val="center"/>
          </w:tcPr>
          <w:p w14:paraId="4E8D1111">
            <w:pPr>
              <w:rPr>
                <w:rFonts w:ascii="宋体"/>
                <w:szCs w:val="21"/>
              </w:rPr>
            </w:pPr>
          </w:p>
        </w:tc>
      </w:tr>
      <w:tr w14:paraId="1991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58F049B">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7F23E4EE">
            <w:pPr>
              <w:rPr>
                <w:rFonts w:ascii="宋体"/>
                <w:szCs w:val="21"/>
              </w:rPr>
            </w:pPr>
          </w:p>
        </w:tc>
        <w:tc>
          <w:tcPr>
            <w:tcW w:w="3579" w:type="dxa"/>
            <w:vAlign w:val="center"/>
          </w:tcPr>
          <w:p w14:paraId="1CD5A4C4">
            <w:pPr>
              <w:rPr>
                <w:rFonts w:ascii="宋体"/>
                <w:szCs w:val="21"/>
              </w:rPr>
            </w:pPr>
          </w:p>
        </w:tc>
        <w:tc>
          <w:tcPr>
            <w:tcW w:w="1440" w:type="dxa"/>
            <w:vAlign w:val="center"/>
          </w:tcPr>
          <w:p w14:paraId="1A4183B5">
            <w:pPr>
              <w:rPr>
                <w:rFonts w:ascii="宋体"/>
                <w:szCs w:val="21"/>
              </w:rPr>
            </w:pPr>
          </w:p>
        </w:tc>
        <w:tc>
          <w:tcPr>
            <w:tcW w:w="1706" w:type="dxa"/>
            <w:vAlign w:val="center"/>
          </w:tcPr>
          <w:p w14:paraId="7B26C1AD">
            <w:pPr>
              <w:rPr>
                <w:rFonts w:ascii="宋体"/>
                <w:szCs w:val="21"/>
              </w:rPr>
            </w:pPr>
          </w:p>
        </w:tc>
      </w:tr>
    </w:tbl>
    <w:p w14:paraId="73E1DE1C">
      <w:pPr>
        <w:autoSpaceDE w:val="0"/>
        <w:autoSpaceDN w:val="0"/>
        <w:adjustRightInd w:val="0"/>
        <w:spacing w:line="480" w:lineRule="auto"/>
        <w:rPr>
          <w:rFonts w:cs="宋体" w:asciiTheme="minorEastAsia" w:hAnsiTheme="minorEastAsia"/>
          <w:szCs w:val="21"/>
          <w:lang w:val="zh-CN"/>
        </w:rPr>
      </w:pPr>
    </w:p>
    <w:p w14:paraId="1C4C03C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14:paraId="3474A05C">
      <w:pPr>
        <w:autoSpaceDE w:val="0"/>
        <w:autoSpaceDN w:val="0"/>
        <w:adjustRightInd w:val="0"/>
        <w:spacing w:line="480" w:lineRule="auto"/>
        <w:rPr>
          <w:rFonts w:cs="宋体" w:asciiTheme="minorEastAsia" w:hAnsiTheme="minorEastAsia"/>
          <w:szCs w:val="21"/>
          <w:lang w:val="zh-CN"/>
        </w:rPr>
      </w:pPr>
    </w:p>
    <w:p w14:paraId="6406CD59">
      <w:pPr>
        <w:autoSpaceDE w:val="0"/>
        <w:autoSpaceDN w:val="0"/>
        <w:adjustRightInd w:val="0"/>
        <w:spacing w:line="480" w:lineRule="auto"/>
        <w:rPr>
          <w:rFonts w:cs="宋体" w:asciiTheme="minorEastAsia" w:hAnsiTheme="minorEastAsia"/>
          <w:sz w:val="24"/>
          <w:szCs w:val="24"/>
          <w:lang w:val="zh-CN"/>
        </w:rPr>
      </w:pPr>
    </w:p>
    <w:p w14:paraId="36412850">
      <w:pPr>
        <w:autoSpaceDE w:val="0"/>
        <w:autoSpaceDN w:val="0"/>
        <w:adjustRightInd w:val="0"/>
        <w:spacing w:line="480" w:lineRule="auto"/>
        <w:rPr>
          <w:rFonts w:cs="宋体" w:asciiTheme="minorEastAsia" w:hAnsiTheme="minorEastAsia"/>
          <w:sz w:val="24"/>
          <w:szCs w:val="24"/>
          <w:lang w:val="zh-CN"/>
        </w:rPr>
      </w:pPr>
    </w:p>
    <w:p w14:paraId="0DC4512B">
      <w:pPr>
        <w:autoSpaceDE w:val="0"/>
        <w:autoSpaceDN w:val="0"/>
        <w:adjustRightInd w:val="0"/>
        <w:spacing w:line="480" w:lineRule="auto"/>
        <w:rPr>
          <w:rFonts w:cs="宋体" w:asciiTheme="minorEastAsia" w:hAnsiTheme="minorEastAsia"/>
          <w:sz w:val="24"/>
          <w:szCs w:val="24"/>
          <w:lang w:val="zh-CN"/>
        </w:rPr>
      </w:pPr>
    </w:p>
    <w:p w14:paraId="4FC91D1B">
      <w:pPr>
        <w:autoSpaceDE w:val="0"/>
        <w:autoSpaceDN w:val="0"/>
        <w:adjustRightInd w:val="0"/>
        <w:spacing w:line="480" w:lineRule="auto"/>
        <w:rPr>
          <w:rFonts w:cs="宋体" w:asciiTheme="minorEastAsia" w:hAnsiTheme="minorEastAsia"/>
          <w:sz w:val="24"/>
          <w:szCs w:val="24"/>
          <w:lang w:val="zh-CN"/>
        </w:rPr>
      </w:pPr>
    </w:p>
    <w:p w14:paraId="4EDBDB70">
      <w:pPr>
        <w:autoSpaceDE w:val="0"/>
        <w:autoSpaceDN w:val="0"/>
        <w:adjustRightInd w:val="0"/>
        <w:spacing w:line="480" w:lineRule="auto"/>
        <w:rPr>
          <w:rFonts w:cs="宋体" w:asciiTheme="minorEastAsia" w:hAnsiTheme="minorEastAsia"/>
          <w:sz w:val="24"/>
          <w:szCs w:val="24"/>
          <w:lang w:val="zh-CN"/>
        </w:rPr>
      </w:pPr>
    </w:p>
    <w:p w14:paraId="4F183CB2">
      <w:pPr>
        <w:autoSpaceDE w:val="0"/>
        <w:autoSpaceDN w:val="0"/>
        <w:adjustRightInd w:val="0"/>
        <w:spacing w:line="480" w:lineRule="auto"/>
        <w:rPr>
          <w:rFonts w:cs="宋体" w:asciiTheme="minorEastAsia" w:hAnsiTheme="minorEastAsia"/>
          <w:sz w:val="24"/>
          <w:szCs w:val="24"/>
          <w:lang w:val="zh-CN"/>
        </w:rPr>
      </w:pPr>
    </w:p>
    <w:p w14:paraId="148E03AB">
      <w:pPr>
        <w:autoSpaceDE w:val="0"/>
        <w:autoSpaceDN w:val="0"/>
        <w:adjustRightInd w:val="0"/>
        <w:spacing w:line="480" w:lineRule="auto"/>
        <w:rPr>
          <w:rFonts w:cs="宋体" w:asciiTheme="minorEastAsia" w:hAnsiTheme="minorEastAsia"/>
          <w:sz w:val="24"/>
          <w:szCs w:val="24"/>
          <w:lang w:val="zh-CN"/>
        </w:rPr>
      </w:pPr>
    </w:p>
    <w:p w14:paraId="21F9FF5D">
      <w:pPr>
        <w:widowControl/>
        <w:jc w:val="left"/>
        <w:rPr>
          <w:rFonts w:ascii="宋体" w:hAnsi="宋体"/>
          <w:b/>
          <w:bCs/>
          <w:sz w:val="24"/>
          <w:szCs w:val="24"/>
        </w:rPr>
      </w:pPr>
      <w:r>
        <w:rPr>
          <w:rFonts w:ascii="宋体" w:hAnsi="宋体"/>
          <w:b/>
          <w:bCs/>
          <w:sz w:val="24"/>
          <w:szCs w:val="24"/>
        </w:rPr>
        <w:br w:type="page"/>
      </w:r>
    </w:p>
    <w:p w14:paraId="24C958F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14:paraId="40768D7F">
      <w:pPr>
        <w:autoSpaceDE w:val="0"/>
        <w:autoSpaceDN w:val="0"/>
        <w:adjustRightInd w:val="0"/>
        <w:spacing w:line="360" w:lineRule="auto"/>
        <w:jc w:val="center"/>
        <w:outlineLvl w:val="0"/>
        <w:rPr>
          <w:rFonts w:ascii="宋体" w:hAnsi="宋体"/>
          <w:b/>
          <w:bCs/>
          <w:sz w:val="36"/>
          <w:szCs w:val="36"/>
        </w:rPr>
      </w:pPr>
    </w:p>
    <w:p w14:paraId="25FB6E9F">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14:paraId="2D9245BB">
      <w:pPr>
        <w:autoSpaceDE w:val="0"/>
        <w:autoSpaceDN w:val="0"/>
        <w:adjustRightInd w:val="0"/>
        <w:spacing w:line="360" w:lineRule="auto"/>
        <w:jc w:val="center"/>
        <w:outlineLvl w:val="0"/>
        <w:rPr>
          <w:rFonts w:ascii="宋体" w:hAnsi="宋体"/>
          <w:b/>
          <w:bCs/>
          <w:sz w:val="36"/>
          <w:szCs w:val="36"/>
        </w:rPr>
      </w:pPr>
    </w:p>
    <w:p w14:paraId="0375E3E1">
      <w:pPr>
        <w:autoSpaceDE w:val="0"/>
        <w:autoSpaceDN w:val="0"/>
        <w:adjustRightInd w:val="0"/>
        <w:spacing w:line="480" w:lineRule="auto"/>
        <w:rPr>
          <w:rFonts w:cs="宋体" w:asciiTheme="minorEastAsia" w:hAnsiTheme="minorEastAsia"/>
          <w:szCs w:val="21"/>
        </w:rPr>
      </w:pPr>
    </w:p>
    <w:p w14:paraId="4DB212F8">
      <w:pPr>
        <w:autoSpaceDE w:val="0"/>
        <w:autoSpaceDN w:val="0"/>
        <w:adjustRightInd w:val="0"/>
        <w:spacing w:line="480" w:lineRule="auto"/>
        <w:rPr>
          <w:rFonts w:cs="宋体" w:asciiTheme="minorEastAsia" w:hAnsiTheme="minorEastAsia"/>
          <w:sz w:val="24"/>
          <w:szCs w:val="24"/>
          <w:lang w:val="zh-CN"/>
        </w:rPr>
      </w:pPr>
    </w:p>
    <w:p w14:paraId="0CBEDFC4">
      <w:pPr>
        <w:autoSpaceDE w:val="0"/>
        <w:autoSpaceDN w:val="0"/>
        <w:adjustRightInd w:val="0"/>
        <w:spacing w:line="480" w:lineRule="auto"/>
        <w:rPr>
          <w:rFonts w:cs="宋体" w:asciiTheme="minorEastAsia" w:hAnsiTheme="minorEastAsia"/>
          <w:sz w:val="24"/>
          <w:szCs w:val="24"/>
          <w:lang w:val="zh-CN"/>
        </w:rPr>
      </w:pPr>
    </w:p>
    <w:p w14:paraId="76BE270A">
      <w:pPr>
        <w:autoSpaceDE w:val="0"/>
        <w:autoSpaceDN w:val="0"/>
        <w:adjustRightInd w:val="0"/>
        <w:spacing w:line="480" w:lineRule="auto"/>
        <w:rPr>
          <w:rFonts w:cs="宋体" w:asciiTheme="minorEastAsia" w:hAnsiTheme="minorEastAsia"/>
          <w:sz w:val="24"/>
          <w:szCs w:val="24"/>
          <w:lang w:val="zh-CN"/>
        </w:rPr>
      </w:pPr>
    </w:p>
    <w:p w14:paraId="4DF1D6FB">
      <w:pPr>
        <w:autoSpaceDE w:val="0"/>
        <w:autoSpaceDN w:val="0"/>
        <w:adjustRightInd w:val="0"/>
        <w:spacing w:line="480" w:lineRule="auto"/>
        <w:rPr>
          <w:rFonts w:cs="宋体" w:asciiTheme="minorEastAsia" w:hAnsiTheme="minorEastAsia"/>
          <w:sz w:val="24"/>
          <w:szCs w:val="24"/>
          <w:lang w:val="zh-CN"/>
        </w:rPr>
      </w:pPr>
    </w:p>
    <w:p w14:paraId="4F021078">
      <w:pPr>
        <w:autoSpaceDE w:val="0"/>
        <w:autoSpaceDN w:val="0"/>
        <w:adjustRightInd w:val="0"/>
        <w:spacing w:line="480" w:lineRule="auto"/>
        <w:rPr>
          <w:rFonts w:cs="宋体" w:asciiTheme="minorEastAsia" w:hAnsiTheme="minorEastAsia"/>
          <w:sz w:val="24"/>
          <w:szCs w:val="24"/>
          <w:lang w:val="zh-CN"/>
        </w:rPr>
      </w:pPr>
    </w:p>
    <w:p w14:paraId="12C4B3AD">
      <w:pPr>
        <w:autoSpaceDE w:val="0"/>
        <w:autoSpaceDN w:val="0"/>
        <w:adjustRightInd w:val="0"/>
        <w:spacing w:line="480" w:lineRule="auto"/>
        <w:rPr>
          <w:rFonts w:cs="宋体" w:asciiTheme="minorEastAsia" w:hAnsiTheme="minorEastAsia"/>
          <w:sz w:val="24"/>
          <w:szCs w:val="24"/>
          <w:lang w:val="zh-CN"/>
        </w:rPr>
      </w:pPr>
    </w:p>
    <w:p w14:paraId="30FE1FDF">
      <w:pPr>
        <w:autoSpaceDE w:val="0"/>
        <w:autoSpaceDN w:val="0"/>
        <w:adjustRightInd w:val="0"/>
        <w:spacing w:line="480" w:lineRule="auto"/>
        <w:rPr>
          <w:rFonts w:cs="宋体" w:asciiTheme="minorEastAsia" w:hAnsiTheme="minorEastAsia"/>
          <w:sz w:val="24"/>
          <w:szCs w:val="24"/>
          <w:lang w:val="zh-CN"/>
        </w:rPr>
      </w:pPr>
    </w:p>
    <w:p w14:paraId="3FEE11A2">
      <w:pPr>
        <w:widowControl/>
        <w:jc w:val="left"/>
        <w:rPr>
          <w:rFonts w:ascii="宋体" w:hAnsi="宋体"/>
          <w:b/>
          <w:bCs/>
          <w:sz w:val="24"/>
          <w:szCs w:val="24"/>
        </w:rPr>
      </w:pPr>
      <w:r>
        <w:rPr>
          <w:rFonts w:ascii="宋体" w:hAnsi="宋体"/>
          <w:b/>
          <w:bCs/>
          <w:sz w:val="24"/>
          <w:szCs w:val="24"/>
        </w:rPr>
        <w:br w:type="page"/>
      </w:r>
    </w:p>
    <w:p w14:paraId="69FF2AB5">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t>4.</w:t>
      </w:r>
      <w:r>
        <w:rPr>
          <w:rFonts w:hint="eastAsia" w:ascii="宋体" w:hAnsi="宋体"/>
          <w:b/>
          <w:bCs/>
          <w:sz w:val="24"/>
          <w:szCs w:val="24"/>
        </w:rPr>
        <w:t xml:space="preserve">6 </w:t>
      </w:r>
      <w:r>
        <w:rPr>
          <w:rFonts w:ascii="宋体" w:hAnsi="宋体"/>
          <w:b/>
          <w:bCs/>
          <w:sz w:val="24"/>
          <w:szCs w:val="24"/>
        </w:rPr>
        <w:t>中小企业声明函（货物）</w:t>
      </w:r>
    </w:p>
    <w:p w14:paraId="4E4E3DEC">
      <w:pPr>
        <w:spacing w:line="360" w:lineRule="auto"/>
        <w:jc w:val="center"/>
        <w:rPr>
          <w:rFonts w:ascii="宋体" w:hAnsi="宋体"/>
          <w:b/>
          <w:bCs/>
          <w:szCs w:val="21"/>
        </w:rPr>
      </w:pPr>
    </w:p>
    <w:p w14:paraId="684452BA">
      <w:pPr>
        <w:spacing w:line="360" w:lineRule="auto"/>
        <w:ind w:firstLine="424" w:firstLineChars="202"/>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21EC1833">
      <w:pPr>
        <w:spacing w:line="360" w:lineRule="auto"/>
        <w:ind w:firstLine="424" w:firstLineChars="202"/>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61A0AA8">
      <w:pPr>
        <w:spacing w:line="360" w:lineRule="auto"/>
        <w:ind w:firstLine="424" w:firstLineChars="202"/>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313FCD51">
      <w:pPr>
        <w:spacing w:line="360" w:lineRule="auto"/>
        <w:ind w:firstLine="424" w:firstLineChars="202"/>
        <w:jc w:val="left"/>
      </w:pPr>
      <w:r>
        <w:t xml:space="preserve">…… </w:t>
      </w:r>
    </w:p>
    <w:p w14:paraId="1E8553F8">
      <w:pPr>
        <w:spacing w:line="360" w:lineRule="auto"/>
        <w:ind w:firstLine="424" w:firstLineChars="202"/>
        <w:jc w:val="left"/>
      </w:pPr>
      <w:r>
        <w:t>以上企业，不属于大企业的分支机构，不存在控股股东为大企业的情形，也不存在与大企业的负责人为同一人的情形。</w:t>
      </w:r>
    </w:p>
    <w:p w14:paraId="67D2CD85">
      <w:pPr>
        <w:spacing w:line="360" w:lineRule="auto"/>
        <w:ind w:firstLine="424" w:firstLineChars="202"/>
        <w:jc w:val="left"/>
      </w:pPr>
      <w:r>
        <w:t>本企业对上述声明内容的真实性负责。如有虚假，将依法承担相应责任。</w:t>
      </w:r>
    </w:p>
    <w:p w14:paraId="489FFD77">
      <w:pPr>
        <w:spacing w:line="360" w:lineRule="auto"/>
        <w:ind w:firstLine="707" w:firstLineChars="337"/>
        <w:jc w:val="left"/>
      </w:pPr>
    </w:p>
    <w:p w14:paraId="3FBC2ABD">
      <w:pPr>
        <w:spacing w:line="360" w:lineRule="auto"/>
        <w:ind w:firstLine="707" w:firstLineChars="337"/>
        <w:jc w:val="left"/>
      </w:pPr>
    </w:p>
    <w:p w14:paraId="102B4645">
      <w:pPr>
        <w:spacing w:line="480" w:lineRule="auto"/>
        <w:ind w:firstLine="5670" w:firstLineChars="2700"/>
        <w:jc w:val="left"/>
      </w:pPr>
      <w:r>
        <w:t>企业名称（盖章）：</w:t>
      </w:r>
    </w:p>
    <w:p w14:paraId="372FA15A">
      <w:pPr>
        <w:spacing w:line="480" w:lineRule="auto"/>
        <w:ind w:firstLine="5670" w:firstLineChars="2700"/>
        <w:jc w:val="left"/>
        <w:rPr>
          <w:rFonts w:cs="Arial" w:asciiTheme="minorEastAsia" w:hAnsiTheme="minorEastAsia"/>
          <w:szCs w:val="21"/>
        </w:rPr>
      </w:pPr>
      <w:r>
        <w:t>日期：</w:t>
      </w:r>
    </w:p>
    <w:p w14:paraId="1601ED33">
      <w:pPr>
        <w:spacing w:line="480" w:lineRule="auto"/>
        <w:ind w:left="4358" w:leftChars="2075"/>
        <w:rPr>
          <w:rFonts w:cs="Arial" w:asciiTheme="minorEastAsia" w:hAnsiTheme="minorEastAsia"/>
          <w:szCs w:val="21"/>
        </w:rPr>
      </w:pPr>
    </w:p>
    <w:p w14:paraId="2BE67125">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5D652E56">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1285F9AD">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3F8EA621">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3、货物类《中小企业声明函》中</w:t>
      </w:r>
      <w:r>
        <w:rPr>
          <w:rFonts w:hint="eastAsia" w:ascii="宋体" w:hAnsi="宋体" w:cs="Arial"/>
          <w:kern w:val="0"/>
          <w:szCs w:val="21"/>
          <w:u w:val="single"/>
        </w:rPr>
        <w:t>标的名称</w:t>
      </w:r>
      <w:r>
        <w:rPr>
          <w:rFonts w:hint="eastAsia" w:ascii="宋体" w:hAnsi="宋体" w:cs="Arial"/>
          <w:kern w:val="0"/>
          <w:szCs w:val="21"/>
        </w:rPr>
        <w:t>须按照本项目采购清单中货物（标的）名称，逐项进行声明。在</w:t>
      </w:r>
      <w:r>
        <w:rPr>
          <w:rFonts w:hint="eastAsia" w:ascii="宋体" w:hAnsi="宋体" w:cs="Arial"/>
          <w:kern w:val="0"/>
          <w:szCs w:val="21"/>
          <w:u w:val="single"/>
        </w:rPr>
        <w:t>标的名称</w:t>
      </w:r>
      <w:r>
        <w:rPr>
          <w:rFonts w:hint="eastAsia" w:ascii="宋体" w:hAnsi="宋体" w:cs="Arial"/>
          <w:kern w:val="0"/>
          <w:szCs w:val="21"/>
        </w:rPr>
        <w:t>处填写项目名称或标的填写不全的，视为《中小企业声明函》无效。</w:t>
      </w:r>
    </w:p>
    <w:p w14:paraId="19AB31C7">
      <w:pPr>
        <w:widowControl/>
        <w:spacing w:before="100" w:beforeAutospacing="1" w:after="100" w:afterAutospacing="1" w:line="360" w:lineRule="auto"/>
        <w:contextualSpacing/>
        <w:jc w:val="left"/>
        <w:rPr>
          <w:rFonts w:ascii="宋体" w:hAnsi="宋体" w:cs="Arial"/>
          <w:color w:val="FF0000"/>
          <w:kern w:val="0"/>
          <w:szCs w:val="21"/>
        </w:rPr>
      </w:pPr>
    </w:p>
    <w:p w14:paraId="7F3E446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“节能产品政府采购品目清单”强制节能产品情况</w:t>
      </w:r>
    </w:p>
    <w:p w14:paraId="274CDE1D">
      <w:pPr>
        <w:autoSpaceDE w:val="0"/>
        <w:autoSpaceDN w:val="0"/>
        <w:adjustRightInd w:val="0"/>
        <w:spacing w:line="360" w:lineRule="auto"/>
        <w:jc w:val="center"/>
        <w:outlineLvl w:val="0"/>
        <w:rPr>
          <w:rFonts w:ascii="宋体" w:hAnsi="宋体"/>
          <w:b/>
          <w:bCs/>
          <w:sz w:val="28"/>
          <w:szCs w:val="28"/>
        </w:rPr>
      </w:pPr>
    </w:p>
    <w:p w14:paraId="23062942">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788A5BCF">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7CE4D36E">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14:paraId="068F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14:paraId="7D761F5B">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14:paraId="2267BD72">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14:paraId="2EBD5A37">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14:paraId="60E2A517">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14:paraId="6667F5A0">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14:paraId="6861A813">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14:paraId="11FE4036">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263C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4A03D76A">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14:paraId="78EA2564">
            <w:pPr>
              <w:pStyle w:val="8"/>
              <w:spacing w:line="360" w:lineRule="auto"/>
              <w:rPr>
                <w:rFonts w:ascii="宋体" w:hAnsi="宋体" w:eastAsia="宋体" w:cs="Times New Roman"/>
                <w:sz w:val="21"/>
                <w:szCs w:val="21"/>
              </w:rPr>
            </w:pPr>
          </w:p>
        </w:tc>
        <w:tc>
          <w:tcPr>
            <w:tcW w:w="1518" w:type="dxa"/>
            <w:vAlign w:val="center"/>
          </w:tcPr>
          <w:p w14:paraId="57BB4F70">
            <w:pPr>
              <w:pStyle w:val="8"/>
              <w:spacing w:line="360" w:lineRule="auto"/>
              <w:rPr>
                <w:rFonts w:ascii="宋体" w:hAnsi="宋体" w:eastAsia="宋体" w:cs="Times New Roman"/>
                <w:sz w:val="21"/>
                <w:szCs w:val="21"/>
              </w:rPr>
            </w:pPr>
          </w:p>
        </w:tc>
        <w:tc>
          <w:tcPr>
            <w:tcW w:w="1240" w:type="dxa"/>
          </w:tcPr>
          <w:p w14:paraId="020FB8EB">
            <w:pPr>
              <w:pStyle w:val="8"/>
              <w:spacing w:line="360" w:lineRule="auto"/>
              <w:rPr>
                <w:rFonts w:ascii="宋体" w:hAnsi="宋体" w:eastAsia="宋体" w:cs="Times New Roman"/>
                <w:sz w:val="21"/>
                <w:szCs w:val="21"/>
              </w:rPr>
            </w:pPr>
          </w:p>
        </w:tc>
        <w:tc>
          <w:tcPr>
            <w:tcW w:w="1648" w:type="dxa"/>
          </w:tcPr>
          <w:p w14:paraId="444749AF">
            <w:pPr>
              <w:pStyle w:val="8"/>
              <w:spacing w:line="360" w:lineRule="auto"/>
              <w:rPr>
                <w:rFonts w:ascii="宋体" w:hAnsi="宋体" w:eastAsia="宋体" w:cs="Times New Roman"/>
                <w:sz w:val="21"/>
                <w:szCs w:val="21"/>
              </w:rPr>
            </w:pPr>
          </w:p>
        </w:tc>
        <w:tc>
          <w:tcPr>
            <w:tcW w:w="1600" w:type="dxa"/>
          </w:tcPr>
          <w:p w14:paraId="34ADAD87">
            <w:pPr>
              <w:pStyle w:val="8"/>
              <w:spacing w:line="360" w:lineRule="auto"/>
              <w:rPr>
                <w:rFonts w:ascii="宋体" w:hAnsi="宋体" w:eastAsia="宋体" w:cs="Times New Roman"/>
                <w:sz w:val="21"/>
                <w:szCs w:val="21"/>
              </w:rPr>
            </w:pPr>
          </w:p>
        </w:tc>
        <w:tc>
          <w:tcPr>
            <w:tcW w:w="1417" w:type="dxa"/>
          </w:tcPr>
          <w:p w14:paraId="3EE1F13A">
            <w:pPr>
              <w:pStyle w:val="8"/>
              <w:spacing w:line="360" w:lineRule="auto"/>
              <w:rPr>
                <w:rFonts w:ascii="宋体" w:hAnsi="宋体" w:eastAsia="宋体" w:cs="Times New Roman"/>
                <w:sz w:val="21"/>
                <w:szCs w:val="21"/>
              </w:rPr>
            </w:pPr>
          </w:p>
        </w:tc>
      </w:tr>
      <w:tr w14:paraId="2CDA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0D53C491">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14:paraId="18635E41">
            <w:pPr>
              <w:pStyle w:val="8"/>
              <w:spacing w:line="360" w:lineRule="auto"/>
              <w:rPr>
                <w:rFonts w:ascii="宋体" w:hAnsi="宋体" w:eastAsia="宋体" w:cs="Times New Roman"/>
                <w:sz w:val="21"/>
                <w:szCs w:val="21"/>
              </w:rPr>
            </w:pPr>
          </w:p>
        </w:tc>
        <w:tc>
          <w:tcPr>
            <w:tcW w:w="1518" w:type="dxa"/>
            <w:vAlign w:val="center"/>
          </w:tcPr>
          <w:p w14:paraId="29363F0E">
            <w:pPr>
              <w:pStyle w:val="8"/>
              <w:spacing w:line="360" w:lineRule="auto"/>
              <w:rPr>
                <w:rFonts w:ascii="宋体" w:hAnsi="宋体" w:eastAsia="宋体" w:cs="Times New Roman"/>
                <w:sz w:val="21"/>
                <w:szCs w:val="21"/>
              </w:rPr>
            </w:pPr>
          </w:p>
        </w:tc>
        <w:tc>
          <w:tcPr>
            <w:tcW w:w="1240" w:type="dxa"/>
          </w:tcPr>
          <w:p w14:paraId="26AB1F07">
            <w:pPr>
              <w:pStyle w:val="8"/>
              <w:spacing w:line="360" w:lineRule="auto"/>
              <w:rPr>
                <w:rFonts w:ascii="宋体" w:hAnsi="宋体" w:eastAsia="宋体" w:cs="Times New Roman"/>
                <w:sz w:val="21"/>
                <w:szCs w:val="21"/>
              </w:rPr>
            </w:pPr>
          </w:p>
        </w:tc>
        <w:tc>
          <w:tcPr>
            <w:tcW w:w="1648" w:type="dxa"/>
          </w:tcPr>
          <w:p w14:paraId="418F485A">
            <w:pPr>
              <w:pStyle w:val="8"/>
              <w:spacing w:line="360" w:lineRule="auto"/>
              <w:rPr>
                <w:rFonts w:ascii="宋体" w:hAnsi="宋体" w:eastAsia="宋体" w:cs="Times New Roman"/>
                <w:sz w:val="21"/>
                <w:szCs w:val="21"/>
              </w:rPr>
            </w:pPr>
          </w:p>
        </w:tc>
        <w:tc>
          <w:tcPr>
            <w:tcW w:w="1600" w:type="dxa"/>
          </w:tcPr>
          <w:p w14:paraId="7D647BB4">
            <w:pPr>
              <w:pStyle w:val="8"/>
              <w:spacing w:line="360" w:lineRule="auto"/>
              <w:rPr>
                <w:rFonts w:ascii="宋体" w:hAnsi="宋体" w:eastAsia="宋体" w:cs="Times New Roman"/>
                <w:sz w:val="21"/>
                <w:szCs w:val="21"/>
              </w:rPr>
            </w:pPr>
          </w:p>
        </w:tc>
        <w:tc>
          <w:tcPr>
            <w:tcW w:w="1417" w:type="dxa"/>
          </w:tcPr>
          <w:p w14:paraId="285107C7">
            <w:pPr>
              <w:pStyle w:val="8"/>
              <w:spacing w:line="360" w:lineRule="auto"/>
              <w:rPr>
                <w:rFonts w:ascii="宋体" w:hAnsi="宋体" w:eastAsia="宋体" w:cs="Times New Roman"/>
                <w:sz w:val="21"/>
                <w:szCs w:val="21"/>
              </w:rPr>
            </w:pPr>
          </w:p>
        </w:tc>
      </w:tr>
      <w:tr w14:paraId="20D3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61A6E7C7">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14:paraId="0A177113">
            <w:pPr>
              <w:pStyle w:val="8"/>
              <w:spacing w:line="360" w:lineRule="auto"/>
              <w:rPr>
                <w:rFonts w:ascii="宋体" w:hAnsi="宋体" w:eastAsia="宋体" w:cs="Times New Roman"/>
                <w:sz w:val="21"/>
                <w:szCs w:val="21"/>
              </w:rPr>
            </w:pPr>
          </w:p>
        </w:tc>
        <w:tc>
          <w:tcPr>
            <w:tcW w:w="1518" w:type="dxa"/>
            <w:vAlign w:val="center"/>
          </w:tcPr>
          <w:p w14:paraId="290F5ADD">
            <w:pPr>
              <w:pStyle w:val="8"/>
              <w:spacing w:line="360" w:lineRule="auto"/>
              <w:rPr>
                <w:rFonts w:ascii="宋体" w:hAnsi="宋体" w:eastAsia="宋体" w:cs="Times New Roman"/>
                <w:sz w:val="21"/>
                <w:szCs w:val="21"/>
              </w:rPr>
            </w:pPr>
          </w:p>
        </w:tc>
        <w:tc>
          <w:tcPr>
            <w:tcW w:w="1240" w:type="dxa"/>
          </w:tcPr>
          <w:p w14:paraId="641CAF96">
            <w:pPr>
              <w:pStyle w:val="8"/>
              <w:spacing w:line="360" w:lineRule="auto"/>
              <w:rPr>
                <w:rFonts w:ascii="宋体" w:hAnsi="宋体" w:eastAsia="宋体" w:cs="Times New Roman"/>
                <w:sz w:val="21"/>
                <w:szCs w:val="21"/>
              </w:rPr>
            </w:pPr>
          </w:p>
        </w:tc>
        <w:tc>
          <w:tcPr>
            <w:tcW w:w="1648" w:type="dxa"/>
          </w:tcPr>
          <w:p w14:paraId="1482DCC9">
            <w:pPr>
              <w:pStyle w:val="8"/>
              <w:spacing w:line="360" w:lineRule="auto"/>
              <w:rPr>
                <w:rFonts w:ascii="宋体" w:hAnsi="宋体" w:eastAsia="宋体" w:cs="Times New Roman"/>
                <w:sz w:val="21"/>
                <w:szCs w:val="21"/>
              </w:rPr>
            </w:pPr>
          </w:p>
        </w:tc>
        <w:tc>
          <w:tcPr>
            <w:tcW w:w="1600" w:type="dxa"/>
          </w:tcPr>
          <w:p w14:paraId="0DFAC16A">
            <w:pPr>
              <w:pStyle w:val="8"/>
              <w:spacing w:line="360" w:lineRule="auto"/>
              <w:rPr>
                <w:rFonts w:ascii="宋体" w:hAnsi="宋体" w:eastAsia="宋体" w:cs="Times New Roman"/>
                <w:sz w:val="21"/>
                <w:szCs w:val="21"/>
              </w:rPr>
            </w:pPr>
          </w:p>
        </w:tc>
        <w:tc>
          <w:tcPr>
            <w:tcW w:w="1417" w:type="dxa"/>
          </w:tcPr>
          <w:p w14:paraId="3FDAFDC7">
            <w:pPr>
              <w:pStyle w:val="8"/>
              <w:spacing w:line="360" w:lineRule="auto"/>
              <w:rPr>
                <w:rFonts w:ascii="宋体" w:hAnsi="宋体" w:eastAsia="宋体" w:cs="Times New Roman"/>
                <w:sz w:val="21"/>
                <w:szCs w:val="21"/>
              </w:rPr>
            </w:pPr>
          </w:p>
        </w:tc>
      </w:tr>
    </w:tbl>
    <w:p w14:paraId="6782B81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14:paraId="38513651">
      <w:pPr>
        <w:snapToGrid w:val="0"/>
        <w:spacing w:line="500" w:lineRule="exact"/>
        <w:rPr>
          <w:rFonts w:cs="宋体" w:asciiTheme="minorEastAsia" w:hAnsiTheme="minorEastAsia"/>
          <w:szCs w:val="21"/>
          <w:lang w:val="zh-CN"/>
        </w:rPr>
      </w:pPr>
    </w:p>
    <w:p w14:paraId="15C33EAD">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31C60C68">
      <w:pPr>
        <w:autoSpaceDE w:val="0"/>
        <w:autoSpaceDN w:val="0"/>
        <w:adjustRightInd w:val="0"/>
        <w:spacing w:line="360" w:lineRule="auto"/>
        <w:jc w:val="center"/>
        <w:outlineLvl w:val="0"/>
        <w:rPr>
          <w:rFonts w:ascii="宋体" w:hAnsi="宋体"/>
          <w:b/>
          <w:bCs/>
          <w:sz w:val="24"/>
          <w:szCs w:val="24"/>
        </w:rPr>
      </w:pPr>
    </w:p>
    <w:p w14:paraId="7F6F625D">
      <w:pPr>
        <w:autoSpaceDE w:val="0"/>
        <w:autoSpaceDN w:val="0"/>
        <w:adjustRightInd w:val="0"/>
        <w:spacing w:line="360" w:lineRule="auto"/>
        <w:jc w:val="center"/>
        <w:outlineLvl w:val="0"/>
        <w:rPr>
          <w:rFonts w:ascii="宋体" w:hAnsi="宋体"/>
          <w:b/>
          <w:bCs/>
          <w:sz w:val="24"/>
          <w:szCs w:val="24"/>
        </w:rPr>
      </w:pPr>
    </w:p>
    <w:p w14:paraId="713601A9">
      <w:pPr>
        <w:autoSpaceDE w:val="0"/>
        <w:autoSpaceDN w:val="0"/>
        <w:adjustRightInd w:val="0"/>
        <w:spacing w:line="360" w:lineRule="auto"/>
        <w:jc w:val="center"/>
        <w:outlineLvl w:val="0"/>
        <w:rPr>
          <w:rFonts w:ascii="宋体" w:hAnsi="宋体"/>
          <w:b/>
          <w:bCs/>
          <w:sz w:val="24"/>
          <w:szCs w:val="24"/>
        </w:rPr>
      </w:pPr>
    </w:p>
    <w:p w14:paraId="708F987E">
      <w:pPr>
        <w:autoSpaceDE w:val="0"/>
        <w:autoSpaceDN w:val="0"/>
        <w:adjustRightInd w:val="0"/>
        <w:spacing w:line="360" w:lineRule="auto"/>
        <w:jc w:val="center"/>
        <w:outlineLvl w:val="0"/>
        <w:rPr>
          <w:rFonts w:ascii="宋体" w:hAnsi="宋体"/>
          <w:b/>
          <w:bCs/>
          <w:sz w:val="24"/>
          <w:szCs w:val="24"/>
        </w:rPr>
      </w:pPr>
    </w:p>
    <w:p w14:paraId="4A4928AA">
      <w:pPr>
        <w:autoSpaceDE w:val="0"/>
        <w:autoSpaceDN w:val="0"/>
        <w:adjustRightInd w:val="0"/>
        <w:spacing w:line="360" w:lineRule="auto"/>
        <w:jc w:val="center"/>
        <w:outlineLvl w:val="0"/>
        <w:rPr>
          <w:rFonts w:ascii="宋体" w:hAnsi="宋体"/>
          <w:b/>
          <w:bCs/>
          <w:sz w:val="24"/>
          <w:szCs w:val="24"/>
        </w:rPr>
      </w:pPr>
    </w:p>
    <w:p w14:paraId="4176AAD7">
      <w:pPr>
        <w:autoSpaceDE w:val="0"/>
        <w:autoSpaceDN w:val="0"/>
        <w:adjustRightInd w:val="0"/>
        <w:spacing w:line="360" w:lineRule="auto"/>
        <w:jc w:val="center"/>
        <w:outlineLvl w:val="0"/>
        <w:rPr>
          <w:rFonts w:ascii="宋体" w:hAnsi="宋体"/>
          <w:b/>
          <w:bCs/>
          <w:sz w:val="24"/>
          <w:szCs w:val="24"/>
        </w:rPr>
      </w:pPr>
    </w:p>
    <w:p w14:paraId="60E71A80">
      <w:pPr>
        <w:autoSpaceDE w:val="0"/>
        <w:autoSpaceDN w:val="0"/>
        <w:adjustRightInd w:val="0"/>
        <w:spacing w:line="360" w:lineRule="auto"/>
        <w:jc w:val="center"/>
        <w:outlineLvl w:val="0"/>
        <w:rPr>
          <w:rFonts w:ascii="宋体" w:hAnsi="宋体"/>
          <w:b/>
          <w:bCs/>
          <w:sz w:val="24"/>
          <w:szCs w:val="24"/>
        </w:rPr>
      </w:pPr>
    </w:p>
    <w:p w14:paraId="33AF2A78">
      <w:pPr>
        <w:autoSpaceDE w:val="0"/>
        <w:autoSpaceDN w:val="0"/>
        <w:adjustRightInd w:val="0"/>
        <w:spacing w:line="360" w:lineRule="auto"/>
        <w:jc w:val="center"/>
        <w:outlineLvl w:val="0"/>
        <w:rPr>
          <w:rFonts w:ascii="宋体" w:hAnsi="宋体"/>
          <w:b/>
          <w:bCs/>
          <w:sz w:val="24"/>
          <w:szCs w:val="24"/>
        </w:rPr>
      </w:pPr>
    </w:p>
    <w:p w14:paraId="710D1784">
      <w:pPr>
        <w:autoSpaceDE w:val="0"/>
        <w:autoSpaceDN w:val="0"/>
        <w:adjustRightInd w:val="0"/>
        <w:spacing w:line="360" w:lineRule="auto"/>
        <w:jc w:val="center"/>
        <w:outlineLvl w:val="0"/>
        <w:rPr>
          <w:rFonts w:ascii="宋体" w:hAnsi="宋体"/>
          <w:b/>
          <w:bCs/>
          <w:sz w:val="24"/>
          <w:szCs w:val="24"/>
        </w:rPr>
      </w:pPr>
    </w:p>
    <w:p w14:paraId="40A9B8AF">
      <w:pPr>
        <w:autoSpaceDE w:val="0"/>
        <w:autoSpaceDN w:val="0"/>
        <w:adjustRightInd w:val="0"/>
        <w:spacing w:line="360" w:lineRule="auto"/>
        <w:jc w:val="center"/>
        <w:outlineLvl w:val="0"/>
        <w:rPr>
          <w:rFonts w:ascii="宋体" w:hAnsi="宋体"/>
          <w:b/>
          <w:bCs/>
          <w:sz w:val="24"/>
          <w:szCs w:val="24"/>
        </w:rPr>
      </w:pPr>
    </w:p>
    <w:p w14:paraId="2C1960B2">
      <w:pPr>
        <w:autoSpaceDE w:val="0"/>
        <w:autoSpaceDN w:val="0"/>
        <w:adjustRightInd w:val="0"/>
        <w:spacing w:line="360" w:lineRule="auto"/>
        <w:jc w:val="center"/>
        <w:outlineLvl w:val="0"/>
        <w:rPr>
          <w:rFonts w:ascii="宋体" w:hAnsi="宋体"/>
          <w:b/>
          <w:bCs/>
          <w:sz w:val="24"/>
          <w:szCs w:val="24"/>
        </w:rPr>
      </w:pPr>
    </w:p>
    <w:p w14:paraId="0FB2AE02">
      <w:pPr>
        <w:autoSpaceDE w:val="0"/>
        <w:autoSpaceDN w:val="0"/>
        <w:adjustRightInd w:val="0"/>
        <w:spacing w:line="360" w:lineRule="auto"/>
        <w:jc w:val="center"/>
        <w:outlineLvl w:val="0"/>
        <w:rPr>
          <w:rFonts w:ascii="宋体" w:hAnsi="宋体"/>
          <w:b/>
          <w:bCs/>
          <w:sz w:val="24"/>
          <w:szCs w:val="24"/>
        </w:rPr>
      </w:pPr>
    </w:p>
    <w:p w14:paraId="6D952FF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“节能产品政府采购品目清单”优先采购节能产品情况</w:t>
      </w:r>
    </w:p>
    <w:p w14:paraId="5F57D34E">
      <w:pPr>
        <w:autoSpaceDE w:val="0"/>
        <w:autoSpaceDN w:val="0"/>
        <w:adjustRightInd w:val="0"/>
        <w:spacing w:line="360" w:lineRule="auto"/>
        <w:jc w:val="center"/>
        <w:outlineLvl w:val="0"/>
        <w:rPr>
          <w:rFonts w:ascii="宋体" w:hAnsi="宋体"/>
          <w:b/>
          <w:bCs/>
          <w:sz w:val="28"/>
          <w:szCs w:val="28"/>
        </w:rPr>
      </w:pPr>
    </w:p>
    <w:p w14:paraId="3798389E">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E0F3D83">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7D47B115">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14:paraId="2D9D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14:paraId="7ED14F0F">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14:paraId="26BA65FA">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14:paraId="319CDAB4">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14:paraId="02611259">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14:paraId="5E4D63DC">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14:paraId="5CB1791B">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14:paraId="135930F7">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44A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5E0B3BBA">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14:paraId="17003714">
            <w:pPr>
              <w:pStyle w:val="8"/>
              <w:spacing w:line="360" w:lineRule="auto"/>
              <w:rPr>
                <w:rFonts w:ascii="宋体" w:hAnsi="宋体" w:eastAsia="宋体" w:cs="Times New Roman"/>
                <w:sz w:val="21"/>
                <w:szCs w:val="21"/>
              </w:rPr>
            </w:pPr>
          </w:p>
        </w:tc>
        <w:tc>
          <w:tcPr>
            <w:tcW w:w="1518" w:type="dxa"/>
            <w:vAlign w:val="center"/>
          </w:tcPr>
          <w:p w14:paraId="7D5F9102">
            <w:pPr>
              <w:pStyle w:val="8"/>
              <w:spacing w:line="360" w:lineRule="auto"/>
              <w:rPr>
                <w:rFonts w:ascii="宋体" w:hAnsi="宋体" w:eastAsia="宋体" w:cs="Times New Roman"/>
                <w:sz w:val="21"/>
                <w:szCs w:val="21"/>
              </w:rPr>
            </w:pPr>
          </w:p>
        </w:tc>
        <w:tc>
          <w:tcPr>
            <w:tcW w:w="1240" w:type="dxa"/>
          </w:tcPr>
          <w:p w14:paraId="15195CD3">
            <w:pPr>
              <w:pStyle w:val="8"/>
              <w:spacing w:line="360" w:lineRule="auto"/>
              <w:rPr>
                <w:rFonts w:ascii="宋体" w:hAnsi="宋体" w:eastAsia="宋体" w:cs="Times New Roman"/>
                <w:sz w:val="21"/>
                <w:szCs w:val="21"/>
              </w:rPr>
            </w:pPr>
          </w:p>
        </w:tc>
        <w:tc>
          <w:tcPr>
            <w:tcW w:w="1648" w:type="dxa"/>
          </w:tcPr>
          <w:p w14:paraId="0CF9FB26">
            <w:pPr>
              <w:pStyle w:val="8"/>
              <w:spacing w:line="360" w:lineRule="auto"/>
              <w:rPr>
                <w:rFonts w:ascii="宋体" w:hAnsi="宋体" w:eastAsia="宋体" w:cs="Times New Roman"/>
                <w:sz w:val="21"/>
                <w:szCs w:val="21"/>
              </w:rPr>
            </w:pPr>
          </w:p>
        </w:tc>
        <w:tc>
          <w:tcPr>
            <w:tcW w:w="1600" w:type="dxa"/>
          </w:tcPr>
          <w:p w14:paraId="4B5A2D01">
            <w:pPr>
              <w:pStyle w:val="8"/>
              <w:spacing w:line="360" w:lineRule="auto"/>
              <w:rPr>
                <w:rFonts w:ascii="宋体" w:hAnsi="宋体" w:eastAsia="宋体" w:cs="Times New Roman"/>
                <w:sz w:val="21"/>
                <w:szCs w:val="21"/>
              </w:rPr>
            </w:pPr>
          </w:p>
        </w:tc>
        <w:tc>
          <w:tcPr>
            <w:tcW w:w="1417" w:type="dxa"/>
          </w:tcPr>
          <w:p w14:paraId="4F745431">
            <w:pPr>
              <w:pStyle w:val="8"/>
              <w:spacing w:line="360" w:lineRule="auto"/>
              <w:rPr>
                <w:rFonts w:ascii="宋体" w:hAnsi="宋体" w:eastAsia="宋体" w:cs="Times New Roman"/>
                <w:sz w:val="21"/>
                <w:szCs w:val="21"/>
              </w:rPr>
            </w:pPr>
          </w:p>
        </w:tc>
      </w:tr>
      <w:tr w14:paraId="0C93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1EAB8961">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14:paraId="69073CDF">
            <w:pPr>
              <w:pStyle w:val="8"/>
              <w:spacing w:line="360" w:lineRule="auto"/>
              <w:rPr>
                <w:rFonts w:ascii="宋体" w:hAnsi="宋体" w:eastAsia="宋体" w:cs="Times New Roman"/>
                <w:sz w:val="21"/>
                <w:szCs w:val="21"/>
              </w:rPr>
            </w:pPr>
          </w:p>
        </w:tc>
        <w:tc>
          <w:tcPr>
            <w:tcW w:w="1518" w:type="dxa"/>
            <w:vAlign w:val="center"/>
          </w:tcPr>
          <w:p w14:paraId="665BF44D">
            <w:pPr>
              <w:pStyle w:val="8"/>
              <w:spacing w:line="360" w:lineRule="auto"/>
              <w:rPr>
                <w:rFonts w:ascii="宋体" w:hAnsi="宋体" w:eastAsia="宋体" w:cs="Times New Roman"/>
                <w:sz w:val="21"/>
                <w:szCs w:val="21"/>
              </w:rPr>
            </w:pPr>
          </w:p>
        </w:tc>
        <w:tc>
          <w:tcPr>
            <w:tcW w:w="1240" w:type="dxa"/>
          </w:tcPr>
          <w:p w14:paraId="09280E25">
            <w:pPr>
              <w:pStyle w:val="8"/>
              <w:spacing w:line="360" w:lineRule="auto"/>
              <w:rPr>
                <w:rFonts w:ascii="宋体" w:hAnsi="宋体" w:eastAsia="宋体" w:cs="Times New Roman"/>
                <w:sz w:val="21"/>
                <w:szCs w:val="21"/>
              </w:rPr>
            </w:pPr>
          </w:p>
        </w:tc>
        <w:tc>
          <w:tcPr>
            <w:tcW w:w="1648" w:type="dxa"/>
          </w:tcPr>
          <w:p w14:paraId="79BA926E">
            <w:pPr>
              <w:pStyle w:val="8"/>
              <w:spacing w:line="360" w:lineRule="auto"/>
              <w:rPr>
                <w:rFonts w:ascii="宋体" w:hAnsi="宋体" w:eastAsia="宋体" w:cs="Times New Roman"/>
                <w:sz w:val="21"/>
                <w:szCs w:val="21"/>
              </w:rPr>
            </w:pPr>
          </w:p>
        </w:tc>
        <w:tc>
          <w:tcPr>
            <w:tcW w:w="1600" w:type="dxa"/>
          </w:tcPr>
          <w:p w14:paraId="1A6AD376">
            <w:pPr>
              <w:pStyle w:val="8"/>
              <w:spacing w:line="360" w:lineRule="auto"/>
              <w:rPr>
                <w:rFonts w:ascii="宋体" w:hAnsi="宋体" w:eastAsia="宋体" w:cs="Times New Roman"/>
                <w:sz w:val="21"/>
                <w:szCs w:val="21"/>
              </w:rPr>
            </w:pPr>
          </w:p>
        </w:tc>
        <w:tc>
          <w:tcPr>
            <w:tcW w:w="1417" w:type="dxa"/>
          </w:tcPr>
          <w:p w14:paraId="28D11737">
            <w:pPr>
              <w:pStyle w:val="8"/>
              <w:spacing w:line="360" w:lineRule="auto"/>
              <w:rPr>
                <w:rFonts w:ascii="宋体" w:hAnsi="宋体" w:eastAsia="宋体" w:cs="Times New Roman"/>
                <w:sz w:val="21"/>
                <w:szCs w:val="21"/>
              </w:rPr>
            </w:pPr>
          </w:p>
        </w:tc>
      </w:tr>
      <w:tr w14:paraId="7AB5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326C7BE0">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14:paraId="52E96B1D">
            <w:pPr>
              <w:pStyle w:val="8"/>
              <w:spacing w:line="360" w:lineRule="auto"/>
              <w:rPr>
                <w:rFonts w:ascii="宋体" w:hAnsi="宋体" w:eastAsia="宋体" w:cs="Times New Roman"/>
                <w:sz w:val="21"/>
                <w:szCs w:val="21"/>
              </w:rPr>
            </w:pPr>
          </w:p>
        </w:tc>
        <w:tc>
          <w:tcPr>
            <w:tcW w:w="1518" w:type="dxa"/>
            <w:vAlign w:val="center"/>
          </w:tcPr>
          <w:p w14:paraId="3C736992">
            <w:pPr>
              <w:pStyle w:val="8"/>
              <w:spacing w:line="360" w:lineRule="auto"/>
              <w:rPr>
                <w:rFonts w:ascii="宋体" w:hAnsi="宋体" w:eastAsia="宋体" w:cs="Times New Roman"/>
                <w:sz w:val="21"/>
                <w:szCs w:val="21"/>
              </w:rPr>
            </w:pPr>
          </w:p>
        </w:tc>
        <w:tc>
          <w:tcPr>
            <w:tcW w:w="1240" w:type="dxa"/>
          </w:tcPr>
          <w:p w14:paraId="310C46DA">
            <w:pPr>
              <w:pStyle w:val="8"/>
              <w:spacing w:line="360" w:lineRule="auto"/>
              <w:rPr>
                <w:rFonts w:ascii="宋体" w:hAnsi="宋体" w:eastAsia="宋体" w:cs="Times New Roman"/>
                <w:sz w:val="21"/>
                <w:szCs w:val="21"/>
              </w:rPr>
            </w:pPr>
          </w:p>
        </w:tc>
        <w:tc>
          <w:tcPr>
            <w:tcW w:w="1648" w:type="dxa"/>
          </w:tcPr>
          <w:p w14:paraId="42722CDE">
            <w:pPr>
              <w:pStyle w:val="8"/>
              <w:spacing w:line="360" w:lineRule="auto"/>
              <w:rPr>
                <w:rFonts w:ascii="宋体" w:hAnsi="宋体" w:eastAsia="宋体" w:cs="Times New Roman"/>
                <w:sz w:val="21"/>
                <w:szCs w:val="21"/>
              </w:rPr>
            </w:pPr>
          </w:p>
        </w:tc>
        <w:tc>
          <w:tcPr>
            <w:tcW w:w="1600" w:type="dxa"/>
          </w:tcPr>
          <w:p w14:paraId="3C01702F">
            <w:pPr>
              <w:pStyle w:val="8"/>
              <w:spacing w:line="360" w:lineRule="auto"/>
              <w:rPr>
                <w:rFonts w:ascii="宋体" w:hAnsi="宋体" w:eastAsia="宋体" w:cs="Times New Roman"/>
                <w:sz w:val="21"/>
                <w:szCs w:val="21"/>
              </w:rPr>
            </w:pPr>
          </w:p>
        </w:tc>
        <w:tc>
          <w:tcPr>
            <w:tcW w:w="1417" w:type="dxa"/>
          </w:tcPr>
          <w:p w14:paraId="57CD0B8C">
            <w:pPr>
              <w:pStyle w:val="8"/>
              <w:spacing w:line="360" w:lineRule="auto"/>
              <w:rPr>
                <w:rFonts w:ascii="宋体" w:hAnsi="宋体" w:eastAsia="宋体" w:cs="Times New Roman"/>
                <w:sz w:val="21"/>
                <w:szCs w:val="21"/>
              </w:rPr>
            </w:pPr>
          </w:p>
        </w:tc>
      </w:tr>
    </w:tbl>
    <w:p w14:paraId="79C81F4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14:paraId="241F54E6">
      <w:pPr>
        <w:snapToGrid w:val="0"/>
        <w:spacing w:line="500" w:lineRule="exact"/>
        <w:rPr>
          <w:rFonts w:cs="宋体" w:asciiTheme="minorEastAsia" w:hAnsiTheme="minorEastAsia"/>
          <w:szCs w:val="21"/>
          <w:lang w:val="zh-CN"/>
        </w:rPr>
      </w:pPr>
    </w:p>
    <w:p w14:paraId="31EE214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517EEB2E">
      <w:pPr>
        <w:autoSpaceDE w:val="0"/>
        <w:autoSpaceDN w:val="0"/>
        <w:adjustRightInd w:val="0"/>
        <w:spacing w:line="360" w:lineRule="auto"/>
        <w:jc w:val="center"/>
        <w:outlineLvl w:val="0"/>
        <w:rPr>
          <w:rFonts w:ascii="宋体" w:hAnsi="宋体"/>
          <w:b/>
          <w:bCs/>
          <w:sz w:val="24"/>
          <w:szCs w:val="24"/>
        </w:rPr>
      </w:pPr>
    </w:p>
    <w:p w14:paraId="20BB702F">
      <w:pPr>
        <w:autoSpaceDE w:val="0"/>
        <w:autoSpaceDN w:val="0"/>
        <w:adjustRightInd w:val="0"/>
        <w:spacing w:line="360" w:lineRule="auto"/>
        <w:jc w:val="center"/>
        <w:outlineLvl w:val="0"/>
        <w:rPr>
          <w:rFonts w:ascii="宋体" w:hAnsi="宋体"/>
          <w:b/>
          <w:bCs/>
          <w:sz w:val="24"/>
          <w:szCs w:val="24"/>
        </w:rPr>
      </w:pPr>
    </w:p>
    <w:p w14:paraId="17F6D597">
      <w:pPr>
        <w:autoSpaceDE w:val="0"/>
        <w:autoSpaceDN w:val="0"/>
        <w:adjustRightInd w:val="0"/>
        <w:spacing w:line="360" w:lineRule="auto"/>
        <w:jc w:val="center"/>
        <w:outlineLvl w:val="0"/>
        <w:rPr>
          <w:rFonts w:ascii="宋体" w:hAnsi="宋体"/>
          <w:b/>
          <w:bCs/>
          <w:sz w:val="24"/>
          <w:szCs w:val="24"/>
        </w:rPr>
      </w:pPr>
    </w:p>
    <w:p w14:paraId="73E764CB">
      <w:pPr>
        <w:autoSpaceDE w:val="0"/>
        <w:autoSpaceDN w:val="0"/>
        <w:adjustRightInd w:val="0"/>
        <w:spacing w:line="360" w:lineRule="auto"/>
        <w:jc w:val="center"/>
        <w:outlineLvl w:val="0"/>
        <w:rPr>
          <w:rFonts w:ascii="宋体" w:hAnsi="宋体"/>
          <w:b/>
          <w:bCs/>
          <w:sz w:val="24"/>
          <w:szCs w:val="24"/>
        </w:rPr>
      </w:pPr>
    </w:p>
    <w:p w14:paraId="57B3D914">
      <w:pPr>
        <w:autoSpaceDE w:val="0"/>
        <w:autoSpaceDN w:val="0"/>
        <w:adjustRightInd w:val="0"/>
        <w:spacing w:line="360" w:lineRule="auto"/>
        <w:jc w:val="center"/>
        <w:outlineLvl w:val="0"/>
        <w:rPr>
          <w:rFonts w:ascii="宋体" w:hAnsi="宋体"/>
          <w:b/>
          <w:bCs/>
          <w:sz w:val="24"/>
          <w:szCs w:val="24"/>
        </w:rPr>
      </w:pPr>
    </w:p>
    <w:p w14:paraId="6E167E2D">
      <w:pPr>
        <w:autoSpaceDE w:val="0"/>
        <w:autoSpaceDN w:val="0"/>
        <w:adjustRightInd w:val="0"/>
        <w:spacing w:line="360" w:lineRule="auto"/>
        <w:jc w:val="center"/>
        <w:outlineLvl w:val="0"/>
        <w:rPr>
          <w:rFonts w:ascii="宋体" w:hAnsi="宋体"/>
          <w:b/>
          <w:bCs/>
          <w:sz w:val="24"/>
          <w:szCs w:val="24"/>
        </w:rPr>
      </w:pPr>
    </w:p>
    <w:p w14:paraId="0DDF037A">
      <w:pPr>
        <w:autoSpaceDE w:val="0"/>
        <w:autoSpaceDN w:val="0"/>
        <w:adjustRightInd w:val="0"/>
        <w:spacing w:line="360" w:lineRule="auto"/>
        <w:jc w:val="center"/>
        <w:outlineLvl w:val="0"/>
        <w:rPr>
          <w:rFonts w:ascii="宋体" w:hAnsi="宋体"/>
          <w:b/>
          <w:bCs/>
          <w:sz w:val="24"/>
          <w:szCs w:val="24"/>
        </w:rPr>
      </w:pPr>
    </w:p>
    <w:p w14:paraId="4920E282">
      <w:pPr>
        <w:autoSpaceDE w:val="0"/>
        <w:autoSpaceDN w:val="0"/>
        <w:adjustRightInd w:val="0"/>
        <w:spacing w:line="360" w:lineRule="auto"/>
        <w:jc w:val="center"/>
        <w:outlineLvl w:val="0"/>
        <w:rPr>
          <w:rFonts w:ascii="宋体" w:hAnsi="宋体"/>
          <w:b/>
          <w:bCs/>
          <w:sz w:val="24"/>
          <w:szCs w:val="24"/>
        </w:rPr>
      </w:pPr>
    </w:p>
    <w:p w14:paraId="0E0C4242">
      <w:pPr>
        <w:autoSpaceDE w:val="0"/>
        <w:autoSpaceDN w:val="0"/>
        <w:adjustRightInd w:val="0"/>
        <w:spacing w:line="360" w:lineRule="auto"/>
        <w:jc w:val="center"/>
        <w:outlineLvl w:val="0"/>
        <w:rPr>
          <w:rFonts w:ascii="宋体" w:hAnsi="宋体"/>
          <w:b/>
          <w:bCs/>
          <w:sz w:val="24"/>
          <w:szCs w:val="24"/>
        </w:rPr>
      </w:pPr>
    </w:p>
    <w:p w14:paraId="3394E763">
      <w:pPr>
        <w:autoSpaceDE w:val="0"/>
        <w:autoSpaceDN w:val="0"/>
        <w:adjustRightInd w:val="0"/>
        <w:spacing w:line="360" w:lineRule="auto"/>
        <w:jc w:val="center"/>
        <w:outlineLvl w:val="0"/>
        <w:rPr>
          <w:rFonts w:ascii="宋体" w:hAnsi="宋体"/>
          <w:b/>
          <w:bCs/>
          <w:sz w:val="24"/>
          <w:szCs w:val="24"/>
        </w:rPr>
      </w:pPr>
    </w:p>
    <w:p w14:paraId="56DF9EFA">
      <w:pPr>
        <w:autoSpaceDE w:val="0"/>
        <w:autoSpaceDN w:val="0"/>
        <w:adjustRightInd w:val="0"/>
        <w:spacing w:line="360" w:lineRule="auto"/>
        <w:jc w:val="center"/>
        <w:outlineLvl w:val="0"/>
        <w:rPr>
          <w:rFonts w:ascii="宋体" w:hAnsi="宋体"/>
          <w:b/>
          <w:bCs/>
          <w:sz w:val="24"/>
          <w:szCs w:val="24"/>
        </w:rPr>
      </w:pPr>
    </w:p>
    <w:p w14:paraId="11900DB6">
      <w:pPr>
        <w:autoSpaceDE w:val="0"/>
        <w:autoSpaceDN w:val="0"/>
        <w:adjustRightInd w:val="0"/>
        <w:spacing w:line="360" w:lineRule="auto"/>
        <w:jc w:val="center"/>
        <w:outlineLvl w:val="0"/>
        <w:rPr>
          <w:rFonts w:ascii="宋体" w:hAnsi="宋体"/>
          <w:b/>
          <w:bCs/>
          <w:sz w:val="24"/>
          <w:szCs w:val="24"/>
        </w:rPr>
      </w:pPr>
    </w:p>
    <w:p w14:paraId="7E07342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 “环境标志产品政府采购品目清单”优先采购产品情况</w:t>
      </w:r>
    </w:p>
    <w:p w14:paraId="0D542897">
      <w:pPr>
        <w:autoSpaceDE w:val="0"/>
        <w:autoSpaceDN w:val="0"/>
        <w:adjustRightInd w:val="0"/>
        <w:spacing w:line="360" w:lineRule="auto"/>
        <w:jc w:val="center"/>
        <w:outlineLvl w:val="0"/>
        <w:rPr>
          <w:rFonts w:ascii="宋体" w:hAnsi="宋体"/>
          <w:b/>
          <w:bCs/>
          <w:sz w:val="28"/>
          <w:szCs w:val="28"/>
        </w:rPr>
      </w:pPr>
    </w:p>
    <w:p w14:paraId="40A056B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56A7EE1B">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1892C6">
      <w:pPr>
        <w:tabs>
          <w:tab w:val="left" w:pos="1800"/>
          <w:tab w:val="left" w:pos="5580"/>
        </w:tabs>
        <w:spacing w:line="360" w:lineRule="auto"/>
        <w:rPr>
          <w:rFonts w:asciiTheme="minorEastAsia" w:hAnsiTheme="minorEastAsia"/>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14:paraId="2E91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14:paraId="200514B5">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14:paraId="7A4DD983">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14:paraId="0DB94311">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14:paraId="4A872676">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14:paraId="577366C0">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14:paraId="60A8D3C7">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14:paraId="50D930B4">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C02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7DB0CB4C">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14:paraId="61A16DF2">
            <w:pPr>
              <w:pStyle w:val="8"/>
              <w:spacing w:line="360" w:lineRule="auto"/>
              <w:rPr>
                <w:rFonts w:ascii="宋体" w:hAnsi="宋体" w:eastAsia="宋体" w:cs="Times New Roman"/>
                <w:sz w:val="21"/>
                <w:szCs w:val="21"/>
              </w:rPr>
            </w:pPr>
          </w:p>
        </w:tc>
        <w:tc>
          <w:tcPr>
            <w:tcW w:w="1518" w:type="dxa"/>
            <w:vAlign w:val="center"/>
          </w:tcPr>
          <w:p w14:paraId="417498FD">
            <w:pPr>
              <w:pStyle w:val="8"/>
              <w:spacing w:line="360" w:lineRule="auto"/>
              <w:rPr>
                <w:rFonts w:ascii="宋体" w:hAnsi="宋体" w:eastAsia="宋体" w:cs="Times New Roman"/>
                <w:sz w:val="21"/>
                <w:szCs w:val="21"/>
              </w:rPr>
            </w:pPr>
          </w:p>
        </w:tc>
        <w:tc>
          <w:tcPr>
            <w:tcW w:w="1240" w:type="dxa"/>
          </w:tcPr>
          <w:p w14:paraId="68B4611B">
            <w:pPr>
              <w:pStyle w:val="8"/>
              <w:spacing w:line="360" w:lineRule="auto"/>
              <w:rPr>
                <w:rFonts w:ascii="宋体" w:hAnsi="宋体" w:eastAsia="宋体" w:cs="Times New Roman"/>
                <w:sz w:val="21"/>
                <w:szCs w:val="21"/>
              </w:rPr>
            </w:pPr>
          </w:p>
        </w:tc>
        <w:tc>
          <w:tcPr>
            <w:tcW w:w="1648" w:type="dxa"/>
          </w:tcPr>
          <w:p w14:paraId="357F37B7">
            <w:pPr>
              <w:pStyle w:val="8"/>
              <w:spacing w:line="360" w:lineRule="auto"/>
              <w:rPr>
                <w:rFonts w:ascii="宋体" w:hAnsi="宋体" w:eastAsia="宋体" w:cs="Times New Roman"/>
                <w:sz w:val="21"/>
                <w:szCs w:val="21"/>
              </w:rPr>
            </w:pPr>
          </w:p>
        </w:tc>
        <w:tc>
          <w:tcPr>
            <w:tcW w:w="1600" w:type="dxa"/>
          </w:tcPr>
          <w:p w14:paraId="6407BE5D">
            <w:pPr>
              <w:pStyle w:val="8"/>
              <w:spacing w:line="360" w:lineRule="auto"/>
              <w:rPr>
                <w:rFonts w:ascii="宋体" w:hAnsi="宋体" w:eastAsia="宋体" w:cs="Times New Roman"/>
                <w:sz w:val="21"/>
                <w:szCs w:val="21"/>
              </w:rPr>
            </w:pPr>
          </w:p>
        </w:tc>
        <w:tc>
          <w:tcPr>
            <w:tcW w:w="1417" w:type="dxa"/>
          </w:tcPr>
          <w:p w14:paraId="7752CEB3">
            <w:pPr>
              <w:pStyle w:val="8"/>
              <w:spacing w:line="360" w:lineRule="auto"/>
              <w:rPr>
                <w:rFonts w:ascii="宋体" w:hAnsi="宋体" w:eastAsia="宋体" w:cs="Times New Roman"/>
                <w:sz w:val="21"/>
                <w:szCs w:val="21"/>
              </w:rPr>
            </w:pPr>
          </w:p>
        </w:tc>
      </w:tr>
      <w:tr w14:paraId="2739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26" w:type="dxa"/>
            <w:vAlign w:val="center"/>
          </w:tcPr>
          <w:p w14:paraId="56EA5A1B">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14:paraId="7F3DAD3C">
            <w:pPr>
              <w:pStyle w:val="8"/>
              <w:spacing w:line="360" w:lineRule="auto"/>
              <w:rPr>
                <w:rFonts w:ascii="宋体" w:hAnsi="宋体" w:eastAsia="宋体" w:cs="Times New Roman"/>
                <w:sz w:val="21"/>
                <w:szCs w:val="21"/>
              </w:rPr>
            </w:pPr>
          </w:p>
        </w:tc>
        <w:tc>
          <w:tcPr>
            <w:tcW w:w="1518" w:type="dxa"/>
            <w:vAlign w:val="center"/>
          </w:tcPr>
          <w:p w14:paraId="428F2A0E">
            <w:pPr>
              <w:pStyle w:val="8"/>
              <w:spacing w:line="360" w:lineRule="auto"/>
              <w:rPr>
                <w:rFonts w:ascii="宋体" w:hAnsi="宋体" w:eastAsia="宋体" w:cs="Times New Roman"/>
                <w:sz w:val="21"/>
                <w:szCs w:val="21"/>
              </w:rPr>
            </w:pPr>
          </w:p>
        </w:tc>
        <w:tc>
          <w:tcPr>
            <w:tcW w:w="1240" w:type="dxa"/>
          </w:tcPr>
          <w:p w14:paraId="4C3E1DB7">
            <w:pPr>
              <w:pStyle w:val="8"/>
              <w:spacing w:line="360" w:lineRule="auto"/>
              <w:rPr>
                <w:rFonts w:ascii="宋体" w:hAnsi="宋体" w:eastAsia="宋体" w:cs="Times New Roman"/>
                <w:sz w:val="21"/>
                <w:szCs w:val="21"/>
              </w:rPr>
            </w:pPr>
          </w:p>
        </w:tc>
        <w:tc>
          <w:tcPr>
            <w:tcW w:w="1648" w:type="dxa"/>
          </w:tcPr>
          <w:p w14:paraId="1DF5255E">
            <w:pPr>
              <w:pStyle w:val="8"/>
              <w:spacing w:line="360" w:lineRule="auto"/>
              <w:rPr>
                <w:rFonts w:ascii="宋体" w:hAnsi="宋体" w:eastAsia="宋体" w:cs="Times New Roman"/>
                <w:sz w:val="21"/>
                <w:szCs w:val="21"/>
              </w:rPr>
            </w:pPr>
          </w:p>
        </w:tc>
        <w:tc>
          <w:tcPr>
            <w:tcW w:w="1600" w:type="dxa"/>
          </w:tcPr>
          <w:p w14:paraId="3DFB2626">
            <w:pPr>
              <w:pStyle w:val="8"/>
              <w:spacing w:line="360" w:lineRule="auto"/>
              <w:rPr>
                <w:rFonts w:ascii="宋体" w:hAnsi="宋体" w:eastAsia="宋体" w:cs="Times New Roman"/>
                <w:sz w:val="21"/>
                <w:szCs w:val="21"/>
              </w:rPr>
            </w:pPr>
          </w:p>
        </w:tc>
        <w:tc>
          <w:tcPr>
            <w:tcW w:w="1417" w:type="dxa"/>
          </w:tcPr>
          <w:p w14:paraId="3096A949">
            <w:pPr>
              <w:pStyle w:val="8"/>
              <w:spacing w:line="360" w:lineRule="auto"/>
              <w:rPr>
                <w:rFonts w:ascii="宋体" w:hAnsi="宋体" w:eastAsia="宋体" w:cs="Times New Roman"/>
                <w:sz w:val="21"/>
                <w:szCs w:val="21"/>
              </w:rPr>
            </w:pPr>
          </w:p>
        </w:tc>
      </w:tr>
      <w:tr w14:paraId="7CF3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26" w:type="dxa"/>
            <w:vAlign w:val="center"/>
          </w:tcPr>
          <w:p w14:paraId="41C9DC93">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14:paraId="6EF13EF8">
            <w:pPr>
              <w:pStyle w:val="8"/>
              <w:spacing w:line="360" w:lineRule="auto"/>
              <w:rPr>
                <w:rFonts w:ascii="宋体" w:hAnsi="宋体" w:eastAsia="宋体" w:cs="Times New Roman"/>
                <w:sz w:val="21"/>
                <w:szCs w:val="21"/>
              </w:rPr>
            </w:pPr>
          </w:p>
        </w:tc>
        <w:tc>
          <w:tcPr>
            <w:tcW w:w="1518" w:type="dxa"/>
            <w:vAlign w:val="center"/>
          </w:tcPr>
          <w:p w14:paraId="141C6AD6">
            <w:pPr>
              <w:pStyle w:val="8"/>
              <w:spacing w:line="360" w:lineRule="auto"/>
              <w:rPr>
                <w:rFonts w:ascii="宋体" w:hAnsi="宋体" w:eastAsia="宋体" w:cs="Times New Roman"/>
                <w:sz w:val="21"/>
                <w:szCs w:val="21"/>
              </w:rPr>
            </w:pPr>
          </w:p>
        </w:tc>
        <w:tc>
          <w:tcPr>
            <w:tcW w:w="1240" w:type="dxa"/>
          </w:tcPr>
          <w:p w14:paraId="563BF20F">
            <w:pPr>
              <w:pStyle w:val="8"/>
              <w:spacing w:line="360" w:lineRule="auto"/>
              <w:rPr>
                <w:rFonts w:ascii="宋体" w:hAnsi="宋体" w:eastAsia="宋体" w:cs="Times New Roman"/>
                <w:sz w:val="21"/>
                <w:szCs w:val="21"/>
              </w:rPr>
            </w:pPr>
          </w:p>
        </w:tc>
        <w:tc>
          <w:tcPr>
            <w:tcW w:w="1648" w:type="dxa"/>
          </w:tcPr>
          <w:p w14:paraId="006C7F00">
            <w:pPr>
              <w:pStyle w:val="8"/>
              <w:spacing w:line="360" w:lineRule="auto"/>
              <w:rPr>
                <w:rFonts w:ascii="宋体" w:hAnsi="宋体" w:eastAsia="宋体" w:cs="Times New Roman"/>
                <w:sz w:val="21"/>
                <w:szCs w:val="21"/>
              </w:rPr>
            </w:pPr>
          </w:p>
        </w:tc>
        <w:tc>
          <w:tcPr>
            <w:tcW w:w="1600" w:type="dxa"/>
          </w:tcPr>
          <w:p w14:paraId="2F9BC70E">
            <w:pPr>
              <w:pStyle w:val="8"/>
              <w:spacing w:line="360" w:lineRule="auto"/>
              <w:rPr>
                <w:rFonts w:ascii="宋体" w:hAnsi="宋体" w:eastAsia="宋体" w:cs="Times New Roman"/>
                <w:sz w:val="21"/>
                <w:szCs w:val="21"/>
              </w:rPr>
            </w:pPr>
          </w:p>
        </w:tc>
        <w:tc>
          <w:tcPr>
            <w:tcW w:w="1417" w:type="dxa"/>
          </w:tcPr>
          <w:p w14:paraId="57F439F8">
            <w:pPr>
              <w:pStyle w:val="8"/>
              <w:spacing w:line="360" w:lineRule="auto"/>
              <w:rPr>
                <w:rFonts w:ascii="宋体" w:hAnsi="宋体" w:eastAsia="宋体" w:cs="Times New Roman"/>
                <w:sz w:val="21"/>
                <w:szCs w:val="21"/>
              </w:rPr>
            </w:pPr>
          </w:p>
        </w:tc>
      </w:tr>
    </w:tbl>
    <w:p w14:paraId="68AD1B25">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14:paraId="2C583DD8">
      <w:pPr>
        <w:snapToGrid w:val="0"/>
        <w:spacing w:line="500" w:lineRule="exact"/>
        <w:rPr>
          <w:rFonts w:cs="宋体" w:asciiTheme="minorEastAsia" w:hAnsiTheme="minorEastAsia"/>
          <w:szCs w:val="21"/>
          <w:lang w:val="zh-CN"/>
        </w:rPr>
      </w:pPr>
    </w:p>
    <w:p w14:paraId="0439F6F1">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14:paraId="2FDA8FF3">
      <w:pPr>
        <w:autoSpaceDE w:val="0"/>
        <w:autoSpaceDN w:val="0"/>
        <w:adjustRightInd w:val="0"/>
        <w:spacing w:line="360" w:lineRule="auto"/>
        <w:jc w:val="center"/>
        <w:outlineLvl w:val="0"/>
        <w:rPr>
          <w:rFonts w:ascii="宋体" w:hAnsi="宋体"/>
          <w:b/>
          <w:bCs/>
          <w:sz w:val="24"/>
          <w:szCs w:val="24"/>
        </w:rPr>
      </w:pPr>
    </w:p>
    <w:p w14:paraId="0E961DE2">
      <w:pPr>
        <w:autoSpaceDE w:val="0"/>
        <w:autoSpaceDN w:val="0"/>
        <w:adjustRightInd w:val="0"/>
        <w:spacing w:line="360" w:lineRule="auto"/>
        <w:jc w:val="center"/>
        <w:outlineLvl w:val="0"/>
        <w:rPr>
          <w:rFonts w:ascii="宋体" w:hAnsi="宋体"/>
          <w:b/>
          <w:bCs/>
          <w:sz w:val="24"/>
          <w:szCs w:val="24"/>
        </w:rPr>
      </w:pPr>
    </w:p>
    <w:p w14:paraId="277FCAC7">
      <w:pPr>
        <w:autoSpaceDE w:val="0"/>
        <w:autoSpaceDN w:val="0"/>
        <w:adjustRightInd w:val="0"/>
        <w:spacing w:line="360" w:lineRule="auto"/>
        <w:jc w:val="center"/>
        <w:outlineLvl w:val="0"/>
        <w:rPr>
          <w:rFonts w:ascii="宋体" w:hAnsi="宋体"/>
          <w:b/>
          <w:bCs/>
          <w:sz w:val="24"/>
          <w:szCs w:val="24"/>
        </w:rPr>
      </w:pPr>
    </w:p>
    <w:p w14:paraId="2B07DAB6">
      <w:pPr>
        <w:autoSpaceDE w:val="0"/>
        <w:autoSpaceDN w:val="0"/>
        <w:adjustRightInd w:val="0"/>
        <w:spacing w:line="360" w:lineRule="auto"/>
        <w:jc w:val="center"/>
        <w:outlineLvl w:val="0"/>
        <w:rPr>
          <w:rFonts w:ascii="宋体" w:hAnsi="宋体"/>
          <w:b/>
          <w:bCs/>
          <w:sz w:val="24"/>
          <w:szCs w:val="24"/>
        </w:rPr>
      </w:pPr>
    </w:p>
    <w:p w14:paraId="08E955A5">
      <w:pPr>
        <w:autoSpaceDE w:val="0"/>
        <w:autoSpaceDN w:val="0"/>
        <w:adjustRightInd w:val="0"/>
        <w:spacing w:line="360" w:lineRule="auto"/>
        <w:jc w:val="center"/>
        <w:outlineLvl w:val="0"/>
        <w:rPr>
          <w:rFonts w:ascii="宋体" w:hAnsi="宋体"/>
          <w:b/>
          <w:bCs/>
          <w:sz w:val="24"/>
          <w:szCs w:val="24"/>
        </w:rPr>
      </w:pPr>
    </w:p>
    <w:p w14:paraId="774A73E1">
      <w:pPr>
        <w:autoSpaceDE w:val="0"/>
        <w:autoSpaceDN w:val="0"/>
        <w:adjustRightInd w:val="0"/>
        <w:spacing w:line="360" w:lineRule="auto"/>
        <w:jc w:val="center"/>
        <w:outlineLvl w:val="0"/>
        <w:rPr>
          <w:rFonts w:ascii="宋体" w:hAnsi="宋体"/>
          <w:b/>
          <w:bCs/>
          <w:sz w:val="24"/>
          <w:szCs w:val="24"/>
        </w:rPr>
      </w:pPr>
    </w:p>
    <w:p w14:paraId="28828E99">
      <w:pPr>
        <w:widowControl/>
        <w:jc w:val="left"/>
        <w:rPr>
          <w:rFonts w:ascii="宋体" w:hAnsi="宋体"/>
          <w:b/>
          <w:bCs/>
          <w:sz w:val="24"/>
          <w:szCs w:val="24"/>
        </w:rPr>
      </w:pPr>
      <w:r>
        <w:rPr>
          <w:rFonts w:ascii="宋体" w:hAnsi="宋体"/>
          <w:b/>
          <w:bCs/>
          <w:sz w:val="24"/>
          <w:szCs w:val="24"/>
        </w:rPr>
        <w:br w:type="page"/>
      </w:r>
    </w:p>
    <w:p w14:paraId="701C8B24">
      <w:pPr>
        <w:autoSpaceDE w:val="0"/>
        <w:autoSpaceDN w:val="0"/>
        <w:adjustRightInd w:val="0"/>
        <w:spacing w:line="360" w:lineRule="auto"/>
        <w:jc w:val="center"/>
        <w:outlineLvl w:val="0"/>
        <w:rPr>
          <w:rFonts w:ascii="宋体" w:hAnsi="宋体"/>
          <w:b/>
          <w:bCs/>
          <w:sz w:val="24"/>
          <w:szCs w:val="24"/>
        </w:rPr>
      </w:pPr>
      <w:bookmarkStart w:id="5" w:name="OLE_LINK13"/>
      <w:bookmarkStart w:id="6" w:name="OLE_LINK14"/>
      <w:r>
        <w:rPr>
          <w:rFonts w:hint="eastAsia" w:ascii="宋体" w:hAnsi="宋体"/>
          <w:b/>
          <w:bCs/>
          <w:sz w:val="24"/>
          <w:szCs w:val="24"/>
        </w:rPr>
        <w:t>4.10  残疾人福利性单位声明函</w:t>
      </w:r>
    </w:p>
    <w:bookmarkEnd w:id="5"/>
    <w:bookmarkEnd w:id="6"/>
    <w:p w14:paraId="2F6C053F">
      <w:pPr>
        <w:spacing w:line="360" w:lineRule="auto"/>
        <w:rPr>
          <w:rFonts w:ascii="宋体" w:hAnsi="宋体"/>
          <w:szCs w:val="21"/>
        </w:rPr>
      </w:pPr>
    </w:p>
    <w:p w14:paraId="165AC6AA">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2BE2799">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41C33D67">
      <w:pPr>
        <w:spacing w:line="360" w:lineRule="auto"/>
        <w:rPr>
          <w:rFonts w:ascii="宋体" w:hAnsi="宋体"/>
          <w:szCs w:val="21"/>
        </w:rPr>
      </w:pPr>
    </w:p>
    <w:p w14:paraId="3C3A64C0">
      <w:pPr>
        <w:spacing w:line="360" w:lineRule="auto"/>
        <w:rPr>
          <w:rFonts w:ascii="宋体" w:hAnsi="宋体"/>
          <w:szCs w:val="21"/>
        </w:rPr>
      </w:pPr>
    </w:p>
    <w:p w14:paraId="3046C003">
      <w:pPr>
        <w:spacing w:line="360" w:lineRule="auto"/>
        <w:rPr>
          <w:rFonts w:ascii="宋体" w:hAnsi="宋体"/>
          <w:szCs w:val="21"/>
        </w:rPr>
      </w:pPr>
    </w:p>
    <w:p w14:paraId="08A573E8">
      <w:pPr>
        <w:adjustRightInd w:val="0"/>
        <w:snapToGrid w:val="0"/>
        <w:spacing w:line="360" w:lineRule="auto"/>
        <w:ind w:firstLine="4410" w:firstLineChars="21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19C777E6">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日期：      年    月    日</w:t>
      </w:r>
    </w:p>
    <w:p w14:paraId="533B160D">
      <w:pPr>
        <w:widowControl/>
        <w:jc w:val="left"/>
        <w:rPr>
          <w:rFonts w:cs="黑体" w:asciiTheme="minorEastAsia" w:hAnsiTheme="minorEastAsia"/>
          <w:b/>
          <w:bCs/>
          <w:sz w:val="28"/>
          <w:szCs w:val="28"/>
          <w:lang w:val="zh-CN"/>
        </w:rPr>
      </w:pPr>
    </w:p>
    <w:p w14:paraId="77C1482B">
      <w:pPr>
        <w:widowControl/>
        <w:jc w:val="left"/>
        <w:rPr>
          <w:rFonts w:cs="黑体" w:asciiTheme="minorEastAsia" w:hAnsiTheme="minorEastAsia"/>
          <w:b/>
          <w:bCs/>
          <w:sz w:val="28"/>
          <w:szCs w:val="28"/>
          <w:lang w:val="zh-CN"/>
        </w:rPr>
      </w:pPr>
    </w:p>
    <w:p w14:paraId="394CD2B0">
      <w:pPr>
        <w:widowControl/>
        <w:jc w:val="left"/>
        <w:rPr>
          <w:rFonts w:cs="黑体" w:asciiTheme="minorEastAsia" w:hAnsiTheme="minorEastAsia"/>
          <w:b/>
          <w:bCs/>
          <w:sz w:val="28"/>
          <w:szCs w:val="28"/>
          <w:lang w:val="zh-CN"/>
        </w:rPr>
      </w:pPr>
    </w:p>
    <w:p w14:paraId="52D9E636">
      <w:pPr>
        <w:widowControl/>
        <w:jc w:val="left"/>
        <w:rPr>
          <w:rFonts w:cs="黑体" w:asciiTheme="minorEastAsia" w:hAnsiTheme="minorEastAsia"/>
          <w:b/>
          <w:bCs/>
          <w:sz w:val="28"/>
          <w:szCs w:val="28"/>
          <w:lang w:val="zh-CN"/>
        </w:rPr>
      </w:pPr>
    </w:p>
    <w:p w14:paraId="6E9EDAB8">
      <w:pPr>
        <w:widowControl/>
        <w:jc w:val="left"/>
        <w:rPr>
          <w:rFonts w:cs="黑体" w:asciiTheme="minorEastAsia" w:hAnsiTheme="minorEastAsia"/>
          <w:b/>
          <w:bCs/>
          <w:sz w:val="28"/>
          <w:szCs w:val="28"/>
          <w:lang w:val="zh-CN"/>
        </w:rPr>
      </w:pPr>
    </w:p>
    <w:p w14:paraId="4C0CB60B">
      <w:pPr>
        <w:widowControl/>
        <w:jc w:val="left"/>
        <w:rPr>
          <w:rFonts w:cs="黑体" w:asciiTheme="minorEastAsia" w:hAnsiTheme="minorEastAsia"/>
          <w:b/>
          <w:bCs/>
          <w:sz w:val="28"/>
          <w:szCs w:val="28"/>
          <w:lang w:val="zh-CN"/>
        </w:rPr>
      </w:pPr>
    </w:p>
    <w:p w14:paraId="6A0990BC">
      <w:pPr>
        <w:widowControl/>
        <w:jc w:val="left"/>
        <w:rPr>
          <w:rFonts w:cs="黑体" w:asciiTheme="minorEastAsia" w:hAnsiTheme="minorEastAsia"/>
          <w:b/>
          <w:bCs/>
          <w:sz w:val="28"/>
          <w:szCs w:val="28"/>
          <w:lang w:val="zh-CN"/>
        </w:rPr>
      </w:pPr>
    </w:p>
    <w:p w14:paraId="29422070">
      <w:pPr>
        <w:widowControl/>
        <w:jc w:val="left"/>
        <w:rPr>
          <w:rFonts w:cs="黑体" w:asciiTheme="minorEastAsia" w:hAnsiTheme="minorEastAsia"/>
          <w:b/>
          <w:bCs/>
          <w:sz w:val="28"/>
          <w:szCs w:val="28"/>
          <w:lang w:val="zh-CN"/>
        </w:rPr>
      </w:pPr>
    </w:p>
    <w:p w14:paraId="45626655">
      <w:pPr>
        <w:widowControl/>
        <w:jc w:val="left"/>
        <w:rPr>
          <w:rFonts w:cs="黑体" w:asciiTheme="minorEastAsia" w:hAnsiTheme="minorEastAsia"/>
          <w:b/>
          <w:bCs/>
          <w:sz w:val="28"/>
          <w:szCs w:val="28"/>
          <w:lang w:val="zh-CN"/>
        </w:rPr>
      </w:pPr>
    </w:p>
    <w:p w14:paraId="6B40AB67">
      <w:pPr>
        <w:widowControl/>
        <w:jc w:val="left"/>
        <w:rPr>
          <w:rFonts w:cs="黑体" w:asciiTheme="minorEastAsia" w:hAnsiTheme="minorEastAsia"/>
          <w:b/>
          <w:bCs/>
          <w:sz w:val="28"/>
          <w:szCs w:val="28"/>
          <w:lang w:val="zh-CN"/>
        </w:rPr>
      </w:pPr>
    </w:p>
    <w:p w14:paraId="4057EE87">
      <w:pPr>
        <w:widowControl/>
        <w:jc w:val="left"/>
        <w:rPr>
          <w:rFonts w:cs="黑体" w:asciiTheme="minorEastAsia" w:hAnsiTheme="minorEastAsia"/>
          <w:b/>
          <w:bCs/>
          <w:sz w:val="28"/>
          <w:szCs w:val="28"/>
          <w:lang w:val="zh-CN"/>
        </w:rPr>
      </w:pPr>
    </w:p>
    <w:p w14:paraId="728FCA16">
      <w:pPr>
        <w:autoSpaceDE w:val="0"/>
        <w:autoSpaceDN w:val="0"/>
        <w:adjustRightInd w:val="0"/>
        <w:spacing w:line="360" w:lineRule="auto"/>
        <w:jc w:val="center"/>
        <w:rPr>
          <w:rFonts w:cs="黑体" w:asciiTheme="minorEastAsia" w:hAnsiTheme="minorEastAsia"/>
          <w:b/>
          <w:bCs/>
          <w:color w:val="000000" w:themeColor="text1"/>
          <w:sz w:val="28"/>
          <w:szCs w:val="28"/>
          <w:lang w:val="zh-CN"/>
        </w:rPr>
      </w:pPr>
      <w:bookmarkStart w:id="7" w:name="OLE_LINK120"/>
      <w:bookmarkStart w:id="8" w:name="OLE_LINK121"/>
      <w:bookmarkStart w:id="9" w:name="OLE_LINK119"/>
      <w:bookmarkStart w:id="10" w:name="OLE_LINK122"/>
      <w:r>
        <w:rPr>
          <w:rFonts w:hint="eastAsia" w:cs="黑体" w:asciiTheme="minorEastAsia" w:hAnsiTheme="minorEastAsia"/>
          <w:b/>
          <w:bCs/>
          <w:color w:val="000000" w:themeColor="text1"/>
          <w:sz w:val="28"/>
          <w:szCs w:val="28"/>
          <w:lang w:val="zh-CN"/>
        </w:rPr>
        <w:t>五、主要标的信息（备用）</w:t>
      </w:r>
    </w:p>
    <w:p w14:paraId="1D826622">
      <w:pPr>
        <w:autoSpaceDE w:val="0"/>
        <w:autoSpaceDN w:val="0"/>
        <w:adjustRightInd w:val="0"/>
        <w:spacing w:line="360" w:lineRule="auto"/>
        <w:ind w:firstLine="420" w:firstLineChars="200"/>
        <w:rPr>
          <w:rFonts w:cs="宋体" w:asciiTheme="minorEastAsia" w:hAnsiTheme="minorEastAsia"/>
          <w:szCs w:val="21"/>
          <w:lang w:val="zh-CN"/>
        </w:rPr>
      </w:pPr>
    </w:p>
    <w:tbl>
      <w:tblPr>
        <w:tblStyle w:val="26"/>
        <w:tblW w:w="0" w:type="auto"/>
        <w:jc w:val="center"/>
        <w:tblLayout w:type="fixed"/>
        <w:tblCellMar>
          <w:top w:w="0" w:type="dxa"/>
          <w:left w:w="108" w:type="dxa"/>
          <w:bottom w:w="0" w:type="dxa"/>
          <w:right w:w="108" w:type="dxa"/>
        </w:tblCellMar>
      </w:tblPr>
      <w:tblGrid>
        <w:gridCol w:w="533"/>
        <w:gridCol w:w="1841"/>
        <w:gridCol w:w="1523"/>
        <w:gridCol w:w="1524"/>
        <w:gridCol w:w="1523"/>
        <w:gridCol w:w="1524"/>
      </w:tblGrid>
      <w:tr w14:paraId="2584C147">
        <w:trPr>
          <w:trHeight w:val="851" w:hRule="atLeast"/>
          <w:jc w:val="center"/>
        </w:trPr>
        <w:tc>
          <w:tcPr>
            <w:tcW w:w="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C26C778">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84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3D920A8">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866D4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品牌（如有）</w:t>
            </w:r>
          </w:p>
        </w:tc>
        <w:tc>
          <w:tcPr>
            <w:tcW w:w="152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B5FF9A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5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79FACB8">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52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EDB27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r>
      <w:tr w14:paraId="3A7FD8AB">
        <w:tblPrEx>
          <w:tblCellMar>
            <w:top w:w="0" w:type="dxa"/>
            <w:left w:w="108" w:type="dxa"/>
            <w:bottom w:w="0" w:type="dxa"/>
            <w:right w:w="108" w:type="dxa"/>
          </w:tblCellMar>
        </w:tblPrEx>
        <w:trPr>
          <w:trHeight w:val="851" w:hRule="atLeast"/>
          <w:jc w:val="center"/>
        </w:trPr>
        <w:tc>
          <w:tcPr>
            <w:tcW w:w="533" w:type="dxa"/>
            <w:tcBorders>
              <w:top w:val="single" w:color="auto" w:sz="6" w:space="0"/>
              <w:left w:val="single" w:color="auto" w:sz="6" w:space="0"/>
              <w:bottom w:val="single" w:color="auto" w:sz="6" w:space="0"/>
              <w:right w:val="single" w:color="auto" w:sz="6" w:space="0"/>
            </w:tcBorders>
            <w:vAlign w:val="center"/>
          </w:tcPr>
          <w:p w14:paraId="00ABE03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841" w:type="dxa"/>
            <w:tcBorders>
              <w:top w:val="single" w:color="auto" w:sz="6" w:space="0"/>
              <w:left w:val="single" w:color="auto" w:sz="6" w:space="0"/>
              <w:bottom w:val="single" w:color="auto" w:sz="6" w:space="0"/>
              <w:right w:val="single" w:color="auto" w:sz="6" w:space="0"/>
            </w:tcBorders>
          </w:tcPr>
          <w:p w14:paraId="0983F33A">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76FEB77F">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0D528812">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274A7911">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5F579A7C">
            <w:pPr>
              <w:autoSpaceDE w:val="0"/>
              <w:autoSpaceDN w:val="0"/>
              <w:adjustRightInd w:val="0"/>
              <w:spacing w:line="360" w:lineRule="auto"/>
              <w:rPr>
                <w:rFonts w:asciiTheme="minorEastAsia" w:hAnsiTheme="minorEastAsia"/>
                <w:szCs w:val="21"/>
              </w:rPr>
            </w:pPr>
          </w:p>
        </w:tc>
      </w:tr>
      <w:tr w14:paraId="62BEF6DE">
        <w:tblPrEx>
          <w:tblCellMar>
            <w:top w:w="0" w:type="dxa"/>
            <w:left w:w="108" w:type="dxa"/>
            <w:bottom w:w="0" w:type="dxa"/>
            <w:right w:w="108" w:type="dxa"/>
          </w:tblCellMar>
        </w:tblPrEx>
        <w:trPr>
          <w:trHeight w:val="851" w:hRule="atLeast"/>
          <w:jc w:val="center"/>
        </w:trPr>
        <w:tc>
          <w:tcPr>
            <w:tcW w:w="533" w:type="dxa"/>
            <w:tcBorders>
              <w:top w:val="single" w:color="auto" w:sz="6" w:space="0"/>
              <w:left w:val="single" w:color="auto" w:sz="6" w:space="0"/>
              <w:bottom w:val="single" w:color="auto" w:sz="6" w:space="0"/>
              <w:right w:val="single" w:color="auto" w:sz="6" w:space="0"/>
            </w:tcBorders>
            <w:vAlign w:val="center"/>
          </w:tcPr>
          <w:p w14:paraId="62F19CBD">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841" w:type="dxa"/>
            <w:tcBorders>
              <w:top w:val="single" w:color="auto" w:sz="6" w:space="0"/>
              <w:left w:val="single" w:color="auto" w:sz="6" w:space="0"/>
              <w:bottom w:val="single" w:color="auto" w:sz="6" w:space="0"/>
              <w:right w:val="single" w:color="auto" w:sz="6" w:space="0"/>
            </w:tcBorders>
          </w:tcPr>
          <w:p w14:paraId="2EC61B75">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58F3032D">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5EB962A0">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295AC5EB">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00062C39">
            <w:pPr>
              <w:autoSpaceDE w:val="0"/>
              <w:autoSpaceDN w:val="0"/>
              <w:adjustRightInd w:val="0"/>
              <w:spacing w:line="360" w:lineRule="auto"/>
              <w:rPr>
                <w:rFonts w:asciiTheme="minorEastAsia" w:hAnsiTheme="minorEastAsia"/>
                <w:szCs w:val="21"/>
              </w:rPr>
            </w:pPr>
          </w:p>
        </w:tc>
      </w:tr>
      <w:tr w14:paraId="6993A06A">
        <w:tblPrEx>
          <w:tblCellMar>
            <w:top w:w="0" w:type="dxa"/>
            <w:left w:w="108" w:type="dxa"/>
            <w:bottom w:w="0" w:type="dxa"/>
            <w:right w:w="108" w:type="dxa"/>
          </w:tblCellMar>
        </w:tblPrEx>
        <w:trPr>
          <w:trHeight w:val="851" w:hRule="atLeast"/>
          <w:jc w:val="center"/>
        </w:trPr>
        <w:tc>
          <w:tcPr>
            <w:tcW w:w="533" w:type="dxa"/>
            <w:tcBorders>
              <w:top w:val="single" w:color="auto" w:sz="6" w:space="0"/>
              <w:left w:val="single" w:color="auto" w:sz="6" w:space="0"/>
              <w:bottom w:val="single" w:color="auto" w:sz="6" w:space="0"/>
              <w:right w:val="single" w:color="auto" w:sz="6" w:space="0"/>
            </w:tcBorders>
            <w:vAlign w:val="center"/>
          </w:tcPr>
          <w:p w14:paraId="3A15A22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841" w:type="dxa"/>
            <w:tcBorders>
              <w:top w:val="single" w:color="auto" w:sz="6" w:space="0"/>
              <w:left w:val="single" w:color="auto" w:sz="6" w:space="0"/>
              <w:bottom w:val="single" w:color="auto" w:sz="6" w:space="0"/>
              <w:right w:val="single" w:color="auto" w:sz="6" w:space="0"/>
            </w:tcBorders>
          </w:tcPr>
          <w:p w14:paraId="4C6C6FCC">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3A6770A4">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1D9871F3">
            <w:pPr>
              <w:autoSpaceDE w:val="0"/>
              <w:autoSpaceDN w:val="0"/>
              <w:adjustRightInd w:val="0"/>
              <w:spacing w:line="360" w:lineRule="auto"/>
              <w:rPr>
                <w:rFonts w:asciiTheme="minorEastAsia" w:hAnsiTheme="minorEastAsia"/>
                <w:szCs w:val="21"/>
              </w:rPr>
            </w:pPr>
          </w:p>
        </w:tc>
        <w:tc>
          <w:tcPr>
            <w:tcW w:w="1523" w:type="dxa"/>
            <w:tcBorders>
              <w:top w:val="single" w:color="auto" w:sz="6" w:space="0"/>
              <w:left w:val="single" w:color="auto" w:sz="6" w:space="0"/>
              <w:bottom w:val="single" w:color="auto" w:sz="6" w:space="0"/>
              <w:right w:val="single" w:color="auto" w:sz="6" w:space="0"/>
            </w:tcBorders>
          </w:tcPr>
          <w:p w14:paraId="0A624B86">
            <w:pPr>
              <w:autoSpaceDE w:val="0"/>
              <w:autoSpaceDN w:val="0"/>
              <w:adjustRightInd w:val="0"/>
              <w:spacing w:line="360" w:lineRule="auto"/>
              <w:rPr>
                <w:rFonts w:asciiTheme="minorEastAsia" w:hAnsiTheme="minorEastAsia"/>
                <w:szCs w:val="21"/>
              </w:rPr>
            </w:pPr>
          </w:p>
        </w:tc>
        <w:tc>
          <w:tcPr>
            <w:tcW w:w="1524" w:type="dxa"/>
            <w:tcBorders>
              <w:top w:val="single" w:color="auto" w:sz="6" w:space="0"/>
              <w:left w:val="single" w:color="auto" w:sz="6" w:space="0"/>
              <w:bottom w:val="single" w:color="auto" w:sz="6" w:space="0"/>
              <w:right w:val="single" w:color="auto" w:sz="6" w:space="0"/>
            </w:tcBorders>
          </w:tcPr>
          <w:p w14:paraId="03635F8D">
            <w:pPr>
              <w:autoSpaceDE w:val="0"/>
              <w:autoSpaceDN w:val="0"/>
              <w:adjustRightInd w:val="0"/>
              <w:spacing w:line="360" w:lineRule="auto"/>
              <w:rPr>
                <w:rFonts w:asciiTheme="minorEastAsia" w:hAnsiTheme="minorEastAsia"/>
                <w:szCs w:val="21"/>
              </w:rPr>
            </w:pPr>
          </w:p>
        </w:tc>
      </w:tr>
    </w:tbl>
    <w:p w14:paraId="0A8FFB66">
      <w:pPr>
        <w:autoSpaceDE w:val="0"/>
        <w:autoSpaceDN w:val="0"/>
        <w:adjustRightInd w:val="0"/>
        <w:spacing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说明：</w:t>
      </w:r>
    </w:p>
    <w:p w14:paraId="5903ED6E">
      <w:pPr>
        <w:autoSpaceDE w:val="0"/>
        <w:autoSpaceDN w:val="0"/>
        <w:adjustRightInd w:val="0"/>
        <w:spacing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按照《财政部办公厅关于印发﹤政府采购公告和公示信息格式规范（2020年版）﹥》（财办库〔2020〕50号）要求，中标（成交）公告须包含主要标的信息。如投标人未提供该表造成中标（成交）后无法发布中标（成交）公告的，投标人承担相关责任。</w:t>
      </w:r>
    </w:p>
    <w:p w14:paraId="78858C01">
      <w:pPr>
        <w:autoSpaceDE w:val="0"/>
        <w:autoSpaceDN w:val="0"/>
        <w:adjustRightInd w:val="0"/>
        <w:spacing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2、此表不涉及谈判小组评审内容。</w:t>
      </w:r>
    </w:p>
    <w:p w14:paraId="4D1CAED6">
      <w:pPr>
        <w:autoSpaceDE w:val="0"/>
        <w:autoSpaceDN w:val="0"/>
        <w:adjustRightInd w:val="0"/>
        <w:spacing w:line="360" w:lineRule="auto"/>
        <w:ind w:firstLine="562" w:firstLineChars="200"/>
        <w:rPr>
          <w:rFonts w:cs="黑体" w:asciiTheme="minorEastAsia" w:hAnsiTheme="minorEastAsia"/>
          <w:b/>
          <w:bCs/>
          <w:sz w:val="28"/>
          <w:szCs w:val="28"/>
        </w:rPr>
      </w:pPr>
    </w:p>
    <w:p w14:paraId="36B3A48F">
      <w:pPr>
        <w:autoSpaceDE w:val="0"/>
        <w:autoSpaceDN w:val="0"/>
        <w:adjustRightInd w:val="0"/>
        <w:spacing w:line="360" w:lineRule="auto"/>
        <w:ind w:firstLine="562" w:firstLineChars="200"/>
        <w:rPr>
          <w:rFonts w:cs="黑体" w:asciiTheme="minorEastAsia" w:hAnsiTheme="minorEastAsia"/>
          <w:b/>
          <w:bCs/>
          <w:sz w:val="28"/>
          <w:szCs w:val="28"/>
        </w:rPr>
      </w:pPr>
    </w:p>
    <w:p w14:paraId="6A1395CD">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投标人（并加盖公章）：</w:t>
      </w:r>
    </w:p>
    <w:bookmarkEnd w:id="7"/>
    <w:bookmarkEnd w:id="8"/>
    <w:bookmarkEnd w:id="9"/>
    <w:bookmarkEnd w:id="10"/>
    <w:p w14:paraId="416FC124">
      <w:pPr>
        <w:widowControl/>
        <w:jc w:val="left"/>
        <w:rPr>
          <w:rFonts w:cs="黑体" w:asciiTheme="minorEastAsia" w:hAnsiTheme="minorEastAsia"/>
          <w:b/>
          <w:bCs/>
          <w:sz w:val="28"/>
          <w:szCs w:val="28"/>
          <w:lang w:val="zh-CN"/>
        </w:rPr>
      </w:pPr>
    </w:p>
    <w:p w14:paraId="146AEC8B">
      <w:pPr>
        <w:widowControl/>
        <w:jc w:val="left"/>
        <w:rPr>
          <w:rFonts w:cs="黑体" w:asciiTheme="minorEastAsia" w:hAnsiTheme="minorEastAsia"/>
          <w:b/>
          <w:bCs/>
          <w:sz w:val="28"/>
          <w:szCs w:val="28"/>
          <w:lang w:val="zh-CN"/>
        </w:rPr>
      </w:pPr>
    </w:p>
    <w:p w14:paraId="73E9E861">
      <w:pPr>
        <w:autoSpaceDE w:val="0"/>
        <w:autoSpaceDN w:val="0"/>
        <w:adjustRightInd w:val="0"/>
        <w:spacing w:line="360" w:lineRule="auto"/>
        <w:jc w:val="center"/>
        <w:rPr>
          <w:rFonts w:hint="eastAsia" w:cs="黑体" w:asciiTheme="minorEastAsia" w:hAnsiTheme="minorEastAsia"/>
          <w:b/>
          <w:bCs/>
          <w:sz w:val="28"/>
          <w:szCs w:val="28"/>
          <w:lang w:val="zh-CN"/>
        </w:rPr>
      </w:pPr>
    </w:p>
    <w:p w14:paraId="60273862">
      <w:pPr>
        <w:autoSpaceDE w:val="0"/>
        <w:autoSpaceDN w:val="0"/>
        <w:adjustRightInd w:val="0"/>
        <w:spacing w:line="360" w:lineRule="auto"/>
        <w:jc w:val="center"/>
        <w:rPr>
          <w:rFonts w:hint="eastAsia" w:cs="黑体" w:asciiTheme="minorEastAsia" w:hAnsiTheme="minorEastAsia"/>
          <w:b/>
          <w:bCs/>
          <w:sz w:val="28"/>
          <w:szCs w:val="28"/>
          <w:lang w:val="zh-CN"/>
        </w:rPr>
      </w:pPr>
    </w:p>
    <w:p w14:paraId="35E19EC4">
      <w:pPr>
        <w:autoSpaceDE w:val="0"/>
        <w:autoSpaceDN w:val="0"/>
        <w:adjustRightInd w:val="0"/>
        <w:spacing w:line="360" w:lineRule="auto"/>
        <w:jc w:val="center"/>
        <w:rPr>
          <w:rFonts w:hint="eastAsia" w:cs="黑体" w:asciiTheme="minorEastAsia" w:hAnsiTheme="minorEastAsia"/>
          <w:b/>
          <w:bCs/>
          <w:sz w:val="28"/>
          <w:szCs w:val="28"/>
          <w:lang w:val="zh-CN"/>
        </w:rPr>
      </w:pPr>
    </w:p>
    <w:p w14:paraId="143DEC22">
      <w:pPr>
        <w:autoSpaceDE w:val="0"/>
        <w:autoSpaceDN w:val="0"/>
        <w:adjustRightInd w:val="0"/>
        <w:spacing w:line="360" w:lineRule="auto"/>
        <w:jc w:val="center"/>
        <w:rPr>
          <w:rFonts w:hint="eastAsia" w:cs="黑体" w:asciiTheme="minorEastAsia" w:hAnsiTheme="minorEastAsia"/>
          <w:b/>
          <w:bCs/>
          <w:sz w:val="28"/>
          <w:szCs w:val="28"/>
          <w:lang w:val="zh-CN"/>
        </w:rPr>
      </w:pPr>
    </w:p>
    <w:p w14:paraId="24C1DFD0">
      <w:pPr>
        <w:autoSpaceDE w:val="0"/>
        <w:autoSpaceDN w:val="0"/>
        <w:adjustRightInd w:val="0"/>
        <w:spacing w:line="360" w:lineRule="auto"/>
        <w:jc w:val="center"/>
        <w:rPr>
          <w:rFonts w:hint="eastAsia" w:cs="黑体" w:asciiTheme="minorEastAsia" w:hAnsiTheme="minorEastAsia"/>
          <w:b/>
          <w:bCs/>
          <w:sz w:val="28"/>
          <w:szCs w:val="28"/>
          <w:lang w:val="zh-CN"/>
        </w:rPr>
      </w:pPr>
    </w:p>
    <w:p w14:paraId="73F98A3A">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六、其他资料（若有）</w:t>
      </w:r>
    </w:p>
    <w:p w14:paraId="420F9A30"/>
    <w:p w14:paraId="11176055"/>
    <w:p w14:paraId="505B764E"/>
    <w:p w14:paraId="001BCD84">
      <w:pPr>
        <w:spacing w:line="360" w:lineRule="auto"/>
        <w:jc w:val="center"/>
        <w:rPr>
          <w:rFonts w:ascii="宋体" w:hAnsi="宋体"/>
          <w:b/>
          <w:bCs/>
          <w:sz w:val="28"/>
          <w:szCs w:val="28"/>
        </w:rPr>
      </w:pPr>
      <w:r>
        <w:rPr>
          <w:rFonts w:hint="eastAsia" w:ascii="宋体" w:hAnsi="宋体"/>
          <w:b/>
          <w:bCs/>
          <w:sz w:val="28"/>
          <w:szCs w:val="28"/>
        </w:rPr>
        <w:t>除谈判文件另有规定外，供应商认为需要提交的其他证明材料或资料加盖供应商公章后应在此项下提交。</w:t>
      </w:r>
    </w:p>
    <w:p w14:paraId="32F8DDF3"/>
    <w:p w14:paraId="10E84DCC"/>
    <w:p w14:paraId="10EAB6B5"/>
    <w:p w14:paraId="1C0EF2E5"/>
    <w:p w14:paraId="242B4DE0"/>
    <w:p w14:paraId="46E84818"/>
    <w:p w14:paraId="3BAF5AD2"/>
    <w:p w14:paraId="6FBA51ED"/>
    <w:sectPr>
      <w:footerReference r:id="rId6"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5EDB8">
    <w:pPr>
      <w:spacing w:line="236"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01CFE">
    <w:pPr>
      <w:spacing w:line="236" w:lineRule="auto"/>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F6145">
    <w:pPr>
      <w:spacing w:line="236" w:lineRule="auto"/>
      <w:rPr>
        <w:rFonts w:ascii="Calibri" w:hAnsi="Calibri" w:eastAsia="Calibri" w:cs="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0DBE4">
    <w:pPr>
      <w:pStyle w:val="18"/>
    </w:pPr>
    <w:r>
      <w:pict>
        <v:shape id="_x0000_s4097"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path/>
          <v:fill on="f" focussize="0,0"/>
          <v:stroke on="f" joinstyle="miter"/>
          <v:imagedata o:title=""/>
          <o:lock v:ext="edit"/>
          <v:textbox inset="0mm,0mm,0mm,0mm" style="mso-fit-shape-to-text:t;">
            <w:txbxContent>
              <w:p w14:paraId="6CA63FAE">
                <w:pPr>
                  <w:pStyle w:val="18"/>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C083114"/>
    <w:multiLevelType w:val="multilevel"/>
    <w:tmpl w:val="0C083114"/>
    <w:lvl w:ilvl="0" w:tentative="0">
      <w:start w:val="35"/>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8">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9">
    <w:nsid w:val="13097703"/>
    <w:multiLevelType w:val="multilevel"/>
    <w:tmpl w:val="130977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4">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5">
    <w:nsid w:val="1AF5664A"/>
    <w:multiLevelType w:val="multilevel"/>
    <w:tmpl w:val="1AF5664A"/>
    <w:lvl w:ilvl="0" w:tentative="0">
      <w:start w:val="38"/>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24747FB"/>
    <w:multiLevelType w:val="multilevel"/>
    <w:tmpl w:val="224747FB"/>
    <w:lvl w:ilvl="0" w:tentative="0">
      <w:start w:val="1"/>
      <w:numFmt w:val="decimal"/>
      <w:lvlText w:val="37.%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7">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5BF2D80"/>
    <w:multiLevelType w:val="multilevel"/>
    <w:tmpl w:val="35BF2D8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0">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A329CD"/>
    <w:multiLevelType w:val="multilevel"/>
    <w:tmpl w:val="37A329CD"/>
    <w:lvl w:ilvl="0" w:tentative="0">
      <w:start w:val="34"/>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7">
    <w:nsid w:val="498F9E28"/>
    <w:multiLevelType w:val="singleLevel"/>
    <w:tmpl w:val="498F9E28"/>
    <w:lvl w:ilvl="0" w:tentative="0">
      <w:start w:val="5"/>
      <w:numFmt w:val="decimal"/>
      <w:suff w:val="nothing"/>
      <w:lvlText w:val="%1、"/>
      <w:lvlJc w:val="left"/>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4C105041"/>
    <w:multiLevelType w:val="multilevel"/>
    <w:tmpl w:val="4C105041"/>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0">
    <w:nsid w:val="4E6B337A"/>
    <w:multiLevelType w:val="multilevel"/>
    <w:tmpl w:val="4E6B337A"/>
    <w:lvl w:ilvl="0" w:tentative="0">
      <w:start w:val="1"/>
      <w:numFmt w:val="decimal"/>
      <w:lvlText w:val="38.%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1">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6D73504"/>
    <w:multiLevelType w:val="multilevel"/>
    <w:tmpl w:val="56D73504"/>
    <w:lvl w:ilvl="0" w:tentative="0">
      <w:start w:val="1"/>
      <w:numFmt w:val="decimal"/>
      <w:lvlText w:val="%1."/>
      <w:lvlJc w:val="left"/>
      <w:pPr>
        <w:ind w:left="840" w:hanging="420"/>
      </w:pPr>
      <w:rPr>
        <w:rFonts w:hint="default" w:ascii="Times New Roman" w:hAnsi="Times New Roman" w:cs="Times New Roman"/>
      </w:rPr>
    </w:lvl>
    <w:lvl w:ilvl="1" w:tentative="0">
      <w:start w:val="1"/>
      <w:numFmt w:val="decimal"/>
      <w:isLgl/>
      <w:lvlText w:val="%1.%2"/>
      <w:lvlJc w:val="left"/>
      <w:pPr>
        <w:ind w:left="1290" w:hanging="870"/>
      </w:pPr>
      <w:rPr>
        <w:rFonts w:hint="eastAsia" w:ascii="宋体" w:hAnsi="宋体" w:eastAsia="宋体"/>
      </w:rPr>
    </w:lvl>
    <w:lvl w:ilvl="2" w:tentative="0">
      <w:start w:val="1"/>
      <w:numFmt w:val="decimal"/>
      <w:isLgl/>
      <w:lvlText w:val="%1.%2.%3"/>
      <w:lvlJc w:val="left"/>
      <w:pPr>
        <w:ind w:left="1290" w:hanging="870"/>
      </w:pPr>
      <w:rPr>
        <w:rFonts w:hint="eastAsia" w:ascii="宋体" w:hAnsi="宋体" w:eastAsia="宋体"/>
      </w:rPr>
    </w:lvl>
    <w:lvl w:ilvl="3" w:tentative="0">
      <w:start w:val="1"/>
      <w:numFmt w:val="decimal"/>
      <w:isLgl/>
      <w:lvlText w:val="%1.%2.%3.%4"/>
      <w:lvlJc w:val="left"/>
      <w:pPr>
        <w:ind w:left="1290" w:hanging="870"/>
      </w:pPr>
      <w:rPr>
        <w:rFonts w:hint="eastAsia" w:ascii="宋体" w:hAnsi="宋体" w:eastAsia="宋体"/>
      </w:rPr>
    </w:lvl>
    <w:lvl w:ilvl="4" w:tentative="0">
      <w:start w:val="1"/>
      <w:numFmt w:val="decimal"/>
      <w:isLgl/>
      <w:lvlText w:val="%1.%2.%3.%4.%5"/>
      <w:lvlJc w:val="left"/>
      <w:pPr>
        <w:ind w:left="1500" w:hanging="1080"/>
      </w:pPr>
      <w:rPr>
        <w:rFonts w:hint="eastAsia" w:ascii="宋体" w:hAnsi="宋体" w:eastAsia="宋体"/>
      </w:rPr>
    </w:lvl>
    <w:lvl w:ilvl="5" w:tentative="0">
      <w:start w:val="1"/>
      <w:numFmt w:val="decimal"/>
      <w:isLgl/>
      <w:lvlText w:val="%1.%2.%3.%4.%5.%6"/>
      <w:lvlJc w:val="left"/>
      <w:pPr>
        <w:ind w:left="1500" w:hanging="1080"/>
      </w:pPr>
      <w:rPr>
        <w:rFonts w:hint="eastAsia" w:ascii="宋体" w:hAnsi="宋体" w:eastAsia="宋体"/>
      </w:rPr>
    </w:lvl>
    <w:lvl w:ilvl="6" w:tentative="0">
      <w:start w:val="1"/>
      <w:numFmt w:val="decimal"/>
      <w:isLgl/>
      <w:lvlText w:val="%1.%2.%3.%4.%5.%6.%7"/>
      <w:lvlJc w:val="left"/>
      <w:pPr>
        <w:ind w:left="1500" w:hanging="1080"/>
      </w:pPr>
      <w:rPr>
        <w:rFonts w:hint="eastAsia" w:ascii="宋体" w:hAnsi="宋体" w:eastAsia="宋体"/>
      </w:rPr>
    </w:lvl>
    <w:lvl w:ilvl="7" w:tentative="0">
      <w:start w:val="1"/>
      <w:numFmt w:val="decimal"/>
      <w:isLgl/>
      <w:lvlText w:val="%1.%2.%3.%4.%5.%6.%7.%8"/>
      <w:lvlJc w:val="left"/>
      <w:pPr>
        <w:ind w:left="1860" w:hanging="1440"/>
      </w:pPr>
      <w:rPr>
        <w:rFonts w:hint="eastAsia" w:ascii="宋体" w:hAnsi="宋体" w:eastAsia="宋体"/>
      </w:rPr>
    </w:lvl>
    <w:lvl w:ilvl="8" w:tentative="0">
      <w:start w:val="1"/>
      <w:numFmt w:val="decimal"/>
      <w:isLgl/>
      <w:lvlText w:val="%1.%2.%3.%4.%5.%6.%7.%8.%9"/>
      <w:lvlJc w:val="left"/>
      <w:pPr>
        <w:ind w:left="1860" w:hanging="1440"/>
      </w:pPr>
      <w:rPr>
        <w:rFonts w:hint="eastAsia" w:ascii="宋体" w:hAnsi="宋体" w:eastAsia="宋体"/>
      </w:rPr>
    </w:lvl>
  </w:abstractNum>
  <w:abstractNum w:abstractNumId="48">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9">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9F817E8"/>
    <w:multiLevelType w:val="singleLevel"/>
    <w:tmpl w:val="59F817E8"/>
    <w:lvl w:ilvl="0" w:tentative="0">
      <w:start w:val="1"/>
      <w:numFmt w:val="chineseCounting"/>
      <w:pStyle w:val="62"/>
      <w:suff w:val="nothing"/>
      <w:lvlText w:val="%1、"/>
      <w:lvlJc w:val="left"/>
    </w:lvl>
  </w:abstractNum>
  <w:abstractNum w:abstractNumId="51">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6">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FA025A8"/>
    <w:multiLevelType w:val="multilevel"/>
    <w:tmpl w:val="6FA025A8"/>
    <w:lvl w:ilvl="0" w:tentative="0">
      <w:start w:val="1"/>
      <w:numFmt w:val="decimal"/>
      <w:lvlText w:val="3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3">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8EC45A8"/>
    <w:multiLevelType w:val="multilevel"/>
    <w:tmpl w:val="78EC45A8"/>
    <w:lvl w:ilvl="0" w:tentative="0">
      <w:start w:val="41"/>
      <w:numFmt w:val="decimal"/>
      <w:lvlText w:val="%1"/>
      <w:lvlJc w:val="left"/>
      <w:pPr>
        <w:ind w:left="636" w:hanging="636"/>
      </w:pPr>
      <w:rPr>
        <w:rFonts w:hint="default"/>
      </w:rPr>
    </w:lvl>
    <w:lvl w:ilvl="1" w:tentative="0">
      <w:start w:val="2"/>
      <w:numFmt w:val="decimal"/>
      <w:lvlText w:val="37.%2"/>
      <w:lvlJc w:val="left"/>
      <w:pPr>
        <w:ind w:left="720" w:hanging="720"/>
      </w:pPr>
      <w:rPr>
        <w:rFonts w:hint="eastAsia"/>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6">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8">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D242C66"/>
    <w:multiLevelType w:val="multilevel"/>
    <w:tmpl w:val="7D242C6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0">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50"/>
  </w:num>
  <w:num w:numId="4">
    <w:abstractNumId w:val="69"/>
  </w:num>
  <w:num w:numId="5">
    <w:abstractNumId w:val="29"/>
  </w:num>
  <w:num w:numId="6">
    <w:abstractNumId w:val="9"/>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7"/>
  </w:num>
  <w:num w:numId="10">
    <w:abstractNumId w:val="18"/>
  </w:num>
  <w:num w:numId="11">
    <w:abstractNumId w:val="55"/>
  </w:num>
  <w:num w:numId="12">
    <w:abstractNumId w:val="67"/>
  </w:num>
  <w:num w:numId="13">
    <w:abstractNumId w:val="64"/>
  </w:num>
  <w:num w:numId="14">
    <w:abstractNumId w:val="54"/>
  </w:num>
  <w:num w:numId="15">
    <w:abstractNumId w:val="26"/>
  </w:num>
  <w:num w:numId="16">
    <w:abstractNumId w:val="20"/>
  </w:num>
  <w:num w:numId="17">
    <w:abstractNumId w:val="56"/>
  </w:num>
  <w:num w:numId="18">
    <w:abstractNumId w:val="51"/>
  </w:num>
  <w:num w:numId="19">
    <w:abstractNumId w:val="63"/>
  </w:num>
  <w:num w:numId="20">
    <w:abstractNumId w:val="41"/>
  </w:num>
  <w:num w:numId="21">
    <w:abstractNumId w:val="13"/>
  </w:num>
  <w:num w:numId="22">
    <w:abstractNumId w:val="46"/>
  </w:num>
  <w:num w:numId="23">
    <w:abstractNumId w:val="4"/>
  </w:num>
  <w:num w:numId="24">
    <w:abstractNumId w:val="24"/>
  </w:num>
  <w:num w:numId="25">
    <w:abstractNumId w:val="43"/>
  </w:num>
  <w:num w:numId="26">
    <w:abstractNumId w:val="3"/>
  </w:num>
  <w:num w:numId="27">
    <w:abstractNumId w:val="60"/>
  </w:num>
  <w:num w:numId="28">
    <w:abstractNumId w:val="12"/>
  </w:num>
  <w:num w:numId="29">
    <w:abstractNumId w:val="28"/>
  </w:num>
  <w:num w:numId="30">
    <w:abstractNumId w:val="34"/>
  </w:num>
  <w:num w:numId="31">
    <w:abstractNumId w:val="21"/>
  </w:num>
  <w:num w:numId="32">
    <w:abstractNumId w:val="39"/>
  </w:num>
  <w:num w:numId="33">
    <w:abstractNumId w:val="59"/>
  </w:num>
  <w:num w:numId="34">
    <w:abstractNumId w:val="35"/>
  </w:num>
  <w:num w:numId="35">
    <w:abstractNumId w:val="62"/>
  </w:num>
  <w:num w:numId="36">
    <w:abstractNumId w:val="14"/>
  </w:num>
  <w:num w:numId="37">
    <w:abstractNumId w:val="10"/>
  </w:num>
  <w:num w:numId="38">
    <w:abstractNumId w:val="5"/>
  </w:num>
  <w:num w:numId="39">
    <w:abstractNumId w:val="32"/>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44"/>
  </w:num>
  <w:num w:numId="52">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61"/>
  </w:num>
  <w:num w:numId="57">
    <w:abstractNumId w:val="45"/>
  </w:num>
  <w:num w:numId="58">
    <w:abstractNumId w:val="22"/>
  </w:num>
  <w:num w:numId="59">
    <w:abstractNumId w:val="27"/>
  </w:num>
  <w:num w:numId="60">
    <w:abstractNumId w:val="36"/>
  </w:num>
  <w:num w:numId="61">
    <w:abstractNumId w:val="53"/>
  </w:num>
  <w:num w:numId="62">
    <w:abstractNumId w:val="70"/>
  </w:num>
  <w:num w:numId="63">
    <w:abstractNumId w:val="11"/>
  </w:num>
  <w:num w:numId="64">
    <w:abstractNumId w:val="38"/>
  </w:num>
  <w:num w:numId="65">
    <w:abstractNumId w:val="31"/>
  </w:num>
  <w:num w:numId="66">
    <w:abstractNumId w:val="57"/>
  </w:num>
  <w:num w:numId="67">
    <w:abstractNumId w:val="6"/>
  </w:num>
  <w:num w:numId="68">
    <w:abstractNumId w:val="19"/>
  </w:num>
  <w:num w:numId="69">
    <w:abstractNumId w:val="65"/>
  </w:num>
  <w:num w:numId="70">
    <w:abstractNumId w:val="15"/>
  </w:num>
  <w:num w:numId="7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72A27"/>
    <w:rsid w:val="00002E8B"/>
    <w:rsid w:val="00136F54"/>
    <w:rsid w:val="00164F7F"/>
    <w:rsid w:val="001961A8"/>
    <w:rsid w:val="001E54CD"/>
    <w:rsid w:val="002713D4"/>
    <w:rsid w:val="00321B8F"/>
    <w:rsid w:val="00340254"/>
    <w:rsid w:val="003B777A"/>
    <w:rsid w:val="003E6DAC"/>
    <w:rsid w:val="003F35AC"/>
    <w:rsid w:val="00493972"/>
    <w:rsid w:val="004A49B2"/>
    <w:rsid w:val="005F77E1"/>
    <w:rsid w:val="0065090C"/>
    <w:rsid w:val="006865F9"/>
    <w:rsid w:val="006909F1"/>
    <w:rsid w:val="00720ABE"/>
    <w:rsid w:val="00745B28"/>
    <w:rsid w:val="00871C27"/>
    <w:rsid w:val="008776A5"/>
    <w:rsid w:val="009103D9"/>
    <w:rsid w:val="00A72682"/>
    <w:rsid w:val="00A942DB"/>
    <w:rsid w:val="00B0636C"/>
    <w:rsid w:val="00BE543E"/>
    <w:rsid w:val="00C3563A"/>
    <w:rsid w:val="00E2226C"/>
    <w:rsid w:val="00F2570B"/>
    <w:rsid w:val="00F6622E"/>
    <w:rsid w:val="00F97D97"/>
    <w:rsid w:val="00FD4ACE"/>
    <w:rsid w:val="0216725B"/>
    <w:rsid w:val="03BF2843"/>
    <w:rsid w:val="06687B8D"/>
    <w:rsid w:val="07652449"/>
    <w:rsid w:val="078F0E4B"/>
    <w:rsid w:val="0AAF1DAF"/>
    <w:rsid w:val="0BAA6EC0"/>
    <w:rsid w:val="0F2A2D67"/>
    <w:rsid w:val="140A3931"/>
    <w:rsid w:val="166B55AA"/>
    <w:rsid w:val="1A100AA8"/>
    <w:rsid w:val="20032679"/>
    <w:rsid w:val="23D42717"/>
    <w:rsid w:val="2A9B1B43"/>
    <w:rsid w:val="2D4542D1"/>
    <w:rsid w:val="322F154C"/>
    <w:rsid w:val="3EFB1A31"/>
    <w:rsid w:val="415B6594"/>
    <w:rsid w:val="441427F7"/>
    <w:rsid w:val="501D71AD"/>
    <w:rsid w:val="508D4969"/>
    <w:rsid w:val="509E3B74"/>
    <w:rsid w:val="57C3028A"/>
    <w:rsid w:val="59B368E2"/>
    <w:rsid w:val="5F6F6AA4"/>
    <w:rsid w:val="67730D6D"/>
    <w:rsid w:val="67926D9B"/>
    <w:rsid w:val="71D957BA"/>
    <w:rsid w:val="73B80DF1"/>
    <w:rsid w:val="7724266D"/>
    <w:rsid w:val="78F2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6"/>
    <w:qFormat/>
    <w:uiPriority w:val="0"/>
    <w:rPr>
      <w:rFonts w:ascii="Times New Roman" w:hAnsi="Times New Roman" w:eastAsia="宋体" w:cs="Times New Roman"/>
      <w:color w:val="FF0000"/>
      <w:sz w:val="24"/>
      <w:szCs w:val="24"/>
    </w:rPr>
  </w:style>
  <w:style w:type="paragraph" w:styleId="10">
    <w:name w:val="Body Text"/>
    <w:basedOn w:val="1"/>
    <w:link w:val="37"/>
    <w:unhideWhenUsed/>
    <w:qFormat/>
    <w:uiPriority w:val="99"/>
    <w:pPr>
      <w:spacing w:after="120"/>
    </w:pPr>
  </w:style>
  <w:style w:type="paragraph" w:styleId="11">
    <w:name w:val="Body Text Indent"/>
    <w:basedOn w:val="1"/>
    <w:next w:val="12"/>
    <w:link w:val="46"/>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toc 2"/>
    <w:basedOn w:val="1"/>
    <w:next w:val="1"/>
    <w:semiHidden/>
    <w:qFormat/>
    <w:uiPriority w:val="0"/>
    <w:pPr>
      <w:tabs>
        <w:tab w:val="right" w:leader="dot" w:pos="8296"/>
      </w:tabs>
      <w:ind w:firstLine="234" w:firstLineChars="97"/>
    </w:pPr>
    <w:rPr>
      <w:rFonts w:ascii="宋体" w:hAnsi="宋体"/>
      <w:b/>
      <w:smallCaps/>
      <w:sz w:val="24"/>
    </w:rPr>
  </w:style>
  <w:style w:type="paragraph" w:styleId="22">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45"/>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6"/>
    <w:unhideWhenUsed/>
    <w:qFormat/>
    <w:uiPriority w:val="99"/>
    <w:pPr>
      <w:ind w:firstLine="420" w:firstLineChars="20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99"/>
    <w:rPr>
      <w:color w:val="0000FF"/>
      <w:u w:val="single"/>
    </w:rPr>
  </w:style>
  <w:style w:type="character" w:customStyle="1" w:styleId="32">
    <w:name w:val="标题 1 Char"/>
    <w:basedOn w:val="28"/>
    <w:link w:val="3"/>
    <w:qFormat/>
    <w:uiPriority w:val="0"/>
    <w:rPr>
      <w:rFonts w:ascii="Calibri" w:hAnsi="Calibri" w:eastAsia="宋体" w:cs="Times New Roman"/>
      <w:b/>
      <w:bCs/>
      <w:kern w:val="44"/>
      <w:sz w:val="44"/>
      <w:szCs w:val="44"/>
    </w:rPr>
  </w:style>
  <w:style w:type="character" w:customStyle="1" w:styleId="33">
    <w:name w:val="标题 2 Char"/>
    <w:basedOn w:val="28"/>
    <w:link w:val="4"/>
    <w:qFormat/>
    <w:uiPriority w:val="0"/>
    <w:rPr>
      <w:rFonts w:ascii="Arial" w:hAnsi="Arial" w:eastAsia="黑体" w:cs="Times New Roman"/>
      <w:b/>
      <w:bCs/>
      <w:kern w:val="0"/>
      <w:sz w:val="32"/>
      <w:szCs w:val="32"/>
    </w:rPr>
  </w:style>
  <w:style w:type="character" w:customStyle="1" w:styleId="34">
    <w:name w:val="标题 3 Char"/>
    <w:basedOn w:val="28"/>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8"/>
    <w:link w:val="6"/>
    <w:qFormat/>
    <w:uiPriority w:val="0"/>
    <w:rPr>
      <w:rFonts w:ascii="Arial" w:hAnsi="Arial" w:eastAsia="黑体" w:cs="Times New Roman"/>
      <w:b/>
      <w:bCs/>
      <w:kern w:val="0"/>
      <w:sz w:val="28"/>
      <w:szCs w:val="28"/>
    </w:rPr>
  </w:style>
  <w:style w:type="character" w:customStyle="1" w:styleId="36">
    <w:name w:val="正文文本 3 Char"/>
    <w:basedOn w:val="28"/>
    <w:link w:val="9"/>
    <w:qFormat/>
    <w:uiPriority w:val="0"/>
    <w:rPr>
      <w:rFonts w:ascii="Times New Roman" w:hAnsi="Times New Roman" w:eastAsia="宋体" w:cs="Times New Roman"/>
      <w:color w:val="FF0000"/>
      <w:sz w:val="24"/>
      <w:szCs w:val="24"/>
    </w:rPr>
  </w:style>
  <w:style w:type="character" w:customStyle="1" w:styleId="37">
    <w:name w:val="正文文本 Char"/>
    <w:basedOn w:val="28"/>
    <w:link w:val="10"/>
    <w:semiHidden/>
    <w:qFormat/>
    <w:uiPriority w:val="99"/>
  </w:style>
  <w:style w:type="character" w:customStyle="1" w:styleId="38">
    <w:name w:val="正文文本缩进 Char"/>
    <w:basedOn w:val="28"/>
    <w:qFormat/>
    <w:uiPriority w:val="0"/>
  </w:style>
  <w:style w:type="character" w:customStyle="1" w:styleId="39">
    <w:name w:val="纯文本 Char"/>
    <w:basedOn w:val="28"/>
    <w:link w:val="15"/>
    <w:qFormat/>
    <w:uiPriority w:val="0"/>
    <w:rPr>
      <w:rFonts w:eastAsia="宋体"/>
      <w:sz w:val="24"/>
    </w:rPr>
  </w:style>
  <w:style w:type="character" w:customStyle="1" w:styleId="40">
    <w:name w:val="日期 Char"/>
    <w:basedOn w:val="28"/>
    <w:link w:val="16"/>
    <w:qFormat/>
    <w:uiPriority w:val="99"/>
  </w:style>
  <w:style w:type="character" w:customStyle="1" w:styleId="41">
    <w:name w:val="批注框文本 Char"/>
    <w:basedOn w:val="28"/>
    <w:semiHidden/>
    <w:qFormat/>
    <w:uiPriority w:val="99"/>
    <w:rPr>
      <w:sz w:val="18"/>
      <w:szCs w:val="18"/>
    </w:rPr>
  </w:style>
  <w:style w:type="character" w:customStyle="1" w:styleId="42">
    <w:name w:val="页脚 Char"/>
    <w:basedOn w:val="28"/>
    <w:link w:val="18"/>
    <w:qFormat/>
    <w:uiPriority w:val="99"/>
    <w:rPr>
      <w:sz w:val="18"/>
      <w:szCs w:val="18"/>
    </w:rPr>
  </w:style>
  <w:style w:type="character" w:customStyle="1" w:styleId="43">
    <w:name w:val="页眉 Char"/>
    <w:basedOn w:val="28"/>
    <w:link w:val="19"/>
    <w:qFormat/>
    <w:uiPriority w:val="99"/>
    <w:rPr>
      <w:sz w:val="18"/>
      <w:szCs w:val="18"/>
    </w:rPr>
  </w:style>
  <w:style w:type="character" w:customStyle="1" w:styleId="44">
    <w:name w:val="HTML 预设格式 Char"/>
    <w:basedOn w:val="28"/>
    <w:semiHidden/>
    <w:qFormat/>
    <w:uiPriority w:val="99"/>
    <w:rPr>
      <w:rFonts w:ascii="Courier New" w:hAnsi="Courier New" w:cs="Courier New"/>
      <w:sz w:val="20"/>
      <w:szCs w:val="20"/>
    </w:rPr>
  </w:style>
  <w:style w:type="character" w:customStyle="1" w:styleId="45">
    <w:name w:val="正文首行缩进 Char"/>
    <w:basedOn w:val="37"/>
    <w:link w:val="24"/>
    <w:qFormat/>
    <w:uiPriority w:val="0"/>
    <w:rPr>
      <w:rFonts w:ascii="宋体" w:hAnsi="Times New Roman" w:eastAsia="宋体" w:cs="Times New Roman"/>
      <w:kern w:val="0"/>
      <w:sz w:val="34"/>
      <w:szCs w:val="20"/>
    </w:rPr>
  </w:style>
  <w:style w:type="character" w:customStyle="1" w:styleId="46">
    <w:name w:val="正文文本缩进 Char1"/>
    <w:basedOn w:val="28"/>
    <w:link w:val="11"/>
    <w:qFormat/>
    <w:uiPriority w:val="0"/>
    <w:rPr>
      <w:kern w:val="0"/>
      <w:sz w:val="24"/>
      <w:szCs w:val="20"/>
    </w:rPr>
  </w:style>
  <w:style w:type="character" w:customStyle="1" w:styleId="47">
    <w:name w:val="批注框文本 Char1"/>
    <w:basedOn w:val="28"/>
    <w:link w:val="17"/>
    <w:semiHidden/>
    <w:qFormat/>
    <w:uiPriority w:val="99"/>
    <w:rPr>
      <w:sz w:val="18"/>
      <w:szCs w:val="18"/>
    </w:rPr>
  </w:style>
  <w:style w:type="character" w:customStyle="1" w:styleId="48">
    <w:name w:val="HTML 预设格式 Char1"/>
    <w:basedOn w:val="28"/>
    <w:link w:val="22"/>
    <w:semiHidden/>
    <w:qFormat/>
    <w:uiPriority w:val="99"/>
    <w:rPr>
      <w:rFonts w:ascii="宋体" w:hAnsi="宋体" w:eastAsia="宋体" w:cs="宋体"/>
      <w:kern w:val="0"/>
      <w:sz w:val="24"/>
      <w:szCs w:val="24"/>
    </w:rPr>
  </w:style>
  <w:style w:type="character" w:customStyle="1" w:styleId="49">
    <w:name w:val="纯文本 Char1"/>
    <w:qFormat/>
    <w:uiPriority w:val="0"/>
    <w:rPr>
      <w:rFonts w:eastAsia="宋体"/>
      <w:sz w:val="24"/>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1">
    <w:name w:val="列出段落1"/>
    <w:basedOn w:val="1"/>
    <w:qFormat/>
    <w:uiPriority w:val="34"/>
    <w:pPr>
      <w:ind w:firstLine="420" w:firstLineChars="200"/>
    </w:p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8"/>
    <w:qFormat/>
    <w:uiPriority w:val="0"/>
  </w:style>
  <w:style w:type="paragraph" w:customStyle="1" w:styleId="6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3">
    <w:name w:val="List Paragraph1"/>
    <w:basedOn w:val="1"/>
    <w:semiHidden/>
    <w:qFormat/>
    <w:uiPriority w:val="0"/>
    <w:pPr>
      <w:ind w:firstLine="420" w:firstLineChars="200"/>
    </w:pPr>
    <w:rPr>
      <w:rFonts w:ascii="Calibri" w:hAnsi="Calibri" w:eastAsia="宋体" w:cs="Times New Roman"/>
      <w:szCs w:val="21"/>
    </w:rPr>
  </w:style>
  <w:style w:type="paragraph" w:customStyle="1" w:styleId="64">
    <w:name w:val="Table Text"/>
    <w:basedOn w:val="1"/>
    <w:semiHidden/>
    <w:qFormat/>
    <w:uiPriority w:val="0"/>
    <w:rPr>
      <w:rFonts w:ascii="宋体" w:hAnsi="宋体" w:eastAsia="宋体" w:cs="宋体"/>
      <w:sz w:val="21"/>
      <w:szCs w:val="21"/>
      <w:lang w:val="en-US" w:eastAsia="en-US" w:bidi="ar-SA"/>
    </w:rPr>
  </w:style>
  <w:style w:type="table" w:customStyle="1" w:styleId="6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7B35A-FFD7-4C7D-8546-2D7EB9BEBE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18415</Words>
  <Characters>19787</Characters>
  <Lines>1</Lines>
  <Paragraphs>1</Paragraphs>
  <TotalTime>24</TotalTime>
  <ScaleCrop>false</ScaleCrop>
  <LinksUpToDate>false</LinksUpToDate>
  <CharactersWithSpaces>19995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2023-08-18T02:22:00Z</dcterms:created>
  <dc:creator>许昌市公共资源交易中心:孟莉</dc:creator>
  <cp:lastModifiedBy>Moli</cp:lastModifiedBy>
  <dcterms:modified xsi:type="dcterms:W3CDTF">2025-08-22T01:55:53Z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AF920B7A5A51426DAE96B9235877C8C9</vt:lpwstr>
  </property>
  <property fmtid="{D5CDD505-2E9C-101B-9397-08002B2CF9AE}" pid="4" name="KSOTemplateDocerSaveRecord">
    <vt:lpwstr>eyJoZGlkIjoiZjg2YTUxYzdkOWI1ZDQ0YzcxNTRiM2UyYTY3NzVmOTQiLCJ1c2VySWQiOiI2NTA5MDI5MDUifQ==</vt:lpwstr>
  </property>
</Properties>
</file>