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427B">
      <w:pPr>
        <w:jc w:val="center"/>
      </w:pPr>
      <w:bookmarkStart w:id="0" w:name="OLE_LINK2"/>
      <w:bookmarkStart w:id="1" w:name="OLE_LINK1"/>
      <w:r>
        <w:rPr>
          <w:rFonts w:hint="eastAsia"/>
        </w:rPr>
        <w:t>YZCG-DLG2025016禹州市农业农村局2025年中央财政资金小麦“一喷三防”采购项目</w:t>
      </w:r>
      <w:r>
        <w:rPr>
          <w:rFonts w:hint="eastAsia"/>
          <w:lang w:val="en-US" w:eastAsia="zh-CN"/>
        </w:rPr>
        <w:t>中标</w:t>
      </w:r>
      <w:r>
        <w:rPr>
          <w:rFonts w:hint="eastAsia"/>
        </w:rPr>
        <w:t>公告</w:t>
      </w:r>
    </w:p>
    <w:p w14:paraId="6C8EBDD7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47D73EE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1.项目名称：禹州市农业农村局2025年中央财政资金小麦“一喷三防”采购项目</w:t>
      </w:r>
    </w:p>
    <w:p w14:paraId="01C4B3D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2.采购编号：YZCG-DLG2025016</w:t>
      </w:r>
    </w:p>
    <w:p w14:paraId="2FF9554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3.采购方式：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</w:t>
      </w:r>
    </w:p>
    <w:p w14:paraId="0676C6B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公告发布日期：202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3A5470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月15日</w:t>
      </w:r>
    </w:p>
    <w:p w14:paraId="3F0AF42C"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二、采购项目用途、数量、简要技术要求、合同履行日期：</w:t>
      </w:r>
    </w:p>
    <w:p w14:paraId="4353CC3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317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禹州市农业农村局2025年中央财政资金小麦“一喷三防”采购项目，需采购一批小麦“一喷三防”药肥。共划分4个标段，本项目招标为固定总价招数量，供应商不得改变采购预算总价，不得低于采购预算数量。（详见招标文件）。合同履行期限：签订合同后3日历天</w:t>
      </w:r>
    </w:p>
    <w:p w14:paraId="47562132">
      <w:pPr>
        <w:pStyle w:val="11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情况</w:t>
      </w:r>
    </w:p>
    <w:tbl>
      <w:tblPr>
        <w:tblStyle w:val="13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5"/>
        <w:gridCol w:w="484"/>
        <w:gridCol w:w="16"/>
        <w:gridCol w:w="2495"/>
        <w:gridCol w:w="1836"/>
        <w:gridCol w:w="1545"/>
        <w:gridCol w:w="1270"/>
        <w:gridCol w:w="834"/>
      </w:tblGrid>
      <w:tr w14:paraId="0426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2" w:hRule="atLeast"/>
        </w:trPr>
        <w:tc>
          <w:tcPr>
            <w:tcW w:w="928" w:type="dxa"/>
            <w:gridSpan w:val="2"/>
            <w:vAlign w:val="center"/>
          </w:tcPr>
          <w:p w14:paraId="601BFCF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2995" w:type="dxa"/>
            <w:gridSpan w:val="3"/>
            <w:vAlign w:val="center"/>
          </w:tcPr>
          <w:p w14:paraId="64857F9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836" w:type="dxa"/>
            <w:vAlign w:val="center"/>
          </w:tcPr>
          <w:p w14:paraId="64E0582B">
            <w:pPr>
              <w:spacing w:line="240" w:lineRule="auto"/>
              <w:ind w:lef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545" w:type="dxa"/>
            <w:vAlign w:val="center"/>
          </w:tcPr>
          <w:p w14:paraId="675E0D7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1270" w:type="dxa"/>
            <w:vAlign w:val="center"/>
          </w:tcPr>
          <w:p w14:paraId="1F452342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834" w:type="dxa"/>
            <w:vAlign w:val="center"/>
          </w:tcPr>
          <w:p w14:paraId="5EB94E4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6DA9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" w:hRule="atLeast"/>
        </w:trPr>
        <w:tc>
          <w:tcPr>
            <w:tcW w:w="928" w:type="dxa"/>
            <w:gridSpan w:val="2"/>
            <w:vMerge w:val="restart"/>
            <w:vAlign w:val="center"/>
          </w:tcPr>
          <w:p w14:paraId="686FC4DB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YZCG-DLG2025016-A</w:t>
            </w:r>
          </w:p>
        </w:tc>
        <w:tc>
          <w:tcPr>
            <w:tcW w:w="2995" w:type="dxa"/>
            <w:gridSpan w:val="3"/>
            <w:vAlign w:val="center"/>
          </w:tcPr>
          <w:p w14:paraId="610427D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禹州市农业农村局2025年中央财政资金小麦“一喷三防”采购项目第一标段</w:t>
            </w:r>
          </w:p>
        </w:tc>
        <w:tc>
          <w:tcPr>
            <w:tcW w:w="1836" w:type="dxa"/>
            <w:vAlign w:val="center"/>
          </w:tcPr>
          <w:p w14:paraId="2561CB5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河南利有农业科技有限公司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4D9F6A3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河南省平顶山市郏县渣园乡宋堡村1号（超检站正对面）</w:t>
            </w:r>
          </w:p>
        </w:tc>
        <w:tc>
          <w:tcPr>
            <w:tcW w:w="1270" w:type="dxa"/>
            <w:vAlign w:val="center"/>
          </w:tcPr>
          <w:p w14:paraId="704E1286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1080000.00</w:t>
            </w:r>
          </w:p>
        </w:tc>
        <w:tc>
          <w:tcPr>
            <w:tcW w:w="834" w:type="dxa"/>
            <w:vAlign w:val="center"/>
          </w:tcPr>
          <w:p w14:paraId="4F8572D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 w14:paraId="3A23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0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33243F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4A87A7DF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511" w:type="dxa"/>
            <w:gridSpan w:val="2"/>
            <w:vAlign w:val="center"/>
          </w:tcPr>
          <w:p w14:paraId="56ABA7F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836" w:type="dxa"/>
            <w:vAlign w:val="center"/>
          </w:tcPr>
          <w:p w14:paraId="694F1D2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545" w:type="dxa"/>
            <w:vAlign w:val="center"/>
          </w:tcPr>
          <w:p w14:paraId="0C9B40E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270" w:type="dxa"/>
            <w:vAlign w:val="center"/>
          </w:tcPr>
          <w:p w14:paraId="10AB832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4" w:type="dxa"/>
            <w:vAlign w:val="center"/>
          </w:tcPr>
          <w:p w14:paraId="115AA82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 w14:paraId="62B8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0186C65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25561D1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11" w:type="dxa"/>
            <w:gridSpan w:val="2"/>
            <w:vAlign w:val="center"/>
          </w:tcPr>
          <w:p w14:paraId="684969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50%戊唑·嘧菌酯</w:t>
            </w:r>
          </w:p>
        </w:tc>
        <w:tc>
          <w:tcPr>
            <w:tcW w:w="1836" w:type="dxa"/>
            <w:tcBorders>
              <w:bottom w:val="single" w:color="000000" w:themeColor="text1" w:sz="4" w:space="0"/>
            </w:tcBorders>
            <w:vAlign w:val="center"/>
          </w:tcPr>
          <w:p w14:paraId="5EF1F5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锦苗</w:t>
            </w:r>
          </w:p>
        </w:tc>
        <w:tc>
          <w:tcPr>
            <w:tcW w:w="1545" w:type="dxa"/>
            <w:tcBorders>
              <w:bottom w:val="single" w:color="000000" w:themeColor="text1" w:sz="4" w:space="0"/>
            </w:tcBorders>
            <w:vAlign w:val="center"/>
          </w:tcPr>
          <w:p w14:paraId="5F099FA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剂型：悬浮剂</w:t>
            </w:r>
          </w:p>
          <w:p w14:paraId="26A60F67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10克/袋</w:t>
            </w:r>
          </w:p>
        </w:tc>
        <w:tc>
          <w:tcPr>
            <w:tcW w:w="1270" w:type="dxa"/>
            <w:tcBorders>
              <w:bottom w:val="single" w:color="000000" w:themeColor="text1" w:sz="4" w:space="0"/>
            </w:tcBorders>
            <w:vAlign w:val="center"/>
          </w:tcPr>
          <w:p w14:paraId="70C8E93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206900</w:t>
            </w:r>
          </w:p>
        </w:tc>
        <w:tc>
          <w:tcPr>
            <w:tcW w:w="834" w:type="dxa"/>
            <w:vAlign w:val="center"/>
          </w:tcPr>
          <w:p w14:paraId="67182C64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0294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759055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39E2E60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11" w:type="dxa"/>
            <w:gridSpan w:val="2"/>
            <w:vAlign w:val="center"/>
          </w:tcPr>
          <w:p w14:paraId="2191AA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15%噻虫·高氯氟</w:t>
            </w:r>
          </w:p>
        </w:tc>
        <w:tc>
          <w:tcPr>
            <w:tcW w:w="1836" w:type="dxa"/>
            <w:tcBorders>
              <w:bottom w:val="single" w:color="000000" w:themeColor="text1" w:sz="4" w:space="0"/>
            </w:tcBorders>
            <w:vAlign w:val="center"/>
          </w:tcPr>
          <w:p w14:paraId="3C0CF5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震八方</w:t>
            </w:r>
          </w:p>
        </w:tc>
        <w:tc>
          <w:tcPr>
            <w:tcW w:w="1545" w:type="dxa"/>
            <w:tcBorders>
              <w:bottom w:val="single" w:color="000000" w:themeColor="text1" w:sz="4" w:space="0"/>
            </w:tcBorders>
            <w:vAlign w:val="center"/>
          </w:tcPr>
          <w:p w14:paraId="61A4F3F1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剂型：悬浮剂</w:t>
            </w:r>
          </w:p>
          <w:p w14:paraId="4B9E8887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10毫升/袋</w:t>
            </w:r>
          </w:p>
        </w:tc>
        <w:tc>
          <w:tcPr>
            <w:tcW w:w="1270" w:type="dxa"/>
            <w:tcBorders>
              <w:bottom w:val="single" w:color="000000" w:themeColor="text1" w:sz="4" w:space="0"/>
            </w:tcBorders>
            <w:vAlign w:val="center"/>
          </w:tcPr>
          <w:p w14:paraId="32D25E7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105578</w:t>
            </w:r>
          </w:p>
        </w:tc>
        <w:tc>
          <w:tcPr>
            <w:tcW w:w="834" w:type="dxa"/>
            <w:vAlign w:val="center"/>
          </w:tcPr>
          <w:p w14:paraId="3E0FC317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0E92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7C1C376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036B37D9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11" w:type="dxa"/>
            <w:gridSpan w:val="2"/>
            <w:vAlign w:val="center"/>
          </w:tcPr>
          <w:p w14:paraId="6322E0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0.01%24-表芸苔素内酯</w:t>
            </w:r>
          </w:p>
        </w:tc>
        <w:tc>
          <w:tcPr>
            <w:tcW w:w="1836" w:type="dxa"/>
            <w:tcBorders>
              <w:bottom w:val="single" w:color="000000" w:themeColor="text1" w:sz="4" w:space="0"/>
            </w:tcBorders>
            <w:vAlign w:val="center"/>
          </w:tcPr>
          <w:p w14:paraId="08A9A3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傲壮</w:t>
            </w:r>
          </w:p>
        </w:tc>
        <w:tc>
          <w:tcPr>
            <w:tcW w:w="1545" w:type="dxa"/>
            <w:tcBorders>
              <w:bottom w:val="single" w:color="000000" w:themeColor="text1" w:sz="4" w:space="0"/>
            </w:tcBorders>
            <w:vAlign w:val="center"/>
          </w:tcPr>
          <w:p w14:paraId="792D7D1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剂型：可溶液剂10毫升/袋</w:t>
            </w:r>
          </w:p>
        </w:tc>
        <w:tc>
          <w:tcPr>
            <w:tcW w:w="1270" w:type="dxa"/>
            <w:tcBorders>
              <w:bottom w:val="single" w:color="000000" w:themeColor="text1" w:sz="4" w:space="0"/>
            </w:tcBorders>
            <w:vAlign w:val="center"/>
          </w:tcPr>
          <w:p w14:paraId="3D2A566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103450</w:t>
            </w:r>
          </w:p>
        </w:tc>
        <w:tc>
          <w:tcPr>
            <w:tcW w:w="834" w:type="dxa"/>
            <w:vAlign w:val="center"/>
          </w:tcPr>
          <w:p w14:paraId="639205DB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5501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1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78608F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15EFBC25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11" w:type="dxa"/>
            <w:gridSpan w:val="2"/>
            <w:vAlign w:val="center"/>
          </w:tcPr>
          <w:p w14:paraId="09AB61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磷酸二氢钾</w:t>
            </w:r>
          </w:p>
        </w:tc>
        <w:tc>
          <w:tcPr>
            <w:tcW w:w="1836" w:type="dxa"/>
            <w:tcBorders>
              <w:top w:val="single" w:color="000000" w:themeColor="text1" w:sz="4" w:space="0"/>
            </w:tcBorders>
            <w:vAlign w:val="center"/>
          </w:tcPr>
          <w:p w14:paraId="5D356BE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大英雄</w:t>
            </w:r>
          </w:p>
        </w:tc>
        <w:tc>
          <w:tcPr>
            <w:tcW w:w="1545" w:type="dxa"/>
            <w:tcBorders>
              <w:top w:val="single" w:color="000000" w:themeColor="text1" w:sz="4" w:space="0"/>
            </w:tcBorders>
            <w:vAlign w:val="center"/>
          </w:tcPr>
          <w:p w14:paraId="3DEAF419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纯度≥99%，速溶型，100克/袋</w:t>
            </w:r>
          </w:p>
        </w:tc>
        <w:tc>
          <w:tcPr>
            <w:tcW w:w="1270" w:type="dxa"/>
            <w:tcBorders>
              <w:top w:val="single" w:color="000000" w:themeColor="text1" w:sz="4" w:space="0"/>
            </w:tcBorders>
            <w:vAlign w:val="center"/>
          </w:tcPr>
          <w:p w14:paraId="578C3ACE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103450</w:t>
            </w:r>
          </w:p>
        </w:tc>
        <w:tc>
          <w:tcPr>
            <w:tcW w:w="834" w:type="dxa"/>
            <w:vAlign w:val="center"/>
          </w:tcPr>
          <w:p w14:paraId="7326022C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7774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2" w:hRule="atLeast"/>
        </w:trPr>
        <w:tc>
          <w:tcPr>
            <w:tcW w:w="928" w:type="dxa"/>
            <w:gridSpan w:val="2"/>
            <w:vAlign w:val="center"/>
          </w:tcPr>
          <w:p w14:paraId="2B3D0B0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2995" w:type="dxa"/>
            <w:gridSpan w:val="3"/>
            <w:vAlign w:val="center"/>
          </w:tcPr>
          <w:p w14:paraId="6FAA17A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836" w:type="dxa"/>
            <w:vAlign w:val="center"/>
          </w:tcPr>
          <w:p w14:paraId="779A7C2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545" w:type="dxa"/>
            <w:vAlign w:val="center"/>
          </w:tcPr>
          <w:p w14:paraId="2662A88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1270" w:type="dxa"/>
            <w:vAlign w:val="center"/>
          </w:tcPr>
          <w:p w14:paraId="3DD357F9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834" w:type="dxa"/>
            <w:vAlign w:val="center"/>
          </w:tcPr>
          <w:p w14:paraId="01C4344C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2FAA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8" w:hRule="atLeast"/>
        </w:trPr>
        <w:tc>
          <w:tcPr>
            <w:tcW w:w="928" w:type="dxa"/>
            <w:gridSpan w:val="2"/>
            <w:vMerge w:val="restart"/>
            <w:vAlign w:val="center"/>
          </w:tcPr>
          <w:p w14:paraId="31051A1A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YZCG-DLG2025016-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2995" w:type="dxa"/>
            <w:gridSpan w:val="3"/>
            <w:vAlign w:val="center"/>
          </w:tcPr>
          <w:p w14:paraId="21E5C315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禹州市农业农村局2025年中央财政资金小麦“一喷三防”采购项目第二标段</w:t>
            </w:r>
          </w:p>
        </w:tc>
        <w:tc>
          <w:tcPr>
            <w:tcW w:w="1836" w:type="dxa"/>
            <w:vAlign w:val="center"/>
          </w:tcPr>
          <w:p w14:paraId="3BFBB646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河南易飞农业科技有限公司</w:t>
            </w:r>
          </w:p>
        </w:tc>
        <w:tc>
          <w:tcPr>
            <w:tcW w:w="1545" w:type="dxa"/>
            <w:vAlign w:val="center"/>
          </w:tcPr>
          <w:p w14:paraId="4857C2BE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河南省郑州市二七区马寨镇工业路11号1号楼3层2号</w:t>
            </w:r>
          </w:p>
        </w:tc>
        <w:tc>
          <w:tcPr>
            <w:tcW w:w="1270" w:type="dxa"/>
            <w:vAlign w:val="center"/>
          </w:tcPr>
          <w:p w14:paraId="5EA3FACD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990000.00</w:t>
            </w:r>
          </w:p>
        </w:tc>
        <w:tc>
          <w:tcPr>
            <w:tcW w:w="834" w:type="dxa"/>
            <w:vAlign w:val="center"/>
          </w:tcPr>
          <w:p w14:paraId="6D795A0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</w:tr>
      <w:tr w14:paraId="6BA9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0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0D3141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4B285A8A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511" w:type="dxa"/>
            <w:gridSpan w:val="2"/>
            <w:vAlign w:val="center"/>
          </w:tcPr>
          <w:p w14:paraId="1434FB1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836" w:type="dxa"/>
            <w:vAlign w:val="center"/>
          </w:tcPr>
          <w:p w14:paraId="07B013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545" w:type="dxa"/>
            <w:vAlign w:val="center"/>
          </w:tcPr>
          <w:p w14:paraId="5892E04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270" w:type="dxa"/>
            <w:vAlign w:val="center"/>
          </w:tcPr>
          <w:p w14:paraId="11FA32A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4" w:type="dxa"/>
            <w:vAlign w:val="center"/>
          </w:tcPr>
          <w:p w14:paraId="70A9FCF4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 w14:paraId="1EE2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15A6BE8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36C22353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511" w:type="dxa"/>
            <w:gridSpan w:val="2"/>
            <w:vAlign w:val="center"/>
          </w:tcPr>
          <w:p w14:paraId="578A6E00">
            <w:pPr>
              <w:spacing w:line="240" w:lineRule="auto"/>
              <w:ind w:lef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40%丙硫菌唑·戊唑醇</w:t>
            </w:r>
          </w:p>
        </w:tc>
        <w:tc>
          <w:tcPr>
            <w:tcW w:w="1836" w:type="dxa"/>
            <w:tcBorders>
              <w:bottom w:val="single" w:color="000000" w:themeColor="text1" w:sz="4" w:space="0"/>
            </w:tcBorders>
            <w:vAlign w:val="center"/>
          </w:tcPr>
          <w:p w14:paraId="5ED845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迈万佳</w:t>
            </w:r>
          </w:p>
        </w:tc>
        <w:tc>
          <w:tcPr>
            <w:tcW w:w="1545" w:type="dxa"/>
            <w:tcBorders>
              <w:bottom w:val="single" w:color="000000" w:themeColor="text1" w:sz="4" w:space="0"/>
            </w:tcBorders>
            <w:vAlign w:val="center"/>
          </w:tcPr>
          <w:p w14:paraId="165DA8D9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剂型：悬浮剂</w:t>
            </w:r>
          </w:p>
          <w:p w14:paraId="602A3A85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40克/袋</w:t>
            </w:r>
          </w:p>
        </w:tc>
        <w:tc>
          <w:tcPr>
            <w:tcW w:w="1270" w:type="dxa"/>
            <w:tcBorders>
              <w:bottom w:val="single" w:color="000000" w:themeColor="text1" w:sz="4" w:space="0"/>
            </w:tcBorders>
            <w:vAlign w:val="center"/>
          </w:tcPr>
          <w:p w14:paraId="25446F5B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103125</w:t>
            </w:r>
          </w:p>
        </w:tc>
        <w:tc>
          <w:tcPr>
            <w:tcW w:w="834" w:type="dxa"/>
            <w:vAlign w:val="center"/>
          </w:tcPr>
          <w:p w14:paraId="1209F6BA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48D7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33401D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47543026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511" w:type="dxa"/>
            <w:gridSpan w:val="2"/>
            <w:vAlign w:val="center"/>
          </w:tcPr>
          <w:p w14:paraId="7C191A4B">
            <w:pPr>
              <w:spacing w:line="240" w:lineRule="auto"/>
              <w:ind w:lef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21%噻虫嗪</w:t>
            </w:r>
          </w:p>
        </w:tc>
        <w:tc>
          <w:tcPr>
            <w:tcW w:w="1836" w:type="dxa"/>
            <w:tcBorders>
              <w:bottom w:val="single" w:color="000000" w:themeColor="text1" w:sz="4" w:space="0"/>
            </w:tcBorders>
            <w:vAlign w:val="center"/>
          </w:tcPr>
          <w:p w14:paraId="7C68C8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特关</w:t>
            </w:r>
          </w:p>
        </w:tc>
        <w:tc>
          <w:tcPr>
            <w:tcW w:w="1545" w:type="dxa"/>
            <w:tcBorders>
              <w:bottom w:val="single" w:color="000000" w:themeColor="text1" w:sz="4" w:space="0"/>
            </w:tcBorders>
            <w:vAlign w:val="center"/>
          </w:tcPr>
          <w:p w14:paraId="7696C59B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剂型：悬浮剂</w:t>
            </w:r>
          </w:p>
          <w:p w14:paraId="1365C8A3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10克/袋</w:t>
            </w:r>
          </w:p>
        </w:tc>
        <w:tc>
          <w:tcPr>
            <w:tcW w:w="1270" w:type="dxa"/>
            <w:tcBorders>
              <w:bottom w:val="single" w:color="000000" w:themeColor="text1" w:sz="4" w:space="0"/>
            </w:tcBorders>
            <w:vAlign w:val="center"/>
          </w:tcPr>
          <w:p w14:paraId="6C5168CF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103125</w:t>
            </w:r>
          </w:p>
        </w:tc>
        <w:tc>
          <w:tcPr>
            <w:tcW w:w="834" w:type="dxa"/>
            <w:vAlign w:val="center"/>
          </w:tcPr>
          <w:p w14:paraId="3E8128B3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470CD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567A2B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55F5C19A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11" w:type="dxa"/>
            <w:gridSpan w:val="2"/>
            <w:vAlign w:val="center"/>
          </w:tcPr>
          <w:p w14:paraId="73B63FC4">
            <w:pPr>
              <w:spacing w:line="240" w:lineRule="auto"/>
              <w:ind w:lef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0.004%芸苔素内酯</w:t>
            </w:r>
          </w:p>
        </w:tc>
        <w:tc>
          <w:tcPr>
            <w:tcW w:w="1836" w:type="dxa"/>
            <w:tcBorders>
              <w:bottom w:val="single" w:color="000000" w:themeColor="text1" w:sz="4" w:space="0"/>
            </w:tcBorders>
            <w:vAlign w:val="center"/>
          </w:tcPr>
          <w:p w14:paraId="68D3F8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硕多多</w:t>
            </w:r>
          </w:p>
        </w:tc>
        <w:tc>
          <w:tcPr>
            <w:tcW w:w="1545" w:type="dxa"/>
            <w:tcBorders>
              <w:bottom w:val="single" w:color="000000" w:themeColor="text1" w:sz="4" w:space="0"/>
            </w:tcBorders>
            <w:vAlign w:val="center"/>
          </w:tcPr>
          <w:p w14:paraId="7AC57213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剂型：可溶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剂15克/袋</w:t>
            </w:r>
          </w:p>
        </w:tc>
        <w:tc>
          <w:tcPr>
            <w:tcW w:w="1270" w:type="dxa"/>
            <w:tcBorders>
              <w:bottom w:val="single" w:color="000000" w:themeColor="text1" w:sz="4" w:space="0"/>
            </w:tcBorders>
            <w:vAlign w:val="center"/>
          </w:tcPr>
          <w:p w14:paraId="3858A68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103125</w:t>
            </w:r>
          </w:p>
        </w:tc>
        <w:tc>
          <w:tcPr>
            <w:tcW w:w="834" w:type="dxa"/>
            <w:vAlign w:val="center"/>
          </w:tcPr>
          <w:p w14:paraId="0B88F962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7B8C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1" w:hRule="atLeast"/>
        </w:trPr>
        <w:tc>
          <w:tcPr>
            <w:tcW w:w="928" w:type="dxa"/>
            <w:gridSpan w:val="2"/>
            <w:vMerge w:val="continue"/>
            <w:vAlign w:val="center"/>
          </w:tcPr>
          <w:p w14:paraId="792B8FC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dxa"/>
            <w:vAlign w:val="center"/>
          </w:tcPr>
          <w:p w14:paraId="20815955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11" w:type="dxa"/>
            <w:gridSpan w:val="2"/>
            <w:vAlign w:val="center"/>
          </w:tcPr>
          <w:p w14:paraId="70A4F021">
            <w:pPr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磷酸二氢钾</w:t>
            </w:r>
          </w:p>
        </w:tc>
        <w:tc>
          <w:tcPr>
            <w:tcW w:w="1836" w:type="dxa"/>
            <w:tcBorders>
              <w:top w:val="single" w:color="000000" w:themeColor="text1" w:sz="4" w:space="0"/>
            </w:tcBorders>
            <w:vAlign w:val="center"/>
          </w:tcPr>
          <w:p w14:paraId="1EE3CB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天利农</w:t>
            </w:r>
          </w:p>
        </w:tc>
        <w:tc>
          <w:tcPr>
            <w:tcW w:w="1545" w:type="dxa"/>
            <w:tcBorders>
              <w:top w:val="single" w:color="000000" w:themeColor="text1" w:sz="4" w:space="0"/>
            </w:tcBorders>
            <w:vAlign w:val="center"/>
          </w:tcPr>
          <w:p w14:paraId="709B62A7"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纯度≥99%，速溶型，100克/袋</w:t>
            </w:r>
          </w:p>
        </w:tc>
        <w:tc>
          <w:tcPr>
            <w:tcW w:w="1270" w:type="dxa"/>
            <w:tcBorders>
              <w:top w:val="single" w:color="000000" w:themeColor="text1" w:sz="4" w:space="0"/>
            </w:tcBorders>
            <w:vAlign w:val="center"/>
          </w:tcPr>
          <w:p w14:paraId="3D779197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103125</w:t>
            </w:r>
          </w:p>
        </w:tc>
        <w:tc>
          <w:tcPr>
            <w:tcW w:w="834" w:type="dxa"/>
            <w:vAlign w:val="center"/>
          </w:tcPr>
          <w:p w14:paraId="60A59F04">
            <w:pPr>
              <w:pStyle w:val="2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5F3A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4" w:hRule="atLeast"/>
        </w:trPr>
        <w:tc>
          <w:tcPr>
            <w:tcW w:w="863" w:type="dxa"/>
            <w:vAlign w:val="center"/>
          </w:tcPr>
          <w:p w14:paraId="7B1D6AA0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3060" w:type="dxa"/>
            <w:gridSpan w:val="4"/>
            <w:vAlign w:val="center"/>
          </w:tcPr>
          <w:p w14:paraId="646EE1BD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836" w:type="dxa"/>
            <w:vAlign w:val="center"/>
          </w:tcPr>
          <w:p w14:paraId="599AD81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1545" w:type="dxa"/>
            <w:vAlign w:val="center"/>
          </w:tcPr>
          <w:p w14:paraId="69ED40B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址</w:t>
            </w:r>
          </w:p>
        </w:tc>
        <w:tc>
          <w:tcPr>
            <w:tcW w:w="1270" w:type="dxa"/>
            <w:vAlign w:val="center"/>
          </w:tcPr>
          <w:p w14:paraId="68B470AA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中标金额</w:t>
            </w:r>
          </w:p>
        </w:tc>
        <w:tc>
          <w:tcPr>
            <w:tcW w:w="834" w:type="dxa"/>
            <w:vAlign w:val="center"/>
          </w:tcPr>
          <w:p w14:paraId="4B195CA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</w:tr>
      <w:tr w14:paraId="6030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29" w:hRule="atLeast"/>
        </w:trPr>
        <w:tc>
          <w:tcPr>
            <w:tcW w:w="863" w:type="dxa"/>
            <w:vMerge w:val="restart"/>
            <w:vAlign w:val="center"/>
          </w:tcPr>
          <w:p w14:paraId="7DA7B7E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YZCG-DLG2025016-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3060" w:type="dxa"/>
            <w:gridSpan w:val="4"/>
            <w:vAlign w:val="center"/>
          </w:tcPr>
          <w:p w14:paraId="33374993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禹州市农业农村局2025年中央财政资金小麦“一喷三防”采购项目第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标段</w:t>
            </w:r>
          </w:p>
        </w:tc>
        <w:tc>
          <w:tcPr>
            <w:tcW w:w="1836" w:type="dxa"/>
            <w:vAlign w:val="center"/>
          </w:tcPr>
          <w:p w14:paraId="4DB1147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河南昊宇农业科技有限公司</w:t>
            </w:r>
          </w:p>
        </w:tc>
        <w:tc>
          <w:tcPr>
            <w:tcW w:w="1545" w:type="dxa"/>
            <w:vAlign w:val="center"/>
          </w:tcPr>
          <w:p w14:paraId="203D61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河南省郑州市金水区北林路街道鑫苑路26号25号楼5层43号</w:t>
            </w:r>
          </w:p>
        </w:tc>
        <w:tc>
          <w:tcPr>
            <w:tcW w:w="1270" w:type="dxa"/>
            <w:vAlign w:val="center"/>
          </w:tcPr>
          <w:p w14:paraId="583BE018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756000.00</w:t>
            </w:r>
          </w:p>
        </w:tc>
        <w:tc>
          <w:tcPr>
            <w:tcW w:w="834" w:type="dxa"/>
            <w:vAlign w:val="center"/>
          </w:tcPr>
          <w:p w14:paraId="0C32A9C5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元</w:t>
            </w:r>
          </w:p>
        </w:tc>
      </w:tr>
      <w:tr w14:paraId="77D7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3" w:hRule="atLeast"/>
        </w:trPr>
        <w:tc>
          <w:tcPr>
            <w:tcW w:w="863" w:type="dxa"/>
            <w:vMerge w:val="continue"/>
            <w:tcBorders/>
            <w:vAlign w:val="center"/>
          </w:tcPr>
          <w:p w14:paraId="60E3179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A4DA66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95" w:type="dxa"/>
            <w:vAlign w:val="center"/>
          </w:tcPr>
          <w:p w14:paraId="11923CC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836" w:type="dxa"/>
            <w:vAlign w:val="center"/>
          </w:tcPr>
          <w:p w14:paraId="4360534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品牌（如有）</w:t>
            </w:r>
          </w:p>
        </w:tc>
        <w:tc>
          <w:tcPr>
            <w:tcW w:w="1545" w:type="dxa"/>
            <w:vAlign w:val="center"/>
          </w:tcPr>
          <w:p w14:paraId="25B95B9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规格型号</w:t>
            </w:r>
          </w:p>
        </w:tc>
        <w:tc>
          <w:tcPr>
            <w:tcW w:w="1270" w:type="dxa"/>
            <w:vAlign w:val="center"/>
          </w:tcPr>
          <w:p w14:paraId="6ABF6B5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834" w:type="dxa"/>
            <w:vAlign w:val="center"/>
          </w:tcPr>
          <w:p w14:paraId="78E0353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单价</w:t>
            </w:r>
          </w:p>
        </w:tc>
      </w:tr>
      <w:tr w14:paraId="49FC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16" w:hRule="atLeast"/>
        </w:trPr>
        <w:tc>
          <w:tcPr>
            <w:tcW w:w="863" w:type="dxa"/>
            <w:vMerge w:val="continue"/>
            <w:tcBorders/>
            <w:vAlign w:val="center"/>
          </w:tcPr>
          <w:p w14:paraId="14059BA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5E265EB0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95" w:type="dxa"/>
            <w:vAlign w:val="center"/>
          </w:tcPr>
          <w:p w14:paraId="77569BCD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40%戊唑·咪鲜胺</w:t>
            </w:r>
          </w:p>
        </w:tc>
        <w:tc>
          <w:tcPr>
            <w:tcW w:w="1836" w:type="dxa"/>
            <w:vAlign w:val="center"/>
          </w:tcPr>
          <w:p w14:paraId="027BB3DE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耕高</w:t>
            </w:r>
          </w:p>
        </w:tc>
        <w:tc>
          <w:tcPr>
            <w:tcW w:w="1545" w:type="dxa"/>
            <w:vAlign w:val="center"/>
          </w:tcPr>
          <w:p w14:paraId="02D68B47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剂型：水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  <w:t>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剂25克/袋</w:t>
            </w:r>
          </w:p>
        </w:tc>
        <w:tc>
          <w:tcPr>
            <w:tcW w:w="1270" w:type="dxa"/>
            <w:vAlign w:val="center"/>
          </w:tcPr>
          <w:p w14:paraId="4BAFC49B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92761</w:t>
            </w:r>
          </w:p>
        </w:tc>
        <w:tc>
          <w:tcPr>
            <w:tcW w:w="834" w:type="dxa"/>
            <w:vAlign w:val="center"/>
          </w:tcPr>
          <w:p w14:paraId="2DFF2B16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0E75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16" w:hRule="atLeast"/>
        </w:trPr>
        <w:tc>
          <w:tcPr>
            <w:tcW w:w="863" w:type="dxa"/>
            <w:vMerge w:val="continue"/>
            <w:tcBorders/>
            <w:vAlign w:val="center"/>
          </w:tcPr>
          <w:p w14:paraId="1B34F40B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67157C9B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95" w:type="dxa"/>
            <w:vAlign w:val="center"/>
          </w:tcPr>
          <w:p w14:paraId="7D423015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20%联苯·噻虫嗪</w:t>
            </w:r>
          </w:p>
        </w:tc>
        <w:tc>
          <w:tcPr>
            <w:tcW w:w="1836" w:type="dxa"/>
            <w:vAlign w:val="center"/>
          </w:tcPr>
          <w:p w14:paraId="49047BD5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定剿</w:t>
            </w:r>
          </w:p>
        </w:tc>
        <w:tc>
          <w:tcPr>
            <w:tcW w:w="1545" w:type="dxa"/>
            <w:vAlign w:val="center"/>
          </w:tcPr>
          <w:p w14:paraId="536AF3FA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剂型：悬浮剂8克/袋</w:t>
            </w:r>
          </w:p>
        </w:tc>
        <w:tc>
          <w:tcPr>
            <w:tcW w:w="1270" w:type="dxa"/>
            <w:vAlign w:val="center"/>
          </w:tcPr>
          <w:p w14:paraId="2A31D75D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92761</w:t>
            </w:r>
          </w:p>
        </w:tc>
        <w:tc>
          <w:tcPr>
            <w:tcW w:w="834" w:type="dxa"/>
            <w:vAlign w:val="center"/>
          </w:tcPr>
          <w:p w14:paraId="32664276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796D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16" w:hRule="atLeast"/>
        </w:trPr>
        <w:tc>
          <w:tcPr>
            <w:tcW w:w="863" w:type="dxa"/>
            <w:vMerge w:val="continue"/>
            <w:tcBorders/>
            <w:vAlign w:val="center"/>
          </w:tcPr>
          <w:p w14:paraId="4B51E286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190A95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5" w:type="dxa"/>
            <w:vAlign w:val="center"/>
          </w:tcPr>
          <w:p w14:paraId="718D7BAB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0.004%芸苔素内酯</w:t>
            </w:r>
          </w:p>
        </w:tc>
        <w:tc>
          <w:tcPr>
            <w:tcW w:w="1836" w:type="dxa"/>
            <w:vAlign w:val="center"/>
          </w:tcPr>
          <w:p w14:paraId="3307175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硕多多</w:t>
            </w:r>
          </w:p>
        </w:tc>
        <w:tc>
          <w:tcPr>
            <w:tcW w:w="1545" w:type="dxa"/>
            <w:vAlign w:val="center"/>
          </w:tcPr>
          <w:p w14:paraId="1DF88C4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剂型：可溶液剂15克/袋</w:t>
            </w:r>
          </w:p>
        </w:tc>
        <w:tc>
          <w:tcPr>
            <w:tcW w:w="1270" w:type="dxa"/>
            <w:vAlign w:val="center"/>
          </w:tcPr>
          <w:p w14:paraId="34EC15D0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92761</w:t>
            </w:r>
          </w:p>
        </w:tc>
        <w:tc>
          <w:tcPr>
            <w:tcW w:w="834" w:type="dxa"/>
            <w:vAlign w:val="center"/>
          </w:tcPr>
          <w:p w14:paraId="61ECF68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4231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9" w:hRule="atLeast"/>
        </w:trPr>
        <w:tc>
          <w:tcPr>
            <w:tcW w:w="863" w:type="dxa"/>
            <w:vMerge w:val="continue"/>
            <w:tcBorders/>
            <w:vAlign w:val="center"/>
          </w:tcPr>
          <w:p w14:paraId="4FCE9B1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5F9017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5" w:type="dxa"/>
            <w:vAlign w:val="center"/>
          </w:tcPr>
          <w:p w14:paraId="397DBC8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磷酸二氢钾</w:t>
            </w:r>
          </w:p>
        </w:tc>
        <w:tc>
          <w:tcPr>
            <w:tcW w:w="1836" w:type="dxa"/>
            <w:vAlign w:val="center"/>
          </w:tcPr>
          <w:p w14:paraId="01A621D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天利农</w:t>
            </w:r>
          </w:p>
        </w:tc>
        <w:tc>
          <w:tcPr>
            <w:tcW w:w="1545" w:type="dxa"/>
            <w:vAlign w:val="center"/>
          </w:tcPr>
          <w:p w14:paraId="4E1FFFF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纯度≥99%，速溶型，100克/袋</w:t>
            </w:r>
          </w:p>
        </w:tc>
        <w:tc>
          <w:tcPr>
            <w:tcW w:w="1270" w:type="dxa"/>
            <w:vAlign w:val="center"/>
          </w:tcPr>
          <w:p w14:paraId="67F0F3AA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  <w:p w14:paraId="1C70F5AA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92761</w:t>
            </w:r>
          </w:p>
        </w:tc>
        <w:tc>
          <w:tcPr>
            <w:tcW w:w="834" w:type="dxa"/>
            <w:vAlign w:val="center"/>
          </w:tcPr>
          <w:p w14:paraId="2431DFE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3EBE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1" w:hRule="atLeast"/>
        </w:trPr>
        <w:tc>
          <w:tcPr>
            <w:tcW w:w="863" w:type="dxa"/>
            <w:vAlign w:val="center"/>
          </w:tcPr>
          <w:p w14:paraId="58B32606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3060" w:type="dxa"/>
            <w:gridSpan w:val="4"/>
            <w:vAlign w:val="center"/>
          </w:tcPr>
          <w:p w14:paraId="07AD30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采购内容</w:t>
            </w:r>
          </w:p>
        </w:tc>
        <w:tc>
          <w:tcPr>
            <w:tcW w:w="1836" w:type="dxa"/>
            <w:vAlign w:val="center"/>
          </w:tcPr>
          <w:p w14:paraId="2BDFDEE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供应商名称</w:t>
            </w:r>
          </w:p>
        </w:tc>
        <w:tc>
          <w:tcPr>
            <w:tcW w:w="1545" w:type="dxa"/>
            <w:vAlign w:val="center"/>
          </w:tcPr>
          <w:p w14:paraId="5FF2AE3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地 址</w:t>
            </w:r>
          </w:p>
        </w:tc>
        <w:tc>
          <w:tcPr>
            <w:tcW w:w="1270" w:type="dxa"/>
            <w:vAlign w:val="center"/>
          </w:tcPr>
          <w:p w14:paraId="33B5102F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中标金额</w:t>
            </w:r>
          </w:p>
        </w:tc>
        <w:tc>
          <w:tcPr>
            <w:tcW w:w="834" w:type="dxa"/>
            <w:vAlign w:val="center"/>
          </w:tcPr>
          <w:p w14:paraId="77F226A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单位</w:t>
            </w:r>
          </w:p>
        </w:tc>
      </w:tr>
      <w:tr w14:paraId="2174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17" w:hRule="atLeast"/>
        </w:trPr>
        <w:tc>
          <w:tcPr>
            <w:tcW w:w="863" w:type="dxa"/>
            <w:vMerge w:val="restart"/>
            <w:vAlign w:val="center"/>
          </w:tcPr>
          <w:p w14:paraId="4373AB6C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YZCG-DLG2025016-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3060" w:type="dxa"/>
            <w:gridSpan w:val="4"/>
            <w:vAlign w:val="center"/>
          </w:tcPr>
          <w:p w14:paraId="7AB3FDE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禹州市农业农村局2023年农作物重大病虫害防控项目第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标段</w:t>
            </w:r>
          </w:p>
        </w:tc>
        <w:tc>
          <w:tcPr>
            <w:tcW w:w="1836" w:type="dxa"/>
            <w:vAlign w:val="center"/>
          </w:tcPr>
          <w:p w14:paraId="284DDB9D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河南省岑创农业科技有限公司</w:t>
            </w:r>
          </w:p>
        </w:tc>
        <w:tc>
          <w:tcPr>
            <w:tcW w:w="1545" w:type="dxa"/>
            <w:vAlign w:val="center"/>
          </w:tcPr>
          <w:p w14:paraId="20B9FF1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河南省开封市龙亭区开柳路私房院南街238号</w:t>
            </w:r>
          </w:p>
        </w:tc>
        <w:tc>
          <w:tcPr>
            <w:tcW w:w="1270" w:type="dxa"/>
            <w:vAlign w:val="center"/>
          </w:tcPr>
          <w:p w14:paraId="26404C1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754000.00</w:t>
            </w:r>
          </w:p>
          <w:p w14:paraId="28744F4D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</w:p>
        </w:tc>
        <w:tc>
          <w:tcPr>
            <w:tcW w:w="834" w:type="dxa"/>
            <w:vAlign w:val="center"/>
          </w:tcPr>
          <w:p w14:paraId="7D8C44C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 w14:paraId="2BCF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77" w:hRule="atLeast"/>
        </w:trPr>
        <w:tc>
          <w:tcPr>
            <w:tcW w:w="863" w:type="dxa"/>
            <w:vMerge w:val="continue"/>
            <w:vAlign w:val="center"/>
          </w:tcPr>
          <w:p w14:paraId="5550196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B4F51C0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495" w:type="dxa"/>
            <w:vAlign w:val="center"/>
          </w:tcPr>
          <w:p w14:paraId="63538EF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1836" w:type="dxa"/>
            <w:vAlign w:val="center"/>
          </w:tcPr>
          <w:p w14:paraId="183A302C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品牌（如有）</w:t>
            </w:r>
          </w:p>
        </w:tc>
        <w:tc>
          <w:tcPr>
            <w:tcW w:w="1545" w:type="dxa"/>
            <w:vAlign w:val="center"/>
          </w:tcPr>
          <w:p w14:paraId="39285D9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270" w:type="dxa"/>
            <w:vAlign w:val="center"/>
          </w:tcPr>
          <w:p w14:paraId="10C286CB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4" w:type="dxa"/>
            <w:vAlign w:val="center"/>
          </w:tcPr>
          <w:p w14:paraId="50D3E69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单价</w:t>
            </w:r>
          </w:p>
        </w:tc>
      </w:tr>
      <w:tr w14:paraId="2045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3" w:type="dxa"/>
            <w:vMerge w:val="restart"/>
            <w:vAlign w:val="center"/>
          </w:tcPr>
          <w:p w14:paraId="4916F08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17365B12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</w:t>
            </w:r>
          </w:p>
        </w:tc>
        <w:tc>
          <w:tcPr>
            <w:tcW w:w="2495" w:type="dxa"/>
            <w:vAlign w:val="center"/>
          </w:tcPr>
          <w:p w14:paraId="7A1122E7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40%唑醚·戊唑醇</w:t>
            </w:r>
          </w:p>
        </w:tc>
        <w:tc>
          <w:tcPr>
            <w:tcW w:w="1836" w:type="dxa"/>
            <w:vAlign w:val="center"/>
          </w:tcPr>
          <w:p w14:paraId="31C96E98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鼎艳</w:t>
            </w:r>
          </w:p>
        </w:tc>
        <w:tc>
          <w:tcPr>
            <w:tcW w:w="1545" w:type="dxa"/>
            <w:vAlign w:val="center"/>
          </w:tcPr>
          <w:p w14:paraId="4AB99CB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剂型：悬浮剂20克/袋</w:t>
            </w:r>
          </w:p>
        </w:tc>
        <w:tc>
          <w:tcPr>
            <w:tcW w:w="1270" w:type="dxa"/>
            <w:vAlign w:val="center"/>
          </w:tcPr>
          <w:p w14:paraId="04802291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91400</w:t>
            </w:r>
          </w:p>
        </w:tc>
        <w:tc>
          <w:tcPr>
            <w:tcW w:w="834" w:type="dxa"/>
            <w:vAlign w:val="center"/>
          </w:tcPr>
          <w:p w14:paraId="7383B1FE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4A88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3" w:type="dxa"/>
            <w:vMerge w:val="continue"/>
            <w:vAlign w:val="center"/>
          </w:tcPr>
          <w:p w14:paraId="76C27A00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7C3000C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495" w:type="dxa"/>
            <w:vAlign w:val="center"/>
          </w:tcPr>
          <w:p w14:paraId="41E565C5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15%噻虫·高氯氟</w:t>
            </w:r>
          </w:p>
        </w:tc>
        <w:tc>
          <w:tcPr>
            <w:tcW w:w="1836" w:type="dxa"/>
            <w:vAlign w:val="center"/>
          </w:tcPr>
          <w:p w14:paraId="415F42B8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冷刺</w:t>
            </w:r>
          </w:p>
        </w:tc>
        <w:tc>
          <w:tcPr>
            <w:tcW w:w="1545" w:type="dxa"/>
            <w:vAlign w:val="center"/>
          </w:tcPr>
          <w:p w14:paraId="36A34976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剂型：悬浮剂10克/袋</w:t>
            </w:r>
          </w:p>
        </w:tc>
        <w:tc>
          <w:tcPr>
            <w:tcW w:w="1270" w:type="dxa"/>
            <w:vAlign w:val="center"/>
          </w:tcPr>
          <w:p w14:paraId="3A0C02A1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91984</w:t>
            </w:r>
          </w:p>
        </w:tc>
        <w:tc>
          <w:tcPr>
            <w:tcW w:w="834" w:type="dxa"/>
            <w:vAlign w:val="center"/>
          </w:tcPr>
          <w:p w14:paraId="603F9227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5F34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3" w:type="dxa"/>
            <w:vMerge w:val="continue"/>
            <w:vAlign w:val="center"/>
          </w:tcPr>
          <w:p w14:paraId="1583FAEE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20F4527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495" w:type="dxa"/>
            <w:vAlign w:val="center"/>
          </w:tcPr>
          <w:p w14:paraId="0DBA85D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0.01%24-表芸苔素内酯</w:t>
            </w:r>
          </w:p>
        </w:tc>
        <w:tc>
          <w:tcPr>
            <w:tcW w:w="1836" w:type="dxa"/>
            <w:vAlign w:val="center"/>
          </w:tcPr>
          <w:p w14:paraId="31DD2E6A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朴乐美</w:t>
            </w:r>
          </w:p>
        </w:tc>
        <w:tc>
          <w:tcPr>
            <w:tcW w:w="1545" w:type="dxa"/>
            <w:vAlign w:val="center"/>
          </w:tcPr>
          <w:p w14:paraId="650917A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剂型：可溶液剂10毫升/袋</w:t>
            </w:r>
          </w:p>
        </w:tc>
        <w:tc>
          <w:tcPr>
            <w:tcW w:w="1270" w:type="dxa"/>
            <w:vAlign w:val="center"/>
          </w:tcPr>
          <w:p w14:paraId="70E40BFB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91400</w:t>
            </w:r>
          </w:p>
        </w:tc>
        <w:tc>
          <w:tcPr>
            <w:tcW w:w="834" w:type="dxa"/>
            <w:vAlign w:val="center"/>
          </w:tcPr>
          <w:p w14:paraId="1B6F4B34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  <w:tr w14:paraId="24BE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3" w:type="dxa"/>
            <w:vMerge w:val="continue"/>
            <w:vAlign w:val="center"/>
          </w:tcPr>
          <w:p w14:paraId="3F853508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3B3B87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495" w:type="dxa"/>
            <w:vAlign w:val="center"/>
          </w:tcPr>
          <w:p w14:paraId="0F89CFBB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磷酸二氢钾</w:t>
            </w:r>
          </w:p>
        </w:tc>
        <w:tc>
          <w:tcPr>
            <w:tcW w:w="1836" w:type="dxa"/>
            <w:vAlign w:val="center"/>
          </w:tcPr>
          <w:p w14:paraId="34E2BBCF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天利农</w:t>
            </w:r>
          </w:p>
        </w:tc>
        <w:tc>
          <w:tcPr>
            <w:tcW w:w="1545" w:type="dxa"/>
            <w:vAlign w:val="center"/>
          </w:tcPr>
          <w:p w14:paraId="1AC023F1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纯度≥99%，速溶型，100克/袋</w:t>
            </w:r>
          </w:p>
        </w:tc>
        <w:tc>
          <w:tcPr>
            <w:tcW w:w="1270" w:type="dxa"/>
            <w:vAlign w:val="center"/>
          </w:tcPr>
          <w:p w14:paraId="5847A0A2">
            <w:pPr>
              <w:spacing w:line="240" w:lineRule="auto"/>
              <w:ind w:left="0" w:firstLine="105" w:firstLineChars="5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91400</w:t>
            </w:r>
          </w:p>
        </w:tc>
        <w:tc>
          <w:tcPr>
            <w:tcW w:w="834" w:type="dxa"/>
            <w:vAlign w:val="center"/>
          </w:tcPr>
          <w:p w14:paraId="3491B7CC">
            <w:pPr>
              <w:spacing w:line="240" w:lineRule="auto"/>
              <w:ind w:left="0"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详见附件</w:t>
            </w:r>
          </w:p>
        </w:tc>
      </w:tr>
    </w:tbl>
    <w:p w14:paraId="2919063D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评审专家名单</w:t>
      </w:r>
    </w:p>
    <w:p w14:paraId="3933729D">
      <w:pPr>
        <w:pStyle w:val="6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余国河、罗星霞、李志源、马红平、王凤阳</w:t>
      </w:r>
    </w:p>
    <w:p w14:paraId="568E6C38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、代理服务收费标准及金额</w:t>
      </w:r>
    </w:p>
    <w:p w14:paraId="6CC4C834">
      <w:pPr>
        <w:pStyle w:val="11"/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收费标准：豫招协〔2023〕002《河南省招标代理服务收费指导意见》收取，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中标人支付。</w:t>
      </w:r>
      <w:bookmarkStart w:id="2" w:name="_GoBack"/>
      <w:bookmarkEnd w:id="2"/>
    </w:p>
    <w:p w14:paraId="43B873E7">
      <w:pPr>
        <w:pStyle w:val="11"/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收费金额：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60460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 w14:paraId="710C9CDD"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、成交公告发布的媒介及成交公告期限</w:t>
      </w:r>
    </w:p>
    <w:p w14:paraId="191B09CD"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本次中标公告在《河南省政府采购网》《许昌市政府采购网》《全国公共资源交易平台（河南省·许昌市）》上发布，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公告期限为1个工作日 。</w:t>
      </w:r>
    </w:p>
    <w:p w14:paraId="25FCD0D1">
      <w:pPr>
        <w:pStyle w:val="11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</w:p>
    <w:p w14:paraId="4E8511C4">
      <w:pPr>
        <w:ind w:left="316" w:leftChars="113"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中标结果有异议的，可以在中标结果公告期限届满之日起7个工作日内，以书面形式向采购人或采购代理机构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 w14:paraId="3F0ADF09">
      <w:pPr>
        <w:ind w:left="316" w:leftChars="113"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受理部门：禹州市财政局政府采购监督管理办公室 </w:t>
      </w:r>
    </w:p>
    <w:p w14:paraId="1EB348D9">
      <w:pPr>
        <w:ind w:left="316" w:leftChars="113"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受理电话：0374-8112523 </w:t>
      </w:r>
    </w:p>
    <w:p w14:paraId="602E3CC0">
      <w:pPr>
        <w:ind w:left="316" w:leftChars="113"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电子邮箱：yzscgb8112523@163.com </w:t>
      </w:r>
    </w:p>
    <w:p w14:paraId="60828180">
      <w:pPr>
        <w:ind w:left="316" w:leftChars="113"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地址：禹州市行政北路2号禹州市财政局1305房间</w:t>
      </w:r>
    </w:p>
    <w:p w14:paraId="5D3772D9">
      <w:pPr>
        <w:pStyle w:val="11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、凡对本次公告内容提出询问，请按以下方式联系</w:t>
      </w:r>
    </w:p>
    <w:p w14:paraId="2A62BCE1">
      <w:pPr>
        <w:ind w:firstLine="24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采购人信息：</w:t>
      </w:r>
    </w:p>
    <w:p w14:paraId="715ADB6C">
      <w:pPr>
        <w:ind w:firstLine="24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采购单位：禹州市农业农村局</w:t>
      </w:r>
    </w:p>
    <w:p w14:paraId="129C5000">
      <w:pPr>
        <w:ind w:firstLine="24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地  址：禹州市禹王大道29号</w:t>
      </w:r>
    </w:p>
    <w:p w14:paraId="7A083839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联系人：张女士</w:t>
      </w:r>
    </w:p>
    <w:p w14:paraId="42775650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联系电话：0374-8609623</w:t>
      </w:r>
    </w:p>
    <w:p w14:paraId="3066BCF4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2.采购代理机构信息（如有）：</w:t>
      </w:r>
    </w:p>
    <w:p w14:paraId="0EE21E9C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称：陕西方得项目管理有限公司</w:t>
      </w:r>
    </w:p>
    <w:p w14:paraId="621488F4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址：禹州市禹王广场东门F6-327</w:t>
      </w:r>
    </w:p>
    <w:p w14:paraId="66AACF95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联系人：韩女士          </w:t>
      </w:r>
    </w:p>
    <w:p w14:paraId="493AA93F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联系电话：18939113943</w:t>
      </w:r>
    </w:p>
    <w:p w14:paraId="339FB741">
      <w:pPr>
        <w:pStyle w:val="11"/>
        <w:ind w:left="0" w:firstLine="600" w:firstLine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7BC3416F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项目联系人：韩女士 </w:t>
      </w:r>
    </w:p>
    <w:p w14:paraId="00901AA6">
      <w:pPr>
        <w:ind w:firstLine="2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联系方式：18939113943</w:t>
      </w:r>
    </w:p>
    <w:bookmarkEnd w:id="0"/>
    <w:bookmarkEnd w:id="1"/>
    <w:p w14:paraId="2BF02079">
      <w:pPr>
        <w:ind w:firstLine="240"/>
        <w:rPr>
          <w:sz w:val="24"/>
        </w:rPr>
      </w:pPr>
    </w:p>
    <w:sectPr>
      <w:pgSz w:w="11906" w:h="16838"/>
      <w:pgMar w:top="1723" w:right="1480" w:bottom="1723" w:left="14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wOGVkNTVhMTFjODVjZGYxOWYyYjY3ODM3ZjFkZmQifQ=="/>
  </w:docVars>
  <w:rsids>
    <w:rsidRoot w:val="136E65F7"/>
    <w:rsid w:val="00001ACF"/>
    <w:rsid w:val="00013AAA"/>
    <w:rsid w:val="00021514"/>
    <w:rsid w:val="000241DE"/>
    <w:rsid w:val="00024BA5"/>
    <w:rsid w:val="00051518"/>
    <w:rsid w:val="0007600C"/>
    <w:rsid w:val="00095A90"/>
    <w:rsid w:val="000972B7"/>
    <w:rsid w:val="00097D83"/>
    <w:rsid w:val="000A2870"/>
    <w:rsid w:val="000A2C34"/>
    <w:rsid w:val="000A377E"/>
    <w:rsid w:val="000A7AF1"/>
    <w:rsid w:val="000B2645"/>
    <w:rsid w:val="000C18A7"/>
    <w:rsid w:val="000C5C19"/>
    <w:rsid w:val="000D2615"/>
    <w:rsid w:val="000D43C7"/>
    <w:rsid w:val="000E0623"/>
    <w:rsid w:val="000F5217"/>
    <w:rsid w:val="001069A8"/>
    <w:rsid w:val="001257B7"/>
    <w:rsid w:val="00130823"/>
    <w:rsid w:val="00135FA4"/>
    <w:rsid w:val="00172196"/>
    <w:rsid w:val="00182D6A"/>
    <w:rsid w:val="001900A9"/>
    <w:rsid w:val="001972DD"/>
    <w:rsid w:val="001A5C90"/>
    <w:rsid w:val="001B2147"/>
    <w:rsid w:val="001B413D"/>
    <w:rsid w:val="001B75FA"/>
    <w:rsid w:val="001C725F"/>
    <w:rsid w:val="001D5FBB"/>
    <w:rsid w:val="001F3798"/>
    <w:rsid w:val="0022662A"/>
    <w:rsid w:val="002402C8"/>
    <w:rsid w:val="00257769"/>
    <w:rsid w:val="0029233D"/>
    <w:rsid w:val="002B453B"/>
    <w:rsid w:val="002C16BB"/>
    <w:rsid w:val="002D2C21"/>
    <w:rsid w:val="002E1C2C"/>
    <w:rsid w:val="00300D1C"/>
    <w:rsid w:val="003103D0"/>
    <w:rsid w:val="00312293"/>
    <w:rsid w:val="003246B9"/>
    <w:rsid w:val="00362BF6"/>
    <w:rsid w:val="00365794"/>
    <w:rsid w:val="003713B9"/>
    <w:rsid w:val="00382634"/>
    <w:rsid w:val="0039164D"/>
    <w:rsid w:val="003A7060"/>
    <w:rsid w:val="003B5A2F"/>
    <w:rsid w:val="003D7DF9"/>
    <w:rsid w:val="00436E81"/>
    <w:rsid w:val="0044528B"/>
    <w:rsid w:val="00447DB7"/>
    <w:rsid w:val="00481B90"/>
    <w:rsid w:val="004B2483"/>
    <w:rsid w:val="004D5DA8"/>
    <w:rsid w:val="004E4027"/>
    <w:rsid w:val="004E48A3"/>
    <w:rsid w:val="004E5093"/>
    <w:rsid w:val="005043C9"/>
    <w:rsid w:val="00517941"/>
    <w:rsid w:val="0056073C"/>
    <w:rsid w:val="0057483F"/>
    <w:rsid w:val="00586295"/>
    <w:rsid w:val="005937FA"/>
    <w:rsid w:val="00593D7F"/>
    <w:rsid w:val="005E7271"/>
    <w:rsid w:val="00611C8E"/>
    <w:rsid w:val="00632971"/>
    <w:rsid w:val="0063693B"/>
    <w:rsid w:val="00664633"/>
    <w:rsid w:val="00692AA5"/>
    <w:rsid w:val="006B725E"/>
    <w:rsid w:val="006D15C0"/>
    <w:rsid w:val="006D2881"/>
    <w:rsid w:val="006E2410"/>
    <w:rsid w:val="00721283"/>
    <w:rsid w:val="007478E8"/>
    <w:rsid w:val="00773FFC"/>
    <w:rsid w:val="00774647"/>
    <w:rsid w:val="00781D29"/>
    <w:rsid w:val="007A209B"/>
    <w:rsid w:val="007B5B20"/>
    <w:rsid w:val="007C3D17"/>
    <w:rsid w:val="007C6285"/>
    <w:rsid w:val="007D25DE"/>
    <w:rsid w:val="00802673"/>
    <w:rsid w:val="00814E24"/>
    <w:rsid w:val="00820EC6"/>
    <w:rsid w:val="00827478"/>
    <w:rsid w:val="008314D7"/>
    <w:rsid w:val="00831E1C"/>
    <w:rsid w:val="008332E6"/>
    <w:rsid w:val="00850AEE"/>
    <w:rsid w:val="00856F55"/>
    <w:rsid w:val="008613B0"/>
    <w:rsid w:val="008642A1"/>
    <w:rsid w:val="00887F5C"/>
    <w:rsid w:val="008974FE"/>
    <w:rsid w:val="008A019E"/>
    <w:rsid w:val="008A4D33"/>
    <w:rsid w:val="008B4082"/>
    <w:rsid w:val="008C2547"/>
    <w:rsid w:val="008C51BB"/>
    <w:rsid w:val="008D02EA"/>
    <w:rsid w:val="008D0EC3"/>
    <w:rsid w:val="00936276"/>
    <w:rsid w:val="009364CC"/>
    <w:rsid w:val="009524E9"/>
    <w:rsid w:val="009718A5"/>
    <w:rsid w:val="00990F77"/>
    <w:rsid w:val="00993022"/>
    <w:rsid w:val="00996202"/>
    <w:rsid w:val="009B0F6A"/>
    <w:rsid w:val="009B63C0"/>
    <w:rsid w:val="009C089A"/>
    <w:rsid w:val="009E3649"/>
    <w:rsid w:val="00A40DDF"/>
    <w:rsid w:val="00A504E3"/>
    <w:rsid w:val="00A516E1"/>
    <w:rsid w:val="00A528CE"/>
    <w:rsid w:val="00A63247"/>
    <w:rsid w:val="00A643AD"/>
    <w:rsid w:val="00A70B32"/>
    <w:rsid w:val="00A70CC0"/>
    <w:rsid w:val="00A815E5"/>
    <w:rsid w:val="00A83135"/>
    <w:rsid w:val="00A85ABF"/>
    <w:rsid w:val="00A85D2D"/>
    <w:rsid w:val="00A866EF"/>
    <w:rsid w:val="00A97945"/>
    <w:rsid w:val="00AB184F"/>
    <w:rsid w:val="00AC74DD"/>
    <w:rsid w:val="00AD3556"/>
    <w:rsid w:val="00AE1510"/>
    <w:rsid w:val="00B019B6"/>
    <w:rsid w:val="00B07CF5"/>
    <w:rsid w:val="00B1330C"/>
    <w:rsid w:val="00B1775F"/>
    <w:rsid w:val="00B50EA0"/>
    <w:rsid w:val="00B6710C"/>
    <w:rsid w:val="00B717A5"/>
    <w:rsid w:val="00B83AF9"/>
    <w:rsid w:val="00B855CA"/>
    <w:rsid w:val="00BA7675"/>
    <w:rsid w:val="00BF23BD"/>
    <w:rsid w:val="00C06A9B"/>
    <w:rsid w:val="00C12126"/>
    <w:rsid w:val="00C14655"/>
    <w:rsid w:val="00C21569"/>
    <w:rsid w:val="00C25521"/>
    <w:rsid w:val="00C25B1F"/>
    <w:rsid w:val="00C46AB6"/>
    <w:rsid w:val="00C72F58"/>
    <w:rsid w:val="00C7320C"/>
    <w:rsid w:val="00C8403B"/>
    <w:rsid w:val="00C84D81"/>
    <w:rsid w:val="00C90D98"/>
    <w:rsid w:val="00C92BDA"/>
    <w:rsid w:val="00CA0FFA"/>
    <w:rsid w:val="00CA1CDA"/>
    <w:rsid w:val="00CB14A9"/>
    <w:rsid w:val="00CB405D"/>
    <w:rsid w:val="00CE2626"/>
    <w:rsid w:val="00CE5FB8"/>
    <w:rsid w:val="00D041EE"/>
    <w:rsid w:val="00D05F8D"/>
    <w:rsid w:val="00D104DE"/>
    <w:rsid w:val="00D45368"/>
    <w:rsid w:val="00D4674E"/>
    <w:rsid w:val="00D73169"/>
    <w:rsid w:val="00D85E62"/>
    <w:rsid w:val="00DB4DE7"/>
    <w:rsid w:val="00DD4EF9"/>
    <w:rsid w:val="00E047BA"/>
    <w:rsid w:val="00E27884"/>
    <w:rsid w:val="00E45864"/>
    <w:rsid w:val="00E50CAF"/>
    <w:rsid w:val="00E64E1C"/>
    <w:rsid w:val="00E90D88"/>
    <w:rsid w:val="00EA4A12"/>
    <w:rsid w:val="00EB21C5"/>
    <w:rsid w:val="00EB45FC"/>
    <w:rsid w:val="00EC0055"/>
    <w:rsid w:val="00EC2AE9"/>
    <w:rsid w:val="00EC2EE4"/>
    <w:rsid w:val="00EC33F0"/>
    <w:rsid w:val="00ED573A"/>
    <w:rsid w:val="00EF70FD"/>
    <w:rsid w:val="00F1194B"/>
    <w:rsid w:val="00F11F99"/>
    <w:rsid w:val="00F1606D"/>
    <w:rsid w:val="00F46D04"/>
    <w:rsid w:val="00F557BF"/>
    <w:rsid w:val="00F56D0A"/>
    <w:rsid w:val="00F57170"/>
    <w:rsid w:val="00F60DED"/>
    <w:rsid w:val="00F63311"/>
    <w:rsid w:val="00F97299"/>
    <w:rsid w:val="00FA4B06"/>
    <w:rsid w:val="00FE0E01"/>
    <w:rsid w:val="00FF6F5C"/>
    <w:rsid w:val="011E5A3C"/>
    <w:rsid w:val="01672235"/>
    <w:rsid w:val="020B32A9"/>
    <w:rsid w:val="026E539F"/>
    <w:rsid w:val="03D472D2"/>
    <w:rsid w:val="04545A49"/>
    <w:rsid w:val="05917228"/>
    <w:rsid w:val="06D410AF"/>
    <w:rsid w:val="07555167"/>
    <w:rsid w:val="07CF5E23"/>
    <w:rsid w:val="093D6860"/>
    <w:rsid w:val="0A485BAF"/>
    <w:rsid w:val="0AD263B1"/>
    <w:rsid w:val="0C0A7D34"/>
    <w:rsid w:val="0CA676EE"/>
    <w:rsid w:val="0D6541C8"/>
    <w:rsid w:val="0DC45CC1"/>
    <w:rsid w:val="0E26251D"/>
    <w:rsid w:val="102E52B6"/>
    <w:rsid w:val="10325C08"/>
    <w:rsid w:val="136E65F7"/>
    <w:rsid w:val="159412EC"/>
    <w:rsid w:val="15A6246D"/>
    <w:rsid w:val="17A26C7E"/>
    <w:rsid w:val="18AB0F83"/>
    <w:rsid w:val="19BF5A2A"/>
    <w:rsid w:val="1A6C3DD2"/>
    <w:rsid w:val="1ACB4B33"/>
    <w:rsid w:val="1E154CA3"/>
    <w:rsid w:val="1E5A6B6E"/>
    <w:rsid w:val="1EA44993"/>
    <w:rsid w:val="207277FE"/>
    <w:rsid w:val="21C54044"/>
    <w:rsid w:val="22222E58"/>
    <w:rsid w:val="22E03145"/>
    <w:rsid w:val="243D558A"/>
    <w:rsid w:val="24412949"/>
    <w:rsid w:val="265A593B"/>
    <w:rsid w:val="267208F7"/>
    <w:rsid w:val="28724840"/>
    <w:rsid w:val="28CF69E4"/>
    <w:rsid w:val="29003BF9"/>
    <w:rsid w:val="29FD0873"/>
    <w:rsid w:val="2ACA0963"/>
    <w:rsid w:val="2B91392E"/>
    <w:rsid w:val="30700E2A"/>
    <w:rsid w:val="33BB643E"/>
    <w:rsid w:val="34F372A7"/>
    <w:rsid w:val="38507FCD"/>
    <w:rsid w:val="39F82C61"/>
    <w:rsid w:val="3A65711D"/>
    <w:rsid w:val="3CC21EF3"/>
    <w:rsid w:val="3E0F0E31"/>
    <w:rsid w:val="40A62FAE"/>
    <w:rsid w:val="40B90E06"/>
    <w:rsid w:val="42FA5354"/>
    <w:rsid w:val="43380CCD"/>
    <w:rsid w:val="475709EC"/>
    <w:rsid w:val="4BDF5841"/>
    <w:rsid w:val="4C33399A"/>
    <w:rsid w:val="4C742085"/>
    <w:rsid w:val="4C943C4B"/>
    <w:rsid w:val="50590FB2"/>
    <w:rsid w:val="516C5A20"/>
    <w:rsid w:val="52727C9E"/>
    <w:rsid w:val="56EE2879"/>
    <w:rsid w:val="59AF294E"/>
    <w:rsid w:val="5C076A71"/>
    <w:rsid w:val="5C0E6052"/>
    <w:rsid w:val="5CB251FD"/>
    <w:rsid w:val="5D1E10AA"/>
    <w:rsid w:val="613A4CBF"/>
    <w:rsid w:val="62083543"/>
    <w:rsid w:val="669817A1"/>
    <w:rsid w:val="66BE07BA"/>
    <w:rsid w:val="689618A9"/>
    <w:rsid w:val="69577A54"/>
    <w:rsid w:val="699A7177"/>
    <w:rsid w:val="69C42446"/>
    <w:rsid w:val="69D81A4D"/>
    <w:rsid w:val="6D6018E4"/>
    <w:rsid w:val="6FCE08D2"/>
    <w:rsid w:val="70692AA5"/>
    <w:rsid w:val="72BD7D18"/>
    <w:rsid w:val="73C41D2F"/>
    <w:rsid w:val="73F14A9B"/>
    <w:rsid w:val="74F5575B"/>
    <w:rsid w:val="768A2210"/>
    <w:rsid w:val="7703363F"/>
    <w:rsid w:val="778D7399"/>
    <w:rsid w:val="7B1202FA"/>
    <w:rsid w:val="7D571A5C"/>
    <w:rsid w:val="7E634081"/>
    <w:rsid w:val="7E8A7BFA"/>
    <w:rsid w:val="7EDC05A2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ordWrap w:val="0"/>
      <w:spacing w:line="360" w:lineRule="auto"/>
      <w:ind w:left="315"/>
    </w:pPr>
    <w:rPr>
      <w:rFonts w:cs="Times New Roman" w:asciiTheme="minorEastAsia" w:hAnsiTheme="minorEastAsia" w:eastAsiaTheme="minorEastAsia"/>
      <w:sz w:val="28"/>
      <w:szCs w:val="28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Body Text 2"/>
    <w:basedOn w:val="1"/>
    <w:next w:val="2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4">
    <w:name w:val="Normal Indent"/>
    <w:basedOn w:val="1"/>
    <w:autoRedefine/>
    <w:qFormat/>
    <w:uiPriority w:val="99"/>
    <w:pPr>
      <w:ind w:firstLine="425"/>
    </w:pPr>
  </w:style>
  <w:style w:type="paragraph" w:styleId="5">
    <w:name w:val="Body Text Indent"/>
    <w:basedOn w:val="1"/>
    <w:next w:val="6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sz w:val="24"/>
    </w:rPr>
  </w:style>
  <w:style w:type="paragraph" w:styleId="6">
    <w:name w:val="Body Text First Indent 2"/>
    <w:basedOn w:val="5"/>
    <w:next w:val="7"/>
    <w:autoRedefine/>
    <w:unhideWhenUsed/>
    <w:qFormat/>
    <w:uiPriority w:val="99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7">
    <w:name w:val="Date"/>
    <w:basedOn w:val="1"/>
    <w:next w:val="1"/>
    <w:autoRedefine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30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autoRedefine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semiHidden/>
    <w:unhideWhenUsed/>
    <w:qFormat/>
    <w:uiPriority w:val="0"/>
    <w:rPr>
      <w:color w:val="000000"/>
      <w:u w:val="none"/>
    </w:rPr>
  </w:style>
  <w:style w:type="character" w:styleId="16">
    <w:name w:val="Emphasis"/>
    <w:basedOn w:val="14"/>
    <w:autoRedefine/>
    <w:qFormat/>
    <w:uiPriority w:val="0"/>
  </w:style>
  <w:style w:type="character" w:styleId="17">
    <w:name w:val="HTML Definition"/>
    <w:basedOn w:val="14"/>
    <w:semiHidden/>
    <w:unhideWhenUsed/>
    <w:qFormat/>
    <w:uiPriority w:val="0"/>
  </w:style>
  <w:style w:type="character" w:styleId="18">
    <w:name w:val="HTML Typewriter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4"/>
    <w:semiHidden/>
    <w:unhideWhenUsed/>
    <w:qFormat/>
    <w:uiPriority w:val="0"/>
  </w:style>
  <w:style w:type="character" w:styleId="20">
    <w:name w:val="HTML Variable"/>
    <w:basedOn w:val="14"/>
    <w:semiHidden/>
    <w:unhideWhenUsed/>
    <w:qFormat/>
    <w:uiPriority w:val="0"/>
  </w:style>
  <w:style w:type="character" w:styleId="21">
    <w:name w:val="Hyperlink"/>
    <w:basedOn w:val="14"/>
    <w:autoRedefine/>
    <w:unhideWhenUsed/>
    <w:qFormat/>
    <w:uiPriority w:val="0"/>
    <w:rPr>
      <w:color w:val="0563C1" w:themeColor="hyperlink"/>
      <w:u w:val="single"/>
    </w:rPr>
  </w:style>
  <w:style w:type="character" w:styleId="22">
    <w:name w:val="HTML Code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4"/>
    <w:semiHidden/>
    <w:unhideWhenUsed/>
    <w:qFormat/>
    <w:uiPriority w:val="0"/>
  </w:style>
  <w:style w:type="character" w:styleId="24">
    <w:name w:val="HTML Keyboard"/>
    <w:basedOn w:val="14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4"/>
    <w:semiHidden/>
    <w:unhideWhenUsed/>
    <w:qFormat/>
    <w:uiPriority w:val="0"/>
    <w:rPr>
      <w:rFonts w:ascii="monospace" w:hAnsi="monospace" w:eastAsia="monospace" w:cs="monospace"/>
    </w:rPr>
  </w:style>
  <w:style w:type="paragraph" w:customStyle="1" w:styleId="2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character" w:customStyle="1" w:styleId="29">
    <w:name w:val="页眉 Char"/>
    <w:basedOn w:val="14"/>
    <w:link w:val="9"/>
    <w:autoRedefine/>
    <w:qFormat/>
    <w:uiPriority w:val="0"/>
    <w:rPr>
      <w:kern w:val="2"/>
      <w:sz w:val="18"/>
      <w:szCs w:val="18"/>
    </w:rPr>
  </w:style>
  <w:style w:type="character" w:customStyle="1" w:styleId="30">
    <w:name w:val="页脚 Char"/>
    <w:basedOn w:val="14"/>
    <w:link w:val="8"/>
    <w:autoRedefine/>
    <w:qFormat/>
    <w:uiPriority w:val="0"/>
    <w:rPr>
      <w:kern w:val="2"/>
      <w:sz w:val="18"/>
      <w:szCs w:val="18"/>
    </w:rPr>
  </w:style>
  <w:style w:type="character" w:customStyle="1" w:styleId="31">
    <w:name w:val="green"/>
    <w:basedOn w:val="14"/>
    <w:autoRedefine/>
    <w:qFormat/>
    <w:uiPriority w:val="0"/>
    <w:rPr>
      <w:color w:val="66AE00"/>
      <w:sz w:val="18"/>
      <w:szCs w:val="18"/>
    </w:rPr>
  </w:style>
  <w:style w:type="character" w:customStyle="1" w:styleId="32">
    <w:name w:val="green1"/>
    <w:basedOn w:val="14"/>
    <w:autoRedefine/>
    <w:qFormat/>
    <w:uiPriority w:val="0"/>
    <w:rPr>
      <w:color w:val="66AE00"/>
      <w:sz w:val="18"/>
      <w:szCs w:val="18"/>
    </w:rPr>
  </w:style>
  <w:style w:type="character" w:customStyle="1" w:styleId="33">
    <w:name w:val="hover"/>
    <w:basedOn w:val="14"/>
    <w:autoRedefine/>
    <w:qFormat/>
    <w:uiPriority w:val="0"/>
  </w:style>
  <w:style w:type="character" w:customStyle="1" w:styleId="34">
    <w:name w:val="active"/>
    <w:basedOn w:val="14"/>
    <w:autoRedefine/>
    <w:qFormat/>
    <w:uiPriority w:val="0"/>
    <w:rPr>
      <w:color w:val="FFFFFF"/>
      <w:shd w:val="clear" w:color="auto" w:fill="2B7AFC"/>
    </w:rPr>
  </w:style>
  <w:style w:type="character" w:customStyle="1" w:styleId="35">
    <w:name w:val="red4"/>
    <w:basedOn w:val="14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5"/>
    <w:basedOn w:val="14"/>
    <w:autoRedefine/>
    <w:qFormat/>
    <w:uiPriority w:val="0"/>
    <w:rPr>
      <w:color w:val="FF0000"/>
      <w:sz w:val="18"/>
      <w:szCs w:val="18"/>
    </w:rPr>
  </w:style>
  <w:style w:type="character" w:customStyle="1" w:styleId="37">
    <w:name w:val="red6"/>
    <w:basedOn w:val="14"/>
    <w:autoRedefine/>
    <w:qFormat/>
    <w:uiPriority w:val="0"/>
    <w:rPr>
      <w:color w:val="CC0000"/>
    </w:rPr>
  </w:style>
  <w:style w:type="character" w:customStyle="1" w:styleId="38">
    <w:name w:val="red7"/>
    <w:basedOn w:val="14"/>
    <w:autoRedefine/>
    <w:qFormat/>
    <w:uiPriority w:val="0"/>
    <w:rPr>
      <w:color w:val="FF0000"/>
    </w:rPr>
  </w:style>
  <w:style w:type="character" w:customStyle="1" w:styleId="39">
    <w:name w:val="gb-jt"/>
    <w:basedOn w:val="14"/>
    <w:autoRedefine/>
    <w:qFormat/>
    <w:uiPriority w:val="0"/>
  </w:style>
  <w:style w:type="character" w:customStyle="1" w:styleId="40">
    <w:name w:val="blue"/>
    <w:basedOn w:val="14"/>
    <w:autoRedefine/>
    <w:qFormat/>
    <w:uiPriority w:val="0"/>
    <w:rPr>
      <w:color w:val="0371C6"/>
      <w:sz w:val="21"/>
      <w:szCs w:val="21"/>
    </w:rPr>
  </w:style>
  <w:style w:type="character" w:customStyle="1" w:styleId="41">
    <w:name w:val="right"/>
    <w:basedOn w:val="14"/>
    <w:autoRedefine/>
    <w:qFormat/>
    <w:uiPriority w:val="0"/>
    <w:rPr>
      <w:color w:val="999999"/>
      <w:sz w:val="18"/>
      <w:szCs w:val="18"/>
    </w:rPr>
  </w:style>
  <w:style w:type="character" w:customStyle="1" w:styleId="42">
    <w:name w:val="red3"/>
    <w:basedOn w:val="14"/>
    <w:autoRedefine/>
    <w:qFormat/>
    <w:uiPriority w:val="0"/>
    <w:rPr>
      <w:color w:val="FF0000"/>
      <w:sz w:val="18"/>
      <w:szCs w:val="18"/>
    </w:rPr>
  </w:style>
  <w:style w:type="character" w:customStyle="1" w:styleId="43">
    <w:name w:val="hover25"/>
    <w:basedOn w:val="14"/>
    <w:autoRedefine/>
    <w:qFormat/>
    <w:uiPriority w:val="0"/>
  </w:style>
  <w:style w:type="character" w:customStyle="1" w:styleId="44">
    <w:name w:val="active4"/>
    <w:basedOn w:val="14"/>
    <w:autoRedefine/>
    <w:qFormat/>
    <w:uiPriority w:val="0"/>
    <w:rPr>
      <w:color w:val="FFFFFF"/>
      <w:shd w:val="clear" w:color="auto" w:fill="2B7AFC"/>
    </w:rPr>
  </w:style>
  <w:style w:type="character" w:customStyle="1" w:styleId="45">
    <w:name w:val="red"/>
    <w:basedOn w:val="14"/>
    <w:autoRedefine/>
    <w:qFormat/>
    <w:uiPriority w:val="0"/>
    <w:rPr>
      <w:color w:val="FF0000"/>
      <w:sz w:val="18"/>
      <w:szCs w:val="18"/>
    </w:rPr>
  </w:style>
  <w:style w:type="character" w:customStyle="1" w:styleId="46">
    <w:name w:val="red1"/>
    <w:basedOn w:val="14"/>
    <w:autoRedefine/>
    <w:qFormat/>
    <w:uiPriority w:val="0"/>
    <w:rPr>
      <w:color w:val="FF0000"/>
      <w:sz w:val="18"/>
      <w:szCs w:val="18"/>
    </w:rPr>
  </w:style>
  <w:style w:type="character" w:customStyle="1" w:styleId="47">
    <w:name w:val="red2"/>
    <w:basedOn w:val="14"/>
    <w:autoRedefine/>
    <w:qFormat/>
    <w:uiPriority w:val="0"/>
    <w:rPr>
      <w:color w:val="CC0000"/>
    </w:rPr>
  </w:style>
  <w:style w:type="paragraph" w:customStyle="1" w:styleId="48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9">
    <w:name w:val="hover24"/>
    <w:basedOn w:val="14"/>
    <w:qFormat/>
    <w:uiPriority w:val="0"/>
  </w:style>
  <w:style w:type="character" w:customStyle="1" w:styleId="50">
    <w:name w:val="nth-child(n+2)"/>
    <w:basedOn w:val="14"/>
    <w:qFormat/>
    <w:uiPriority w:val="0"/>
  </w:style>
  <w:style w:type="character" w:customStyle="1" w:styleId="51">
    <w:name w:val="hover4"/>
    <w:basedOn w:val="14"/>
    <w:qFormat/>
    <w:uiPriority w:val="0"/>
    <w:rPr>
      <w:color w:val="0282FF"/>
    </w:rPr>
  </w:style>
  <w:style w:type="character" w:customStyle="1" w:styleId="52">
    <w:name w:val="layui-this"/>
    <w:basedOn w:val="14"/>
    <w:qFormat/>
    <w:uiPriority w:val="0"/>
    <w:rPr>
      <w:bdr w:val="single" w:color="EEEEEE" w:sz="6" w:space="0"/>
      <w:shd w:val="clear" w:fill="FFFFFF"/>
    </w:rPr>
  </w:style>
  <w:style w:type="character" w:customStyle="1" w:styleId="53">
    <w:name w:val="first-child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4</Pages>
  <Words>1652</Words>
  <Characters>2040</Characters>
  <Lines>10</Lines>
  <Paragraphs>2</Paragraphs>
  <TotalTime>98</TotalTime>
  <ScaleCrop>false</ScaleCrop>
  <LinksUpToDate>false</LinksUpToDate>
  <CharactersWithSpaces>2067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WPS_1697426739</cp:lastModifiedBy>
  <cp:lastPrinted>2024-10-15T08:06:00Z</cp:lastPrinted>
  <dcterms:modified xsi:type="dcterms:W3CDTF">2025-04-15T14:56:34Z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7B5FEBB92ED64E749A1E29FE2D708970</vt:lpwstr>
  </property>
  <property fmtid="{D5CDD505-2E9C-101B-9397-08002B2CF9AE}" pid="4" name="KSOTemplateDocerSaveRecord">
    <vt:lpwstr>eyJoZGlkIjoiNDZmYjA5YWZmNTY3NGJkNWRjMWFhMmFhZjg2NTczNTYiLCJ1c2VySWQiOiIxNTUwNTcwODY2In0=</vt:lpwstr>
  </property>
</Properties>
</file>