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44E19">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bCs/>
          <w:color w:val="auto"/>
          <w:sz w:val="40"/>
          <w:szCs w:val="36"/>
          <w:highlight w:val="none"/>
          <w:lang w:eastAsia="zh-CN"/>
        </w:rPr>
      </w:pPr>
      <w:bookmarkStart w:id="0" w:name="_Toc12706"/>
      <w:r>
        <w:rPr>
          <w:rFonts w:hint="eastAsia"/>
          <w:b/>
          <w:bCs/>
          <w:color w:val="auto"/>
          <w:sz w:val="40"/>
          <w:szCs w:val="36"/>
          <w:highlight w:val="none"/>
          <w:lang w:val="en-US" w:eastAsia="zh-CN"/>
        </w:rPr>
        <w:t>信阳市中心医院浉河、羊山、淮滨院区化粪池、窨井和排水沟清淤等危险废物处置项目（二次）</w:t>
      </w:r>
    </w:p>
    <w:p w14:paraId="4FA39D0B">
      <w:pPr>
        <w:pStyle w:val="24"/>
        <w:rPr>
          <w:rFonts w:hint="eastAsia"/>
          <w:color w:val="auto"/>
          <w:highlight w:val="none"/>
          <w:lang w:eastAsia="zh-CN"/>
        </w:rPr>
      </w:pPr>
    </w:p>
    <w:p w14:paraId="6837241D">
      <w:pPr>
        <w:pStyle w:val="25"/>
        <w:rPr>
          <w:rFonts w:hint="eastAsia"/>
          <w:color w:val="auto"/>
          <w:highlight w:val="none"/>
          <w:lang w:eastAsia="zh-CN"/>
        </w:rPr>
      </w:pPr>
    </w:p>
    <w:p w14:paraId="6EDD5BED">
      <w:pPr>
        <w:rPr>
          <w:rFonts w:hint="eastAsia"/>
          <w:lang w:eastAsia="zh-CN"/>
        </w:rPr>
      </w:pPr>
    </w:p>
    <w:p w14:paraId="32ADE73E">
      <w:pPr>
        <w:pageBreakBefore w:val="0"/>
        <w:kinsoku/>
        <w:wordWrap/>
        <w:overflowPunct/>
        <w:topLinePunct w:val="0"/>
        <w:bidi w:val="0"/>
        <w:adjustRightInd/>
        <w:snapToGrid/>
        <w:ind w:left="0" w:leftChars="0" w:right="0" w:rightChars="0"/>
        <w:jc w:val="center"/>
        <w:rPr>
          <w:rFonts w:hint="eastAsia" w:ascii="宋体" w:hAnsi="宋体"/>
          <w:b/>
          <w:color w:val="auto"/>
          <w:sz w:val="21"/>
          <w:szCs w:val="21"/>
          <w:highlight w:val="none"/>
        </w:rPr>
      </w:pPr>
      <w:r>
        <w:rPr>
          <w:rFonts w:hint="eastAsia" w:ascii="宋体" w:hAnsi="宋体"/>
          <w:b/>
          <w:color w:val="auto"/>
          <w:sz w:val="96"/>
          <w:szCs w:val="96"/>
          <w:highlight w:val="none"/>
          <w:lang w:eastAsia="zh-CN"/>
        </w:rPr>
        <w:t>招</w:t>
      </w:r>
      <w:r>
        <w:rPr>
          <w:rFonts w:hint="eastAsia" w:ascii="宋体" w:hAnsi="宋体"/>
          <w:b/>
          <w:color w:val="auto"/>
          <w:sz w:val="96"/>
          <w:szCs w:val="96"/>
          <w:highlight w:val="none"/>
          <w:lang w:val="en-US" w:eastAsia="zh-CN"/>
        </w:rPr>
        <w:t xml:space="preserve"> </w:t>
      </w:r>
      <w:r>
        <w:rPr>
          <w:rFonts w:hint="eastAsia" w:ascii="宋体" w:hAnsi="宋体"/>
          <w:b/>
          <w:color w:val="auto"/>
          <w:sz w:val="96"/>
          <w:szCs w:val="96"/>
          <w:highlight w:val="none"/>
          <w:lang w:eastAsia="zh-CN"/>
        </w:rPr>
        <w:t>标</w:t>
      </w:r>
      <w:r>
        <w:rPr>
          <w:rFonts w:hint="eastAsia" w:ascii="宋体" w:hAnsi="宋体"/>
          <w:b/>
          <w:color w:val="auto"/>
          <w:sz w:val="96"/>
          <w:szCs w:val="96"/>
          <w:highlight w:val="none"/>
          <w:lang w:val="en-US" w:eastAsia="zh-CN"/>
        </w:rPr>
        <w:t xml:space="preserve"> </w:t>
      </w:r>
      <w:r>
        <w:rPr>
          <w:rFonts w:hint="eastAsia" w:ascii="宋体" w:hAnsi="宋体"/>
          <w:b/>
          <w:color w:val="auto"/>
          <w:sz w:val="96"/>
          <w:szCs w:val="96"/>
          <w:highlight w:val="none"/>
          <w:lang w:eastAsia="zh-CN"/>
        </w:rPr>
        <w:t>文</w:t>
      </w:r>
      <w:r>
        <w:rPr>
          <w:rFonts w:hint="eastAsia" w:ascii="宋体" w:hAnsi="宋体"/>
          <w:b/>
          <w:color w:val="auto"/>
          <w:sz w:val="96"/>
          <w:szCs w:val="96"/>
          <w:highlight w:val="none"/>
          <w:lang w:val="en-US" w:eastAsia="zh-CN"/>
        </w:rPr>
        <w:t xml:space="preserve"> </w:t>
      </w:r>
      <w:r>
        <w:rPr>
          <w:rFonts w:hint="eastAsia" w:ascii="宋体" w:hAnsi="宋体"/>
          <w:b/>
          <w:color w:val="auto"/>
          <w:sz w:val="96"/>
          <w:szCs w:val="96"/>
          <w:highlight w:val="none"/>
          <w:lang w:eastAsia="zh-CN"/>
        </w:rPr>
        <w:t>件</w:t>
      </w:r>
      <w:r>
        <w:rPr>
          <w:rFonts w:hint="eastAsia" w:ascii="宋体" w:hAnsi="宋体"/>
          <w:b/>
          <w:color w:val="auto"/>
          <w:sz w:val="84"/>
          <w:szCs w:val="84"/>
          <w:highlight w:val="none"/>
        </w:rPr>
        <w:t xml:space="preserve"> </w:t>
      </w:r>
    </w:p>
    <w:p w14:paraId="47080D5C">
      <w:pPr>
        <w:pageBreakBefore w:val="0"/>
        <w:kinsoku/>
        <w:wordWrap/>
        <w:overflowPunct/>
        <w:topLinePunct w:val="0"/>
        <w:bidi w:val="0"/>
        <w:adjustRightInd/>
        <w:snapToGrid/>
        <w:spacing w:line="360" w:lineRule="auto"/>
        <w:ind w:right="0" w:rightChars="0"/>
        <w:jc w:val="center"/>
        <w:rPr>
          <w:rFonts w:hint="eastAsia" w:ascii="宋体" w:hAnsi="宋体"/>
          <w:b/>
          <w:color w:val="auto"/>
          <w:sz w:val="28"/>
          <w:szCs w:val="28"/>
          <w:highlight w:val="none"/>
        </w:rPr>
      </w:pPr>
    </w:p>
    <w:p w14:paraId="7024C89D">
      <w:pPr>
        <w:pStyle w:val="9"/>
        <w:pageBreakBefore w:val="0"/>
        <w:kinsoku/>
        <w:wordWrap/>
        <w:overflowPunct/>
        <w:topLinePunct w:val="0"/>
        <w:bidi w:val="0"/>
        <w:adjustRightInd/>
        <w:snapToGrid/>
        <w:ind w:left="0" w:leftChars="0" w:right="0" w:rightChars="0"/>
        <w:jc w:val="center"/>
        <w:rPr>
          <w:rFonts w:hint="eastAsia" w:ascii="宋体" w:hAnsi="宋体" w:eastAsia="宋体" w:cs="宋体"/>
          <w:color w:val="auto"/>
          <w:kern w:val="0"/>
          <w:sz w:val="24"/>
          <w:szCs w:val="24"/>
          <w:lang w:bidi="ar"/>
        </w:rPr>
      </w:pPr>
    </w:p>
    <w:p w14:paraId="33FD7B50">
      <w:pPr>
        <w:pStyle w:val="9"/>
        <w:pageBreakBefore w:val="0"/>
        <w:kinsoku/>
        <w:wordWrap/>
        <w:overflowPunct/>
        <w:topLinePunct w:val="0"/>
        <w:bidi w:val="0"/>
        <w:adjustRightInd/>
        <w:snapToGrid/>
        <w:ind w:left="0" w:leftChars="0" w:right="0" w:rightChars="0"/>
        <w:jc w:val="center"/>
        <w:rPr>
          <w:rFonts w:hint="eastAsia" w:ascii="宋体" w:hAnsi="宋体" w:eastAsia="宋体" w:cs="宋体"/>
          <w:color w:val="auto"/>
          <w:kern w:val="0"/>
          <w:sz w:val="24"/>
          <w:szCs w:val="24"/>
          <w:lang w:bidi="ar"/>
        </w:rPr>
      </w:pPr>
    </w:p>
    <w:p w14:paraId="6B094917">
      <w:pPr>
        <w:pStyle w:val="9"/>
        <w:pageBreakBefore w:val="0"/>
        <w:kinsoku/>
        <w:wordWrap/>
        <w:overflowPunct/>
        <w:topLinePunct w:val="0"/>
        <w:bidi w:val="0"/>
        <w:adjustRightInd/>
        <w:snapToGrid/>
        <w:ind w:left="0" w:leftChars="0" w:right="0" w:rightChars="0"/>
        <w:jc w:val="center"/>
        <w:rPr>
          <w:rFonts w:hint="eastAsia" w:ascii="宋体" w:hAnsi="宋体" w:eastAsia="宋体" w:cs="宋体"/>
          <w:color w:val="auto"/>
          <w:kern w:val="0"/>
          <w:sz w:val="24"/>
          <w:szCs w:val="24"/>
          <w:lang w:bidi="ar"/>
        </w:rPr>
      </w:pPr>
    </w:p>
    <w:p w14:paraId="6DF153D3">
      <w:pPr>
        <w:pStyle w:val="9"/>
        <w:pageBreakBefore w:val="0"/>
        <w:kinsoku/>
        <w:wordWrap/>
        <w:overflowPunct/>
        <w:topLinePunct w:val="0"/>
        <w:bidi w:val="0"/>
        <w:adjustRightInd/>
        <w:snapToGrid/>
        <w:ind w:left="0" w:leftChars="0" w:right="0" w:rightChars="0"/>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fldChar w:fldCharType="begin"/>
      </w:r>
      <w:r>
        <w:rPr>
          <w:rFonts w:hint="eastAsia" w:ascii="宋体" w:hAnsi="宋体" w:eastAsia="宋体" w:cs="宋体"/>
          <w:color w:val="auto"/>
          <w:kern w:val="0"/>
          <w:sz w:val="24"/>
          <w:szCs w:val="24"/>
          <w:lang w:bidi="ar"/>
        </w:rPr>
        <w:instrText xml:space="preserve">INCLUDEPICTURE \d "C:\\Users\\Administrator\\Documents\\Tencent Files\\3437585957\\Image\\C2C\\~D`93(T1FMT}QEY]V)[0FXQ.png" \* MERGEFORMATINET </w:instrText>
      </w:r>
      <w:r>
        <w:rPr>
          <w:rFonts w:hint="eastAsia" w:ascii="宋体" w:hAnsi="宋体" w:eastAsia="宋体" w:cs="宋体"/>
          <w:color w:val="auto"/>
          <w:kern w:val="0"/>
          <w:sz w:val="24"/>
          <w:szCs w:val="24"/>
          <w:lang w:bidi="ar"/>
        </w:rPr>
        <w:fldChar w:fldCharType="separate"/>
      </w:r>
      <w:r>
        <w:rPr>
          <w:rFonts w:hint="eastAsia" w:ascii="宋体" w:hAnsi="宋体" w:eastAsia="宋体" w:cs="宋体"/>
          <w:color w:val="auto"/>
          <w:kern w:val="0"/>
          <w:sz w:val="24"/>
          <w:szCs w:val="24"/>
          <w:lang w:bidi="ar"/>
        </w:rPr>
        <w:drawing>
          <wp:inline distT="0" distB="0" distL="114300" distR="114300">
            <wp:extent cx="1743075" cy="14954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1"/>
                    <a:stretch>
                      <a:fillRect/>
                    </a:stretch>
                  </pic:blipFill>
                  <pic:spPr>
                    <a:xfrm>
                      <a:off x="0" y="0"/>
                      <a:ext cx="1743075" cy="1495425"/>
                    </a:xfrm>
                    <a:prstGeom prst="rect">
                      <a:avLst/>
                    </a:prstGeom>
                    <a:noFill/>
                    <a:ln>
                      <a:noFill/>
                    </a:ln>
                  </pic:spPr>
                </pic:pic>
              </a:graphicData>
            </a:graphic>
          </wp:inline>
        </w:drawing>
      </w:r>
      <w:r>
        <w:rPr>
          <w:rFonts w:hint="eastAsia" w:ascii="宋体" w:hAnsi="宋体" w:eastAsia="宋体" w:cs="宋体"/>
          <w:color w:val="auto"/>
          <w:kern w:val="0"/>
          <w:sz w:val="24"/>
          <w:szCs w:val="24"/>
          <w:lang w:bidi="ar"/>
        </w:rPr>
        <w:fldChar w:fldCharType="end"/>
      </w:r>
    </w:p>
    <w:p w14:paraId="188F47D0">
      <w:pPr>
        <w:pStyle w:val="9"/>
        <w:pageBreakBefore w:val="0"/>
        <w:kinsoku/>
        <w:wordWrap/>
        <w:overflowPunct/>
        <w:topLinePunct w:val="0"/>
        <w:bidi w:val="0"/>
        <w:adjustRightInd/>
        <w:snapToGrid/>
        <w:ind w:left="0" w:leftChars="0" w:right="0" w:rightChars="0"/>
        <w:jc w:val="center"/>
        <w:rPr>
          <w:rFonts w:hint="eastAsia" w:ascii="宋体" w:hAnsi="宋体" w:cs="宋体"/>
          <w:b/>
          <w:color w:val="auto"/>
          <w:sz w:val="32"/>
          <w:highlight w:val="none"/>
        </w:rPr>
      </w:pPr>
    </w:p>
    <w:p w14:paraId="552AF86A">
      <w:pPr>
        <w:pageBreakBefore w:val="0"/>
        <w:widowControl/>
        <w:kinsoku/>
        <w:wordWrap/>
        <w:overflowPunct/>
        <w:topLinePunct w:val="0"/>
        <w:bidi w:val="0"/>
        <w:adjustRightInd/>
        <w:snapToGrid/>
        <w:spacing w:line="720" w:lineRule="auto"/>
        <w:ind w:right="0" w:rightChars="0"/>
        <w:jc w:val="both"/>
        <w:rPr>
          <w:rFonts w:hint="default" w:ascii="宋体" w:hAnsi="宋体" w:eastAsia="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 xml:space="preserve">                               </w:t>
      </w:r>
    </w:p>
    <w:p w14:paraId="3CB40BB5">
      <w:pPr>
        <w:shd w:val="clear" w:color="auto" w:fill="auto"/>
        <w:spacing w:line="480" w:lineRule="auto"/>
        <w:jc w:val="center"/>
        <w:outlineLvl w:val="0"/>
        <w:rPr>
          <w:rFonts w:hint="eastAsia" w:ascii="宋体" w:hAnsi="宋体" w:eastAsia="宋体" w:cs="宋体"/>
          <w:b/>
          <w:color w:val="auto"/>
          <w:sz w:val="30"/>
          <w:szCs w:val="30"/>
          <w:highlight w:val="none"/>
          <w:lang w:eastAsia="zh-CN"/>
        </w:rPr>
      </w:pPr>
      <w:bookmarkStart w:id="1" w:name="_Toc14803"/>
      <w:bookmarkStart w:id="2" w:name="_Toc10397"/>
      <w:bookmarkStart w:id="3" w:name="_Toc32257"/>
      <w:r>
        <w:rPr>
          <w:rFonts w:hint="eastAsia" w:ascii="宋体" w:hAnsi="宋体" w:cs="宋体"/>
          <w:b/>
          <w:color w:val="auto"/>
          <w:sz w:val="30"/>
          <w:szCs w:val="30"/>
          <w:highlight w:val="none"/>
        </w:rPr>
        <w:t>采  购  人：</w:t>
      </w:r>
      <w:bookmarkEnd w:id="1"/>
      <w:bookmarkEnd w:id="2"/>
      <w:bookmarkEnd w:id="3"/>
      <w:r>
        <w:rPr>
          <w:rFonts w:hint="eastAsia" w:ascii="宋体" w:hAnsi="宋体" w:cs="宋体"/>
          <w:b/>
          <w:color w:val="auto"/>
          <w:sz w:val="30"/>
          <w:szCs w:val="30"/>
          <w:highlight w:val="none"/>
        </w:rPr>
        <w:t>信阳市中心医院</w:t>
      </w:r>
    </w:p>
    <w:p w14:paraId="33E01745">
      <w:pPr>
        <w:shd w:val="clear" w:color="auto" w:fill="auto"/>
        <w:spacing w:line="480" w:lineRule="auto"/>
        <w:jc w:val="center"/>
        <w:outlineLvl w:val="0"/>
        <w:rPr>
          <w:rFonts w:hint="eastAsia" w:ascii="宋体" w:hAnsi="宋体" w:cs="宋体"/>
          <w:b/>
          <w:color w:val="auto"/>
          <w:sz w:val="30"/>
          <w:szCs w:val="30"/>
          <w:highlight w:val="none"/>
        </w:rPr>
      </w:pPr>
      <w:bookmarkStart w:id="4" w:name="_Toc19086"/>
      <w:bookmarkStart w:id="5" w:name="_Toc17223"/>
      <w:bookmarkStart w:id="6" w:name="_Toc6343"/>
      <w:r>
        <w:rPr>
          <w:rFonts w:hint="eastAsia" w:ascii="宋体" w:hAnsi="宋体" w:cs="宋体"/>
          <w:b/>
          <w:color w:val="auto"/>
          <w:sz w:val="30"/>
          <w:szCs w:val="30"/>
          <w:highlight w:val="none"/>
          <w:lang w:val="en-US" w:eastAsia="zh-CN"/>
        </w:rPr>
        <w:t>采购</w:t>
      </w:r>
      <w:r>
        <w:rPr>
          <w:rFonts w:hint="eastAsia" w:ascii="宋体" w:hAnsi="宋体" w:cs="宋体"/>
          <w:b/>
          <w:color w:val="auto"/>
          <w:sz w:val="30"/>
          <w:szCs w:val="30"/>
          <w:highlight w:val="none"/>
        </w:rPr>
        <w:t>代理机构：</w:t>
      </w:r>
      <w:bookmarkEnd w:id="4"/>
      <w:bookmarkEnd w:id="5"/>
      <w:bookmarkEnd w:id="6"/>
      <w:r>
        <w:rPr>
          <w:rFonts w:hint="eastAsia" w:ascii="宋体" w:hAnsi="宋体" w:cs="宋体"/>
          <w:b/>
          <w:color w:val="auto"/>
          <w:sz w:val="30"/>
          <w:szCs w:val="30"/>
          <w:highlight w:val="none"/>
        </w:rPr>
        <w:t>河南英华咨询有限公司</w:t>
      </w:r>
    </w:p>
    <w:p w14:paraId="1A8A512D">
      <w:pPr>
        <w:shd w:val="clear" w:color="auto" w:fill="auto"/>
        <w:spacing w:line="480" w:lineRule="auto"/>
        <w:jc w:val="center"/>
        <w:outlineLvl w:val="0"/>
        <w:rPr>
          <w:rFonts w:hint="eastAsia" w:ascii="宋体" w:hAnsi="宋体" w:eastAsia="宋体" w:cs="宋体"/>
          <w:b/>
          <w:color w:val="auto"/>
          <w:sz w:val="30"/>
          <w:szCs w:val="30"/>
          <w:highlight w:val="none"/>
        </w:rPr>
      </w:pPr>
      <w:bookmarkStart w:id="7" w:name="_Toc4005"/>
      <w:bookmarkStart w:id="8" w:name="_Toc23931"/>
      <w:bookmarkStart w:id="9" w:name="_Toc11374"/>
      <w:r>
        <w:rPr>
          <w:rFonts w:hint="eastAsia" w:ascii="宋体" w:hAnsi="宋体" w:cs="宋体"/>
          <w:b/>
          <w:color w:val="auto"/>
          <w:sz w:val="30"/>
          <w:szCs w:val="30"/>
          <w:highlight w:val="none"/>
        </w:rPr>
        <w:t>日   期：</w:t>
      </w:r>
      <w:r>
        <w:rPr>
          <w:rFonts w:hint="eastAsia" w:ascii="宋体" w:hAnsi="宋体" w:eastAsia="宋体" w:cs="宋体"/>
          <w:b/>
          <w:color w:val="auto"/>
          <w:sz w:val="30"/>
          <w:szCs w:val="30"/>
          <w:highlight w:val="none"/>
        </w:rPr>
        <w:t xml:space="preserve">二 〇 二 </w:t>
      </w:r>
      <w:r>
        <w:rPr>
          <w:rFonts w:hint="eastAsia" w:ascii="宋体" w:hAnsi="宋体" w:eastAsia="宋体" w:cs="宋体"/>
          <w:b/>
          <w:color w:val="auto"/>
          <w:sz w:val="30"/>
          <w:szCs w:val="30"/>
          <w:highlight w:val="none"/>
          <w:lang w:val="en-US" w:eastAsia="zh-CN"/>
        </w:rPr>
        <w:t xml:space="preserve">五 </w:t>
      </w:r>
      <w:r>
        <w:rPr>
          <w:rFonts w:hint="eastAsia" w:ascii="宋体" w:hAnsi="宋体" w:eastAsia="宋体" w:cs="宋体"/>
          <w:b/>
          <w:color w:val="auto"/>
          <w:sz w:val="30"/>
          <w:szCs w:val="30"/>
          <w:highlight w:val="none"/>
        </w:rPr>
        <w:t xml:space="preserve">年 </w:t>
      </w:r>
      <w:r>
        <w:rPr>
          <w:rFonts w:hint="eastAsia" w:ascii="宋体" w:hAnsi="宋体" w:cs="宋体"/>
          <w:b/>
          <w:color w:val="auto"/>
          <w:sz w:val="30"/>
          <w:szCs w:val="30"/>
          <w:highlight w:val="none"/>
          <w:lang w:val="en-US" w:eastAsia="zh-CN"/>
        </w:rPr>
        <w:t>十</w:t>
      </w:r>
      <w:r>
        <w:rPr>
          <w:rFonts w:hint="eastAsia" w:ascii="宋体" w:hAnsi="宋体" w:eastAsia="宋体" w:cs="宋体"/>
          <w:b/>
          <w:color w:val="auto"/>
          <w:sz w:val="30"/>
          <w:szCs w:val="30"/>
          <w:highlight w:val="none"/>
        </w:rPr>
        <w:t xml:space="preserve"> 月</w:t>
      </w:r>
      <w:bookmarkEnd w:id="7"/>
      <w:bookmarkEnd w:id="8"/>
      <w:bookmarkEnd w:id="9"/>
    </w:p>
    <w:p w14:paraId="5A5168EF">
      <w:pPr>
        <w:ind w:left="0" w:leftChars="0" w:firstLine="0" w:firstLineChars="0"/>
        <w:jc w:val="center"/>
        <w:rPr>
          <w:rFonts w:hint="default" w:ascii="Times New Roman" w:hAnsi="Times New Roman" w:eastAsia="宋体" w:cs="Times New Roman"/>
          <w:b/>
          <w:bCs/>
          <w:color w:val="auto"/>
          <w:sz w:val="32"/>
          <w:szCs w:val="32"/>
          <w:highlight w:val="none"/>
        </w:rPr>
        <w:sectPr>
          <w:headerReference r:id="rId3" w:type="default"/>
          <w:pgSz w:w="11905" w:h="16838"/>
          <w:pgMar w:top="1440" w:right="1080" w:bottom="1440" w:left="1080" w:header="850" w:footer="850" w:gutter="0"/>
          <w:pgBorders>
            <w:top w:val="none" w:sz="0" w:space="0"/>
            <w:left w:val="none" w:sz="0" w:space="0"/>
            <w:bottom w:val="none" w:sz="0" w:space="0"/>
            <w:right w:val="none" w:sz="0" w:space="0"/>
          </w:pgBorders>
          <w:pgNumType w:fmt="decimal"/>
          <w:cols w:space="0" w:num="1"/>
          <w:rtlGutter w:val="0"/>
          <w:docGrid w:type="lines" w:linePitch="423" w:charSpace="0"/>
        </w:sectPr>
      </w:pPr>
    </w:p>
    <w:p w14:paraId="64BF1FD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8"/>
          <w:szCs w:val="28"/>
          <w:highlight w:val="none"/>
        </w:rPr>
        <w:t>致政府采购供应商和代理机构的一封信</w:t>
      </w:r>
    </w:p>
    <w:p w14:paraId="41DAE560">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jc w:val="both"/>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尊敬的政府采购供应商、代理机构：</w:t>
      </w:r>
    </w:p>
    <w:p w14:paraId="6B9EE2BA">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您好！非常感谢您一直以来对</w:t>
      </w:r>
      <w:r>
        <w:rPr>
          <w:rFonts w:hint="eastAsia" w:ascii="Times New Roman" w:hAnsi="Times New Roman" w:eastAsia="仿宋_GB2312"/>
          <w:sz w:val="24"/>
          <w:szCs w:val="24"/>
          <w:lang w:eastAsia="zh-CN"/>
        </w:rPr>
        <w:t>信阳市</w:t>
      </w:r>
      <w:r>
        <w:rPr>
          <w:rFonts w:hint="eastAsia" w:ascii="Times New Roman" w:hAnsi="Times New Roman" w:eastAsia="仿宋_GB2312"/>
          <w:sz w:val="24"/>
          <w:szCs w:val="24"/>
        </w:rPr>
        <w:t>政府采购活动的关心和支持！</w:t>
      </w:r>
    </w:p>
    <w:p w14:paraId="0A90D3A0">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近年来，</w:t>
      </w:r>
      <w:r>
        <w:rPr>
          <w:rFonts w:hint="eastAsia" w:ascii="Times New Roman" w:hAnsi="Times New Roman" w:eastAsia="仿宋_GB2312"/>
          <w:sz w:val="24"/>
          <w:szCs w:val="24"/>
          <w:lang w:eastAsia="zh-CN"/>
        </w:rPr>
        <w:t>信阳</w:t>
      </w:r>
      <w:r>
        <w:rPr>
          <w:rFonts w:hint="eastAsia" w:ascii="Times New Roman" w:hAnsi="Times New Roman" w:eastAsia="仿宋_GB2312"/>
          <w:sz w:val="24"/>
          <w:szCs w:val="24"/>
        </w:rPr>
        <w:t>市财政局坚持以“服务企业、服务市场、服务基层”为出发点，以规范制度为抓手，以便民利企为目标，通过完善政府采购制度，优化政府采购流程，压缩办理时限，持续提升政府采购电子化水平，推进政府采购工作高效、规范、阳光运行。</w:t>
      </w:r>
    </w:p>
    <w:p w14:paraId="28A15079">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为持续优化信阳市政府采购领域营商环境，信阳市财政局成立优化营商环境工作领导小组，定期召开优化营商环境调度会、推进会，党组成员带头解决重大问题，带头完成节点任务，带头落实惠企政策，以工作机制创新推进工作延伸。一是持续为各交易主体提供优质服务。在法律职权内明确采购人主体责任，减少审批事项；汇编印发政府采购相关政策规定和政府采购操作指南及流程图，方便各交易主体参与我市政府采购活动；启用“不见面开标评标”系统，实现招标采购的全流程电子化。二是落实惠企政策。免收招标文件费用、投标保证金、履约保证金，货物类、服务类政府采购项目免收质量保证金，工程类政府采购项目收取不超过合同金额3%的质量保证金，且不得以现金形式收取，建议采购人根据项目实际情况免收质量保证金；给予中小微企业价格扣除优惠，货物服务采购项目给予小微企业报价的15%-20%（工程项目为5%）扣除优惠，用扣除后的价格参与评审；鼓励采购人提高首付款或预付款比例，首付款或预付款支付比例原则上不低于合同金额的50%，对于中小微企业，首付款或预付款支付比例可提高至不低于合同金额的70%；加大政府采购合同融资政策宣传，推进政府采购合同融资，为中标企业开辟融资“绿色通道”。三是设置政府采购项目服务专员，提供全流程服务。信阳市财政局在每个部门预算科室设立一名政府采购项目服务专员，全流程为中标供应商服务。在政府采购项目中，遇到任何问题均可以和服务专员联系，如采购人不按照规定签订合同、不按照合同约定对项目履约验收、不按照合同约定付款等问题。</w:t>
      </w:r>
    </w:p>
    <w:p w14:paraId="2A1E12E0">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尽管做了一些工作，但我们深知，离贵公司的期望还有差距。恳请贵公司对我们的工作提出宝贵意见，并持续给予关注、支持和监督！</w:t>
      </w:r>
    </w:p>
    <w:p w14:paraId="24CF775A">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eastAsia="zh-CN"/>
        </w:rPr>
        <w:t>凡涉及信阳市政府采购领域营商环境的任何问题，贵公司均可通过专线电话03</w:t>
      </w:r>
      <w:r>
        <w:rPr>
          <w:rFonts w:hint="eastAsia" w:ascii="Times New Roman" w:hAnsi="Times New Roman" w:eastAsia="仿宋_GB2312"/>
          <w:sz w:val="24"/>
          <w:szCs w:val="24"/>
          <w:lang w:val="en-US" w:eastAsia="zh-CN"/>
        </w:rPr>
        <w:t>76</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lang w:val="en-US" w:eastAsia="zh-CN"/>
        </w:rPr>
        <w:t>6699123</w:t>
      </w:r>
      <w:r>
        <w:rPr>
          <w:rFonts w:hint="eastAsia" w:ascii="Times New Roman" w:hAnsi="Times New Roman" w:eastAsia="仿宋_GB2312"/>
          <w:sz w:val="24"/>
          <w:szCs w:val="24"/>
          <w:lang w:eastAsia="zh-CN"/>
        </w:rPr>
        <w:t>、电子邮箱</w:t>
      </w:r>
      <w:r>
        <w:rPr>
          <w:rFonts w:hint="eastAsia" w:ascii="Times New Roman" w:hAnsi="Times New Roman" w:eastAsia="仿宋_GB2312"/>
          <w:sz w:val="24"/>
          <w:szCs w:val="24"/>
          <w:lang w:val="en-US" w:eastAsia="zh-CN"/>
        </w:rPr>
        <w:t>czyszb228</w:t>
      </w:r>
      <w:r>
        <w:rPr>
          <w:rFonts w:hint="eastAsia" w:ascii="Times New Roman" w:hAnsi="Times New Roman" w:eastAsia="仿宋_GB2312"/>
          <w:sz w:val="24"/>
          <w:szCs w:val="24"/>
          <w:lang w:eastAsia="zh-CN"/>
        </w:rPr>
        <w:t>@163.com，与信阳市财政</w:t>
      </w:r>
      <w:r>
        <w:rPr>
          <w:rFonts w:hint="eastAsia" w:ascii="Times New Roman" w:hAnsi="Times New Roman" w:eastAsia="仿宋_GB2312"/>
          <w:sz w:val="24"/>
          <w:szCs w:val="24"/>
          <w:lang w:val="en-US" w:eastAsia="zh-CN"/>
        </w:rPr>
        <w:t>局优化营商环境办公室</w:t>
      </w:r>
      <w:r>
        <w:rPr>
          <w:rFonts w:hint="eastAsia" w:ascii="Times New Roman" w:hAnsi="Times New Roman" w:eastAsia="仿宋_GB2312"/>
          <w:sz w:val="24"/>
          <w:szCs w:val="24"/>
          <w:lang w:eastAsia="zh-CN"/>
        </w:rPr>
        <w:t>随时沟通交流</w:t>
      </w:r>
      <w:r>
        <w:rPr>
          <w:rFonts w:hint="eastAsia" w:ascii="Times New Roman" w:hAnsi="Times New Roman" w:eastAsia="仿宋_GB2312"/>
          <w:sz w:val="24"/>
          <w:szCs w:val="24"/>
          <w:lang w:val="en-US" w:eastAsia="zh-CN"/>
        </w:rPr>
        <w:t>，我们将竭诚为各位供应商服务，全力解决贵公司遇到的困难。</w:t>
      </w:r>
    </w:p>
    <w:p w14:paraId="563AF652">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再次感谢贵公司对</w:t>
      </w:r>
      <w:r>
        <w:rPr>
          <w:rFonts w:hint="eastAsia" w:ascii="Times New Roman" w:hAnsi="Times New Roman" w:eastAsia="仿宋_GB2312"/>
          <w:sz w:val="24"/>
          <w:szCs w:val="24"/>
          <w:lang w:eastAsia="zh-CN"/>
        </w:rPr>
        <w:t>信阳</w:t>
      </w:r>
      <w:r>
        <w:rPr>
          <w:rFonts w:hint="eastAsia" w:ascii="Times New Roman" w:hAnsi="Times New Roman" w:eastAsia="仿宋_GB2312"/>
          <w:sz w:val="24"/>
          <w:szCs w:val="24"/>
        </w:rPr>
        <w:t>市政府采购工作的关心和支持！</w:t>
      </w:r>
      <w:r>
        <w:rPr>
          <w:rFonts w:hint="eastAsia" w:ascii="Times New Roman" w:hAnsi="Times New Roman" w:eastAsia="仿宋_GB2312"/>
          <w:sz w:val="24"/>
          <w:szCs w:val="24"/>
          <w:lang w:eastAsia="zh-CN"/>
        </w:rPr>
        <w:t>让我们携起手来</w:t>
      </w:r>
      <w:r>
        <w:rPr>
          <w:rFonts w:hint="eastAsia" w:ascii="Times New Roman" w:hAnsi="Times New Roman" w:eastAsia="仿宋_GB2312"/>
          <w:sz w:val="24"/>
          <w:szCs w:val="24"/>
        </w:rPr>
        <w:t>为“美好生活看信阳”做出财政贡献！</w:t>
      </w:r>
    </w:p>
    <w:p w14:paraId="2F2820DB">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right"/>
        <w:textAlignment w:val="auto"/>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信阳市财政局</w:t>
      </w:r>
    </w:p>
    <w:p w14:paraId="2C5232B1">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right"/>
        <w:textAlignment w:val="auto"/>
        <w:rPr>
          <w:rFonts w:hint="eastAsia" w:ascii="仿宋" w:hAnsi="仿宋" w:eastAsia="仿宋" w:cs="仿宋"/>
          <w:color w:val="auto"/>
          <w:sz w:val="32"/>
          <w:szCs w:val="32"/>
          <w:highlight w:val="none"/>
          <w:lang w:val="en-US" w:eastAsia="zh-CN"/>
        </w:rPr>
      </w:pPr>
      <w:r>
        <w:rPr>
          <w:rFonts w:hint="eastAsia" w:ascii="Times New Roman" w:hAnsi="Times New Roman" w:eastAsia="仿宋_GB2312"/>
          <w:sz w:val="24"/>
          <w:szCs w:val="24"/>
          <w:lang w:val="en-US" w:eastAsia="zh-CN"/>
        </w:rPr>
        <w:t>2025年3月</w:t>
      </w:r>
    </w:p>
    <w:p w14:paraId="76F3A12C">
      <w:pPr>
        <w:pStyle w:val="56"/>
        <w:ind w:left="0" w:leftChars="0" w:firstLine="0" w:firstLineChars="0"/>
        <w:jc w:val="center"/>
        <w:rPr>
          <w:rFonts w:hint="eastAsia" w:cs="微软雅黑"/>
          <w:bCs/>
          <w:color w:val="auto"/>
          <w:spacing w:val="14"/>
          <w:sz w:val="44"/>
          <w:szCs w:val="44"/>
        </w:rPr>
        <w:sectPr>
          <w:headerReference r:id="rId4" w:type="default"/>
          <w:footerReference r:id="rId5" w:type="default"/>
          <w:pgSz w:w="11850" w:h="16783"/>
          <w:pgMar w:top="1271" w:right="851" w:bottom="1232" w:left="1071" w:header="850" w:footer="669" w:gutter="0"/>
          <w:pgBorders>
            <w:top w:val="none" w:sz="0" w:space="0"/>
            <w:left w:val="none" w:sz="0" w:space="0"/>
            <w:bottom w:val="none" w:sz="0" w:space="0"/>
            <w:right w:val="none" w:sz="0" w:space="0"/>
          </w:pgBorders>
          <w:pgNumType w:start="1"/>
          <w:cols w:space="720" w:num="1"/>
          <w:docGrid w:type="lines" w:linePitch="380" w:charSpace="0"/>
        </w:sectPr>
      </w:pPr>
    </w:p>
    <w:p w14:paraId="259FC827">
      <w:pPr>
        <w:rPr>
          <w:rFonts w:hint="eastAsia" w:ascii="宋体" w:hAnsi="宋体" w:cs="宋体"/>
          <w:b/>
          <w:color w:val="auto"/>
          <w:sz w:val="32"/>
          <w:highlight w:val="none"/>
        </w:rPr>
      </w:pPr>
    </w:p>
    <w:sdt>
      <w:sdtPr>
        <w:rPr>
          <w:rFonts w:ascii="宋体" w:hAnsi="宋体" w:eastAsia="宋体" w:cs="Times New Roman"/>
          <w:kern w:val="2"/>
          <w:sz w:val="21"/>
          <w:lang w:val="en-US" w:eastAsia="zh-CN" w:bidi="ar-SA"/>
        </w:rPr>
        <w:id w:val="147459814"/>
        <w15:color w:val="DBDBDB"/>
        <w:docPartObj>
          <w:docPartGallery w:val="Table of Contents"/>
          <w:docPartUnique/>
        </w:docPartObj>
      </w:sdtPr>
      <w:sdtEndPr>
        <w:rPr>
          <w:rFonts w:hint="eastAsia" w:ascii="宋体" w:hAnsi="宋体" w:eastAsia="宋体" w:cs="宋体"/>
          <w:bCs/>
          <w:color w:val="auto"/>
          <w:kern w:val="2"/>
          <w:sz w:val="24"/>
          <w:szCs w:val="24"/>
          <w:highlight w:val="none"/>
          <w:lang w:val="en-US" w:eastAsia="zh-CN" w:bidi="ar-SA"/>
        </w:rPr>
      </w:sdtEndPr>
      <w:sdtContent>
        <w:p w14:paraId="05DF8F9A">
          <w:pPr>
            <w:spacing w:before="0" w:beforeLines="0" w:after="0" w:afterLines="0" w:line="240" w:lineRule="auto"/>
            <w:ind w:left="0" w:leftChars="0" w:right="0" w:rightChars="0" w:firstLine="0" w:firstLineChars="0"/>
            <w:jc w:val="center"/>
            <w:rPr>
              <w:b/>
              <w:bCs/>
              <w:sz w:val="48"/>
              <w:szCs w:val="32"/>
            </w:rPr>
          </w:pPr>
          <w:r>
            <w:rPr>
              <w:rFonts w:ascii="宋体" w:hAnsi="宋体" w:eastAsia="宋体"/>
              <w:b/>
              <w:bCs/>
              <w:sz w:val="36"/>
              <w:szCs w:val="32"/>
            </w:rPr>
            <w:t>目</w:t>
          </w:r>
          <w:r>
            <w:rPr>
              <w:rFonts w:hint="eastAsia" w:ascii="宋体" w:hAnsi="宋体" w:eastAsia="宋体"/>
              <w:b/>
              <w:bCs/>
              <w:sz w:val="36"/>
              <w:szCs w:val="32"/>
              <w:lang w:val="en-US" w:eastAsia="zh-CN"/>
            </w:rPr>
            <w:t xml:space="preserve">  </w:t>
          </w:r>
          <w:r>
            <w:rPr>
              <w:rFonts w:ascii="宋体" w:hAnsi="宋体" w:eastAsia="宋体"/>
              <w:b/>
              <w:bCs/>
              <w:sz w:val="36"/>
              <w:szCs w:val="32"/>
            </w:rPr>
            <w:t>录</w:t>
          </w:r>
        </w:p>
        <w:p w14:paraId="74B7CA3C">
          <w:pPr>
            <w:pStyle w:val="19"/>
            <w:pageBreakBefore w:val="0"/>
            <w:tabs>
              <w:tab w:val="right" w:leader="dot" w:pos="8595"/>
            </w:tabs>
            <w:kinsoku/>
            <w:wordWrap/>
            <w:overflowPunct/>
            <w:topLinePunct w:val="0"/>
            <w:bidi w:val="0"/>
            <w:adjustRightInd/>
            <w:snapToGrid/>
            <w:spacing w:line="720" w:lineRule="auto"/>
            <w:ind w:left="0" w:leftChars="0" w:right="0" w:rightChars="0"/>
            <w:rPr>
              <w:rFonts w:hint="eastAsia" w:ascii="宋体" w:hAnsi="宋体" w:eastAsia="宋体" w:cs="宋体"/>
              <w:bCs/>
              <w:color w:val="auto"/>
              <w:sz w:val="32"/>
              <w:szCs w:val="32"/>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TOC \o "1-1" \h \u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32"/>
              <w:szCs w:val="32"/>
              <w:highlight w:val="none"/>
            </w:rPr>
            <w:fldChar w:fldCharType="begin"/>
          </w:r>
          <w:r>
            <w:rPr>
              <w:rFonts w:hint="eastAsia" w:ascii="宋体" w:hAnsi="宋体" w:eastAsia="宋体" w:cs="宋体"/>
              <w:bCs/>
              <w:color w:val="auto"/>
              <w:sz w:val="32"/>
              <w:szCs w:val="32"/>
              <w:highlight w:val="none"/>
            </w:rPr>
            <w:instrText xml:space="preserve"> HYPERLINK \l _Toc14650 </w:instrText>
          </w:r>
          <w:r>
            <w:rPr>
              <w:rFonts w:hint="eastAsia" w:ascii="宋体" w:hAnsi="宋体" w:eastAsia="宋体" w:cs="宋体"/>
              <w:bCs/>
              <w:color w:val="auto"/>
              <w:sz w:val="32"/>
              <w:szCs w:val="32"/>
              <w:highlight w:val="none"/>
            </w:rPr>
            <w:fldChar w:fldCharType="separate"/>
          </w:r>
          <w:r>
            <w:rPr>
              <w:rFonts w:hint="eastAsia" w:ascii="宋体" w:hAnsi="宋体" w:eastAsia="宋体" w:cs="宋体"/>
              <w:bCs/>
              <w:color w:val="auto"/>
              <w:sz w:val="32"/>
              <w:szCs w:val="32"/>
              <w:highlight w:val="none"/>
              <w:lang w:val="en-US" w:eastAsia="zh-CN"/>
            </w:rPr>
            <w:t>第一章 招标公告</w:t>
          </w:r>
          <w:r>
            <w:rPr>
              <w:rFonts w:hint="eastAsia" w:ascii="宋体" w:hAnsi="宋体" w:eastAsia="宋体" w:cs="宋体"/>
              <w:bCs/>
              <w:color w:val="auto"/>
              <w:sz w:val="32"/>
              <w:szCs w:val="32"/>
              <w:highlight w:val="none"/>
            </w:rPr>
            <w:fldChar w:fldCharType="end"/>
          </w:r>
        </w:p>
        <w:p w14:paraId="5BA2D62A">
          <w:pPr>
            <w:pStyle w:val="19"/>
            <w:pageBreakBefore w:val="0"/>
            <w:tabs>
              <w:tab w:val="right" w:leader="dot" w:pos="8595"/>
            </w:tabs>
            <w:kinsoku/>
            <w:wordWrap/>
            <w:overflowPunct/>
            <w:topLinePunct w:val="0"/>
            <w:bidi w:val="0"/>
            <w:adjustRightInd/>
            <w:snapToGrid/>
            <w:spacing w:line="720" w:lineRule="auto"/>
            <w:ind w:left="0" w:leftChars="0" w:right="0" w:rightChars="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fldChar w:fldCharType="begin"/>
          </w:r>
          <w:r>
            <w:rPr>
              <w:rFonts w:hint="eastAsia" w:ascii="宋体" w:hAnsi="宋体" w:eastAsia="宋体" w:cs="宋体"/>
              <w:bCs/>
              <w:color w:val="auto"/>
              <w:sz w:val="32"/>
              <w:szCs w:val="32"/>
              <w:highlight w:val="none"/>
            </w:rPr>
            <w:instrText xml:space="preserve"> HYPERLINK \l _Toc22785 </w:instrText>
          </w:r>
          <w:r>
            <w:rPr>
              <w:rFonts w:hint="eastAsia" w:ascii="宋体" w:hAnsi="宋体" w:eastAsia="宋体" w:cs="宋体"/>
              <w:bCs/>
              <w:color w:val="auto"/>
              <w:sz w:val="32"/>
              <w:szCs w:val="32"/>
              <w:highlight w:val="none"/>
            </w:rPr>
            <w:fldChar w:fldCharType="separate"/>
          </w:r>
          <w:r>
            <w:rPr>
              <w:rFonts w:hint="eastAsia" w:ascii="宋体" w:hAnsi="宋体" w:eastAsia="宋体" w:cs="宋体"/>
              <w:bCs/>
              <w:color w:val="auto"/>
              <w:sz w:val="32"/>
              <w:szCs w:val="32"/>
              <w:highlight w:val="none"/>
            </w:rPr>
            <w:t xml:space="preserve">第二章 </w:t>
          </w:r>
          <w:r>
            <w:rPr>
              <w:rFonts w:hint="eastAsia" w:ascii="宋体" w:hAnsi="宋体" w:eastAsia="宋体" w:cs="宋体"/>
              <w:bCs/>
              <w:color w:val="auto"/>
              <w:sz w:val="32"/>
              <w:szCs w:val="32"/>
              <w:highlight w:val="none"/>
              <w:lang w:eastAsia="zh-CN"/>
            </w:rPr>
            <w:t>供应商</w:t>
          </w:r>
          <w:r>
            <w:rPr>
              <w:rFonts w:hint="eastAsia" w:ascii="宋体" w:hAnsi="宋体" w:eastAsia="宋体" w:cs="宋体"/>
              <w:bCs/>
              <w:color w:val="auto"/>
              <w:sz w:val="32"/>
              <w:szCs w:val="32"/>
              <w:highlight w:val="none"/>
            </w:rPr>
            <w:t>须知</w:t>
          </w:r>
          <w:r>
            <w:rPr>
              <w:rFonts w:hint="eastAsia" w:ascii="宋体" w:hAnsi="宋体" w:eastAsia="宋体" w:cs="宋体"/>
              <w:bCs/>
              <w:color w:val="auto"/>
              <w:sz w:val="32"/>
              <w:szCs w:val="32"/>
              <w:highlight w:val="none"/>
            </w:rPr>
            <w:fldChar w:fldCharType="end"/>
          </w:r>
        </w:p>
        <w:p w14:paraId="24098C0F">
          <w:pPr>
            <w:pStyle w:val="19"/>
            <w:pageBreakBefore w:val="0"/>
            <w:tabs>
              <w:tab w:val="right" w:leader="dot" w:pos="8595"/>
            </w:tabs>
            <w:kinsoku/>
            <w:wordWrap/>
            <w:overflowPunct/>
            <w:topLinePunct w:val="0"/>
            <w:bidi w:val="0"/>
            <w:adjustRightInd/>
            <w:snapToGrid/>
            <w:spacing w:line="720" w:lineRule="auto"/>
            <w:ind w:left="0" w:leftChars="0" w:right="0" w:rightChars="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fldChar w:fldCharType="begin"/>
          </w:r>
          <w:r>
            <w:rPr>
              <w:rFonts w:hint="eastAsia" w:ascii="宋体" w:hAnsi="宋体" w:eastAsia="宋体" w:cs="宋体"/>
              <w:bCs/>
              <w:color w:val="auto"/>
              <w:sz w:val="32"/>
              <w:szCs w:val="32"/>
              <w:highlight w:val="none"/>
            </w:rPr>
            <w:instrText xml:space="preserve"> HYPERLINK \l _Toc21157 </w:instrText>
          </w:r>
          <w:r>
            <w:rPr>
              <w:rFonts w:hint="eastAsia" w:ascii="宋体" w:hAnsi="宋体" w:eastAsia="宋体" w:cs="宋体"/>
              <w:bCs/>
              <w:color w:val="auto"/>
              <w:sz w:val="32"/>
              <w:szCs w:val="32"/>
              <w:highlight w:val="none"/>
            </w:rPr>
            <w:fldChar w:fldCharType="separate"/>
          </w:r>
          <w:r>
            <w:rPr>
              <w:rFonts w:hint="eastAsia" w:ascii="宋体" w:hAnsi="宋体" w:eastAsia="宋体" w:cs="宋体"/>
              <w:bCs/>
              <w:color w:val="auto"/>
              <w:sz w:val="32"/>
              <w:szCs w:val="32"/>
              <w:highlight w:val="none"/>
            </w:rPr>
            <w:t>第三章  评标办法</w:t>
          </w:r>
          <w:r>
            <w:rPr>
              <w:rFonts w:hint="eastAsia" w:ascii="宋体" w:hAnsi="宋体" w:eastAsia="宋体" w:cs="宋体"/>
              <w:bCs/>
              <w:color w:val="auto"/>
              <w:sz w:val="32"/>
              <w:szCs w:val="32"/>
              <w:highlight w:val="none"/>
            </w:rPr>
            <w:fldChar w:fldCharType="end"/>
          </w:r>
        </w:p>
        <w:p w14:paraId="1B548558">
          <w:pPr>
            <w:pStyle w:val="19"/>
            <w:pageBreakBefore w:val="0"/>
            <w:tabs>
              <w:tab w:val="right" w:leader="dot" w:pos="8595"/>
            </w:tabs>
            <w:kinsoku/>
            <w:wordWrap/>
            <w:overflowPunct/>
            <w:topLinePunct w:val="0"/>
            <w:bidi w:val="0"/>
            <w:adjustRightInd/>
            <w:snapToGrid/>
            <w:spacing w:line="720" w:lineRule="auto"/>
            <w:ind w:left="0" w:leftChars="0" w:right="0" w:rightChars="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fldChar w:fldCharType="begin"/>
          </w:r>
          <w:r>
            <w:rPr>
              <w:rFonts w:hint="eastAsia" w:ascii="宋体" w:hAnsi="宋体" w:eastAsia="宋体" w:cs="宋体"/>
              <w:bCs/>
              <w:color w:val="auto"/>
              <w:sz w:val="32"/>
              <w:szCs w:val="32"/>
              <w:highlight w:val="none"/>
            </w:rPr>
            <w:instrText xml:space="preserve"> HYPERLINK \l _Toc14342 </w:instrText>
          </w:r>
          <w:r>
            <w:rPr>
              <w:rFonts w:hint="eastAsia" w:ascii="宋体" w:hAnsi="宋体" w:eastAsia="宋体" w:cs="宋体"/>
              <w:bCs/>
              <w:color w:val="auto"/>
              <w:sz w:val="32"/>
              <w:szCs w:val="32"/>
              <w:highlight w:val="none"/>
            </w:rPr>
            <w:fldChar w:fldCharType="separate"/>
          </w:r>
          <w:r>
            <w:rPr>
              <w:rFonts w:hint="eastAsia" w:ascii="宋体" w:hAnsi="宋体" w:eastAsia="宋体" w:cs="宋体"/>
              <w:bCs/>
              <w:color w:val="auto"/>
              <w:sz w:val="32"/>
              <w:szCs w:val="32"/>
              <w:highlight w:val="none"/>
            </w:rPr>
            <w:t>第四章 合同主要条款</w:t>
          </w:r>
          <w:r>
            <w:rPr>
              <w:rFonts w:hint="eastAsia" w:ascii="宋体" w:hAnsi="宋体" w:eastAsia="宋体" w:cs="宋体"/>
              <w:bCs/>
              <w:color w:val="auto"/>
              <w:sz w:val="32"/>
              <w:szCs w:val="32"/>
              <w:highlight w:val="none"/>
              <w:lang w:eastAsia="zh-CN"/>
            </w:rPr>
            <w:t>及格式</w:t>
          </w:r>
          <w:r>
            <w:rPr>
              <w:rFonts w:hint="eastAsia" w:ascii="宋体" w:hAnsi="宋体" w:eastAsia="宋体" w:cs="宋体"/>
              <w:bCs/>
              <w:color w:val="auto"/>
              <w:sz w:val="32"/>
              <w:szCs w:val="32"/>
              <w:highlight w:val="none"/>
            </w:rPr>
            <w:fldChar w:fldCharType="end"/>
          </w:r>
        </w:p>
        <w:p w14:paraId="58497E55">
          <w:pPr>
            <w:pStyle w:val="19"/>
            <w:pageBreakBefore w:val="0"/>
            <w:tabs>
              <w:tab w:val="right" w:leader="dot" w:pos="8595"/>
            </w:tabs>
            <w:kinsoku/>
            <w:wordWrap/>
            <w:overflowPunct/>
            <w:topLinePunct w:val="0"/>
            <w:bidi w:val="0"/>
            <w:adjustRightInd/>
            <w:snapToGrid/>
            <w:spacing w:line="720" w:lineRule="auto"/>
            <w:ind w:left="0" w:leftChars="0" w:right="0" w:rightChars="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fldChar w:fldCharType="begin"/>
          </w:r>
          <w:r>
            <w:rPr>
              <w:rFonts w:hint="eastAsia" w:ascii="宋体" w:hAnsi="宋体" w:eastAsia="宋体" w:cs="宋体"/>
              <w:bCs/>
              <w:color w:val="auto"/>
              <w:sz w:val="32"/>
              <w:szCs w:val="32"/>
              <w:highlight w:val="none"/>
            </w:rPr>
            <w:instrText xml:space="preserve"> HYPERLINK \l _Toc17187 </w:instrText>
          </w:r>
          <w:r>
            <w:rPr>
              <w:rFonts w:hint="eastAsia" w:ascii="宋体" w:hAnsi="宋体" w:eastAsia="宋体" w:cs="宋体"/>
              <w:bCs/>
              <w:color w:val="auto"/>
              <w:sz w:val="32"/>
              <w:szCs w:val="32"/>
              <w:highlight w:val="none"/>
            </w:rPr>
            <w:fldChar w:fldCharType="separate"/>
          </w:r>
          <w:r>
            <w:rPr>
              <w:rFonts w:hint="eastAsia" w:ascii="宋体" w:hAnsi="宋体" w:eastAsia="宋体" w:cs="宋体"/>
              <w:bCs/>
              <w:color w:val="auto"/>
              <w:sz w:val="32"/>
              <w:szCs w:val="32"/>
              <w:highlight w:val="none"/>
              <w:lang w:val="en-US" w:eastAsia="zh-CN"/>
            </w:rPr>
            <w:t>第五章 服务内容与要求</w:t>
          </w:r>
          <w:r>
            <w:rPr>
              <w:rFonts w:hint="eastAsia" w:ascii="宋体" w:hAnsi="宋体" w:eastAsia="宋体" w:cs="宋体"/>
              <w:bCs/>
              <w:color w:val="auto"/>
              <w:sz w:val="32"/>
              <w:szCs w:val="32"/>
              <w:highlight w:val="none"/>
            </w:rPr>
            <w:fldChar w:fldCharType="end"/>
          </w:r>
        </w:p>
        <w:p w14:paraId="16725C51">
          <w:pPr>
            <w:pStyle w:val="19"/>
            <w:pageBreakBefore w:val="0"/>
            <w:tabs>
              <w:tab w:val="right" w:leader="dot" w:pos="8595"/>
            </w:tabs>
            <w:kinsoku/>
            <w:wordWrap/>
            <w:overflowPunct/>
            <w:topLinePunct w:val="0"/>
            <w:bidi w:val="0"/>
            <w:adjustRightInd/>
            <w:snapToGrid/>
            <w:spacing w:line="720" w:lineRule="auto"/>
            <w:ind w:left="0" w:leftChars="0" w:right="0" w:rightChars="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fldChar w:fldCharType="begin"/>
          </w:r>
          <w:r>
            <w:rPr>
              <w:rFonts w:hint="eastAsia" w:ascii="宋体" w:hAnsi="宋体" w:eastAsia="宋体" w:cs="宋体"/>
              <w:bCs/>
              <w:color w:val="auto"/>
              <w:sz w:val="32"/>
              <w:szCs w:val="32"/>
              <w:highlight w:val="none"/>
            </w:rPr>
            <w:instrText xml:space="preserve"> HYPERLINK \l _Toc22847 </w:instrText>
          </w:r>
          <w:r>
            <w:rPr>
              <w:rFonts w:hint="eastAsia" w:ascii="宋体" w:hAnsi="宋体" w:eastAsia="宋体" w:cs="宋体"/>
              <w:bCs/>
              <w:color w:val="auto"/>
              <w:sz w:val="32"/>
              <w:szCs w:val="32"/>
              <w:highlight w:val="none"/>
            </w:rPr>
            <w:fldChar w:fldCharType="separate"/>
          </w:r>
          <w:r>
            <w:rPr>
              <w:rFonts w:hint="eastAsia" w:ascii="宋体" w:hAnsi="宋体" w:eastAsia="宋体" w:cs="宋体"/>
              <w:bCs/>
              <w:color w:val="auto"/>
              <w:sz w:val="32"/>
              <w:szCs w:val="32"/>
              <w:highlight w:val="none"/>
            </w:rPr>
            <w:t>第六章 投标文件格式</w:t>
          </w:r>
          <w:r>
            <w:rPr>
              <w:rFonts w:hint="eastAsia" w:ascii="宋体" w:hAnsi="宋体" w:eastAsia="宋体" w:cs="宋体"/>
              <w:bCs/>
              <w:color w:val="auto"/>
              <w:sz w:val="32"/>
              <w:szCs w:val="32"/>
              <w:highlight w:val="none"/>
            </w:rPr>
            <w:fldChar w:fldCharType="end"/>
          </w:r>
        </w:p>
        <w:p w14:paraId="13C284A3">
          <w:pPr>
            <w:pStyle w:val="19"/>
            <w:pageBreakBefore w:val="0"/>
            <w:tabs>
              <w:tab w:val="right" w:leader="dot" w:pos="8595"/>
            </w:tabs>
            <w:kinsoku/>
            <w:wordWrap/>
            <w:overflowPunct/>
            <w:topLinePunct w:val="0"/>
            <w:bidi w:val="0"/>
            <w:adjustRightInd/>
            <w:snapToGrid/>
            <w:spacing w:line="720" w:lineRule="auto"/>
            <w:ind w:left="0" w:leftChars="0" w:right="0" w:rightChars="0"/>
            <w:rPr>
              <w:rFonts w:hint="eastAsia" w:ascii="宋体" w:hAnsi="宋体" w:eastAsia="宋体" w:cs="宋体"/>
              <w:bCs/>
              <w:color w:val="auto"/>
              <w:sz w:val="24"/>
              <w:szCs w:val="24"/>
              <w:highlight w:val="none"/>
            </w:rPr>
          </w:pPr>
          <w:r>
            <w:rPr>
              <w:rFonts w:hint="eastAsia" w:ascii="宋体" w:hAnsi="宋体" w:eastAsia="宋体" w:cs="宋体"/>
              <w:bCs/>
              <w:color w:val="auto"/>
              <w:sz w:val="32"/>
              <w:szCs w:val="32"/>
              <w:highlight w:val="none"/>
            </w:rPr>
            <w:fldChar w:fldCharType="begin"/>
          </w:r>
          <w:r>
            <w:rPr>
              <w:rFonts w:hint="eastAsia" w:ascii="宋体" w:hAnsi="宋体" w:eastAsia="宋体" w:cs="宋体"/>
              <w:bCs/>
              <w:color w:val="auto"/>
              <w:sz w:val="32"/>
              <w:szCs w:val="32"/>
              <w:highlight w:val="none"/>
            </w:rPr>
            <w:instrText xml:space="preserve"> HYPERLINK \l _Toc16937 </w:instrText>
          </w:r>
          <w:r>
            <w:rPr>
              <w:rFonts w:hint="eastAsia" w:ascii="宋体" w:hAnsi="宋体" w:eastAsia="宋体" w:cs="宋体"/>
              <w:bCs/>
              <w:color w:val="auto"/>
              <w:sz w:val="32"/>
              <w:szCs w:val="32"/>
              <w:highlight w:val="none"/>
            </w:rPr>
            <w:fldChar w:fldCharType="separate"/>
          </w:r>
          <w:r>
            <w:rPr>
              <w:rFonts w:hint="eastAsia" w:ascii="宋体" w:hAnsi="宋体" w:eastAsia="宋体" w:cs="宋体"/>
              <w:bCs/>
              <w:color w:val="auto"/>
              <w:sz w:val="32"/>
              <w:szCs w:val="32"/>
              <w:highlight w:val="none"/>
            </w:rPr>
            <w:t>河南省政府采购合同融资政策告知函</w:t>
          </w:r>
          <w:r>
            <w:rPr>
              <w:rFonts w:hint="eastAsia" w:ascii="宋体" w:hAnsi="宋体" w:eastAsia="宋体" w:cs="宋体"/>
              <w:bCs/>
              <w:color w:val="auto"/>
              <w:sz w:val="32"/>
              <w:szCs w:val="32"/>
              <w:highlight w:val="none"/>
            </w:rPr>
            <w:fldChar w:fldCharType="end"/>
          </w:r>
        </w:p>
        <w:p w14:paraId="4026D9C2">
          <w:pPr>
            <w:pStyle w:val="19"/>
            <w:pageBreakBefore w:val="0"/>
            <w:tabs>
              <w:tab w:val="right" w:leader="dot" w:pos="8595"/>
            </w:tabs>
            <w:kinsoku/>
            <w:wordWrap/>
            <w:overflowPunct/>
            <w:topLinePunct w:val="0"/>
            <w:bidi w:val="0"/>
            <w:adjustRightInd/>
            <w:snapToGrid/>
            <w:spacing w:line="720" w:lineRule="auto"/>
            <w:ind w:left="0" w:leftChars="0" w:right="0" w:rightChars="0"/>
            <w:rPr>
              <w:rFonts w:hint="eastAsia" w:ascii="宋体" w:hAnsi="宋体" w:eastAsia="宋体" w:cs="宋体"/>
              <w:bCs/>
              <w:color w:val="auto"/>
              <w:sz w:val="24"/>
              <w:szCs w:val="24"/>
              <w:highlight w:val="none"/>
            </w:rPr>
            <w:sectPr>
              <w:footerReference r:id="rId6" w:type="default"/>
              <w:pgSz w:w="11905" w:h="16838"/>
              <w:pgMar w:top="1440" w:right="1247" w:bottom="1440" w:left="1247" w:header="850" w:footer="850" w:gutter="0"/>
              <w:pgBorders>
                <w:top w:val="none" w:sz="0" w:space="0"/>
                <w:left w:val="none" w:sz="0" w:space="0"/>
                <w:bottom w:val="none" w:sz="0" w:space="0"/>
                <w:right w:val="none" w:sz="0" w:space="0"/>
              </w:pgBorders>
              <w:pgNumType w:fmt="decimal" w:start="1"/>
              <w:cols w:space="0" w:num="1"/>
              <w:rtlGutter w:val="0"/>
              <w:docGrid w:type="lines" w:linePitch="423" w:charSpace="0"/>
            </w:sectPr>
          </w:pPr>
          <w:r>
            <w:rPr>
              <w:rFonts w:hint="eastAsia" w:ascii="宋体" w:hAnsi="宋体" w:eastAsia="宋体" w:cs="宋体"/>
              <w:bCs/>
              <w:color w:val="auto"/>
              <w:sz w:val="24"/>
              <w:szCs w:val="24"/>
              <w:highlight w:val="none"/>
            </w:rPr>
            <w:fldChar w:fldCharType="end"/>
          </w:r>
        </w:p>
      </w:sdtContent>
    </w:sdt>
    <w:p w14:paraId="717F10C1">
      <w:pPr>
        <w:pStyle w:val="56"/>
        <w:pageBreakBefore w:val="0"/>
        <w:kinsoku/>
        <w:wordWrap/>
        <w:overflowPunct/>
        <w:topLinePunct w:val="0"/>
        <w:bidi w:val="0"/>
        <w:adjustRightInd/>
        <w:snapToGrid/>
        <w:ind w:left="0" w:leftChars="0" w:right="0" w:rightChars="0"/>
        <w:jc w:val="center"/>
        <w:rPr>
          <w:rFonts w:hint="eastAsia" w:ascii="宋体" w:hAnsi="宋体" w:cs="宋体"/>
          <w:b/>
          <w:bCs/>
          <w:color w:val="auto"/>
          <w:sz w:val="24"/>
          <w:highlight w:val="none"/>
        </w:rPr>
      </w:pPr>
      <w:r>
        <w:rPr>
          <w:rFonts w:hint="eastAsia" w:ascii="宋体" w:hAnsi="宋体" w:eastAsia="宋体" w:cs="宋体"/>
          <w:b/>
          <w:color w:val="auto"/>
          <w:spacing w:val="14"/>
          <w:sz w:val="44"/>
          <w:szCs w:val="44"/>
          <w:highlight w:val="none"/>
        </w:rPr>
        <w:t>电子招投标特别提示</w:t>
      </w:r>
    </w:p>
    <w:p w14:paraId="5867C563">
      <w:pPr>
        <w:pageBreakBefore w:val="0"/>
        <w:kinsoku/>
        <w:wordWrap/>
        <w:overflowPunct/>
        <w:topLinePunct w:val="0"/>
        <w:bidi w:val="0"/>
        <w:adjustRightInd/>
        <w:snapToGrid/>
        <w:spacing w:line="360" w:lineRule="exact"/>
        <w:ind w:left="0" w:leftChars="0" w:right="0" w:rightChars="0"/>
        <w:rPr>
          <w:rFonts w:hint="eastAsia" w:ascii="宋体" w:hAnsi="宋体" w:eastAsia="宋体" w:cs="宋体"/>
          <w:b/>
          <w:bCs/>
          <w:color w:val="auto"/>
          <w:sz w:val="21"/>
          <w:szCs w:val="21"/>
          <w:highlight w:val="none"/>
          <w:u w:val="double"/>
        </w:rPr>
      </w:pPr>
      <w:r>
        <w:rPr>
          <w:rFonts w:hint="eastAsia" w:ascii="宋体" w:hAnsi="宋体" w:eastAsia="宋体" w:cs="宋体"/>
          <w:b/>
          <w:bCs/>
          <w:color w:val="auto"/>
          <w:sz w:val="21"/>
          <w:szCs w:val="21"/>
          <w:highlight w:val="none"/>
          <w:u w:val="double"/>
        </w:rPr>
        <w:t>一、</w:t>
      </w:r>
      <w:r>
        <w:rPr>
          <w:rFonts w:hint="eastAsia" w:ascii="宋体" w:hAnsi="宋体" w:cs="宋体"/>
          <w:b/>
          <w:bCs/>
          <w:color w:val="auto"/>
          <w:sz w:val="21"/>
          <w:szCs w:val="21"/>
          <w:highlight w:val="none"/>
          <w:u w:val="double"/>
          <w:lang w:eastAsia="zh-CN"/>
        </w:rPr>
        <w:t>投标人</w:t>
      </w:r>
      <w:r>
        <w:rPr>
          <w:rFonts w:hint="eastAsia" w:ascii="宋体" w:hAnsi="宋体" w:eastAsia="宋体" w:cs="宋体"/>
          <w:b/>
          <w:bCs/>
          <w:color w:val="auto"/>
          <w:sz w:val="21"/>
          <w:szCs w:val="21"/>
          <w:highlight w:val="none"/>
          <w:u w:val="double"/>
        </w:rPr>
        <w:t>（供应商）注册</w:t>
      </w:r>
    </w:p>
    <w:p w14:paraId="2AD0CB48">
      <w:pPr>
        <w:pageBreakBefore w:val="0"/>
        <w:kinsoku/>
        <w:wordWrap/>
        <w:overflowPunct/>
        <w:topLinePunct w:val="0"/>
        <w:bidi w:val="0"/>
        <w:adjustRightInd/>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凡有意参加本项目的</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（供应商），请</w:t>
      </w:r>
      <w:r>
        <w:rPr>
          <w:rFonts w:hint="eastAsia" w:ascii="宋体" w:hAnsi="宋体" w:cs="宋体"/>
          <w:color w:val="auto"/>
          <w:sz w:val="21"/>
          <w:szCs w:val="21"/>
          <w:highlight w:val="none"/>
          <w:lang w:eastAsia="zh-CN"/>
        </w:rPr>
        <w:t>登录</w:t>
      </w:r>
      <w:r>
        <w:rPr>
          <w:rFonts w:hint="eastAsia" w:ascii="宋体" w:hAnsi="宋体" w:eastAsia="宋体" w:cs="宋体"/>
          <w:color w:val="auto"/>
          <w:sz w:val="21"/>
          <w:szCs w:val="21"/>
          <w:highlight w:val="none"/>
        </w:rPr>
        <w:t>“全国公共资源交易平台（河南省·信阳市）（</w:t>
      </w:r>
      <w:r>
        <w:rPr>
          <w:rFonts w:hint="eastAsia" w:ascii="宋体" w:hAnsi="宋体" w:cs="宋体"/>
          <w:color w:val="auto"/>
          <w:sz w:val="21"/>
          <w:szCs w:val="21"/>
          <w:highlight w:val="none"/>
          <w:lang w:eastAsia="zh-CN"/>
        </w:rPr>
        <w:t>ggzyjy.xinyang.gov.cn</w:t>
      </w:r>
      <w:r>
        <w:rPr>
          <w:rFonts w:hint="eastAsia" w:ascii="宋体" w:hAnsi="宋体" w:eastAsia="宋体" w:cs="宋体"/>
          <w:color w:val="auto"/>
          <w:sz w:val="21"/>
          <w:szCs w:val="21"/>
          <w:highlight w:val="none"/>
        </w:rPr>
        <w:t>）”网站进行交易主体自主注册，按网站公告通知有关要求填报企业信息并上传有关原件扫描件至诚信库，不需携带原件到信阳市公共资源交易中心进行审核。</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（供应商）应对所上传材料的真实性、合法性、有效性负责，其上传的信息将全部对外公示，接受社会监督。</w:t>
      </w:r>
    </w:p>
    <w:p w14:paraId="6BB472B7">
      <w:pPr>
        <w:pageBreakBefore w:val="0"/>
        <w:kinsoku/>
        <w:wordWrap/>
        <w:overflowPunct/>
        <w:topLinePunct w:val="0"/>
        <w:bidi w:val="0"/>
        <w:adjustRightInd/>
        <w:snapToGrid/>
        <w:spacing w:line="360" w:lineRule="exact"/>
        <w:ind w:left="0" w:leftChars="0" w:right="0" w:rightChars="0"/>
        <w:rPr>
          <w:rFonts w:hint="eastAsia" w:ascii="宋体" w:hAnsi="宋体" w:eastAsia="宋体" w:cs="宋体"/>
          <w:b/>
          <w:bCs/>
          <w:color w:val="auto"/>
          <w:sz w:val="21"/>
          <w:szCs w:val="21"/>
          <w:highlight w:val="none"/>
          <w:u w:val="double"/>
        </w:rPr>
      </w:pPr>
      <w:r>
        <w:rPr>
          <w:rFonts w:hint="eastAsia" w:ascii="宋体" w:hAnsi="宋体" w:eastAsia="宋体" w:cs="宋体"/>
          <w:b/>
          <w:bCs/>
          <w:color w:val="auto"/>
          <w:sz w:val="21"/>
          <w:szCs w:val="21"/>
          <w:highlight w:val="none"/>
          <w:u w:val="double"/>
        </w:rPr>
        <w:t>二、办理CA数字证书</w:t>
      </w:r>
    </w:p>
    <w:p w14:paraId="05A5E9BA">
      <w:pPr>
        <w:pageBreakBefore w:val="0"/>
        <w:kinsoku/>
        <w:wordWrap/>
        <w:overflowPunct/>
        <w:topLinePunct w:val="0"/>
        <w:bidi w:val="0"/>
        <w:adjustRightInd/>
        <w:snapToGrid/>
        <w:spacing w:line="360" w:lineRule="exact"/>
        <w:ind w:left="0" w:leftChars="0" w:right="0" w:rightChars="0" w:firstLine="420" w:firstLineChars="200"/>
        <w:rPr>
          <w:rFonts w:hint="eastAsia" w:ascii="宋体" w:hAnsi="宋体" w:eastAsia="宋体" w:cs="宋体"/>
          <w:color w:val="auto"/>
          <w:sz w:val="21"/>
          <w:szCs w:val="21"/>
          <w:highlight w:val="none"/>
        </w:rPr>
      </w:pPr>
      <w:bookmarkStart w:id="10" w:name="_Toc14203"/>
      <w:r>
        <w:rPr>
          <w:rFonts w:hint="eastAsia" w:ascii="宋体" w:hAnsi="宋体" w:eastAsia="宋体" w:cs="宋体"/>
          <w:color w:val="auto"/>
          <w:sz w:val="21"/>
          <w:szCs w:val="21"/>
          <w:highlight w:val="none"/>
        </w:rPr>
        <w:t>完成企业诚信库注册后，必须办理CA数字证书方可在网上办理招投标相关业务。</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根据信阳市公共资源交易网通知公告栏目中《关于信阳市公共资源交易平台数字证书（CA）互认系统正式上线运行的通知》要求，自行选择CA数字证书服务商，线上、线下办理CA数字证书。</w:t>
      </w:r>
      <w:bookmarkEnd w:id="10"/>
    </w:p>
    <w:p w14:paraId="11C379E5">
      <w:pPr>
        <w:pageBreakBefore w:val="0"/>
        <w:kinsoku/>
        <w:wordWrap/>
        <w:overflowPunct/>
        <w:topLinePunct w:val="0"/>
        <w:bidi w:val="0"/>
        <w:adjustRightInd/>
        <w:snapToGrid/>
        <w:spacing w:line="360" w:lineRule="exact"/>
        <w:ind w:left="0" w:leftChars="0" w:right="0" w:rightChars="0"/>
        <w:rPr>
          <w:rFonts w:hint="eastAsia" w:ascii="宋体" w:hAnsi="宋体" w:eastAsia="宋体" w:cs="宋体"/>
          <w:b/>
          <w:bCs/>
          <w:color w:val="auto"/>
          <w:sz w:val="21"/>
          <w:szCs w:val="21"/>
          <w:highlight w:val="none"/>
          <w:u w:val="double"/>
        </w:rPr>
      </w:pPr>
      <w:r>
        <w:rPr>
          <w:rFonts w:hint="eastAsia" w:ascii="宋体" w:hAnsi="宋体" w:eastAsia="宋体" w:cs="宋体"/>
          <w:b/>
          <w:bCs/>
          <w:color w:val="auto"/>
          <w:sz w:val="21"/>
          <w:szCs w:val="21"/>
          <w:highlight w:val="none"/>
          <w:u w:val="double"/>
        </w:rPr>
        <w:t>三、招标（采购）文件获取方式</w:t>
      </w:r>
    </w:p>
    <w:p w14:paraId="20E007E9">
      <w:pPr>
        <w:pageBreakBefore w:val="0"/>
        <w:kinsoku/>
        <w:wordWrap/>
        <w:overflowPunct/>
        <w:topLinePunct w:val="0"/>
        <w:bidi w:val="0"/>
        <w:adjustRightInd/>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（供应商）凭CA数字证书</w:t>
      </w:r>
      <w:r>
        <w:rPr>
          <w:rFonts w:hint="eastAsia" w:ascii="宋体" w:hAnsi="宋体" w:cs="宋体"/>
          <w:color w:val="auto"/>
          <w:sz w:val="21"/>
          <w:szCs w:val="21"/>
          <w:highlight w:val="none"/>
          <w:lang w:eastAsia="zh-CN"/>
        </w:rPr>
        <w:t>登录</w:t>
      </w:r>
      <w:r>
        <w:rPr>
          <w:rFonts w:hint="eastAsia" w:ascii="宋体" w:hAnsi="宋体" w:eastAsia="宋体" w:cs="宋体"/>
          <w:color w:val="auto"/>
          <w:sz w:val="21"/>
          <w:szCs w:val="21"/>
          <w:highlight w:val="none"/>
        </w:rPr>
        <w:t>会员系统后，即可按网上提示免费下载招标（采购）文件及资料（操作程序详见信阳市公共资源交易中心网站下载中心栏目里</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操作手册）。招标文件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*.XYZF格式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下载后需使用“信阳市投标文件制作工具软件”打开（该工具软件可在“全国公共资源交易平台（河南省·信阳市）（</w:t>
      </w:r>
      <w:r>
        <w:rPr>
          <w:rFonts w:hint="eastAsia" w:ascii="宋体" w:hAnsi="宋体" w:cs="宋体"/>
          <w:color w:val="auto"/>
          <w:sz w:val="21"/>
          <w:szCs w:val="21"/>
          <w:highlight w:val="none"/>
          <w:lang w:eastAsia="zh-CN"/>
        </w:rPr>
        <w:t>ggzyjy.xinyang.gov.cn</w:t>
      </w:r>
      <w:r>
        <w:rPr>
          <w:rFonts w:hint="eastAsia" w:ascii="宋体" w:hAnsi="宋体" w:eastAsia="宋体" w:cs="宋体"/>
          <w:color w:val="auto"/>
          <w:sz w:val="21"/>
          <w:szCs w:val="21"/>
          <w:highlight w:val="none"/>
        </w:rPr>
        <w:t>）”网站下载中心栏目内下载或在招标文件领取页面下载）。</w:t>
      </w:r>
    </w:p>
    <w:p w14:paraId="56D36894">
      <w:pPr>
        <w:pageBreakBefore w:val="0"/>
        <w:tabs>
          <w:tab w:val="left" w:pos="0"/>
        </w:tabs>
        <w:kinsoku/>
        <w:wordWrap/>
        <w:overflowPunct/>
        <w:topLinePunct w:val="0"/>
        <w:bidi w:val="0"/>
        <w:adjustRightInd/>
        <w:snapToGrid/>
        <w:spacing w:line="360" w:lineRule="exact"/>
        <w:ind w:left="0" w:leftChars="0" w:right="0" w:rightChars="0"/>
        <w:rPr>
          <w:rFonts w:hint="eastAsia" w:ascii="宋体" w:hAnsi="宋体" w:eastAsia="宋体" w:cs="宋体"/>
          <w:b/>
          <w:bCs/>
          <w:color w:val="auto"/>
          <w:sz w:val="21"/>
          <w:szCs w:val="21"/>
          <w:highlight w:val="none"/>
          <w:u w:val="double"/>
        </w:rPr>
      </w:pPr>
      <w:r>
        <w:rPr>
          <w:rFonts w:hint="eastAsia" w:ascii="宋体" w:hAnsi="宋体" w:eastAsia="宋体" w:cs="宋体"/>
          <w:b/>
          <w:bCs/>
          <w:color w:val="auto"/>
          <w:sz w:val="21"/>
          <w:szCs w:val="21"/>
          <w:highlight w:val="none"/>
          <w:u w:val="double"/>
        </w:rPr>
        <w:t>四、投标（响应）文件制作</w:t>
      </w:r>
    </w:p>
    <w:p w14:paraId="4CEB037F">
      <w:pPr>
        <w:pageBreakBefore w:val="0"/>
        <w:tabs>
          <w:tab w:val="left" w:pos="0"/>
        </w:tabs>
        <w:kinsoku/>
        <w:wordWrap/>
        <w:overflowPunct/>
        <w:topLinePunct w:val="0"/>
        <w:bidi w:val="0"/>
        <w:adjustRightInd/>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投标（响应）文件应使用信阳市公共资源交易系统投标文件制作专用工具软件编制，投标（响应）文件格式为“*.XYTF”。</w:t>
      </w:r>
    </w:p>
    <w:p w14:paraId="7BBC8EEA">
      <w:pPr>
        <w:pageBreakBefore w:val="0"/>
        <w:tabs>
          <w:tab w:val="left" w:pos="0"/>
        </w:tabs>
        <w:kinsoku/>
        <w:wordWrap/>
        <w:overflowPunct/>
        <w:topLinePunct w:val="0"/>
        <w:bidi w:val="0"/>
        <w:adjustRightInd/>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（供应商）须在投标（响应）文件递交截止时间前制作并提交。</w:t>
      </w:r>
    </w:p>
    <w:p w14:paraId="65EE857E">
      <w:pPr>
        <w:pStyle w:val="11"/>
        <w:pageBreakBefore w:val="0"/>
        <w:kinsoku/>
        <w:wordWrap/>
        <w:overflowPunct/>
        <w:topLinePunct w:val="0"/>
        <w:bidi w:val="0"/>
        <w:adjustRightInd/>
        <w:snapToGrid/>
        <w:spacing w:after="0" w:afterLines="0" w:line="360" w:lineRule="exact"/>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double"/>
        </w:rPr>
        <w:t>五、投标（响应）文件的签字和盖章要求</w:t>
      </w:r>
    </w:p>
    <w:p w14:paraId="5692FC94">
      <w:pPr>
        <w:pageBreakBefore w:val="0"/>
        <w:kinsoku/>
        <w:wordWrap/>
        <w:overflowPunct/>
        <w:topLinePunct w:val="0"/>
        <w:bidi w:val="0"/>
        <w:adjustRightInd/>
        <w:snapToGrid/>
        <w:spacing w:line="360" w:lineRule="exact"/>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1、投标文件（响应）格式中所有要求</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（供应商）加盖公章的地方都须加盖</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（供应商）的 CA 印章。</w:t>
      </w:r>
    </w:p>
    <w:p w14:paraId="7F90920D">
      <w:pPr>
        <w:pageBreakBefore w:val="0"/>
        <w:kinsoku/>
        <w:wordWrap/>
        <w:overflowPunct/>
        <w:topLinePunct w:val="0"/>
        <w:bidi w:val="0"/>
        <w:adjustRightInd/>
        <w:snapToGrid/>
        <w:spacing w:line="360" w:lineRule="exact"/>
        <w:ind w:left="0" w:leftChars="0" w:right="0" w:rightChars="0" w:firstLine="525" w:firstLineChars="25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2、投标文件（响应）格式中所有要求法定代表人或其委托代理人签字或盖章的地方</w:t>
      </w:r>
      <w:r>
        <w:rPr>
          <w:rFonts w:hint="eastAsia" w:ascii="宋体" w:hAnsi="宋体" w:eastAsia="宋体" w:cs="宋体"/>
          <w:b/>
          <w:bCs/>
          <w:color w:val="auto"/>
          <w:sz w:val="21"/>
          <w:szCs w:val="21"/>
          <w:highlight w:val="none"/>
        </w:rPr>
        <w:t>（不含授权委托书委托人签字）</w:t>
      </w:r>
      <w:r>
        <w:rPr>
          <w:rFonts w:hint="eastAsia" w:ascii="宋体" w:hAnsi="宋体" w:eastAsia="宋体" w:cs="宋体"/>
          <w:color w:val="auto"/>
          <w:sz w:val="21"/>
          <w:szCs w:val="21"/>
          <w:highlight w:val="none"/>
        </w:rPr>
        <w:t>都须加盖法定代表人</w:t>
      </w:r>
      <w:r>
        <w:rPr>
          <w:rFonts w:hint="eastAsia" w:ascii="宋体" w:hAnsi="宋体" w:eastAsia="宋体" w:cs="宋体"/>
          <w:b/>
          <w:bCs/>
          <w:color w:val="auto"/>
          <w:sz w:val="21"/>
          <w:szCs w:val="21"/>
          <w:highlight w:val="none"/>
        </w:rPr>
        <w:t>CA 印章。</w:t>
      </w:r>
    </w:p>
    <w:p w14:paraId="19F9EA8C">
      <w:pPr>
        <w:pStyle w:val="11"/>
        <w:pageBreakBefore w:val="0"/>
        <w:kinsoku/>
        <w:wordWrap/>
        <w:overflowPunct/>
        <w:topLinePunct w:val="0"/>
        <w:bidi w:val="0"/>
        <w:adjustRightInd/>
        <w:snapToGrid/>
        <w:spacing w:after="0" w:afterLines="0" w:line="360" w:lineRule="exact"/>
        <w:ind w:left="0" w:leftChars="0" w:right="0" w:rightChars="0"/>
        <w:rPr>
          <w:rFonts w:hint="eastAsia" w:ascii="宋体" w:hAnsi="宋体" w:eastAsia="宋体" w:cs="宋体"/>
          <w:b/>
          <w:bCs/>
          <w:color w:val="auto"/>
          <w:sz w:val="21"/>
          <w:szCs w:val="21"/>
          <w:highlight w:val="none"/>
          <w:u w:val="double"/>
        </w:rPr>
      </w:pPr>
      <w:r>
        <w:rPr>
          <w:rFonts w:hint="eastAsia" w:ascii="宋体" w:hAnsi="宋体" w:eastAsia="宋体" w:cs="宋体"/>
          <w:b/>
          <w:bCs/>
          <w:color w:val="auto"/>
          <w:sz w:val="21"/>
          <w:szCs w:val="21"/>
          <w:highlight w:val="none"/>
          <w:u w:val="double"/>
        </w:rPr>
        <w:t>六、投标文件份数</w:t>
      </w:r>
    </w:p>
    <w:p w14:paraId="107847CE">
      <w:pPr>
        <w:pageBreakBefore w:val="0"/>
        <w:kinsoku/>
        <w:wordWrap/>
        <w:overflowPunct/>
        <w:topLinePunct w:val="0"/>
        <w:bidi w:val="0"/>
        <w:adjustRightInd/>
        <w:snapToGrid/>
        <w:spacing w:line="360" w:lineRule="exact"/>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加密的电子投标（响应）文件壹份（*.XYTF 格式，在会员系统指定位置上传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CF2F59A">
      <w:pPr>
        <w:pStyle w:val="11"/>
        <w:pageBreakBefore w:val="0"/>
        <w:kinsoku/>
        <w:wordWrap/>
        <w:overflowPunct/>
        <w:topLinePunct w:val="0"/>
        <w:bidi w:val="0"/>
        <w:adjustRightInd/>
        <w:snapToGrid/>
        <w:spacing w:after="0" w:afterLines="0" w:line="360" w:lineRule="exact"/>
        <w:ind w:left="0" w:leftChars="0" w:right="0" w:rightChars="0"/>
        <w:rPr>
          <w:rFonts w:hint="eastAsia" w:ascii="宋体" w:hAnsi="宋体" w:eastAsia="宋体" w:cs="宋体"/>
          <w:b/>
          <w:bCs/>
          <w:color w:val="auto"/>
          <w:sz w:val="21"/>
          <w:szCs w:val="21"/>
          <w:highlight w:val="none"/>
          <w:u w:val="double"/>
        </w:rPr>
      </w:pPr>
      <w:r>
        <w:rPr>
          <w:rFonts w:hint="eastAsia" w:ascii="宋体" w:hAnsi="宋体" w:eastAsia="宋体" w:cs="宋体"/>
          <w:b/>
          <w:bCs/>
          <w:color w:val="auto"/>
          <w:sz w:val="21"/>
          <w:szCs w:val="21"/>
          <w:highlight w:val="none"/>
          <w:u w:val="double"/>
        </w:rPr>
        <w:t>七、投标（响应）文件的递交</w:t>
      </w:r>
    </w:p>
    <w:p w14:paraId="008B7E6A">
      <w:pPr>
        <w:pageBreakBefore w:val="0"/>
        <w:kinsoku/>
        <w:wordWrap/>
        <w:overflowPunct/>
        <w:topLinePunct w:val="0"/>
        <w:bidi w:val="0"/>
        <w:adjustRightInd/>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1、电子投标（响应）文件的递交</w:t>
      </w:r>
    </w:p>
    <w:p w14:paraId="6D3BBEF1">
      <w:pPr>
        <w:pageBreakBefore w:val="0"/>
        <w:kinsoku/>
        <w:wordWrap/>
        <w:overflowPunct/>
        <w:topLinePunct w:val="0"/>
        <w:bidi w:val="0"/>
        <w:adjustRightInd/>
        <w:snapToGrid/>
        <w:spacing w:line="360" w:lineRule="exact"/>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各投标人（供应商）应在投标截止时间前上传加密的电子投标（响应）文件（*.XYTF）到会员系统的指定位置。上传的电子投标文件应使用</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CA数字证书认证并加密。上传时必须得到交易系统“上传成功”的确认回复后方为上传成功。请</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（供应商）在上传前务必认真检查上传投标（响应）文件是否完整、正确。</w:t>
      </w:r>
    </w:p>
    <w:p w14:paraId="0937CE48">
      <w:pPr>
        <w:pageBreakBefore w:val="0"/>
        <w:kinsoku/>
        <w:wordWrap/>
        <w:overflowPunct/>
        <w:topLinePunct w:val="0"/>
        <w:bidi w:val="0"/>
        <w:adjustRightInd/>
        <w:snapToGrid/>
        <w:spacing w:line="360" w:lineRule="exact"/>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、除电子投标（响应）文件外，不再接受任何纸质文件、资料原件等。</w:t>
      </w:r>
    </w:p>
    <w:p w14:paraId="658FC929">
      <w:pPr>
        <w:pageBreakBefore w:val="0"/>
        <w:kinsoku/>
        <w:wordWrap/>
        <w:overflowPunct/>
        <w:topLinePunct w:val="0"/>
        <w:bidi w:val="0"/>
        <w:adjustRightInd/>
        <w:snapToGrid/>
        <w:spacing w:line="360" w:lineRule="exact"/>
        <w:ind w:left="0" w:leftChars="0" w:right="0" w:rightChars="0"/>
        <w:rPr>
          <w:rFonts w:hint="eastAsia" w:ascii="宋体" w:hAnsi="宋体" w:eastAsia="宋体" w:cs="宋体"/>
          <w:b/>
          <w:bCs/>
          <w:color w:val="auto"/>
          <w:sz w:val="21"/>
          <w:szCs w:val="21"/>
          <w:highlight w:val="none"/>
          <w:u w:val="double"/>
        </w:rPr>
      </w:pPr>
      <w:r>
        <w:rPr>
          <w:rFonts w:hint="eastAsia" w:ascii="宋体" w:hAnsi="宋体" w:eastAsia="宋体" w:cs="宋体"/>
          <w:b/>
          <w:bCs/>
          <w:color w:val="auto"/>
          <w:sz w:val="21"/>
          <w:szCs w:val="21"/>
          <w:highlight w:val="none"/>
          <w:u w:val="double"/>
        </w:rPr>
        <w:t>八、澄清与变更</w:t>
      </w:r>
    </w:p>
    <w:p w14:paraId="32CF6DC1">
      <w:pPr>
        <w:pageBreakBefore w:val="0"/>
        <w:kinsoku/>
        <w:wordWrap/>
        <w:overflowPunct/>
        <w:topLinePunct w:val="0"/>
        <w:bidi w:val="0"/>
        <w:adjustRightInd/>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疑问，以书面形式（包括信函、电报、传真等可以有形表现所载内容的形式），要求招标人（采购人）对招标（采购）文件予以澄清。澄清或修改的内容在信阳市公共资源交易系统“变更公告”或“答疑文件”菜单进行发布，</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（供应商）应在投标（响应）文件递交截止时间前及时查看澄清或修改内容，因</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）未及时查看而造成的后果自负。</w:t>
      </w:r>
    </w:p>
    <w:p w14:paraId="39EC28EE">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b/>
          <w:bCs/>
          <w:color w:val="auto"/>
          <w:sz w:val="21"/>
          <w:szCs w:val="21"/>
          <w:highlight w:val="none"/>
          <w:u w:val="double"/>
        </w:rPr>
      </w:pPr>
      <w:r>
        <w:rPr>
          <w:rFonts w:hint="eastAsia" w:ascii="宋体" w:hAnsi="宋体" w:eastAsia="宋体" w:cs="宋体"/>
          <w:b/>
          <w:bCs/>
          <w:color w:val="auto"/>
          <w:sz w:val="21"/>
          <w:szCs w:val="21"/>
          <w:highlight w:val="none"/>
          <w:u w:val="double"/>
        </w:rPr>
        <w:t xml:space="preserve">九、其他注意事项 </w:t>
      </w:r>
    </w:p>
    <w:p w14:paraId="4C9F60D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22" w:firstLineChars="200"/>
        <w:jc w:val="left"/>
        <w:textAlignment w:val="auto"/>
        <w:rPr>
          <w:rFonts w:hint="default" w:ascii="宋体" w:hAnsi="宋体" w:eastAsia="宋体" w:cs="宋体"/>
          <w:b/>
          <w:bCs/>
          <w:color w:val="auto"/>
          <w:sz w:val="21"/>
          <w:szCs w:val="21"/>
          <w:highlight w:val="none"/>
          <w:u w:val="double"/>
          <w:lang w:val="en-US" w:eastAsia="zh-CN"/>
        </w:rPr>
      </w:pPr>
      <w:r>
        <w:rPr>
          <w:rFonts w:hint="eastAsia" w:ascii="宋体" w:hAnsi="宋体" w:cs="宋体"/>
          <w:b/>
          <w:bCs/>
          <w:color w:val="auto"/>
          <w:sz w:val="21"/>
          <w:szCs w:val="21"/>
          <w:highlight w:val="none"/>
          <w:u w:val="double"/>
          <w:lang w:val="en-US" w:eastAsia="zh-CN"/>
        </w:rPr>
        <w:t>1、</w:t>
      </w:r>
      <w:r>
        <w:rPr>
          <w:rFonts w:hint="eastAsia" w:ascii="宋体" w:hAnsi="宋体" w:eastAsia="宋体" w:cs="宋体"/>
          <w:b/>
          <w:bCs/>
          <w:color w:val="auto"/>
          <w:sz w:val="21"/>
          <w:szCs w:val="21"/>
          <w:highlight w:val="none"/>
          <w:u w:val="double"/>
          <w:lang w:val="en-US" w:eastAsia="zh-CN"/>
        </w:rPr>
        <w:t>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bookmarkEnd w:id="0"/>
    <w:p w14:paraId="330B1D28">
      <w:pPr>
        <w:pStyle w:val="19"/>
        <w:widowControl/>
        <w:numPr>
          <w:ilvl w:val="-1"/>
          <w:numId w:val="0"/>
        </w:numPr>
        <w:tabs>
          <w:tab w:val="right" w:leader="dot" w:pos="9232"/>
        </w:tabs>
        <w:ind w:left="0" w:leftChars="0" w:firstLine="0" w:firstLineChars="0"/>
        <w:jc w:val="center"/>
        <w:outlineLvl w:val="0"/>
        <w:rPr>
          <w:rStyle w:val="77"/>
          <w:rFonts w:hint="eastAsia" w:ascii="宋体" w:hAnsi="宋体"/>
          <w:b/>
          <w:bCs/>
          <w:color w:val="auto"/>
          <w:sz w:val="28"/>
          <w:szCs w:val="28"/>
          <w:highlight w:val="none"/>
          <w:lang w:val="en-US" w:eastAsia="zh-CN"/>
        </w:rPr>
        <w:sectPr>
          <w:pgSz w:w="11905" w:h="16838"/>
          <w:pgMar w:top="1440" w:right="1247" w:bottom="1440" w:left="1247" w:header="850" w:footer="850" w:gutter="0"/>
          <w:pgBorders>
            <w:top w:val="none" w:sz="0" w:space="0"/>
            <w:left w:val="none" w:sz="0" w:space="0"/>
            <w:bottom w:val="none" w:sz="0" w:space="0"/>
            <w:right w:val="none" w:sz="0" w:space="0"/>
          </w:pgBorders>
          <w:pgNumType w:fmt="decimal" w:start="1"/>
          <w:cols w:space="0" w:num="1"/>
          <w:rtlGutter w:val="0"/>
          <w:docGrid w:type="lines" w:linePitch="423" w:charSpace="0"/>
        </w:sectPr>
      </w:pPr>
      <w:bookmarkStart w:id="11" w:name="_Toc14650"/>
    </w:p>
    <w:p w14:paraId="24AB9764">
      <w:pPr>
        <w:pStyle w:val="19"/>
        <w:widowControl/>
        <w:numPr>
          <w:ilvl w:val="-1"/>
          <w:numId w:val="0"/>
        </w:numPr>
        <w:tabs>
          <w:tab w:val="right" w:leader="dot" w:pos="9232"/>
        </w:tabs>
        <w:ind w:left="0" w:leftChars="0" w:firstLine="0" w:firstLineChars="0"/>
        <w:jc w:val="center"/>
        <w:outlineLvl w:val="0"/>
        <w:rPr>
          <w:rFonts w:hint="eastAsia" w:ascii="宋体" w:hAnsi="宋体" w:eastAsia="宋体" w:cs="宋体"/>
          <w:b/>
          <w:color w:val="auto"/>
          <w:sz w:val="28"/>
          <w:szCs w:val="28"/>
          <w:highlight w:val="none"/>
          <w:lang w:val="en-US" w:eastAsia="zh-CN" w:bidi="ar-SA"/>
        </w:rPr>
      </w:pPr>
      <w:r>
        <w:rPr>
          <w:rStyle w:val="77"/>
          <w:rFonts w:hint="eastAsia" w:ascii="宋体" w:hAnsi="宋体"/>
          <w:b/>
          <w:bCs/>
          <w:color w:val="auto"/>
          <w:sz w:val="28"/>
          <w:szCs w:val="28"/>
          <w:highlight w:val="none"/>
          <w:lang w:val="en-US" w:eastAsia="zh-CN"/>
        </w:rPr>
        <w:t xml:space="preserve">第一章 </w:t>
      </w:r>
      <w:r>
        <w:rPr>
          <w:rStyle w:val="77"/>
          <w:rFonts w:hint="eastAsia" w:ascii="宋体" w:hAnsi="宋体" w:eastAsia="宋体" w:cs="宋体"/>
          <w:b/>
          <w:color w:val="auto"/>
          <w:sz w:val="28"/>
          <w:szCs w:val="28"/>
          <w:highlight w:val="none"/>
          <w:lang w:val="en-US" w:eastAsia="zh-CN" w:bidi="ar-SA"/>
        </w:rPr>
        <w:t>招标公告</w:t>
      </w:r>
      <w:bookmarkEnd w:id="11"/>
    </w:p>
    <w:p w14:paraId="32EAB140">
      <w:pPr>
        <w:spacing w:line="420" w:lineRule="exact"/>
        <w:ind w:firstLine="482" w:firstLineChars="200"/>
        <w:jc w:val="center"/>
        <w:rPr>
          <w:rStyle w:val="77"/>
          <w:rFonts w:hint="default" w:ascii="宋体" w:hAnsi="宋体" w:cs="宋体"/>
          <w:color w:val="auto"/>
          <w:sz w:val="24"/>
          <w:szCs w:val="24"/>
          <w:highlight w:val="none"/>
          <w:lang w:val="en-US" w:eastAsia="zh-CN"/>
        </w:rPr>
      </w:pPr>
      <w:r>
        <w:rPr>
          <w:rStyle w:val="77"/>
          <w:rFonts w:hint="eastAsia" w:ascii="宋体" w:hAnsi="宋体" w:cs="宋体"/>
          <w:color w:val="auto"/>
          <w:sz w:val="24"/>
          <w:szCs w:val="24"/>
          <w:highlight w:val="none"/>
          <w:lang w:eastAsia="zh-CN"/>
        </w:rPr>
        <w:t>信阳市中心医院浉河、羊山、淮滨院区化粪池、窨井和排水沟清淤等危险废物处置项目（</w:t>
      </w:r>
      <w:r>
        <w:rPr>
          <w:rStyle w:val="77"/>
          <w:rFonts w:hint="eastAsia" w:ascii="宋体" w:hAnsi="宋体" w:cs="宋体"/>
          <w:color w:val="auto"/>
          <w:sz w:val="24"/>
          <w:szCs w:val="24"/>
          <w:highlight w:val="none"/>
          <w:lang w:val="en-US" w:eastAsia="zh-CN"/>
        </w:rPr>
        <w:t>二次</w:t>
      </w:r>
      <w:r>
        <w:rPr>
          <w:rStyle w:val="77"/>
          <w:rFonts w:hint="eastAsia" w:ascii="宋体" w:hAnsi="宋体" w:cs="宋体"/>
          <w:color w:val="auto"/>
          <w:sz w:val="24"/>
          <w:szCs w:val="24"/>
          <w:highlight w:val="none"/>
          <w:lang w:eastAsia="zh-CN"/>
        </w:rPr>
        <w:t>）</w:t>
      </w:r>
      <w:r>
        <w:rPr>
          <w:rStyle w:val="77"/>
          <w:rFonts w:hint="eastAsia" w:ascii="宋体" w:hAnsi="宋体" w:cs="宋体"/>
          <w:color w:val="auto"/>
          <w:sz w:val="24"/>
          <w:szCs w:val="24"/>
          <w:highlight w:val="none"/>
          <w:lang w:val="en-US" w:eastAsia="zh-CN"/>
        </w:rPr>
        <w:t>公开招标公告</w:t>
      </w:r>
    </w:p>
    <w:p w14:paraId="465FC87C">
      <w:pPr>
        <w:spacing w:line="42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项目概况</w:t>
      </w:r>
    </w:p>
    <w:p w14:paraId="3B7B5B26">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u w:val="none"/>
          <w:lang w:val="en-US" w:eastAsia="zh-CN"/>
        </w:rPr>
        <w:t>信阳市中心医院浉河、羊山、淮滨院区化粪池、窨井和排水沟清淤等危险废物处置项目</w:t>
      </w:r>
      <w:r>
        <w:rPr>
          <w:rFonts w:hint="eastAsia" w:ascii="宋体" w:hAnsi="宋体" w:eastAsia="宋体" w:cs="宋体"/>
          <w:b w:val="0"/>
          <w:bCs w:val="0"/>
          <w:color w:val="auto"/>
          <w:sz w:val="21"/>
          <w:szCs w:val="21"/>
          <w:lang w:val="en-US" w:eastAsia="zh-CN"/>
        </w:rPr>
        <w:t>的潜在投标人应在登录“全国公共资源交易平台（河南省·信阳市）（https://ggzyjy.xinyang.gov.cn/）”网站，</w:t>
      </w:r>
      <w:r>
        <w:rPr>
          <w:rFonts w:hint="eastAsia" w:ascii="宋体" w:hAnsi="宋体" w:eastAsia="宋体" w:cs="宋体"/>
          <w:color w:val="auto"/>
          <w:sz w:val="21"/>
          <w:szCs w:val="21"/>
          <w:u w:val="none"/>
          <w:lang w:val="zh-CN" w:bidi="zh-CN"/>
        </w:rPr>
        <w:t>凭办理的企业身份认证锁（CA数字证书）登录会员系统</w:t>
      </w:r>
      <w:r>
        <w:rPr>
          <w:rFonts w:hint="eastAsia" w:ascii="宋体" w:hAnsi="宋体" w:cs="宋体"/>
          <w:color w:val="auto"/>
          <w:sz w:val="21"/>
          <w:szCs w:val="21"/>
          <w:u w:val="none"/>
          <w:lang w:val="zh-CN" w:bidi="zh-CN"/>
        </w:rPr>
        <w:t>；</w:t>
      </w:r>
      <w:r>
        <w:rPr>
          <w:rFonts w:hint="eastAsia" w:ascii="宋体" w:hAnsi="宋体" w:eastAsia="宋体" w:cs="宋体"/>
          <w:color w:val="auto"/>
          <w:sz w:val="21"/>
          <w:szCs w:val="21"/>
          <w:u w:val="none"/>
          <w:lang w:val="zh-CN" w:bidi="zh-CN"/>
        </w:rPr>
        <w:t>获取</w:t>
      </w:r>
      <w:r>
        <w:rPr>
          <w:rFonts w:hint="eastAsia" w:ascii="宋体" w:hAnsi="宋体" w:eastAsia="宋体" w:cs="宋体"/>
          <w:color w:val="auto"/>
          <w:sz w:val="21"/>
          <w:szCs w:val="21"/>
          <w:u w:val="none"/>
          <w:lang w:val="en-US" w:bidi="zh-CN"/>
        </w:rPr>
        <w:t>招标</w:t>
      </w:r>
      <w:r>
        <w:rPr>
          <w:rFonts w:hint="eastAsia" w:ascii="宋体" w:hAnsi="宋体" w:eastAsia="宋体" w:cs="宋体"/>
          <w:color w:val="auto"/>
          <w:sz w:val="21"/>
          <w:szCs w:val="21"/>
          <w:u w:val="none"/>
          <w:lang w:val="zh-CN" w:bidi="zh-CN"/>
        </w:rPr>
        <w:t>文件</w:t>
      </w:r>
      <w:r>
        <w:rPr>
          <w:rFonts w:hint="eastAsia" w:ascii="宋体" w:hAnsi="宋体" w:eastAsia="宋体" w:cs="宋体"/>
          <w:b w:val="0"/>
          <w:bCs w:val="0"/>
          <w:color w:val="auto"/>
          <w:sz w:val="21"/>
          <w:szCs w:val="21"/>
          <w:lang w:val="en-US" w:eastAsia="zh-CN"/>
        </w:rPr>
        <w:t>，并于2025年</w:t>
      </w:r>
      <w:r>
        <w:rPr>
          <w:rFonts w:hint="eastAsia" w:ascii="宋体" w:hAnsi="宋体" w:cs="宋体"/>
          <w:b w:val="0"/>
          <w:bCs w:val="0"/>
          <w:color w:val="auto"/>
          <w:sz w:val="21"/>
          <w:szCs w:val="21"/>
          <w:lang w:val="en-US" w:eastAsia="zh-CN"/>
        </w:rPr>
        <w:t>11</w:t>
      </w:r>
      <w:r>
        <w:rPr>
          <w:rFonts w:hint="eastAsia" w:ascii="宋体" w:hAnsi="宋体" w:eastAsia="宋体" w:cs="宋体"/>
          <w:b w:val="0"/>
          <w:bCs w:val="0"/>
          <w:color w:val="auto"/>
          <w:sz w:val="21"/>
          <w:szCs w:val="21"/>
          <w:lang w:val="en-US" w:eastAsia="zh-CN"/>
        </w:rPr>
        <w:t>月</w:t>
      </w:r>
      <w:r>
        <w:rPr>
          <w:rFonts w:hint="eastAsia" w:ascii="宋体" w:hAnsi="宋体" w:cs="宋体"/>
          <w:b w:val="0"/>
          <w:bCs w:val="0"/>
          <w:color w:val="auto"/>
          <w:sz w:val="21"/>
          <w:szCs w:val="21"/>
          <w:lang w:val="en-US" w:eastAsia="zh-CN"/>
        </w:rPr>
        <w:t>03</w:t>
      </w:r>
      <w:r>
        <w:rPr>
          <w:rFonts w:hint="eastAsia" w:ascii="宋体" w:hAnsi="宋体" w:eastAsia="宋体" w:cs="宋体"/>
          <w:b w:val="0"/>
          <w:bCs w:val="0"/>
          <w:color w:val="auto"/>
          <w:sz w:val="21"/>
          <w:szCs w:val="21"/>
          <w:lang w:val="en-US" w:eastAsia="zh-CN"/>
        </w:rPr>
        <w:t>日</w:t>
      </w:r>
      <w:r>
        <w:rPr>
          <w:rFonts w:hint="eastAsia" w:ascii="宋体" w:hAnsi="宋体" w:cs="宋体"/>
          <w:b w:val="0"/>
          <w:bCs w:val="0"/>
          <w:color w:val="auto"/>
          <w:sz w:val="21"/>
          <w:szCs w:val="21"/>
          <w:lang w:val="en-US" w:eastAsia="zh-CN"/>
        </w:rPr>
        <w:t>09</w:t>
      </w:r>
      <w:r>
        <w:rPr>
          <w:rFonts w:hint="eastAsia" w:ascii="宋体" w:hAnsi="宋体" w:eastAsia="宋体" w:cs="宋体"/>
          <w:b w:val="0"/>
          <w:bCs w:val="0"/>
          <w:color w:val="auto"/>
          <w:sz w:val="21"/>
          <w:szCs w:val="21"/>
          <w:lang w:val="en-US" w:eastAsia="zh-CN"/>
        </w:rPr>
        <w:t>时</w:t>
      </w:r>
      <w:r>
        <w:rPr>
          <w:rFonts w:hint="eastAsia" w:ascii="宋体" w:hAnsi="宋体" w:cs="宋体"/>
          <w:b w:val="0"/>
          <w:bCs w:val="0"/>
          <w:color w:val="auto"/>
          <w:sz w:val="21"/>
          <w:szCs w:val="21"/>
          <w:lang w:val="en-US" w:eastAsia="zh-CN"/>
        </w:rPr>
        <w:t>00</w:t>
      </w:r>
      <w:r>
        <w:rPr>
          <w:rFonts w:hint="eastAsia" w:ascii="宋体" w:hAnsi="宋体" w:eastAsia="宋体" w:cs="宋体"/>
          <w:b w:val="0"/>
          <w:bCs w:val="0"/>
          <w:color w:val="auto"/>
          <w:sz w:val="21"/>
          <w:szCs w:val="21"/>
          <w:lang w:val="en-US" w:eastAsia="zh-CN"/>
        </w:rPr>
        <w:t>分（北京时间）前递交投标文件。</w:t>
      </w:r>
    </w:p>
    <w:p w14:paraId="10423D1A">
      <w:pPr>
        <w:pStyle w:val="3"/>
        <w:pageBreakBefore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color w:val="auto"/>
          <w:sz w:val="21"/>
          <w:szCs w:val="21"/>
          <w:lang w:val="en-US" w:eastAsia="zh-CN"/>
        </w:rPr>
      </w:pPr>
      <w:bookmarkStart w:id="12" w:name="_Toc28359002"/>
      <w:bookmarkStart w:id="13" w:name="_Toc28359079"/>
      <w:bookmarkStart w:id="14" w:name="_Toc35393790"/>
      <w:bookmarkStart w:id="15" w:name="_Toc35393621"/>
      <w:bookmarkStart w:id="16" w:name="_Hlk24379207"/>
      <w:r>
        <w:rPr>
          <w:rFonts w:hint="eastAsia" w:ascii="宋体" w:hAnsi="宋体" w:eastAsia="宋体" w:cs="宋体"/>
          <w:color w:val="auto"/>
          <w:sz w:val="21"/>
          <w:szCs w:val="21"/>
          <w:lang w:val="en-US" w:eastAsia="zh-CN"/>
        </w:rPr>
        <w:t>一、项目基本情况</w:t>
      </w:r>
      <w:bookmarkEnd w:id="12"/>
      <w:bookmarkEnd w:id="13"/>
      <w:bookmarkEnd w:id="14"/>
      <w:bookmarkEnd w:id="15"/>
    </w:p>
    <w:p w14:paraId="342401A2">
      <w:pPr>
        <w:pageBreakBefore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1、项目编号：信财公开招标-2025-</w:t>
      </w:r>
      <w:r>
        <w:rPr>
          <w:rFonts w:hint="eastAsia" w:ascii="宋体" w:hAnsi="宋体" w:cs="宋体"/>
          <w:color w:val="auto"/>
          <w:sz w:val="21"/>
          <w:szCs w:val="21"/>
          <w:lang w:val="en-US" w:eastAsia="zh-CN"/>
        </w:rPr>
        <w:t>101</w:t>
      </w:r>
    </w:p>
    <w:p w14:paraId="2A4FF595">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2、项目名称：</w:t>
      </w:r>
      <w:r>
        <w:rPr>
          <w:rFonts w:hint="eastAsia" w:ascii="宋体" w:hAnsi="宋体" w:eastAsia="宋体" w:cs="宋体"/>
          <w:bCs/>
          <w:color w:val="auto"/>
          <w:sz w:val="21"/>
          <w:szCs w:val="21"/>
          <w:lang w:eastAsia="zh-CN"/>
        </w:rPr>
        <w:t>信阳市中心医院浉河、羊山、淮滨院区化粪池、窨井和排水沟清淤等危险废物处置项目</w:t>
      </w:r>
    </w:p>
    <w:p w14:paraId="6D6D9E9D">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3、采购方式：公开招标</w:t>
      </w:r>
    </w:p>
    <w:p w14:paraId="5DB1043C">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预算金额：</w:t>
      </w:r>
      <w:r>
        <w:rPr>
          <w:rFonts w:hint="eastAsia" w:ascii="宋体" w:hAnsi="宋体" w:eastAsia="宋体" w:cs="宋体"/>
          <w:color w:val="auto"/>
          <w:kern w:val="0"/>
          <w:sz w:val="21"/>
          <w:szCs w:val="21"/>
          <w:lang w:val="en-US" w:eastAsia="zh-CN" w:bidi="ar"/>
        </w:rPr>
        <w:t>2204396.64</w:t>
      </w:r>
      <w:r>
        <w:rPr>
          <w:rFonts w:hint="eastAsia" w:ascii="宋体" w:hAnsi="宋体" w:eastAsia="宋体" w:cs="宋体"/>
          <w:color w:val="auto"/>
          <w:sz w:val="21"/>
          <w:szCs w:val="21"/>
          <w:highlight w:val="none"/>
          <w:lang w:val="en-US" w:eastAsia="zh-CN"/>
        </w:rPr>
        <w:t xml:space="preserve">元  </w:t>
      </w:r>
    </w:p>
    <w:p w14:paraId="6C3845F6">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最高限价：</w:t>
      </w:r>
      <w:r>
        <w:rPr>
          <w:rFonts w:hint="eastAsia" w:ascii="宋体" w:hAnsi="宋体" w:eastAsia="宋体" w:cs="宋体"/>
          <w:color w:val="auto"/>
          <w:kern w:val="0"/>
          <w:sz w:val="21"/>
          <w:szCs w:val="21"/>
          <w:lang w:val="en-US" w:eastAsia="zh-CN" w:bidi="ar"/>
        </w:rPr>
        <w:t>2204396.64</w:t>
      </w:r>
      <w:r>
        <w:rPr>
          <w:rFonts w:hint="eastAsia" w:ascii="宋体" w:hAnsi="宋体" w:eastAsia="宋体" w:cs="宋体"/>
          <w:color w:val="auto"/>
          <w:sz w:val="21"/>
          <w:szCs w:val="21"/>
          <w:highlight w:val="none"/>
          <w:lang w:val="en-US" w:eastAsia="zh-CN"/>
        </w:rPr>
        <w:t xml:space="preserve">元  </w:t>
      </w:r>
    </w:p>
    <w:bookmarkEnd w:id="16"/>
    <w:tbl>
      <w:tblPr>
        <w:tblStyle w:val="27"/>
        <w:tblW w:w="9389"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
        <w:gridCol w:w="1262"/>
        <w:gridCol w:w="2587"/>
        <w:gridCol w:w="1266"/>
        <w:gridCol w:w="1312"/>
        <w:gridCol w:w="1218"/>
        <w:gridCol w:w="1312"/>
      </w:tblGrid>
      <w:tr w14:paraId="724A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2" w:type="dxa"/>
            <w:noWrap w:val="0"/>
            <w:vAlign w:val="center"/>
          </w:tcPr>
          <w:p w14:paraId="6799D9AA">
            <w:pPr>
              <w:pStyle w:val="22"/>
              <w:keepNext w:val="0"/>
              <w:keepLines w:val="0"/>
              <w:pageBreakBefore w:val="0"/>
              <w:widowControl w:val="0"/>
              <w:kinsoku/>
              <w:overflowPunct/>
              <w:topLinePunct w:val="0"/>
              <w:bidi w:val="0"/>
              <w:adjustRightInd/>
              <w:snapToGrid/>
              <w:spacing w:before="0" w:beforeLines="0" w:beforeAutospacing="0" w:after="0" w:afterLines="0" w:afterAutospacing="0" w:line="39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序号</w:t>
            </w:r>
          </w:p>
        </w:tc>
        <w:tc>
          <w:tcPr>
            <w:tcW w:w="1266" w:type="dxa"/>
            <w:noWrap w:val="0"/>
            <w:vAlign w:val="center"/>
          </w:tcPr>
          <w:p w14:paraId="108D178B">
            <w:pPr>
              <w:pStyle w:val="22"/>
              <w:keepNext w:val="0"/>
              <w:keepLines w:val="0"/>
              <w:pageBreakBefore w:val="0"/>
              <w:widowControl w:val="0"/>
              <w:kinsoku/>
              <w:overflowPunct/>
              <w:topLinePunct w:val="0"/>
              <w:bidi w:val="0"/>
              <w:adjustRightInd/>
              <w:snapToGrid/>
              <w:spacing w:before="0" w:beforeLines="0" w:beforeAutospacing="0" w:after="0" w:afterLines="0" w:afterAutospacing="0" w:line="39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包号</w:t>
            </w:r>
          </w:p>
        </w:tc>
        <w:tc>
          <w:tcPr>
            <w:tcW w:w="2657" w:type="dxa"/>
            <w:noWrap w:val="0"/>
            <w:vAlign w:val="center"/>
          </w:tcPr>
          <w:p w14:paraId="70182A26">
            <w:pPr>
              <w:pStyle w:val="22"/>
              <w:keepNext w:val="0"/>
              <w:keepLines w:val="0"/>
              <w:pageBreakBefore w:val="0"/>
              <w:widowControl w:val="0"/>
              <w:kinsoku/>
              <w:overflowPunct/>
              <w:topLinePunct w:val="0"/>
              <w:bidi w:val="0"/>
              <w:adjustRightInd/>
              <w:snapToGrid/>
              <w:spacing w:before="0" w:beforeLines="0" w:beforeAutospacing="0" w:after="0" w:afterLines="0" w:afterAutospacing="0" w:line="39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包名称</w:t>
            </w:r>
          </w:p>
        </w:tc>
        <w:tc>
          <w:tcPr>
            <w:tcW w:w="1161" w:type="dxa"/>
            <w:noWrap w:val="0"/>
            <w:vAlign w:val="center"/>
          </w:tcPr>
          <w:p w14:paraId="2E3C93D9">
            <w:pPr>
              <w:pStyle w:val="22"/>
              <w:keepNext w:val="0"/>
              <w:keepLines w:val="0"/>
              <w:pageBreakBefore w:val="0"/>
              <w:widowControl w:val="0"/>
              <w:kinsoku/>
              <w:overflowPunct/>
              <w:topLinePunct w:val="0"/>
              <w:bidi w:val="0"/>
              <w:adjustRightInd/>
              <w:snapToGrid/>
              <w:spacing w:before="0" w:beforeLines="0" w:beforeAutospacing="0" w:after="0" w:afterLines="0" w:afterAutospacing="0" w:line="39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包预算（元）</w:t>
            </w:r>
          </w:p>
        </w:tc>
        <w:tc>
          <w:tcPr>
            <w:tcW w:w="1314" w:type="dxa"/>
            <w:noWrap w:val="0"/>
            <w:vAlign w:val="center"/>
          </w:tcPr>
          <w:p w14:paraId="24ED6CB5">
            <w:pPr>
              <w:pStyle w:val="22"/>
              <w:keepNext w:val="0"/>
              <w:keepLines w:val="0"/>
              <w:pageBreakBefore w:val="0"/>
              <w:widowControl w:val="0"/>
              <w:kinsoku/>
              <w:overflowPunct/>
              <w:topLinePunct w:val="0"/>
              <w:bidi w:val="0"/>
              <w:adjustRightInd/>
              <w:snapToGrid/>
              <w:spacing w:before="0" w:beforeLines="0" w:beforeAutospacing="0" w:after="0" w:afterLines="0" w:afterAutospacing="0" w:line="39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包最高限价（元）</w:t>
            </w:r>
          </w:p>
        </w:tc>
        <w:tc>
          <w:tcPr>
            <w:tcW w:w="1246" w:type="dxa"/>
            <w:noWrap w:val="0"/>
            <w:vAlign w:val="center"/>
          </w:tcPr>
          <w:p w14:paraId="1856C869">
            <w:pPr>
              <w:pStyle w:val="22"/>
              <w:keepNext w:val="0"/>
              <w:keepLines w:val="0"/>
              <w:pageBreakBefore w:val="0"/>
              <w:widowControl w:val="0"/>
              <w:kinsoku/>
              <w:overflowPunct/>
              <w:topLinePunct w:val="0"/>
              <w:bidi w:val="0"/>
              <w:adjustRightInd/>
              <w:snapToGrid/>
              <w:spacing w:before="0" w:beforeLines="0" w:beforeAutospacing="0" w:after="0" w:afterLines="0" w:afterAutospacing="0" w:line="39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是否专门面向中小企业</w:t>
            </w:r>
          </w:p>
        </w:tc>
        <w:tc>
          <w:tcPr>
            <w:tcW w:w="1313" w:type="dxa"/>
            <w:noWrap w:val="0"/>
            <w:vAlign w:val="center"/>
          </w:tcPr>
          <w:p w14:paraId="2AC79CA5">
            <w:pPr>
              <w:pStyle w:val="22"/>
              <w:keepNext w:val="0"/>
              <w:keepLines w:val="0"/>
              <w:pageBreakBefore w:val="0"/>
              <w:widowControl w:val="0"/>
              <w:kinsoku/>
              <w:overflowPunct/>
              <w:topLinePunct w:val="0"/>
              <w:bidi w:val="0"/>
              <w:adjustRightInd/>
              <w:snapToGrid/>
              <w:spacing w:before="0" w:beforeLines="0" w:beforeAutospacing="0" w:after="0" w:afterLines="0" w:afterAutospacing="0" w:line="39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采购预留金额（元）</w:t>
            </w:r>
          </w:p>
        </w:tc>
      </w:tr>
      <w:tr w14:paraId="0536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32" w:type="dxa"/>
            <w:noWrap w:val="0"/>
            <w:vAlign w:val="center"/>
          </w:tcPr>
          <w:p w14:paraId="38129652">
            <w:pPr>
              <w:pStyle w:val="22"/>
              <w:keepNext w:val="0"/>
              <w:keepLines w:val="0"/>
              <w:pageBreakBefore w:val="0"/>
              <w:widowControl w:val="0"/>
              <w:kinsoku/>
              <w:overflowPunct/>
              <w:topLinePunct w:val="0"/>
              <w:bidi w:val="0"/>
              <w:adjustRightInd/>
              <w:snapToGrid/>
              <w:spacing w:before="0" w:beforeLines="0" w:beforeAutospacing="0" w:after="0" w:afterLines="0" w:afterAutospacing="0" w:line="39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w:t>
            </w:r>
          </w:p>
        </w:tc>
        <w:tc>
          <w:tcPr>
            <w:tcW w:w="1266" w:type="dxa"/>
            <w:noWrap w:val="0"/>
            <w:vAlign w:val="center"/>
          </w:tcPr>
          <w:p w14:paraId="4B1C55EB">
            <w:pPr>
              <w:pStyle w:val="22"/>
              <w:keepNext w:val="0"/>
              <w:keepLines w:val="0"/>
              <w:pageBreakBefore w:val="0"/>
              <w:widowControl w:val="0"/>
              <w:kinsoku/>
              <w:overflowPunct/>
              <w:topLinePunct w:val="0"/>
              <w:bidi w:val="0"/>
              <w:adjustRightInd/>
              <w:snapToGrid/>
              <w:spacing w:before="0" w:beforeLines="0" w:beforeAutospacing="0" w:after="0" w:afterLines="0" w:afterAutospacing="0" w:line="39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color w:val="auto"/>
                <w:sz w:val="21"/>
                <w:szCs w:val="21"/>
                <w:highlight w:val="none"/>
                <w:lang w:val="en-US" w:eastAsia="zh-CN"/>
              </w:rPr>
              <w:t>信财公开招标-2025-</w:t>
            </w:r>
            <w:r>
              <w:rPr>
                <w:rFonts w:hint="eastAsia" w:cs="宋体"/>
                <w:color w:val="auto"/>
                <w:sz w:val="21"/>
                <w:szCs w:val="21"/>
                <w:highlight w:val="none"/>
                <w:lang w:val="en-US" w:eastAsia="zh-CN"/>
              </w:rPr>
              <w:t>101</w:t>
            </w:r>
            <w:r>
              <w:rPr>
                <w:rFonts w:hint="eastAsia" w:ascii="宋体" w:hAnsi="宋体" w:cs="宋体"/>
                <w:color w:val="auto"/>
                <w:sz w:val="21"/>
                <w:szCs w:val="21"/>
                <w:highlight w:val="none"/>
                <w:lang w:val="en-US" w:eastAsia="zh-CN"/>
              </w:rPr>
              <w:t xml:space="preserve"> -1</w:t>
            </w:r>
          </w:p>
        </w:tc>
        <w:tc>
          <w:tcPr>
            <w:tcW w:w="2657" w:type="dxa"/>
            <w:noWrap w:val="0"/>
            <w:vAlign w:val="center"/>
          </w:tcPr>
          <w:p w14:paraId="7A0D407A">
            <w:pPr>
              <w:pStyle w:val="22"/>
              <w:keepNext w:val="0"/>
              <w:keepLines w:val="0"/>
              <w:pageBreakBefore w:val="0"/>
              <w:widowControl w:val="0"/>
              <w:kinsoku/>
              <w:overflowPunct/>
              <w:topLinePunct w:val="0"/>
              <w:bidi w:val="0"/>
              <w:adjustRightInd/>
              <w:snapToGrid/>
              <w:spacing w:before="0" w:beforeLines="0" w:beforeAutospacing="0" w:after="0" w:afterLines="0" w:afterAutospacing="0" w:line="39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lang w:eastAsia="zh-CN"/>
              </w:rPr>
              <w:t>信阳市中心医院浉河、羊山、淮滨院区化粪池、窨井和排水沟清淤等危险废物处置项目</w:t>
            </w:r>
          </w:p>
        </w:tc>
        <w:tc>
          <w:tcPr>
            <w:tcW w:w="1161" w:type="dxa"/>
            <w:noWrap w:val="0"/>
            <w:vAlign w:val="center"/>
          </w:tcPr>
          <w:p w14:paraId="445CF27A">
            <w:pPr>
              <w:keepNext w:val="0"/>
              <w:keepLines w:val="0"/>
              <w:widowControl/>
              <w:suppressLineNumbers w:val="0"/>
              <w:jc w:val="left"/>
              <w:rPr>
                <w:rFonts w:hint="eastAsia" w:ascii="宋体" w:hAnsi="宋体" w:eastAsia="宋体" w:cs="宋体"/>
                <w:bCs/>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2204396.64</w:t>
            </w:r>
          </w:p>
        </w:tc>
        <w:tc>
          <w:tcPr>
            <w:tcW w:w="1314" w:type="dxa"/>
            <w:noWrap w:val="0"/>
            <w:vAlign w:val="center"/>
          </w:tcPr>
          <w:p w14:paraId="6FC19CA1">
            <w:pPr>
              <w:pStyle w:val="22"/>
              <w:keepNext w:val="0"/>
              <w:keepLines w:val="0"/>
              <w:pageBreakBefore w:val="0"/>
              <w:widowControl w:val="0"/>
              <w:kinsoku/>
              <w:overflowPunct/>
              <w:topLinePunct w:val="0"/>
              <w:bidi w:val="0"/>
              <w:adjustRightInd/>
              <w:snapToGrid/>
              <w:spacing w:before="0" w:beforeLines="0" w:beforeAutospacing="0" w:after="0" w:afterLines="0" w:afterAutospacing="0" w:line="39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2204396.64</w:t>
            </w:r>
          </w:p>
        </w:tc>
        <w:tc>
          <w:tcPr>
            <w:tcW w:w="1246" w:type="dxa"/>
            <w:noWrap w:val="0"/>
            <w:vAlign w:val="center"/>
          </w:tcPr>
          <w:p w14:paraId="1043DDD6">
            <w:pPr>
              <w:pStyle w:val="22"/>
              <w:keepNext w:val="0"/>
              <w:keepLines w:val="0"/>
              <w:pageBreakBefore w:val="0"/>
              <w:widowControl w:val="0"/>
              <w:kinsoku/>
              <w:overflowPunct/>
              <w:topLinePunct w:val="0"/>
              <w:bidi w:val="0"/>
              <w:adjustRightInd/>
              <w:snapToGrid/>
              <w:spacing w:before="0" w:beforeLines="0" w:beforeAutospacing="0" w:after="0" w:afterLines="0" w:afterAutospacing="0" w:line="39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是</w:t>
            </w:r>
          </w:p>
        </w:tc>
        <w:tc>
          <w:tcPr>
            <w:tcW w:w="1313" w:type="dxa"/>
            <w:noWrap w:val="0"/>
            <w:vAlign w:val="center"/>
          </w:tcPr>
          <w:p w14:paraId="3D8E1006">
            <w:pPr>
              <w:pStyle w:val="22"/>
              <w:keepNext w:val="0"/>
              <w:keepLines w:val="0"/>
              <w:pageBreakBefore w:val="0"/>
              <w:widowControl w:val="0"/>
              <w:kinsoku/>
              <w:overflowPunct/>
              <w:topLinePunct w:val="0"/>
              <w:bidi w:val="0"/>
              <w:adjustRightInd/>
              <w:snapToGrid/>
              <w:spacing w:before="0" w:beforeLines="0" w:beforeAutospacing="0" w:after="0" w:afterLines="0" w:afterAutospacing="0" w:line="39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2204396.64</w:t>
            </w:r>
          </w:p>
        </w:tc>
      </w:tr>
    </w:tbl>
    <w:p w14:paraId="1B17BCFA">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5、采购需求：（包括但不限于标</w:t>
      </w:r>
      <w:r>
        <w:rPr>
          <w:rFonts w:hint="eastAsia" w:ascii="宋体" w:hAnsi="宋体" w:eastAsia="宋体" w:cs="宋体"/>
          <w:color w:val="auto"/>
          <w:sz w:val="21"/>
          <w:szCs w:val="21"/>
          <w:lang w:val="en-US" w:eastAsia="zh-CN"/>
        </w:rPr>
        <w:t>的的名称、数量、简要技术需求或服务要求等）</w:t>
      </w:r>
    </w:p>
    <w:p w14:paraId="4C23D165">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5.1采购内容：信阳市中心医院浉河、羊山、淮滨院区化粪池、窨井和排水沟清淤等危险废物处置；</w:t>
      </w:r>
    </w:p>
    <w:p w14:paraId="31FA7219">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5.2服务期限：淮滨院区两年，浉河、羊山院区三年</w:t>
      </w:r>
      <w:r>
        <w:rPr>
          <w:rFonts w:hint="eastAsia" w:ascii="宋体" w:hAnsi="宋体" w:cs="宋体"/>
          <w:b w:val="0"/>
          <w:bCs w:val="0"/>
          <w:color w:val="auto"/>
          <w:kern w:val="0"/>
          <w:sz w:val="21"/>
          <w:szCs w:val="21"/>
          <w:highlight w:val="none"/>
          <w:lang w:val="en-US" w:eastAsia="zh-CN"/>
        </w:rPr>
        <w:t>；</w:t>
      </w:r>
    </w:p>
    <w:p w14:paraId="37134B41">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5.3质量要求：符合国家及地方相关规定，满足院方管理要求</w:t>
      </w:r>
      <w:r>
        <w:rPr>
          <w:rFonts w:hint="eastAsia" w:ascii="宋体" w:hAnsi="宋体" w:cs="宋体"/>
          <w:b w:val="0"/>
          <w:bCs w:val="0"/>
          <w:color w:val="auto"/>
          <w:kern w:val="0"/>
          <w:sz w:val="21"/>
          <w:szCs w:val="21"/>
          <w:highlight w:val="none"/>
          <w:lang w:val="en-US" w:eastAsia="zh-CN"/>
        </w:rPr>
        <w:t>；</w:t>
      </w:r>
    </w:p>
    <w:p w14:paraId="3695AE3A">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5.4服务地点：采购人指定地点</w:t>
      </w:r>
      <w:r>
        <w:rPr>
          <w:rFonts w:hint="eastAsia" w:ascii="宋体" w:hAnsi="宋体" w:cs="宋体"/>
          <w:b w:val="0"/>
          <w:bCs w:val="0"/>
          <w:color w:val="auto"/>
          <w:kern w:val="0"/>
          <w:sz w:val="21"/>
          <w:szCs w:val="21"/>
          <w:highlight w:val="none"/>
          <w:lang w:val="en-US" w:eastAsia="zh-CN"/>
        </w:rPr>
        <w:t>。</w:t>
      </w:r>
    </w:p>
    <w:p w14:paraId="08C1A630">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6、合同履行期限：同服务期限</w:t>
      </w:r>
    </w:p>
    <w:p w14:paraId="18B5C45E">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7、本项目是否接受联合体投标：否 </w:t>
      </w:r>
    </w:p>
    <w:p w14:paraId="48EA5168">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8、是否接受进口产品：否</w:t>
      </w:r>
    </w:p>
    <w:p w14:paraId="30F3E443">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9、是否专门面向中小企业：</w:t>
      </w:r>
      <w:r>
        <w:rPr>
          <w:rFonts w:hint="eastAsia" w:ascii="宋体" w:hAnsi="宋体" w:eastAsia="宋体" w:cs="宋体"/>
          <w:color w:val="auto"/>
          <w:sz w:val="21"/>
          <w:szCs w:val="21"/>
          <w:lang w:val="en-US" w:eastAsia="zh-CN"/>
        </w:rPr>
        <w:t>是</w:t>
      </w:r>
    </w:p>
    <w:p w14:paraId="5C553B26">
      <w:pPr>
        <w:pageBreakBefore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二、申请人资格要求</w:t>
      </w:r>
    </w:p>
    <w:p w14:paraId="3757F795">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1、满足《中华人民共和国政府采购法》第二十二条规定；</w:t>
      </w:r>
    </w:p>
    <w:p w14:paraId="54D8C8CD">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落实政府采购政策满足的资格要求：本项目专门面向中小企业采购。（财库〔2020〕46号）第四条之规定，在政府采购活动中，供应商提供的服务享受本办法规定的中小企业扶持政策（在服务采购项目中，服务由中小企业承接，即提供服务的人员为中小企业依照《中华人民共和国劳动合同法》订立劳动合同的从业人员），中小企业的其他主体的政府采购扶持政策本项目不适用。参加本项目的中小企业须提供《中小企业声明函》（监狱企业和残疾人福利性单位视同于小微企业，提供相应的声明函和证明，格式详见</w:t>
      </w:r>
      <w:r>
        <w:rPr>
          <w:rFonts w:hint="eastAsia" w:cs="宋体"/>
          <w:b w:val="0"/>
          <w:bCs/>
          <w:color w:val="auto"/>
          <w:sz w:val="21"/>
          <w:szCs w:val="21"/>
          <w:lang w:val="en-US" w:eastAsia="zh-CN"/>
        </w:rPr>
        <w:t>投标</w:t>
      </w:r>
      <w:r>
        <w:rPr>
          <w:rFonts w:hint="eastAsia" w:ascii="宋体" w:hAnsi="宋体" w:eastAsia="宋体" w:cs="宋体"/>
          <w:b w:val="0"/>
          <w:bCs/>
          <w:color w:val="auto"/>
          <w:sz w:val="21"/>
          <w:szCs w:val="21"/>
          <w:lang w:val="en-US" w:eastAsia="zh-CN"/>
        </w:rPr>
        <w:t>文件格式），不符合要求的声明函或未提供的将视为不符合资格要求。</w:t>
      </w:r>
    </w:p>
    <w:p w14:paraId="7C427903">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3、本项目的特定资格要求：</w:t>
      </w:r>
    </w:p>
    <w:p w14:paraId="2EB922BB">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3.1供应商须具备主管部门颁发的在有效期内的《危险废物经营许可证》，且经营具体危险废物类别至少包含HW02、HW03、HW49；其中，拟派项目负责人具备环保工程专业或相关专业中级及以上职称，并提供职称证及与供应商签订的劳动合同。</w:t>
      </w:r>
    </w:p>
    <w:p w14:paraId="254D4BC2">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3.2单位负责人为同一人或者存在直接控股、管理关系的不同单位，不得同时参加同一合同项下的政府采购活动（提供加盖投标人（供应商）公章的“国家企业信用信息公示系统”中公示的公司基础信息）。</w:t>
      </w:r>
    </w:p>
    <w:p w14:paraId="2B6BCF45">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4、其他说明：</w:t>
      </w:r>
    </w:p>
    <w:p w14:paraId="1DCD8D44">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4.1本项目 适用  信用承诺（详见下述要求）。</w:t>
      </w:r>
    </w:p>
    <w:p w14:paraId="0B099476">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一）在本项目政府采购活动中，供应商在投标（响应）时，可对照资格要求进行自主核对，确定符合资格要求的，可按照规定提供相关承诺函（详见招标文件“资格证明材料”附件），供应商只需在资格审查环节提供满足相应条件的书面承诺书，不再需要提供以下证明材料：</w:t>
      </w:r>
    </w:p>
    <w:p w14:paraId="22231661">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①具有独立承担民事责任的能力（提供法人或者其他组织的营业执照等证明文件）；</w:t>
      </w:r>
    </w:p>
    <w:p w14:paraId="3A2E2368">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②具有良好的商业信誉和健全的财务会计制度（提供2024年度财务审计报告或其基本开户银行出具的资信证明）；</w:t>
      </w:r>
    </w:p>
    <w:p w14:paraId="4DF6FAFB">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③具有依法缴纳税收和社会保障资金的良好记录（提供开标前12个月内任意连续6个月的已依法缴纳税收和社会保障资金的凭据，新成立公司不足6个月的，按已缴纳月份提供）；</w:t>
      </w:r>
    </w:p>
    <w:p w14:paraId="7DD8681A">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④具有履行合同所必需的设备和专业技术能力（提供承诺书，格式自拟）；</w:t>
      </w:r>
    </w:p>
    <w:p w14:paraId="11B0DA7E">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⑤参加政府采购活动前三年内在经营活动中没有重大违法记录的证明材料（提供承诺书，格式自拟）；</w:t>
      </w:r>
    </w:p>
    <w:p w14:paraId="3802708A">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⑥未被列入失信被执行人、重大税收违法失信主体、政府采购严重违法失信行为记录名单的查询截图；〔查询渠道：“中国执行信息公开网”（http：//zxgk.court.gov.cn）、“信用中国”网站（www.creditchina.gov.cn）、中国政府采购网（www.ccgp.gov.cn〕；提供查询网页截图加单位公章，查询时间需在公告发布之后；</w:t>
      </w:r>
    </w:p>
    <w:p w14:paraId="241ADBDC">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（二）供应商在中标（成交）后，应将上述由信用承诺书替代的证明材料提交采购人（采购代理机构）核验，经核验无误后，由采购人发出中标（成交）通知书。</w:t>
      </w:r>
      <w:bookmarkStart w:id="128" w:name="_GoBack"/>
      <w:bookmarkEnd w:id="128"/>
    </w:p>
    <w:p w14:paraId="59941EDF">
      <w:pPr>
        <w:pStyle w:val="3"/>
        <w:pageBreakBefore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三、获取招标文件</w:t>
      </w:r>
    </w:p>
    <w:p w14:paraId="369B1026">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1、时间：2025年</w:t>
      </w:r>
      <w:r>
        <w:rPr>
          <w:rFonts w:hint="eastAsia" w:ascii="宋体" w:hAnsi="宋体" w:cs="宋体"/>
          <w:color w:val="auto"/>
          <w:sz w:val="21"/>
          <w:szCs w:val="21"/>
          <w:lang w:val="en-US" w:eastAsia="zh-CN"/>
        </w:rPr>
        <w:t>10</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13</w:t>
      </w:r>
      <w:r>
        <w:rPr>
          <w:rFonts w:hint="eastAsia" w:ascii="宋体" w:hAnsi="宋体" w:eastAsia="宋体" w:cs="宋体"/>
          <w:color w:val="auto"/>
          <w:sz w:val="21"/>
          <w:szCs w:val="21"/>
          <w:lang w:val="en-US" w:eastAsia="zh-CN"/>
        </w:rPr>
        <w:t>日00时00分至2025年</w:t>
      </w:r>
      <w:r>
        <w:rPr>
          <w:rFonts w:hint="eastAsia" w:ascii="宋体" w:hAnsi="宋体" w:cs="宋体"/>
          <w:color w:val="auto"/>
          <w:sz w:val="21"/>
          <w:szCs w:val="21"/>
          <w:lang w:val="en-US" w:eastAsia="zh-CN"/>
        </w:rPr>
        <w:t>10</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17</w:t>
      </w:r>
      <w:r>
        <w:rPr>
          <w:rFonts w:hint="eastAsia" w:ascii="宋体" w:hAnsi="宋体" w:eastAsia="宋体" w:cs="宋体"/>
          <w:color w:val="auto"/>
          <w:sz w:val="21"/>
          <w:szCs w:val="21"/>
          <w:lang w:val="en-US" w:eastAsia="zh-CN"/>
        </w:rPr>
        <w:t>日23时59分（北京时间）；</w:t>
      </w:r>
    </w:p>
    <w:p w14:paraId="4BBEEB81">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地点：登录“全国公共资源交易平台（河南省·信阳市）（https://ggzyjy.xinyang.gov.cn/）”网站，凭办理的企业身份认证锁（CA数字证书）登录会员系统进行网上投标； </w:t>
      </w:r>
    </w:p>
    <w:p w14:paraId="33A43D28">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3、方式：</w:t>
      </w:r>
      <w:r>
        <w:rPr>
          <w:rFonts w:hint="eastAsia" w:ascii="宋体" w:hAnsi="宋体" w:eastAsia="宋体" w:cs="宋体"/>
          <w:color w:val="auto"/>
          <w:sz w:val="21"/>
          <w:szCs w:val="21"/>
        </w:rPr>
        <w:t>投标人凭CA数字证书登录会员系统后，即可按网上提示免费下载招标文件及资料（操作程序详见信阳市公共资源交易中心网站下载中心栏目里投标人操作手册）。招标文件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*.XYZF格式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下载后需使用“信阳市投标文件制作工具软件”打开（该工具软件可在“全国公共资源交易平台（河南省·信阳市）（https://ggzyjy.xinyang.gov.cn/）”网站下载中心栏目内下载或在招标文件领取页面下载）。 </w:t>
      </w:r>
    </w:p>
    <w:p w14:paraId="1FCD3728">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4、售价：招标文件售价0元。</w:t>
      </w:r>
    </w:p>
    <w:p w14:paraId="7B5DF28D">
      <w:pPr>
        <w:pStyle w:val="3"/>
        <w:pageBreakBefore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四、投标截止时间及地点</w:t>
      </w:r>
    </w:p>
    <w:p w14:paraId="3EC242F7">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1、时间：</w:t>
      </w:r>
      <w:r>
        <w:rPr>
          <w:rFonts w:hint="eastAsia" w:ascii="宋体" w:hAnsi="宋体" w:eastAsia="宋体" w:cs="宋体"/>
          <w:b w:val="0"/>
          <w:bCs w:val="0"/>
          <w:color w:val="auto"/>
          <w:sz w:val="21"/>
          <w:szCs w:val="21"/>
          <w:lang w:val="en-US" w:eastAsia="zh-CN"/>
        </w:rPr>
        <w:t>2025 年</w:t>
      </w:r>
      <w:r>
        <w:rPr>
          <w:rFonts w:hint="eastAsia" w:ascii="宋体" w:hAnsi="宋体" w:cs="宋体"/>
          <w:b w:val="0"/>
          <w:bCs w:val="0"/>
          <w:color w:val="auto"/>
          <w:sz w:val="21"/>
          <w:szCs w:val="21"/>
          <w:lang w:val="en-US" w:eastAsia="zh-CN"/>
        </w:rPr>
        <w:t xml:space="preserve">11 </w:t>
      </w:r>
      <w:r>
        <w:rPr>
          <w:rFonts w:hint="eastAsia" w:ascii="宋体" w:hAnsi="宋体" w:eastAsia="宋体" w:cs="宋体"/>
          <w:b w:val="0"/>
          <w:bCs w:val="0"/>
          <w:color w:val="auto"/>
          <w:sz w:val="21"/>
          <w:szCs w:val="21"/>
          <w:lang w:val="en-US" w:eastAsia="zh-CN"/>
        </w:rPr>
        <w:t>月</w:t>
      </w:r>
      <w:r>
        <w:rPr>
          <w:rFonts w:hint="eastAsia" w:ascii="宋体" w:hAnsi="宋体" w:cs="宋体"/>
          <w:b w:val="0"/>
          <w:bCs w:val="0"/>
          <w:color w:val="auto"/>
          <w:sz w:val="21"/>
          <w:szCs w:val="21"/>
          <w:lang w:val="en-US" w:eastAsia="zh-CN"/>
        </w:rPr>
        <w:t xml:space="preserve"> 03  </w:t>
      </w:r>
      <w:r>
        <w:rPr>
          <w:rFonts w:hint="eastAsia" w:ascii="宋体" w:hAnsi="宋体" w:eastAsia="宋体" w:cs="宋体"/>
          <w:b w:val="0"/>
          <w:bCs w:val="0"/>
          <w:color w:val="auto"/>
          <w:sz w:val="21"/>
          <w:szCs w:val="21"/>
          <w:lang w:val="en-US" w:eastAsia="zh-CN"/>
        </w:rPr>
        <w:t>日9 时</w:t>
      </w:r>
      <w:r>
        <w:rPr>
          <w:rFonts w:hint="eastAsia" w:ascii="宋体" w:hAnsi="宋体" w:cs="宋体"/>
          <w:b w:val="0"/>
          <w:bCs w:val="0"/>
          <w:color w:val="auto"/>
          <w:sz w:val="21"/>
          <w:szCs w:val="21"/>
          <w:lang w:val="en-US" w:eastAsia="zh-CN"/>
        </w:rPr>
        <w:t>0</w:t>
      </w:r>
      <w:r>
        <w:rPr>
          <w:rFonts w:hint="eastAsia" w:ascii="宋体" w:hAnsi="宋体" w:eastAsia="宋体" w:cs="宋体"/>
          <w:b w:val="0"/>
          <w:bCs w:val="0"/>
          <w:color w:val="auto"/>
          <w:sz w:val="21"/>
          <w:szCs w:val="21"/>
          <w:lang w:val="en-US" w:eastAsia="zh-CN"/>
        </w:rPr>
        <w:t>0分（北京时间）</w:t>
      </w:r>
    </w:p>
    <w:p w14:paraId="5672C07C">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地点：本项目为不见面开标项目，投标文件递交地点为《全国公共资源交易平台（河南省·信阳市）（http://ggzyjy.xinyang.gov.cn/）》电子招投标平台会员系统指定位置，加密电子投标文件逾期上传采购人不予受理。</w:t>
      </w:r>
    </w:p>
    <w:p w14:paraId="432C256E">
      <w:pPr>
        <w:pStyle w:val="3"/>
        <w:pageBreakBefore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五、开标时间及地点</w:t>
      </w:r>
    </w:p>
    <w:p w14:paraId="5949EBAC">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1、时间：</w:t>
      </w:r>
      <w:r>
        <w:rPr>
          <w:rFonts w:hint="eastAsia" w:ascii="宋体" w:hAnsi="宋体" w:eastAsia="宋体" w:cs="宋体"/>
          <w:b w:val="0"/>
          <w:bCs w:val="0"/>
          <w:color w:val="auto"/>
          <w:sz w:val="21"/>
          <w:szCs w:val="21"/>
          <w:lang w:val="en-US" w:eastAsia="zh-CN"/>
        </w:rPr>
        <w:t>2025 年</w:t>
      </w:r>
      <w:r>
        <w:rPr>
          <w:rFonts w:hint="eastAsia" w:ascii="宋体" w:hAnsi="宋体" w:cs="宋体"/>
          <w:b w:val="0"/>
          <w:bCs w:val="0"/>
          <w:color w:val="auto"/>
          <w:sz w:val="21"/>
          <w:szCs w:val="21"/>
          <w:lang w:val="en-US" w:eastAsia="zh-CN"/>
        </w:rPr>
        <w:t>11</w:t>
      </w:r>
      <w:r>
        <w:rPr>
          <w:rFonts w:hint="eastAsia" w:ascii="宋体" w:hAnsi="宋体" w:eastAsia="宋体" w:cs="宋体"/>
          <w:b w:val="0"/>
          <w:bCs w:val="0"/>
          <w:color w:val="auto"/>
          <w:sz w:val="21"/>
          <w:szCs w:val="21"/>
          <w:lang w:val="en-US" w:eastAsia="zh-CN"/>
        </w:rPr>
        <w:t>月</w:t>
      </w:r>
      <w:r>
        <w:rPr>
          <w:rFonts w:hint="eastAsia" w:ascii="宋体" w:hAnsi="宋体" w:cs="宋体"/>
          <w:b w:val="0"/>
          <w:bCs w:val="0"/>
          <w:color w:val="auto"/>
          <w:sz w:val="21"/>
          <w:szCs w:val="21"/>
          <w:lang w:val="en-US" w:eastAsia="zh-CN"/>
        </w:rPr>
        <w:t>03</w:t>
      </w:r>
      <w:r>
        <w:rPr>
          <w:rFonts w:hint="eastAsia" w:ascii="宋体" w:hAnsi="宋体" w:eastAsia="宋体" w:cs="宋体"/>
          <w:b w:val="0"/>
          <w:bCs w:val="0"/>
          <w:color w:val="auto"/>
          <w:sz w:val="21"/>
          <w:szCs w:val="21"/>
          <w:lang w:val="en-US" w:eastAsia="zh-CN"/>
        </w:rPr>
        <w:t>日9 时</w:t>
      </w:r>
      <w:r>
        <w:rPr>
          <w:rFonts w:hint="eastAsia" w:ascii="宋体" w:hAnsi="宋体" w:cs="宋体"/>
          <w:b w:val="0"/>
          <w:bCs w:val="0"/>
          <w:color w:val="auto"/>
          <w:sz w:val="21"/>
          <w:szCs w:val="21"/>
          <w:lang w:val="en-US" w:eastAsia="zh-CN"/>
        </w:rPr>
        <w:t>0</w:t>
      </w:r>
      <w:r>
        <w:rPr>
          <w:rFonts w:hint="eastAsia" w:ascii="宋体" w:hAnsi="宋体" w:eastAsia="宋体" w:cs="宋体"/>
          <w:b w:val="0"/>
          <w:bCs w:val="0"/>
          <w:color w:val="auto"/>
          <w:sz w:val="21"/>
          <w:szCs w:val="21"/>
          <w:lang w:val="en-US" w:eastAsia="zh-CN"/>
        </w:rPr>
        <w:t>0分（北京时间）</w:t>
      </w:r>
    </w:p>
    <w:p w14:paraId="16A0DB85">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2、地点：机器人开标虚拟六厅   </w:t>
      </w:r>
    </w:p>
    <w:p w14:paraId="7BAB20B6">
      <w:pPr>
        <w:pStyle w:val="3"/>
        <w:pageBreakBefore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六、发布公告的媒介及招标公告期限</w:t>
      </w:r>
    </w:p>
    <w:p w14:paraId="1C3EA04B">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本次招标公告在《中国招标投标公共服务平台》《河南省政府采购网》《全国公共资源交易平台（河南省·信阳市）》上发布，公告期限为五个工作日。</w:t>
      </w:r>
    </w:p>
    <w:p w14:paraId="159108AA">
      <w:pPr>
        <w:pStyle w:val="3"/>
        <w:pageBreakBefore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七、其他补充事宜</w:t>
      </w:r>
    </w:p>
    <w:p w14:paraId="7A274B3C">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1.本项目采用“不见面开标”交易方式，不见面开标大厅网址为 https://ggzyjy.xinyang.gov.cn/BidOpening，投标人无需寄送和递交非加密的电子投标文件，无需到现场参加开标会议，无需到达现场提交原件资料。</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    2.投标人应当在投标截止时间前，使用投标人CA数字证书登录不见面开标大厅，在线签到并准时参加开标活动，并在规定时间内完成投标文件解密、答疑澄清等。</w:t>
      </w:r>
    </w:p>
    <w:p w14:paraId="006727CE">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3.逾期解密或者没有准时在线参加开标活动导致的一切后果投标人自行承担。</w:t>
      </w:r>
    </w:p>
    <w:p w14:paraId="617FFEC1">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4.不见面开标服务的具体事宜，请查阅信阳市公共资源交易中心网站首页—下载中心—信阳市不见面开标大厅系统操作手册。</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    5.监督单位：信阳市财政局政府采购科  联系电话：0376-6699188</w:t>
      </w:r>
    </w:p>
    <w:p w14:paraId="66C536B5">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6.代理服务费的收取：按照河南省招标投标协会关于印发《河南省招标代理服务收费指导意见》的通知（豫招协[2023]002号）文件的计算方法收取，代理服务费收费金额不高于</w:t>
      </w:r>
      <w:r>
        <w:rPr>
          <w:rFonts w:hint="eastAsia" w:ascii="宋体" w:hAnsi="宋体" w:eastAsia="宋体" w:cs="宋体"/>
          <w:b w:val="0"/>
          <w:bCs w:val="0"/>
          <w:color w:val="auto"/>
          <w:sz w:val="21"/>
          <w:szCs w:val="21"/>
          <w:highlight w:val="none"/>
          <w:lang w:val="en-US" w:eastAsia="zh-CN"/>
        </w:rPr>
        <w:t>31400</w:t>
      </w:r>
      <w:r>
        <w:rPr>
          <w:rFonts w:hint="eastAsia" w:ascii="宋体" w:hAnsi="宋体" w:eastAsia="宋体" w:cs="宋体"/>
          <w:color w:val="auto"/>
          <w:sz w:val="21"/>
          <w:szCs w:val="21"/>
          <w:lang w:val="en-US" w:eastAsia="zh-CN"/>
        </w:rPr>
        <w:t>元（以实际中标金额*规定费率为准）；由中标人支付；投标人报价应当包含该项目代理服务费。</w:t>
      </w:r>
    </w:p>
    <w:p w14:paraId="37F14ED0">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color w:val="auto"/>
          <w:sz w:val="21"/>
          <w:szCs w:val="21"/>
          <w:lang w:val="en-US" w:eastAsia="zh-CN"/>
        </w:rPr>
        <w:t>特别提示：投标人在线签到时，应如实准确的填写授权委托人的联系电话，开标当天请务必保证电话保持畅通。投标人在评标过程中应当时刻关注评标进程，在短信提醒需要在线答疑澄清时在规定时间内进行相关操作，未在规定时间内操作造成的一切后果由投标人自行承担。</w:t>
      </w:r>
    </w:p>
    <w:p w14:paraId="4A791EF4">
      <w:pPr>
        <w:pStyle w:val="3"/>
        <w:pageBreakBefore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八、凡对本次招标提出询问，请按照以下方式联系</w:t>
      </w:r>
    </w:p>
    <w:p w14:paraId="5E460304">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1.采购人信息 </w:t>
      </w:r>
    </w:p>
    <w:p w14:paraId="1DD3F08B">
      <w:pPr>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eastAsia="宋体" w:cs="宋体"/>
          <w:bCs/>
          <w:color w:val="auto"/>
          <w:kern w:val="0"/>
          <w:sz w:val="21"/>
          <w:szCs w:val="21"/>
          <w:lang w:val="en-US" w:eastAsia="zh-CN"/>
        </w:rPr>
      </w:pPr>
      <w:bookmarkStart w:id="17" w:name="_Toc27887"/>
      <w:r>
        <w:rPr>
          <w:rFonts w:hint="eastAsia" w:ascii="宋体" w:hAnsi="宋体" w:eastAsia="宋体" w:cs="宋体"/>
          <w:bCs/>
          <w:color w:val="auto"/>
          <w:kern w:val="0"/>
          <w:sz w:val="21"/>
          <w:szCs w:val="21"/>
          <w:lang w:val="en-US" w:eastAsia="zh-CN"/>
        </w:rPr>
        <w:t>采 购 人：信阳市中心医院</w:t>
      </w:r>
    </w:p>
    <w:p w14:paraId="608823AD">
      <w:pPr>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地    址：信阳市四一路1号</w:t>
      </w:r>
    </w:p>
    <w:p w14:paraId="60444D80">
      <w:pPr>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联 系 人：张博</w:t>
      </w:r>
    </w:p>
    <w:p w14:paraId="2AA45224">
      <w:pPr>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电    话：16637699992</w:t>
      </w:r>
    </w:p>
    <w:p w14:paraId="36216ABA">
      <w:pPr>
        <w:keepNext w:val="0"/>
        <w:keepLines w:val="0"/>
        <w:pageBreakBefore w:val="0"/>
        <w:numPr>
          <w:ilvl w:val="0"/>
          <w:numId w:val="1"/>
        </w:numPr>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采购代理机构：</w:t>
      </w:r>
    </w:p>
    <w:p w14:paraId="7C5A8CD1">
      <w:pPr>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名</w:t>
      </w:r>
      <w:r>
        <w:rPr>
          <w:rFonts w:hint="eastAsia" w:ascii="宋体" w:hAnsi="宋体" w:eastAsia="宋体" w:cs="宋体"/>
          <w:bCs/>
          <w:color w:val="auto"/>
          <w:kern w:val="0"/>
          <w:sz w:val="21"/>
          <w:szCs w:val="21"/>
          <w:lang w:val="en-US" w:eastAsia="zh-CN"/>
        </w:rPr>
        <w:t xml:space="preserve">    </w:t>
      </w:r>
      <w:r>
        <w:rPr>
          <w:rFonts w:hint="eastAsia" w:ascii="宋体" w:hAnsi="宋体" w:eastAsia="宋体" w:cs="宋体"/>
          <w:bCs/>
          <w:color w:val="auto"/>
          <w:kern w:val="0"/>
          <w:sz w:val="21"/>
          <w:szCs w:val="21"/>
          <w:lang w:eastAsia="zh-CN"/>
        </w:rPr>
        <w:t>称</w:t>
      </w:r>
      <w:r>
        <w:rPr>
          <w:rFonts w:hint="eastAsia" w:ascii="宋体" w:hAnsi="宋体" w:eastAsia="宋体" w:cs="宋体"/>
          <w:bCs/>
          <w:color w:val="auto"/>
          <w:kern w:val="0"/>
          <w:sz w:val="21"/>
          <w:szCs w:val="21"/>
        </w:rPr>
        <w:t xml:space="preserve">：河南英华咨询有限公司 </w:t>
      </w:r>
    </w:p>
    <w:p w14:paraId="2A238281">
      <w:pPr>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地    址：</w:t>
      </w:r>
      <w:r>
        <w:rPr>
          <w:rFonts w:hint="eastAsia" w:ascii="宋体" w:hAnsi="宋体" w:eastAsia="宋体" w:cs="宋体"/>
          <w:bCs/>
          <w:color w:val="auto"/>
          <w:kern w:val="0"/>
          <w:sz w:val="21"/>
          <w:szCs w:val="21"/>
          <w:lang w:val="en-US" w:eastAsia="zh-CN"/>
        </w:rPr>
        <w:t>郑州市高新技术开发区电厂路80号162幢21层64号</w:t>
      </w:r>
    </w:p>
    <w:p w14:paraId="7753CDEC">
      <w:pPr>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rPr>
        <w:t>联 系 人：</w:t>
      </w:r>
      <w:r>
        <w:rPr>
          <w:rFonts w:hint="eastAsia" w:ascii="宋体" w:hAnsi="宋体" w:eastAsia="宋体" w:cs="宋体"/>
          <w:bCs/>
          <w:color w:val="auto"/>
          <w:kern w:val="0"/>
          <w:sz w:val="21"/>
          <w:szCs w:val="21"/>
          <w:lang w:val="en-US" w:eastAsia="zh-CN"/>
        </w:rPr>
        <w:t>娄利杰</w:t>
      </w:r>
    </w:p>
    <w:p w14:paraId="198E2EFD">
      <w:pPr>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Cs/>
          <w:color w:val="auto"/>
          <w:kern w:val="0"/>
          <w:sz w:val="21"/>
          <w:szCs w:val="21"/>
        </w:rPr>
        <w:t>电    话：</w:t>
      </w:r>
      <w:r>
        <w:rPr>
          <w:rFonts w:hint="eastAsia" w:ascii="宋体" w:hAnsi="宋体" w:eastAsia="宋体" w:cs="宋体"/>
          <w:bCs/>
          <w:color w:val="auto"/>
          <w:kern w:val="0"/>
          <w:sz w:val="21"/>
          <w:szCs w:val="21"/>
          <w:lang w:eastAsia="zh-CN"/>
        </w:rPr>
        <w:t>13033958852</w:t>
      </w:r>
    </w:p>
    <w:p w14:paraId="3C78D384">
      <w:pPr>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3.项目联系方式 </w:t>
      </w:r>
    </w:p>
    <w:p w14:paraId="0086E676">
      <w:pPr>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rPr>
        <w:t>联 系 人：</w:t>
      </w:r>
      <w:r>
        <w:rPr>
          <w:rFonts w:hint="eastAsia" w:ascii="宋体" w:hAnsi="宋体" w:eastAsia="宋体" w:cs="宋体"/>
          <w:bCs/>
          <w:color w:val="auto"/>
          <w:kern w:val="0"/>
          <w:sz w:val="21"/>
          <w:szCs w:val="21"/>
          <w:lang w:val="en-US" w:eastAsia="zh-CN"/>
        </w:rPr>
        <w:t>娄利杰</w:t>
      </w:r>
    </w:p>
    <w:p w14:paraId="0851D8EB">
      <w:pPr>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Cs/>
          <w:color w:val="auto"/>
          <w:kern w:val="0"/>
          <w:sz w:val="21"/>
          <w:szCs w:val="21"/>
        </w:rPr>
        <w:t>电    话：</w:t>
      </w:r>
      <w:r>
        <w:rPr>
          <w:rFonts w:hint="eastAsia" w:ascii="宋体" w:hAnsi="宋体" w:eastAsia="宋体" w:cs="宋体"/>
          <w:bCs/>
          <w:color w:val="auto"/>
          <w:kern w:val="0"/>
          <w:sz w:val="21"/>
          <w:szCs w:val="21"/>
          <w:lang w:eastAsia="zh-CN"/>
        </w:rPr>
        <w:t>13033958852</w:t>
      </w:r>
    </w:p>
    <w:p w14:paraId="77A7C65F">
      <w:pPr>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br w:type="page"/>
      </w:r>
    </w:p>
    <w:p w14:paraId="2142CB72">
      <w:pPr>
        <w:pStyle w:val="2"/>
        <w:pageBreakBefore w:val="0"/>
        <w:kinsoku/>
        <w:wordWrap/>
        <w:overflowPunct/>
        <w:topLinePunct w:val="0"/>
        <w:bidi w:val="0"/>
        <w:adjustRightInd/>
        <w:snapToGrid/>
        <w:spacing w:line="360" w:lineRule="auto"/>
        <w:ind w:left="0" w:leftChars="0" w:right="0" w:rightChars="0"/>
        <w:jc w:val="center"/>
        <w:rPr>
          <w:rFonts w:hint="eastAsia" w:ascii="宋体" w:hAnsi="宋体" w:eastAsia="宋体"/>
          <w:color w:val="auto"/>
          <w:sz w:val="30"/>
          <w:szCs w:val="30"/>
          <w:highlight w:val="none"/>
          <w:lang w:val="en-US" w:eastAsia="zh-CN"/>
        </w:rPr>
      </w:pPr>
      <w:bookmarkStart w:id="18" w:name="_Toc22785"/>
      <w:r>
        <w:rPr>
          <w:rFonts w:hint="eastAsia" w:ascii="宋体" w:hAnsi="宋体"/>
          <w:color w:val="auto"/>
          <w:sz w:val="36"/>
          <w:szCs w:val="36"/>
          <w:highlight w:val="none"/>
        </w:rPr>
        <w:t xml:space="preserve">第二章 </w:t>
      </w:r>
      <w:r>
        <w:rPr>
          <w:rFonts w:hint="eastAsia" w:ascii="宋体" w:hAnsi="宋体"/>
          <w:color w:val="auto"/>
          <w:sz w:val="36"/>
          <w:szCs w:val="36"/>
          <w:highlight w:val="none"/>
          <w:lang w:eastAsia="zh-CN"/>
        </w:rPr>
        <w:t>供应商</w:t>
      </w:r>
      <w:r>
        <w:rPr>
          <w:rFonts w:hint="eastAsia" w:ascii="宋体" w:hAnsi="宋体"/>
          <w:color w:val="auto"/>
          <w:sz w:val="36"/>
          <w:szCs w:val="36"/>
          <w:highlight w:val="none"/>
        </w:rPr>
        <w:t>须知</w:t>
      </w:r>
      <w:bookmarkEnd w:id="17"/>
      <w:bookmarkEnd w:id="18"/>
    </w:p>
    <w:p w14:paraId="3DC3FA3D">
      <w:pPr>
        <w:pStyle w:val="3"/>
        <w:pageBreakBefore w:val="0"/>
        <w:kinsoku/>
        <w:wordWrap/>
        <w:overflowPunct/>
        <w:topLinePunct w:val="0"/>
        <w:bidi w:val="0"/>
        <w:adjustRightInd/>
        <w:snapToGrid/>
        <w:spacing w:after="0" w:afterLines="0" w:line="360" w:lineRule="auto"/>
        <w:ind w:left="0" w:leftChars="0" w:right="0" w:rightChars="0"/>
        <w:jc w:val="center"/>
        <w:rPr>
          <w:rFonts w:hint="eastAsia"/>
          <w:color w:val="auto"/>
          <w:sz w:val="24"/>
          <w:szCs w:val="24"/>
          <w:highlight w:val="none"/>
        </w:rPr>
      </w:pPr>
      <w:bookmarkStart w:id="19" w:name="_Toc15527"/>
      <w:r>
        <w:rPr>
          <w:rFonts w:hint="eastAsia"/>
          <w:color w:val="auto"/>
          <w:sz w:val="24"/>
          <w:szCs w:val="24"/>
          <w:highlight w:val="none"/>
          <w:lang w:eastAsia="zh-CN"/>
        </w:rPr>
        <w:t>供应商</w:t>
      </w:r>
      <w:r>
        <w:rPr>
          <w:rFonts w:hint="eastAsia"/>
          <w:color w:val="auto"/>
          <w:sz w:val="24"/>
          <w:szCs w:val="24"/>
          <w:highlight w:val="none"/>
        </w:rPr>
        <w:t>须知前附表</w:t>
      </w:r>
      <w:bookmarkEnd w:id="19"/>
    </w:p>
    <w:tbl>
      <w:tblPr>
        <w:tblStyle w:val="26"/>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434"/>
        <w:gridCol w:w="1309"/>
        <w:gridCol w:w="7210"/>
      </w:tblGrid>
      <w:tr w14:paraId="3FE7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16" w:type="dxa"/>
            <w:noWrap w:val="0"/>
            <w:vAlign w:val="center"/>
          </w:tcPr>
          <w:p w14:paraId="7E0E468B">
            <w:pPr>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条款号</w:t>
            </w:r>
          </w:p>
        </w:tc>
        <w:tc>
          <w:tcPr>
            <w:tcW w:w="1743" w:type="dxa"/>
            <w:gridSpan w:val="2"/>
            <w:noWrap w:val="0"/>
            <w:vAlign w:val="center"/>
          </w:tcPr>
          <w:p w14:paraId="5CA6B548">
            <w:pPr>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 款 名 称</w:t>
            </w:r>
          </w:p>
        </w:tc>
        <w:tc>
          <w:tcPr>
            <w:tcW w:w="7210" w:type="dxa"/>
            <w:noWrap w:val="0"/>
            <w:vAlign w:val="center"/>
          </w:tcPr>
          <w:p w14:paraId="4417CC86">
            <w:pPr>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编 列 内 容</w:t>
            </w:r>
          </w:p>
        </w:tc>
      </w:tr>
      <w:tr w14:paraId="25EC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16" w:type="dxa"/>
            <w:noWrap w:val="0"/>
            <w:vAlign w:val="center"/>
          </w:tcPr>
          <w:p w14:paraId="3B272109">
            <w:pPr>
              <w:pageBreakBefore w:val="0"/>
              <w:kinsoku/>
              <w:wordWrap/>
              <w:overflowPunct/>
              <w:topLinePunct w:val="0"/>
              <w:autoSpaceDE w:val="0"/>
              <w:autoSpaceDN w:val="0"/>
              <w:bidi w:val="0"/>
              <w:adjustRightInd/>
              <w:snapToGrid/>
              <w:spacing w:line="400" w:lineRule="exact"/>
              <w:ind w:left="0" w:leftChars="0" w:right="0" w:right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.1.2</w:t>
            </w:r>
          </w:p>
        </w:tc>
        <w:tc>
          <w:tcPr>
            <w:tcW w:w="1743" w:type="dxa"/>
            <w:gridSpan w:val="2"/>
            <w:noWrap w:val="0"/>
            <w:vAlign w:val="center"/>
          </w:tcPr>
          <w:p w14:paraId="62F8CC63">
            <w:pPr>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w:t>
            </w:r>
          </w:p>
        </w:tc>
        <w:tc>
          <w:tcPr>
            <w:tcW w:w="7210" w:type="dxa"/>
            <w:noWrap w:val="0"/>
            <w:vAlign w:val="center"/>
          </w:tcPr>
          <w:p w14:paraId="609A399B">
            <w:pPr>
              <w:pageBreakBefore w:val="0"/>
              <w:kinsoku/>
              <w:wordWrap/>
              <w:overflowPunct/>
              <w:topLinePunct w:val="0"/>
              <w:bidi w:val="0"/>
              <w:adjustRightInd/>
              <w:snapToGrid/>
              <w:spacing w:line="420" w:lineRule="exact"/>
              <w:ind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 购 人：信阳市中心医院</w:t>
            </w:r>
          </w:p>
          <w:p w14:paraId="2A682B99">
            <w:pPr>
              <w:pageBreakBefore w:val="0"/>
              <w:kinsoku/>
              <w:wordWrap/>
              <w:overflowPunct/>
              <w:topLinePunct w:val="0"/>
              <w:bidi w:val="0"/>
              <w:adjustRightInd/>
              <w:snapToGrid/>
              <w:spacing w:line="420" w:lineRule="exact"/>
              <w:ind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址：信阳市四一路1号</w:t>
            </w:r>
          </w:p>
          <w:p w14:paraId="2168E565">
            <w:pPr>
              <w:pageBreakBefore w:val="0"/>
              <w:kinsoku/>
              <w:wordWrap/>
              <w:overflowPunct/>
              <w:topLinePunct w:val="0"/>
              <w:bidi w:val="0"/>
              <w:adjustRightInd/>
              <w:snapToGrid/>
              <w:spacing w:line="420" w:lineRule="exact"/>
              <w:ind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人：张博</w:t>
            </w:r>
          </w:p>
          <w:p w14:paraId="5C911C3B">
            <w:pPr>
              <w:pageBreakBefore w:val="0"/>
              <w:kinsoku/>
              <w:wordWrap/>
              <w:overflowPunct/>
              <w:topLinePunct w:val="0"/>
              <w:bidi w:val="0"/>
              <w:adjustRightInd/>
              <w:snapToGrid/>
              <w:spacing w:line="420" w:lineRule="exact"/>
              <w:ind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    话：16637699992</w:t>
            </w:r>
          </w:p>
        </w:tc>
      </w:tr>
      <w:tr w14:paraId="315F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14:paraId="3D2D56F4">
            <w:pPr>
              <w:pageBreakBefore w:val="0"/>
              <w:kinsoku/>
              <w:wordWrap/>
              <w:overflowPunct/>
              <w:topLinePunct w:val="0"/>
              <w:autoSpaceDE w:val="0"/>
              <w:autoSpaceDN w:val="0"/>
              <w:bidi w:val="0"/>
              <w:adjustRightInd/>
              <w:snapToGrid/>
              <w:spacing w:line="400" w:lineRule="exact"/>
              <w:ind w:left="0" w:leftChars="0" w:right="0" w:right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1.1.3</w:t>
            </w:r>
          </w:p>
        </w:tc>
        <w:tc>
          <w:tcPr>
            <w:tcW w:w="1743" w:type="dxa"/>
            <w:gridSpan w:val="2"/>
            <w:noWrap w:val="0"/>
            <w:vAlign w:val="center"/>
          </w:tcPr>
          <w:p w14:paraId="592446FB">
            <w:pPr>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采购代理机构</w:t>
            </w:r>
          </w:p>
        </w:tc>
        <w:tc>
          <w:tcPr>
            <w:tcW w:w="7210" w:type="dxa"/>
            <w:noWrap w:val="0"/>
            <w:vAlign w:val="center"/>
          </w:tcPr>
          <w:p w14:paraId="62732A8D">
            <w:pPr>
              <w:spacing w:line="4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名</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称</w:t>
            </w:r>
            <w:r>
              <w:rPr>
                <w:rFonts w:hint="eastAsia" w:ascii="宋体" w:hAnsi="宋体" w:eastAsia="宋体" w:cs="宋体"/>
                <w:color w:val="auto"/>
                <w:sz w:val="21"/>
                <w:szCs w:val="21"/>
                <w:highlight w:val="none"/>
              </w:rPr>
              <w:t xml:space="preserve">：河南英华咨询有限公司 </w:t>
            </w:r>
          </w:p>
          <w:p w14:paraId="43463957">
            <w:pPr>
              <w:spacing w:line="4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en-US" w:eastAsia="zh-CN"/>
              </w:rPr>
              <w:t>郑州市高新技术开发区电厂路80号162幢21层64号</w:t>
            </w:r>
          </w:p>
          <w:p w14:paraId="111704CA">
            <w:pPr>
              <w:spacing w:line="42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lang w:val="en-US" w:eastAsia="zh-CN"/>
              </w:rPr>
              <w:t>娄利杰</w:t>
            </w:r>
          </w:p>
          <w:p w14:paraId="60A0B309">
            <w:pPr>
              <w:spacing w:line="4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eastAsia="zh-CN"/>
              </w:rPr>
              <w:t>13033958852</w:t>
            </w:r>
          </w:p>
        </w:tc>
      </w:tr>
      <w:tr w14:paraId="6086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noWrap w:val="0"/>
            <w:vAlign w:val="center"/>
          </w:tcPr>
          <w:p w14:paraId="2036ABA5">
            <w:pPr>
              <w:pageBreakBefore w:val="0"/>
              <w:kinsoku/>
              <w:wordWrap/>
              <w:overflowPunct/>
              <w:topLinePunct w:val="0"/>
              <w:autoSpaceDE w:val="0"/>
              <w:autoSpaceDN w:val="0"/>
              <w:bidi w:val="0"/>
              <w:adjustRightInd/>
              <w:snapToGrid/>
              <w:spacing w:line="400" w:lineRule="exact"/>
              <w:ind w:left="0" w:leftChars="0" w:right="0" w:right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1.1.4</w:t>
            </w:r>
          </w:p>
        </w:tc>
        <w:tc>
          <w:tcPr>
            <w:tcW w:w="1743" w:type="dxa"/>
            <w:gridSpan w:val="2"/>
            <w:noWrap w:val="0"/>
            <w:vAlign w:val="center"/>
          </w:tcPr>
          <w:p w14:paraId="3EA0DECA">
            <w:pPr>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7210" w:type="dxa"/>
            <w:noWrap w:val="0"/>
            <w:vAlign w:val="center"/>
          </w:tcPr>
          <w:p w14:paraId="4E0177A8">
            <w:pPr>
              <w:pStyle w:val="15"/>
              <w:pageBreakBefore w:val="0"/>
              <w:kinsoku/>
              <w:wordWrap/>
              <w:overflowPunct/>
              <w:topLinePunct w:val="0"/>
              <w:bidi w:val="0"/>
              <w:adjustRightInd/>
              <w:snapToGrid/>
              <w:spacing w:line="400" w:lineRule="exact"/>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信阳市中心医院浉河、羊山、淮滨院区化粪池、窨井和排水沟清淤等危险废物处置项目</w:t>
            </w:r>
          </w:p>
        </w:tc>
      </w:tr>
      <w:tr w14:paraId="1631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16" w:type="dxa"/>
            <w:noWrap w:val="0"/>
            <w:vAlign w:val="center"/>
          </w:tcPr>
          <w:p w14:paraId="465FFD58">
            <w:pPr>
              <w:pageBreakBefore w:val="0"/>
              <w:kinsoku/>
              <w:wordWrap/>
              <w:overflowPunct/>
              <w:topLinePunct w:val="0"/>
              <w:autoSpaceDE w:val="0"/>
              <w:autoSpaceDN w:val="0"/>
              <w:bidi w:val="0"/>
              <w:adjustRightInd/>
              <w:snapToGrid/>
              <w:spacing w:line="400" w:lineRule="exact"/>
              <w:ind w:left="0" w:leftChars="0" w:right="0" w:right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1.1.5</w:t>
            </w:r>
          </w:p>
        </w:tc>
        <w:tc>
          <w:tcPr>
            <w:tcW w:w="1743" w:type="dxa"/>
            <w:gridSpan w:val="2"/>
            <w:noWrap w:val="0"/>
            <w:vAlign w:val="center"/>
          </w:tcPr>
          <w:p w14:paraId="74512EE8">
            <w:pPr>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lang w:eastAsia="zh-CN"/>
              </w:rPr>
              <w:t>采购</w:t>
            </w:r>
            <w:r>
              <w:rPr>
                <w:rFonts w:hint="eastAsia" w:ascii="宋体" w:hAnsi="宋体" w:eastAsia="宋体" w:cs="宋体"/>
                <w:color w:val="auto"/>
                <w:spacing w:val="1"/>
                <w:kern w:val="0"/>
                <w:sz w:val="21"/>
                <w:szCs w:val="21"/>
                <w:highlight w:val="none"/>
              </w:rPr>
              <w:t>方式</w:t>
            </w:r>
          </w:p>
        </w:tc>
        <w:tc>
          <w:tcPr>
            <w:tcW w:w="7210" w:type="dxa"/>
            <w:noWrap w:val="0"/>
            <w:vAlign w:val="center"/>
          </w:tcPr>
          <w:p w14:paraId="719054B6">
            <w:pPr>
              <w:pageBreakBefore w:val="0"/>
              <w:kinsoku/>
              <w:wordWrap/>
              <w:overflowPunct/>
              <w:topLinePunct w:val="0"/>
              <w:autoSpaceDE w:val="0"/>
              <w:autoSpaceDN w:val="0"/>
              <w:bidi w:val="0"/>
              <w:adjustRightInd/>
              <w:snapToGrid/>
              <w:spacing w:line="400" w:lineRule="exact"/>
              <w:ind w:left="0" w:leftChars="0" w:right="0" w:rightChars="0"/>
              <w:jc w:val="left"/>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公开招标</w:t>
            </w:r>
          </w:p>
        </w:tc>
      </w:tr>
      <w:tr w14:paraId="0435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14:paraId="0B5C9ACC">
            <w:pPr>
              <w:pageBreakBefore w:val="0"/>
              <w:kinsoku/>
              <w:wordWrap/>
              <w:overflowPunct/>
              <w:topLinePunct w:val="0"/>
              <w:autoSpaceDE w:val="0"/>
              <w:autoSpaceDN w:val="0"/>
              <w:bidi w:val="0"/>
              <w:adjustRightInd/>
              <w:snapToGrid/>
              <w:spacing w:line="400" w:lineRule="exact"/>
              <w:ind w:left="0" w:leftChars="0" w:right="0" w:right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1.1.6</w:t>
            </w:r>
          </w:p>
        </w:tc>
        <w:tc>
          <w:tcPr>
            <w:tcW w:w="1743" w:type="dxa"/>
            <w:gridSpan w:val="2"/>
            <w:noWrap w:val="0"/>
            <w:vAlign w:val="center"/>
          </w:tcPr>
          <w:p w14:paraId="67F0C6BB">
            <w:pPr>
              <w:spacing w:line="420" w:lineRule="exact"/>
              <w:rPr>
                <w:rFonts w:hint="eastAsia"/>
                <w:color w:val="auto"/>
                <w:sz w:val="21"/>
                <w:szCs w:val="21"/>
                <w:highlight w:val="none"/>
                <w:lang w:val="en-US" w:eastAsia="zh-CN"/>
              </w:rPr>
            </w:pPr>
            <w:r>
              <w:rPr>
                <w:rFonts w:hint="eastAsia"/>
                <w:color w:val="auto"/>
                <w:sz w:val="21"/>
                <w:szCs w:val="21"/>
                <w:highlight w:val="none"/>
                <w:lang w:val="en-US" w:eastAsia="zh-CN"/>
              </w:rPr>
              <w:t>预算价（最高限价）</w:t>
            </w:r>
          </w:p>
        </w:tc>
        <w:tc>
          <w:tcPr>
            <w:tcW w:w="7210" w:type="dxa"/>
            <w:noWrap w:val="0"/>
            <w:vAlign w:val="center"/>
          </w:tcPr>
          <w:p w14:paraId="70A7F165">
            <w:pPr>
              <w:spacing w:line="420" w:lineRule="exact"/>
              <w:rPr>
                <w:rFonts w:hint="default"/>
                <w:color w:val="auto"/>
                <w:sz w:val="21"/>
                <w:szCs w:val="21"/>
                <w:highlight w:val="none"/>
                <w:lang w:val="en-US" w:eastAsia="zh-CN"/>
              </w:rPr>
            </w:pPr>
            <w:r>
              <w:rPr>
                <w:rFonts w:hint="default"/>
                <w:color w:val="auto"/>
                <w:sz w:val="21"/>
                <w:szCs w:val="21"/>
                <w:highlight w:val="none"/>
                <w:lang w:val="en-US" w:eastAsia="zh-CN"/>
              </w:rPr>
              <w:t>预算金额（最高限价）：2204396.64元（合计总金额）</w:t>
            </w:r>
          </w:p>
          <w:p w14:paraId="1C157A7C">
            <w:pPr>
              <w:spacing w:line="420" w:lineRule="exact"/>
              <w:rPr>
                <w:rFonts w:hint="default"/>
                <w:color w:val="auto"/>
                <w:sz w:val="21"/>
                <w:szCs w:val="21"/>
                <w:highlight w:val="none"/>
                <w:lang w:val="en-US" w:eastAsia="zh-CN"/>
              </w:rPr>
            </w:pPr>
            <w:r>
              <w:rPr>
                <w:rFonts w:hint="default"/>
                <w:color w:val="auto"/>
                <w:sz w:val="21"/>
                <w:szCs w:val="21"/>
                <w:highlight w:val="none"/>
                <w:lang w:val="en-US" w:eastAsia="zh-CN"/>
              </w:rPr>
              <w:t>备注：</w:t>
            </w:r>
            <w:r>
              <w:rPr>
                <w:rFonts w:hint="eastAsia"/>
                <w:color w:val="auto"/>
                <w:sz w:val="21"/>
                <w:szCs w:val="21"/>
                <w:highlight w:val="none"/>
                <w:lang w:val="en-US" w:eastAsia="zh-CN"/>
              </w:rPr>
              <w:t>投标</w:t>
            </w:r>
            <w:r>
              <w:rPr>
                <w:rFonts w:hint="default"/>
                <w:color w:val="auto"/>
                <w:sz w:val="21"/>
                <w:szCs w:val="21"/>
                <w:highlight w:val="none"/>
                <w:lang w:val="en-US" w:eastAsia="zh-CN"/>
              </w:rPr>
              <w:t>报价超过预算金额（最高限价）的，其</w:t>
            </w:r>
            <w:r>
              <w:rPr>
                <w:rFonts w:hint="eastAsia"/>
                <w:color w:val="auto"/>
                <w:sz w:val="21"/>
                <w:szCs w:val="21"/>
                <w:highlight w:val="none"/>
                <w:lang w:val="en-US" w:eastAsia="zh-CN"/>
              </w:rPr>
              <w:t>投标</w:t>
            </w:r>
            <w:r>
              <w:rPr>
                <w:rFonts w:hint="default"/>
                <w:color w:val="auto"/>
                <w:sz w:val="21"/>
                <w:szCs w:val="21"/>
                <w:highlight w:val="none"/>
                <w:lang w:val="en-US" w:eastAsia="zh-CN"/>
              </w:rPr>
              <w:t>文件无效</w:t>
            </w:r>
          </w:p>
        </w:tc>
      </w:tr>
      <w:tr w14:paraId="4862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16" w:type="dxa"/>
            <w:noWrap w:val="0"/>
            <w:vAlign w:val="center"/>
          </w:tcPr>
          <w:p w14:paraId="77B6FCA7">
            <w:pPr>
              <w:pageBreakBefore w:val="0"/>
              <w:kinsoku/>
              <w:wordWrap/>
              <w:overflowPunct/>
              <w:topLinePunct w:val="0"/>
              <w:autoSpaceDE w:val="0"/>
              <w:autoSpaceDN w:val="0"/>
              <w:bidi w:val="0"/>
              <w:adjustRightInd/>
              <w:snapToGrid/>
              <w:spacing w:line="400" w:lineRule="exact"/>
              <w:ind w:left="0" w:leftChars="0" w:right="0" w:right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1.2.1</w:t>
            </w:r>
          </w:p>
        </w:tc>
        <w:tc>
          <w:tcPr>
            <w:tcW w:w="1743" w:type="dxa"/>
            <w:gridSpan w:val="2"/>
            <w:noWrap w:val="0"/>
            <w:vAlign w:val="center"/>
          </w:tcPr>
          <w:p w14:paraId="08CE5EC4">
            <w:pPr>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资金来源</w:t>
            </w:r>
          </w:p>
        </w:tc>
        <w:tc>
          <w:tcPr>
            <w:tcW w:w="7210" w:type="dxa"/>
            <w:noWrap w:val="0"/>
            <w:vAlign w:val="center"/>
          </w:tcPr>
          <w:p w14:paraId="0E6D5BEF">
            <w:pPr>
              <w:spacing w:line="420" w:lineRule="exac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自筹资金</w:t>
            </w:r>
          </w:p>
        </w:tc>
      </w:tr>
      <w:tr w14:paraId="5FE7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14:paraId="5BFFFDF4">
            <w:pPr>
              <w:pageBreakBefore w:val="0"/>
              <w:kinsoku/>
              <w:wordWrap/>
              <w:overflowPunct/>
              <w:topLinePunct w:val="0"/>
              <w:autoSpaceDE w:val="0"/>
              <w:autoSpaceDN w:val="0"/>
              <w:bidi w:val="0"/>
              <w:adjustRightInd/>
              <w:snapToGrid/>
              <w:spacing w:line="400" w:lineRule="exact"/>
              <w:ind w:left="0" w:leftChars="0" w:right="0" w:right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1.2.2</w:t>
            </w:r>
          </w:p>
        </w:tc>
        <w:tc>
          <w:tcPr>
            <w:tcW w:w="1743" w:type="dxa"/>
            <w:gridSpan w:val="2"/>
            <w:noWrap w:val="0"/>
            <w:vAlign w:val="center"/>
          </w:tcPr>
          <w:p w14:paraId="3C0B3F96">
            <w:pPr>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出资比例</w:t>
            </w:r>
          </w:p>
        </w:tc>
        <w:tc>
          <w:tcPr>
            <w:tcW w:w="7210" w:type="dxa"/>
            <w:noWrap w:val="0"/>
            <w:vAlign w:val="center"/>
          </w:tcPr>
          <w:p w14:paraId="16E7C897">
            <w:pPr>
              <w:spacing w:line="4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100%</w:t>
            </w:r>
          </w:p>
        </w:tc>
      </w:tr>
      <w:tr w14:paraId="2C6D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16" w:type="dxa"/>
            <w:noWrap w:val="0"/>
            <w:vAlign w:val="center"/>
          </w:tcPr>
          <w:p w14:paraId="2D9D1FE5">
            <w:pPr>
              <w:pageBreakBefore w:val="0"/>
              <w:kinsoku/>
              <w:wordWrap/>
              <w:overflowPunct/>
              <w:topLinePunct w:val="0"/>
              <w:autoSpaceDE w:val="0"/>
              <w:autoSpaceDN w:val="0"/>
              <w:bidi w:val="0"/>
              <w:adjustRightInd/>
              <w:snapToGrid/>
              <w:spacing w:line="400" w:lineRule="exact"/>
              <w:ind w:left="0" w:leftChars="0" w:right="0" w:right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1.3.1</w:t>
            </w:r>
          </w:p>
        </w:tc>
        <w:tc>
          <w:tcPr>
            <w:tcW w:w="1743" w:type="dxa"/>
            <w:gridSpan w:val="2"/>
            <w:noWrap w:val="0"/>
            <w:vAlign w:val="center"/>
          </w:tcPr>
          <w:p w14:paraId="2888BB03">
            <w:pPr>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采购内容</w:t>
            </w:r>
          </w:p>
        </w:tc>
        <w:tc>
          <w:tcPr>
            <w:tcW w:w="7210" w:type="dxa"/>
            <w:noWrap w:val="0"/>
            <w:vAlign w:val="center"/>
          </w:tcPr>
          <w:p w14:paraId="0CDB7C45">
            <w:pPr>
              <w:spacing w:line="4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信阳市中心医院浉河、羊山、淮滨院区化粪池、窨井和排水沟清淤等危险废物处置</w:t>
            </w:r>
          </w:p>
        </w:tc>
      </w:tr>
      <w:tr w14:paraId="3302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16" w:type="dxa"/>
            <w:noWrap w:val="0"/>
            <w:vAlign w:val="center"/>
          </w:tcPr>
          <w:p w14:paraId="295CCA52">
            <w:pPr>
              <w:pageBreakBefore w:val="0"/>
              <w:kinsoku/>
              <w:wordWrap/>
              <w:overflowPunct/>
              <w:topLinePunct w:val="0"/>
              <w:autoSpaceDE w:val="0"/>
              <w:autoSpaceDN w:val="0"/>
              <w:bidi w:val="0"/>
              <w:adjustRightInd/>
              <w:snapToGrid/>
              <w:spacing w:line="400" w:lineRule="exact"/>
              <w:ind w:left="0" w:leftChars="0" w:right="0" w:right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1.3.2</w:t>
            </w:r>
          </w:p>
        </w:tc>
        <w:tc>
          <w:tcPr>
            <w:tcW w:w="1743" w:type="dxa"/>
            <w:gridSpan w:val="2"/>
            <w:noWrap w:val="0"/>
            <w:vAlign w:val="center"/>
          </w:tcPr>
          <w:p w14:paraId="37A5B390">
            <w:pPr>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宋体" w:hAnsi="宋体" w:eastAsia="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eastAsia="zh-CN"/>
              </w:rPr>
              <w:t>质量要求</w:t>
            </w:r>
          </w:p>
        </w:tc>
        <w:tc>
          <w:tcPr>
            <w:tcW w:w="7210" w:type="dxa"/>
            <w:noWrap w:val="0"/>
            <w:vAlign w:val="center"/>
          </w:tcPr>
          <w:p w14:paraId="7C2CB66C">
            <w:pPr>
              <w:pStyle w:val="53"/>
              <w:pageBreakBefore w:val="0"/>
              <w:kinsoku/>
              <w:wordWrap/>
              <w:overflowPunct/>
              <w:topLinePunct w:val="0"/>
              <w:bidi w:val="0"/>
              <w:adjustRightInd/>
              <w:snapToGrid/>
              <w:spacing w:line="400" w:lineRule="exact"/>
              <w:ind w:left="0" w:leftChars="0" w:right="0" w:right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符合国家及地方相关规定，满足院方管理要求。</w:t>
            </w:r>
          </w:p>
        </w:tc>
      </w:tr>
      <w:tr w14:paraId="5DB9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6" w:type="dxa"/>
            <w:noWrap w:val="0"/>
            <w:vAlign w:val="center"/>
          </w:tcPr>
          <w:p w14:paraId="17E356CE">
            <w:pPr>
              <w:pageBreakBefore w:val="0"/>
              <w:kinsoku/>
              <w:wordWrap/>
              <w:overflowPunct/>
              <w:topLinePunct w:val="0"/>
              <w:autoSpaceDE w:val="0"/>
              <w:autoSpaceDN w:val="0"/>
              <w:bidi w:val="0"/>
              <w:adjustRightInd/>
              <w:snapToGrid/>
              <w:spacing w:line="400" w:lineRule="exact"/>
              <w:ind w:left="0" w:leftChars="0" w:right="0" w:right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1.3.3</w:t>
            </w:r>
          </w:p>
        </w:tc>
        <w:tc>
          <w:tcPr>
            <w:tcW w:w="1743" w:type="dxa"/>
            <w:gridSpan w:val="2"/>
            <w:noWrap w:val="0"/>
            <w:vAlign w:val="center"/>
          </w:tcPr>
          <w:p w14:paraId="507E7C0E">
            <w:pPr>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宋体" w:hAnsi="宋体" w:eastAsia="宋体" w:cs="宋体"/>
                <w:b w:val="0"/>
                <w:bCs w:val="0"/>
                <w:color w:val="auto"/>
                <w:kern w:val="0"/>
                <w:sz w:val="21"/>
                <w:szCs w:val="21"/>
                <w:highlight w:val="none"/>
                <w:lang w:eastAsia="zh-CN"/>
              </w:rPr>
            </w:pPr>
            <w:r>
              <w:rPr>
                <w:rFonts w:hint="eastAsia" w:ascii="宋体" w:hAnsi="宋体" w:cs="宋体"/>
                <w:b w:val="0"/>
                <w:bCs w:val="0"/>
                <w:color w:val="auto"/>
                <w:sz w:val="21"/>
                <w:szCs w:val="21"/>
                <w:highlight w:val="none"/>
                <w:lang w:eastAsia="zh-CN"/>
              </w:rPr>
              <w:t>服务期限</w:t>
            </w:r>
          </w:p>
        </w:tc>
        <w:tc>
          <w:tcPr>
            <w:tcW w:w="7210" w:type="dxa"/>
            <w:noWrap w:val="0"/>
            <w:vAlign w:val="center"/>
          </w:tcPr>
          <w:p w14:paraId="1971E6AA">
            <w:pPr>
              <w:pStyle w:val="53"/>
              <w:pageBreakBefore w:val="0"/>
              <w:kinsoku/>
              <w:wordWrap/>
              <w:overflowPunct/>
              <w:topLinePunct w:val="0"/>
              <w:bidi w:val="0"/>
              <w:adjustRightInd/>
              <w:snapToGrid/>
              <w:spacing w:line="400" w:lineRule="exact"/>
              <w:ind w:left="0" w:leftChars="0" w:right="0" w:rightChars="0"/>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lang w:val="en-US" w:eastAsia="zh-CN"/>
              </w:rPr>
              <w:t>淮滨院区两年，浉河、羊山院区三年。</w:t>
            </w:r>
          </w:p>
        </w:tc>
      </w:tr>
      <w:tr w14:paraId="6788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tcBorders>
              <w:top w:val="single" w:color="auto" w:sz="4" w:space="0"/>
            </w:tcBorders>
            <w:noWrap w:val="0"/>
            <w:vAlign w:val="center"/>
          </w:tcPr>
          <w:p w14:paraId="3115E3AF">
            <w:pPr>
              <w:pageBreakBefore w:val="0"/>
              <w:kinsoku/>
              <w:wordWrap/>
              <w:overflowPunct/>
              <w:topLinePunct w:val="0"/>
              <w:autoSpaceDE w:val="0"/>
              <w:autoSpaceDN w:val="0"/>
              <w:bidi w:val="0"/>
              <w:adjustRightInd/>
              <w:snapToGrid/>
              <w:spacing w:line="400" w:lineRule="exact"/>
              <w:ind w:left="0" w:leftChars="0" w:right="0" w:right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1.4.1</w:t>
            </w:r>
          </w:p>
        </w:tc>
        <w:tc>
          <w:tcPr>
            <w:tcW w:w="1743" w:type="dxa"/>
            <w:gridSpan w:val="2"/>
            <w:tcBorders>
              <w:top w:val="single" w:color="auto" w:sz="4" w:space="0"/>
            </w:tcBorders>
            <w:noWrap w:val="0"/>
            <w:vAlign w:val="center"/>
          </w:tcPr>
          <w:p w14:paraId="2F588C29">
            <w:pPr>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资格要求</w:t>
            </w:r>
          </w:p>
        </w:tc>
        <w:tc>
          <w:tcPr>
            <w:tcW w:w="7210" w:type="dxa"/>
            <w:tcBorders>
              <w:top w:val="single" w:color="auto" w:sz="4" w:space="0"/>
            </w:tcBorders>
            <w:noWrap w:val="0"/>
            <w:vAlign w:val="center"/>
          </w:tcPr>
          <w:p w14:paraId="179BBD9C">
            <w:pPr>
              <w:keepNext w:val="0"/>
              <w:keepLines w:val="0"/>
              <w:pageBreakBefore w:val="0"/>
              <w:widowControl w:val="0"/>
              <w:shd w:val="clear" w:color="auto" w:fill="auto"/>
              <w:kinsoku/>
              <w:wordWrap w:val="0"/>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1、满足《中华人民共和国政府采购法》第二十二条规定；</w:t>
            </w:r>
          </w:p>
          <w:p w14:paraId="58CAB7B9">
            <w:pPr>
              <w:keepNext w:val="0"/>
              <w:keepLines w:val="0"/>
              <w:pageBreakBefore w:val="0"/>
              <w:widowControl w:val="0"/>
              <w:shd w:val="clear" w:color="auto" w:fill="auto"/>
              <w:kinsoku/>
              <w:wordWrap w:val="0"/>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2、落实政府采购政策满足的资格要求：</w:t>
            </w:r>
            <w:r>
              <w:rPr>
                <w:rFonts w:hint="eastAsia" w:ascii="宋体" w:hAnsi="宋体" w:eastAsia="宋体" w:cs="宋体"/>
                <w:color w:val="auto"/>
                <w:sz w:val="21"/>
                <w:szCs w:val="21"/>
                <w:lang w:val="en-US" w:eastAsia="zh-CN"/>
              </w:rPr>
              <w:t>本项目专门面向中小企业采购。（财库〔2020〕46号）第四条之规定，在政府采购活动中，供应商提供的服务享受本办法规定的中小企业扶持政策（在服务采购项目中，服务由中小企业承接，即提供服务的人员为中小企业依照《中华人民共和国劳动合同法》订立劳动合同的从业人员），中小企业的其他主体的政府采购扶持政策本项目不适用。参加本项目的中小企业须提供《中小企业声明函》（监狱企业和残疾人福利性单位视同于小微企业，提供相应的声明函和证明，格式详见投标文件格式），不符合要求的声明函或未提供的将视为不符合资格要求。</w:t>
            </w:r>
          </w:p>
          <w:p w14:paraId="6E580C6D">
            <w:pPr>
              <w:keepNext w:val="0"/>
              <w:keepLines w:val="0"/>
              <w:pageBreakBefore w:val="0"/>
              <w:widowControl w:val="0"/>
              <w:shd w:val="clear" w:color="auto" w:fill="auto"/>
              <w:kinsoku/>
              <w:wordWrap w:val="0"/>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本项目的特定资格要求：</w:t>
            </w:r>
          </w:p>
          <w:p w14:paraId="1A643145">
            <w:pPr>
              <w:keepNext w:val="0"/>
              <w:keepLines w:val="0"/>
              <w:pageBreakBefore w:val="0"/>
              <w:widowControl w:val="0"/>
              <w:shd w:val="clear" w:color="auto" w:fill="auto"/>
              <w:kinsoku/>
              <w:wordWrap w:val="0"/>
              <w:overflowPunct/>
              <w:topLinePunct w:val="0"/>
              <w:autoSpaceDE/>
              <w:autoSpaceDN/>
              <w:bidi w:val="0"/>
              <w:adjustRightInd w:val="0"/>
              <w:snapToGrid w:val="0"/>
              <w:spacing w:line="360" w:lineRule="auto"/>
              <w:ind w:firstLine="420"/>
              <w:textAlignment w:val="auto"/>
              <w:rPr>
                <w:rFonts w:hint="eastAsia" w:ascii="宋体" w:hAnsi="宋体" w:eastAsia="宋体" w:cs="宋体"/>
                <w:color w:val="FF0000"/>
                <w:sz w:val="21"/>
                <w:szCs w:val="21"/>
                <w:lang w:val="en-US" w:eastAsia="zh-CN"/>
              </w:rPr>
            </w:pPr>
            <w:r>
              <w:rPr>
                <w:rFonts w:hint="eastAsia" w:ascii="宋体" w:hAnsi="宋体" w:eastAsia="宋体" w:cs="宋体"/>
                <w:color w:val="auto"/>
                <w:sz w:val="21"/>
                <w:szCs w:val="21"/>
                <w:lang w:eastAsia="zh-CN"/>
              </w:rPr>
              <w:t>3.1</w:t>
            </w:r>
            <w:r>
              <w:rPr>
                <w:rFonts w:hint="eastAsia" w:ascii="宋体" w:hAnsi="宋体" w:eastAsia="宋体" w:cs="宋体"/>
                <w:color w:val="auto"/>
                <w:sz w:val="21"/>
                <w:szCs w:val="21"/>
                <w:lang w:val="en-US" w:eastAsia="zh-CN"/>
              </w:rPr>
              <w:t>供应商须具备主管部门颁发的在有效期内的《危险废物经营许可证》，且经营具体危险废物类别至少包含HW02、HW03、HW49；其中，拟派项目负责人具备环保工程专业或相关专业中级及以上职称，并提供职称证及与供应商签订的劳动合同。</w:t>
            </w:r>
          </w:p>
          <w:p w14:paraId="7F6BF2EF">
            <w:pPr>
              <w:keepNext w:val="0"/>
              <w:keepLines w:val="0"/>
              <w:pageBreakBefore w:val="0"/>
              <w:widowControl w:val="0"/>
              <w:shd w:val="clear" w:color="auto" w:fill="auto"/>
              <w:kinsoku/>
              <w:wordWrap w:val="0"/>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r>
              <w:rPr>
                <w:rFonts w:hint="eastAsia" w:ascii="宋体" w:hAnsi="宋体" w:eastAsia="宋体" w:cs="宋体"/>
                <w:color w:val="auto"/>
                <w:sz w:val="21"/>
                <w:szCs w:val="21"/>
                <w:lang w:eastAsia="zh-CN"/>
              </w:rPr>
              <w:t>单位负责人为同一人或者存在直接控股、管理关系的不同单位，不得同时参加同一合同项下的政府采购活动（提供加盖投标人（供应商）公章的“国家企业信用信息公示系统”中公示的公司基础信息）。</w:t>
            </w:r>
          </w:p>
          <w:p w14:paraId="7A849052">
            <w:pPr>
              <w:keepNext w:val="0"/>
              <w:keepLines w:val="0"/>
              <w:pageBreakBefore w:val="0"/>
              <w:widowControl w:val="0"/>
              <w:shd w:val="clear" w:color="auto" w:fill="auto"/>
              <w:kinsoku/>
              <w:wordWrap w:val="0"/>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4、其他说明：</w:t>
            </w:r>
          </w:p>
          <w:p w14:paraId="2FE3DEC1">
            <w:pPr>
              <w:keepNext w:val="0"/>
              <w:keepLines w:val="0"/>
              <w:pageBreakBefore w:val="0"/>
              <w:widowControl w:val="0"/>
              <w:shd w:val="clear" w:color="auto" w:fill="auto"/>
              <w:kinsoku/>
              <w:wordWrap w:val="0"/>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4.1</w:t>
            </w:r>
            <w:r>
              <w:rPr>
                <w:rFonts w:hint="eastAsia" w:ascii="宋体" w:hAnsi="宋体" w:eastAsia="宋体" w:cs="宋体"/>
                <w:color w:val="auto"/>
                <w:sz w:val="21"/>
                <w:szCs w:val="21"/>
                <w:lang w:eastAsia="zh-CN"/>
              </w:rPr>
              <w:t>本项目</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适用</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信用承诺（详见下述要求）。</w:t>
            </w:r>
          </w:p>
          <w:p w14:paraId="3FCDE913">
            <w:pPr>
              <w:keepNext w:val="0"/>
              <w:keepLines w:val="0"/>
              <w:pageBreakBefore w:val="0"/>
              <w:widowControl w:val="0"/>
              <w:shd w:val="clear" w:color="auto" w:fill="auto"/>
              <w:kinsoku/>
              <w:wordWrap w:val="0"/>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在本项目政府采购活动中，供应商在投标（响应）时，可对照资格要求进行自主核对，确定符合资格要求的，可按照规定提供相关承诺函（详见招标文件“资格证明材料”附件），供应商只需在资格审查环节提供满足相应条件的书面承诺书，不再需要提供以下证明材料：</w:t>
            </w:r>
          </w:p>
          <w:p w14:paraId="398321DE">
            <w:pPr>
              <w:keepNext w:val="0"/>
              <w:keepLines w:val="0"/>
              <w:pageBreakBefore w:val="0"/>
              <w:widowControl w:val="0"/>
              <w:shd w:val="clear" w:color="auto" w:fill="auto"/>
              <w:kinsoku/>
              <w:wordWrap w:val="0"/>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①具有独立承担民事责任的能力（提供法人或者其他组织的营业执照等证明文件）；</w:t>
            </w:r>
          </w:p>
          <w:p w14:paraId="31F523AD">
            <w:pPr>
              <w:keepNext w:val="0"/>
              <w:keepLines w:val="0"/>
              <w:pageBreakBefore w:val="0"/>
              <w:widowControl w:val="0"/>
              <w:shd w:val="clear" w:color="auto" w:fill="auto"/>
              <w:kinsoku/>
              <w:wordWrap w:val="0"/>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②具有良好的商业信誉和健全的财务会计制度（提供2024年度财务审计报告或其基本开户银行出具的资信证明）；</w:t>
            </w:r>
          </w:p>
          <w:p w14:paraId="7F8C86EF">
            <w:pPr>
              <w:keepNext w:val="0"/>
              <w:keepLines w:val="0"/>
              <w:pageBreakBefore w:val="0"/>
              <w:widowControl w:val="0"/>
              <w:shd w:val="clear" w:color="auto" w:fill="auto"/>
              <w:kinsoku/>
              <w:wordWrap w:val="0"/>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③具有依法缴纳税收和社会保障资金的良好记录（提供开标前12个月内任意连续6个月的已依法缴纳税收和社会保障资金的凭据，新成立公司不足6个月的，按已缴纳月份提供）；</w:t>
            </w:r>
          </w:p>
          <w:p w14:paraId="488CDCB2">
            <w:pPr>
              <w:keepNext w:val="0"/>
              <w:keepLines w:val="0"/>
              <w:pageBreakBefore w:val="0"/>
              <w:widowControl w:val="0"/>
              <w:shd w:val="clear" w:color="auto" w:fill="auto"/>
              <w:kinsoku/>
              <w:wordWrap w:val="0"/>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④具有履行合同所必需的设备和专业技术能力（提供承诺书，格式自拟）；</w:t>
            </w:r>
          </w:p>
          <w:p w14:paraId="12D8C95D">
            <w:pPr>
              <w:keepNext w:val="0"/>
              <w:keepLines w:val="0"/>
              <w:pageBreakBefore w:val="0"/>
              <w:widowControl w:val="0"/>
              <w:shd w:val="clear" w:color="auto" w:fill="auto"/>
              <w:kinsoku/>
              <w:wordWrap w:val="0"/>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⑤参加政府采购活动前三年内在经营活动中没有重大违法记录的证明材料（提供承诺书，格式自拟）；</w:t>
            </w:r>
          </w:p>
          <w:p w14:paraId="57D0DB29">
            <w:pPr>
              <w:keepNext w:val="0"/>
              <w:keepLines w:val="0"/>
              <w:pageBreakBefore w:val="0"/>
              <w:widowControl w:val="0"/>
              <w:shd w:val="clear" w:color="auto" w:fill="auto"/>
              <w:kinsoku/>
              <w:wordWrap w:val="0"/>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⑥未被列入失信被执行人、重大税收违法失信主体、政府采购严重违法失信行为记录名单的查询截图；〔查询渠道：“中国执行信息公开网”（http：//zxgk.court.gov.cn）、“信用中国”网站（www.creditchina.gov.cn）、中国政府采购网（www.ccgp.gov.cn〕；提供查询网页截图加单位公章，查询时间需在公告发布之后；</w:t>
            </w:r>
          </w:p>
          <w:p w14:paraId="7755525A">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（二）供应商在中标（成交）后，应将上述由信用承诺书替代的证明材料提交采购人（采购代理机构）核验，经核验无误后，由采购人发出中标（成交）通知书。</w:t>
            </w:r>
          </w:p>
        </w:tc>
      </w:tr>
      <w:tr w14:paraId="379C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16" w:type="dxa"/>
            <w:tcBorders>
              <w:top w:val="single" w:color="auto" w:sz="4" w:space="0"/>
            </w:tcBorders>
            <w:noWrap w:val="0"/>
            <w:vAlign w:val="center"/>
          </w:tcPr>
          <w:p w14:paraId="09C8E0C2">
            <w:pPr>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1.5</w:t>
            </w:r>
          </w:p>
        </w:tc>
        <w:tc>
          <w:tcPr>
            <w:tcW w:w="1743" w:type="dxa"/>
            <w:gridSpan w:val="2"/>
            <w:tcBorders>
              <w:top w:val="single" w:color="auto" w:sz="4" w:space="0"/>
            </w:tcBorders>
            <w:noWrap w:val="0"/>
            <w:vAlign w:val="center"/>
          </w:tcPr>
          <w:p w14:paraId="725D62EC">
            <w:pPr>
              <w:pageBreakBefore w:val="0"/>
              <w:kinsoku/>
              <w:wordWrap/>
              <w:overflowPunct/>
              <w:topLinePunct w:val="0"/>
              <w:autoSpaceDE w:val="0"/>
              <w:autoSpaceDN w:val="0"/>
              <w:bidi w:val="0"/>
              <w:adjustRightInd/>
              <w:snapToGrid/>
              <w:spacing w:line="40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7210" w:type="dxa"/>
            <w:tcBorders>
              <w:top w:val="single" w:color="auto" w:sz="4" w:space="0"/>
            </w:tcBorders>
            <w:noWrap w:val="0"/>
            <w:vAlign w:val="center"/>
          </w:tcPr>
          <w:p w14:paraId="687A60BD">
            <w:pPr>
              <w:pStyle w:val="53"/>
              <w:pageBreakBefore w:val="0"/>
              <w:kinsoku/>
              <w:wordWrap/>
              <w:overflowPunct/>
              <w:topLinePunct w:val="0"/>
              <w:bidi w:val="0"/>
              <w:adjustRightInd/>
              <w:snapToGrid/>
              <w:spacing w:line="400" w:lineRule="exact"/>
              <w:ind w:left="0" w:leftChars="0" w:right="0" w:rightChars="0"/>
              <w:jc w:val="both"/>
              <w:rPr>
                <w:rFonts w:hint="default" w:ascii="宋体" w:hAnsi="宋体" w:eastAsia="宋体" w:cs="宋体"/>
                <w:color w:val="auto"/>
                <w:kern w:val="0"/>
                <w:sz w:val="21"/>
                <w:szCs w:val="21"/>
                <w:highlight w:val="none"/>
                <w:lang w:val="en-US" w:eastAsia="zh-CN" w:bidi="ar-SA"/>
              </w:rPr>
            </w:pPr>
            <w:r>
              <w:rPr>
                <w:rFonts w:hint="eastAsia" w:hAnsi="宋体" w:cs="宋体"/>
                <w:color w:val="auto"/>
                <w:kern w:val="0"/>
                <w:sz w:val="21"/>
                <w:szCs w:val="21"/>
                <w:highlight w:val="none"/>
                <w:lang w:val="en-US" w:eastAsia="zh-CN" w:bidi="ar-SA"/>
              </w:rPr>
              <w:t>按月度支付，后付费。</w:t>
            </w:r>
          </w:p>
        </w:tc>
      </w:tr>
      <w:tr w14:paraId="2258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noWrap w:val="0"/>
            <w:vAlign w:val="center"/>
          </w:tcPr>
          <w:p w14:paraId="4DFF4D47">
            <w:pPr>
              <w:pageBreakBefore w:val="0"/>
              <w:kinsoku/>
              <w:wordWrap/>
              <w:overflowPunct/>
              <w:topLinePunct w:val="0"/>
              <w:autoSpaceDE w:val="0"/>
              <w:autoSpaceDN w:val="0"/>
              <w:bidi w:val="0"/>
              <w:adjustRightInd/>
              <w:snapToGrid/>
              <w:spacing w:line="400" w:lineRule="exact"/>
              <w:ind w:left="0" w:leftChars="0" w:right="0" w:right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2.2.1</w:t>
            </w:r>
          </w:p>
        </w:tc>
        <w:tc>
          <w:tcPr>
            <w:tcW w:w="1743" w:type="dxa"/>
            <w:gridSpan w:val="2"/>
            <w:noWrap w:val="0"/>
            <w:vAlign w:val="center"/>
          </w:tcPr>
          <w:p w14:paraId="45FBF6FD">
            <w:pPr>
              <w:pageBreakBefore w:val="0"/>
              <w:kinsoku/>
              <w:wordWrap/>
              <w:overflowPunct/>
              <w:topLinePunct w:val="0"/>
              <w:autoSpaceDE w:val="0"/>
              <w:autoSpaceDN w:val="0"/>
              <w:bidi w:val="0"/>
              <w:adjustRightInd/>
              <w:snapToGrid/>
              <w:spacing w:line="400" w:lineRule="exact"/>
              <w:ind w:left="0" w:leftChars="0" w:right="0" w:rightChars="0"/>
              <w:rPr>
                <w:rFonts w:hint="eastAsia" w:ascii="宋体" w:hAnsi="宋体" w:eastAsia="宋体" w:cs="宋体"/>
                <w:color w:val="auto"/>
                <w:spacing w:val="-6"/>
                <w:kern w:val="0"/>
                <w:sz w:val="21"/>
                <w:szCs w:val="21"/>
                <w:highlight w:val="none"/>
              </w:rPr>
            </w:pPr>
            <w:r>
              <w:rPr>
                <w:rFonts w:hint="eastAsia" w:ascii="宋体" w:hAnsi="宋体" w:cs="宋体"/>
                <w:color w:val="auto"/>
                <w:spacing w:val="-6"/>
                <w:kern w:val="0"/>
                <w:sz w:val="21"/>
                <w:szCs w:val="21"/>
                <w:highlight w:val="none"/>
                <w:lang w:eastAsia="zh-CN"/>
              </w:rPr>
              <w:t>供应商</w:t>
            </w:r>
            <w:r>
              <w:rPr>
                <w:rFonts w:hint="eastAsia" w:ascii="宋体" w:hAnsi="宋体" w:eastAsia="宋体" w:cs="宋体"/>
                <w:color w:val="auto"/>
                <w:spacing w:val="-6"/>
                <w:kern w:val="0"/>
                <w:sz w:val="21"/>
                <w:szCs w:val="21"/>
                <w:highlight w:val="none"/>
              </w:rPr>
              <w:t>提出问题的截止时间</w:t>
            </w:r>
          </w:p>
        </w:tc>
        <w:tc>
          <w:tcPr>
            <w:tcW w:w="7210" w:type="dxa"/>
            <w:noWrap w:val="0"/>
            <w:vAlign w:val="center"/>
          </w:tcPr>
          <w:p w14:paraId="3CB4CA14">
            <w:pPr>
              <w:pageBreakBefore w:val="0"/>
              <w:kinsoku/>
              <w:wordWrap/>
              <w:overflowPunct/>
              <w:topLinePunct w:val="0"/>
              <w:autoSpaceDE w:val="0"/>
              <w:autoSpaceDN w:val="0"/>
              <w:bidi w:val="0"/>
              <w:adjustRightInd/>
              <w:snapToGrid/>
              <w:spacing w:line="400" w:lineRule="exact"/>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递交投标文件截止时间10</w:t>
            </w:r>
            <w:r>
              <w:rPr>
                <w:rFonts w:hint="eastAsia" w:ascii="宋体" w:hAnsi="宋体" w:cs="宋体"/>
                <w:color w:val="auto"/>
                <w:kern w:val="0"/>
                <w:sz w:val="21"/>
                <w:szCs w:val="21"/>
                <w:highlight w:val="none"/>
                <w:lang w:eastAsia="zh-CN"/>
              </w:rPr>
              <w:t>日</w:t>
            </w:r>
            <w:r>
              <w:rPr>
                <w:rFonts w:hint="eastAsia" w:ascii="宋体" w:hAnsi="宋体" w:eastAsia="宋体" w:cs="宋体"/>
                <w:color w:val="auto"/>
                <w:kern w:val="0"/>
                <w:sz w:val="21"/>
                <w:szCs w:val="21"/>
                <w:highlight w:val="none"/>
              </w:rPr>
              <w:t>前</w:t>
            </w:r>
          </w:p>
        </w:tc>
      </w:tr>
      <w:tr w14:paraId="1B2E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16" w:type="dxa"/>
            <w:noWrap w:val="0"/>
            <w:vAlign w:val="center"/>
          </w:tcPr>
          <w:p w14:paraId="7414C61B">
            <w:pPr>
              <w:pageBreakBefore w:val="0"/>
              <w:kinsoku/>
              <w:wordWrap/>
              <w:overflowPunct/>
              <w:topLinePunct w:val="0"/>
              <w:autoSpaceDE w:val="0"/>
              <w:autoSpaceDN w:val="0"/>
              <w:bidi w:val="0"/>
              <w:adjustRightInd/>
              <w:snapToGrid/>
              <w:spacing w:line="400" w:lineRule="exact"/>
              <w:ind w:left="0" w:leftChars="0" w:right="0" w:right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2.2.2</w:t>
            </w:r>
          </w:p>
        </w:tc>
        <w:tc>
          <w:tcPr>
            <w:tcW w:w="1743" w:type="dxa"/>
            <w:gridSpan w:val="2"/>
            <w:noWrap w:val="0"/>
            <w:vAlign w:val="center"/>
          </w:tcPr>
          <w:p w14:paraId="4B5D3E7C">
            <w:pPr>
              <w:pageBreakBefore w:val="0"/>
              <w:kinsoku/>
              <w:wordWrap/>
              <w:overflowPunct/>
              <w:topLinePunct w:val="0"/>
              <w:autoSpaceDE w:val="0"/>
              <w:autoSpaceDN w:val="0"/>
              <w:bidi w:val="0"/>
              <w:adjustRightInd/>
              <w:snapToGrid/>
              <w:spacing w:line="400" w:lineRule="exact"/>
              <w:ind w:left="0" w:leftChars="0" w:right="0" w:rightChars="0"/>
              <w:rPr>
                <w:rFonts w:hint="eastAsia" w:ascii="宋体" w:hAnsi="宋体" w:eastAsia="宋体" w:cs="宋体"/>
                <w:b w:val="0"/>
                <w:bCs w:val="0"/>
                <w:color w:val="auto"/>
                <w:spacing w:val="-6"/>
                <w:kern w:val="0"/>
                <w:sz w:val="21"/>
                <w:szCs w:val="21"/>
                <w:highlight w:val="none"/>
              </w:rPr>
            </w:pPr>
            <w:r>
              <w:rPr>
                <w:rFonts w:hint="eastAsia" w:ascii="宋体" w:hAnsi="宋体" w:eastAsia="宋体" w:cs="宋体"/>
                <w:b w:val="0"/>
                <w:bCs w:val="0"/>
                <w:color w:val="auto"/>
                <w:spacing w:val="-6"/>
                <w:kern w:val="0"/>
                <w:sz w:val="21"/>
                <w:szCs w:val="21"/>
                <w:highlight w:val="none"/>
              </w:rPr>
              <w:t>投标截止时间</w:t>
            </w:r>
          </w:p>
        </w:tc>
        <w:tc>
          <w:tcPr>
            <w:tcW w:w="7210" w:type="dxa"/>
            <w:noWrap w:val="0"/>
            <w:vAlign w:val="center"/>
          </w:tcPr>
          <w:p w14:paraId="4B3BF7B3">
            <w:pPr>
              <w:pageBreakBefore w:val="0"/>
              <w:kinsoku/>
              <w:wordWrap/>
              <w:overflowPunct/>
              <w:topLinePunct w:val="0"/>
              <w:autoSpaceDE w:val="0"/>
              <w:autoSpaceDN w:val="0"/>
              <w:bidi w:val="0"/>
              <w:adjustRightInd/>
              <w:snapToGrid/>
              <w:spacing w:line="400" w:lineRule="exact"/>
              <w:ind w:left="0" w:leftChars="0" w:right="0" w:rightChars="0"/>
              <w:rPr>
                <w:rFonts w:hint="eastAsia" w:ascii="宋体" w:hAnsi="宋体" w:eastAsia="宋体" w:cs="宋体"/>
                <w:b w:val="0"/>
                <w:bCs w:val="0"/>
                <w:color w:val="auto"/>
                <w:spacing w:val="-6"/>
                <w:kern w:val="0"/>
                <w:sz w:val="21"/>
                <w:szCs w:val="21"/>
                <w:highlight w:val="none"/>
              </w:rPr>
            </w:pPr>
            <w:r>
              <w:rPr>
                <w:rFonts w:hint="eastAsia" w:ascii="宋体" w:hAnsi="宋体" w:eastAsia="宋体" w:cs="宋体"/>
                <w:b w:val="0"/>
                <w:bCs w:val="0"/>
                <w:color w:val="auto"/>
                <w:kern w:val="0"/>
                <w:sz w:val="21"/>
                <w:szCs w:val="21"/>
                <w:highlight w:val="none"/>
                <w:lang w:eastAsia="zh-CN"/>
              </w:rPr>
              <w:t>202</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年</w:t>
            </w:r>
            <w:r>
              <w:rPr>
                <w:rFonts w:hint="eastAsia" w:ascii="宋体" w:hAnsi="宋体" w:cs="宋体"/>
                <w:b w:val="0"/>
                <w:bCs w:val="0"/>
                <w:color w:val="auto"/>
                <w:kern w:val="0"/>
                <w:sz w:val="21"/>
                <w:szCs w:val="21"/>
                <w:highlight w:val="none"/>
                <w:lang w:val="en-US" w:eastAsia="zh-CN"/>
              </w:rPr>
              <w:t xml:space="preserve"> 11</w:t>
            </w:r>
            <w:r>
              <w:rPr>
                <w:rFonts w:hint="eastAsia" w:ascii="宋体" w:hAnsi="宋体" w:eastAsia="宋体" w:cs="宋体"/>
                <w:b w:val="0"/>
                <w:bCs w:val="0"/>
                <w:color w:val="auto"/>
                <w:kern w:val="0"/>
                <w:sz w:val="21"/>
                <w:szCs w:val="21"/>
                <w:highlight w:val="none"/>
              </w:rPr>
              <w:t>月</w:t>
            </w:r>
            <w:r>
              <w:rPr>
                <w:rFonts w:hint="eastAsia" w:ascii="宋体" w:hAnsi="宋体" w:cs="宋体"/>
                <w:b w:val="0"/>
                <w:bCs w:val="0"/>
                <w:color w:val="auto"/>
                <w:kern w:val="0"/>
                <w:sz w:val="21"/>
                <w:szCs w:val="21"/>
                <w:highlight w:val="none"/>
                <w:lang w:val="en-US" w:eastAsia="zh-CN"/>
              </w:rPr>
              <w:t xml:space="preserve"> 03 </w:t>
            </w:r>
            <w:r>
              <w:rPr>
                <w:rFonts w:hint="eastAsia" w:ascii="宋体" w:hAnsi="宋体" w:eastAsia="宋体" w:cs="宋体"/>
                <w:b w:val="0"/>
                <w:bCs w:val="0"/>
                <w:color w:val="auto"/>
                <w:kern w:val="0"/>
                <w:sz w:val="21"/>
                <w:szCs w:val="21"/>
                <w:highlight w:val="none"/>
              </w:rPr>
              <w:t>日</w:t>
            </w:r>
            <w:r>
              <w:rPr>
                <w:rFonts w:hint="eastAsia" w:ascii="宋体" w:hAnsi="宋体" w:eastAsia="宋体" w:cs="宋体"/>
                <w:b w:val="0"/>
                <w:bCs w:val="0"/>
                <w:color w:val="auto"/>
                <w:kern w:val="0"/>
                <w:sz w:val="21"/>
                <w:szCs w:val="21"/>
                <w:highlight w:val="none"/>
                <w:lang w:val="en-US" w:eastAsia="zh-CN"/>
              </w:rPr>
              <w:t>9</w:t>
            </w:r>
            <w:r>
              <w:rPr>
                <w:rFonts w:hint="eastAsia" w:ascii="宋体" w:hAnsi="宋体" w:eastAsia="宋体" w:cs="宋体"/>
                <w:b w:val="0"/>
                <w:bCs w:val="0"/>
                <w:color w:val="auto"/>
                <w:kern w:val="0"/>
                <w:sz w:val="21"/>
                <w:szCs w:val="21"/>
                <w:highlight w:val="none"/>
              </w:rPr>
              <w:t>时</w:t>
            </w:r>
            <w:r>
              <w:rPr>
                <w:rFonts w:hint="eastAsia" w:ascii="宋体" w:hAnsi="宋体" w:cs="宋体"/>
                <w:b w:val="0"/>
                <w:bCs w:val="0"/>
                <w:color w:val="auto"/>
                <w:kern w:val="0"/>
                <w:sz w:val="21"/>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0</w:t>
            </w:r>
            <w:r>
              <w:rPr>
                <w:rFonts w:hint="eastAsia" w:ascii="宋体" w:hAnsi="宋体" w:eastAsia="宋体" w:cs="宋体"/>
                <w:b w:val="0"/>
                <w:bCs w:val="0"/>
                <w:color w:val="auto"/>
                <w:kern w:val="0"/>
                <w:sz w:val="21"/>
                <w:szCs w:val="21"/>
                <w:highlight w:val="none"/>
              </w:rPr>
              <w:t>分</w:t>
            </w:r>
          </w:p>
        </w:tc>
      </w:tr>
      <w:tr w14:paraId="2915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14:paraId="10F1C652">
            <w:pPr>
              <w:pageBreakBefore w:val="0"/>
              <w:kinsoku/>
              <w:wordWrap/>
              <w:overflowPunct/>
              <w:topLinePunct w:val="0"/>
              <w:autoSpaceDE w:val="0"/>
              <w:autoSpaceDN w:val="0"/>
              <w:bidi w:val="0"/>
              <w:adjustRightInd/>
              <w:snapToGrid/>
              <w:spacing w:line="400" w:lineRule="exact"/>
              <w:ind w:left="0" w:leftChars="0" w:right="0" w:right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2.2.3</w:t>
            </w:r>
          </w:p>
        </w:tc>
        <w:tc>
          <w:tcPr>
            <w:tcW w:w="1743" w:type="dxa"/>
            <w:gridSpan w:val="2"/>
            <w:noWrap w:val="0"/>
            <w:vAlign w:val="center"/>
          </w:tcPr>
          <w:p w14:paraId="497BE946">
            <w:pPr>
              <w:pageBreakBefore w:val="0"/>
              <w:kinsoku/>
              <w:wordWrap/>
              <w:overflowPunct/>
              <w:topLinePunct w:val="0"/>
              <w:autoSpaceDE w:val="0"/>
              <w:autoSpaceDN w:val="0"/>
              <w:bidi w:val="0"/>
              <w:adjustRightInd/>
              <w:snapToGrid/>
              <w:spacing w:line="400" w:lineRule="exact"/>
              <w:ind w:left="0" w:leftChars="0" w:right="0" w:rightChars="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确认收到招标文件澄清的时间</w:t>
            </w:r>
          </w:p>
        </w:tc>
        <w:tc>
          <w:tcPr>
            <w:tcW w:w="7210" w:type="dxa"/>
            <w:noWrap w:val="0"/>
            <w:vAlign w:val="center"/>
          </w:tcPr>
          <w:p w14:paraId="72DEE461">
            <w:pPr>
              <w:pageBreakBefore w:val="0"/>
              <w:kinsoku/>
              <w:wordWrap/>
              <w:overflowPunct/>
              <w:topLinePunct w:val="0"/>
              <w:autoSpaceDE w:val="0"/>
              <w:autoSpaceDN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在收到相应澄清文件后24小时内</w:t>
            </w:r>
          </w:p>
        </w:tc>
      </w:tr>
      <w:tr w14:paraId="30DC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noWrap w:val="0"/>
            <w:vAlign w:val="center"/>
          </w:tcPr>
          <w:p w14:paraId="741BCB34">
            <w:pPr>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2.3</w:t>
            </w:r>
          </w:p>
        </w:tc>
        <w:tc>
          <w:tcPr>
            <w:tcW w:w="1743" w:type="dxa"/>
            <w:gridSpan w:val="2"/>
            <w:noWrap w:val="0"/>
            <w:vAlign w:val="center"/>
          </w:tcPr>
          <w:p w14:paraId="0BDE13FB">
            <w:pPr>
              <w:pageBreakBefore w:val="0"/>
              <w:kinsoku/>
              <w:wordWrap/>
              <w:overflowPunct/>
              <w:topLinePunct w:val="0"/>
              <w:autoSpaceDE w:val="0"/>
              <w:autoSpaceDN w:val="0"/>
              <w:bidi w:val="0"/>
              <w:adjustRightInd/>
              <w:snapToGrid/>
              <w:spacing w:line="400" w:lineRule="exact"/>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 xml:space="preserve">澄清的时间 </w:t>
            </w:r>
          </w:p>
        </w:tc>
        <w:tc>
          <w:tcPr>
            <w:tcW w:w="7210" w:type="dxa"/>
            <w:noWrap w:val="0"/>
            <w:vAlign w:val="center"/>
          </w:tcPr>
          <w:p w14:paraId="205339D4">
            <w:pPr>
              <w:pageBreakBefore w:val="0"/>
              <w:kinsoku/>
              <w:wordWrap/>
              <w:overflowPunct/>
              <w:topLinePunct w:val="0"/>
              <w:autoSpaceDE w:val="0"/>
              <w:autoSpaceDN w:val="0"/>
              <w:bidi w:val="0"/>
              <w:adjustRightInd/>
              <w:snapToGrid/>
              <w:spacing w:line="400" w:lineRule="exact"/>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提交投标文件截止时间15日前</w:t>
            </w:r>
          </w:p>
        </w:tc>
      </w:tr>
      <w:tr w14:paraId="7A5D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noWrap w:val="0"/>
            <w:vAlign w:val="center"/>
          </w:tcPr>
          <w:p w14:paraId="46455AEF">
            <w:pPr>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2.3.2</w:t>
            </w:r>
          </w:p>
        </w:tc>
        <w:tc>
          <w:tcPr>
            <w:tcW w:w="1743" w:type="dxa"/>
            <w:gridSpan w:val="2"/>
            <w:noWrap w:val="0"/>
            <w:vAlign w:val="center"/>
          </w:tcPr>
          <w:p w14:paraId="108BED21">
            <w:pPr>
              <w:pageBreakBefore w:val="0"/>
              <w:kinsoku/>
              <w:wordWrap/>
              <w:overflowPunct/>
              <w:topLinePunct w:val="0"/>
              <w:autoSpaceDE w:val="0"/>
              <w:autoSpaceDN w:val="0"/>
              <w:bidi w:val="0"/>
              <w:adjustRightInd/>
              <w:snapToGrid/>
              <w:spacing w:line="400" w:lineRule="exact"/>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确认收到招标文件修改的时间</w:t>
            </w:r>
          </w:p>
        </w:tc>
        <w:tc>
          <w:tcPr>
            <w:tcW w:w="7210" w:type="dxa"/>
            <w:noWrap w:val="0"/>
            <w:vAlign w:val="center"/>
          </w:tcPr>
          <w:p w14:paraId="07EA0E6B">
            <w:pPr>
              <w:pageBreakBefore w:val="0"/>
              <w:kinsoku/>
              <w:wordWrap/>
              <w:overflowPunct/>
              <w:topLinePunct w:val="0"/>
              <w:autoSpaceDE w:val="0"/>
              <w:autoSpaceDN w:val="0"/>
              <w:bidi w:val="0"/>
              <w:adjustRightInd/>
              <w:snapToGrid/>
              <w:spacing w:line="400" w:lineRule="exact"/>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在收到相应修改文件后24小时内</w:t>
            </w:r>
          </w:p>
        </w:tc>
      </w:tr>
      <w:tr w14:paraId="7A85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16" w:type="dxa"/>
            <w:tcBorders>
              <w:bottom w:val="single" w:color="auto" w:sz="4" w:space="0"/>
            </w:tcBorders>
            <w:noWrap w:val="0"/>
            <w:vAlign w:val="center"/>
          </w:tcPr>
          <w:p w14:paraId="5D774A3E">
            <w:pPr>
              <w:pageBreakBefore w:val="0"/>
              <w:kinsoku/>
              <w:wordWrap/>
              <w:overflowPunct/>
              <w:topLinePunct w:val="0"/>
              <w:autoSpaceDE w:val="0"/>
              <w:autoSpaceDN w:val="0"/>
              <w:bidi w:val="0"/>
              <w:adjustRightInd/>
              <w:snapToGrid/>
              <w:spacing w:line="400" w:lineRule="exact"/>
              <w:ind w:left="0" w:leftChars="0" w:right="0" w:right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3.1.1</w:t>
            </w:r>
          </w:p>
        </w:tc>
        <w:tc>
          <w:tcPr>
            <w:tcW w:w="1743" w:type="dxa"/>
            <w:gridSpan w:val="2"/>
            <w:tcBorders>
              <w:bottom w:val="single" w:color="auto" w:sz="4" w:space="0"/>
            </w:tcBorders>
            <w:noWrap w:val="0"/>
            <w:vAlign w:val="center"/>
          </w:tcPr>
          <w:p w14:paraId="157201E4">
            <w:pPr>
              <w:pageBreakBefore w:val="0"/>
              <w:kinsoku/>
              <w:wordWrap/>
              <w:overflowPunct/>
              <w:topLinePunct w:val="0"/>
              <w:autoSpaceDE w:val="0"/>
              <w:autoSpaceDN w:val="0"/>
              <w:bidi w:val="0"/>
              <w:adjustRightInd/>
              <w:snapToGrid/>
              <w:spacing w:line="400" w:lineRule="exact"/>
              <w:ind w:left="0" w:leftChars="0" w:right="0" w:rightChars="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构成投标文件的其他材料</w:t>
            </w:r>
          </w:p>
        </w:tc>
        <w:tc>
          <w:tcPr>
            <w:tcW w:w="7210" w:type="dxa"/>
            <w:tcBorders>
              <w:bottom w:val="single" w:color="auto" w:sz="4" w:space="0"/>
            </w:tcBorders>
            <w:noWrap w:val="0"/>
            <w:vAlign w:val="center"/>
          </w:tcPr>
          <w:p w14:paraId="20EC7C77">
            <w:pPr>
              <w:pageBreakBefore w:val="0"/>
              <w:kinsoku/>
              <w:wordWrap/>
              <w:overflowPunct/>
              <w:topLinePunct w:val="0"/>
              <w:autoSpaceDE w:val="0"/>
              <w:autoSpaceDN w:val="0"/>
              <w:bidi w:val="0"/>
              <w:adjustRightInd/>
              <w:snapToGrid/>
              <w:spacing w:line="400" w:lineRule="exact"/>
              <w:ind w:left="0" w:leftChars="0" w:right="0" w:rightChars="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认为</w:t>
            </w:r>
            <w:r>
              <w:rPr>
                <w:rFonts w:hint="eastAsia" w:ascii="宋体" w:hAnsi="宋体" w:cs="宋体"/>
                <w:color w:val="auto"/>
                <w:kern w:val="0"/>
                <w:sz w:val="21"/>
                <w:szCs w:val="21"/>
                <w:highlight w:val="none"/>
                <w:lang w:eastAsia="zh-CN"/>
              </w:rPr>
              <w:t>其他</w:t>
            </w:r>
            <w:r>
              <w:rPr>
                <w:rFonts w:hint="eastAsia" w:ascii="宋体" w:hAnsi="宋体" w:eastAsia="宋体" w:cs="宋体"/>
                <w:color w:val="auto"/>
                <w:kern w:val="0"/>
                <w:sz w:val="21"/>
                <w:szCs w:val="21"/>
                <w:highlight w:val="none"/>
              </w:rPr>
              <w:t>所需要补充的内容</w:t>
            </w:r>
          </w:p>
        </w:tc>
      </w:tr>
      <w:tr w14:paraId="172F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16" w:type="dxa"/>
            <w:tcBorders>
              <w:bottom w:val="single" w:color="auto" w:sz="4" w:space="0"/>
            </w:tcBorders>
            <w:noWrap w:val="0"/>
            <w:vAlign w:val="center"/>
          </w:tcPr>
          <w:p w14:paraId="0A1672A9">
            <w:pPr>
              <w:pageBreakBefore w:val="0"/>
              <w:kinsoku/>
              <w:wordWrap/>
              <w:overflowPunct/>
              <w:topLinePunct w:val="0"/>
              <w:autoSpaceDE w:val="0"/>
              <w:autoSpaceDN w:val="0"/>
              <w:bidi w:val="0"/>
              <w:adjustRightInd/>
              <w:snapToGrid/>
              <w:spacing w:line="400" w:lineRule="exact"/>
              <w:ind w:left="0" w:leftChars="0" w:right="0" w:rightChars="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3.3.1</w:t>
            </w:r>
          </w:p>
        </w:tc>
        <w:tc>
          <w:tcPr>
            <w:tcW w:w="1743" w:type="dxa"/>
            <w:gridSpan w:val="2"/>
            <w:tcBorders>
              <w:bottom w:val="single" w:color="auto" w:sz="4" w:space="0"/>
            </w:tcBorders>
            <w:noWrap w:val="0"/>
            <w:vAlign w:val="center"/>
          </w:tcPr>
          <w:p w14:paraId="4C265B10">
            <w:pPr>
              <w:pageBreakBefore w:val="0"/>
              <w:kinsoku/>
              <w:wordWrap/>
              <w:overflowPunct/>
              <w:topLinePunct w:val="0"/>
              <w:autoSpaceDE w:val="0"/>
              <w:autoSpaceDN w:val="0"/>
              <w:bidi w:val="0"/>
              <w:adjustRightInd/>
              <w:snapToGrid/>
              <w:spacing w:line="400" w:lineRule="exact"/>
              <w:ind w:left="0" w:leftChars="0" w:right="0" w:rightChars="0"/>
              <w:rPr>
                <w:rFonts w:hint="eastAsia" w:ascii="宋体" w:hAnsi="宋体" w:cs="宋体"/>
                <w:color w:val="auto"/>
                <w:kern w:val="0"/>
                <w:sz w:val="21"/>
                <w:szCs w:val="21"/>
                <w:highlight w:val="none"/>
                <w:lang w:eastAsia="zh-CN"/>
              </w:rPr>
            </w:pPr>
            <w:r>
              <w:rPr>
                <w:rFonts w:hint="eastAsia" w:ascii="宋体" w:hAnsi="宋体" w:cs="宋体"/>
                <w:b/>
                <w:bCs/>
                <w:color w:val="auto"/>
                <w:kern w:val="0"/>
                <w:sz w:val="21"/>
                <w:szCs w:val="21"/>
                <w:highlight w:val="none"/>
                <w:lang w:eastAsia="zh-CN"/>
              </w:rPr>
              <w:t>本项目采购标的对应的中小企业划分标准所属行业</w:t>
            </w:r>
          </w:p>
        </w:tc>
        <w:tc>
          <w:tcPr>
            <w:tcW w:w="7210" w:type="dxa"/>
            <w:tcBorders>
              <w:bottom w:val="single" w:color="auto" w:sz="4" w:space="0"/>
            </w:tcBorders>
            <w:noWrap w:val="0"/>
            <w:vAlign w:val="center"/>
          </w:tcPr>
          <w:p w14:paraId="3F5BC2BC">
            <w:pPr>
              <w:pageBreakBefore w:val="0"/>
              <w:kinsoku/>
              <w:wordWrap/>
              <w:overflowPunct/>
              <w:topLinePunct w:val="0"/>
              <w:autoSpaceDE w:val="0"/>
              <w:autoSpaceDN w:val="0"/>
              <w:bidi w:val="0"/>
              <w:adjustRightInd/>
              <w:snapToGrid/>
              <w:spacing w:line="400" w:lineRule="exact"/>
              <w:ind w:left="0" w:leftChars="0" w:right="0" w:rightChars="0"/>
              <w:rPr>
                <w:rFonts w:hint="eastAsia" w:ascii="宋体" w:hAnsi="宋体" w:cs="宋体"/>
                <w:color w:val="auto"/>
                <w:kern w:val="0"/>
                <w:sz w:val="21"/>
                <w:szCs w:val="21"/>
                <w:highlight w:val="none"/>
                <w:lang w:eastAsia="zh-CN"/>
              </w:rPr>
            </w:pPr>
            <w:r>
              <w:rPr>
                <w:rFonts w:hint="eastAsia" w:ascii="宋体" w:hAnsi="宋体" w:cs="宋体"/>
                <w:b/>
                <w:bCs/>
                <w:color w:val="auto"/>
                <w:kern w:val="0"/>
                <w:sz w:val="21"/>
                <w:szCs w:val="21"/>
                <w:highlight w:val="none"/>
                <w:lang w:eastAsia="zh-CN"/>
              </w:rPr>
              <w:t>其他未列明行业</w:t>
            </w:r>
          </w:p>
        </w:tc>
      </w:tr>
      <w:tr w14:paraId="5EB9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14:paraId="5DA0FC78">
            <w:pPr>
              <w:pageBreakBefore w:val="0"/>
              <w:kinsoku/>
              <w:wordWrap/>
              <w:overflowPunct/>
              <w:topLinePunct w:val="0"/>
              <w:autoSpaceDE w:val="0"/>
              <w:autoSpaceDN w:val="0"/>
              <w:bidi w:val="0"/>
              <w:adjustRightInd/>
              <w:snapToGrid/>
              <w:spacing w:line="400" w:lineRule="exact"/>
              <w:ind w:left="0" w:leftChars="0" w:right="0" w:right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3.4.1</w:t>
            </w:r>
          </w:p>
        </w:tc>
        <w:tc>
          <w:tcPr>
            <w:tcW w:w="1743" w:type="dxa"/>
            <w:gridSpan w:val="2"/>
            <w:noWrap w:val="0"/>
            <w:vAlign w:val="center"/>
          </w:tcPr>
          <w:p w14:paraId="2C073328">
            <w:pPr>
              <w:pageBreakBefore w:val="0"/>
              <w:kinsoku/>
              <w:wordWrap/>
              <w:overflowPunct/>
              <w:topLinePunct w:val="0"/>
              <w:autoSpaceDE w:val="0"/>
              <w:autoSpaceDN w:val="0"/>
              <w:bidi w:val="0"/>
              <w:adjustRightInd/>
              <w:snapToGrid/>
              <w:spacing w:line="400" w:lineRule="exact"/>
              <w:ind w:left="0" w:leftChars="0" w:right="0" w:rightChars="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投标有效期</w:t>
            </w:r>
          </w:p>
        </w:tc>
        <w:tc>
          <w:tcPr>
            <w:tcW w:w="7210" w:type="dxa"/>
            <w:noWrap w:val="0"/>
            <w:vAlign w:val="center"/>
          </w:tcPr>
          <w:p w14:paraId="0409CD5D">
            <w:pPr>
              <w:pageBreakBefore w:val="0"/>
              <w:kinsoku/>
              <w:wordWrap/>
              <w:overflowPunct/>
              <w:topLinePunct w:val="0"/>
              <w:autoSpaceDE w:val="0"/>
              <w:autoSpaceDN w:val="0"/>
              <w:bidi w:val="0"/>
              <w:adjustRightInd/>
              <w:snapToGrid/>
              <w:spacing w:line="400" w:lineRule="exact"/>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60日历天（从投标截止之日算起）</w:t>
            </w:r>
          </w:p>
        </w:tc>
      </w:tr>
      <w:tr w14:paraId="6057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noWrap w:val="0"/>
            <w:vAlign w:val="center"/>
          </w:tcPr>
          <w:p w14:paraId="14850836">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3.5.8</w:t>
            </w:r>
          </w:p>
        </w:tc>
        <w:tc>
          <w:tcPr>
            <w:tcW w:w="1743" w:type="dxa"/>
            <w:gridSpan w:val="2"/>
            <w:noWrap w:val="0"/>
            <w:vAlign w:val="center"/>
          </w:tcPr>
          <w:p w14:paraId="26114A01">
            <w:pPr>
              <w:keepNext w:val="0"/>
              <w:keepLines w:val="0"/>
              <w:pageBreakBefore w:val="0"/>
              <w:kinsoku/>
              <w:wordWrap/>
              <w:overflowPunct/>
              <w:topLinePunct w:val="0"/>
              <w:autoSpaceDE w:val="0"/>
              <w:autoSpaceDN w:val="0"/>
              <w:bidi w:val="0"/>
              <w:adjustRightInd/>
              <w:snapToGrid/>
              <w:spacing w:line="40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投标文件签字和盖章要求</w:t>
            </w:r>
          </w:p>
        </w:tc>
        <w:tc>
          <w:tcPr>
            <w:tcW w:w="7210" w:type="dxa"/>
            <w:noWrap w:val="0"/>
            <w:vAlign w:val="center"/>
          </w:tcPr>
          <w:p w14:paraId="21AE9955">
            <w:pPr>
              <w:keepNext w:val="0"/>
              <w:keepLines w:val="0"/>
              <w:pageBreakBefore w:val="0"/>
              <w:kinsoku/>
              <w:wordWrap/>
              <w:overflowPunct/>
              <w:topLinePunct w:val="0"/>
              <w:autoSpaceDE w:val="0"/>
              <w:autoSpaceDN w:val="0"/>
              <w:bidi w:val="0"/>
              <w:adjustRightInd/>
              <w:snapToGrid/>
              <w:spacing w:line="40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签字和盖章应符合第六章投标文件格式相应要求。</w:t>
            </w:r>
          </w:p>
        </w:tc>
      </w:tr>
      <w:tr w14:paraId="401A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noWrap w:val="0"/>
            <w:vAlign w:val="center"/>
          </w:tcPr>
          <w:p w14:paraId="40612FA3">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3.5.9</w:t>
            </w:r>
          </w:p>
        </w:tc>
        <w:tc>
          <w:tcPr>
            <w:tcW w:w="1743" w:type="dxa"/>
            <w:gridSpan w:val="2"/>
            <w:noWrap w:val="0"/>
            <w:vAlign w:val="center"/>
          </w:tcPr>
          <w:p w14:paraId="7EC83E34">
            <w:pPr>
              <w:keepNext w:val="0"/>
              <w:keepLines w:val="0"/>
              <w:pageBreakBefore w:val="0"/>
              <w:kinsoku/>
              <w:wordWrap/>
              <w:overflowPunct/>
              <w:topLinePunct w:val="0"/>
              <w:autoSpaceDE w:val="0"/>
              <w:autoSpaceDN w:val="0"/>
              <w:bidi w:val="0"/>
              <w:adjustRightInd/>
              <w:snapToGrid/>
              <w:spacing w:line="40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投标文件份数及其他要求</w:t>
            </w:r>
          </w:p>
        </w:tc>
        <w:tc>
          <w:tcPr>
            <w:tcW w:w="7210" w:type="dxa"/>
            <w:noWrap w:val="0"/>
            <w:vAlign w:val="center"/>
          </w:tcPr>
          <w:p w14:paraId="6052B171">
            <w:pPr>
              <w:keepNext w:val="0"/>
              <w:keepLines w:val="0"/>
              <w:pageBreakBefore w:val="0"/>
              <w:kinsoku/>
              <w:wordWrap/>
              <w:overflowPunct/>
              <w:topLinePunct w:val="0"/>
              <w:autoSpaceDE w:val="0"/>
              <w:autoSpaceDN w:val="0"/>
              <w:bidi w:val="0"/>
              <w:adjustRightInd/>
              <w:snapToGrid/>
              <w:spacing w:line="40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加密的电子投标文件壹份（*.XYTF 格式，在会员系统指定位置上传）</w:t>
            </w:r>
          </w:p>
        </w:tc>
      </w:tr>
      <w:tr w14:paraId="6D14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16" w:type="dxa"/>
            <w:noWrap w:val="0"/>
            <w:vAlign w:val="center"/>
          </w:tcPr>
          <w:p w14:paraId="196AAB53">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4.2</w:t>
            </w:r>
          </w:p>
        </w:tc>
        <w:tc>
          <w:tcPr>
            <w:tcW w:w="1743" w:type="dxa"/>
            <w:gridSpan w:val="2"/>
            <w:noWrap w:val="0"/>
            <w:vAlign w:val="center"/>
          </w:tcPr>
          <w:p w14:paraId="605455F6">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投标文件</w:t>
            </w:r>
            <w:r>
              <w:rPr>
                <w:rFonts w:hint="eastAsia" w:ascii="宋体" w:hAnsi="宋体" w:eastAsia="宋体" w:cs="宋体"/>
                <w:color w:val="auto"/>
                <w:kern w:val="0"/>
                <w:sz w:val="21"/>
                <w:szCs w:val="21"/>
                <w:highlight w:val="none"/>
                <w:lang w:eastAsia="zh-CN"/>
              </w:rPr>
              <w:t>递交</w:t>
            </w:r>
          </w:p>
        </w:tc>
        <w:tc>
          <w:tcPr>
            <w:tcW w:w="7210" w:type="dxa"/>
            <w:noWrap w:val="0"/>
            <w:vAlign w:val="center"/>
          </w:tcPr>
          <w:p w14:paraId="247BBE91">
            <w:pPr>
              <w:keepNext w:val="0"/>
              <w:keepLines w:val="0"/>
              <w:pageBreakBefore w:val="0"/>
              <w:kinsoku/>
              <w:wordWrap/>
              <w:overflowPunct/>
              <w:topLinePunct w:val="0"/>
              <w:bidi w:val="0"/>
              <w:adjustRightInd/>
              <w:snapToGrid/>
              <w:spacing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1、电子投标文件的递交</w:t>
            </w:r>
          </w:p>
          <w:p w14:paraId="0C4DE7E5">
            <w:pPr>
              <w:keepNext w:val="0"/>
              <w:keepLines w:val="0"/>
              <w:pageBreakBefore w:val="0"/>
              <w:kinsoku/>
              <w:wordWrap/>
              <w:overflowPunct/>
              <w:topLinePunct w:val="0"/>
              <w:bidi w:val="0"/>
              <w:adjustRightInd/>
              <w:snapToGrid/>
              <w:spacing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应在投标截止时间前上传加密的电子投标文件（*.XYTF）到会员系统的指定位置。上传时必须得到交易系统“上传成功”的确认回复后方为上传成功。请</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在上传前务必认真检查上传投标文件是否完整、正确。</w:t>
            </w:r>
          </w:p>
          <w:p w14:paraId="54D925C8">
            <w:pPr>
              <w:keepNext w:val="0"/>
              <w:keepLines w:val="0"/>
              <w:pageBreakBefore w:val="0"/>
              <w:kinsoku/>
              <w:wordWrap/>
              <w:overflowPunct/>
              <w:topLinePunct w:val="0"/>
              <w:bidi w:val="0"/>
              <w:adjustRightInd/>
              <w:snapToGrid/>
              <w:spacing w:line="40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本项目采用“不见面开标”交易方式，不见面开标大厅网址为 </w:t>
            </w:r>
            <w:r>
              <w:rPr>
                <w:rFonts w:hint="eastAsia" w:ascii="宋体" w:hAnsi="宋体" w:cs="宋体"/>
                <w:color w:val="auto"/>
                <w:kern w:val="0"/>
                <w:sz w:val="21"/>
                <w:szCs w:val="21"/>
                <w:highlight w:val="none"/>
                <w:lang w:eastAsia="zh-CN"/>
              </w:rPr>
              <w:t>https://ggzyjy.xinyang.gov.cn/BidOpening</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无需寄送和递交非加密的电子投标文件，无需到现场参加开标会议，无需到达现场提交原件资料。</w:t>
            </w:r>
          </w:p>
          <w:p w14:paraId="39B4C4C9">
            <w:pPr>
              <w:keepNext w:val="0"/>
              <w:keepLines w:val="0"/>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应当在投标截止时间前，使用</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CA数字证书登录不见面开标大厅，在线签到并准时参加开标活动，并在规定时间内完成投标文件解密、答疑澄清等。</w:t>
            </w:r>
          </w:p>
          <w:p w14:paraId="62858975">
            <w:pPr>
              <w:keepNext w:val="0"/>
              <w:keepLines w:val="0"/>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逾期解密或者没有准时在线参加开标活动导致的一切后果</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自行承担。</w:t>
            </w:r>
          </w:p>
          <w:p w14:paraId="02E263EF">
            <w:pPr>
              <w:keepNext w:val="0"/>
              <w:keepLines w:val="0"/>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不见面开标服务的具体事宜，请查阅信阳市公共资源交易中心网站首页—下载中心—信阳市不见面开标大厅系统操作手册。</w:t>
            </w:r>
          </w:p>
          <w:p w14:paraId="19D82834">
            <w:pPr>
              <w:keepNext w:val="0"/>
              <w:keepLines w:val="0"/>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特别提示：</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在线签到时，应如实</w:t>
            </w:r>
            <w:r>
              <w:rPr>
                <w:rFonts w:hint="eastAsia" w:ascii="宋体" w:hAnsi="宋体" w:cs="宋体"/>
                <w:color w:val="auto"/>
                <w:kern w:val="0"/>
                <w:sz w:val="21"/>
                <w:szCs w:val="21"/>
                <w:highlight w:val="none"/>
                <w:lang w:eastAsia="zh-CN"/>
              </w:rPr>
              <w:t>准确地填写</w:t>
            </w:r>
            <w:r>
              <w:rPr>
                <w:rFonts w:hint="eastAsia" w:ascii="宋体" w:hAnsi="宋体" w:eastAsia="宋体" w:cs="宋体"/>
                <w:color w:val="auto"/>
                <w:kern w:val="0"/>
                <w:sz w:val="21"/>
                <w:szCs w:val="21"/>
                <w:highlight w:val="none"/>
              </w:rPr>
              <w:t>授权委托人的联系电话，开标当天请务必保证电话保持畅通。</w:t>
            </w:r>
          </w:p>
        </w:tc>
      </w:tr>
      <w:tr w14:paraId="3705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16" w:type="dxa"/>
            <w:noWrap w:val="0"/>
            <w:vAlign w:val="center"/>
          </w:tcPr>
          <w:p w14:paraId="42FD516B">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5.1</w:t>
            </w:r>
          </w:p>
        </w:tc>
        <w:tc>
          <w:tcPr>
            <w:tcW w:w="1743" w:type="dxa"/>
            <w:gridSpan w:val="2"/>
            <w:noWrap w:val="0"/>
            <w:vAlign w:val="center"/>
          </w:tcPr>
          <w:p w14:paraId="405DA880">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开标时间和地点</w:t>
            </w:r>
          </w:p>
        </w:tc>
        <w:tc>
          <w:tcPr>
            <w:tcW w:w="7210" w:type="dxa"/>
            <w:noWrap w:val="0"/>
            <w:vAlign w:val="center"/>
          </w:tcPr>
          <w:p w14:paraId="55100114">
            <w:pPr>
              <w:keepNext w:val="0"/>
              <w:keepLines w:val="0"/>
              <w:pageBreakBefore w:val="0"/>
              <w:widowControl/>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开标时间：</w:t>
            </w:r>
            <w:r>
              <w:rPr>
                <w:rFonts w:hint="eastAsia" w:ascii="宋体" w:hAnsi="宋体" w:cs="宋体"/>
                <w:b w:val="0"/>
                <w:bCs w:val="0"/>
                <w:color w:val="auto"/>
                <w:kern w:val="0"/>
                <w:sz w:val="21"/>
                <w:szCs w:val="21"/>
                <w:highlight w:val="none"/>
                <w:lang w:val="en-US" w:eastAsia="zh-CN" w:bidi="ar-SA"/>
              </w:rPr>
              <w:t>2025</w:t>
            </w:r>
            <w:r>
              <w:rPr>
                <w:rFonts w:hint="eastAsia" w:ascii="宋体" w:hAnsi="宋体" w:eastAsia="宋体" w:cs="宋体"/>
                <w:b w:val="0"/>
                <w:bCs w:val="0"/>
                <w:color w:val="auto"/>
                <w:kern w:val="0"/>
                <w:sz w:val="21"/>
                <w:szCs w:val="21"/>
                <w:highlight w:val="none"/>
                <w:lang w:val="en-US" w:eastAsia="zh-CN" w:bidi="ar-SA"/>
              </w:rPr>
              <w:t>年</w:t>
            </w:r>
            <w:r>
              <w:rPr>
                <w:rFonts w:hint="eastAsia" w:ascii="宋体" w:hAnsi="宋体" w:cs="宋体"/>
                <w:b w:val="0"/>
                <w:bCs w:val="0"/>
                <w:color w:val="auto"/>
                <w:kern w:val="0"/>
                <w:sz w:val="21"/>
                <w:szCs w:val="21"/>
                <w:highlight w:val="none"/>
                <w:lang w:val="en-US" w:eastAsia="zh-CN" w:bidi="ar-SA"/>
              </w:rPr>
              <w:t xml:space="preserve"> 11 </w:t>
            </w:r>
            <w:r>
              <w:rPr>
                <w:rFonts w:hint="eastAsia" w:ascii="宋体" w:hAnsi="宋体" w:eastAsia="宋体" w:cs="宋体"/>
                <w:b w:val="0"/>
                <w:bCs w:val="0"/>
                <w:color w:val="auto"/>
                <w:kern w:val="0"/>
                <w:sz w:val="21"/>
                <w:szCs w:val="21"/>
                <w:highlight w:val="none"/>
                <w:lang w:val="en-US" w:eastAsia="zh-CN" w:bidi="ar-SA"/>
              </w:rPr>
              <w:t>月</w:t>
            </w:r>
            <w:r>
              <w:rPr>
                <w:rFonts w:hint="eastAsia" w:ascii="宋体" w:hAnsi="宋体" w:cs="宋体"/>
                <w:b w:val="0"/>
                <w:bCs w:val="0"/>
                <w:color w:val="auto"/>
                <w:kern w:val="0"/>
                <w:sz w:val="21"/>
                <w:szCs w:val="21"/>
                <w:highlight w:val="none"/>
                <w:lang w:val="en-US" w:eastAsia="zh-CN" w:bidi="ar-SA"/>
              </w:rPr>
              <w:t xml:space="preserve"> 03 </w:t>
            </w:r>
            <w:r>
              <w:rPr>
                <w:rFonts w:hint="eastAsia" w:ascii="宋体" w:hAnsi="宋体" w:eastAsia="宋体" w:cs="宋体"/>
                <w:b w:val="0"/>
                <w:bCs w:val="0"/>
                <w:color w:val="auto"/>
                <w:kern w:val="0"/>
                <w:sz w:val="21"/>
                <w:szCs w:val="21"/>
                <w:highlight w:val="none"/>
                <w:lang w:val="en-US" w:eastAsia="zh-CN" w:bidi="ar-SA"/>
              </w:rPr>
              <w:t>日9时</w:t>
            </w:r>
            <w:r>
              <w:rPr>
                <w:rFonts w:hint="eastAsia" w:ascii="宋体" w:hAnsi="宋体" w:cs="宋体"/>
                <w:b w:val="0"/>
                <w:bCs w:val="0"/>
                <w:color w:val="auto"/>
                <w:kern w:val="0"/>
                <w:sz w:val="21"/>
                <w:szCs w:val="21"/>
                <w:highlight w:val="none"/>
                <w:lang w:val="en-US" w:eastAsia="zh-CN" w:bidi="ar-SA"/>
              </w:rPr>
              <w:t>0</w:t>
            </w:r>
            <w:r>
              <w:rPr>
                <w:rFonts w:hint="eastAsia" w:ascii="宋体" w:hAnsi="宋体" w:eastAsia="宋体" w:cs="宋体"/>
                <w:b w:val="0"/>
                <w:bCs w:val="0"/>
                <w:color w:val="auto"/>
                <w:kern w:val="0"/>
                <w:sz w:val="21"/>
                <w:szCs w:val="21"/>
                <w:highlight w:val="none"/>
                <w:lang w:val="en-US" w:eastAsia="zh-CN" w:bidi="ar-SA"/>
              </w:rPr>
              <w:t>0分</w:t>
            </w:r>
          </w:p>
          <w:p w14:paraId="007DA384">
            <w:pPr>
              <w:pStyle w:val="57"/>
              <w:keepNext w:val="0"/>
              <w:keepLines w:val="0"/>
              <w:pageBreakBefore w:val="0"/>
              <w:widowControl/>
              <w:kinsoku/>
              <w:wordWrap/>
              <w:overflowPunct/>
              <w:topLinePunct w:val="0"/>
              <w:bidi w:val="0"/>
              <w:adjustRightInd/>
              <w:snapToGrid/>
              <w:spacing w:line="400" w:lineRule="exact"/>
              <w:ind w:left="0" w:leftChars="0" w:right="0" w:rightChars="0" w:firstLine="0" w:firstLineChars="0"/>
              <w:jc w:val="left"/>
              <w:textAlignment w:val="auto"/>
              <w:rPr>
                <w:rFonts w:hint="eastAsia" w:ascii="宋体" w:hAnsi="宋体" w:eastAsia="宋体" w:cs="宋体"/>
                <w:b w:val="0"/>
                <w:bCs w:val="0"/>
                <w:color w:val="auto"/>
                <w:kern w:val="0"/>
                <w:szCs w:val="21"/>
                <w:highlight w:val="none"/>
                <w:lang w:eastAsia="zh-CN"/>
              </w:rPr>
            </w:pPr>
            <w:r>
              <w:rPr>
                <w:rFonts w:hint="eastAsia" w:ascii="宋体" w:hAnsi="宋体" w:eastAsia="宋体" w:cs="宋体"/>
                <w:b w:val="0"/>
                <w:bCs w:val="0"/>
                <w:color w:val="auto"/>
                <w:kern w:val="0"/>
                <w:szCs w:val="21"/>
                <w:highlight w:val="none"/>
              </w:rPr>
              <w:t>开标地点：</w:t>
            </w:r>
            <w:r>
              <w:rPr>
                <w:rFonts w:hint="eastAsia" w:ascii="宋体" w:hAnsi="宋体" w:eastAsia="宋体" w:cs="宋体"/>
                <w:b w:val="0"/>
                <w:bCs w:val="0"/>
                <w:color w:val="auto"/>
                <w:sz w:val="21"/>
                <w:szCs w:val="21"/>
                <w:lang w:val="en-US" w:eastAsia="zh-CN"/>
              </w:rPr>
              <w:t>AI机器人开标虚拟</w:t>
            </w:r>
            <w:r>
              <w:rPr>
                <w:rFonts w:hint="eastAsia" w:ascii="宋体" w:hAnsi="宋体" w:cs="宋体"/>
                <w:b w:val="0"/>
                <w:bCs w:val="0"/>
                <w:color w:val="auto"/>
                <w:sz w:val="21"/>
                <w:szCs w:val="21"/>
                <w:lang w:val="en-US" w:eastAsia="zh-CN"/>
              </w:rPr>
              <w:t xml:space="preserve"> 六 </w:t>
            </w:r>
            <w:r>
              <w:rPr>
                <w:rFonts w:hint="eastAsia" w:ascii="宋体" w:hAnsi="宋体" w:eastAsia="宋体" w:cs="宋体"/>
                <w:b w:val="0"/>
                <w:bCs w:val="0"/>
                <w:color w:val="auto"/>
                <w:sz w:val="21"/>
                <w:szCs w:val="21"/>
                <w:lang w:val="en-US" w:eastAsia="zh-CN"/>
              </w:rPr>
              <w:t>厅 </w:t>
            </w:r>
          </w:p>
        </w:tc>
      </w:tr>
      <w:tr w14:paraId="3532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16" w:type="dxa"/>
            <w:noWrap w:val="0"/>
            <w:vAlign w:val="center"/>
          </w:tcPr>
          <w:p w14:paraId="1B8A3A58">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6.1</w:t>
            </w:r>
          </w:p>
        </w:tc>
        <w:tc>
          <w:tcPr>
            <w:tcW w:w="1743" w:type="dxa"/>
            <w:gridSpan w:val="2"/>
            <w:noWrap w:val="0"/>
            <w:vAlign w:val="center"/>
          </w:tcPr>
          <w:p w14:paraId="4C377498">
            <w:pPr>
              <w:keepNext w:val="0"/>
              <w:keepLines w:val="0"/>
              <w:pageBreakBefore w:val="0"/>
              <w:kinsoku/>
              <w:wordWrap/>
              <w:overflowPunct/>
              <w:topLinePunct w:val="0"/>
              <w:autoSpaceDE w:val="0"/>
              <w:autoSpaceDN w:val="0"/>
              <w:bidi w:val="0"/>
              <w:adjustRightInd/>
              <w:snapToGrid/>
              <w:spacing w:line="40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评标委员会的组建</w:t>
            </w:r>
          </w:p>
        </w:tc>
        <w:tc>
          <w:tcPr>
            <w:tcW w:w="7210" w:type="dxa"/>
            <w:noWrap w:val="0"/>
            <w:vAlign w:val="center"/>
          </w:tcPr>
          <w:p w14:paraId="18F3401C">
            <w:pPr>
              <w:keepNext w:val="0"/>
              <w:keepLines w:val="0"/>
              <w:pageBreakBefore w:val="0"/>
              <w:kinsoku/>
              <w:wordWrap/>
              <w:overflowPunct/>
              <w:topLinePunct w:val="0"/>
              <w:bidi w:val="0"/>
              <w:adjustRightInd/>
              <w:snapToGrid/>
              <w:spacing w:line="400" w:lineRule="exact"/>
              <w:ind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评标委员会构成：</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人，其中业主评委</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人，技术、经济类专家</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人；</w:t>
            </w:r>
          </w:p>
          <w:p w14:paraId="60CEB74A">
            <w:pPr>
              <w:keepNext w:val="0"/>
              <w:keepLines w:val="0"/>
              <w:pageBreakBefore w:val="0"/>
              <w:kinsoku/>
              <w:wordWrap/>
              <w:overflowPunct/>
              <w:topLinePunct w:val="0"/>
              <w:bidi w:val="0"/>
              <w:adjustRightInd/>
              <w:snapToGrid/>
              <w:spacing w:line="400" w:lineRule="exact"/>
              <w:ind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评标专家确定方式：专家从</w:t>
            </w:r>
            <w:r>
              <w:rPr>
                <w:rFonts w:hint="eastAsia" w:ascii="宋体" w:hAnsi="宋体" w:eastAsia="宋体" w:cs="宋体"/>
                <w:color w:val="auto"/>
                <w:kern w:val="0"/>
                <w:sz w:val="21"/>
                <w:szCs w:val="21"/>
                <w:highlight w:val="none"/>
                <w:lang w:eastAsia="zh-CN"/>
              </w:rPr>
              <w:t>政府采购</w:t>
            </w:r>
            <w:r>
              <w:rPr>
                <w:rFonts w:hint="eastAsia" w:ascii="宋体" w:hAnsi="宋体" w:eastAsia="宋体" w:cs="宋体"/>
                <w:color w:val="auto"/>
                <w:kern w:val="0"/>
                <w:sz w:val="21"/>
                <w:szCs w:val="21"/>
                <w:highlight w:val="none"/>
              </w:rPr>
              <w:t>专家库中随机抽取。</w:t>
            </w:r>
          </w:p>
        </w:tc>
      </w:tr>
      <w:tr w14:paraId="22DD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6" w:type="dxa"/>
            <w:noWrap w:val="0"/>
            <w:vAlign w:val="center"/>
          </w:tcPr>
          <w:p w14:paraId="637B0C52">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7.1</w:t>
            </w:r>
          </w:p>
        </w:tc>
        <w:tc>
          <w:tcPr>
            <w:tcW w:w="1743" w:type="dxa"/>
            <w:gridSpan w:val="2"/>
            <w:noWrap w:val="0"/>
            <w:vAlign w:val="center"/>
          </w:tcPr>
          <w:p w14:paraId="6878062E">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是否授权评标委员会确定中标人</w:t>
            </w:r>
          </w:p>
        </w:tc>
        <w:tc>
          <w:tcPr>
            <w:tcW w:w="7210" w:type="dxa"/>
            <w:noWrap w:val="0"/>
            <w:vAlign w:val="center"/>
          </w:tcPr>
          <w:p w14:paraId="5380B716">
            <w:pPr>
              <w:keepNext w:val="0"/>
              <w:keepLines w:val="0"/>
              <w:pageBreakBefore w:val="0"/>
              <w:kinsoku/>
              <w:wordWrap/>
              <w:overflowPunct/>
              <w:topLinePunct w:val="0"/>
              <w:autoSpaceDE w:val="0"/>
              <w:autoSpaceDN w:val="0"/>
              <w:bidi w:val="0"/>
              <w:adjustRightInd/>
              <w:snapToGrid/>
              <w:spacing w:line="400" w:lineRule="exact"/>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否，推荐3名中标候选人。</w:t>
            </w:r>
          </w:p>
        </w:tc>
      </w:tr>
      <w:tr w14:paraId="70D6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69" w:type="dxa"/>
            <w:gridSpan w:val="4"/>
            <w:noWrap w:val="0"/>
            <w:vAlign w:val="center"/>
          </w:tcPr>
          <w:p w14:paraId="1F6433E5">
            <w:pPr>
              <w:pageBreakBefore w:val="0"/>
              <w:kinsoku/>
              <w:wordWrap/>
              <w:overflowPunct/>
              <w:topLinePunct w:val="0"/>
              <w:autoSpaceDE w:val="0"/>
              <w:autoSpaceDN w:val="0"/>
              <w:bidi w:val="0"/>
              <w:adjustRightInd/>
              <w:snapToGrid/>
              <w:spacing w:line="400" w:lineRule="exact"/>
              <w:ind w:left="0" w:leftChars="0" w:right="0" w:rightChars="0"/>
              <w:jc w:val="both"/>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其他补充内容</w:t>
            </w:r>
          </w:p>
        </w:tc>
      </w:tr>
      <w:tr w14:paraId="4096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0" w:type="dxa"/>
            <w:gridSpan w:val="2"/>
            <w:noWrap w:val="0"/>
            <w:vAlign w:val="center"/>
          </w:tcPr>
          <w:p w14:paraId="4006146D">
            <w:pPr>
              <w:pageBreakBefore w:val="0"/>
              <w:kinsoku/>
              <w:wordWrap/>
              <w:overflowPunct/>
              <w:topLinePunct w:val="0"/>
              <w:autoSpaceDE w:val="0"/>
              <w:autoSpaceDN w:val="0"/>
              <w:bidi w:val="0"/>
              <w:adjustRightInd/>
              <w:snapToGrid/>
              <w:spacing w:line="400" w:lineRule="exact"/>
              <w:ind w:left="0" w:leftChars="0" w:right="0" w:right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标书雷同性分析</w:t>
            </w:r>
          </w:p>
        </w:tc>
        <w:tc>
          <w:tcPr>
            <w:tcW w:w="8519" w:type="dxa"/>
            <w:gridSpan w:val="2"/>
            <w:noWrap w:val="0"/>
            <w:vAlign w:val="center"/>
          </w:tcPr>
          <w:p w14:paraId="437E0FB2">
            <w:pPr>
              <w:pageBreakBefore w:val="0"/>
              <w:kinsoku/>
              <w:wordWrap/>
              <w:overflowPunct/>
              <w:topLinePunct w:val="0"/>
              <w:autoSpaceDE w:val="0"/>
              <w:autoSpaceDN w:val="0"/>
              <w:bidi w:val="0"/>
              <w:adjustRightInd/>
              <w:snapToGrid/>
              <w:spacing w:line="400" w:lineRule="exact"/>
              <w:ind w:left="0" w:leftChars="0" w:right="0" w:right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标书雷同性分析文件制作机器码、文件创建标识码有相同的按废标处理。</w:t>
            </w:r>
          </w:p>
        </w:tc>
      </w:tr>
      <w:tr w14:paraId="7EE3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350" w:type="dxa"/>
            <w:gridSpan w:val="2"/>
            <w:noWrap w:val="0"/>
            <w:vAlign w:val="center"/>
          </w:tcPr>
          <w:p w14:paraId="72AE300A">
            <w:pPr>
              <w:autoSpaceDE w:val="0"/>
              <w:autoSpaceDN w:val="0"/>
              <w:adjustRightInd w:val="0"/>
              <w:spacing w:line="360" w:lineRule="atLeast"/>
              <w:jc w:val="center"/>
              <w:rPr>
                <w:rFonts w:hint="eastAsia" w:ascii="宋体" w:hAnsi="宋体" w:eastAsia="宋体" w:cs="宋体"/>
                <w:color w:val="auto"/>
                <w:kern w:val="0"/>
                <w:sz w:val="21"/>
                <w:szCs w:val="21"/>
                <w:highlight w:val="none"/>
                <w:lang w:val="en-US" w:eastAsia="zh-CN"/>
              </w:rPr>
            </w:pPr>
            <w:bookmarkStart w:id="20" w:name="_Toc244934194"/>
            <w:bookmarkStart w:id="21" w:name="_Toc244935163"/>
            <w:bookmarkStart w:id="22" w:name="_Toc19222"/>
            <w:r>
              <w:rPr>
                <w:rFonts w:hint="eastAsia" w:ascii="宋体" w:hAnsi="宋体" w:cs="宋体"/>
                <w:color w:val="auto"/>
                <w:kern w:val="0"/>
                <w:sz w:val="21"/>
                <w:szCs w:val="21"/>
                <w:highlight w:val="none"/>
              </w:rPr>
              <w:t>质疑</w:t>
            </w:r>
          </w:p>
        </w:tc>
        <w:tc>
          <w:tcPr>
            <w:tcW w:w="8519" w:type="dxa"/>
            <w:gridSpan w:val="2"/>
            <w:noWrap w:val="0"/>
            <w:vAlign w:val="center"/>
          </w:tcPr>
          <w:p w14:paraId="20814E48">
            <w:pPr>
              <w:autoSpaceDE w:val="0"/>
              <w:autoSpaceDN w:val="0"/>
              <w:adjustRightInd w:val="0"/>
              <w:spacing w:line="360" w:lineRule="atLeast"/>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rPr>
              <w:t>投标人对采购文件、采购过程、中标或者成交结果的质疑，可以在知道或者应知其权益受到损害之日起7个工作日内，以书面形式一次性向招标人或集中采购机构提出质疑。</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人或采购</w:t>
            </w:r>
            <w:r>
              <w:rPr>
                <w:rFonts w:hint="eastAsia" w:ascii="宋体" w:hAnsi="宋体" w:cs="宋体"/>
                <w:color w:val="auto"/>
                <w:sz w:val="21"/>
                <w:szCs w:val="21"/>
                <w:highlight w:val="none"/>
                <w:lang w:eastAsia="zh-CN"/>
              </w:rPr>
              <w:t>代理</w:t>
            </w:r>
            <w:r>
              <w:rPr>
                <w:rFonts w:hint="eastAsia" w:ascii="宋体" w:hAnsi="宋体" w:cs="宋体"/>
                <w:color w:val="auto"/>
                <w:sz w:val="21"/>
                <w:szCs w:val="21"/>
                <w:highlight w:val="none"/>
              </w:rPr>
              <w:t>机构不接受投标人对同一采购环节的多次质疑。</w:t>
            </w:r>
          </w:p>
        </w:tc>
      </w:tr>
      <w:tr w14:paraId="26D0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1350" w:type="dxa"/>
            <w:gridSpan w:val="2"/>
            <w:noWrap w:val="0"/>
            <w:vAlign w:val="center"/>
          </w:tcPr>
          <w:p w14:paraId="60D2A44E">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代理服务费</w:t>
            </w:r>
          </w:p>
        </w:tc>
        <w:tc>
          <w:tcPr>
            <w:tcW w:w="8519" w:type="dxa"/>
            <w:gridSpan w:val="2"/>
            <w:noWrap w:val="0"/>
            <w:vAlign w:val="center"/>
          </w:tcPr>
          <w:p w14:paraId="485C9259">
            <w:pPr>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1.代理费收费约定：</w:t>
            </w:r>
          </w:p>
          <w:p w14:paraId="44BD7632">
            <w:pPr>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本项目代理费由中标企业支付，供应商报价应当包含该项目代理服务费。</w:t>
            </w:r>
          </w:p>
          <w:p w14:paraId="5CAFFED4">
            <w:pPr>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2.本项目代理服务费按不高于“豫招协〔2023〕002号”规定的收费标准收取，中标人领取中标通知时向采购代理机构一次性付清。本项目中标服务费的收取按差额定率累进法计算，单标段上限不得超过10万元。</w:t>
            </w:r>
          </w:p>
          <w:p w14:paraId="1B842D3F">
            <w:pPr>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3.收费标准：</w:t>
            </w:r>
          </w:p>
          <w:p w14:paraId="0178E9AA">
            <w:pPr>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预算金额的100万（含）以下部分费率为</w:t>
            </w:r>
            <w:r>
              <w:rPr>
                <w:rFonts w:hint="eastAsia" w:ascii="宋体" w:hAnsi="宋体" w:eastAsia="宋体" w:cs="宋体"/>
                <w:color w:val="auto"/>
                <w:kern w:val="0"/>
                <w:sz w:val="21"/>
                <w:szCs w:val="21"/>
                <w:highlight w:val="none"/>
                <w:u w:val="single"/>
                <w:lang w:val="en-US" w:eastAsia="zh-CN"/>
              </w:rPr>
              <w:t xml:space="preserve">  1.7%  </w:t>
            </w:r>
            <w:r>
              <w:rPr>
                <w:rFonts w:hint="eastAsia" w:ascii="宋体" w:hAnsi="宋体" w:eastAsia="宋体" w:cs="宋体"/>
                <w:color w:val="auto"/>
                <w:kern w:val="0"/>
                <w:sz w:val="21"/>
                <w:szCs w:val="21"/>
                <w:highlight w:val="none"/>
                <w:lang w:val="en-US" w:eastAsia="zh-CN"/>
              </w:rPr>
              <w:t>；</w:t>
            </w:r>
          </w:p>
          <w:p w14:paraId="563844FD">
            <w:pPr>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预算金额的100万以上－500万（含）部分费率为</w:t>
            </w:r>
            <w:r>
              <w:rPr>
                <w:rFonts w:hint="eastAsia" w:ascii="宋体" w:hAnsi="宋体" w:eastAsia="宋体" w:cs="宋体"/>
                <w:color w:val="auto"/>
                <w:kern w:val="0"/>
                <w:sz w:val="21"/>
                <w:szCs w:val="21"/>
                <w:highlight w:val="none"/>
                <w:u w:val="single"/>
                <w:lang w:val="en-US" w:eastAsia="zh-CN"/>
              </w:rPr>
              <w:t xml:space="preserve">  1.2%  </w:t>
            </w:r>
            <w:r>
              <w:rPr>
                <w:rFonts w:hint="eastAsia" w:ascii="宋体" w:hAnsi="宋体" w:eastAsia="宋体" w:cs="宋体"/>
                <w:color w:val="auto"/>
                <w:kern w:val="0"/>
                <w:sz w:val="21"/>
                <w:szCs w:val="21"/>
                <w:highlight w:val="none"/>
                <w:lang w:val="en-US" w:eastAsia="zh-CN"/>
              </w:rPr>
              <w:t>。</w:t>
            </w:r>
          </w:p>
        </w:tc>
      </w:tr>
      <w:tr w14:paraId="454D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50" w:type="dxa"/>
            <w:gridSpan w:val="2"/>
            <w:noWrap w:val="0"/>
            <w:vAlign w:val="center"/>
          </w:tcPr>
          <w:p w14:paraId="1F04DCBE">
            <w:pPr>
              <w:autoSpaceDE w:val="0"/>
              <w:autoSpaceDN w:val="0"/>
              <w:adjustRightInd w:val="0"/>
              <w:spacing w:line="36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特别提示</w:t>
            </w:r>
          </w:p>
        </w:tc>
        <w:tc>
          <w:tcPr>
            <w:tcW w:w="8519" w:type="dxa"/>
            <w:gridSpan w:val="2"/>
            <w:noWrap w:val="0"/>
            <w:vAlign w:val="center"/>
          </w:tcPr>
          <w:p w14:paraId="3021DACE">
            <w:pPr>
              <w:autoSpaceDE w:val="0"/>
              <w:autoSpaceDN w:val="0"/>
              <w:adjustRightInd w:val="0"/>
              <w:spacing w:line="360" w:lineRule="atLeas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所有供应商开标后</w:t>
            </w:r>
            <w:r>
              <w:rPr>
                <w:rFonts w:hint="eastAsia" w:ascii="宋体" w:hAnsi="宋体" w:eastAsia="宋体" w:cs="宋体"/>
                <w:color w:val="auto"/>
                <w:sz w:val="21"/>
                <w:szCs w:val="21"/>
                <w:highlight w:val="none"/>
                <w:lang w:val="en-US" w:eastAsia="zh-CN"/>
              </w:rPr>
              <w:t>需提供同电子投标（响应）文件完全一致的纸质版投标（响应）文件</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套</w:t>
            </w:r>
            <w:r>
              <w:rPr>
                <w:rFonts w:hint="eastAsia" w:ascii="宋体" w:hAnsi="宋体" w:eastAsia="宋体" w:cs="宋体"/>
                <w:color w:val="auto"/>
                <w:sz w:val="21"/>
                <w:szCs w:val="21"/>
                <w:highlight w:val="none"/>
              </w:rPr>
              <w:t>。</w:t>
            </w:r>
          </w:p>
        </w:tc>
      </w:tr>
    </w:tbl>
    <w:p w14:paraId="72A8EFFF">
      <w:pPr>
        <w:pStyle w:val="3"/>
        <w:pageBreakBefore w:val="0"/>
        <w:kinsoku/>
        <w:wordWrap/>
        <w:overflowPunct/>
        <w:topLinePunct w:val="0"/>
        <w:bidi w:val="0"/>
        <w:adjustRightInd/>
        <w:snapToGrid/>
        <w:spacing w:after="0" w:afterLines="0"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1.总则</w:t>
      </w:r>
      <w:bookmarkEnd w:id="20"/>
      <w:bookmarkEnd w:id="21"/>
      <w:bookmarkEnd w:id="22"/>
    </w:p>
    <w:p w14:paraId="1A329B90">
      <w:pPr>
        <w:pageBreakBefore w:val="0"/>
        <w:widowControl/>
        <w:numPr>
          <w:ilvl w:val="0"/>
          <w:numId w:val="0"/>
        </w:numPr>
        <w:tabs>
          <w:tab w:val="left" w:pos="350"/>
        </w:tabs>
        <w:kinsoku/>
        <w:wordWrap/>
        <w:overflowPunct/>
        <w:topLinePunct w:val="0"/>
        <w:bidi w:val="0"/>
        <w:adjustRightInd/>
        <w:snapToGrid/>
        <w:spacing w:line="400" w:lineRule="exact"/>
        <w:ind w:left="0" w:leftChars="0" w:right="0" w:rightChars="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1.1项目概况</w:t>
      </w:r>
      <w:r>
        <w:rPr>
          <w:rFonts w:hint="eastAsia" w:ascii="宋体" w:hAnsi="宋体" w:eastAsia="宋体" w:cs="宋体"/>
          <w:b/>
          <w:bCs/>
          <w:color w:val="auto"/>
          <w:sz w:val="21"/>
          <w:szCs w:val="21"/>
          <w:highlight w:val="none"/>
          <w:lang w:val="en-US" w:eastAsia="zh-CN"/>
        </w:rPr>
        <w:tab/>
      </w:r>
    </w:p>
    <w:p w14:paraId="346E247F">
      <w:pPr>
        <w:pageBreakBefore w:val="0"/>
        <w:widowControl/>
        <w:numPr>
          <w:ilvl w:val="0"/>
          <w:numId w:val="0"/>
        </w:numPr>
        <w:tabs>
          <w:tab w:val="left" w:pos="350"/>
        </w:tabs>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1.1.1根据《中华人民共和国政府采购法》等有关法律法规和规章的规定，本招标项目已具备招标条件，现对本项目进行公开招标。</w:t>
      </w:r>
    </w:p>
    <w:p w14:paraId="471138B8">
      <w:pPr>
        <w:pageBreakBefore w:val="0"/>
        <w:widowControl/>
        <w:numPr>
          <w:ilvl w:val="0"/>
          <w:numId w:val="0"/>
        </w:numPr>
        <w:tabs>
          <w:tab w:val="left" w:pos="350"/>
        </w:tabs>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1.1.2采购人：见</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须知前附表。</w:t>
      </w:r>
    </w:p>
    <w:p w14:paraId="45B1EB56">
      <w:pPr>
        <w:pageBreakBefore w:val="0"/>
        <w:widowControl/>
        <w:numPr>
          <w:ilvl w:val="0"/>
          <w:numId w:val="0"/>
        </w:numPr>
        <w:tabs>
          <w:tab w:val="left" w:pos="350"/>
        </w:tabs>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1.1.3采购代理机构：见</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须知前附表。</w:t>
      </w:r>
    </w:p>
    <w:p w14:paraId="2765CF08">
      <w:pPr>
        <w:pageBreakBefore w:val="0"/>
        <w:widowControl/>
        <w:numPr>
          <w:ilvl w:val="0"/>
          <w:numId w:val="0"/>
        </w:numPr>
        <w:tabs>
          <w:tab w:val="left" w:pos="350"/>
        </w:tabs>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1.1.4项目名称：见</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须知前附表。</w:t>
      </w:r>
    </w:p>
    <w:p w14:paraId="075189D0">
      <w:pPr>
        <w:pageBreakBefore w:val="0"/>
        <w:widowControl/>
        <w:numPr>
          <w:ilvl w:val="0"/>
          <w:numId w:val="0"/>
        </w:numPr>
        <w:tabs>
          <w:tab w:val="left" w:pos="350"/>
        </w:tabs>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1.1.5招标方式：见</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须知前附表。</w:t>
      </w:r>
    </w:p>
    <w:p w14:paraId="731F0B8C">
      <w:pPr>
        <w:pageBreakBefore w:val="0"/>
        <w:widowControl/>
        <w:numPr>
          <w:ilvl w:val="0"/>
          <w:numId w:val="0"/>
        </w:numPr>
        <w:tabs>
          <w:tab w:val="left" w:pos="350"/>
        </w:tabs>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1.1.6预算价（</w:t>
      </w:r>
      <w:r>
        <w:rPr>
          <w:rFonts w:hint="eastAsia" w:ascii="宋体" w:hAnsi="宋体" w:cs="宋体"/>
          <w:color w:val="auto"/>
          <w:sz w:val="21"/>
          <w:szCs w:val="21"/>
          <w:highlight w:val="none"/>
          <w:lang w:val="en-US" w:eastAsia="zh-CN"/>
        </w:rPr>
        <w:t>最高</w:t>
      </w:r>
      <w:r>
        <w:rPr>
          <w:rFonts w:hint="eastAsia" w:ascii="宋体" w:hAnsi="宋体" w:eastAsia="宋体" w:cs="宋体"/>
          <w:color w:val="auto"/>
          <w:sz w:val="21"/>
          <w:szCs w:val="21"/>
          <w:highlight w:val="none"/>
          <w:lang w:val="en-US" w:eastAsia="zh-CN"/>
        </w:rPr>
        <w:t>限价）：见</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须知前附表。</w:t>
      </w:r>
    </w:p>
    <w:p w14:paraId="695555D8">
      <w:pPr>
        <w:pageBreakBefore w:val="0"/>
        <w:widowControl/>
        <w:numPr>
          <w:ilvl w:val="0"/>
          <w:numId w:val="0"/>
        </w:numPr>
        <w:tabs>
          <w:tab w:val="left" w:pos="350"/>
        </w:tabs>
        <w:kinsoku/>
        <w:wordWrap/>
        <w:overflowPunct/>
        <w:topLinePunct w:val="0"/>
        <w:bidi w:val="0"/>
        <w:adjustRightInd/>
        <w:snapToGrid/>
        <w:spacing w:line="400" w:lineRule="exact"/>
        <w:ind w:left="0" w:leftChars="0" w:right="0" w:rightChars="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1.2资金来源和出资比例</w:t>
      </w:r>
    </w:p>
    <w:p w14:paraId="3CFEDD8F">
      <w:pPr>
        <w:pageBreakBefore w:val="0"/>
        <w:widowControl/>
        <w:numPr>
          <w:ilvl w:val="0"/>
          <w:numId w:val="0"/>
        </w:numPr>
        <w:tabs>
          <w:tab w:val="left" w:pos="350"/>
        </w:tabs>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1.2.1资金来源：见</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须知前附表。</w:t>
      </w:r>
    </w:p>
    <w:p w14:paraId="02CED1B3">
      <w:pPr>
        <w:pageBreakBefore w:val="0"/>
        <w:widowControl/>
        <w:numPr>
          <w:ilvl w:val="0"/>
          <w:numId w:val="0"/>
        </w:numPr>
        <w:tabs>
          <w:tab w:val="left" w:pos="350"/>
        </w:tabs>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1.2.2出资比例：见</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须知前附表。</w:t>
      </w:r>
    </w:p>
    <w:p w14:paraId="3F1FCFD2">
      <w:pPr>
        <w:pageBreakBefore w:val="0"/>
        <w:widowControl/>
        <w:numPr>
          <w:ilvl w:val="0"/>
          <w:numId w:val="0"/>
        </w:numPr>
        <w:tabs>
          <w:tab w:val="left" w:pos="350"/>
        </w:tabs>
        <w:kinsoku/>
        <w:wordWrap/>
        <w:overflowPunct/>
        <w:topLinePunct w:val="0"/>
        <w:bidi w:val="0"/>
        <w:adjustRightInd/>
        <w:snapToGrid/>
        <w:spacing w:line="400" w:lineRule="exact"/>
        <w:ind w:left="0" w:leftChars="0" w:right="0" w:rightChars="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1.3采购内容、</w:t>
      </w:r>
      <w:r>
        <w:rPr>
          <w:rFonts w:hint="eastAsia" w:ascii="宋体" w:hAnsi="宋体" w:cs="宋体"/>
          <w:b/>
          <w:bCs/>
          <w:color w:val="auto"/>
          <w:sz w:val="21"/>
          <w:szCs w:val="21"/>
          <w:highlight w:val="none"/>
          <w:lang w:val="en-US" w:eastAsia="zh-CN"/>
        </w:rPr>
        <w:t>质量要求</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服务期限</w:t>
      </w:r>
    </w:p>
    <w:p w14:paraId="3C9A84B4">
      <w:pPr>
        <w:pageBreakBefore w:val="0"/>
        <w:widowControl/>
        <w:numPr>
          <w:ilvl w:val="0"/>
          <w:numId w:val="0"/>
        </w:numPr>
        <w:tabs>
          <w:tab w:val="left" w:pos="350"/>
        </w:tabs>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1.3.1采购内容：见</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须知前附表。</w:t>
      </w:r>
    </w:p>
    <w:p w14:paraId="63F945D8">
      <w:pPr>
        <w:pageBreakBefore w:val="0"/>
        <w:widowControl/>
        <w:numPr>
          <w:ilvl w:val="0"/>
          <w:numId w:val="0"/>
        </w:numPr>
        <w:tabs>
          <w:tab w:val="left" w:pos="350"/>
        </w:tabs>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1.3.2</w:t>
      </w:r>
      <w:r>
        <w:rPr>
          <w:rFonts w:hint="eastAsia" w:ascii="宋体" w:hAnsi="宋体" w:cs="宋体"/>
          <w:b w:val="0"/>
          <w:bCs w:val="0"/>
          <w:color w:val="auto"/>
          <w:kern w:val="0"/>
          <w:sz w:val="21"/>
          <w:szCs w:val="21"/>
          <w:highlight w:val="none"/>
          <w:lang w:eastAsia="zh-CN"/>
        </w:rPr>
        <w:t>质量要求</w:t>
      </w:r>
      <w:r>
        <w:rPr>
          <w:rFonts w:hint="eastAsia" w:ascii="宋体" w:hAnsi="宋体" w:eastAsia="宋体" w:cs="宋体"/>
          <w:color w:val="auto"/>
          <w:sz w:val="21"/>
          <w:szCs w:val="21"/>
          <w:highlight w:val="none"/>
          <w:lang w:val="en-US" w:eastAsia="zh-CN"/>
        </w:rPr>
        <w:t>：见</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须知前附表。</w:t>
      </w:r>
    </w:p>
    <w:p w14:paraId="7E5E2B64">
      <w:pPr>
        <w:pageBreakBefore w:val="0"/>
        <w:widowControl/>
        <w:numPr>
          <w:ilvl w:val="0"/>
          <w:numId w:val="0"/>
        </w:numPr>
        <w:tabs>
          <w:tab w:val="left" w:pos="350"/>
        </w:tabs>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1.3.3</w:t>
      </w:r>
      <w:r>
        <w:rPr>
          <w:rFonts w:hint="eastAsia" w:ascii="宋体" w:hAnsi="宋体" w:cs="宋体"/>
          <w:color w:val="auto"/>
          <w:sz w:val="21"/>
          <w:szCs w:val="21"/>
          <w:highlight w:val="none"/>
          <w:lang w:val="en-US" w:eastAsia="zh-CN"/>
        </w:rPr>
        <w:t>服务期限</w:t>
      </w:r>
      <w:r>
        <w:rPr>
          <w:rFonts w:hint="eastAsia" w:ascii="宋体" w:hAnsi="宋体" w:eastAsia="宋体" w:cs="宋体"/>
          <w:color w:val="auto"/>
          <w:sz w:val="21"/>
          <w:szCs w:val="21"/>
          <w:highlight w:val="none"/>
          <w:lang w:val="en-US" w:eastAsia="zh-CN"/>
        </w:rPr>
        <w:t>：见</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须知前附表。</w:t>
      </w:r>
    </w:p>
    <w:p w14:paraId="3E6F90C8">
      <w:pPr>
        <w:pageBreakBefore w:val="0"/>
        <w:widowControl/>
        <w:numPr>
          <w:ilvl w:val="0"/>
          <w:numId w:val="0"/>
        </w:numPr>
        <w:kinsoku/>
        <w:wordWrap/>
        <w:overflowPunct/>
        <w:topLinePunct w:val="0"/>
        <w:bidi w:val="0"/>
        <w:adjustRightInd/>
        <w:snapToGrid/>
        <w:spacing w:line="400" w:lineRule="exact"/>
        <w:ind w:left="0" w:leftChars="0" w:right="0" w:righ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1.4</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 xml:space="preserve">资格要求 </w:t>
      </w:r>
    </w:p>
    <w:p w14:paraId="76BA757E">
      <w:pPr>
        <w:pageBreakBefore w:val="0"/>
        <w:widowControl/>
        <w:numPr>
          <w:ilvl w:val="0"/>
          <w:numId w:val="0"/>
        </w:numPr>
        <w:tabs>
          <w:tab w:val="left" w:pos="350"/>
        </w:tabs>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1.4.1</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资格要求：见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47CD0ABF">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合格的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不应有违法行为，在近三年内无不良经营行为。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如果在本次招标投标活动中，被有关管理部门认定有违法行为，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有权拒绝其投标、取消其中标资格。</w:t>
      </w:r>
    </w:p>
    <w:p w14:paraId="0A9648A3">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1.4.3 </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不得存在下列情形：</w:t>
      </w:r>
    </w:p>
    <w:p w14:paraId="18035B51">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不具有独立法人资格的附属机构（单位）；</w:t>
      </w:r>
    </w:p>
    <w:p w14:paraId="680AE328">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（2）被责令停业的；</w:t>
      </w:r>
    </w:p>
    <w:p w14:paraId="7AF76434">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（3）被暂停或取消投标资格的；</w:t>
      </w:r>
    </w:p>
    <w:p w14:paraId="438F6087">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（4）财产被接管或冻结的；</w:t>
      </w:r>
    </w:p>
    <w:p w14:paraId="214FBA14">
      <w:pPr>
        <w:pageBreakBefore w:val="0"/>
        <w:widowControl/>
        <w:tabs>
          <w:tab w:val="left" w:pos="0"/>
        </w:tabs>
        <w:kinsoku/>
        <w:wordWrap/>
        <w:overflowPunct/>
        <w:topLinePunct w:val="0"/>
        <w:bidi w:val="0"/>
        <w:adjustRightInd/>
        <w:snapToGrid/>
        <w:spacing w:line="400" w:lineRule="exact"/>
        <w:ind w:left="0" w:leftChars="0" w:right="0" w:rightChars="0" w:firstLine="422" w:firstLineChars="200"/>
        <w:jc w:val="left"/>
        <w:textAlignment w:val="auto"/>
        <w:rPr>
          <w:rFonts w:hint="eastAsia" w:ascii="宋体" w:hAnsi="宋体" w:eastAsia="宋体" w:cs="宋体"/>
          <w:b/>
          <w:color w:val="auto"/>
          <w:sz w:val="21"/>
          <w:szCs w:val="21"/>
          <w:highlight w:val="none"/>
        </w:rPr>
      </w:pPr>
      <w:bookmarkStart w:id="23" w:name="_Toc297211670"/>
      <w:r>
        <w:rPr>
          <w:rFonts w:hint="eastAsia" w:ascii="宋体" w:hAnsi="宋体" w:eastAsia="宋体" w:cs="宋体"/>
          <w:b/>
          <w:color w:val="auto"/>
          <w:sz w:val="21"/>
          <w:szCs w:val="21"/>
          <w:highlight w:val="none"/>
        </w:rPr>
        <w:t>1.5 付款方式</w:t>
      </w:r>
      <w:bookmarkEnd w:id="23"/>
    </w:p>
    <w:p w14:paraId="219BCB29">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01AFD0DF">
      <w:pPr>
        <w:pageBreakBefore w:val="0"/>
        <w:widowControl/>
        <w:numPr>
          <w:ilvl w:val="1"/>
          <w:numId w:val="2"/>
        </w:numPr>
        <w:kinsoku/>
        <w:wordWrap/>
        <w:overflowPunct/>
        <w:topLinePunct w:val="0"/>
        <w:bidi w:val="0"/>
        <w:adjustRightInd/>
        <w:snapToGrid/>
        <w:spacing w:line="400" w:lineRule="exact"/>
        <w:ind w:left="0" w:leftChars="0" w:right="0" w:righ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费用承担</w:t>
      </w:r>
    </w:p>
    <w:p w14:paraId="5A8B8B51">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准备和参加投标活动发生的费用自理。</w:t>
      </w:r>
    </w:p>
    <w:p w14:paraId="17FEC0D8">
      <w:pPr>
        <w:pageBreakBefore w:val="0"/>
        <w:widowControl/>
        <w:numPr>
          <w:ilvl w:val="1"/>
          <w:numId w:val="2"/>
        </w:numPr>
        <w:kinsoku/>
        <w:wordWrap/>
        <w:overflowPunct/>
        <w:topLinePunct w:val="0"/>
        <w:bidi w:val="0"/>
        <w:adjustRightInd/>
        <w:snapToGrid/>
        <w:spacing w:line="400" w:lineRule="exact"/>
        <w:ind w:left="0" w:leftChars="0" w:right="0" w:righ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保密</w:t>
      </w:r>
    </w:p>
    <w:p w14:paraId="4A151A48">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参与招标投标活动的各方应对招标文件和投标文件中的商业和技术等秘密保密，违者应对由此造成的后果承担法律责任。</w:t>
      </w:r>
    </w:p>
    <w:p w14:paraId="5797E975">
      <w:pPr>
        <w:pageBreakBefore w:val="0"/>
        <w:widowControl/>
        <w:numPr>
          <w:ilvl w:val="1"/>
          <w:numId w:val="2"/>
        </w:numPr>
        <w:kinsoku/>
        <w:wordWrap/>
        <w:overflowPunct/>
        <w:topLinePunct w:val="0"/>
        <w:bidi w:val="0"/>
        <w:adjustRightInd/>
        <w:snapToGrid/>
        <w:spacing w:line="400" w:lineRule="exact"/>
        <w:ind w:left="0" w:leftChars="0" w:right="0" w:righ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语言文字</w:t>
      </w:r>
    </w:p>
    <w:p w14:paraId="07C58435">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除专用术语外，与招标投标有关的语言均使用中文。必要时专用术语应附有中文注释。</w:t>
      </w:r>
    </w:p>
    <w:p w14:paraId="071529FD">
      <w:pPr>
        <w:pageBreakBefore w:val="0"/>
        <w:widowControl/>
        <w:numPr>
          <w:ilvl w:val="1"/>
          <w:numId w:val="2"/>
        </w:numPr>
        <w:kinsoku/>
        <w:wordWrap/>
        <w:overflowPunct/>
        <w:topLinePunct w:val="0"/>
        <w:bidi w:val="0"/>
        <w:adjustRightInd/>
        <w:snapToGrid/>
        <w:spacing w:line="400" w:lineRule="exact"/>
        <w:ind w:left="0" w:leftChars="0" w:right="0" w:righ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计量单位</w:t>
      </w:r>
    </w:p>
    <w:p w14:paraId="4EC58029">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14:paraId="7883FD57">
      <w:pPr>
        <w:pStyle w:val="3"/>
        <w:pageBreakBefore w:val="0"/>
        <w:kinsoku/>
        <w:wordWrap/>
        <w:overflowPunct/>
        <w:topLinePunct w:val="0"/>
        <w:bidi w:val="0"/>
        <w:adjustRightInd/>
        <w:snapToGrid/>
        <w:spacing w:after="0" w:afterLines="0" w:line="40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24" w:name="_Toc244935164"/>
      <w:bookmarkStart w:id="25" w:name="_Toc244934195"/>
      <w:bookmarkStart w:id="26" w:name="_Toc24501"/>
      <w:bookmarkStart w:id="27" w:name="_Toc191983616"/>
      <w:bookmarkStart w:id="28" w:name="_Toc234213529"/>
      <w:r>
        <w:rPr>
          <w:rFonts w:hint="eastAsia" w:ascii="宋体" w:hAnsi="宋体" w:eastAsia="宋体" w:cs="宋体"/>
          <w:color w:val="auto"/>
          <w:sz w:val="21"/>
          <w:szCs w:val="21"/>
          <w:highlight w:val="none"/>
        </w:rPr>
        <w:t>2. 招标文件</w:t>
      </w:r>
      <w:bookmarkEnd w:id="24"/>
      <w:bookmarkEnd w:id="25"/>
      <w:bookmarkEnd w:id="26"/>
      <w:bookmarkEnd w:id="27"/>
      <w:bookmarkEnd w:id="28"/>
    </w:p>
    <w:p w14:paraId="599BE6C0">
      <w:pPr>
        <w:pageBreakBefore w:val="0"/>
        <w:kinsoku/>
        <w:wordWrap/>
        <w:overflowPunct/>
        <w:topLinePunct w:val="0"/>
        <w:bidi w:val="0"/>
        <w:adjustRightInd/>
        <w:snapToGrid/>
        <w:spacing w:line="400" w:lineRule="exact"/>
        <w:ind w:left="0" w:leftChars="0" w:right="0" w:rightChars="0" w:firstLine="422" w:firstLineChars="200"/>
        <w:textAlignment w:val="auto"/>
        <w:rPr>
          <w:rFonts w:hint="eastAsia" w:ascii="宋体" w:hAnsi="宋体" w:eastAsia="宋体" w:cs="宋体"/>
          <w:b/>
          <w:color w:val="auto"/>
          <w:sz w:val="21"/>
          <w:szCs w:val="21"/>
          <w:highlight w:val="none"/>
        </w:rPr>
      </w:pPr>
      <w:bookmarkStart w:id="29" w:name="_Toc297211672"/>
      <w:r>
        <w:rPr>
          <w:rFonts w:hint="eastAsia" w:ascii="宋体" w:hAnsi="宋体" w:eastAsia="宋体" w:cs="宋体"/>
          <w:b/>
          <w:color w:val="auto"/>
          <w:sz w:val="21"/>
          <w:szCs w:val="21"/>
          <w:highlight w:val="none"/>
        </w:rPr>
        <w:t>2.1 招标文件的组成</w:t>
      </w:r>
      <w:bookmarkEnd w:id="29"/>
    </w:p>
    <w:p w14:paraId="271E4E42">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本招标文件包括：</w:t>
      </w:r>
    </w:p>
    <w:p w14:paraId="45965066">
      <w:pPr>
        <w:pageBreakBefore w:val="0"/>
        <w:widowControl/>
        <w:numPr>
          <w:ilvl w:val="0"/>
          <w:numId w:val="3"/>
        </w:numPr>
        <w:tabs>
          <w:tab w:val="left" w:pos="525"/>
          <w:tab w:val="clear" w:pos="420"/>
        </w:tabs>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招标公告；</w:t>
      </w:r>
    </w:p>
    <w:p w14:paraId="42FA28EB">
      <w:pPr>
        <w:pageBreakBefore w:val="0"/>
        <w:widowControl/>
        <w:numPr>
          <w:ilvl w:val="0"/>
          <w:numId w:val="3"/>
        </w:numPr>
        <w:tabs>
          <w:tab w:val="left" w:pos="525"/>
          <w:tab w:val="clear" w:pos="420"/>
        </w:tabs>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w:t>
      </w:r>
    </w:p>
    <w:p w14:paraId="1C18870F">
      <w:pPr>
        <w:pageBreakBefore w:val="0"/>
        <w:widowControl/>
        <w:numPr>
          <w:ilvl w:val="0"/>
          <w:numId w:val="3"/>
        </w:numPr>
        <w:tabs>
          <w:tab w:val="left" w:pos="525"/>
          <w:tab w:val="clear" w:pos="420"/>
        </w:tabs>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p w14:paraId="1F625E3D">
      <w:pPr>
        <w:pageBreakBefore w:val="0"/>
        <w:widowControl/>
        <w:numPr>
          <w:ilvl w:val="0"/>
          <w:numId w:val="3"/>
        </w:numPr>
        <w:tabs>
          <w:tab w:val="left" w:pos="525"/>
          <w:tab w:val="clear" w:pos="420"/>
        </w:tabs>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合同主要条款及格式；</w:t>
      </w:r>
    </w:p>
    <w:p w14:paraId="54F1C011">
      <w:pPr>
        <w:pageBreakBefore w:val="0"/>
        <w:widowControl/>
        <w:numPr>
          <w:ilvl w:val="0"/>
          <w:numId w:val="3"/>
        </w:numPr>
        <w:tabs>
          <w:tab w:val="left" w:pos="525"/>
          <w:tab w:val="clear" w:pos="420"/>
        </w:tabs>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服务内容与要求</w:t>
      </w:r>
      <w:r>
        <w:rPr>
          <w:rFonts w:hint="eastAsia" w:ascii="宋体" w:hAnsi="宋体" w:eastAsia="宋体" w:cs="宋体"/>
          <w:color w:val="auto"/>
          <w:sz w:val="21"/>
          <w:szCs w:val="21"/>
          <w:highlight w:val="none"/>
        </w:rPr>
        <w:t>；</w:t>
      </w:r>
    </w:p>
    <w:p w14:paraId="3FB76F20">
      <w:pPr>
        <w:pageBreakBefore w:val="0"/>
        <w:widowControl/>
        <w:numPr>
          <w:ilvl w:val="0"/>
          <w:numId w:val="3"/>
        </w:numPr>
        <w:tabs>
          <w:tab w:val="left" w:pos="525"/>
          <w:tab w:val="clear" w:pos="420"/>
        </w:tabs>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p w14:paraId="01ECAD54">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 2.2.1款和第 2.2.2 款对招标文件所</w:t>
      </w:r>
      <w:r>
        <w:rPr>
          <w:rFonts w:hint="eastAsia" w:ascii="宋体" w:hAnsi="宋体" w:cs="宋体"/>
          <w:color w:val="auto"/>
          <w:sz w:val="21"/>
          <w:szCs w:val="21"/>
          <w:highlight w:val="none"/>
          <w:lang w:eastAsia="zh-CN"/>
        </w:rPr>
        <w:t>做</w:t>
      </w:r>
      <w:r>
        <w:rPr>
          <w:rFonts w:hint="eastAsia" w:ascii="宋体" w:hAnsi="宋体" w:eastAsia="宋体" w:cs="宋体"/>
          <w:color w:val="auto"/>
          <w:sz w:val="21"/>
          <w:szCs w:val="21"/>
          <w:highlight w:val="none"/>
        </w:rPr>
        <w:t>的澄清、修改，构成招标文件的组成部分。</w:t>
      </w:r>
    </w:p>
    <w:p w14:paraId="0BAEC559">
      <w:pPr>
        <w:pageBreakBefore w:val="0"/>
        <w:kinsoku/>
        <w:wordWrap/>
        <w:overflowPunct/>
        <w:topLinePunct w:val="0"/>
        <w:bidi w:val="0"/>
        <w:adjustRightInd/>
        <w:snapToGrid/>
        <w:spacing w:line="400" w:lineRule="exact"/>
        <w:ind w:left="0" w:leftChars="0" w:right="0" w:rightChars="0" w:firstLine="422" w:firstLineChars="200"/>
        <w:textAlignment w:val="auto"/>
        <w:rPr>
          <w:rFonts w:hint="eastAsia" w:ascii="宋体" w:hAnsi="宋体" w:eastAsia="宋体" w:cs="宋体"/>
          <w:b/>
          <w:bCs w:val="0"/>
          <w:color w:val="auto"/>
          <w:sz w:val="21"/>
          <w:szCs w:val="21"/>
          <w:highlight w:val="none"/>
        </w:rPr>
      </w:pPr>
      <w:bookmarkStart w:id="30" w:name="_Toc472337642"/>
      <w:bookmarkStart w:id="31" w:name="_Toc472429287"/>
      <w:bookmarkStart w:id="32" w:name="_Toc30722"/>
      <w:r>
        <w:rPr>
          <w:rFonts w:hint="eastAsia" w:ascii="宋体" w:hAnsi="宋体" w:eastAsia="宋体" w:cs="宋体"/>
          <w:b/>
          <w:bCs w:val="0"/>
          <w:color w:val="auto"/>
          <w:sz w:val="21"/>
          <w:szCs w:val="21"/>
          <w:highlight w:val="none"/>
        </w:rPr>
        <w:t>2.2  招标文件的澄清</w:t>
      </w:r>
      <w:bookmarkEnd w:id="30"/>
      <w:bookmarkEnd w:id="31"/>
    </w:p>
    <w:p w14:paraId="3CC14593">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2.2.1</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应仔细阅读和检查招标文件的全部内容。如发现缺页或附件不全，应及时向采购人提出，以便补齐。如有疑问，应在投标须知前附表规定的时间前以书面形式</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包括信函、电报、传真等可以有形地表现所载内容的形式，下同</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，要求采购人对招标文件予以澄清。</w:t>
      </w:r>
    </w:p>
    <w:p w14:paraId="4AE3E0E3">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2.2.2 招标文件的澄清将在投标须知前附表规定的投标截止时间15天前在</w:t>
      </w:r>
      <w:r>
        <w:rPr>
          <w:rFonts w:hint="eastAsia" w:ascii="宋体" w:hAnsi="宋体" w:cs="宋体"/>
          <w:bCs/>
          <w:color w:val="auto"/>
          <w:sz w:val="21"/>
          <w:szCs w:val="21"/>
          <w:highlight w:val="none"/>
          <w:lang w:eastAsia="zh-CN"/>
        </w:rPr>
        <w:t>信阳</w:t>
      </w:r>
      <w:r>
        <w:rPr>
          <w:rFonts w:hint="eastAsia" w:ascii="宋体" w:hAnsi="宋体" w:eastAsia="宋体" w:cs="宋体"/>
          <w:bCs/>
          <w:color w:val="auto"/>
          <w:sz w:val="21"/>
          <w:szCs w:val="21"/>
          <w:highlight w:val="none"/>
        </w:rPr>
        <w:t>公共资源交易系统“变更公告”或“答疑文件”将澄清内容予以发布，但不指明澄清问题的来源。如果澄清发出的时间距投标截止时间不足15天的，并且澄清的内容可能影响投标文件编制的，将相应延长投标截止时间。</w:t>
      </w:r>
    </w:p>
    <w:p w14:paraId="0E0ECB14">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2.2.3 </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应在投标文件递交截止时间前及时查看澄清内容，因</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未及时查看而造成的后果自负。</w:t>
      </w:r>
    </w:p>
    <w:p w14:paraId="6C3CC64F">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2.2.4 除非采购人认为确有必要答复，否则，采购人有权拒绝回复</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在本章第2.2.1项规定的时间后的任何澄清要求。</w:t>
      </w:r>
    </w:p>
    <w:p w14:paraId="57DE0091">
      <w:pPr>
        <w:pageBreakBefore w:val="0"/>
        <w:kinsoku/>
        <w:wordWrap/>
        <w:overflowPunct/>
        <w:topLinePunct w:val="0"/>
        <w:bidi w:val="0"/>
        <w:adjustRightInd/>
        <w:snapToGrid/>
        <w:spacing w:line="400" w:lineRule="exact"/>
        <w:ind w:left="0" w:leftChars="0" w:right="0" w:rightChars="0" w:firstLine="422" w:firstLineChars="200"/>
        <w:textAlignment w:val="auto"/>
        <w:rPr>
          <w:rFonts w:hint="eastAsia" w:ascii="宋体" w:hAnsi="宋体" w:eastAsia="宋体" w:cs="宋体"/>
          <w:b/>
          <w:bCs w:val="0"/>
          <w:color w:val="auto"/>
          <w:sz w:val="21"/>
          <w:szCs w:val="21"/>
          <w:highlight w:val="none"/>
        </w:rPr>
      </w:pPr>
      <w:bookmarkStart w:id="33" w:name="_Toc472429288"/>
      <w:bookmarkStart w:id="34" w:name="_Toc472337643"/>
      <w:r>
        <w:rPr>
          <w:rFonts w:hint="eastAsia" w:ascii="宋体" w:hAnsi="宋体" w:eastAsia="宋体" w:cs="宋体"/>
          <w:b/>
          <w:bCs w:val="0"/>
          <w:color w:val="auto"/>
          <w:sz w:val="21"/>
          <w:szCs w:val="21"/>
          <w:highlight w:val="none"/>
        </w:rPr>
        <w:t>2.3  招标文件的修改</w:t>
      </w:r>
      <w:bookmarkEnd w:id="33"/>
      <w:bookmarkEnd w:id="34"/>
    </w:p>
    <w:p w14:paraId="69BD6A43">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2.3.1在投标截止时间15天前，</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可以修改招标文件。如有修改，应在</w:t>
      </w:r>
      <w:r>
        <w:rPr>
          <w:rFonts w:hint="eastAsia" w:ascii="宋体" w:hAnsi="宋体" w:cs="宋体"/>
          <w:bCs/>
          <w:color w:val="auto"/>
          <w:sz w:val="21"/>
          <w:szCs w:val="21"/>
          <w:highlight w:val="none"/>
          <w:lang w:eastAsia="zh-CN"/>
        </w:rPr>
        <w:t>信阳</w:t>
      </w:r>
      <w:r>
        <w:rPr>
          <w:rFonts w:hint="eastAsia" w:ascii="宋体" w:hAnsi="宋体" w:eastAsia="宋体" w:cs="宋体"/>
          <w:bCs/>
          <w:color w:val="auto"/>
          <w:sz w:val="21"/>
          <w:szCs w:val="21"/>
          <w:highlight w:val="none"/>
        </w:rPr>
        <w:t>公共资源交易系统“变更公告”或“答疑文件”将修改内容予以发布。如果修改的内容可能影响投标文件编制且发出的时间距投标截止时间不足15天，相应延长投标截止时间。</w:t>
      </w:r>
    </w:p>
    <w:p w14:paraId="7197F33E">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2.3.2当招标文件的澄清、修改、补充等在同一内容的表述上不一致时，以最后在</w:t>
      </w:r>
      <w:r>
        <w:rPr>
          <w:rFonts w:hint="eastAsia" w:ascii="宋体" w:hAnsi="宋体" w:cs="宋体"/>
          <w:bCs/>
          <w:color w:val="auto"/>
          <w:sz w:val="21"/>
          <w:szCs w:val="21"/>
          <w:highlight w:val="none"/>
          <w:lang w:eastAsia="zh-CN"/>
        </w:rPr>
        <w:t>信阳</w:t>
      </w:r>
      <w:r>
        <w:rPr>
          <w:rFonts w:hint="eastAsia" w:ascii="宋体" w:hAnsi="宋体" w:eastAsia="宋体" w:cs="宋体"/>
          <w:bCs/>
          <w:color w:val="auto"/>
          <w:sz w:val="21"/>
          <w:szCs w:val="21"/>
          <w:highlight w:val="none"/>
        </w:rPr>
        <w:t>公共资源交易系统发出的文件为准。</w:t>
      </w:r>
    </w:p>
    <w:p w14:paraId="441A63CC">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2.3.3</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应在投标文件递交截止时间前及时查看修改内容，因</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未及时查看而造成的后果自负。</w:t>
      </w:r>
    </w:p>
    <w:p w14:paraId="3D7E7F35">
      <w:pPr>
        <w:pStyle w:val="3"/>
        <w:pageBreakBefore w:val="0"/>
        <w:kinsoku/>
        <w:wordWrap/>
        <w:overflowPunct/>
        <w:topLinePunct w:val="0"/>
        <w:bidi w:val="0"/>
        <w:adjustRightInd/>
        <w:snapToGrid/>
        <w:spacing w:after="0" w:afterLines="0" w:line="400" w:lineRule="exact"/>
        <w:ind w:left="0" w:leftChars="0" w:right="0" w:righ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投标文件</w:t>
      </w:r>
      <w:bookmarkEnd w:id="32"/>
    </w:p>
    <w:p w14:paraId="118F8A0E">
      <w:pPr>
        <w:pageBreakBefore w:val="0"/>
        <w:kinsoku/>
        <w:wordWrap/>
        <w:overflowPunct/>
        <w:topLinePunct w:val="0"/>
        <w:bidi w:val="0"/>
        <w:adjustRightInd/>
        <w:snapToGrid/>
        <w:spacing w:line="400" w:lineRule="exact"/>
        <w:ind w:left="0" w:leftChars="0" w:right="0" w:rightChars="0"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3.1投标文件的组成</w:t>
      </w:r>
    </w:p>
    <w:p w14:paraId="617B2439">
      <w:pPr>
        <w:pageBreakBefore w:val="0"/>
        <w:numPr>
          <w:ilvl w:val="0"/>
          <w:numId w:val="0"/>
        </w:numPr>
        <w:kinsoku/>
        <w:wordWrap/>
        <w:overflowPunct/>
        <w:topLinePunct w:val="0"/>
        <w:bidi w:val="0"/>
        <w:adjustRightInd/>
        <w:snapToGrid/>
        <w:spacing w:line="400" w:lineRule="exact"/>
        <w:ind w:leftChars="0" w:right="0" w:rightChars="0" w:firstLine="630" w:firstLineChars="300"/>
        <w:textAlignment w:val="auto"/>
        <w:rPr>
          <w:rFonts w:hint="eastAsia" w:ascii="宋体" w:hAnsi="宋体" w:eastAsia="宋体" w:cs="宋体"/>
          <w:b w:val="0"/>
          <w:bCs/>
          <w:color w:val="auto"/>
          <w:sz w:val="21"/>
          <w:szCs w:val="21"/>
          <w:highlight w:val="none"/>
          <w:lang w:val="en-US" w:eastAsia="zh-CN"/>
        </w:rPr>
      </w:pPr>
      <w:bookmarkStart w:id="35" w:name="_Toc297211674"/>
      <w:r>
        <w:rPr>
          <w:rFonts w:hint="eastAsia" w:ascii="宋体" w:hAnsi="宋体" w:eastAsia="宋体" w:cs="宋体"/>
          <w:b w:val="0"/>
          <w:bCs/>
          <w:color w:val="auto"/>
          <w:sz w:val="21"/>
          <w:szCs w:val="21"/>
          <w:highlight w:val="none"/>
          <w:lang w:val="en-US" w:eastAsia="zh-CN"/>
        </w:rPr>
        <w:t>详见投标文件格式</w:t>
      </w:r>
    </w:p>
    <w:p w14:paraId="0DBA7195">
      <w:pPr>
        <w:pageBreakBefore w:val="0"/>
        <w:numPr>
          <w:ilvl w:val="0"/>
          <w:numId w:val="0"/>
        </w:numPr>
        <w:kinsoku/>
        <w:wordWrap/>
        <w:overflowPunct/>
        <w:topLinePunct w:val="0"/>
        <w:bidi w:val="0"/>
        <w:adjustRightInd/>
        <w:snapToGrid/>
        <w:spacing w:line="400" w:lineRule="exact"/>
        <w:ind w:leftChars="0" w:right="0" w:rightChars="0"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3.2 投标报价</w:t>
      </w:r>
      <w:bookmarkEnd w:id="35"/>
    </w:p>
    <w:p w14:paraId="7A385101">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3.2.1</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应按招标文件、招标文件澄清（答疑）纪要、招标文件修改补充通知及相关技术要求进行报价。</w:t>
      </w:r>
    </w:p>
    <w:p w14:paraId="0AD6F8D2">
      <w:pPr>
        <w:pageBreakBefore w:val="0"/>
        <w:widowControl/>
        <w:kinsoku/>
        <w:wordWrap/>
        <w:overflowPunct/>
        <w:topLinePunct w:val="0"/>
        <w:bidi w:val="0"/>
        <w:adjustRightInd/>
        <w:snapToGrid/>
        <w:spacing w:line="400" w:lineRule="exact"/>
        <w:ind w:left="0" w:leftChars="0" w:right="0" w:rightChars="0" w:firstLine="422" w:firstLineChars="20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3.2.2本项目设</w:t>
      </w:r>
      <w:r>
        <w:rPr>
          <w:rFonts w:hint="eastAsia" w:ascii="宋体" w:hAnsi="宋体" w:eastAsia="宋体" w:cs="宋体"/>
          <w:b/>
          <w:bCs w:val="0"/>
          <w:color w:val="auto"/>
          <w:sz w:val="21"/>
          <w:szCs w:val="21"/>
          <w:highlight w:val="none"/>
          <w:lang w:eastAsia="zh-CN"/>
        </w:rPr>
        <w:t>最高限价（</w:t>
      </w:r>
      <w:r>
        <w:rPr>
          <w:rFonts w:hint="eastAsia" w:ascii="宋体" w:hAnsi="宋体" w:eastAsia="宋体" w:cs="宋体"/>
          <w:b/>
          <w:bCs w:val="0"/>
          <w:color w:val="auto"/>
          <w:sz w:val="21"/>
          <w:szCs w:val="21"/>
          <w:highlight w:val="none"/>
        </w:rPr>
        <w:t>招标控制价</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（见</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须知前附表），</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的总报价不得超过</w:t>
      </w:r>
      <w:r>
        <w:rPr>
          <w:rFonts w:hint="eastAsia" w:ascii="宋体" w:hAnsi="宋体" w:eastAsia="宋体" w:cs="宋体"/>
          <w:b/>
          <w:bCs w:val="0"/>
          <w:color w:val="auto"/>
          <w:sz w:val="21"/>
          <w:szCs w:val="21"/>
          <w:highlight w:val="none"/>
          <w:lang w:eastAsia="zh-CN"/>
        </w:rPr>
        <w:t>采购人</w:t>
      </w:r>
      <w:r>
        <w:rPr>
          <w:rFonts w:hint="eastAsia" w:ascii="宋体" w:hAnsi="宋体" w:eastAsia="宋体" w:cs="宋体"/>
          <w:b/>
          <w:bCs w:val="0"/>
          <w:color w:val="auto"/>
          <w:sz w:val="21"/>
          <w:szCs w:val="21"/>
          <w:highlight w:val="none"/>
        </w:rPr>
        <w:t>发布的招标控制价，否则其投标做无效标处理。</w:t>
      </w:r>
    </w:p>
    <w:p w14:paraId="66B89A09">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3.2.3本项目的投标总报价以3.2.1条为依据由</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自主报价，即</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根据招标项目的具体内容、现场情况、技术要求等自主报价，</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的报价不得低于企业成本。</w:t>
      </w:r>
    </w:p>
    <w:p w14:paraId="4B89B010">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3.2.4</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的投标总报价应为达到服务要求条件下的完工交验价，包括：</w:t>
      </w:r>
      <w:r>
        <w:rPr>
          <w:rFonts w:hint="eastAsia" w:ascii="宋体" w:hAnsi="宋体" w:eastAsia="宋体" w:cs="宋体"/>
          <w:b w:val="0"/>
          <w:bCs/>
          <w:color w:val="auto"/>
          <w:sz w:val="21"/>
          <w:szCs w:val="21"/>
          <w:highlight w:val="none"/>
          <w:lang w:val="en-US" w:eastAsia="zh-CN"/>
        </w:rPr>
        <w:t>包括人工费、差旅费、材料费、机械费、合同工期内的赶工费、技术人员到场的场外住宿及办公费用、税费等以及以上虽未提及但在完成本项目过程中必须支付的与本项目相关的其他一切费用</w:t>
      </w:r>
      <w:r>
        <w:rPr>
          <w:rFonts w:hint="eastAsia" w:ascii="宋体" w:hAnsi="宋体" w:eastAsia="宋体" w:cs="宋体"/>
          <w:b w:val="0"/>
          <w:bCs/>
          <w:color w:val="auto"/>
          <w:sz w:val="21"/>
          <w:szCs w:val="21"/>
          <w:highlight w:val="none"/>
        </w:rPr>
        <w:t>。</w:t>
      </w:r>
    </w:p>
    <w:p w14:paraId="350D68FA">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3.2.5 </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的投标总报价具有唯一性，</w:t>
      </w:r>
      <w:r>
        <w:rPr>
          <w:rFonts w:hint="eastAsia" w:ascii="宋体" w:hAnsi="宋体" w:eastAsia="宋体" w:cs="宋体"/>
          <w:b w:val="0"/>
          <w:bCs/>
          <w:color w:val="auto"/>
          <w:sz w:val="21"/>
          <w:szCs w:val="21"/>
          <w:highlight w:val="none"/>
          <w:lang w:eastAsia="zh-CN"/>
        </w:rPr>
        <w:t>采购人</w:t>
      </w:r>
      <w:r>
        <w:rPr>
          <w:rFonts w:hint="eastAsia" w:ascii="宋体" w:hAnsi="宋体" w:eastAsia="宋体" w:cs="宋体"/>
          <w:b w:val="0"/>
          <w:bCs/>
          <w:color w:val="auto"/>
          <w:sz w:val="21"/>
          <w:szCs w:val="21"/>
          <w:highlight w:val="none"/>
        </w:rPr>
        <w:t>不接受任何可变价，</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的投标报价理解为所有费用（3.2.4条所列各项等一切费用），</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的投标报价如有漏项，视为已经包含在投标报价内。</w:t>
      </w:r>
    </w:p>
    <w:p w14:paraId="2FAB1E61">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3.2.</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投标总报价是评标的重要依据，但不是唯一依据，最低报价不是中标的决定因素</w:t>
      </w:r>
      <w:r>
        <w:rPr>
          <w:rFonts w:hint="eastAsia" w:ascii="宋体" w:hAnsi="宋体" w:eastAsia="宋体" w:cs="宋体"/>
          <w:b w:val="0"/>
          <w:bCs/>
          <w:color w:val="auto"/>
          <w:sz w:val="21"/>
          <w:szCs w:val="21"/>
          <w:highlight w:val="none"/>
          <w:lang w:eastAsia="zh-CN"/>
        </w:rPr>
        <w:t>。</w:t>
      </w:r>
    </w:p>
    <w:p w14:paraId="543E16CE">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3.2.</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全部报价均应以人民币为计量币种，并以人民币进行结算。</w:t>
      </w:r>
    </w:p>
    <w:p w14:paraId="1477CC86">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8根据信财购〔2024〕11 号文要求，评标委员会认为投标人的报价明显低于其他通过符合性审查投标人的报价（建议比控制价低 30%），有可能影响产品质量或者不能诚信履约的（建议结合</w:t>
      </w:r>
      <w:r>
        <w:rPr>
          <w:rFonts w:hint="eastAsia" w:ascii="宋体" w:hAnsi="宋体" w:eastAsia="宋体" w:cs="宋体"/>
          <w:color w:val="000000"/>
          <w:sz w:val="21"/>
          <w:szCs w:val="21"/>
          <w:lang w:val="en-US" w:eastAsia="zh-CN"/>
        </w:rPr>
        <w:t>投标人提供的产品或服务响应采购需求的程度判断），应当要求其在评标现场合理的时间内提供书面说明，必要时提交相关证明材料；投标人不能证明其报价合理性的，评标委员会应当将其作为无效投标处理。</w:t>
      </w:r>
    </w:p>
    <w:p w14:paraId="2F11FA02">
      <w:pPr>
        <w:pageBreakBefore w:val="0"/>
        <w:widowControl/>
        <w:kinsoku/>
        <w:wordWrap/>
        <w:overflowPunct/>
        <w:topLinePunct w:val="0"/>
        <w:bidi w:val="0"/>
        <w:adjustRightInd/>
        <w:snapToGrid/>
        <w:spacing w:line="400" w:lineRule="exact"/>
        <w:ind w:left="0" w:leftChars="0" w:right="0" w:rightChars="0" w:firstLine="422" w:firstLineChars="20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w:t>
      </w:r>
      <w:r>
        <w:rPr>
          <w:rFonts w:hint="eastAsia" w:ascii="宋体" w:hAnsi="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rPr>
        <w:t>投标有效期</w:t>
      </w:r>
    </w:p>
    <w:p w14:paraId="4A3FC897">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.1在</w:t>
      </w:r>
      <w:r>
        <w:rPr>
          <w:rFonts w:hint="eastAsia" w:ascii="宋体"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须知前附表规定的投标有效期内，</w:t>
      </w:r>
      <w:r>
        <w:rPr>
          <w:rFonts w:hint="eastAsia" w:ascii="宋体"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不得要求撤销或修改其投标文件。</w:t>
      </w:r>
    </w:p>
    <w:p w14:paraId="577FCC5C">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.2出现特殊情况需要延长投标有效期的，</w:t>
      </w:r>
      <w:r>
        <w:rPr>
          <w:rFonts w:hint="eastAsia" w:ascii="宋体" w:hAnsi="宋体" w:eastAsia="宋体" w:cs="宋体"/>
          <w:b w:val="0"/>
          <w:bCs/>
          <w:color w:val="auto"/>
          <w:sz w:val="21"/>
          <w:szCs w:val="21"/>
          <w:highlight w:val="none"/>
          <w:lang w:eastAsia="zh-CN"/>
        </w:rPr>
        <w:t>采购人</w:t>
      </w:r>
      <w:r>
        <w:rPr>
          <w:rFonts w:hint="eastAsia" w:ascii="宋体" w:hAnsi="宋体" w:eastAsia="宋体" w:cs="宋体"/>
          <w:b w:val="0"/>
          <w:bCs/>
          <w:color w:val="auto"/>
          <w:sz w:val="21"/>
          <w:szCs w:val="21"/>
          <w:highlight w:val="none"/>
        </w:rPr>
        <w:t>以书面形式通知所有</w:t>
      </w:r>
      <w:r>
        <w:rPr>
          <w:rFonts w:hint="eastAsia" w:ascii="宋体"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延长投标有效期。</w:t>
      </w:r>
      <w:r>
        <w:rPr>
          <w:rFonts w:hint="eastAsia" w:ascii="宋体"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同意延长的，不得要求或被允许修改或撤销其投标文件；</w:t>
      </w:r>
      <w:r>
        <w:rPr>
          <w:rFonts w:hint="eastAsia" w:ascii="宋体"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拒绝延长的，其投标失效。</w:t>
      </w:r>
    </w:p>
    <w:p w14:paraId="06538955">
      <w:pPr>
        <w:pageBreakBefore w:val="0"/>
        <w:kinsoku/>
        <w:wordWrap/>
        <w:overflowPunct/>
        <w:topLinePunct w:val="0"/>
        <w:bidi w:val="0"/>
        <w:adjustRightInd/>
        <w:snapToGrid/>
        <w:spacing w:line="400" w:lineRule="exact"/>
        <w:ind w:left="0" w:leftChars="0" w:right="0" w:rightChars="0" w:firstLine="422" w:firstLineChars="200"/>
        <w:textAlignment w:val="auto"/>
        <w:rPr>
          <w:rFonts w:hint="eastAsia" w:ascii="宋体" w:hAnsi="宋体" w:eastAsia="宋体" w:cs="宋体"/>
          <w:b/>
          <w:bCs w:val="0"/>
          <w:color w:val="auto"/>
          <w:sz w:val="21"/>
          <w:szCs w:val="21"/>
          <w:highlight w:val="none"/>
        </w:rPr>
      </w:pPr>
      <w:bookmarkStart w:id="36" w:name="_Toc297211678"/>
      <w:r>
        <w:rPr>
          <w:rFonts w:hint="eastAsia" w:ascii="宋体" w:hAnsi="宋体" w:eastAsia="宋体" w:cs="宋体"/>
          <w:b/>
          <w:bCs w:val="0"/>
          <w:color w:val="auto"/>
          <w:sz w:val="21"/>
          <w:szCs w:val="21"/>
          <w:highlight w:val="none"/>
        </w:rPr>
        <w:t>3.</w:t>
      </w:r>
      <w:bookmarkEnd w:id="36"/>
      <w:r>
        <w:rPr>
          <w:rFonts w:hint="eastAsia" w:ascii="宋体" w:hAnsi="宋体" w:cs="宋体"/>
          <w:b/>
          <w:bCs w:val="0"/>
          <w:color w:val="auto"/>
          <w:sz w:val="21"/>
          <w:szCs w:val="21"/>
          <w:highlight w:val="none"/>
          <w:lang w:val="en-US" w:eastAsia="zh-CN"/>
        </w:rPr>
        <w:t>4</w:t>
      </w:r>
      <w:r>
        <w:rPr>
          <w:rFonts w:hint="eastAsia" w:ascii="宋体" w:hAnsi="宋体" w:eastAsia="宋体" w:cs="宋体"/>
          <w:b/>
          <w:bCs w:val="0"/>
          <w:color w:val="auto"/>
          <w:sz w:val="21"/>
          <w:szCs w:val="21"/>
          <w:highlight w:val="none"/>
        </w:rPr>
        <w:t>、投标文件的制作：</w:t>
      </w:r>
    </w:p>
    <w:p w14:paraId="17A795BB">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 w:val="0"/>
          <w:bCs/>
          <w:color w:val="auto"/>
          <w:sz w:val="21"/>
          <w:szCs w:val="21"/>
          <w:highlight w:val="none"/>
        </w:rPr>
      </w:pPr>
      <w:bookmarkStart w:id="37" w:name="_Toc234213531"/>
      <w:bookmarkStart w:id="38" w:name="_Toc244935166"/>
      <w:bookmarkStart w:id="39" w:name="_Toc244934197"/>
      <w:bookmarkStart w:id="40" w:name="_Toc191983618"/>
      <w:bookmarkStart w:id="41" w:name="_Toc10958"/>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通过</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全国公共资源交易平台（河南省·信阳市）</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（https://ggzyjy.xinyang.gov.cn</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网站下载中心栏目内下载或招标文件领取页面下载“信阳市投标文件制作工具软件”。</w:t>
      </w:r>
    </w:p>
    <w:p w14:paraId="5CD29266">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.2使用“信阳市投标文件制作工具”软件制作生成加密版和非未加密的电子投标文件，软件操作手册可在网站下载中心下载或打开软件后在右上角菜单内领取。</w:t>
      </w:r>
    </w:p>
    <w:p w14:paraId="374CCA8A">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在电子投标文件制作完成后生成投标文件时须加盖电子签章/签名。其他要求签字盖章的投标文件格式内容，如无法进行电子签章/签名，</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可将盖章/签名后的扫描件上传到电子投标文件中。开标一览表报价将作为电子开标的唱标依据。</w:t>
      </w:r>
    </w:p>
    <w:p w14:paraId="5AF520E1">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.4招标文件格式所要求包含的全部资料应全部制作在投标文件内，严格按照本项目招标文件所有格式如实填写（不涉及的内容除外），不应存在漏项或缺项，否则将存在投标文件被拒绝的风险。</w:t>
      </w:r>
    </w:p>
    <w:p w14:paraId="5E971337">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.5</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编辑电子投标文件时，最后一步生成电子投标文件（*.XYTF 格式和*.NXYTF格式）时，请使用本单位的企业 CA 数字证书。</w:t>
      </w:r>
    </w:p>
    <w:p w14:paraId="56329114">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.6 投标文件应按第六章“投标文件格式”进行编写，如有必要，可以增加附页，作为投标文件的组成部分。</w:t>
      </w:r>
    </w:p>
    <w:p w14:paraId="3EB33C69">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.7 投标文件应当对招标文件有关</w:t>
      </w:r>
      <w:r>
        <w:rPr>
          <w:rFonts w:hint="eastAsia" w:ascii="宋体" w:hAnsi="宋体" w:eastAsia="宋体" w:cs="宋体"/>
          <w:b w:val="0"/>
          <w:bCs/>
          <w:color w:val="auto"/>
          <w:sz w:val="21"/>
          <w:szCs w:val="21"/>
          <w:highlight w:val="none"/>
          <w:lang w:eastAsia="zh-CN"/>
        </w:rPr>
        <w:t>合同履行期限、采购内容</w:t>
      </w:r>
      <w:r>
        <w:rPr>
          <w:rFonts w:hint="eastAsia" w:ascii="宋体" w:hAnsi="宋体" w:eastAsia="宋体" w:cs="宋体"/>
          <w:b w:val="0"/>
          <w:bCs/>
          <w:color w:val="auto"/>
          <w:sz w:val="21"/>
          <w:szCs w:val="21"/>
          <w:highlight w:val="none"/>
        </w:rPr>
        <w:t>等实质性内容作出响应。</w:t>
      </w:r>
    </w:p>
    <w:p w14:paraId="3FC86B93">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.8投标文件应由</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的</w:t>
      </w:r>
      <w:r>
        <w:rPr>
          <w:rFonts w:hint="eastAsia" w:ascii="宋体" w:hAnsi="宋体" w:eastAsia="宋体" w:cs="宋体"/>
          <w:b w:val="0"/>
          <w:bCs/>
          <w:color w:val="auto"/>
          <w:sz w:val="21"/>
          <w:szCs w:val="21"/>
          <w:highlight w:val="none"/>
          <w:lang w:eastAsia="zh-CN"/>
        </w:rPr>
        <w:t>法定代表人（负责人）</w:t>
      </w:r>
      <w:r>
        <w:rPr>
          <w:rFonts w:hint="eastAsia" w:ascii="宋体" w:hAnsi="宋体" w:eastAsia="宋体" w:cs="宋体"/>
          <w:b w:val="0"/>
          <w:bCs/>
          <w:color w:val="auto"/>
          <w:sz w:val="21"/>
          <w:szCs w:val="21"/>
          <w:highlight w:val="none"/>
        </w:rPr>
        <w:t>或其委托代理人签字且盖单位公章。委托代理人签字的，投标文件应附</w:t>
      </w:r>
      <w:r>
        <w:rPr>
          <w:rFonts w:hint="eastAsia" w:ascii="宋体" w:hAnsi="宋体" w:eastAsia="宋体" w:cs="宋体"/>
          <w:b w:val="0"/>
          <w:bCs/>
          <w:color w:val="auto"/>
          <w:sz w:val="21"/>
          <w:szCs w:val="21"/>
          <w:highlight w:val="none"/>
          <w:lang w:eastAsia="zh-CN"/>
        </w:rPr>
        <w:t>法定代表人（负责人）</w:t>
      </w:r>
      <w:r>
        <w:rPr>
          <w:rFonts w:hint="eastAsia" w:ascii="宋体" w:hAnsi="宋体" w:eastAsia="宋体" w:cs="宋体"/>
          <w:b w:val="0"/>
          <w:bCs/>
          <w:color w:val="auto"/>
          <w:sz w:val="21"/>
          <w:szCs w:val="21"/>
          <w:highlight w:val="none"/>
        </w:rPr>
        <w:t>签署的授权委托书。签字或盖章的具体要求见</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须知前附表。</w:t>
      </w:r>
    </w:p>
    <w:p w14:paraId="57249EB4">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.9</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投标文件份数见</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须知前附表。</w:t>
      </w:r>
    </w:p>
    <w:p w14:paraId="3E58082D">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.10</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应按照招标文件的要求，规范、明确、准时的提交投标文件。如果没有按照招标文件的要求保证所提供全部资料的真实性，或没有对招标文件做出实质性响应，其风险应由</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自行承担。</w:t>
      </w:r>
    </w:p>
    <w:p w14:paraId="3FDDD3AC">
      <w:pPr>
        <w:pStyle w:val="3"/>
        <w:pageBreakBefore w:val="0"/>
        <w:kinsoku/>
        <w:wordWrap/>
        <w:overflowPunct/>
        <w:topLinePunct w:val="0"/>
        <w:bidi w:val="0"/>
        <w:adjustRightInd/>
        <w:snapToGrid/>
        <w:spacing w:after="0" w:afterLines="0" w:line="400" w:lineRule="exact"/>
        <w:ind w:left="0" w:leftChars="0" w:right="0" w:righ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投标</w:t>
      </w:r>
      <w:bookmarkEnd w:id="37"/>
      <w:bookmarkEnd w:id="38"/>
      <w:bookmarkEnd w:id="39"/>
      <w:bookmarkEnd w:id="40"/>
      <w:bookmarkEnd w:id="41"/>
    </w:p>
    <w:p w14:paraId="0A77ABA5">
      <w:pPr>
        <w:pStyle w:val="3"/>
        <w:pageBreakBefore w:val="0"/>
        <w:kinsoku/>
        <w:wordWrap/>
        <w:overflowPunct/>
        <w:topLinePunct w:val="0"/>
        <w:bidi w:val="0"/>
        <w:adjustRightInd/>
        <w:snapToGrid/>
        <w:spacing w:after="0" w:afterLines="0" w:line="400" w:lineRule="exact"/>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 投标文件的上传</w:t>
      </w:r>
    </w:p>
    <w:p w14:paraId="51C92861">
      <w:pPr>
        <w:pStyle w:val="24"/>
        <w:pageBreakBefore w:val="0"/>
        <w:kinsoku/>
        <w:wordWrap/>
        <w:overflowPunct/>
        <w:topLinePunct w:val="0"/>
        <w:bidi w:val="0"/>
        <w:adjustRightInd/>
        <w:snapToGrid/>
        <w:spacing w:after="0" w:afterLines="0" w:line="400" w:lineRule="exact"/>
        <w:ind w:left="0" w:leftChars="0" w:right="0" w:rightChars="0" w:firstLineChars="200"/>
        <w:rPr>
          <w:rFonts w:hint="eastAsia" w:ascii="宋体" w:hAnsi="宋体" w:eastAsia="宋体" w:cs="宋体"/>
          <w:color w:val="auto"/>
          <w:highlight w:val="none"/>
        </w:rPr>
      </w:pPr>
      <w:r>
        <w:rPr>
          <w:rFonts w:hint="eastAsia" w:ascii="宋体" w:hAnsi="宋体" w:eastAsia="宋体" w:cs="宋体"/>
          <w:color w:val="auto"/>
          <w:highlight w:val="none"/>
        </w:rPr>
        <w:t>4.1.1网上上传的电子投标文件应使用</w:t>
      </w:r>
      <w:r>
        <w:rPr>
          <w:rFonts w:hint="eastAsia" w:ascii="宋体" w:hAnsi="宋体" w:cs="宋体"/>
          <w:color w:val="auto"/>
          <w:highlight w:val="none"/>
          <w:lang w:eastAsia="zh-CN"/>
        </w:rPr>
        <w:t>供应商</w:t>
      </w:r>
      <w:r>
        <w:rPr>
          <w:rFonts w:hint="eastAsia" w:ascii="宋体" w:hAnsi="宋体" w:eastAsia="宋体" w:cs="宋体"/>
          <w:color w:val="auto"/>
          <w:highlight w:val="none"/>
        </w:rPr>
        <w:t>数字证书认证并加密。</w:t>
      </w:r>
    </w:p>
    <w:p w14:paraId="4D64B785">
      <w:pPr>
        <w:pStyle w:val="3"/>
        <w:pageBreakBefore w:val="0"/>
        <w:kinsoku/>
        <w:wordWrap/>
        <w:overflowPunct/>
        <w:topLinePunct w:val="0"/>
        <w:bidi w:val="0"/>
        <w:adjustRightInd/>
        <w:snapToGrid/>
        <w:spacing w:after="0" w:afterLines="0" w:line="400" w:lineRule="exact"/>
        <w:ind w:left="0" w:leftChars="0" w:right="0" w:righ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4.2 投标文件的递交</w:t>
      </w:r>
    </w:p>
    <w:p w14:paraId="4B45FF88">
      <w:pPr>
        <w:pStyle w:val="24"/>
        <w:pageBreakBefore w:val="0"/>
        <w:kinsoku/>
        <w:wordWrap/>
        <w:overflowPunct/>
        <w:topLinePunct w:val="0"/>
        <w:bidi w:val="0"/>
        <w:adjustRightInd/>
        <w:snapToGrid/>
        <w:spacing w:after="0" w:afterLines="0" w:line="400" w:lineRule="exact"/>
        <w:ind w:left="0" w:leftChars="0" w:right="0" w:rightChars="0" w:firstLineChars="200"/>
        <w:rPr>
          <w:rFonts w:hint="eastAsia" w:ascii="宋体" w:hAnsi="宋体" w:eastAsia="宋体" w:cs="宋体"/>
          <w:color w:val="auto"/>
          <w:highlight w:val="none"/>
        </w:rPr>
      </w:pPr>
      <w:r>
        <w:rPr>
          <w:rFonts w:hint="eastAsia" w:ascii="宋体" w:hAnsi="宋体" w:eastAsia="宋体" w:cs="宋体"/>
          <w:color w:val="auto"/>
          <w:highlight w:val="none"/>
        </w:rPr>
        <w:t>4.2.1电子投标文件的递交</w:t>
      </w:r>
    </w:p>
    <w:p w14:paraId="3214FDAA">
      <w:pPr>
        <w:pStyle w:val="24"/>
        <w:pageBreakBefore w:val="0"/>
        <w:kinsoku/>
        <w:wordWrap/>
        <w:overflowPunct/>
        <w:topLinePunct w:val="0"/>
        <w:bidi w:val="0"/>
        <w:adjustRightInd/>
        <w:snapToGrid/>
        <w:spacing w:after="0" w:afterLines="0" w:line="400" w:lineRule="exact"/>
        <w:ind w:left="0" w:leftChars="0" w:right="0" w:rightChars="0" w:firstLineChars="200"/>
        <w:rPr>
          <w:rFonts w:hint="eastAsia" w:ascii="宋体" w:hAnsi="宋体" w:eastAsia="宋体" w:cs="宋体"/>
          <w:color w:val="auto"/>
          <w:highlight w:val="none"/>
        </w:rPr>
      </w:pPr>
      <w:r>
        <w:rPr>
          <w:rFonts w:hint="eastAsia" w:ascii="宋体" w:hAnsi="宋体" w:eastAsia="宋体" w:cs="宋体"/>
          <w:color w:val="auto"/>
          <w:highlight w:val="none"/>
        </w:rPr>
        <w:t>各</w:t>
      </w:r>
      <w:r>
        <w:rPr>
          <w:rFonts w:hint="eastAsia" w:ascii="宋体" w:hAnsi="宋体" w:cs="宋体"/>
          <w:color w:val="auto"/>
          <w:highlight w:val="none"/>
          <w:lang w:eastAsia="zh-CN"/>
        </w:rPr>
        <w:t>供应商</w:t>
      </w:r>
      <w:r>
        <w:rPr>
          <w:rFonts w:hint="eastAsia" w:ascii="宋体" w:hAnsi="宋体" w:eastAsia="宋体" w:cs="宋体"/>
          <w:color w:val="auto"/>
          <w:highlight w:val="none"/>
        </w:rPr>
        <w:t>应在投标截止时间前上传加密的电子投标文件（*.XYTF）到会员系统的指定位置。上传的电子投标文件应使用</w:t>
      </w:r>
      <w:r>
        <w:rPr>
          <w:rFonts w:hint="eastAsia" w:ascii="宋体" w:hAnsi="宋体" w:cs="宋体"/>
          <w:color w:val="auto"/>
          <w:highlight w:val="none"/>
          <w:lang w:eastAsia="zh-CN"/>
        </w:rPr>
        <w:t>供应商</w:t>
      </w:r>
      <w:r>
        <w:rPr>
          <w:rFonts w:hint="eastAsia" w:ascii="宋体" w:hAnsi="宋体" w:eastAsia="宋体" w:cs="宋体"/>
          <w:color w:val="auto"/>
          <w:highlight w:val="none"/>
        </w:rPr>
        <w:t>CA数字证书认证并加密。上传时必须得到交易系统“上传成功”的确认回复后方为上传成功。请</w:t>
      </w:r>
      <w:r>
        <w:rPr>
          <w:rFonts w:hint="eastAsia" w:ascii="宋体" w:hAnsi="宋体" w:cs="宋体"/>
          <w:color w:val="auto"/>
          <w:highlight w:val="none"/>
          <w:lang w:eastAsia="zh-CN"/>
        </w:rPr>
        <w:t>供应商</w:t>
      </w:r>
      <w:r>
        <w:rPr>
          <w:rFonts w:hint="eastAsia" w:ascii="宋体" w:hAnsi="宋体" w:eastAsia="宋体" w:cs="宋体"/>
          <w:color w:val="auto"/>
          <w:highlight w:val="none"/>
        </w:rPr>
        <w:t>在上传前务必认真检查上传投标文件是否完整、正确。</w:t>
      </w:r>
    </w:p>
    <w:p w14:paraId="6C146CC1">
      <w:pPr>
        <w:pStyle w:val="3"/>
        <w:pageBreakBefore w:val="0"/>
        <w:kinsoku/>
        <w:wordWrap/>
        <w:overflowPunct/>
        <w:topLinePunct w:val="0"/>
        <w:bidi w:val="0"/>
        <w:adjustRightInd/>
        <w:snapToGrid/>
        <w:spacing w:after="0" w:afterLines="0" w:line="400" w:lineRule="exact"/>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4.3 投标文件的修改与撤回</w:t>
      </w:r>
    </w:p>
    <w:p w14:paraId="07AD1D7B">
      <w:pPr>
        <w:pStyle w:val="24"/>
        <w:pageBreakBefore w:val="0"/>
        <w:kinsoku/>
        <w:wordWrap/>
        <w:overflowPunct/>
        <w:topLinePunct w:val="0"/>
        <w:bidi w:val="0"/>
        <w:adjustRightInd/>
        <w:snapToGrid/>
        <w:spacing w:after="0" w:afterLines="0" w:line="400" w:lineRule="exact"/>
        <w:ind w:left="0" w:leftChars="0" w:right="0" w:rightChars="0" w:firstLineChars="200"/>
        <w:rPr>
          <w:rFonts w:hint="eastAsia" w:ascii="宋体" w:hAnsi="宋体" w:eastAsia="宋体" w:cs="宋体"/>
          <w:color w:val="auto"/>
          <w:highlight w:val="none"/>
        </w:rPr>
      </w:pPr>
      <w:r>
        <w:rPr>
          <w:rFonts w:hint="eastAsia" w:ascii="宋体" w:hAnsi="宋体" w:eastAsia="宋体" w:cs="宋体"/>
          <w:color w:val="auto"/>
          <w:highlight w:val="none"/>
        </w:rPr>
        <w:t>4.3.1 在第一章“招标公告”规定的投标截止时间前，</w:t>
      </w:r>
      <w:r>
        <w:rPr>
          <w:rFonts w:hint="eastAsia" w:ascii="宋体" w:hAnsi="宋体" w:cs="宋体"/>
          <w:color w:val="auto"/>
          <w:highlight w:val="none"/>
          <w:lang w:eastAsia="zh-CN"/>
        </w:rPr>
        <w:t>供应商</w:t>
      </w:r>
      <w:r>
        <w:rPr>
          <w:rFonts w:hint="eastAsia" w:ascii="宋体" w:hAnsi="宋体" w:eastAsia="宋体" w:cs="宋体"/>
          <w:color w:val="auto"/>
          <w:highlight w:val="none"/>
        </w:rPr>
        <w:t>可以多次修改或撤回已递交的投标文件，最终投标文件以投标截止时间前完成上传至信阳市公共资源交易中心交易系统最后一份投标文件为准。</w:t>
      </w:r>
    </w:p>
    <w:p w14:paraId="4DB9C14A">
      <w:pPr>
        <w:pStyle w:val="24"/>
        <w:pageBreakBefore w:val="0"/>
        <w:kinsoku/>
        <w:wordWrap/>
        <w:overflowPunct/>
        <w:topLinePunct w:val="0"/>
        <w:bidi w:val="0"/>
        <w:adjustRightInd/>
        <w:snapToGrid/>
        <w:spacing w:after="0" w:afterLines="0" w:line="400" w:lineRule="exact"/>
        <w:ind w:left="0" w:leftChars="0" w:right="0" w:rightChars="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rPr>
        <w:t>4.3.2修改的投标文件应按照本章第3.</w:t>
      </w:r>
      <w:r>
        <w:rPr>
          <w:rFonts w:hint="eastAsia" w:ascii="宋体" w:hAnsi="宋体" w:cs="宋体"/>
          <w:color w:val="auto"/>
          <w:highlight w:val="none"/>
          <w:lang w:val="en-US" w:eastAsia="zh-CN"/>
        </w:rPr>
        <w:t>5</w:t>
      </w:r>
      <w:r>
        <w:rPr>
          <w:rFonts w:hint="eastAsia" w:ascii="宋体" w:hAnsi="宋体" w:eastAsia="宋体" w:cs="宋体"/>
          <w:color w:val="auto"/>
          <w:highlight w:val="none"/>
        </w:rPr>
        <w:t>条、第4.2条规定进行编制和递交。</w:t>
      </w:r>
    </w:p>
    <w:p w14:paraId="0B00B1D1">
      <w:pPr>
        <w:pStyle w:val="3"/>
        <w:pageBreakBefore w:val="0"/>
        <w:kinsoku/>
        <w:wordWrap/>
        <w:overflowPunct/>
        <w:topLinePunct w:val="0"/>
        <w:bidi w:val="0"/>
        <w:adjustRightInd/>
        <w:snapToGrid/>
        <w:spacing w:after="0" w:afterLines="0" w:line="40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42" w:name="_Toc191983619"/>
      <w:bookmarkStart w:id="43" w:name="_Toc25793"/>
      <w:bookmarkStart w:id="44" w:name="_Toc244934198"/>
      <w:bookmarkStart w:id="45" w:name="_Toc244935167"/>
      <w:bookmarkStart w:id="46" w:name="_Toc234213532"/>
      <w:r>
        <w:rPr>
          <w:rFonts w:hint="eastAsia" w:ascii="宋体" w:hAnsi="宋体" w:eastAsia="宋体" w:cs="宋体"/>
          <w:color w:val="auto"/>
          <w:sz w:val="21"/>
          <w:szCs w:val="21"/>
          <w:highlight w:val="none"/>
        </w:rPr>
        <w:t>5. 开标</w:t>
      </w:r>
      <w:bookmarkEnd w:id="42"/>
      <w:bookmarkEnd w:id="43"/>
      <w:bookmarkEnd w:id="44"/>
      <w:bookmarkEnd w:id="45"/>
      <w:bookmarkEnd w:id="46"/>
    </w:p>
    <w:p w14:paraId="4321E2BD">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b w:val="0"/>
          <w:bCs/>
          <w:color w:val="auto"/>
          <w:sz w:val="21"/>
          <w:szCs w:val="21"/>
          <w:highlight w:val="none"/>
        </w:rPr>
      </w:pPr>
      <w:bookmarkStart w:id="47" w:name="_Toc297211680"/>
      <w:r>
        <w:rPr>
          <w:rFonts w:hint="eastAsia" w:ascii="宋体" w:hAnsi="宋体" w:eastAsia="宋体" w:cs="宋体"/>
          <w:b w:val="0"/>
          <w:bCs/>
          <w:color w:val="auto"/>
          <w:sz w:val="21"/>
          <w:szCs w:val="21"/>
          <w:highlight w:val="none"/>
        </w:rPr>
        <w:t>5.1开标时间和地点</w:t>
      </w:r>
      <w:bookmarkEnd w:id="47"/>
    </w:p>
    <w:p w14:paraId="7A852BF6">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采购人</w:t>
      </w:r>
      <w:r>
        <w:rPr>
          <w:rFonts w:hint="eastAsia" w:ascii="宋体" w:hAnsi="宋体" w:eastAsia="宋体" w:cs="宋体"/>
          <w:b w:val="0"/>
          <w:bCs/>
          <w:color w:val="auto"/>
          <w:sz w:val="21"/>
          <w:szCs w:val="21"/>
          <w:highlight w:val="none"/>
        </w:rPr>
        <w:t>在规定的投标截止时间（开标时间）和</w:t>
      </w:r>
      <w:r>
        <w:rPr>
          <w:rFonts w:hint="eastAsia" w:ascii="宋体"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须知前附表规定的地点公开开标</w:t>
      </w:r>
      <w:r>
        <w:rPr>
          <w:rFonts w:hint="eastAsia" w:ascii="宋体" w:hAnsi="宋体" w:eastAsia="宋体" w:cs="宋体"/>
          <w:b w:val="0"/>
          <w:bCs/>
          <w:color w:val="auto"/>
          <w:sz w:val="21"/>
          <w:szCs w:val="21"/>
          <w:highlight w:val="none"/>
          <w:lang w:eastAsia="zh-CN"/>
        </w:rPr>
        <w:t>。</w:t>
      </w:r>
    </w:p>
    <w:p w14:paraId="64EDF099">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b w:val="0"/>
          <w:bCs/>
          <w:color w:val="auto"/>
          <w:sz w:val="21"/>
          <w:szCs w:val="21"/>
          <w:highlight w:val="none"/>
        </w:rPr>
      </w:pPr>
      <w:bookmarkStart w:id="48" w:name="_Toc297211681"/>
      <w:r>
        <w:rPr>
          <w:rFonts w:hint="eastAsia" w:ascii="宋体" w:hAnsi="宋体" w:eastAsia="宋体" w:cs="宋体"/>
          <w:b w:val="0"/>
          <w:bCs/>
          <w:color w:val="auto"/>
          <w:sz w:val="21"/>
          <w:szCs w:val="21"/>
          <w:highlight w:val="none"/>
        </w:rPr>
        <w:t>5.2 开标程序</w:t>
      </w:r>
      <w:bookmarkEnd w:id="48"/>
    </w:p>
    <w:p w14:paraId="260C1D02">
      <w:pPr>
        <w:pageBreakBefore w:val="0"/>
        <w:kinsoku/>
        <w:wordWrap/>
        <w:overflowPunct/>
        <w:topLinePunct w:val="0"/>
        <w:bidi w:val="0"/>
        <w:adjustRightInd/>
        <w:snapToGrid/>
        <w:spacing w:line="440" w:lineRule="exact"/>
        <w:ind w:left="0" w:leftChars="0" w:right="0" w:righ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   5.2.1本项目采用“不见面开标”交易方式，不见面开标大厅网址为 </w:t>
      </w:r>
      <w:r>
        <w:rPr>
          <w:rFonts w:hint="eastAsia" w:ascii="宋体" w:hAnsi="宋体" w:eastAsia="宋体" w:cs="宋体"/>
          <w:b w:val="0"/>
          <w:bCs/>
          <w:color w:val="auto"/>
          <w:sz w:val="21"/>
          <w:szCs w:val="21"/>
          <w:highlight w:val="none"/>
          <w:lang w:val="en-US" w:eastAsia="zh-CN"/>
        </w:rPr>
        <w:fldChar w:fldCharType="begin"/>
      </w:r>
      <w:r>
        <w:rPr>
          <w:rFonts w:hint="eastAsia" w:ascii="宋体" w:hAnsi="宋体" w:eastAsia="宋体" w:cs="宋体"/>
          <w:b w:val="0"/>
          <w:bCs/>
          <w:color w:val="auto"/>
          <w:sz w:val="21"/>
          <w:szCs w:val="21"/>
          <w:highlight w:val="none"/>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b w:val="0"/>
          <w:bCs/>
          <w:color w:val="auto"/>
          <w:sz w:val="21"/>
          <w:szCs w:val="21"/>
          <w:highlight w:val="none"/>
          <w:lang w:val="en-US" w:eastAsia="zh-CN"/>
        </w:rPr>
        <w:fldChar w:fldCharType="separate"/>
      </w:r>
      <w:r>
        <w:rPr>
          <w:rFonts w:hint="eastAsia" w:ascii="宋体" w:hAnsi="宋体" w:cs="宋体"/>
          <w:b w:val="0"/>
          <w:bCs/>
          <w:color w:val="auto"/>
          <w:sz w:val="21"/>
          <w:szCs w:val="21"/>
          <w:highlight w:val="none"/>
          <w:lang w:val="en-US" w:eastAsia="zh-CN"/>
        </w:rPr>
        <w:t>https://ggzyjy.xinyang.gov.cn/BidOpening</w:t>
      </w: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无需寄送和递交</w:t>
      </w:r>
      <w:r>
        <w:rPr>
          <w:rFonts w:hint="eastAsia" w:ascii="宋体" w:hAnsi="宋体" w:eastAsia="宋体" w:cs="宋体"/>
          <w:b w:val="0"/>
          <w:bCs/>
          <w:color w:val="auto"/>
          <w:sz w:val="21"/>
          <w:szCs w:val="21"/>
          <w:highlight w:val="none"/>
        </w:rPr>
        <w:t>非加密的电子投标文件</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无需到现场参加开标会议，无需到达现场提交原件资料。</w:t>
      </w:r>
      <w:r>
        <w:rPr>
          <w:rFonts w:hint="eastAsia" w:ascii="宋体" w:hAnsi="宋体" w:eastAsia="宋体" w:cs="宋体"/>
          <w:b w:val="0"/>
          <w:bCs/>
          <w:color w:val="auto"/>
          <w:sz w:val="21"/>
          <w:szCs w:val="21"/>
          <w:highlight w:val="none"/>
          <w:lang w:val="en-US" w:eastAsia="zh-CN"/>
        </w:rPr>
        <w:fldChar w:fldCharType="end"/>
      </w:r>
    </w:p>
    <w:p w14:paraId="184C12D7">
      <w:pPr>
        <w:pageBreakBefore w:val="0"/>
        <w:kinsoku/>
        <w:wordWrap/>
        <w:overflowPunct/>
        <w:topLinePunct w:val="0"/>
        <w:bidi w:val="0"/>
        <w:adjustRightInd/>
        <w:snapToGrid/>
        <w:spacing w:line="440" w:lineRule="exact"/>
        <w:ind w:left="0" w:leftChars="0" w:right="0" w:righ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应当在投标截止时间前，使用</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CA数字证书登录不见面开标大厅，在线签到并准时参加开标活动，并在规定时间内完成投标文件解密、答疑澄清等。</w:t>
      </w:r>
    </w:p>
    <w:p w14:paraId="082EC0F6">
      <w:pPr>
        <w:pageBreakBefore w:val="0"/>
        <w:kinsoku/>
        <w:wordWrap/>
        <w:overflowPunct/>
        <w:topLinePunct w:val="0"/>
        <w:bidi w:val="0"/>
        <w:adjustRightInd/>
        <w:snapToGrid/>
        <w:spacing w:line="440" w:lineRule="exact"/>
        <w:ind w:left="0" w:leftChars="0" w:right="0" w:righ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需在解密开始后10分钟内完成解密（当</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过多时，解密时间可以适当延长）。在投标文件解密过程中，因</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原因（如</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准备不到位、电脑网络问题等），造成无法及时解密的，将被退回投标文件。</w:t>
      </w:r>
    </w:p>
    <w:p w14:paraId="728DF440">
      <w:pPr>
        <w:pageBreakBefore w:val="0"/>
        <w:kinsoku/>
        <w:wordWrap/>
        <w:overflowPunct/>
        <w:topLinePunct w:val="0"/>
        <w:bidi w:val="0"/>
        <w:adjustRightInd/>
        <w:snapToGrid/>
        <w:spacing w:line="440" w:lineRule="exact"/>
        <w:ind w:left="0" w:leftChars="0" w:right="0" w:righ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不见面开标服务的具体事宜，请查阅信阳市公共资源交易中心网站首页—下载中心—信阳市不见面开标大厅系统操作手册 。</w:t>
      </w:r>
    </w:p>
    <w:p w14:paraId="6D6C35D0">
      <w:pPr>
        <w:pageBreakBefore w:val="0"/>
        <w:kinsoku/>
        <w:wordWrap/>
        <w:overflowPunct/>
        <w:topLinePunct w:val="0"/>
        <w:bidi w:val="0"/>
        <w:adjustRightInd/>
        <w:snapToGrid/>
        <w:spacing w:line="440" w:lineRule="exact"/>
        <w:ind w:left="0" w:leftChars="0" w:right="0" w:righ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开标</w:t>
      </w:r>
      <w:r>
        <w:rPr>
          <w:rFonts w:hint="eastAsia" w:ascii="宋体" w:hAnsi="宋体" w:eastAsia="宋体" w:cs="宋体"/>
          <w:b w:val="0"/>
          <w:bCs/>
          <w:color w:val="auto"/>
          <w:sz w:val="21"/>
          <w:szCs w:val="21"/>
          <w:highlight w:val="none"/>
          <w:lang w:eastAsia="zh-CN"/>
        </w:rPr>
        <w:t>过程中</w:t>
      </w:r>
      <w:r>
        <w:rPr>
          <w:rFonts w:hint="eastAsia" w:ascii="宋体" w:hAnsi="宋体" w:eastAsia="宋体" w:cs="宋体"/>
          <w:b w:val="0"/>
          <w:bCs/>
          <w:color w:val="auto"/>
          <w:sz w:val="21"/>
          <w:szCs w:val="21"/>
          <w:highlight w:val="none"/>
        </w:rPr>
        <w:t>，</w:t>
      </w:r>
      <w:r>
        <w:rPr>
          <w:rFonts w:hint="eastAsia" w:ascii="宋体"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如有异议，须</w:t>
      </w:r>
      <w:r>
        <w:rPr>
          <w:rFonts w:hint="eastAsia" w:ascii="宋体" w:hAnsi="宋体" w:eastAsia="宋体" w:cs="宋体"/>
          <w:b w:val="0"/>
          <w:bCs/>
          <w:color w:val="auto"/>
          <w:sz w:val="21"/>
          <w:szCs w:val="21"/>
          <w:highlight w:val="none"/>
          <w:lang w:eastAsia="zh-CN"/>
        </w:rPr>
        <w:t>在开标结束前</w:t>
      </w:r>
      <w:r>
        <w:rPr>
          <w:rFonts w:hint="eastAsia" w:ascii="宋体" w:hAnsi="宋体" w:eastAsia="宋体" w:cs="宋体"/>
          <w:b w:val="0"/>
          <w:bCs/>
          <w:color w:val="auto"/>
          <w:sz w:val="21"/>
          <w:szCs w:val="21"/>
          <w:highlight w:val="none"/>
        </w:rPr>
        <w:t>通过系统提出，否则视同</w:t>
      </w:r>
      <w:r>
        <w:rPr>
          <w:rFonts w:hint="eastAsia" w:ascii="宋体" w:hAnsi="宋体" w:eastAsia="宋体" w:cs="宋体"/>
          <w:b w:val="0"/>
          <w:bCs/>
          <w:color w:val="auto"/>
          <w:sz w:val="21"/>
          <w:szCs w:val="21"/>
          <w:highlight w:val="none"/>
          <w:lang w:eastAsia="zh-CN"/>
        </w:rPr>
        <w:t>认可</w:t>
      </w:r>
      <w:r>
        <w:rPr>
          <w:rFonts w:hint="eastAsia" w:ascii="宋体" w:hAnsi="宋体" w:eastAsia="宋体" w:cs="宋体"/>
          <w:b w:val="0"/>
          <w:bCs/>
          <w:color w:val="auto"/>
          <w:sz w:val="21"/>
          <w:szCs w:val="21"/>
          <w:highlight w:val="none"/>
        </w:rPr>
        <w:t>开标记录</w:t>
      </w:r>
      <w:r>
        <w:rPr>
          <w:rFonts w:hint="eastAsia" w:ascii="宋体" w:hAnsi="宋体" w:eastAsia="宋体" w:cs="宋体"/>
          <w:b w:val="0"/>
          <w:bCs/>
          <w:color w:val="auto"/>
          <w:sz w:val="21"/>
          <w:szCs w:val="21"/>
          <w:highlight w:val="none"/>
          <w:lang w:eastAsia="zh-CN"/>
        </w:rPr>
        <w:t>。开标结束后，</w:t>
      </w:r>
      <w:r>
        <w:rPr>
          <w:rFonts w:hint="eastAsia" w:ascii="宋体" w:hAnsi="宋体" w:eastAsia="宋体" w:cs="宋体"/>
          <w:b w:val="0"/>
          <w:bCs/>
          <w:color w:val="auto"/>
          <w:sz w:val="21"/>
          <w:szCs w:val="21"/>
          <w:highlight w:val="none"/>
        </w:rPr>
        <w:t>对开标记录</w:t>
      </w:r>
      <w:r>
        <w:rPr>
          <w:rFonts w:hint="eastAsia" w:ascii="宋体" w:hAnsi="宋体" w:eastAsia="宋体" w:cs="宋体"/>
          <w:b w:val="0"/>
          <w:bCs/>
          <w:color w:val="auto"/>
          <w:sz w:val="21"/>
          <w:szCs w:val="21"/>
          <w:highlight w:val="none"/>
          <w:lang w:eastAsia="zh-CN"/>
        </w:rPr>
        <w:t>的</w:t>
      </w:r>
      <w:r>
        <w:rPr>
          <w:rFonts w:hint="eastAsia" w:ascii="宋体" w:hAnsi="宋体" w:eastAsia="宋体" w:cs="宋体"/>
          <w:b w:val="0"/>
          <w:bCs/>
          <w:color w:val="auto"/>
          <w:sz w:val="21"/>
          <w:szCs w:val="21"/>
          <w:highlight w:val="none"/>
        </w:rPr>
        <w:t>任何异议</w:t>
      </w:r>
      <w:r>
        <w:rPr>
          <w:rFonts w:hint="eastAsia" w:ascii="宋体" w:hAnsi="宋体" w:eastAsia="宋体" w:cs="宋体"/>
          <w:b w:val="0"/>
          <w:bCs/>
          <w:color w:val="auto"/>
          <w:sz w:val="21"/>
          <w:szCs w:val="21"/>
          <w:highlight w:val="none"/>
          <w:lang w:eastAsia="zh-CN"/>
        </w:rPr>
        <w:t>不再接受</w:t>
      </w:r>
      <w:r>
        <w:rPr>
          <w:rFonts w:hint="eastAsia" w:ascii="宋体" w:hAnsi="宋体" w:eastAsia="宋体" w:cs="宋体"/>
          <w:b w:val="0"/>
          <w:bCs/>
          <w:color w:val="auto"/>
          <w:sz w:val="21"/>
          <w:szCs w:val="21"/>
          <w:highlight w:val="none"/>
        </w:rPr>
        <w:t xml:space="preserve">。 </w:t>
      </w:r>
    </w:p>
    <w:p w14:paraId="5662DC67">
      <w:pPr>
        <w:pStyle w:val="11"/>
        <w:pageBreakBefore w:val="0"/>
        <w:kinsoku/>
        <w:wordWrap/>
        <w:overflowPunct/>
        <w:topLinePunct w:val="0"/>
        <w:bidi w:val="0"/>
        <w:adjustRightInd/>
        <w:snapToGrid/>
        <w:spacing w:after="0" w:afterLines="0" w:line="400" w:lineRule="exact"/>
        <w:ind w:left="0" w:leftChars="0" w:right="0" w:rightChars="0" w:firstLine="422" w:firstLineChars="200"/>
        <w:textAlignment w:val="auto"/>
        <w:rPr>
          <w:rFonts w:hint="eastAsia" w:ascii="宋体" w:hAnsi="宋体" w:eastAsia="宋体" w:cs="宋体"/>
          <w:b/>
          <w:color w:val="auto"/>
          <w:szCs w:val="21"/>
          <w:highlight w:val="none"/>
        </w:rPr>
      </w:pPr>
      <w:bookmarkStart w:id="49" w:name="_Toc244935168"/>
      <w:bookmarkStart w:id="50" w:name="_Toc191983620"/>
      <w:bookmarkStart w:id="51" w:name="_Toc244934199"/>
      <w:bookmarkStart w:id="52" w:name="_Toc12176"/>
      <w:bookmarkStart w:id="53" w:name="_Toc234213533"/>
      <w:r>
        <w:rPr>
          <w:rFonts w:hint="eastAsia" w:ascii="宋体" w:hAnsi="宋体" w:eastAsia="宋体" w:cs="宋体"/>
          <w:b/>
          <w:color w:val="auto"/>
          <w:szCs w:val="21"/>
          <w:highlight w:val="none"/>
        </w:rPr>
        <w:t>5.2.2资格审查</w:t>
      </w:r>
    </w:p>
    <w:p w14:paraId="53637D2A">
      <w:pPr>
        <w:pStyle w:val="11"/>
        <w:pageBreakBefore w:val="0"/>
        <w:kinsoku/>
        <w:wordWrap/>
        <w:overflowPunct/>
        <w:topLinePunct w:val="0"/>
        <w:bidi w:val="0"/>
        <w:adjustRightInd/>
        <w:snapToGrid/>
        <w:spacing w:after="0" w:afterLines="0" w:line="400" w:lineRule="exact"/>
        <w:ind w:left="0" w:leftChars="0" w:right="0" w:rightChars="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开标结束后，由采购人代表和采购</w:t>
      </w:r>
      <w:r>
        <w:rPr>
          <w:rFonts w:hint="eastAsia" w:ascii="宋体" w:hAnsi="宋体" w:eastAsia="宋体" w:cs="宋体"/>
          <w:bCs/>
          <w:color w:val="auto"/>
          <w:szCs w:val="21"/>
          <w:highlight w:val="none"/>
          <w:lang w:eastAsia="zh-CN"/>
        </w:rPr>
        <w:t>代理</w:t>
      </w:r>
      <w:r>
        <w:rPr>
          <w:rFonts w:hint="eastAsia" w:ascii="宋体" w:hAnsi="宋体" w:eastAsia="宋体" w:cs="宋体"/>
          <w:bCs/>
          <w:color w:val="auto"/>
          <w:szCs w:val="21"/>
          <w:highlight w:val="none"/>
        </w:rPr>
        <w:t>机构成立资格审查小组，按照“</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须知前附表</w:t>
      </w:r>
      <w:r>
        <w:rPr>
          <w:rFonts w:hint="eastAsia" w:ascii="宋体" w:hAnsi="宋体" w:eastAsia="宋体" w:cs="宋体"/>
          <w:bCs/>
          <w:color w:val="auto"/>
          <w:szCs w:val="21"/>
          <w:highlight w:val="none"/>
          <w:lang w:val="en-US" w:eastAsia="zh-CN"/>
        </w:rPr>
        <w:t>1.4.1</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资格要求”对</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进行资格审查。</w:t>
      </w:r>
    </w:p>
    <w:p w14:paraId="132F6639">
      <w:pPr>
        <w:pStyle w:val="11"/>
        <w:pageBreakBefore w:val="0"/>
        <w:kinsoku/>
        <w:wordWrap/>
        <w:overflowPunct/>
        <w:topLinePunct w:val="0"/>
        <w:bidi w:val="0"/>
        <w:adjustRightInd/>
        <w:snapToGrid/>
        <w:spacing w:after="0" w:afterLines="0" w:line="400" w:lineRule="exact"/>
        <w:ind w:left="0" w:leftChars="0" w:right="0" w:rightChars="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通过资格审查的</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 xml:space="preserve">不足三家的，按废标处理，采购人应依法重新招标。   </w:t>
      </w:r>
    </w:p>
    <w:p w14:paraId="73554834">
      <w:pPr>
        <w:pStyle w:val="3"/>
        <w:pageBreakBefore w:val="0"/>
        <w:kinsoku/>
        <w:wordWrap/>
        <w:overflowPunct/>
        <w:topLinePunct w:val="0"/>
        <w:bidi w:val="0"/>
        <w:adjustRightInd/>
        <w:snapToGrid/>
        <w:spacing w:after="0" w:afterLines="0" w:line="400" w:lineRule="exact"/>
        <w:ind w:left="0" w:leftChars="0" w:right="0" w:righ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评标</w:t>
      </w:r>
      <w:bookmarkEnd w:id="49"/>
      <w:bookmarkEnd w:id="50"/>
      <w:bookmarkEnd w:id="51"/>
      <w:bookmarkEnd w:id="52"/>
      <w:bookmarkEnd w:id="53"/>
    </w:p>
    <w:p w14:paraId="026911C0">
      <w:pPr>
        <w:pageBreakBefore w:val="0"/>
        <w:kinsoku/>
        <w:wordWrap/>
        <w:overflowPunct/>
        <w:topLinePunct w:val="0"/>
        <w:bidi w:val="0"/>
        <w:adjustRightInd/>
        <w:snapToGrid/>
        <w:spacing w:line="400" w:lineRule="exact"/>
        <w:ind w:left="0" w:leftChars="0" w:right="0" w:rightChars="0" w:firstLine="422" w:firstLineChars="200"/>
        <w:textAlignment w:val="auto"/>
        <w:rPr>
          <w:rFonts w:hint="eastAsia" w:ascii="宋体" w:hAnsi="宋体" w:eastAsia="宋体" w:cs="宋体"/>
          <w:b/>
          <w:bCs/>
          <w:color w:val="auto"/>
          <w:sz w:val="21"/>
          <w:szCs w:val="21"/>
          <w:highlight w:val="none"/>
        </w:rPr>
      </w:pPr>
      <w:bookmarkStart w:id="54" w:name="_Toc244935169"/>
      <w:bookmarkStart w:id="55" w:name="_Toc234213534"/>
      <w:bookmarkStart w:id="56" w:name="_Toc244934200"/>
      <w:bookmarkStart w:id="57" w:name="_Toc191983621"/>
      <w:r>
        <w:rPr>
          <w:rFonts w:hint="eastAsia" w:ascii="宋体" w:hAnsi="宋体" w:eastAsia="宋体" w:cs="宋体"/>
          <w:b/>
          <w:bCs/>
          <w:color w:val="auto"/>
          <w:sz w:val="21"/>
          <w:szCs w:val="21"/>
          <w:highlight w:val="none"/>
        </w:rPr>
        <w:t>6.1评标委员会</w:t>
      </w:r>
    </w:p>
    <w:p w14:paraId="6F99D7B5">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  评标由采购人依法组建的评标委员会负责。评标委员会由采购人熟悉相关业务的代表，以及有关技术、经济等方面的专家组成。评标委员会成员人数以及技术、经济等方面专家的确定方式见</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009B25CC">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  评标委员会成员有下列情形之一的，应当回避：</w:t>
      </w:r>
    </w:p>
    <w:p w14:paraId="101EA3D1">
      <w:pPr>
        <w:pageBreakBefore w:val="0"/>
        <w:numPr>
          <w:ilvl w:val="0"/>
          <w:numId w:val="4"/>
        </w:numPr>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的主要负责人的近亲属；</w:t>
      </w:r>
    </w:p>
    <w:p w14:paraId="3F6EFD78">
      <w:pPr>
        <w:pageBreakBefore w:val="0"/>
        <w:numPr>
          <w:ilvl w:val="0"/>
          <w:numId w:val="4"/>
        </w:numPr>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项目主管部门或者行政监督部门的人员；</w:t>
      </w:r>
    </w:p>
    <w:p w14:paraId="1167E9BD">
      <w:pPr>
        <w:pageBreakBefore w:val="0"/>
        <w:numPr>
          <w:ilvl w:val="0"/>
          <w:numId w:val="4"/>
        </w:numPr>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有经济利益关系，可能影响对投标公正评审的；</w:t>
      </w:r>
    </w:p>
    <w:p w14:paraId="2EDCEE6E">
      <w:pPr>
        <w:pageBreakBefore w:val="0"/>
        <w:numPr>
          <w:ilvl w:val="0"/>
          <w:numId w:val="4"/>
        </w:numPr>
        <w:tabs>
          <w:tab w:val="left" w:pos="0"/>
          <w:tab w:val="clear" w:pos="420"/>
        </w:tabs>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曾因在招标、评标以及其他与招标投标有关活动中从事违法行为而受过行政处罚或刑事处罚的。</w:t>
      </w:r>
    </w:p>
    <w:p w14:paraId="00D1FB71">
      <w:pPr>
        <w:pageBreakBefore w:val="0"/>
        <w:kinsoku/>
        <w:wordWrap/>
        <w:overflowPunct/>
        <w:topLinePunct w:val="0"/>
        <w:bidi w:val="0"/>
        <w:adjustRightInd/>
        <w:snapToGrid/>
        <w:spacing w:line="400" w:lineRule="exact"/>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6.2 评标原则</w:t>
      </w:r>
    </w:p>
    <w:p w14:paraId="484E23B6">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评标活动遵循公平、公正、科学和择优的原则。</w:t>
      </w:r>
    </w:p>
    <w:p w14:paraId="04A86674">
      <w:pPr>
        <w:pageBreakBefore w:val="0"/>
        <w:kinsoku/>
        <w:wordWrap/>
        <w:overflowPunct/>
        <w:topLinePunct w:val="0"/>
        <w:bidi w:val="0"/>
        <w:adjustRightInd/>
        <w:snapToGrid/>
        <w:spacing w:line="400" w:lineRule="exact"/>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6.3 评标过程的保密</w:t>
      </w:r>
    </w:p>
    <w:p w14:paraId="338DDDD2">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公开开标后，直到授予中标人合同为止，凡属于对投标文件的审查、澄清、评价和比较的有关资料以及中标候选人的推荐情况、与评标有关的其他任何情况均应严格保密。</w:t>
      </w:r>
    </w:p>
    <w:p w14:paraId="004C3CFB">
      <w:pPr>
        <w:pageBreakBefore w:val="0"/>
        <w:kinsoku/>
        <w:wordWrap/>
        <w:overflowPunct/>
        <w:topLinePunct w:val="0"/>
        <w:bidi w:val="0"/>
        <w:adjustRightInd/>
        <w:snapToGrid/>
        <w:spacing w:line="400" w:lineRule="exact"/>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6.4  评标</w:t>
      </w:r>
    </w:p>
    <w:p w14:paraId="4215DB2F">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评标委员会按照第三章“评标办法”规定的方法和程序对投标文件进行评审。第三章“评标办法”没有规定的方法和标准，不作为评标依据。</w:t>
      </w:r>
    </w:p>
    <w:bookmarkEnd w:id="54"/>
    <w:bookmarkEnd w:id="55"/>
    <w:bookmarkEnd w:id="56"/>
    <w:bookmarkEnd w:id="57"/>
    <w:p w14:paraId="554EE772">
      <w:pPr>
        <w:pStyle w:val="3"/>
        <w:pageBreakBefore w:val="0"/>
        <w:kinsoku/>
        <w:wordWrap/>
        <w:overflowPunct/>
        <w:topLinePunct w:val="0"/>
        <w:bidi w:val="0"/>
        <w:adjustRightInd/>
        <w:snapToGrid/>
        <w:spacing w:after="0" w:afterLines="0" w:line="40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58" w:name="_Toc184635077"/>
      <w:bookmarkStart w:id="59" w:name="_Toc22044"/>
      <w:r>
        <w:rPr>
          <w:rFonts w:hint="eastAsia" w:ascii="宋体" w:hAnsi="宋体" w:eastAsia="宋体" w:cs="宋体"/>
          <w:color w:val="auto"/>
          <w:sz w:val="21"/>
          <w:szCs w:val="21"/>
          <w:highlight w:val="none"/>
        </w:rPr>
        <w:t>7．合同授予</w:t>
      </w:r>
      <w:bookmarkEnd w:id="58"/>
      <w:bookmarkEnd w:id="59"/>
    </w:p>
    <w:p w14:paraId="085FBC95">
      <w:pPr>
        <w:pageBreakBefore w:val="0"/>
        <w:kinsoku/>
        <w:wordWrap/>
        <w:overflowPunct/>
        <w:topLinePunct w:val="0"/>
        <w:bidi w:val="0"/>
        <w:adjustRightInd/>
        <w:snapToGrid/>
        <w:spacing w:line="400" w:lineRule="exact"/>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7.1 定标方式</w:t>
      </w:r>
    </w:p>
    <w:p w14:paraId="63A54781">
      <w:pPr>
        <w:pStyle w:val="58"/>
        <w:pageBreakBefore w:val="0"/>
        <w:kinsoku/>
        <w:wordWrap/>
        <w:overflowPunct/>
        <w:topLinePunct w:val="0"/>
        <w:bidi w:val="0"/>
        <w:adjustRightInd/>
        <w:snapToGrid/>
        <w:spacing w:line="24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依据评标委员会推荐的中标候选人确定中标人，评标委员会推荐中标候选人的人数见</w:t>
      </w:r>
      <w:r>
        <w:rPr>
          <w:rFonts w:hint="eastAsia"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w:t>
      </w:r>
      <w:r>
        <w:rPr>
          <w:rFonts w:hint="eastAsia" w:ascii="宋体" w:hAnsi="宋体" w:eastAsia="宋体" w:cs="宋体"/>
          <w:color w:val="auto"/>
          <w:sz w:val="21"/>
          <w:szCs w:val="21"/>
          <w:highlight w:val="none"/>
        </w:rPr>
        <w:t>采购人自收到评标报告之日起5个工作日内，采购人</w:t>
      </w:r>
      <w:r>
        <w:rPr>
          <w:rFonts w:hint="eastAsia" w:cs="宋体"/>
          <w:color w:val="auto"/>
          <w:sz w:val="21"/>
          <w:szCs w:val="21"/>
          <w:highlight w:val="none"/>
          <w:lang w:val="en-US" w:eastAsia="zh-CN"/>
        </w:rPr>
        <w:t>可以</w:t>
      </w:r>
      <w:r>
        <w:rPr>
          <w:rFonts w:hint="eastAsia" w:ascii="宋体" w:hAnsi="宋体" w:eastAsia="宋体" w:cs="宋体"/>
          <w:color w:val="auto"/>
          <w:sz w:val="21"/>
          <w:szCs w:val="21"/>
          <w:highlight w:val="none"/>
        </w:rPr>
        <w:t>对中标候选人所投产品的功能、技术参数、兼容性等进行实地测试，如发现中标候选人弄虚作假响应招标文件的，则按照国家相关法律法规进行处罚，列入政府采购黑名单，并做经济处罚。</w:t>
      </w:r>
    </w:p>
    <w:p w14:paraId="41E98716">
      <w:pPr>
        <w:pStyle w:val="58"/>
        <w:pageBreakBefore w:val="0"/>
        <w:kinsoku/>
        <w:wordWrap/>
        <w:overflowPunct/>
        <w:topLinePunct w:val="0"/>
        <w:bidi w:val="0"/>
        <w:adjustRightInd/>
        <w:snapToGrid/>
        <w:spacing w:line="24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中标候选人验证通过后，采购人依据评标报告确定的中标候选人名单中按顺序确定中标人,若第一</w:t>
      </w:r>
      <w:r>
        <w:rPr>
          <w:rFonts w:hint="eastAsia" w:eastAsia="宋体" w:cs="宋体"/>
          <w:color w:val="auto"/>
          <w:sz w:val="21"/>
          <w:szCs w:val="21"/>
          <w:highlight w:val="none"/>
          <w:lang w:eastAsia="zh-CN"/>
        </w:rPr>
        <w:t>中标</w:t>
      </w:r>
      <w:r>
        <w:rPr>
          <w:rFonts w:hint="eastAsia" w:ascii="宋体" w:hAnsi="宋体" w:eastAsia="宋体" w:cs="宋体"/>
          <w:color w:val="auto"/>
          <w:sz w:val="21"/>
          <w:szCs w:val="21"/>
          <w:highlight w:val="none"/>
        </w:rPr>
        <w:t>候选人放弃成交、因不可抗力不能履行合同，或者被查实存在影响</w:t>
      </w:r>
      <w:r>
        <w:rPr>
          <w:rFonts w:hint="eastAsia" w:eastAsia="宋体" w:cs="宋体"/>
          <w:color w:val="auto"/>
          <w:sz w:val="21"/>
          <w:szCs w:val="21"/>
          <w:highlight w:val="none"/>
          <w:lang w:eastAsia="zh-CN"/>
        </w:rPr>
        <w:t>中标</w:t>
      </w:r>
      <w:r>
        <w:rPr>
          <w:rFonts w:hint="eastAsia" w:ascii="宋体" w:hAnsi="宋体" w:eastAsia="宋体" w:cs="宋体"/>
          <w:color w:val="auto"/>
          <w:sz w:val="21"/>
          <w:szCs w:val="21"/>
          <w:highlight w:val="none"/>
        </w:rPr>
        <w:t>结果的违法行为等情形，不符合</w:t>
      </w:r>
      <w:r>
        <w:rPr>
          <w:rFonts w:hint="eastAsia" w:eastAsia="宋体" w:cs="宋体"/>
          <w:color w:val="auto"/>
          <w:sz w:val="21"/>
          <w:szCs w:val="21"/>
          <w:highlight w:val="none"/>
          <w:lang w:eastAsia="zh-CN"/>
        </w:rPr>
        <w:t>中标</w:t>
      </w:r>
      <w:r>
        <w:rPr>
          <w:rFonts w:hint="eastAsia" w:ascii="宋体" w:hAnsi="宋体" w:eastAsia="宋体" w:cs="宋体"/>
          <w:color w:val="auto"/>
          <w:sz w:val="21"/>
          <w:szCs w:val="21"/>
          <w:highlight w:val="none"/>
        </w:rPr>
        <w:t>条件的，</w:t>
      </w:r>
      <w:r>
        <w:rPr>
          <w:rFonts w:hint="eastAsia"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可以按照</w:t>
      </w:r>
      <w:r>
        <w:rPr>
          <w:rFonts w:hint="eastAsia"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提出的</w:t>
      </w:r>
      <w:r>
        <w:rPr>
          <w:rFonts w:hint="eastAsia" w:eastAsia="宋体" w:cs="宋体"/>
          <w:color w:val="auto"/>
          <w:sz w:val="21"/>
          <w:szCs w:val="21"/>
          <w:highlight w:val="none"/>
          <w:lang w:eastAsia="zh-CN"/>
        </w:rPr>
        <w:t>中标</w:t>
      </w:r>
      <w:r>
        <w:rPr>
          <w:rFonts w:hint="eastAsia" w:ascii="宋体" w:hAnsi="宋体" w:eastAsia="宋体" w:cs="宋体"/>
          <w:color w:val="auto"/>
          <w:sz w:val="21"/>
          <w:szCs w:val="21"/>
          <w:highlight w:val="none"/>
        </w:rPr>
        <w:t>候选人名单排序依次确定其他</w:t>
      </w:r>
      <w:r>
        <w:rPr>
          <w:rFonts w:hint="eastAsia" w:eastAsia="宋体" w:cs="宋体"/>
          <w:color w:val="auto"/>
          <w:sz w:val="21"/>
          <w:szCs w:val="21"/>
          <w:highlight w:val="none"/>
          <w:lang w:eastAsia="zh-CN"/>
        </w:rPr>
        <w:t>中标</w:t>
      </w:r>
      <w:r>
        <w:rPr>
          <w:rFonts w:hint="eastAsia" w:ascii="宋体" w:hAnsi="宋体" w:eastAsia="宋体" w:cs="宋体"/>
          <w:color w:val="auto"/>
          <w:sz w:val="21"/>
          <w:szCs w:val="21"/>
          <w:highlight w:val="none"/>
        </w:rPr>
        <w:t>候选人为</w:t>
      </w:r>
      <w:r>
        <w:rPr>
          <w:rFonts w:hint="eastAsia" w:eastAsia="宋体" w:cs="宋体"/>
          <w:color w:val="auto"/>
          <w:sz w:val="21"/>
          <w:szCs w:val="21"/>
          <w:highlight w:val="none"/>
          <w:lang w:eastAsia="zh-CN"/>
        </w:rPr>
        <w:t>中标</w:t>
      </w:r>
      <w:r>
        <w:rPr>
          <w:rFonts w:hint="eastAsia" w:ascii="宋体" w:hAnsi="宋体" w:eastAsia="宋体" w:cs="宋体"/>
          <w:color w:val="auto"/>
          <w:sz w:val="21"/>
          <w:szCs w:val="21"/>
          <w:highlight w:val="none"/>
        </w:rPr>
        <w:t>人，也可以重新</w:t>
      </w:r>
      <w:r>
        <w:rPr>
          <w:rFonts w:hint="eastAsia" w:eastAsia="宋体" w:cs="宋体"/>
          <w:color w:val="auto"/>
          <w:sz w:val="21"/>
          <w:szCs w:val="21"/>
          <w:highlight w:val="none"/>
          <w:lang w:eastAsia="zh-CN"/>
        </w:rPr>
        <w:t>招标</w:t>
      </w:r>
      <w:r>
        <w:rPr>
          <w:rFonts w:hint="eastAsia" w:ascii="宋体" w:hAnsi="宋体" w:eastAsia="宋体" w:cs="宋体"/>
          <w:color w:val="auto"/>
          <w:sz w:val="21"/>
          <w:szCs w:val="21"/>
          <w:highlight w:val="none"/>
        </w:rPr>
        <w:t>。</w:t>
      </w:r>
    </w:p>
    <w:p w14:paraId="033963A7">
      <w:pPr>
        <w:pageBreakBefore w:val="0"/>
        <w:kinsoku/>
        <w:wordWrap/>
        <w:overflowPunct/>
        <w:topLinePunct w:val="0"/>
        <w:bidi w:val="0"/>
        <w:adjustRightInd/>
        <w:snapToGrid/>
        <w:spacing w:line="240" w:lineRule="auto"/>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评标委员会经评审，认为所有投标均不符合招标文件要求的，可以否决所有投标，所有投标被否决后，采购人可以重新招标。</w:t>
      </w:r>
    </w:p>
    <w:p w14:paraId="36DEEC0E">
      <w:pPr>
        <w:pageBreakBefore w:val="0"/>
        <w:kinsoku/>
        <w:wordWrap/>
        <w:overflowPunct/>
        <w:topLinePunct w:val="0"/>
        <w:bidi w:val="0"/>
        <w:adjustRightInd/>
        <w:snapToGrid/>
        <w:spacing w:line="400" w:lineRule="exact"/>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7.2 中标通知</w:t>
      </w:r>
    </w:p>
    <w:p w14:paraId="012DF563">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在本章第3.</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 xml:space="preserve"> 款规定的投标有效期内，</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以书面形式向中标人发出中标通知书，同时将中标结果通知未中标的</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w:t>
      </w:r>
    </w:p>
    <w:p w14:paraId="4DAEB5AE">
      <w:pPr>
        <w:pageBreakBefore w:val="0"/>
        <w:kinsoku/>
        <w:wordWrap/>
        <w:overflowPunct/>
        <w:topLinePunct w:val="0"/>
        <w:bidi w:val="0"/>
        <w:adjustRightInd/>
        <w:snapToGrid/>
        <w:spacing w:line="400" w:lineRule="exact"/>
        <w:ind w:left="0" w:leftChars="0" w:right="0" w:rightChars="0" w:firstLine="422" w:firstLineChars="200"/>
        <w:textAlignment w:val="auto"/>
        <w:rPr>
          <w:rFonts w:hint="eastAsia" w:ascii="宋体" w:hAnsi="宋体" w:eastAsia="宋体" w:cs="宋体"/>
          <w:b/>
          <w:color w:val="auto"/>
          <w:sz w:val="21"/>
          <w:szCs w:val="21"/>
          <w:highlight w:val="none"/>
        </w:rPr>
      </w:pPr>
      <w:bookmarkStart w:id="60" w:name="_Toc278027739"/>
      <w:bookmarkStart w:id="61" w:name="_Toc184635079"/>
      <w:r>
        <w:rPr>
          <w:rFonts w:hint="eastAsia" w:ascii="宋体" w:hAnsi="宋体" w:eastAsia="宋体" w:cs="宋体"/>
          <w:b/>
          <w:color w:val="auto"/>
          <w:sz w:val="21"/>
          <w:szCs w:val="21"/>
          <w:highlight w:val="none"/>
        </w:rPr>
        <w:t>7.</w:t>
      </w: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签订合同</w:t>
      </w:r>
    </w:p>
    <w:p w14:paraId="1650651A">
      <w:pPr>
        <w:pageBreakBefore w:val="0"/>
        <w:kinsoku/>
        <w:wordWrap/>
        <w:overflowPunct/>
        <w:topLinePunct w:val="0"/>
        <w:bidi w:val="0"/>
        <w:adjustRightInd/>
        <w:snapToGrid/>
        <w:spacing w:line="240" w:lineRule="auto"/>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7.</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 xml:space="preserve">.1 </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和中标人应当自中标通知书发出之日起30天内</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《信财购</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2022</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6号关于对政府采购项目实施 采购人“一项目一承诺”责任制管理的通知</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，争取中标公告发布后1日内签订合同</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，根据招标文件和中标人的投标文件订立书面合同。中标人无正当理由拒签合同的，</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取消其中标资格。</w:t>
      </w:r>
    </w:p>
    <w:p w14:paraId="0F6040A3">
      <w:pPr>
        <w:pageBreakBefore w:val="0"/>
        <w:kinsoku/>
        <w:wordWrap/>
        <w:overflowPunct/>
        <w:topLinePunct w:val="0"/>
        <w:bidi w:val="0"/>
        <w:adjustRightInd/>
        <w:snapToGrid/>
        <w:spacing w:line="240" w:lineRule="auto"/>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7.</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.2 发出中标通知书后，采购人无正当理由拒签合同的，给中标人造成损失的，应当赔偿损失。</w:t>
      </w:r>
    </w:p>
    <w:p w14:paraId="76134DC1">
      <w:pPr>
        <w:pStyle w:val="3"/>
        <w:pageBreakBefore w:val="0"/>
        <w:kinsoku/>
        <w:wordWrap/>
        <w:overflowPunct/>
        <w:topLinePunct w:val="0"/>
        <w:bidi w:val="0"/>
        <w:adjustRightInd/>
        <w:snapToGrid/>
        <w:spacing w:after="0" w:afterLines="0" w:line="40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62" w:name="_Toc15038"/>
      <w:r>
        <w:rPr>
          <w:rFonts w:hint="eastAsia" w:ascii="宋体" w:hAnsi="宋体" w:eastAsia="宋体" w:cs="宋体"/>
          <w:color w:val="auto"/>
          <w:sz w:val="21"/>
          <w:szCs w:val="21"/>
          <w:highlight w:val="none"/>
        </w:rPr>
        <w:t>8.重新招标和不再招标</w:t>
      </w:r>
      <w:bookmarkEnd w:id="60"/>
      <w:bookmarkEnd w:id="62"/>
    </w:p>
    <w:p w14:paraId="49889F6E">
      <w:pPr>
        <w:pageBreakBefore w:val="0"/>
        <w:kinsoku/>
        <w:wordWrap/>
        <w:overflowPunct/>
        <w:topLinePunct w:val="0"/>
        <w:bidi w:val="0"/>
        <w:adjustRightInd/>
        <w:snapToGrid/>
        <w:spacing w:line="400" w:lineRule="exact"/>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8.1重新招标 </w:t>
      </w:r>
    </w:p>
    <w:p w14:paraId="739A8016">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有下列情形之一的，</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将重新招标：</w:t>
      </w:r>
    </w:p>
    <w:p w14:paraId="58291292">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（1）投标截止时间止，</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少于3个的；</w:t>
      </w:r>
    </w:p>
    <w:p w14:paraId="3DCE1A5D">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（2）通过资格审查的</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不足三家的；</w:t>
      </w:r>
    </w:p>
    <w:p w14:paraId="05AFFD78">
      <w:pPr>
        <w:pageBreakBefore w:val="0"/>
        <w:kinsoku/>
        <w:wordWrap/>
        <w:overflowPunct/>
        <w:topLinePunct w:val="0"/>
        <w:bidi w:val="0"/>
        <w:adjustRightInd/>
        <w:snapToGrid/>
        <w:spacing w:line="400" w:lineRule="exact"/>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（3）经评标委员会评审后否决所有投标的。</w:t>
      </w:r>
    </w:p>
    <w:p w14:paraId="138B7561">
      <w:pPr>
        <w:pageBreakBefore w:val="0"/>
        <w:widowControl/>
        <w:kinsoku/>
        <w:wordWrap/>
        <w:overflowPunct/>
        <w:topLinePunct w:val="0"/>
        <w:bidi w:val="0"/>
        <w:adjustRightInd/>
        <w:snapToGrid/>
        <w:spacing w:line="400" w:lineRule="exact"/>
        <w:ind w:left="0" w:leftChars="0" w:right="0" w:righ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8.2不再招标</w:t>
      </w:r>
    </w:p>
    <w:p w14:paraId="36388C60">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废标后，除采购任务取消情形外，应当重新组织招标；需要</w:t>
      </w:r>
      <w:r>
        <w:rPr>
          <w:rFonts w:hint="eastAsia" w:ascii="宋体" w:hAnsi="宋体" w:cs="宋体"/>
          <w:bCs/>
          <w:color w:val="auto"/>
          <w:sz w:val="21"/>
          <w:szCs w:val="21"/>
          <w:highlight w:val="none"/>
          <w:lang w:eastAsia="zh-CN"/>
        </w:rPr>
        <w:t>采取其他方式</w:t>
      </w:r>
      <w:r>
        <w:rPr>
          <w:rFonts w:hint="eastAsia" w:ascii="宋体" w:hAnsi="宋体" w:eastAsia="宋体" w:cs="宋体"/>
          <w:bCs/>
          <w:color w:val="auto"/>
          <w:sz w:val="21"/>
          <w:szCs w:val="21"/>
          <w:highlight w:val="none"/>
        </w:rPr>
        <w:t>采购的，应当在采购活动开始前获得设区的市、自治州以上人民政府采购监督管理部门或者政府有关部门批准。</w:t>
      </w:r>
    </w:p>
    <w:bookmarkEnd w:id="61"/>
    <w:p w14:paraId="40CB3540">
      <w:pPr>
        <w:pStyle w:val="3"/>
        <w:pageBreakBefore w:val="0"/>
        <w:kinsoku/>
        <w:wordWrap/>
        <w:overflowPunct/>
        <w:topLinePunct w:val="0"/>
        <w:bidi w:val="0"/>
        <w:adjustRightInd/>
        <w:snapToGrid/>
        <w:spacing w:after="0" w:afterLines="0" w:line="40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63" w:name="_Toc278027740"/>
      <w:bookmarkStart w:id="64" w:name="_Toc31870"/>
      <w:bookmarkStart w:id="65" w:name="_Toc184635080"/>
      <w:r>
        <w:rPr>
          <w:rFonts w:hint="eastAsia" w:ascii="宋体" w:hAnsi="宋体" w:eastAsia="宋体" w:cs="宋体"/>
          <w:color w:val="auto"/>
          <w:sz w:val="21"/>
          <w:szCs w:val="21"/>
          <w:highlight w:val="none"/>
        </w:rPr>
        <w:t>9.纪律和监督</w:t>
      </w:r>
      <w:bookmarkEnd w:id="63"/>
      <w:bookmarkEnd w:id="64"/>
    </w:p>
    <w:p w14:paraId="4AC0FC75">
      <w:pPr>
        <w:pageBreakBefore w:val="0"/>
        <w:widowControl/>
        <w:kinsoku/>
        <w:wordWrap/>
        <w:overflowPunct/>
        <w:topLinePunct w:val="0"/>
        <w:bidi w:val="0"/>
        <w:adjustRightInd/>
        <w:snapToGrid/>
        <w:spacing w:line="400" w:lineRule="exact"/>
        <w:ind w:left="0" w:leftChars="0" w:right="0" w:righ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9.1对</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的纪律要求</w:t>
      </w:r>
    </w:p>
    <w:p w14:paraId="0252E212">
      <w:pPr>
        <w:pageBreakBefore w:val="0"/>
        <w:widowControl/>
        <w:kinsoku/>
        <w:wordWrap/>
        <w:overflowPunct/>
        <w:topLinePunct w:val="0"/>
        <w:bidi w:val="0"/>
        <w:adjustRightInd/>
        <w:snapToGrid/>
        <w:spacing w:line="240" w:lineRule="auto"/>
        <w:ind w:left="0" w:leftChars="0" w:right="0" w:righ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eastAsia="zh-CN"/>
        </w:rPr>
        <w:t>采购人</w:t>
      </w:r>
      <w:r>
        <w:rPr>
          <w:rFonts w:hint="eastAsia" w:ascii="宋体" w:hAnsi="宋体" w:cs="宋体"/>
          <w:bCs/>
          <w:color w:val="auto"/>
          <w:sz w:val="21"/>
          <w:szCs w:val="21"/>
          <w:highlight w:val="none"/>
          <w:lang w:eastAsia="zh-CN"/>
        </w:rPr>
        <w:t>不得泄露</w:t>
      </w:r>
      <w:r>
        <w:rPr>
          <w:rFonts w:hint="eastAsia" w:ascii="宋体" w:hAnsi="宋体" w:eastAsia="宋体" w:cs="宋体"/>
          <w:bCs/>
          <w:color w:val="auto"/>
          <w:sz w:val="21"/>
          <w:szCs w:val="21"/>
          <w:highlight w:val="none"/>
        </w:rPr>
        <w:t>招标投标活动中应当保密的情况和资料，不得与</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串通损害国家利益、社会公共利益或者他人合法权益。</w:t>
      </w:r>
    </w:p>
    <w:p w14:paraId="18EB9132">
      <w:pPr>
        <w:pageBreakBefore w:val="0"/>
        <w:widowControl/>
        <w:kinsoku/>
        <w:wordWrap/>
        <w:overflowPunct/>
        <w:topLinePunct w:val="0"/>
        <w:bidi w:val="0"/>
        <w:adjustRightInd/>
        <w:snapToGrid/>
        <w:spacing w:line="400" w:lineRule="exact"/>
        <w:ind w:left="0" w:leftChars="0" w:right="0" w:righ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9.2对</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的纪律要求</w:t>
      </w:r>
    </w:p>
    <w:p w14:paraId="3EA5DD28">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Cs/>
          <w:color w:val="auto"/>
          <w:spacing w:val="-3"/>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cs="宋体"/>
          <w:bCs/>
          <w:color w:val="auto"/>
          <w:spacing w:val="-3"/>
          <w:sz w:val="21"/>
          <w:szCs w:val="21"/>
          <w:highlight w:val="none"/>
          <w:lang w:eastAsia="zh-CN"/>
        </w:rPr>
        <w:t>供应商</w:t>
      </w:r>
      <w:r>
        <w:rPr>
          <w:rFonts w:hint="eastAsia" w:ascii="宋体" w:hAnsi="宋体" w:eastAsia="宋体" w:cs="宋体"/>
          <w:bCs/>
          <w:color w:val="auto"/>
          <w:spacing w:val="-3"/>
          <w:sz w:val="21"/>
          <w:szCs w:val="21"/>
          <w:highlight w:val="none"/>
        </w:rPr>
        <w:t>不得相互串通投标或者与</w:t>
      </w:r>
      <w:r>
        <w:rPr>
          <w:rFonts w:hint="eastAsia" w:ascii="宋体" w:hAnsi="宋体" w:eastAsia="宋体" w:cs="宋体"/>
          <w:bCs/>
          <w:color w:val="auto"/>
          <w:spacing w:val="-3"/>
          <w:sz w:val="21"/>
          <w:szCs w:val="21"/>
          <w:highlight w:val="none"/>
          <w:lang w:eastAsia="zh-CN"/>
        </w:rPr>
        <w:t>采购人</w:t>
      </w:r>
      <w:r>
        <w:rPr>
          <w:rFonts w:hint="eastAsia" w:ascii="宋体" w:hAnsi="宋体" w:eastAsia="宋体" w:cs="宋体"/>
          <w:bCs/>
          <w:color w:val="auto"/>
          <w:spacing w:val="-3"/>
          <w:sz w:val="21"/>
          <w:szCs w:val="21"/>
          <w:highlight w:val="none"/>
        </w:rPr>
        <w:t>串通投标，不得向</w:t>
      </w:r>
      <w:r>
        <w:rPr>
          <w:rFonts w:hint="eastAsia" w:ascii="宋体" w:hAnsi="宋体" w:eastAsia="宋体" w:cs="宋体"/>
          <w:bCs/>
          <w:color w:val="auto"/>
          <w:spacing w:val="-3"/>
          <w:sz w:val="21"/>
          <w:szCs w:val="21"/>
          <w:highlight w:val="none"/>
          <w:lang w:eastAsia="zh-CN"/>
        </w:rPr>
        <w:t>采购人</w:t>
      </w:r>
      <w:r>
        <w:rPr>
          <w:rFonts w:hint="eastAsia" w:ascii="宋体" w:hAnsi="宋体" w:eastAsia="宋体" w:cs="宋体"/>
          <w:bCs/>
          <w:color w:val="auto"/>
          <w:spacing w:val="-3"/>
          <w:sz w:val="21"/>
          <w:szCs w:val="21"/>
          <w:highlight w:val="none"/>
        </w:rPr>
        <w:t>或者评标委员会成员行贿谋取中标，不得以他人名义投标或者以其他方式弄虚作假骗取中标；</w:t>
      </w:r>
      <w:r>
        <w:rPr>
          <w:rFonts w:hint="eastAsia" w:ascii="宋体" w:hAnsi="宋体" w:cs="宋体"/>
          <w:bCs/>
          <w:color w:val="auto"/>
          <w:spacing w:val="-3"/>
          <w:sz w:val="21"/>
          <w:szCs w:val="21"/>
          <w:highlight w:val="none"/>
          <w:lang w:eastAsia="zh-CN"/>
        </w:rPr>
        <w:t>供应商</w:t>
      </w:r>
      <w:r>
        <w:rPr>
          <w:rFonts w:hint="eastAsia" w:ascii="宋体" w:hAnsi="宋体" w:eastAsia="宋体" w:cs="宋体"/>
          <w:bCs/>
          <w:color w:val="auto"/>
          <w:spacing w:val="-3"/>
          <w:sz w:val="21"/>
          <w:szCs w:val="21"/>
          <w:highlight w:val="none"/>
        </w:rPr>
        <w:t>不得以任何方式干扰、影响评标工作。</w:t>
      </w:r>
    </w:p>
    <w:p w14:paraId="6FA4A6DF">
      <w:pPr>
        <w:pageBreakBefore w:val="0"/>
        <w:widowControl/>
        <w:kinsoku/>
        <w:wordWrap/>
        <w:overflowPunct/>
        <w:topLinePunct w:val="0"/>
        <w:bidi w:val="0"/>
        <w:adjustRightInd/>
        <w:snapToGrid/>
        <w:spacing w:line="400" w:lineRule="exact"/>
        <w:ind w:left="0" w:leftChars="0" w:right="0" w:righ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9.3对评标委员会成员的纪律要求</w:t>
      </w:r>
    </w:p>
    <w:p w14:paraId="308CB601">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评标委员会成员不得收受他人的财物或者其他好处，不得向他人</w:t>
      </w:r>
      <w:r>
        <w:rPr>
          <w:rFonts w:hint="eastAsia" w:ascii="宋体" w:hAnsi="宋体" w:cs="宋体"/>
          <w:bCs/>
          <w:color w:val="auto"/>
          <w:sz w:val="21"/>
          <w:szCs w:val="21"/>
          <w:highlight w:val="none"/>
          <w:lang w:eastAsia="zh-CN"/>
        </w:rPr>
        <w:t>透露</w:t>
      </w:r>
      <w:r>
        <w:rPr>
          <w:rFonts w:hint="eastAsia" w:ascii="宋体" w:hAnsi="宋体" w:eastAsia="宋体" w:cs="宋体"/>
          <w:bCs/>
          <w:color w:val="auto"/>
          <w:sz w:val="21"/>
          <w:szCs w:val="21"/>
          <w:highlight w:val="none"/>
        </w:rPr>
        <w:t>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DC21254">
      <w:pPr>
        <w:pageBreakBefore w:val="0"/>
        <w:widowControl/>
        <w:kinsoku/>
        <w:wordWrap/>
        <w:overflowPunct/>
        <w:topLinePunct w:val="0"/>
        <w:bidi w:val="0"/>
        <w:adjustRightInd/>
        <w:snapToGrid/>
        <w:spacing w:line="400" w:lineRule="exact"/>
        <w:ind w:left="0" w:leftChars="0" w:right="0" w:righ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9.4对与评标活动有关的工作人员的纪律要求</w:t>
      </w:r>
    </w:p>
    <w:p w14:paraId="6941EF54">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与评标活动有关的工作人员不得收受他人的财物或者其他好处，不得向他人</w:t>
      </w:r>
      <w:r>
        <w:rPr>
          <w:rFonts w:hint="eastAsia" w:ascii="宋体" w:hAnsi="宋体" w:cs="宋体"/>
          <w:bCs/>
          <w:color w:val="auto"/>
          <w:sz w:val="21"/>
          <w:szCs w:val="21"/>
          <w:highlight w:val="none"/>
          <w:lang w:eastAsia="zh-CN"/>
        </w:rPr>
        <w:t>透露</w:t>
      </w:r>
      <w:r>
        <w:rPr>
          <w:rFonts w:hint="eastAsia" w:ascii="宋体" w:hAnsi="宋体" w:eastAsia="宋体" w:cs="宋体"/>
          <w:bCs/>
          <w:color w:val="auto"/>
          <w:sz w:val="21"/>
          <w:szCs w:val="21"/>
          <w:highlight w:val="none"/>
        </w:rPr>
        <w:t>对投标文件的评审和比较、中标候选人的推荐情况以及评标有关的其他情况。在评标活动中，与评标活动有关的工作人员不得擅离职守，影响评标程序正常进行。</w:t>
      </w:r>
    </w:p>
    <w:p w14:paraId="7D6E3939">
      <w:pPr>
        <w:pageBreakBefore w:val="0"/>
        <w:widowControl/>
        <w:kinsoku/>
        <w:wordWrap/>
        <w:overflowPunct/>
        <w:topLinePunct w:val="0"/>
        <w:bidi w:val="0"/>
        <w:adjustRightInd/>
        <w:snapToGrid/>
        <w:spacing w:line="400" w:lineRule="exact"/>
        <w:ind w:left="0" w:leftChars="0" w:right="0" w:rightChars="0" w:firstLine="422"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9.5投诉、质疑</w:t>
      </w:r>
      <w:r>
        <w:rPr>
          <w:rFonts w:hint="eastAsia" w:ascii="宋体" w:hAnsi="宋体" w:eastAsia="宋体" w:cs="宋体"/>
          <w:bCs/>
          <w:color w:val="auto"/>
          <w:sz w:val="21"/>
          <w:szCs w:val="21"/>
          <w:highlight w:val="none"/>
        </w:rPr>
        <w:t xml:space="preserve">  </w:t>
      </w:r>
    </w:p>
    <w:p w14:paraId="2A456AB3">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和其他利害关系人认为本次招标活动违反法律法规和规章规定的，有权向有关行政监督部门投诉。</w:t>
      </w:r>
    </w:p>
    <w:p w14:paraId="2ADA8881">
      <w:pPr>
        <w:pStyle w:val="11"/>
        <w:pageBreakBefore w:val="0"/>
        <w:kinsoku/>
        <w:wordWrap/>
        <w:overflowPunct/>
        <w:topLinePunct w:val="0"/>
        <w:bidi w:val="0"/>
        <w:adjustRightInd/>
        <w:snapToGrid/>
        <w:spacing w:after="0" w:afterLines="0" w:line="400" w:lineRule="exact"/>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对采购文件、采购过程、中标或者成交结果的质疑，可以在知道或者应知其权益受到损害之日起7个工作日内，以书面形式一次性向采购人或采购</w:t>
      </w:r>
      <w:r>
        <w:rPr>
          <w:rFonts w:hint="eastAsia" w:ascii="宋体" w:hAnsi="宋体" w:eastAsia="宋体" w:cs="宋体"/>
          <w:color w:val="auto"/>
          <w:szCs w:val="21"/>
          <w:highlight w:val="none"/>
          <w:lang w:eastAsia="zh-CN"/>
        </w:rPr>
        <w:t>代理</w:t>
      </w:r>
      <w:r>
        <w:rPr>
          <w:rFonts w:hint="eastAsia" w:ascii="宋体" w:hAnsi="宋体" w:eastAsia="宋体" w:cs="宋体"/>
          <w:color w:val="auto"/>
          <w:szCs w:val="21"/>
          <w:highlight w:val="none"/>
        </w:rPr>
        <w:t>机构提出质疑。采购人或采购</w:t>
      </w:r>
      <w:r>
        <w:rPr>
          <w:rFonts w:hint="eastAsia" w:ascii="宋体" w:hAnsi="宋体" w:eastAsia="宋体" w:cs="宋体"/>
          <w:color w:val="auto"/>
          <w:szCs w:val="21"/>
          <w:highlight w:val="none"/>
          <w:lang w:eastAsia="zh-CN"/>
        </w:rPr>
        <w:t>代理</w:t>
      </w:r>
      <w:r>
        <w:rPr>
          <w:rFonts w:hint="eastAsia" w:ascii="宋体" w:hAnsi="宋体" w:eastAsia="宋体" w:cs="宋体"/>
          <w:color w:val="auto"/>
          <w:szCs w:val="21"/>
          <w:highlight w:val="none"/>
        </w:rPr>
        <w:t>机构不接受</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对同一采购环节的多次质疑。</w:t>
      </w:r>
    </w:p>
    <w:p w14:paraId="3163BFB3">
      <w:pPr>
        <w:pStyle w:val="3"/>
        <w:pageBreakBefore w:val="0"/>
        <w:kinsoku/>
        <w:wordWrap/>
        <w:overflowPunct/>
        <w:topLinePunct w:val="0"/>
        <w:bidi w:val="0"/>
        <w:adjustRightInd/>
        <w:snapToGrid/>
        <w:spacing w:after="0" w:afterLines="0" w:line="40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66" w:name="_Toc16124"/>
      <w:r>
        <w:rPr>
          <w:rFonts w:hint="eastAsia" w:ascii="宋体" w:hAnsi="宋体" w:eastAsia="宋体" w:cs="宋体"/>
          <w:color w:val="auto"/>
          <w:sz w:val="21"/>
          <w:szCs w:val="21"/>
          <w:highlight w:val="none"/>
        </w:rPr>
        <w:t>10.注意事项</w:t>
      </w:r>
      <w:bookmarkEnd w:id="66"/>
    </w:p>
    <w:bookmarkEnd w:id="65"/>
    <w:p w14:paraId="12A600AE">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Cs/>
          <w:color w:val="auto"/>
          <w:sz w:val="21"/>
          <w:szCs w:val="21"/>
          <w:highlight w:val="none"/>
        </w:rPr>
      </w:pPr>
      <w:bookmarkStart w:id="67" w:name="_Toc244935173"/>
      <w:bookmarkStart w:id="68" w:name="_Toc234213538"/>
      <w:r>
        <w:rPr>
          <w:rFonts w:hint="eastAsia" w:ascii="宋体" w:hAnsi="宋体" w:eastAsia="宋体" w:cs="宋体"/>
          <w:bCs/>
          <w:color w:val="auto"/>
          <w:sz w:val="21"/>
          <w:szCs w:val="21"/>
          <w:highlight w:val="none"/>
        </w:rPr>
        <w:t>10.1</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应根据招标技术文件的要求，结合</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提供的相关资料，</w:t>
      </w:r>
      <w:r>
        <w:rPr>
          <w:rFonts w:hint="eastAsia" w:ascii="宋体" w:hAnsi="宋体" w:cs="宋体"/>
          <w:bCs/>
          <w:color w:val="auto"/>
          <w:sz w:val="21"/>
          <w:szCs w:val="21"/>
          <w:highlight w:val="none"/>
          <w:lang w:eastAsia="zh-CN"/>
        </w:rPr>
        <w:t>做出</w:t>
      </w:r>
      <w:r>
        <w:rPr>
          <w:rFonts w:hint="eastAsia" w:ascii="宋体" w:hAnsi="宋体" w:eastAsia="宋体" w:cs="宋体"/>
          <w:bCs/>
          <w:color w:val="auto"/>
          <w:sz w:val="21"/>
          <w:szCs w:val="21"/>
          <w:highlight w:val="none"/>
        </w:rPr>
        <w:t>详细的产品及服务报价。</w:t>
      </w:r>
    </w:p>
    <w:p w14:paraId="48CB51E9">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10.2</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应对照本招标技术文件各项技术要求做出实质性的响应，否则</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的投标有可能被拒绝。</w:t>
      </w:r>
    </w:p>
    <w:p w14:paraId="4E73A7D7">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10.3本招标文件的要求只是最低限度要求，并未对一切技术细节做出规定。在本招标文件中未提到的或</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认为更能体现和满足</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的实际需要的功能和要求，</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可依据自己的实际经验，在</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方案中体现。</w:t>
      </w:r>
    </w:p>
    <w:p w14:paraId="12A16595">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10.4本招标技术文件未尽事宜，由甲乙双方在合同技术谈判时协商确定。</w:t>
      </w:r>
    </w:p>
    <w:p w14:paraId="32501981">
      <w:pPr>
        <w:pStyle w:val="3"/>
        <w:pageBreakBefore w:val="0"/>
        <w:kinsoku/>
        <w:wordWrap/>
        <w:overflowPunct/>
        <w:topLinePunct w:val="0"/>
        <w:bidi w:val="0"/>
        <w:adjustRightInd/>
        <w:snapToGrid/>
        <w:spacing w:after="0" w:afterLines="0" w:line="40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69" w:name="_Toc7222"/>
      <w:r>
        <w:rPr>
          <w:rFonts w:hint="eastAsia" w:ascii="宋体" w:hAnsi="宋体" w:eastAsia="宋体" w:cs="宋体"/>
          <w:color w:val="auto"/>
          <w:sz w:val="21"/>
          <w:szCs w:val="21"/>
          <w:highlight w:val="none"/>
        </w:rPr>
        <w:t>11.需要补充的其他内容</w:t>
      </w:r>
      <w:bookmarkEnd w:id="69"/>
    </w:p>
    <w:p w14:paraId="62009735">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r>
        <w:rPr>
          <w:rFonts w:hint="eastAsia" w:ascii="宋体" w:hAnsi="宋体" w:cs="宋体"/>
          <w:bCs/>
          <w:color w:val="auto"/>
          <w:sz w:val="21"/>
          <w:szCs w:val="21"/>
          <w:highlight w:val="none"/>
          <w:lang w:val="en-US" w:eastAsia="zh-CN"/>
        </w:rPr>
        <w:t>1其他</w:t>
      </w:r>
      <w:r>
        <w:rPr>
          <w:rFonts w:hint="eastAsia" w:ascii="宋体" w:hAnsi="宋体" w:eastAsia="宋体" w:cs="宋体"/>
          <w:bCs/>
          <w:color w:val="auto"/>
          <w:sz w:val="21"/>
          <w:szCs w:val="21"/>
          <w:highlight w:val="none"/>
        </w:rPr>
        <w:t>未尽事宜，按国家有关法律、法规执行。</w:t>
      </w:r>
    </w:p>
    <w:p w14:paraId="57850233">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本招标文件解释权归</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w:t>
      </w:r>
    </w:p>
    <w:p w14:paraId="1AF2E72F">
      <w:pPr>
        <w:pageBreakBefore w:val="0"/>
        <w:widowControl/>
        <w:kinsoku/>
        <w:wordWrap/>
        <w:overflowPunct/>
        <w:topLinePunct w:val="0"/>
        <w:bidi w:val="0"/>
        <w:adjustRightInd/>
        <w:snapToGrid/>
        <w:spacing w:line="400" w:lineRule="exact"/>
        <w:ind w:left="0" w:leftChars="0" w:right="0" w:rightChars="0" w:firstLine="420" w:firstLineChars="20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11.</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监督单位：</w:t>
      </w:r>
      <w:r>
        <w:rPr>
          <w:rFonts w:hint="eastAsia" w:ascii="宋体" w:hAnsi="宋体" w:cs="宋体"/>
          <w:bCs/>
          <w:color w:val="auto"/>
          <w:sz w:val="21"/>
          <w:szCs w:val="21"/>
          <w:highlight w:val="none"/>
          <w:lang w:eastAsia="zh-CN"/>
        </w:rPr>
        <w:t>信阳市</w:t>
      </w:r>
      <w:r>
        <w:rPr>
          <w:rFonts w:hint="eastAsia" w:ascii="宋体" w:hAnsi="宋体" w:eastAsia="宋体" w:cs="宋体"/>
          <w:bCs/>
          <w:color w:val="auto"/>
          <w:sz w:val="21"/>
          <w:szCs w:val="21"/>
          <w:highlight w:val="none"/>
        </w:rPr>
        <w:t>财政局</w:t>
      </w:r>
      <w:r>
        <w:rPr>
          <w:rFonts w:hint="eastAsia" w:ascii="宋体" w:hAnsi="宋体" w:eastAsia="宋体" w:cs="宋体"/>
          <w:bCs/>
          <w:color w:val="auto"/>
          <w:sz w:val="21"/>
          <w:szCs w:val="21"/>
          <w:highlight w:val="none"/>
          <w:lang w:eastAsia="zh-CN"/>
        </w:rPr>
        <w:t>。</w:t>
      </w:r>
    </w:p>
    <w:p w14:paraId="4B5785C9">
      <w:pPr>
        <w:pStyle w:val="53"/>
        <w:rPr>
          <w:rFonts w:hint="eastAsia" w:ascii="宋体" w:hAnsi="宋体" w:eastAsia="宋体" w:cs="宋体"/>
          <w:bCs/>
          <w:color w:val="auto"/>
          <w:sz w:val="21"/>
          <w:szCs w:val="21"/>
          <w:highlight w:val="none"/>
          <w:lang w:eastAsia="zh-CN"/>
        </w:rPr>
      </w:pPr>
    </w:p>
    <w:p w14:paraId="4E2D6AE8">
      <w:pPr>
        <w:rPr>
          <w:rFonts w:hint="eastAsia" w:ascii="宋体" w:hAnsi="宋体" w:eastAsia="宋体" w:cs="宋体"/>
          <w:bCs/>
          <w:color w:val="auto"/>
          <w:sz w:val="21"/>
          <w:szCs w:val="21"/>
          <w:highlight w:val="none"/>
          <w:lang w:eastAsia="zh-CN"/>
        </w:rPr>
      </w:pPr>
    </w:p>
    <w:p w14:paraId="73A4E0F7">
      <w:pPr>
        <w:pStyle w:val="53"/>
        <w:rPr>
          <w:rFonts w:hint="eastAsia" w:ascii="宋体" w:hAnsi="宋体" w:eastAsia="宋体" w:cs="宋体"/>
          <w:bCs/>
          <w:color w:val="auto"/>
          <w:sz w:val="21"/>
          <w:szCs w:val="21"/>
          <w:highlight w:val="none"/>
          <w:lang w:eastAsia="zh-CN"/>
        </w:rPr>
      </w:pPr>
    </w:p>
    <w:p w14:paraId="7A9CD593">
      <w:pPr>
        <w:rPr>
          <w:rFonts w:hint="eastAsia" w:ascii="宋体" w:hAnsi="宋体" w:eastAsia="宋体" w:cs="宋体"/>
          <w:bCs/>
          <w:color w:val="auto"/>
          <w:sz w:val="21"/>
          <w:szCs w:val="21"/>
          <w:highlight w:val="none"/>
          <w:lang w:eastAsia="zh-CN"/>
        </w:rPr>
      </w:pPr>
    </w:p>
    <w:p w14:paraId="37108870">
      <w:pPr>
        <w:pStyle w:val="53"/>
        <w:rPr>
          <w:rFonts w:hint="eastAsia" w:ascii="宋体" w:hAnsi="宋体" w:eastAsia="宋体" w:cs="宋体"/>
          <w:bCs/>
          <w:color w:val="auto"/>
          <w:sz w:val="21"/>
          <w:szCs w:val="21"/>
          <w:highlight w:val="none"/>
          <w:lang w:eastAsia="zh-CN"/>
        </w:rPr>
      </w:pPr>
    </w:p>
    <w:p w14:paraId="7217EB1A">
      <w:pPr>
        <w:rPr>
          <w:rFonts w:hint="eastAsia" w:ascii="宋体" w:hAnsi="宋体" w:eastAsia="宋体" w:cs="宋体"/>
          <w:bCs/>
          <w:color w:val="auto"/>
          <w:sz w:val="21"/>
          <w:szCs w:val="21"/>
          <w:highlight w:val="none"/>
          <w:lang w:eastAsia="zh-CN"/>
        </w:rPr>
      </w:pPr>
    </w:p>
    <w:p w14:paraId="7130578F">
      <w:pPr>
        <w:pStyle w:val="53"/>
        <w:rPr>
          <w:rFonts w:hint="eastAsia" w:ascii="宋体" w:hAnsi="宋体" w:eastAsia="宋体" w:cs="宋体"/>
          <w:bCs/>
          <w:color w:val="auto"/>
          <w:sz w:val="21"/>
          <w:szCs w:val="21"/>
          <w:highlight w:val="none"/>
          <w:lang w:eastAsia="zh-CN"/>
        </w:rPr>
        <w:sectPr>
          <w:footerReference r:id="rId7" w:type="default"/>
          <w:pgSz w:w="11905" w:h="16838"/>
          <w:pgMar w:top="1440" w:right="1080" w:bottom="1440" w:left="1080" w:header="850" w:footer="850" w:gutter="0"/>
          <w:pgBorders>
            <w:top w:val="none" w:sz="0" w:space="0"/>
            <w:left w:val="none" w:sz="0" w:space="0"/>
            <w:bottom w:val="none" w:sz="0" w:space="0"/>
            <w:right w:val="none" w:sz="0" w:space="0"/>
          </w:pgBorders>
          <w:pgNumType w:fmt="decimal" w:start="1"/>
          <w:cols w:space="0" w:num="1"/>
          <w:rtlGutter w:val="0"/>
          <w:docGrid w:type="lines" w:linePitch="423" w:charSpace="0"/>
        </w:sectPr>
      </w:pPr>
    </w:p>
    <w:p w14:paraId="28256BF4">
      <w:pPr>
        <w:pStyle w:val="2"/>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bCs w:val="0"/>
          <w:color w:val="auto"/>
          <w:sz w:val="28"/>
          <w:szCs w:val="28"/>
          <w:highlight w:val="none"/>
        </w:rPr>
      </w:pPr>
      <w:bookmarkStart w:id="70" w:name="_Toc21157"/>
      <w:r>
        <w:rPr>
          <w:rFonts w:hint="eastAsia" w:ascii="宋体" w:hAnsi="宋体" w:eastAsia="宋体" w:cs="宋体"/>
          <w:color w:val="auto"/>
          <w:sz w:val="36"/>
          <w:szCs w:val="36"/>
          <w:highlight w:val="none"/>
        </w:rPr>
        <w:t>第三章  评标办法</w:t>
      </w:r>
      <w:bookmarkEnd w:id="70"/>
      <w:bookmarkStart w:id="71" w:name="_Toc363053524"/>
      <w:bookmarkStart w:id="72" w:name="_Toc381018330"/>
      <w:bookmarkStart w:id="73" w:name="_Toc381964731"/>
      <w:bookmarkStart w:id="74" w:name="_Toc11095"/>
      <w:bookmarkStart w:id="75" w:name="_Toc381964639"/>
      <w:bookmarkStart w:id="76" w:name="_Toc374358909"/>
    </w:p>
    <w:bookmarkEnd w:id="71"/>
    <w:bookmarkEnd w:id="72"/>
    <w:bookmarkEnd w:id="73"/>
    <w:bookmarkEnd w:id="74"/>
    <w:bookmarkEnd w:id="75"/>
    <w:bookmarkEnd w:id="76"/>
    <w:p w14:paraId="24ABC38D">
      <w:pPr>
        <w:pStyle w:val="11"/>
        <w:pageBreakBefore w:val="0"/>
        <w:kinsoku/>
        <w:wordWrap/>
        <w:overflowPunct/>
        <w:topLinePunct w:val="0"/>
        <w:bidi w:val="0"/>
        <w:adjustRightInd/>
        <w:snapToGrid/>
        <w:spacing w:after="0" w:afterLines="0" w:line="400" w:lineRule="exact"/>
        <w:ind w:left="0" w:leftChars="0" w:right="0" w:rightChars="0"/>
        <w:jc w:val="center"/>
        <w:rPr>
          <w:rFonts w:hint="eastAsia" w:ascii="宋体" w:hAnsi="宋体" w:eastAsia="宋体" w:cs="宋体"/>
          <w:color w:val="auto"/>
          <w:highlight w:val="none"/>
          <w:lang w:eastAsia="zh-CN"/>
        </w:rPr>
      </w:pPr>
      <w:r>
        <w:rPr>
          <w:rFonts w:hint="eastAsia" w:ascii="宋体" w:hAnsi="宋体" w:eastAsia="宋体" w:cs="宋体"/>
          <w:bCs/>
          <w:color w:val="auto"/>
          <w:sz w:val="28"/>
          <w:szCs w:val="28"/>
          <w:highlight w:val="none"/>
          <w:lang w:eastAsia="zh-CN"/>
        </w:rPr>
        <w:t>评分办法前附表</w:t>
      </w:r>
    </w:p>
    <w:tbl>
      <w:tblPr>
        <w:tblStyle w:val="26"/>
        <w:tblW w:w="10308"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815"/>
        <w:gridCol w:w="1788"/>
        <w:gridCol w:w="6725"/>
      </w:tblGrid>
      <w:tr w14:paraId="35A9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blHeader/>
        </w:trPr>
        <w:tc>
          <w:tcPr>
            <w:tcW w:w="1795" w:type="dxa"/>
            <w:gridSpan w:val="2"/>
            <w:noWrap w:val="0"/>
            <w:vAlign w:val="center"/>
          </w:tcPr>
          <w:p w14:paraId="4531CA4E">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788" w:type="dxa"/>
            <w:noWrap w:val="0"/>
            <w:vAlign w:val="center"/>
          </w:tcPr>
          <w:p w14:paraId="13A9F4EA">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6725" w:type="dxa"/>
            <w:noWrap w:val="0"/>
            <w:vAlign w:val="center"/>
          </w:tcPr>
          <w:p w14:paraId="06BCDFBD">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061F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trPr>
        <w:tc>
          <w:tcPr>
            <w:tcW w:w="980" w:type="dxa"/>
            <w:vMerge w:val="restart"/>
            <w:noWrap w:val="0"/>
            <w:vAlign w:val="center"/>
          </w:tcPr>
          <w:p w14:paraId="5B98AE19">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815" w:type="dxa"/>
            <w:vMerge w:val="restart"/>
            <w:noWrap w:val="0"/>
            <w:vAlign w:val="center"/>
          </w:tcPr>
          <w:p w14:paraId="418C4029">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w:t>
            </w:r>
          </w:p>
          <w:p w14:paraId="645AF2D3">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p w14:paraId="05E730B0">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1788" w:type="dxa"/>
            <w:noWrap w:val="0"/>
            <w:vAlign w:val="center"/>
          </w:tcPr>
          <w:p w14:paraId="2D10209F">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符合《中华人民共和国政府采购法》第</w:t>
            </w:r>
            <w:r>
              <w:rPr>
                <w:rFonts w:hint="eastAsia" w:ascii="宋体" w:hAnsi="宋体" w:cs="宋体"/>
                <w:color w:val="auto"/>
                <w:sz w:val="21"/>
                <w:szCs w:val="21"/>
                <w:highlight w:val="none"/>
                <w:lang w:val="en-US" w:eastAsia="zh-CN"/>
              </w:rPr>
              <w:t>二十二</w:t>
            </w:r>
            <w:r>
              <w:rPr>
                <w:rFonts w:hint="eastAsia" w:ascii="宋体" w:hAnsi="宋体" w:eastAsia="宋体" w:cs="宋体"/>
                <w:color w:val="auto"/>
                <w:sz w:val="21"/>
                <w:szCs w:val="21"/>
                <w:highlight w:val="none"/>
              </w:rPr>
              <w:t>条规定</w:t>
            </w:r>
          </w:p>
        </w:tc>
        <w:tc>
          <w:tcPr>
            <w:tcW w:w="6725" w:type="dxa"/>
            <w:noWrap w:val="0"/>
            <w:vAlign w:val="center"/>
          </w:tcPr>
          <w:p w14:paraId="62CBDC63">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须知”第</w:t>
            </w:r>
            <w:r>
              <w:rPr>
                <w:rFonts w:hint="eastAsia" w:ascii="宋体" w:hAnsi="宋体" w:eastAsia="宋体" w:cs="宋体"/>
                <w:color w:val="auto"/>
                <w:sz w:val="21"/>
                <w:szCs w:val="21"/>
                <w:highlight w:val="none"/>
                <w:lang w:val="en-US" w:eastAsia="zh-CN"/>
              </w:rPr>
              <w:t>1.4.1</w:t>
            </w:r>
            <w:r>
              <w:rPr>
                <w:rFonts w:hint="eastAsia" w:ascii="宋体" w:hAnsi="宋体" w:eastAsia="宋体" w:cs="宋体"/>
                <w:color w:val="auto"/>
                <w:sz w:val="21"/>
                <w:szCs w:val="21"/>
                <w:highlight w:val="none"/>
              </w:rPr>
              <w:t>项规定</w:t>
            </w:r>
          </w:p>
        </w:tc>
      </w:tr>
      <w:tr w14:paraId="2F45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980" w:type="dxa"/>
            <w:vMerge w:val="continue"/>
            <w:noWrap w:val="0"/>
            <w:vAlign w:val="center"/>
          </w:tcPr>
          <w:p w14:paraId="563E0E80">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p>
        </w:tc>
        <w:tc>
          <w:tcPr>
            <w:tcW w:w="815" w:type="dxa"/>
            <w:vMerge w:val="continue"/>
            <w:noWrap w:val="0"/>
            <w:vAlign w:val="center"/>
          </w:tcPr>
          <w:p w14:paraId="1B420C2A">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p>
        </w:tc>
        <w:tc>
          <w:tcPr>
            <w:tcW w:w="1788" w:type="dxa"/>
            <w:noWrap w:val="0"/>
            <w:vAlign w:val="center"/>
          </w:tcPr>
          <w:p w14:paraId="541FB0BC">
            <w:pPr>
              <w:pageBreakBefore w:val="0"/>
              <w:kinsoku/>
              <w:wordWrap/>
              <w:overflowPunct/>
              <w:topLinePunct w:val="0"/>
              <w:bidi w:val="0"/>
              <w:adjustRightInd/>
              <w:snapToGrid/>
              <w:spacing w:line="400" w:lineRule="exact"/>
              <w:ind w:left="0" w:leftChars="0" w:right="0"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落实政府采购政策满足的资格要求</w:t>
            </w:r>
          </w:p>
        </w:tc>
        <w:tc>
          <w:tcPr>
            <w:tcW w:w="6725" w:type="dxa"/>
            <w:noWrap w:val="0"/>
            <w:vAlign w:val="center"/>
          </w:tcPr>
          <w:p w14:paraId="22C12B80">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须知”第</w:t>
            </w:r>
            <w:r>
              <w:rPr>
                <w:rFonts w:hint="eastAsia" w:ascii="宋体" w:hAnsi="宋体" w:eastAsia="宋体" w:cs="宋体"/>
                <w:color w:val="auto"/>
                <w:sz w:val="21"/>
                <w:szCs w:val="21"/>
                <w:highlight w:val="none"/>
                <w:lang w:val="en-US" w:eastAsia="zh-CN"/>
              </w:rPr>
              <w:t>1.4.1</w:t>
            </w:r>
            <w:r>
              <w:rPr>
                <w:rFonts w:hint="eastAsia" w:ascii="宋体" w:hAnsi="宋体" w:eastAsia="宋体" w:cs="宋体"/>
                <w:color w:val="auto"/>
                <w:sz w:val="21"/>
                <w:szCs w:val="21"/>
                <w:highlight w:val="none"/>
              </w:rPr>
              <w:t>项规定</w:t>
            </w:r>
          </w:p>
        </w:tc>
      </w:tr>
      <w:tr w14:paraId="7450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980" w:type="dxa"/>
            <w:vMerge w:val="continue"/>
            <w:noWrap w:val="0"/>
            <w:vAlign w:val="center"/>
          </w:tcPr>
          <w:p w14:paraId="343D1CAD">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p>
        </w:tc>
        <w:tc>
          <w:tcPr>
            <w:tcW w:w="815" w:type="dxa"/>
            <w:vMerge w:val="continue"/>
            <w:noWrap w:val="0"/>
            <w:vAlign w:val="center"/>
          </w:tcPr>
          <w:p w14:paraId="43EB849A">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p>
        </w:tc>
        <w:tc>
          <w:tcPr>
            <w:tcW w:w="1788" w:type="dxa"/>
            <w:noWrap w:val="0"/>
            <w:vAlign w:val="center"/>
          </w:tcPr>
          <w:p w14:paraId="2CA5A254">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本项目的特定资格要求</w:t>
            </w:r>
          </w:p>
        </w:tc>
        <w:tc>
          <w:tcPr>
            <w:tcW w:w="6725" w:type="dxa"/>
            <w:noWrap w:val="0"/>
            <w:vAlign w:val="center"/>
          </w:tcPr>
          <w:p w14:paraId="4234A67C">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须知”第</w:t>
            </w:r>
            <w:r>
              <w:rPr>
                <w:rFonts w:hint="eastAsia" w:ascii="宋体" w:hAnsi="宋体" w:eastAsia="宋体" w:cs="宋体"/>
                <w:color w:val="auto"/>
                <w:sz w:val="21"/>
                <w:szCs w:val="21"/>
                <w:highlight w:val="none"/>
                <w:lang w:val="en-US" w:eastAsia="zh-CN"/>
              </w:rPr>
              <w:t>1.4.1</w:t>
            </w:r>
            <w:r>
              <w:rPr>
                <w:rFonts w:hint="eastAsia" w:ascii="宋体" w:hAnsi="宋体" w:eastAsia="宋体" w:cs="宋体"/>
                <w:color w:val="auto"/>
                <w:sz w:val="21"/>
                <w:szCs w:val="21"/>
                <w:highlight w:val="none"/>
              </w:rPr>
              <w:t>项规定</w:t>
            </w:r>
          </w:p>
        </w:tc>
      </w:tr>
      <w:tr w14:paraId="37DB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980" w:type="dxa"/>
            <w:vMerge w:val="continue"/>
            <w:noWrap w:val="0"/>
            <w:vAlign w:val="center"/>
          </w:tcPr>
          <w:p w14:paraId="333A2DF4">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p>
        </w:tc>
        <w:tc>
          <w:tcPr>
            <w:tcW w:w="815" w:type="dxa"/>
            <w:vMerge w:val="continue"/>
            <w:noWrap w:val="0"/>
            <w:vAlign w:val="center"/>
          </w:tcPr>
          <w:p w14:paraId="41A23C6C">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p>
        </w:tc>
        <w:tc>
          <w:tcPr>
            <w:tcW w:w="1788" w:type="dxa"/>
            <w:noWrap w:val="0"/>
            <w:vAlign w:val="center"/>
          </w:tcPr>
          <w:p w14:paraId="633D9BA3">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w:t>
            </w:r>
          </w:p>
        </w:tc>
        <w:tc>
          <w:tcPr>
            <w:tcW w:w="6725" w:type="dxa"/>
            <w:noWrap w:val="0"/>
            <w:vAlign w:val="center"/>
          </w:tcPr>
          <w:p w14:paraId="0BCAF7D2">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须知”第</w:t>
            </w:r>
            <w:r>
              <w:rPr>
                <w:rFonts w:hint="eastAsia" w:ascii="宋体" w:hAnsi="宋体" w:eastAsia="宋体" w:cs="宋体"/>
                <w:color w:val="auto"/>
                <w:sz w:val="21"/>
                <w:szCs w:val="21"/>
                <w:highlight w:val="none"/>
                <w:lang w:val="en-US" w:eastAsia="zh-CN"/>
              </w:rPr>
              <w:t>1.4.1</w:t>
            </w:r>
            <w:r>
              <w:rPr>
                <w:rFonts w:hint="eastAsia" w:ascii="宋体" w:hAnsi="宋体" w:eastAsia="宋体" w:cs="宋体"/>
                <w:color w:val="auto"/>
                <w:sz w:val="21"/>
                <w:szCs w:val="21"/>
                <w:highlight w:val="none"/>
              </w:rPr>
              <w:t>项规定</w:t>
            </w:r>
          </w:p>
        </w:tc>
      </w:tr>
      <w:tr w14:paraId="7443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980" w:type="dxa"/>
            <w:vMerge w:val="restart"/>
            <w:noWrap w:val="0"/>
            <w:vAlign w:val="center"/>
          </w:tcPr>
          <w:p w14:paraId="001375BF">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p w14:paraId="262307F6">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815" w:type="dxa"/>
            <w:vMerge w:val="restart"/>
            <w:noWrap w:val="0"/>
            <w:vAlign w:val="center"/>
          </w:tcPr>
          <w:p w14:paraId="33682933">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w:t>
            </w:r>
          </w:p>
          <w:p w14:paraId="591B005E">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p w14:paraId="56455075">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1788" w:type="dxa"/>
            <w:noWrap w:val="0"/>
            <w:vAlign w:val="center"/>
          </w:tcPr>
          <w:p w14:paraId="2796E415">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p>
        </w:tc>
        <w:tc>
          <w:tcPr>
            <w:tcW w:w="6725" w:type="dxa"/>
            <w:noWrap w:val="0"/>
            <w:vAlign w:val="center"/>
          </w:tcPr>
          <w:p w14:paraId="25592EFA">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资质证书</w:t>
            </w:r>
            <w:r>
              <w:rPr>
                <w:rFonts w:hint="eastAsia" w:ascii="宋体" w:hAnsi="宋体" w:eastAsia="宋体" w:cs="宋体"/>
                <w:color w:val="auto"/>
                <w:sz w:val="21"/>
                <w:szCs w:val="21"/>
                <w:highlight w:val="none"/>
              </w:rPr>
              <w:t>一致</w:t>
            </w:r>
          </w:p>
        </w:tc>
      </w:tr>
      <w:tr w14:paraId="3C16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atLeast"/>
        </w:trPr>
        <w:tc>
          <w:tcPr>
            <w:tcW w:w="980" w:type="dxa"/>
            <w:vMerge w:val="continue"/>
            <w:noWrap w:val="0"/>
            <w:vAlign w:val="center"/>
          </w:tcPr>
          <w:p w14:paraId="06E4A93A">
            <w:pPr>
              <w:pageBreakBefore w:val="0"/>
              <w:widowControl/>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c>
          <w:tcPr>
            <w:tcW w:w="815" w:type="dxa"/>
            <w:vMerge w:val="continue"/>
            <w:noWrap w:val="0"/>
            <w:vAlign w:val="center"/>
          </w:tcPr>
          <w:p w14:paraId="0F4E7F21">
            <w:pPr>
              <w:pageBreakBefore w:val="0"/>
              <w:widowControl/>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c>
          <w:tcPr>
            <w:tcW w:w="1788" w:type="dxa"/>
            <w:noWrap w:val="0"/>
            <w:vAlign w:val="center"/>
          </w:tcPr>
          <w:p w14:paraId="1A7D9B7E">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投标内容</w:t>
            </w:r>
          </w:p>
        </w:tc>
        <w:tc>
          <w:tcPr>
            <w:tcW w:w="6725" w:type="dxa"/>
            <w:noWrap w:val="0"/>
            <w:vAlign w:val="center"/>
          </w:tcPr>
          <w:p w14:paraId="0F9D61B3">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须知”第</w:t>
            </w:r>
            <w:r>
              <w:rPr>
                <w:rFonts w:hint="eastAsia" w:ascii="宋体" w:hAnsi="宋体" w:eastAsia="宋体" w:cs="宋体"/>
                <w:color w:val="auto"/>
                <w:sz w:val="21"/>
                <w:szCs w:val="21"/>
                <w:highlight w:val="none"/>
                <w:lang w:val="en-US" w:eastAsia="zh-CN"/>
              </w:rPr>
              <w:t>1.3.1</w:t>
            </w:r>
            <w:r>
              <w:rPr>
                <w:rFonts w:hint="eastAsia" w:ascii="宋体" w:hAnsi="宋体" w:eastAsia="宋体" w:cs="宋体"/>
                <w:color w:val="auto"/>
                <w:sz w:val="21"/>
                <w:szCs w:val="21"/>
                <w:highlight w:val="none"/>
              </w:rPr>
              <w:t>项规定</w:t>
            </w:r>
          </w:p>
        </w:tc>
      </w:tr>
      <w:tr w14:paraId="099D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atLeast"/>
        </w:trPr>
        <w:tc>
          <w:tcPr>
            <w:tcW w:w="980" w:type="dxa"/>
            <w:vMerge w:val="continue"/>
            <w:noWrap w:val="0"/>
            <w:vAlign w:val="center"/>
          </w:tcPr>
          <w:p w14:paraId="5A764C56">
            <w:pPr>
              <w:pageBreakBefore w:val="0"/>
              <w:widowControl/>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c>
          <w:tcPr>
            <w:tcW w:w="815" w:type="dxa"/>
            <w:vMerge w:val="continue"/>
            <w:noWrap w:val="0"/>
            <w:vAlign w:val="center"/>
          </w:tcPr>
          <w:p w14:paraId="7B368270">
            <w:pPr>
              <w:pageBreakBefore w:val="0"/>
              <w:widowControl/>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c>
          <w:tcPr>
            <w:tcW w:w="1788" w:type="dxa"/>
            <w:noWrap w:val="0"/>
            <w:vAlign w:val="center"/>
          </w:tcPr>
          <w:p w14:paraId="1FE2E985">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投标文件签字盖章</w:t>
            </w:r>
          </w:p>
        </w:tc>
        <w:tc>
          <w:tcPr>
            <w:tcW w:w="6725" w:type="dxa"/>
            <w:noWrap w:val="0"/>
            <w:vAlign w:val="center"/>
          </w:tcPr>
          <w:p w14:paraId="1323BA8F">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须知”第</w:t>
            </w:r>
            <w:r>
              <w:rPr>
                <w:rFonts w:hint="eastAsia" w:ascii="宋体" w:hAnsi="宋体" w:eastAsia="宋体" w:cs="宋体"/>
                <w:color w:val="auto"/>
                <w:sz w:val="21"/>
                <w:szCs w:val="21"/>
                <w:highlight w:val="none"/>
                <w:lang w:val="en-US" w:eastAsia="zh-CN"/>
              </w:rPr>
              <w:t>3.5.8</w:t>
            </w:r>
            <w:r>
              <w:rPr>
                <w:rFonts w:hint="eastAsia" w:ascii="宋体" w:hAnsi="宋体" w:eastAsia="宋体" w:cs="宋体"/>
                <w:color w:val="auto"/>
                <w:sz w:val="21"/>
                <w:szCs w:val="21"/>
                <w:highlight w:val="none"/>
              </w:rPr>
              <w:t>项规定</w:t>
            </w:r>
          </w:p>
        </w:tc>
      </w:tr>
      <w:tr w14:paraId="36A3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980" w:type="dxa"/>
            <w:vMerge w:val="continue"/>
            <w:noWrap w:val="0"/>
            <w:vAlign w:val="center"/>
          </w:tcPr>
          <w:p w14:paraId="28771AFD">
            <w:pPr>
              <w:pageBreakBefore w:val="0"/>
              <w:widowControl/>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c>
          <w:tcPr>
            <w:tcW w:w="815" w:type="dxa"/>
            <w:vMerge w:val="continue"/>
            <w:noWrap w:val="0"/>
            <w:vAlign w:val="center"/>
          </w:tcPr>
          <w:p w14:paraId="52795214">
            <w:pPr>
              <w:pageBreakBefore w:val="0"/>
              <w:widowControl/>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c>
          <w:tcPr>
            <w:tcW w:w="1788" w:type="dxa"/>
            <w:noWrap w:val="0"/>
            <w:vAlign w:val="center"/>
          </w:tcPr>
          <w:p w14:paraId="6484674B">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6725" w:type="dxa"/>
            <w:noWrap w:val="0"/>
            <w:vAlign w:val="center"/>
          </w:tcPr>
          <w:p w14:paraId="04B3F62B">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符合第六章“投标文件格式”的要求</w:t>
            </w:r>
          </w:p>
        </w:tc>
      </w:tr>
      <w:tr w14:paraId="1DC4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trPr>
        <w:tc>
          <w:tcPr>
            <w:tcW w:w="980" w:type="dxa"/>
            <w:vMerge w:val="continue"/>
            <w:noWrap w:val="0"/>
            <w:vAlign w:val="center"/>
          </w:tcPr>
          <w:p w14:paraId="5E567FB6">
            <w:pPr>
              <w:pageBreakBefore w:val="0"/>
              <w:widowControl/>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c>
          <w:tcPr>
            <w:tcW w:w="815" w:type="dxa"/>
            <w:vMerge w:val="continue"/>
            <w:noWrap w:val="0"/>
            <w:vAlign w:val="center"/>
          </w:tcPr>
          <w:p w14:paraId="4A903175">
            <w:pPr>
              <w:pageBreakBefore w:val="0"/>
              <w:widowControl/>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c>
          <w:tcPr>
            <w:tcW w:w="1788" w:type="dxa"/>
            <w:noWrap w:val="0"/>
            <w:vAlign w:val="center"/>
          </w:tcPr>
          <w:p w14:paraId="14E63BF8">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725" w:type="dxa"/>
            <w:noWrap w:val="0"/>
            <w:vAlign w:val="center"/>
          </w:tcPr>
          <w:p w14:paraId="37DE673D">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只有一个有效报价</w:t>
            </w:r>
          </w:p>
        </w:tc>
      </w:tr>
      <w:tr w14:paraId="2C98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980" w:type="dxa"/>
            <w:vMerge w:val="continue"/>
            <w:noWrap w:val="0"/>
            <w:vAlign w:val="center"/>
          </w:tcPr>
          <w:p w14:paraId="32B989DB">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p>
        </w:tc>
        <w:tc>
          <w:tcPr>
            <w:tcW w:w="815" w:type="dxa"/>
            <w:vMerge w:val="continue"/>
            <w:noWrap w:val="0"/>
            <w:vAlign w:val="center"/>
          </w:tcPr>
          <w:p w14:paraId="05606C1B">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p>
        </w:tc>
        <w:tc>
          <w:tcPr>
            <w:tcW w:w="1788" w:type="dxa"/>
            <w:noWrap w:val="0"/>
            <w:vAlign w:val="center"/>
          </w:tcPr>
          <w:p w14:paraId="1056AF44">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6725" w:type="dxa"/>
            <w:noWrap w:val="0"/>
            <w:vAlign w:val="center"/>
          </w:tcPr>
          <w:p w14:paraId="325A3E3D">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投标报价不超过预算价（</w:t>
            </w:r>
            <w:r>
              <w:rPr>
                <w:rFonts w:hint="eastAsia" w:ascii="宋体" w:hAnsi="宋体" w:cs="宋体"/>
                <w:color w:val="auto"/>
                <w:sz w:val="21"/>
                <w:szCs w:val="21"/>
                <w:highlight w:val="none"/>
                <w:lang w:eastAsia="zh-CN"/>
              </w:rPr>
              <w:t>最高限价</w:t>
            </w:r>
            <w:r>
              <w:rPr>
                <w:rFonts w:hint="eastAsia" w:ascii="宋体" w:hAnsi="宋体" w:eastAsia="宋体" w:cs="宋体"/>
                <w:color w:val="auto"/>
                <w:sz w:val="21"/>
                <w:szCs w:val="21"/>
                <w:highlight w:val="none"/>
                <w:lang w:eastAsia="zh-CN"/>
              </w:rPr>
              <w:t>）</w:t>
            </w:r>
          </w:p>
        </w:tc>
      </w:tr>
      <w:tr w14:paraId="5624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trPr>
        <w:tc>
          <w:tcPr>
            <w:tcW w:w="980" w:type="dxa"/>
            <w:vMerge w:val="continue"/>
            <w:noWrap w:val="0"/>
            <w:vAlign w:val="center"/>
          </w:tcPr>
          <w:p w14:paraId="2D17CE17">
            <w:pPr>
              <w:pageBreakBefore w:val="0"/>
              <w:widowControl/>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c>
          <w:tcPr>
            <w:tcW w:w="815" w:type="dxa"/>
            <w:vMerge w:val="continue"/>
            <w:noWrap w:val="0"/>
            <w:vAlign w:val="center"/>
          </w:tcPr>
          <w:p w14:paraId="56482FFC">
            <w:pPr>
              <w:pageBreakBefore w:val="0"/>
              <w:widowControl/>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c>
          <w:tcPr>
            <w:tcW w:w="1788" w:type="dxa"/>
            <w:noWrap w:val="0"/>
            <w:vAlign w:val="center"/>
          </w:tcPr>
          <w:p w14:paraId="619B112F">
            <w:pPr>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宋体" w:hAnsi="宋体" w:eastAsia="宋体" w:cs="宋体"/>
                <w:color w:val="auto"/>
                <w:kern w:val="0"/>
                <w:sz w:val="21"/>
                <w:szCs w:val="21"/>
                <w:highlight w:val="none"/>
                <w:lang w:eastAsia="zh-CN"/>
              </w:rPr>
            </w:pPr>
            <w:r>
              <w:rPr>
                <w:rFonts w:hint="eastAsia" w:ascii="宋体" w:hAnsi="宋体" w:cs="宋体"/>
                <w:b w:val="0"/>
                <w:bCs w:val="0"/>
                <w:color w:val="auto"/>
                <w:kern w:val="0"/>
                <w:sz w:val="21"/>
                <w:szCs w:val="21"/>
                <w:highlight w:val="none"/>
                <w:lang w:eastAsia="zh-CN"/>
              </w:rPr>
              <w:t>质量要求</w:t>
            </w:r>
          </w:p>
        </w:tc>
        <w:tc>
          <w:tcPr>
            <w:tcW w:w="6725" w:type="dxa"/>
            <w:noWrap w:val="0"/>
            <w:vAlign w:val="center"/>
          </w:tcPr>
          <w:p w14:paraId="7290B25E">
            <w:pPr>
              <w:pageBreakBefore w:val="0"/>
              <w:kinsoku/>
              <w:wordWrap/>
              <w:overflowPunct/>
              <w:topLinePunct w:val="0"/>
              <w:bidi w:val="0"/>
              <w:adjustRightInd/>
              <w:snapToGrid/>
              <w:spacing w:line="400" w:lineRule="exact"/>
              <w:ind w:left="0" w:leftChars="0" w:right="0" w:righ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须知”第</w:t>
            </w:r>
            <w:r>
              <w:rPr>
                <w:rFonts w:hint="eastAsia" w:ascii="宋体" w:hAnsi="宋体" w:eastAsia="宋体" w:cs="宋体"/>
                <w:color w:val="auto"/>
                <w:sz w:val="21"/>
                <w:szCs w:val="21"/>
                <w:highlight w:val="none"/>
                <w:lang w:val="en-US" w:eastAsia="zh-CN"/>
              </w:rPr>
              <w:t>1.3.2</w:t>
            </w:r>
            <w:r>
              <w:rPr>
                <w:rFonts w:hint="eastAsia" w:ascii="宋体" w:hAnsi="宋体" w:eastAsia="宋体" w:cs="宋体"/>
                <w:color w:val="auto"/>
                <w:sz w:val="21"/>
                <w:szCs w:val="21"/>
                <w:highlight w:val="none"/>
              </w:rPr>
              <w:t>项规定</w:t>
            </w:r>
          </w:p>
        </w:tc>
      </w:tr>
      <w:tr w14:paraId="0623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atLeast"/>
        </w:trPr>
        <w:tc>
          <w:tcPr>
            <w:tcW w:w="980" w:type="dxa"/>
            <w:vMerge w:val="continue"/>
            <w:noWrap w:val="0"/>
            <w:vAlign w:val="center"/>
          </w:tcPr>
          <w:p w14:paraId="170597B8">
            <w:pPr>
              <w:pageBreakBefore w:val="0"/>
              <w:widowControl/>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c>
          <w:tcPr>
            <w:tcW w:w="815" w:type="dxa"/>
            <w:vMerge w:val="continue"/>
            <w:noWrap w:val="0"/>
            <w:vAlign w:val="center"/>
          </w:tcPr>
          <w:p w14:paraId="7A1EC763">
            <w:pPr>
              <w:pageBreakBefore w:val="0"/>
              <w:widowControl/>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c>
          <w:tcPr>
            <w:tcW w:w="1788" w:type="dxa"/>
            <w:noWrap w:val="0"/>
            <w:vAlign w:val="center"/>
          </w:tcPr>
          <w:p w14:paraId="6CF29BE7">
            <w:pPr>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sz w:val="21"/>
                <w:szCs w:val="21"/>
                <w:highlight w:val="none"/>
                <w:lang w:eastAsia="zh-CN"/>
              </w:rPr>
              <w:t>服务期限</w:t>
            </w:r>
          </w:p>
        </w:tc>
        <w:tc>
          <w:tcPr>
            <w:tcW w:w="6725" w:type="dxa"/>
            <w:noWrap w:val="0"/>
            <w:vAlign w:val="center"/>
          </w:tcPr>
          <w:p w14:paraId="1FA41935">
            <w:pPr>
              <w:pageBreakBefore w:val="0"/>
              <w:kinsoku/>
              <w:wordWrap/>
              <w:overflowPunct/>
              <w:topLinePunct w:val="0"/>
              <w:bidi w:val="0"/>
              <w:adjustRightInd/>
              <w:snapToGrid/>
              <w:spacing w:line="400" w:lineRule="exact"/>
              <w:ind w:left="0" w:leftChars="0" w:right="0" w:righ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须知”第</w:t>
            </w:r>
            <w:r>
              <w:rPr>
                <w:rFonts w:hint="eastAsia" w:ascii="宋体" w:hAnsi="宋体" w:eastAsia="宋体" w:cs="宋体"/>
                <w:color w:val="auto"/>
                <w:sz w:val="21"/>
                <w:szCs w:val="21"/>
                <w:highlight w:val="none"/>
                <w:lang w:val="en-US" w:eastAsia="zh-CN"/>
              </w:rPr>
              <w:t>1.3.3</w:t>
            </w:r>
            <w:r>
              <w:rPr>
                <w:rFonts w:hint="eastAsia" w:ascii="宋体" w:hAnsi="宋体" w:eastAsia="宋体" w:cs="宋体"/>
                <w:color w:val="auto"/>
                <w:sz w:val="21"/>
                <w:szCs w:val="21"/>
                <w:highlight w:val="none"/>
              </w:rPr>
              <w:t>项规定</w:t>
            </w:r>
          </w:p>
        </w:tc>
      </w:tr>
      <w:tr w14:paraId="45AC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trPr>
        <w:tc>
          <w:tcPr>
            <w:tcW w:w="980" w:type="dxa"/>
            <w:vMerge w:val="continue"/>
            <w:noWrap w:val="0"/>
            <w:vAlign w:val="center"/>
          </w:tcPr>
          <w:p w14:paraId="6EF47BA9">
            <w:pPr>
              <w:pageBreakBefore w:val="0"/>
              <w:widowControl/>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c>
          <w:tcPr>
            <w:tcW w:w="815" w:type="dxa"/>
            <w:vMerge w:val="continue"/>
            <w:noWrap w:val="0"/>
            <w:vAlign w:val="center"/>
          </w:tcPr>
          <w:p w14:paraId="06DC2C90">
            <w:pPr>
              <w:pageBreakBefore w:val="0"/>
              <w:widowControl/>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c>
          <w:tcPr>
            <w:tcW w:w="1788" w:type="dxa"/>
            <w:noWrap w:val="0"/>
            <w:vAlign w:val="center"/>
          </w:tcPr>
          <w:p w14:paraId="39462730">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725" w:type="dxa"/>
            <w:noWrap w:val="0"/>
            <w:vAlign w:val="center"/>
          </w:tcPr>
          <w:p w14:paraId="3661B4BF">
            <w:pPr>
              <w:pageBreakBefore w:val="0"/>
              <w:kinsoku/>
              <w:wordWrap/>
              <w:overflowPunct/>
              <w:topLinePunct w:val="0"/>
              <w:bidi w:val="0"/>
              <w:adjustRightInd/>
              <w:snapToGrid/>
              <w:spacing w:line="400" w:lineRule="exact"/>
              <w:ind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须知”第</w:t>
            </w:r>
            <w:r>
              <w:rPr>
                <w:rFonts w:hint="eastAsia" w:ascii="宋体" w:hAnsi="宋体" w:eastAsia="宋体" w:cs="宋体"/>
                <w:color w:val="auto"/>
                <w:sz w:val="21"/>
                <w:szCs w:val="21"/>
                <w:highlight w:val="none"/>
                <w:lang w:val="en-US" w:eastAsia="zh-CN"/>
              </w:rPr>
              <w:t>3.4.1</w:t>
            </w:r>
            <w:r>
              <w:rPr>
                <w:rFonts w:hint="eastAsia" w:ascii="宋体" w:hAnsi="宋体" w:eastAsia="宋体" w:cs="宋体"/>
                <w:color w:val="auto"/>
                <w:sz w:val="21"/>
                <w:szCs w:val="21"/>
                <w:highlight w:val="none"/>
              </w:rPr>
              <w:t>项规定</w:t>
            </w:r>
          </w:p>
        </w:tc>
      </w:tr>
      <w:tr w14:paraId="6986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980" w:type="dxa"/>
            <w:vMerge w:val="continue"/>
            <w:noWrap w:val="0"/>
            <w:vAlign w:val="center"/>
          </w:tcPr>
          <w:p w14:paraId="02472509">
            <w:pPr>
              <w:pageBreakBefore w:val="0"/>
              <w:widowControl/>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c>
          <w:tcPr>
            <w:tcW w:w="815" w:type="dxa"/>
            <w:vMerge w:val="continue"/>
            <w:noWrap w:val="0"/>
            <w:vAlign w:val="center"/>
          </w:tcPr>
          <w:p w14:paraId="31A5FF23">
            <w:pPr>
              <w:pageBreakBefore w:val="0"/>
              <w:widowControl/>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c>
          <w:tcPr>
            <w:tcW w:w="1788" w:type="dxa"/>
            <w:noWrap w:val="0"/>
            <w:vAlign w:val="center"/>
          </w:tcPr>
          <w:p w14:paraId="0B3611D4">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是否存在严重失信主体</w:t>
            </w:r>
          </w:p>
        </w:tc>
        <w:tc>
          <w:tcPr>
            <w:tcW w:w="6725" w:type="dxa"/>
            <w:noWrap w:val="0"/>
            <w:vAlign w:val="center"/>
          </w:tcPr>
          <w:p w14:paraId="66268EE6">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在政府采购活动中查询及使用信用记录有关问题的通知》财库〔2016〕125号文件和豫财购〔2016〕15号文件的规定，供应商应提供“信用中国”网站（www.creditchina.gov.cn）查询“失信被执行人”“重大税收违法失信主体”和“政府采购严重违法失信行为记录名单”；中国政府采购网（www.ccgp.gov.cn）查询“政府采购严重违法失信行为记录名单”渠道查询自身信用记录，提供查询网页截图，查询截止时点为：从公告发布之日起至投标截止之日止；评委需在线查询投标人失信记录，核实投标人截图准确性。</w:t>
            </w:r>
          </w:p>
        </w:tc>
      </w:tr>
      <w:tr w14:paraId="0DAD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3" w:hRule="atLeast"/>
        </w:trPr>
        <w:tc>
          <w:tcPr>
            <w:tcW w:w="1795" w:type="dxa"/>
            <w:gridSpan w:val="2"/>
            <w:noWrap w:val="0"/>
            <w:vAlign w:val="center"/>
          </w:tcPr>
          <w:p w14:paraId="43426FA1">
            <w:pPr>
              <w:pageBreakBefore w:val="0"/>
              <w:widowControl/>
              <w:kinsoku/>
              <w:wordWrap/>
              <w:overflowPunct/>
              <w:topLinePunct w:val="0"/>
              <w:bidi w:val="0"/>
              <w:adjustRightInd/>
              <w:snapToGrid/>
              <w:spacing w:line="400" w:lineRule="exact"/>
              <w:ind w:left="0" w:leftChars="0" w:right="0" w:rightChars="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2.2.1</w:t>
            </w:r>
          </w:p>
        </w:tc>
        <w:tc>
          <w:tcPr>
            <w:tcW w:w="1788" w:type="dxa"/>
            <w:noWrap w:val="0"/>
            <w:vAlign w:val="center"/>
          </w:tcPr>
          <w:p w14:paraId="78F802D3">
            <w:pPr>
              <w:pageBreakBefore w:val="0"/>
              <w:kinsoku/>
              <w:wordWrap/>
              <w:overflowPunct/>
              <w:topLinePunct w:val="0"/>
              <w:bidi w:val="0"/>
              <w:adjustRightInd/>
              <w:snapToGrid/>
              <w:spacing w:line="240"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102E761D">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（总分100分</w:t>
            </w:r>
            <w:r>
              <w:rPr>
                <w:rFonts w:hint="eastAsia" w:ascii="宋体" w:hAnsi="宋体" w:eastAsia="宋体" w:cs="宋体"/>
                <w:color w:val="auto"/>
                <w:sz w:val="21"/>
                <w:szCs w:val="21"/>
                <w:highlight w:val="none"/>
                <w:lang w:eastAsia="zh-CN"/>
              </w:rPr>
              <w:t>）</w:t>
            </w:r>
          </w:p>
        </w:tc>
        <w:tc>
          <w:tcPr>
            <w:tcW w:w="6725" w:type="dxa"/>
            <w:noWrap w:val="0"/>
            <w:vAlign w:val="center"/>
          </w:tcPr>
          <w:p w14:paraId="2867734B">
            <w:pPr>
              <w:keepNext w:val="0"/>
              <w:keepLines w:val="0"/>
              <w:pageBreakBefore w:val="0"/>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商务标：</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w:t>
            </w:r>
          </w:p>
          <w:p w14:paraId="5347320F">
            <w:pPr>
              <w:keepNext w:val="0"/>
              <w:keepLines w:val="0"/>
              <w:pageBreakBefore w:val="0"/>
              <w:kinsoku/>
              <w:wordWrap/>
              <w:overflowPunct/>
              <w:topLinePunct w:val="0"/>
              <w:autoSpaceDE/>
              <w:autoSpaceDN/>
              <w:bidi w:val="0"/>
              <w:adjustRightInd/>
              <w:spacing w:line="44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技术标：</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w:t>
            </w:r>
          </w:p>
          <w:p w14:paraId="383DFA2B">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综合标：</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p>
        </w:tc>
      </w:tr>
      <w:tr w14:paraId="3A11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95" w:type="dxa"/>
            <w:gridSpan w:val="2"/>
            <w:tcBorders>
              <w:left w:val="single" w:color="auto" w:sz="4" w:space="0"/>
              <w:right w:val="single" w:color="auto" w:sz="4" w:space="0"/>
            </w:tcBorders>
            <w:noWrap w:val="0"/>
            <w:vAlign w:val="center"/>
          </w:tcPr>
          <w:p w14:paraId="51A9DFA9">
            <w:pPr>
              <w:pageBreakBefore w:val="0"/>
              <w:kinsoku/>
              <w:wordWrap/>
              <w:overflowPunct/>
              <w:topLinePunct w:val="0"/>
              <w:bidi w:val="0"/>
              <w:adjustRightInd/>
              <w:snapToGrid/>
              <w:spacing w:line="240"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评审分项</w:t>
            </w:r>
          </w:p>
        </w:tc>
        <w:tc>
          <w:tcPr>
            <w:tcW w:w="1788" w:type="dxa"/>
            <w:tcBorders>
              <w:top w:val="single" w:color="auto" w:sz="4" w:space="0"/>
              <w:left w:val="single" w:color="auto" w:sz="4" w:space="0"/>
              <w:right w:val="single" w:color="auto" w:sz="4" w:space="0"/>
            </w:tcBorders>
            <w:noWrap w:val="0"/>
            <w:vAlign w:val="center"/>
          </w:tcPr>
          <w:p w14:paraId="63E87BFF">
            <w:pPr>
              <w:pageBreakBefore w:val="0"/>
              <w:kinsoku/>
              <w:wordWrap/>
              <w:overflowPunct/>
              <w:topLinePunct w:val="0"/>
              <w:bidi w:val="0"/>
              <w:adjustRightInd/>
              <w:snapToGrid/>
              <w:spacing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rPr>
              <w:t>评分因素</w:t>
            </w:r>
          </w:p>
        </w:tc>
        <w:tc>
          <w:tcPr>
            <w:tcW w:w="6725" w:type="dxa"/>
            <w:tcBorders>
              <w:top w:val="single" w:color="auto" w:sz="4" w:space="0"/>
              <w:left w:val="single" w:color="auto" w:sz="4" w:space="0"/>
              <w:bottom w:val="single" w:color="auto" w:sz="4" w:space="0"/>
              <w:right w:val="single" w:color="auto" w:sz="4" w:space="0"/>
            </w:tcBorders>
            <w:noWrap w:val="0"/>
            <w:vAlign w:val="center"/>
          </w:tcPr>
          <w:p w14:paraId="6D4FAF9D">
            <w:pPr>
              <w:pageBreakBefore w:val="0"/>
              <w:kinsoku/>
              <w:wordWrap/>
              <w:overflowPunct/>
              <w:topLinePunct w:val="0"/>
              <w:bidi w:val="0"/>
              <w:adjustRightInd/>
              <w:snapToGrid/>
              <w:spacing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评分标准</w:t>
            </w:r>
          </w:p>
        </w:tc>
      </w:tr>
      <w:tr w14:paraId="547F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95" w:type="dxa"/>
            <w:gridSpan w:val="2"/>
            <w:tcBorders>
              <w:left w:val="single" w:color="auto" w:sz="4" w:space="0"/>
              <w:right w:val="single" w:color="auto" w:sz="4" w:space="0"/>
            </w:tcBorders>
            <w:noWrap w:val="0"/>
            <w:vAlign w:val="center"/>
          </w:tcPr>
          <w:p w14:paraId="7E7C6466">
            <w:pPr>
              <w:pageBreakBefore w:val="0"/>
              <w:kinsoku/>
              <w:wordWrap/>
              <w:overflowPunct/>
              <w:topLinePunct w:val="0"/>
              <w:bidi w:val="0"/>
              <w:adjustRightInd/>
              <w:snapToGrid/>
              <w:spacing w:line="240" w:lineRule="auto"/>
              <w:ind w:left="0" w:leftChars="0" w:right="0" w:righ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2.2.2（1）</w:t>
            </w:r>
          </w:p>
          <w:p w14:paraId="6FCCE74C">
            <w:pPr>
              <w:pageBreakBefore w:val="0"/>
              <w:kinsoku/>
              <w:wordWrap/>
              <w:overflowPunct/>
              <w:topLinePunct w:val="0"/>
              <w:bidi w:val="0"/>
              <w:adjustRightInd/>
              <w:snapToGrid/>
              <w:spacing w:line="240" w:lineRule="auto"/>
              <w:ind w:left="0"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商务</w:t>
            </w:r>
            <w:r>
              <w:rPr>
                <w:rFonts w:hint="eastAsia" w:ascii="宋体" w:hAnsi="宋体" w:eastAsia="宋体" w:cs="宋体"/>
                <w:color w:val="auto"/>
                <w:sz w:val="21"/>
                <w:szCs w:val="21"/>
                <w:highlight w:val="none"/>
              </w:rPr>
              <w:t>部分</w:t>
            </w:r>
          </w:p>
          <w:p w14:paraId="185A8BC4">
            <w:pPr>
              <w:pageBreakBefore w:val="0"/>
              <w:kinsoku/>
              <w:wordWrap/>
              <w:overflowPunct/>
              <w:topLinePunct w:val="0"/>
              <w:bidi w:val="0"/>
              <w:adjustRightInd/>
              <w:snapToGrid/>
              <w:spacing w:line="240" w:lineRule="auto"/>
              <w:ind w:left="0"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1788" w:type="dxa"/>
            <w:tcBorders>
              <w:top w:val="single" w:color="auto" w:sz="4" w:space="0"/>
              <w:left w:val="single" w:color="auto" w:sz="4" w:space="0"/>
              <w:right w:val="single" w:color="auto" w:sz="4" w:space="0"/>
            </w:tcBorders>
            <w:noWrap w:val="0"/>
            <w:vAlign w:val="center"/>
          </w:tcPr>
          <w:p w14:paraId="156779D3">
            <w:pPr>
              <w:keepNext w:val="0"/>
              <w:keepLines w:val="0"/>
              <w:pageBreakBefore w:val="0"/>
              <w:widowControl w:val="0"/>
              <w:kinsoku/>
              <w:wordWrap/>
              <w:overflowPunct/>
              <w:topLinePunct w:val="0"/>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w:t>
            </w:r>
          </w:p>
          <w:p w14:paraId="7FB7BDF3">
            <w:pPr>
              <w:keepNext w:val="0"/>
              <w:keepLines w:val="0"/>
              <w:pageBreakBefore w:val="0"/>
              <w:widowControl w:val="0"/>
              <w:kinsoku/>
              <w:wordWrap/>
              <w:overflowPunct/>
              <w:topLinePunct w:val="0"/>
              <w:bidi w:val="0"/>
              <w:adjustRightInd/>
              <w:snapToGrid/>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6725" w:type="dxa"/>
            <w:tcBorders>
              <w:top w:val="single" w:color="auto" w:sz="4" w:space="0"/>
              <w:left w:val="single" w:color="auto" w:sz="4" w:space="0"/>
              <w:bottom w:val="single" w:color="auto" w:sz="4" w:space="0"/>
              <w:right w:val="single" w:color="auto" w:sz="4" w:space="0"/>
            </w:tcBorders>
            <w:noWrap w:val="0"/>
            <w:vAlign w:val="center"/>
          </w:tcPr>
          <w:p w14:paraId="2706F4BB">
            <w:pPr>
              <w:keepNext w:val="0"/>
              <w:keepLines w:val="0"/>
              <w:pageBreakBefore w:val="0"/>
              <w:widowControl w:val="0"/>
              <w:kinsoku/>
              <w:wordWrap/>
              <w:overflowPunct/>
              <w:topLinePunct w:val="0"/>
              <w:bidi w:val="0"/>
              <w:adjustRightInd/>
              <w:snapToGrid/>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价格分统一采用低价优先法计算，即满足招标文件要求且投标价格最低的投标报价为评标基准价，其价格分</w:t>
            </w:r>
            <w:r>
              <w:rPr>
                <w:rFonts w:hint="eastAsia" w:ascii="宋体" w:hAnsi="宋体" w:cs="宋体"/>
                <w:color w:val="auto"/>
                <w:sz w:val="21"/>
                <w:szCs w:val="21"/>
                <w:highlight w:val="none"/>
                <w:lang w:val="en-US" w:eastAsia="zh-CN"/>
              </w:rPr>
              <w:t>为</w:t>
            </w:r>
            <w:r>
              <w:rPr>
                <w:rFonts w:hint="eastAsia" w:ascii="宋体" w:hAnsi="宋体" w:eastAsia="宋体" w:cs="宋体"/>
                <w:color w:val="auto"/>
                <w:sz w:val="21"/>
                <w:szCs w:val="21"/>
                <w:highlight w:val="none"/>
              </w:rPr>
              <w:t>满分</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分。其他供应商的价格分统一按照下列公式计算：</w:t>
            </w:r>
          </w:p>
          <w:p w14:paraId="290A66F9">
            <w:pPr>
              <w:keepNext w:val="0"/>
              <w:keepLines w:val="0"/>
              <w:pageBreakBefore w:val="0"/>
              <w:widowControl w:val="0"/>
              <w:kinsoku/>
              <w:wordWrap/>
              <w:overflowPunct/>
              <w:topLinePunct w:val="0"/>
              <w:bidi w:val="0"/>
              <w:adjustRightInd/>
              <w:snapToGrid/>
              <w:spacing w:line="240" w:lineRule="auto"/>
              <w:ind w:left="0" w:leftChars="0" w:right="0" w:rightChars="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lang w:val="en-US" w:eastAsia="zh-CN"/>
              </w:rPr>
              <w:t>20</w:t>
            </w:r>
          </w:p>
          <w:p w14:paraId="1CF76919">
            <w:pPr>
              <w:keepNext w:val="0"/>
              <w:keepLines w:val="0"/>
              <w:pageBreakBefore w:val="0"/>
              <w:widowControl w:val="0"/>
              <w:kinsoku/>
              <w:wordWrap/>
              <w:overflowPunct/>
              <w:topLinePunct w:val="0"/>
              <w:bidi w:val="0"/>
              <w:adjustRightInd/>
              <w:snapToGrid/>
              <w:spacing w:line="24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注：1.价格分计算保留小数点后二位；</w:t>
            </w:r>
          </w:p>
          <w:p w14:paraId="237E726C">
            <w:pPr>
              <w:keepNext w:val="0"/>
              <w:keepLines w:val="0"/>
              <w:pageBreakBefore w:val="0"/>
              <w:widowControl w:val="0"/>
              <w:kinsoku/>
              <w:wordWrap/>
              <w:overflowPunct/>
              <w:topLinePunct w:val="0"/>
              <w:bidi w:val="0"/>
              <w:adjustRightInd/>
              <w:snapToGrid/>
              <w:spacing w:line="240" w:lineRule="auto"/>
              <w:ind w:left="0" w:leftChars="0"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根据信财购〔2024〕11 号文要求，评标委员会认为投标人的报价明显低于其他通过符合性审查投标人的报价（建议比控制价低 30%），有可能影响产品质量或者不能诚信履约的（建议结合投标人提供的产品或服务响应采购需求的程度判断），应当要求其在评标现场合理的时间内提供书面说明，必要时提交相关证明材料；投标人不能证明其报价合理性的，评标委员会应当将其作为无效投标处理。</w:t>
            </w:r>
          </w:p>
        </w:tc>
      </w:tr>
      <w:tr w14:paraId="15E1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5" w:type="dxa"/>
            <w:gridSpan w:val="2"/>
            <w:vMerge w:val="restart"/>
            <w:tcBorders>
              <w:left w:val="single" w:color="auto" w:sz="4" w:space="0"/>
              <w:right w:val="single" w:color="auto" w:sz="4" w:space="0"/>
            </w:tcBorders>
            <w:noWrap w:val="0"/>
            <w:vAlign w:val="center"/>
          </w:tcPr>
          <w:p w14:paraId="0BED85D6">
            <w:pPr>
              <w:pageBreakBefore w:val="0"/>
              <w:kinsoku/>
              <w:wordWrap/>
              <w:overflowPunct/>
              <w:topLinePunct w:val="0"/>
              <w:bidi w:val="0"/>
              <w:adjustRightInd/>
              <w:snapToGrid/>
              <w:spacing w:line="240" w:lineRule="auto"/>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2.2.2（2）</w:t>
            </w:r>
          </w:p>
          <w:p w14:paraId="5776C37B">
            <w:pPr>
              <w:pageBreakBefore w:val="0"/>
              <w:kinsoku/>
              <w:wordWrap/>
              <w:overflowPunct/>
              <w:topLinePunct w:val="0"/>
              <w:bidi w:val="0"/>
              <w:adjustRightInd/>
              <w:snapToGrid/>
              <w:spacing w:line="24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w:t>
            </w:r>
            <w:r>
              <w:rPr>
                <w:rFonts w:hint="eastAsia" w:ascii="宋体" w:hAnsi="宋体" w:eastAsia="宋体" w:cs="宋体"/>
                <w:color w:val="auto"/>
                <w:sz w:val="21"/>
                <w:szCs w:val="21"/>
                <w:highlight w:val="none"/>
              </w:rPr>
              <w:t>部分</w:t>
            </w:r>
          </w:p>
          <w:p w14:paraId="6F824122">
            <w:pPr>
              <w:pStyle w:val="11"/>
              <w:ind w:firstLine="210" w:firstLineChars="100"/>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rPr>
              <w:t>分）</w:t>
            </w:r>
          </w:p>
        </w:tc>
        <w:tc>
          <w:tcPr>
            <w:tcW w:w="1788" w:type="dxa"/>
            <w:tcBorders>
              <w:top w:val="single" w:color="auto" w:sz="4" w:space="0"/>
              <w:left w:val="single" w:color="auto" w:sz="4" w:space="0"/>
              <w:right w:val="single" w:color="auto" w:sz="4" w:space="0"/>
            </w:tcBorders>
            <w:shd w:val="clear" w:color="auto" w:fill="auto"/>
            <w:noWrap w:val="0"/>
            <w:vAlign w:val="center"/>
          </w:tcPr>
          <w:p w14:paraId="225A9913">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技术实施方案</w:t>
            </w:r>
          </w:p>
          <w:p w14:paraId="245C1499">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（12分）</w:t>
            </w:r>
          </w:p>
        </w:tc>
        <w:tc>
          <w:tcPr>
            <w:tcW w:w="67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813AD1">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供应商制定科学严谨、完善细致、可操作性强的技术方案（主要对现场清运方案、危废处置方案、风险控制措施、难点与建议）得12分，缺一项扣3分</w:t>
            </w:r>
          </w:p>
        </w:tc>
      </w:tr>
      <w:tr w14:paraId="3D71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95" w:type="dxa"/>
            <w:gridSpan w:val="2"/>
            <w:vMerge w:val="continue"/>
            <w:tcBorders>
              <w:left w:val="single" w:color="auto" w:sz="4" w:space="0"/>
              <w:right w:val="single" w:color="auto" w:sz="4" w:space="0"/>
            </w:tcBorders>
            <w:noWrap w:val="0"/>
            <w:vAlign w:val="center"/>
          </w:tcPr>
          <w:p w14:paraId="5E73CBDD">
            <w:pPr>
              <w:pageBreakBefore w:val="0"/>
              <w:kinsoku/>
              <w:wordWrap/>
              <w:overflowPunct/>
              <w:topLinePunct w:val="0"/>
              <w:bidi w:val="0"/>
              <w:adjustRightInd/>
              <w:snapToGrid/>
              <w:spacing w:line="240" w:lineRule="auto"/>
              <w:ind w:left="0" w:leftChars="0" w:right="0" w:rightChars="0"/>
              <w:jc w:val="both"/>
              <w:rPr>
                <w:rFonts w:hint="eastAsia" w:ascii="宋体" w:hAnsi="宋体" w:eastAsia="宋体" w:cs="宋体"/>
                <w:color w:val="auto"/>
                <w:sz w:val="21"/>
                <w:szCs w:val="21"/>
                <w:highlight w:val="none"/>
              </w:rPr>
            </w:pPr>
          </w:p>
        </w:tc>
        <w:tc>
          <w:tcPr>
            <w:tcW w:w="1788" w:type="dxa"/>
            <w:tcBorders>
              <w:top w:val="single" w:color="auto" w:sz="4" w:space="0"/>
              <w:left w:val="single" w:color="auto" w:sz="4" w:space="0"/>
              <w:right w:val="single" w:color="auto" w:sz="4" w:space="0"/>
            </w:tcBorders>
            <w:shd w:val="clear" w:color="auto" w:fill="auto"/>
            <w:noWrap w:val="0"/>
            <w:vAlign w:val="center"/>
          </w:tcPr>
          <w:p w14:paraId="01F13E60">
            <w:pPr>
              <w:pStyle w:val="53"/>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安全措施方案</w:t>
            </w:r>
          </w:p>
          <w:p w14:paraId="41B26B49">
            <w:pPr>
              <w:pStyle w:val="53"/>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（15分）</w:t>
            </w:r>
          </w:p>
        </w:tc>
        <w:tc>
          <w:tcPr>
            <w:tcW w:w="67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F6F170">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 xml:space="preserve">供应商制定完善细致、可操作性强安全措施方案（主要对危险废物现场清理安全措施、危险废物运输措施、危险废物暂存和处置安全措施、人员安全防护措施、必要的急救措施）得15分，缺一项扣3分。 </w:t>
            </w:r>
          </w:p>
        </w:tc>
      </w:tr>
      <w:tr w14:paraId="51B6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95" w:type="dxa"/>
            <w:gridSpan w:val="2"/>
            <w:vMerge w:val="continue"/>
            <w:tcBorders>
              <w:left w:val="single" w:color="auto" w:sz="4" w:space="0"/>
              <w:right w:val="single" w:color="auto" w:sz="4" w:space="0"/>
            </w:tcBorders>
            <w:noWrap w:val="0"/>
            <w:vAlign w:val="center"/>
          </w:tcPr>
          <w:p w14:paraId="1B2551F4">
            <w:pPr>
              <w:spacing w:line="240" w:lineRule="auto"/>
              <w:rPr>
                <w:rFonts w:hint="eastAsia" w:ascii="宋体" w:hAnsi="宋体" w:eastAsia="宋体" w:cs="宋体"/>
                <w:color w:val="auto"/>
                <w:highlight w:val="none"/>
              </w:rPr>
            </w:pPr>
          </w:p>
        </w:tc>
        <w:tc>
          <w:tcPr>
            <w:tcW w:w="1788" w:type="dxa"/>
            <w:tcBorders>
              <w:top w:val="single" w:color="auto" w:sz="4" w:space="0"/>
              <w:left w:val="single" w:color="auto" w:sz="4" w:space="0"/>
              <w:right w:val="single" w:color="auto" w:sz="4" w:space="0"/>
            </w:tcBorders>
            <w:shd w:val="clear" w:color="auto" w:fill="auto"/>
            <w:noWrap w:val="0"/>
            <w:vAlign w:val="center"/>
          </w:tcPr>
          <w:p w14:paraId="4EDB4FBF">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拟投入本项目设备（2分）</w:t>
            </w:r>
          </w:p>
        </w:tc>
        <w:tc>
          <w:tcPr>
            <w:tcW w:w="67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CCD21C">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根据供应商拟投入本项目设备的情况，主要对拟投入处置主要设备、稳定化/固化主要设备等内容进行打分。 </w:t>
            </w:r>
          </w:p>
          <w:p w14:paraId="3B9433D1">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拟投入本项目设备具体、齐全，完全满足本项目需求的得2分； </w:t>
            </w:r>
          </w:p>
          <w:p w14:paraId="659F8476">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拟投入本项目设备较为具体、较齐全，基本满足本项目需求的得 1分； </w:t>
            </w:r>
          </w:p>
          <w:p w14:paraId="7B891239">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拟投入本项目设备不够具体、不齐全，不够满足本项目基本需求的得 0.5分； </w:t>
            </w:r>
          </w:p>
          <w:p w14:paraId="500E726B">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未针对本项目描述或没有的得 0 分。</w:t>
            </w:r>
          </w:p>
        </w:tc>
      </w:tr>
      <w:tr w14:paraId="7278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795" w:type="dxa"/>
            <w:gridSpan w:val="2"/>
            <w:vMerge w:val="continue"/>
            <w:tcBorders>
              <w:left w:val="single" w:color="auto" w:sz="4" w:space="0"/>
              <w:right w:val="single" w:color="auto" w:sz="4" w:space="0"/>
            </w:tcBorders>
            <w:noWrap w:val="0"/>
            <w:vAlign w:val="center"/>
          </w:tcPr>
          <w:p w14:paraId="49A3E56C">
            <w:pPr>
              <w:spacing w:line="240" w:lineRule="auto"/>
              <w:rPr>
                <w:rFonts w:hint="eastAsia" w:ascii="宋体" w:hAnsi="宋体" w:eastAsia="宋体" w:cs="宋体"/>
                <w:color w:val="auto"/>
                <w:highlight w:val="none"/>
              </w:rPr>
            </w:pPr>
          </w:p>
        </w:tc>
        <w:tc>
          <w:tcPr>
            <w:tcW w:w="1788" w:type="dxa"/>
            <w:tcBorders>
              <w:top w:val="single" w:color="auto" w:sz="4" w:space="0"/>
              <w:left w:val="single" w:color="auto" w:sz="4" w:space="0"/>
              <w:right w:val="single" w:color="auto" w:sz="4" w:space="0"/>
            </w:tcBorders>
            <w:shd w:val="clear" w:color="auto" w:fill="auto"/>
            <w:noWrap w:val="0"/>
            <w:vAlign w:val="center"/>
          </w:tcPr>
          <w:p w14:paraId="797610EA">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项目进度计划与保障措施（2分）</w:t>
            </w:r>
          </w:p>
          <w:p w14:paraId="315D2376">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7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BC6EC7">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根据供应商提出的项目进度计划与保障措施情况进行打分。 </w:t>
            </w:r>
          </w:p>
          <w:p w14:paraId="3C1181A8">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项目进度计划与保障措施科学合理、内容详细，切合实际的得2分； </w:t>
            </w:r>
          </w:p>
          <w:p w14:paraId="2B807ABE">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项目进度计划与保障措施较合理、内容较详细，较切合实际的得1分； </w:t>
            </w:r>
          </w:p>
          <w:p w14:paraId="22E7E6A5">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项目进度计划与保障措施不够合理、不够切合实际的得 0.5 分； </w:t>
            </w:r>
          </w:p>
          <w:p w14:paraId="2AED3B48">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未针对本项目描述或没有的得 0 分。</w:t>
            </w:r>
          </w:p>
        </w:tc>
      </w:tr>
      <w:tr w14:paraId="6EF7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795" w:type="dxa"/>
            <w:gridSpan w:val="2"/>
            <w:vMerge w:val="continue"/>
            <w:tcBorders>
              <w:left w:val="single" w:color="auto" w:sz="4" w:space="0"/>
              <w:right w:val="single" w:color="auto" w:sz="4" w:space="0"/>
            </w:tcBorders>
            <w:noWrap w:val="0"/>
            <w:vAlign w:val="center"/>
          </w:tcPr>
          <w:p w14:paraId="583ADAA6">
            <w:pPr>
              <w:pStyle w:val="24"/>
              <w:rPr>
                <w:rFonts w:hint="eastAsia" w:ascii="宋体" w:hAnsi="宋体" w:eastAsia="宋体" w:cs="宋体"/>
                <w:color w:val="auto"/>
                <w:highlight w:val="none"/>
                <w:lang w:val="en-US" w:eastAsia="zh-CN"/>
              </w:rPr>
            </w:pPr>
          </w:p>
        </w:tc>
        <w:tc>
          <w:tcPr>
            <w:tcW w:w="1788" w:type="dxa"/>
            <w:tcBorders>
              <w:top w:val="single" w:color="auto" w:sz="4" w:space="0"/>
              <w:left w:val="single" w:color="auto" w:sz="4" w:space="0"/>
              <w:right w:val="single" w:color="auto" w:sz="4" w:space="0"/>
            </w:tcBorders>
            <w:shd w:val="clear" w:color="auto" w:fill="auto"/>
            <w:noWrap w:val="0"/>
            <w:vAlign w:val="center"/>
          </w:tcPr>
          <w:p w14:paraId="10F8FA1B">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应急预案措施</w:t>
            </w:r>
          </w:p>
          <w:p w14:paraId="173ACCC8">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（2分）</w:t>
            </w:r>
          </w:p>
          <w:p w14:paraId="513499BB">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7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378187">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根据供应商提出的应急预案措施，主要对应急组织机构及职责、应急响应时间及应急流程、应急保障措施、应急预案管理、善后工作等内容进行打分。 </w:t>
            </w:r>
          </w:p>
          <w:p w14:paraId="54F391DB">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应急预案措施完整、具有有效性保障、针对性强，与用户实际需求贴合度高的得 2分； </w:t>
            </w:r>
          </w:p>
          <w:p w14:paraId="0BFAD3B4">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应急预案措施比较有保障、针对性较强，与用户实际需求贴合度较高的得 1 分； </w:t>
            </w:r>
          </w:p>
          <w:p w14:paraId="7DCFA360">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应急预案措施不够完整、针对性一般，与用户实际需求贴合度不高的得 0.5分； </w:t>
            </w:r>
          </w:p>
          <w:p w14:paraId="3A87CE82">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未针对本项目描述或没有的得 0 分。</w:t>
            </w:r>
          </w:p>
        </w:tc>
      </w:tr>
      <w:tr w14:paraId="77A4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795" w:type="dxa"/>
            <w:gridSpan w:val="2"/>
            <w:vMerge w:val="continue"/>
            <w:tcBorders>
              <w:left w:val="single" w:color="auto" w:sz="4" w:space="0"/>
              <w:right w:val="single" w:color="auto" w:sz="4" w:space="0"/>
            </w:tcBorders>
            <w:noWrap w:val="0"/>
            <w:vAlign w:val="center"/>
          </w:tcPr>
          <w:p w14:paraId="6FF0281A">
            <w:pPr>
              <w:pStyle w:val="24"/>
              <w:rPr>
                <w:rFonts w:hint="eastAsia" w:ascii="宋体" w:hAnsi="宋体" w:eastAsia="宋体" w:cs="宋体"/>
                <w:color w:val="auto"/>
                <w:highlight w:val="none"/>
                <w:lang w:val="en-US" w:eastAsia="zh-CN"/>
              </w:rPr>
            </w:pPr>
          </w:p>
        </w:tc>
        <w:tc>
          <w:tcPr>
            <w:tcW w:w="1788" w:type="dxa"/>
            <w:tcBorders>
              <w:top w:val="single" w:color="auto" w:sz="4" w:space="0"/>
              <w:left w:val="single" w:color="auto" w:sz="4" w:space="0"/>
              <w:right w:val="single" w:color="auto" w:sz="4" w:space="0"/>
            </w:tcBorders>
            <w:shd w:val="clear" w:color="auto" w:fill="auto"/>
            <w:noWrap w:val="0"/>
            <w:vAlign w:val="center"/>
          </w:tcPr>
          <w:p w14:paraId="4011AB2A">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售后服务</w:t>
            </w:r>
          </w:p>
          <w:p w14:paraId="16F308AF">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（2分）</w:t>
            </w:r>
          </w:p>
        </w:tc>
        <w:tc>
          <w:tcPr>
            <w:tcW w:w="67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1E6ABD">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根据供应商针对本项目提出的后续服务措施，主要对售后服务内容、售后服务方式、响应措施以及售后服务组织安排等内容进行打分。</w:t>
            </w:r>
          </w:p>
          <w:p w14:paraId="5D689E93">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售后服务方案完善丰富、内容具体全面、可行性高、针对性强的得2分；</w:t>
            </w:r>
          </w:p>
          <w:p w14:paraId="65D4091B">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售后服务方案较完善、内容比较全面、可行性较高、针对性较强的得1分；</w:t>
            </w:r>
          </w:p>
          <w:p w14:paraId="45F2D08B">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售后服务方案不够完善、内容不够全面、可行性一般的得0.5分；</w:t>
            </w:r>
          </w:p>
          <w:p w14:paraId="2E1E283C">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不符合或未提供相关内容的得 0 分。</w:t>
            </w:r>
          </w:p>
        </w:tc>
      </w:tr>
      <w:tr w14:paraId="5852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795" w:type="dxa"/>
            <w:gridSpan w:val="2"/>
            <w:vMerge w:val="restart"/>
            <w:tcBorders>
              <w:left w:val="single" w:color="auto" w:sz="4" w:space="0"/>
              <w:right w:val="single" w:color="auto" w:sz="4" w:space="0"/>
            </w:tcBorders>
            <w:noWrap w:val="0"/>
            <w:vAlign w:val="center"/>
          </w:tcPr>
          <w:p w14:paraId="4672D49E">
            <w:pPr>
              <w:pageBreakBefore w:val="0"/>
              <w:kinsoku/>
              <w:wordWrap/>
              <w:overflowPunct/>
              <w:topLinePunct w:val="0"/>
              <w:bidi w:val="0"/>
              <w:adjustRightInd/>
              <w:snapToGrid/>
              <w:spacing w:line="240" w:lineRule="auto"/>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2.2.2（3）</w:t>
            </w:r>
          </w:p>
          <w:p w14:paraId="30A37AF4">
            <w:pPr>
              <w:pageBreakBefore w:val="0"/>
              <w:kinsoku/>
              <w:wordWrap/>
              <w:overflowPunct/>
              <w:topLinePunct w:val="0"/>
              <w:bidi w:val="0"/>
              <w:adjustRightInd/>
              <w:snapToGrid/>
              <w:spacing w:line="240"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综合部分</w:t>
            </w:r>
          </w:p>
          <w:p w14:paraId="6B981E7C">
            <w:pPr>
              <w:pageBreakBefore w:val="0"/>
              <w:kinsoku/>
              <w:wordWrap/>
              <w:overflowPunct/>
              <w:topLinePunct w:val="0"/>
              <w:bidi w:val="0"/>
              <w:adjustRightInd/>
              <w:snapToGrid/>
              <w:spacing w:line="240"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p>
        </w:tc>
        <w:tc>
          <w:tcPr>
            <w:tcW w:w="1788" w:type="dxa"/>
            <w:tcBorders>
              <w:left w:val="single" w:color="auto" w:sz="4" w:space="0"/>
              <w:right w:val="single" w:color="auto" w:sz="6" w:space="0"/>
            </w:tcBorders>
            <w:noWrap w:val="0"/>
            <w:vAlign w:val="center"/>
          </w:tcPr>
          <w:p w14:paraId="60FF7131">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企业业绩</w:t>
            </w:r>
          </w:p>
          <w:p w14:paraId="6C318579">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（12分）</w:t>
            </w:r>
          </w:p>
        </w:tc>
        <w:tc>
          <w:tcPr>
            <w:tcW w:w="6725" w:type="dxa"/>
            <w:tcBorders>
              <w:left w:val="single" w:color="auto" w:sz="6" w:space="0"/>
              <w:right w:val="single" w:color="auto" w:sz="6" w:space="0"/>
            </w:tcBorders>
            <w:noWrap w:val="0"/>
            <w:vAlign w:val="center"/>
          </w:tcPr>
          <w:p w14:paraId="355E9E0C">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2020年1月1日以来，供应商承接过项目类似业绩，每提供一份得3分，最多得12分。（以合同签订时间为准，需提供合同扫描件，提供不全或不提供不得分）</w:t>
            </w:r>
          </w:p>
        </w:tc>
      </w:tr>
      <w:tr w14:paraId="26B3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95" w:type="dxa"/>
            <w:gridSpan w:val="2"/>
            <w:vMerge w:val="continue"/>
            <w:tcBorders>
              <w:left w:val="single" w:color="auto" w:sz="4" w:space="0"/>
              <w:right w:val="single" w:color="auto" w:sz="4" w:space="0"/>
            </w:tcBorders>
            <w:noWrap w:val="0"/>
            <w:vAlign w:val="center"/>
          </w:tcPr>
          <w:p w14:paraId="00CC7089">
            <w:pPr>
              <w:pageBreakBefore w:val="0"/>
              <w:kinsoku/>
              <w:wordWrap/>
              <w:overflowPunct/>
              <w:topLinePunct w:val="0"/>
              <w:bidi w:val="0"/>
              <w:adjustRightInd/>
              <w:snapToGrid/>
              <w:spacing w:line="240" w:lineRule="auto"/>
              <w:ind w:left="0" w:leftChars="0" w:right="0" w:rightChars="0"/>
              <w:jc w:val="center"/>
              <w:rPr>
                <w:rFonts w:hint="eastAsia" w:ascii="宋体" w:hAnsi="宋体" w:eastAsia="宋体" w:cs="宋体"/>
                <w:color w:val="auto"/>
                <w:sz w:val="21"/>
                <w:szCs w:val="21"/>
                <w:highlight w:val="none"/>
              </w:rPr>
            </w:pPr>
          </w:p>
        </w:tc>
        <w:tc>
          <w:tcPr>
            <w:tcW w:w="1788" w:type="dxa"/>
            <w:tcBorders>
              <w:left w:val="single" w:color="auto" w:sz="4" w:space="0"/>
              <w:right w:val="single" w:color="auto" w:sz="6" w:space="0"/>
            </w:tcBorders>
            <w:noWrap w:val="0"/>
            <w:vAlign w:val="center"/>
          </w:tcPr>
          <w:p w14:paraId="12D389DE">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项目管理机构（10分）</w:t>
            </w:r>
          </w:p>
        </w:tc>
        <w:tc>
          <w:tcPr>
            <w:tcW w:w="6725" w:type="dxa"/>
            <w:tcBorders>
              <w:left w:val="single" w:color="auto" w:sz="6" w:space="0"/>
              <w:right w:val="single" w:color="auto" w:sz="6" w:space="0"/>
            </w:tcBorders>
            <w:noWrap w:val="0"/>
            <w:vAlign w:val="center"/>
          </w:tcPr>
          <w:p w14:paraId="1A1BCF68">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1、供应商拟派项目负责人具有环保工程专业或相关专业经验8年以上含8年（以首次取得相关专业职称证书为准）的得5分，在8年的基础上，每增加1年得1分，最多得7分。</w:t>
            </w:r>
          </w:p>
          <w:p w14:paraId="7BAEDBCB">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2、供应商拟投入本项目人员中（不含项目负责人）有环保工程专业或相关专业中级及以上职称的，每有一人得1分，最多得3分。</w:t>
            </w:r>
          </w:p>
          <w:p w14:paraId="212F712A">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注：提供相关证书、与供应商签订的劳动合同，提供不全或不提供的不得分。</w:t>
            </w:r>
          </w:p>
        </w:tc>
      </w:tr>
      <w:tr w14:paraId="3B97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795" w:type="dxa"/>
            <w:gridSpan w:val="2"/>
            <w:vMerge w:val="continue"/>
            <w:tcBorders>
              <w:left w:val="single" w:color="auto" w:sz="4" w:space="0"/>
              <w:right w:val="single" w:color="auto" w:sz="4" w:space="0"/>
            </w:tcBorders>
            <w:noWrap w:val="0"/>
            <w:vAlign w:val="center"/>
          </w:tcPr>
          <w:p w14:paraId="5EE857F5">
            <w:pPr>
              <w:pageBreakBefore w:val="0"/>
              <w:kinsoku/>
              <w:wordWrap/>
              <w:overflowPunct/>
              <w:topLinePunct w:val="0"/>
              <w:bidi w:val="0"/>
              <w:adjustRightInd/>
              <w:snapToGrid/>
              <w:spacing w:line="240" w:lineRule="auto"/>
              <w:ind w:left="0" w:leftChars="0" w:right="0" w:rightChars="0"/>
              <w:jc w:val="center"/>
              <w:rPr>
                <w:rFonts w:hint="eastAsia" w:ascii="宋体" w:hAnsi="宋体" w:eastAsia="宋体" w:cs="宋体"/>
                <w:color w:val="auto"/>
                <w:sz w:val="21"/>
                <w:szCs w:val="21"/>
                <w:highlight w:val="none"/>
              </w:rPr>
            </w:pPr>
          </w:p>
        </w:tc>
        <w:tc>
          <w:tcPr>
            <w:tcW w:w="1788" w:type="dxa"/>
            <w:tcBorders>
              <w:left w:val="single" w:color="auto" w:sz="4" w:space="0"/>
              <w:right w:val="single" w:color="auto" w:sz="6" w:space="0"/>
            </w:tcBorders>
            <w:noWrap w:val="0"/>
            <w:vAlign w:val="center"/>
          </w:tcPr>
          <w:p w14:paraId="62C2E661">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企业实力</w:t>
            </w:r>
          </w:p>
          <w:p w14:paraId="5A630918">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（12分）</w:t>
            </w:r>
          </w:p>
        </w:tc>
        <w:tc>
          <w:tcPr>
            <w:tcW w:w="6725" w:type="dxa"/>
            <w:tcBorders>
              <w:left w:val="single" w:color="auto" w:sz="6" w:space="0"/>
              <w:right w:val="single" w:color="auto" w:sz="6" w:space="0"/>
            </w:tcBorders>
            <w:noWrap w:val="0"/>
            <w:vAlign w:val="center"/>
          </w:tcPr>
          <w:p w14:paraId="20B35C43">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1、供应商同时具有质量管理体系认证证书、环境管理体系认证证书、职业健康安全管理体系认证证书，每提供1项得2分，最多得6分，未提供不得分。</w:t>
            </w:r>
          </w:p>
          <w:p w14:paraId="100EB2BC">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2、提供采购相关内容的发明专利或实用型专利，每提供1项得2分，最多得6分，未提供不得分。</w:t>
            </w:r>
          </w:p>
        </w:tc>
      </w:tr>
      <w:tr w14:paraId="1DCE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795" w:type="dxa"/>
            <w:gridSpan w:val="2"/>
            <w:vMerge w:val="continue"/>
            <w:tcBorders>
              <w:left w:val="single" w:color="auto" w:sz="4" w:space="0"/>
              <w:right w:val="single" w:color="auto" w:sz="4" w:space="0"/>
            </w:tcBorders>
            <w:noWrap w:val="0"/>
            <w:vAlign w:val="center"/>
          </w:tcPr>
          <w:p w14:paraId="67A26BF2">
            <w:pPr>
              <w:pageBreakBefore w:val="0"/>
              <w:kinsoku/>
              <w:wordWrap/>
              <w:overflowPunct/>
              <w:topLinePunct w:val="0"/>
              <w:bidi w:val="0"/>
              <w:adjustRightInd/>
              <w:snapToGrid/>
              <w:spacing w:line="240" w:lineRule="auto"/>
              <w:ind w:left="0" w:leftChars="0" w:right="0" w:rightChars="0"/>
              <w:jc w:val="center"/>
              <w:rPr>
                <w:rFonts w:hint="eastAsia" w:ascii="宋体" w:hAnsi="宋体" w:eastAsia="宋体" w:cs="宋体"/>
                <w:color w:val="auto"/>
                <w:sz w:val="21"/>
                <w:szCs w:val="21"/>
                <w:highlight w:val="none"/>
              </w:rPr>
            </w:pPr>
          </w:p>
        </w:tc>
        <w:tc>
          <w:tcPr>
            <w:tcW w:w="1788" w:type="dxa"/>
            <w:tcBorders>
              <w:left w:val="single" w:color="auto" w:sz="4" w:space="0"/>
              <w:right w:val="single" w:color="auto" w:sz="6" w:space="0"/>
            </w:tcBorders>
            <w:noWrap w:val="0"/>
            <w:vAlign w:val="center"/>
          </w:tcPr>
          <w:p w14:paraId="02F0C271">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服务承诺</w:t>
            </w:r>
          </w:p>
          <w:p w14:paraId="15DD164B">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（9分）</w:t>
            </w:r>
          </w:p>
        </w:tc>
        <w:tc>
          <w:tcPr>
            <w:tcW w:w="6725" w:type="dxa"/>
            <w:tcBorders>
              <w:left w:val="single" w:color="auto" w:sz="6" w:space="0"/>
              <w:right w:val="single" w:color="auto" w:sz="6" w:space="0"/>
            </w:tcBorders>
            <w:noWrap w:val="0"/>
            <w:vAlign w:val="center"/>
          </w:tcPr>
          <w:p w14:paraId="0060283A">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1、承诺遵守国家相关危险服务安全处置标准、技术措施和技术规范的得 3 分，缺项不得分。</w:t>
            </w:r>
          </w:p>
          <w:p w14:paraId="38F1A8CB">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2、承诺中标后在服务期限内员工所产生的一切安全事故、劳资纠纷等由供应商单位自行负责解决，与采购人无关的得 3分，缺项不得分。</w:t>
            </w:r>
          </w:p>
          <w:p w14:paraId="052368F0">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3、承诺服务期限内随时配合采购人进行实施，并安全文明作业的得 3 分，缺项不得分。</w:t>
            </w:r>
          </w:p>
        </w:tc>
      </w:tr>
      <w:tr w14:paraId="0EDE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795" w:type="dxa"/>
            <w:gridSpan w:val="2"/>
            <w:vMerge w:val="continue"/>
            <w:tcBorders>
              <w:left w:val="single" w:color="auto" w:sz="4" w:space="0"/>
              <w:right w:val="single" w:color="auto" w:sz="4" w:space="0"/>
            </w:tcBorders>
            <w:noWrap w:val="0"/>
            <w:vAlign w:val="center"/>
          </w:tcPr>
          <w:p w14:paraId="139E142E">
            <w:pPr>
              <w:pageBreakBefore w:val="0"/>
              <w:kinsoku/>
              <w:wordWrap/>
              <w:overflowPunct/>
              <w:topLinePunct w:val="0"/>
              <w:bidi w:val="0"/>
              <w:adjustRightInd/>
              <w:snapToGrid/>
              <w:spacing w:line="240" w:lineRule="auto"/>
              <w:ind w:left="0" w:leftChars="0" w:right="0" w:rightChars="0"/>
              <w:jc w:val="center"/>
              <w:rPr>
                <w:rFonts w:hint="eastAsia" w:ascii="宋体" w:hAnsi="宋体" w:eastAsia="宋体" w:cs="宋体"/>
                <w:color w:val="auto"/>
                <w:sz w:val="21"/>
                <w:szCs w:val="21"/>
                <w:highlight w:val="none"/>
              </w:rPr>
            </w:pPr>
          </w:p>
        </w:tc>
        <w:tc>
          <w:tcPr>
            <w:tcW w:w="1788" w:type="dxa"/>
            <w:tcBorders>
              <w:left w:val="single" w:color="auto" w:sz="4" w:space="0"/>
              <w:right w:val="single" w:color="auto" w:sz="6" w:space="0"/>
            </w:tcBorders>
            <w:noWrap w:val="0"/>
            <w:vAlign w:val="center"/>
          </w:tcPr>
          <w:p w14:paraId="047A885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p>
          <w:p w14:paraId="622F50A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综合评价</w:t>
            </w:r>
          </w:p>
          <w:p w14:paraId="64DCC93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14:paraId="13E20C05">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725" w:type="dxa"/>
            <w:tcBorders>
              <w:left w:val="single" w:color="auto" w:sz="6" w:space="0"/>
              <w:right w:val="single" w:color="auto" w:sz="6" w:space="0"/>
            </w:tcBorders>
            <w:noWrap w:val="0"/>
            <w:vAlign w:val="center"/>
          </w:tcPr>
          <w:p w14:paraId="4690153C">
            <w:pPr>
              <w:keepNext w:val="0"/>
              <w:keepLines w:val="0"/>
              <w:pageBreakBefore w:val="0"/>
              <w:widowControl w:val="0"/>
              <w:kinsoku/>
              <w:wordWrap/>
              <w:overflowPunct/>
              <w:topLinePunct w:val="0"/>
              <w:autoSpaceDE/>
              <w:autoSpaceDN/>
              <w:bidi w:val="0"/>
              <w:adjustRightInd/>
              <w:snapToGrid/>
              <w:spacing w:line="240" w:lineRule="auto"/>
              <w:ind w:left="0" w:leftChars="0" w:firstLine="16" w:firstLineChars="8"/>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评标委员会</w:t>
            </w:r>
            <w:r>
              <w:rPr>
                <w:rFonts w:hint="eastAsia" w:ascii="宋体" w:hAnsi="宋体" w:eastAsia="宋体" w:cs="宋体"/>
                <w:b w:val="0"/>
                <w:bCs w:val="0"/>
                <w:color w:val="auto"/>
                <w:kern w:val="2"/>
                <w:sz w:val="21"/>
                <w:szCs w:val="21"/>
                <w:highlight w:val="none"/>
                <w:lang w:val="en-US" w:eastAsia="zh-CN" w:bidi="ar-SA"/>
              </w:rPr>
              <w:t>根据投标文件的编制内容和响应招标文件要求程度等方面，对各供应商进行综合评分，编制内容详实、响应程度高的得2分；内容简单、响应程度一般的得1分；内容不足、响应程度差的得0.5分。</w:t>
            </w:r>
          </w:p>
        </w:tc>
      </w:tr>
    </w:tbl>
    <w:p w14:paraId="5932FA9B">
      <w:pPr>
        <w:pStyle w:val="3"/>
        <w:bidi w:val="0"/>
        <w:ind w:left="0" w:leftChars="0" w:firstLine="0" w:firstLineChars="0"/>
        <w:jc w:val="left"/>
        <w:rPr>
          <w:rFonts w:hint="eastAsia"/>
          <w:sz w:val="21"/>
          <w:szCs w:val="21"/>
          <w:lang w:val="en-US" w:eastAsia="zh-CN"/>
        </w:rPr>
      </w:pPr>
      <w:r>
        <w:rPr>
          <w:rFonts w:hint="eastAsia"/>
          <w:sz w:val="21"/>
          <w:szCs w:val="21"/>
          <w:lang w:val="en-US" w:eastAsia="zh-CN"/>
        </w:rPr>
        <w:t>1、评分办法</w:t>
      </w:r>
    </w:p>
    <w:p w14:paraId="56AB0ABC">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1.1本次评标采用综合评分法。</w:t>
      </w:r>
    </w:p>
    <w:p w14:paraId="5F5F8840">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对满足招标文件实质性要求的投标文件，按照本章详细评审标准进行打分，本项目按综合得分由高到低顺序推荐3名中标候选人。综合评分相等时，以投标报价低的优先；投标报价也相等的，以技术标得分高的优先。</w:t>
      </w:r>
    </w:p>
    <w:p w14:paraId="15BD0BE7">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1.2经评标委员会初步评审后有效投标不足3个的，评标委员会应予废标。</w:t>
      </w:r>
    </w:p>
    <w:p w14:paraId="1864E227">
      <w:pPr>
        <w:pStyle w:val="3"/>
        <w:bidi w:val="0"/>
        <w:ind w:left="0" w:leftChars="0" w:firstLine="0" w:firstLineChars="0"/>
        <w:jc w:val="left"/>
        <w:rPr>
          <w:rFonts w:hint="eastAsia"/>
          <w:sz w:val="21"/>
          <w:szCs w:val="21"/>
        </w:rPr>
      </w:pPr>
      <w:bookmarkStart w:id="77" w:name="_Toc381964734"/>
      <w:bookmarkStart w:id="78" w:name="_Toc381964642"/>
      <w:bookmarkStart w:id="79" w:name="_Toc363053528"/>
      <w:bookmarkStart w:id="80" w:name="_Toc184635094"/>
      <w:bookmarkStart w:id="81" w:name="_Toc374358912"/>
      <w:bookmarkStart w:id="82" w:name="_Toc381018333"/>
      <w:bookmarkStart w:id="83" w:name="_Toc21497"/>
      <w:r>
        <w:rPr>
          <w:rFonts w:hint="eastAsia"/>
          <w:sz w:val="21"/>
          <w:szCs w:val="21"/>
        </w:rPr>
        <w:t>2、评审标准</w:t>
      </w:r>
      <w:bookmarkEnd w:id="77"/>
      <w:bookmarkEnd w:id="78"/>
      <w:bookmarkEnd w:id="79"/>
      <w:bookmarkEnd w:id="80"/>
      <w:bookmarkEnd w:id="81"/>
      <w:bookmarkEnd w:id="82"/>
      <w:bookmarkEnd w:id="83"/>
    </w:p>
    <w:p w14:paraId="6F71DB1E">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bookmarkStart w:id="84" w:name="_Toc472337681"/>
      <w:bookmarkStart w:id="85" w:name="_Toc472429326"/>
      <w:bookmarkStart w:id="86" w:name="_Toc374358913"/>
      <w:bookmarkStart w:id="87" w:name="_Toc184635095"/>
      <w:bookmarkStart w:id="88" w:name="_Toc26780"/>
      <w:bookmarkStart w:id="89" w:name="_Toc363053529"/>
      <w:bookmarkStart w:id="90" w:name="_Toc381964735"/>
      <w:bookmarkStart w:id="91" w:name="_Toc381018334"/>
      <w:bookmarkStart w:id="92" w:name="_Toc381964643"/>
      <w:r>
        <w:rPr>
          <w:rFonts w:hint="eastAsia" w:ascii="宋体" w:hAnsi="宋体" w:eastAsia="宋体" w:cs="宋体"/>
          <w:color w:val="auto"/>
          <w:sz w:val="21"/>
          <w:szCs w:val="21"/>
          <w:highlight w:val="none"/>
        </w:rPr>
        <w:t>2.1初步评审标准</w:t>
      </w:r>
      <w:bookmarkEnd w:id="84"/>
      <w:bookmarkEnd w:id="85"/>
    </w:p>
    <w:p w14:paraId="5036FDC6">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2.l.1资格评审标准：见评标办法前附表</w:t>
      </w:r>
      <w:r>
        <w:rPr>
          <w:rFonts w:hint="eastAsia" w:ascii="宋体" w:hAnsi="宋体" w:eastAsia="宋体" w:cs="宋体"/>
          <w:color w:val="auto"/>
          <w:sz w:val="21"/>
          <w:szCs w:val="21"/>
          <w:highlight w:val="none"/>
          <w:lang w:eastAsia="zh-CN"/>
        </w:rPr>
        <w:t>；</w:t>
      </w:r>
    </w:p>
    <w:p w14:paraId="17F00A9A">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r>
        <w:rPr>
          <w:rFonts w:hint="eastAsia" w:ascii="宋体" w:hAnsi="宋体" w:eastAsia="宋体" w:cs="宋体"/>
          <w:color w:val="auto"/>
          <w:sz w:val="21"/>
          <w:szCs w:val="21"/>
          <w:highlight w:val="none"/>
          <w:lang w:eastAsia="zh-CN"/>
        </w:rPr>
        <w:t>符合性</w:t>
      </w:r>
      <w:r>
        <w:rPr>
          <w:rFonts w:hint="eastAsia" w:ascii="宋体" w:hAnsi="宋体" w:eastAsia="宋体" w:cs="宋体"/>
          <w:color w:val="auto"/>
          <w:sz w:val="21"/>
          <w:szCs w:val="21"/>
          <w:highlight w:val="none"/>
        </w:rPr>
        <w:t>评审标准：见评标办法前附表</w:t>
      </w:r>
      <w:r>
        <w:rPr>
          <w:rFonts w:hint="eastAsia" w:ascii="宋体" w:hAnsi="宋体" w:eastAsia="宋体" w:cs="宋体"/>
          <w:color w:val="auto"/>
          <w:sz w:val="21"/>
          <w:szCs w:val="21"/>
          <w:highlight w:val="none"/>
          <w:lang w:eastAsia="zh-CN"/>
        </w:rPr>
        <w:t>。</w:t>
      </w:r>
    </w:p>
    <w:p w14:paraId="2027BBE3">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bookmarkStart w:id="93" w:name="_Toc472429327"/>
      <w:bookmarkStart w:id="94" w:name="_Toc472337682"/>
      <w:r>
        <w:rPr>
          <w:rFonts w:hint="eastAsia" w:ascii="宋体" w:hAnsi="宋体" w:eastAsia="宋体" w:cs="宋体"/>
          <w:color w:val="auto"/>
          <w:sz w:val="21"/>
          <w:szCs w:val="21"/>
          <w:highlight w:val="none"/>
        </w:rPr>
        <w:t>2.2 分值构成与评分标准</w:t>
      </w:r>
      <w:bookmarkEnd w:id="93"/>
      <w:bookmarkEnd w:id="94"/>
    </w:p>
    <w:p w14:paraId="31746E81">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2.2.1分值构成</w:t>
      </w:r>
    </w:p>
    <w:p w14:paraId="7B955223">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）商务部分</w:t>
      </w:r>
      <w:r>
        <w:rPr>
          <w:rFonts w:hint="eastAsia" w:ascii="宋体" w:hAnsi="宋体" w:eastAsia="宋体" w:cs="宋体"/>
          <w:color w:val="auto"/>
          <w:sz w:val="21"/>
          <w:szCs w:val="21"/>
          <w:highlight w:val="none"/>
        </w:rPr>
        <w:t>：见评标办法前附表；</w:t>
      </w:r>
    </w:p>
    <w:p w14:paraId="4A742AAF">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）技术</w:t>
      </w:r>
      <w:r>
        <w:rPr>
          <w:rFonts w:hint="eastAsia" w:ascii="宋体" w:hAnsi="宋体" w:eastAsia="宋体" w:cs="宋体"/>
          <w:color w:val="auto"/>
          <w:sz w:val="21"/>
          <w:szCs w:val="21"/>
          <w:highlight w:val="none"/>
        </w:rPr>
        <w:t>部分：见评标办法前附表；</w:t>
      </w:r>
    </w:p>
    <w:p w14:paraId="774BFEAC">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）综合部分：见评标办法前附表。</w:t>
      </w:r>
    </w:p>
    <w:p w14:paraId="0E4CFBB9">
      <w:pPr>
        <w:pageBreakBefore w:val="0"/>
        <w:kinsoku/>
        <w:wordWrap/>
        <w:overflowPunct/>
        <w:topLinePunct w:val="0"/>
        <w:bidi w:val="0"/>
        <w:adjustRightInd/>
        <w:snapToGrid/>
        <w:spacing w:line="400" w:lineRule="exact"/>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2.2.2评分标准</w:t>
      </w:r>
    </w:p>
    <w:p w14:paraId="2BC2E3A5">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）商务部分</w:t>
      </w:r>
      <w:r>
        <w:rPr>
          <w:rFonts w:hint="eastAsia" w:ascii="宋体" w:hAnsi="宋体" w:eastAsia="宋体" w:cs="宋体"/>
          <w:color w:val="auto"/>
          <w:sz w:val="21"/>
          <w:szCs w:val="21"/>
          <w:highlight w:val="none"/>
        </w:rPr>
        <w:t>：见评标办法前附表；</w:t>
      </w:r>
    </w:p>
    <w:p w14:paraId="12F50CDD">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）技术</w:t>
      </w:r>
      <w:r>
        <w:rPr>
          <w:rFonts w:hint="eastAsia" w:ascii="宋体" w:hAnsi="宋体" w:eastAsia="宋体" w:cs="宋体"/>
          <w:color w:val="auto"/>
          <w:sz w:val="21"/>
          <w:szCs w:val="21"/>
          <w:highlight w:val="none"/>
        </w:rPr>
        <w:t>部分：见评标办法前附表；</w:t>
      </w:r>
    </w:p>
    <w:p w14:paraId="4031BDB1">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）综合部分：见评标办法前附表。</w:t>
      </w:r>
    </w:p>
    <w:p w14:paraId="3AEFCFA7">
      <w:pPr>
        <w:pStyle w:val="3"/>
        <w:bidi w:val="0"/>
        <w:ind w:left="0" w:leftChars="0" w:firstLine="0" w:firstLineChars="0"/>
        <w:jc w:val="left"/>
        <w:rPr>
          <w:rFonts w:hint="eastAsia"/>
          <w:sz w:val="21"/>
          <w:szCs w:val="21"/>
        </w:rPr>
      </w:pPr>
      <w:r>
        <w:rPr>
          <w:rFonts w:hint="eastAsia"/>
          <w:sz w:val="21"/>
          <w:szCs w:val="21"/>
        </w:rPr>
        <w:t>3、评标程序</w:t>
      </w:r>
      <w:bookmarkEnd w:id="86"/>
      <w:bookmarkEnd w:id="87"/>
      <w:bookmarkEnd w:id="88"/>
      <w:bookmarkEnd w:id="89"/>
      <w:bookmarkEnd w:id="90"/>
      <w:bookmarkEnd w:id="91"/>
      <w:bookmarkEnd w:id="92"/>
    </w:p>
    <w:p w14:paraId="0775A07A">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初步评审</w:t>
      </w:r>
    </w:p>
    <w:p w14:paraId="7E4119AB">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3.1.1只有通过资格审查的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才能进入</w:t>
      </w:r>
      <w:r>
        <w:rPr>
          <w:rFonts w:hint="eastAsia" w:ascii="宋体" w:hAnsi="宋体" w:eastAsia="宋体" w:cs="宋体"/>
          <w:color w:val="auto"/>
          <w:sz w:val="21"/>
          <w:szCs w:val="21"/>
          <w:highlight w:val="none"/>
          <w:lang w:eastAsia="zh-CN"/>
        </w:rPr>
        <w:t>符合性评审</w:t>
      </w:r>
      <w:r>
        <w:rPr>
          <w:rFonts w:hint="eastAsia" w:ascii="宋体" w:hAnsi="宋体" w:eastAsia="宋体" w:cs="宋体"/>
          <w:color w:val="auto"/>
          <w:sz w:val="21"/>
          <w:szCs w:val="21"/>
          <w:highlight w:val="none"/>
        </w:rPr>
        <w:t>。评标委员会依据初步评审表规定的内容和标准对投标文件进行</w:t>
      </w:r>
      <w:r>
        <w:rPr>
          <w:rFonts w:hint="eastAsia" w:ascii="宋体" w:hAnsi="宋体" w:eastAsia="宋体" w:cs="宋体"/>
          <w:color w:val="auto"/>
          <w:sz w:val="21"/>
          <w:szCs w:val="21"/>
          <w:highlight w:val="none"/>
          <w:lang w:eastAsia="zh-CN"/>
        </w:rPr>
        <w:t>符合性审查</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有一项不符合评审标准的，其投标</w:t>
      </w:r>
      <w:r>
        <w:rPr>
          <w:rFonts w:hint="eastAsia" w:ascii="宋体" w:hAnsi="宋体" w:cs="宋体"/>
          <w:b/>
          <w:bCs/>
          <w:color w:val="auto"/>
          <w:sz w:val="21"/>
          <w:szCs w:val="21"/>
          <w:highlight w:val="none"/>
          <w:lang w:eastAsia="zh-CN"/>
        </w:rPr>
        <w:t>作</w:t>
      </w:r>
      <w:r>
        <w:rPr>
          <w:rFonts w:hint="eastAsia" w:ascii="宋体" w:hAnsi="宋体" w:eastAsia="宋体" w:cs="宋体"/>
          <w:b/>
          <w:bCs/>
          <w:color w:val="auto"/>
          <w:sz w:val="21"/>
          <w:szCs w:val="21"/>
          <w:highlight w:val="none"/>
        </w:rPr>
        <w:t>无效标处理，不得进入详细评审。</w:t>
      </w:r>
    </w:p>
    <w:p w14:paraId="009C95C5">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3.1.2投标报价有算术错误的，评标委员会按以下原则对投标报价进行修正，修正的价格经</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书面确认后具有约束力。</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不接受修正价格的，其投标作废标处理。</w:t>
      </w:r>
    </w:p>
    <w:p w14:paraId="6C7E3714">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（1）投标文件中的大写金额与小写金额不一致的，以大写金额为准（但大写金额有明显错误的除外）；</w:t>
      </w:r>
    </w:p>
    <w:p w14:paraId="5B39DDB3">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（2）总价金额与依据单价计算出的结果不一致的，以单价金额为准修正总价，但单价金额小数点有明显错误的除外。</w:t>
      </w:r>
    </w:p>
    <w:p w14:paraId="22DC5F39">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详细评审</w:t>
      </w:r>
    </w:p>
    <w:p w14:paraId="170F195A">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评标委员会按本章详细评审内容规定的量化因素和分值进行打分，并计算出综合评估得分。</w:t>
      </w:r>
    </w:p>
    <w:p w14:paraId="35C6D829">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评分分值计算保留小数点后两位，小数点后第三位“四舍五入”。</w:t>
      </w:r>
    </w:p>
    <w:p w14:paraId="58B8E493">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3.2.3 </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的最终得分以全部评委打分的算术平均值为准。</w:t>
      </w:r>
    </w:p>
    <w:p w14:paraId="71050851">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投标文件的澄清和补正</w:t>
      </w:r>
    </w:p>
    <w:p w14:paraId="67210CBF">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在评标过程中，评标委员会可以书面形式要求</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对所提交投标文件中不明确的内容进行书面澄清或说明，或者对细微偏差进行补正。评标委员会不接受</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主动提出的澄清、说明或补正。</w:t>
      </w:r>
    </w:p>
    <w:p w14:paraId="3C85DEE0">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澄清、说明和补正不得改变投标文件的实质性内容（算术性错误修正的除外）。</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的书面澄清、说明和补正属于投标文件的组成部分。</w:t>
      </w:r>
    </w:p>
    <w:p w14:paraId="0EEF5FFF">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评标委员会对</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提交的澄清、说明或补正有疑问的，可以要求</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进一步澄清、说明或补正，直至满足评标委员会的要求。</w:t>
      </w:r>
    </w:p>
    <w:p w14:paraId="5B463B8B">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评标结果</w:t>
      </w:r>
    </w:p>
    <w:p w14:paraId="7E528937">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3.4.1评标委员会完成评标后，应当向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提交书面评标报告。</w:t>
      </w:r>
    </w:p>
    <w:p w14:paraId="37FF5F28">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3.4.2评标结果同时在</w:t>
      </w:r>
      <w:r>
        <w:rPr>
          <w:rFonts w:hint="eastAsia" w:ascii="宋体" w:hAnsi="宋体" w:cs="宋体"/>
          <w:color w:val="auto"/>
          <w:sz w:val="21"/>
          <w:szCs w:val="21"/>
          <w:highlight w:val="none"/>
          <w:lang w:val="en-US" w:eastAsia="zh-CN"/>
        </w:rPr>
        <w:t>《中国招标投标公共服务平台》《河南省政府采购网》《全国公共资源交易平台（河南省·信阳市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公示。</w:t>
      </w:r>
      <w:bookmarkStart w:id="95" w:name="_Toc381964736"/>
      <w:bookmarkStart w:id="96" w:name="_Toc381964644"/>
      <w:bookmarkStart w:id="97" w:name="_Toc30991"/>
      <w:bookmarkStart w:id="98" w:name="_Toc376964946"/>
    </w:p>
    <w:p w14:paraId="2345E159">
      <w:pPr>
        <w:pStyle w:val="11"/>
        <w:pageBreakBefore w:val="0"/>
        <w:kinsoku/>
        <w:wordWrap/>
        <w:overflowPunct/>
        <w:topLinePunct w:val="0"/>
        <w:bidi w:val="0"/>
        <w:adjustRightInd/>
        <w:snapToGrid/>
        <w:spacing w:after="0" w:afterLines="0" w:line="400" w:lineRule="exact"/>
        <w:ind w:left="0" w:leftChars="0" w:right="0" w:rightChars="0"/>
        <w:rPr>
          <w:rFonts w:hint="eastAsia" w:ascii="宋体" w:hAnsi="宋体" w:eastAsia="宋体" w:cs="宋体"/>
          <w:color w:val="auto"/>
          <w:sz w:val="21"/>
          <w:szCs w:val="21"/>
          <w:highlight w:val="none"/>
        </w:rPr>
      </w:pPr>
    </w:p>
    <w:bookmarkEnd w:id="67"/>
    <w:bookmarkEnd w:id="68"/>
    <w:bookmarkEnd w:id="95"/>
    <w:bookmarkEnd w:id="96"/>
    <w:bookmarkEnd w:id="97"/>
    <w:bookmarkEnd w:id="98"/>
    <w:p w14:paraId="5082199A">
      <w:pPr>
        <w:pageBreakBefore w:val="0"/>
        <w:kinsoku/>
        <w:wordWrap/>
        <w:overflowPunct/>
        <w:topLinePunct w:val="0"/>
        <w:bidi w:val="0"/>
        <w:adjustRightInd/>
        <w:snapToGrid/>
        <w:spacing w:line="400" w:lineRule="exact"/>
        <w:ind w:left="0" w:leftChars="0" w:right="0" w:rightChars="0" w:firstLine="723" w:firstLineChars="200"/>
        <w:jc w:val="center"/>
        <w:rPr>
          <w:rFonts w:hint="eastAsia" w:ascii="宋体" w:hAnsi="宋体"/>
          <w:b/>
          <w:bCs/>
          <w:color w:val="auto"/>
          <w:sz w:val="36"/>
          <w:szCs w:val="36"/>
          <w:highlight w:val="none"/>
        </w:rPr>
      </w:pPr>
      <w:bookmarkStart w:id="99" w:name="_Toc268"/>
      <w:bookmarkEnd w:id="99"/>
    </w:p>
    <w:p w14:paraId="5D715DE8">
      <w:pPr>
        <w:pageBreakBefore w:val="0"/>
        <w:kinsoku/>
        <w:wordWrap/>
        <w:overflowPunct/>
        <w:topLinePunct w:val="0"/>
        <w:bidi w:val="0"/>
        <w:adjustRightInd/>
        <w:snapToGrid/>
        <w:spacing w:line="400" w:lineRule="exact"/>
        <w:ind w:right="0" w:rightChars="0"/>
        <w:jc w:val="both"/>
        <w:rPr>
          <w:rFonts w:hint="eastAsia" w:ascii="宋体" w:hAnsi="宋体"/>
          <w:b/>
          <w:bCs/>
          <w:color w:val="auto"/>
          <w:sz w:val="36"/>
          <w:szCs w:val="36"/>
          <w:highlight w:val="none"/>
        </w:rPr>
      </w:pPr>
    </w:p>
    <w:p w14:paraId="31692BFE">
      <w:pPr>
        <w:pStyle w:val="4"/>
        <w:bidi w:val="0"/>
        <w:rPr>
          <w:rFonts w:hint="eastAsia"/>
        </w:rPr>
        <w:sectPr>
          <w:pgSz w:w="11905" w:h="16838"/>
          <w:pgMar w:top="1440" w:right="1080" w:bottom="1440" w:left="1080" w:header="850" w:footer="850" w:gutter="0"/>
          <w:pgBorders>
            <w:top w:val="none" w:sz="0" w:space="0"/>
            <w:left w:val="none" w:sz="0" w:space="0"/>
            <w:bottom w:val="none" w:sz="0" w:space="0"/>
            <w:right w:val="none" w:sz="0" w:space="0"/>
          </w:pgBorders>
          <w:pgNumType w:fmt="decimal"/>
          <w:cols w:space="0" w:num="1"/>
          <w:rtlGutter w:val="0"/>
          <w:docGrid w:type="lines" w:linePitch="423" w:charSpace="0"/>
        </w:sectPr>
      </w:pPr>
    </w:p>
    <w:p w14:paraId="3A681BE2">
      <w:pPr>
        <w:pStyle w:val="4"/>
        <w:bidi w:val="0"/>
        <w:rPr>
          <w:rFonts w:hint="eastAsia"/>
        </w:rPr>
      </w:pPr>
      <w:r>
        <w:rPr>
          <w:rFonts w:hint="eastAsia"/>
        </w:rPr>
        <w:t>附件：废标条件</w:t>
      </w:r>
    </w:p>
    <w:p w14:paraId="3064B1CD">
      <w:pPr>
        <w:pageBreakBefore w:val="0"/>
        <w:kinsoku/>
        <w:wordWrap/>
        <w:overflowPunct/>
        <w:topLinePunct w:val="0"/>
        <w:bidi w:val="0"/>
        <w:adjustRightInd/>
        <w:snapToGrid/>
        <w:spacing w:line="400" w:lineRule="exact"/>
        <w:ind w:left="0" w:leftChars="0" w:right="0" w:rightChars="0"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废标条件</w:t>
      </w:r>
    </w:p>
    <w:p w14:paraId="38F1CE2E">
      <w:pPr>
        <w:pageBreakBefore w:val="0"/>
        <w:kinsoku/>
        <w:wordWrap/>
        <w:overflowPunct/>
        <w:topLinePunct w:val="0"/>
        <w:bidi w:val="0"/>
        <w:adjustRightInd/>
        <w:snapToGrid/>
        <w:spacing w:line="400" w:lineRule="exact"/>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本附件所集中列示的废标条件，是本章“评标办法”的组成部分，是对第二章“</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须知”和本章正文部分所规定的废标条件的总结和补充，如果出现相互矛盾的情况，以第二章“</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须知”和本章正文部分的规定为准。</w:t>
      </w:r>
    </w:p>
    <w:p w14:paraId="2953E4BC">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1.未通过第三章评标办法</w:t>
      </w:r>
      <w:r>
        <w:rPr>
          <w:rFonts w:hint="eastAsia" w:ascii="宋体" w:hAnsi="宋体" w:eastAsia="宋体" w:cs="宋体"/>
          <w:b/>
          <w:color w:val="auto"/>
          <w:sz w:val="21"/>
          <w:szCs w:val="21"/>
          <w:highlight w:val="none"/>
          <w:lang w:eastAsia="zh-CN"/>
        </w:rPr>
        <w:t>资格评审、符合性评审的</w:t>
      </w:r>
      <w:r>
        <w:rPr>
          <w:rFonts w:hint="eastAsia" w:ascii="宋体" w:hAnsi="宋体" w:eastAsia="宋体" w:cs="宋体"/>
          <w:b/>
          <w:color w:val="auto"/>
          <w:sz w:val="21"/>
          <w:szCs w:val="21"/>
          <w:highlight w:val="none"/>
        </w:rPr>
        <w:t xml:space="preserve">； </w:t>
      </w:r>
    </w:p>
    <w:p w14:paraId="3B8F014E">
      <w:pPr>
        <w:pageBreakBefore w:val="0"/>
        <w:kinsoku/>
        <w:wordWrap/>
        <w:overflowPunct/>
        <w:topLinePunct w:val="0"/>
        <w:bidi w:val="0"/>
        <w:adjustRightInd/>
        <w:snapToGrid/>
        <w:spacing w:line="400" w:lineRule="exact"/>
        <w:ind w:left="0" w:leftChars="0" w:right="0" w:rightChars="0"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.不按评标委员会要求澄清、说明或补正的；</w:t>
      </w:r>
    </w:p>
    <w:p w14:paraId="613AF980">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.投标报价有算术性错误，</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不接受修正价格的；</w:t>
      </w:r>
    </w:p>
    <w:p w14:paraId="79F74C23">
      <w:pPr>
        <w:pageBreakBefore w:val="0"/>
        <w:kinsoku/>
        <w:wordWrap/>
        <w:overflowPunct/>
        <w:topLinePunct w:val="0"/>
        <w:bidi w:val="0"/>
        <w:adjustRightInd/>
        <w:snapToGrid/>
        <w:spacing w:line="400" w:lineRule="exact"/>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.以他人的名义投标、以行贿手段谋取中标或者以其他弄虚作假方式投标的；</w:t>
      </w:r>
    </w:p>
    <w:p w14:paraId="7A040CAD">
      <w:pPr>
        <w:pageBreakBefore w:val="0"/>
        <w:kinsoku/>
        <w:wordWrap/>
        <w:overflowPunct/>
        <w:topLinePunct w:val="0"/>
        <w:bidi w:val="0"/>
        <w:adjustRightInd/>
        <w:snapToGrid/>
        <w:spacing w:line="400" w:lineRule="exact"/>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.属于串（围）标行为的；</w:t>
      </w:r>
    </w:p>
    <w:p w14:paraId="0D604573">
      <w:pPr>
        <w:pageBreakBefore w:val="0"/>
        <w:kinsoku/>
        <w:wordWrap/>
        <w:overflowPunct/>
        <w:topLinePunct w:val="0"/>
        <w:bidi w:val="0"/>
        <w:adjustRightInd/>
        <w:snapToGrid/>
        <w:spacing w:line="400" w:lineRule="exact"/>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.评标委员会认定</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以低于成本报价竞标的；</w:t>
      </w:r>
    </w:p>
    <w:p w14:paraId="1137E823">
      <w:pPr>
        <w:pageBreakBefore w:val="0"/>
        <w:kinsoku/>
        <w:wordWrap/>
        <w:overflowPunct/>
        <w:topLinePunct w:val="0"/>
        <w:bidi w:val="0"/>
        <w:adjustRightInd/>
        <w:snapToGrid/>
        <w:spacing w:line="400" w:lineRule="exact"/>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．明显不符合技术规格、技术标准的要求；</w:t>
      </w:r>
    </w:p>
    <w:p w14:paraId="2DA0424D">
      <w:pPr>
        <w:pageBreakBefore w:val="0"/>
        <w:kinsoku/>
        <w:wordWrap/>
        <w:overflowPunct/>
        <w:topLinePunct w:val="0"/>
        <w:bidi w:val="0"/>
        <w:adjustRightInd/>
        <w:snapToGrid/>
        <w:spacing w:line="400" w:lineRule="exact"/>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.不具备招标文件中规定的资格要求的；</w:t>
      </w:r>
    </w:p>
    <w:p w14:paraId="72E7BDB2">
      <w:pPr>
        <w:pageBreakBefore w:val="0"/>
        <w:kinsoku/>
        <w:wordWrap/>
        <w:overflowPunct/>
        <w:topLinePunct w:val="0"/>
        <w:bidi w:val="0"/>
        <w:adjustRightInd/>
        <w:snapToGrid/>
        <w:spacing w:line="400" w:lineRule="exact"/>
        <w:ind w:left="0" w:leftChars="0" w:right="0" w:rightChars="0" w:firstLine="211"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  9.文件制作机器码、文件创建标识码有相同的；</w:t>
      </w:r>
    </w:p>
    <w:p w14:paraId="2B3B927C">
      <w:pPr>
        <w:pageBreakBefore w:val="0"/>
        <w:kinsoku/>
        <w:wordWrap/>
        <w:overflowPunct/>
        <w:topLinePunct w:val="0"/>
        <w:bidi w:val="0"/>
        <w:adjustRightInd/>
        <w:snapToGrid/>
        <w:spacing w:line="400" w:lineRule="exact"/>
        <w:ind w:left="0" w:leftChars="0" w:right="0" w:rightChars="0" w:firstLine="422" w:firstLineChars="200"/>
        <w:rPr>
          <w:rFonts w:ascii="宋体" w:hAnsi="宋体"/>
          <w:b/>
          <w:color w:val="auto"/>
          <w:sz w:val="21"/>
          <w:szCs w:val="21"/>
          <w:highlight w:val="none"/>
        </w:rPr>
      </w:pPr>
      <w:r>
        <w:rPr>
          <w:rFonts w:hint="eastAsia" w:ascii="宋体" w:hAnsi="宋体" w:eastAsia="宋体" w:cs="宋体"/>
          <w:b/>
          <w:color w:val="auto"/>
          <w:sz w:val="21"/>
          <w:szCs w:val="21"/>
          <w:highlight w:val="none"/>
        </w:rPr>
        <w:t>10．不符合招标文件规定的其他实质性要求及相关法律法规或规章规定可以废标的其他情形。</w:t>
      </w:r>
      <w:r>
        <w:rPr>
          <w:rFonts w:ascii="宋体" w:hAnsi="宋体"/>
          <w:b/>
          <w:color w:val="auto"/>
          <w:sz w:val="21"/>
          <w:szCs w:val="21"/>
          <w:highlight w:val="none"/>
        </w:rPr>
        <w:br w:type="page"/>
      </w:r>
    </w:p>
    <w:p w14:paraId="33DBF937">
      <w:pPr>
        <w:pageBreakBefore w:val="0"/>
        <w:kinsoku/>
        <w:wordWrap/>
        <w:overflowPunct/>
        <w:topLinePunct w:val="0"/>
        <w:bidi w:val="0"/>
        <w:adjustRightInd/>
        <w:snapToGrid/>
        <w:spacing w:line="400" w:lineRule="exact"/>
        <w:ind w:left="0" w:leftChars="0" w:right="0" w:rightChars="0" w:firstLine="1054" w:firstLineChars="500"/>
        <w:jc w:val="left"/>
        <w:rPr>
          <w:rFonts w:ascii="宋体" w:hAnsi="宋体"/>
          <w:b/>
          <w:color w:val="auto"/>
          <w:sz w:val="21"/>
          <w:szCs w:val="21"/>
          <w:highlight w:val="none"/>
        </w:rPr>
      </w:pPr>
    </w:p>
    <w:p w14:paraId="5BB83450">
      <w:pPr>
        <w:pStyle w:val="2"/>
        <w:numPr>
          <w:ilvl w:val="0"/>
          <w:numId w:val="5"/>
        </w:numPr>
        <w:bidi w:val="0"/>
        <w:jc w:val="center"/>
        <w:rPr>
          <w:rFonts w:hint="eastAsia"/>
        </w:rPr>
      </w:pPr>
      <w:r>
        <w:rPr>
          <w:rFonts w:hint="eastAsia"/>
          <w:lang w:val="en-US" w:eastAsia="zh-CN"/>
        </w:rPr>
        <w:t xml:space="preserve"> </w:t>
      </w:r>
      <w:bookmarkStart w:id="100" w:name="_Toc14342"/>
      <w:r>
        <w:rPr>
          <w:rFonts w:hint="eastAsia"/>
        </w:rPr>
        <w:t>合同主要条款</w:t>
      </w:r>
      <w:r>
        <w:rPr>
          <w:rFonts w:hint="eastAsia"/>
          <w:lang w:eastAsia="zh-CN"/>
        </w:rPr>
        <w:t>及格式</w:t>
      </w:r>
      <w:bookmarkEnd w:id="100"/>
    </w:p>
    <w:p w14:paraId="2016EE0E">
      <w:pPr>
        <w:keepNext/>
        <w:keepLines/>
        <w:widowControl w:val="0"/>
        <w:spacing w:before="0" w:after="0" w:line="240" w:lineRule="auto"/>
        <w:jc w:val="center"/>
        <w:outlineLvl w:val="1"/>
        <w:rPr>
          <w:rFonts w:hint="eastAsia"/>
          <w:b/>
          <w:bCs/>
          <w:color w:val="auto"/>
          <w:sz w:val="36"/>
          <w:szCs w:val="44"/>
          <w:highlight w:val="none"/>
          <w:lang w:val="en-US" w:eastAsia="zh-CN"/>
        </w:rPr>
      </w:pPr>
    </w:p>
    <w:p w14:paraId="54C0DF87">
      <w:pPr>
        <w:keepNext/>
        <w:keepLines/>
        <w:widowControl w:val="0"/>
        <w:spacing w:before="0" w:after="0" w:line="240" w:lineRule="auto"/>
        <w:jc w:val="center"/>
        <w:outlineLvl w:val="1"/>
        <w:rPr>
          <w:rFonts w:hint="eastAsia"/>
          <w:b/>
          <w:bCs/>
          <w:color w:val="auto"/>
          <w:sz w:val="36"/>
          <w:szCs w:val="44"/>
          <w:highlight w:val="none"/>
          <w:lang w:val="en-US" w:eastAsia="zh-CN"/>
        </w:rPr>
      </w:pPr>
    </w:p>
    <w:p w14:paraId="549A15B7">
      <w:pPr>
        <w:keepNext/>
        <w:keepLines/>
        <w:widowControl w:val="0"/>
        <w:spacing w:before="0" w:after="0" w:line="240" w:lineRule="auto"/>
        <w:jc w:val="center"/>
        <w:outlineLvl w:val="1"/>
        <w:rPr>
          <w:rFonts w:hint="eastAsia"/>
          <w:b/>
          <w:bCs/>
          <w:color w:val="auto"/>
          <w:sz w:val="36"/>
          <w:szCs w:val="44"/>
          <w:highlight w:val="none"/>
          <w:lang w:val="en-US" w:eastAsia="zh-CN"/>
        </w:rPr>
      </w:pPr>
    </w:p>
    <w:p w14:paraId="4BF66C06">
      <w:pPr>
        <w:keepNext/>
        <w:keepLines/>
        <w:widowControl w:val="0"/>
        <w:spacing w:before="0" w:after="0" w:line="240" w:lineRule="auto"/>
        <w:jc w:val="center"/>
        <w:outlineLvl w:val="1"/>
        <w:rPr>
          <w:rFonts w:ascii="宋体" w:hAnsi="宋体" w:eastAsia="黑体" w:cs="Times New Roman"/>
          <w:b/>
          <w:color w:val="000000"/>
          <w:kern w:val="2"/>
          <w:sz w:val="48"/>
          <w:szCs w:val="48"/>
          <w:lang w:val="en-US" w:eastAsia="zh-CN" w:bidi="ar-SA"/>
        </w:rPr>
      </w:pPr>
      <w:r>
        <w:rPr>
          <w:rFonts w:hint="eastAsia"/>
          <w:b/>
          <w:bCs/>
          <w:color w:val="auto"/>
          <w:sz w:val="36"/>
          <w:szCs w:val="44"/>
          <w:highlight w:val="none"/>
          <w:lang w:val="en-US" w:eastAsia="zh-CN"/>
        </w:rPr>
        <w:t xml:space="preserve">  </w:t>
      </w:r>
      <w:r>
        <w:rPr>
          <w:rFonts w:hint="eastAsia" w:ascii="宋体" w:hAnsi="宋体" w:eastAsia="黑体" w:cs="Times New Roman"/>
          <w:b/>
          <w:color w:val="000000"/>
          <w:kern w:val="2"/>
          <w:sz w:val="48"/>
          <w:szCs w:val="48"/>
          <w:u w:val="single"/>
          <w:lang w:val="en-US" w:eastAsia="zh-CN" w:bidi="ar-SA"/>
        </w:rPr>
        <w:t xml:space="preserve">                     </w:t>
      </w:r>
      <w:r>
        <w:rPr>
          <w:rFonts w:hint="eastAsia" w:ascii="宋体" w:hAnsi="宋体" w:eastAsia="黑体" w:cs="Times New Roman"/>
          <w:b/>
          <w:color w:val="000000"/>
          <w:kern w:val="2"/>
          <w:sz w:val="48"/>
          <w:szCs w:val="48"/>
          <w:lang w:val="en-US" w:eastAsia="zh-CN" w:bidi="ar-SA"/>
        </w:rPr>
        <w:t>服务</w:t>
      </w:r>
      <w:r>
        <w:rPr>
          <w:rFonts w:ascii="宋体" w:hAnsi="宋体" w:eastAsia="黑体" w:cs="Times New Roman"/>
          <w:b/>
          <w:color w:val="000000"/>
          <w:kern w:val="2"/>
          <w:sz w:val="48"/>
          <w:szCs w:val="48"/>
          <w:lang w:val="en-US" w:eastAsia="zh-CN" w:bidi="ar-SA"/>
        </w:rPr>
        <w:t>合同</w:t>
      </w:r>
    </w:p>
    <w:p w14:paraId="1D199CA8">
      <w:pPr>
        <w:keepNext/>
        <w:keepLines/>
        <w:widowControl w:val="0"/>
        <w:spacing w:before="0" w:after="0" w:line="240" w:lineRule="auto"/>
        <w:jc w:val="both"/>
        <w:outlineLvl w:val="1"/>
        <w:rPr>
          <w:rFonts w:ascii="宋体" w:hAnsi="宋体" w:eastAsia="黑体" w:cs="Times New Roman"/>
          <w:b w:val="0"/>
          <w:color w:val="000000"/>
          <w:kern w:val="2"/>
          <w:sz w:val="24"/>
          <w:szCs w:val="22"/>
          <w:lang w:val="en-US" w:eastAsia="zh-CN" w:bidi="ar-SA"/>
        </w:rPr>
      </w:pPr>
    </w:p>
    <w:p w14:paraId="3978FFE3">
      <w:pPr>
        <w:keepNext/>
        <w:keepLines/>
        <w:widowControl w:val="0"/>
        <w:spacing w:before="0" w:after="0" w:line="240" w:lineRule="auto"/>
        <w:jc w:val="both"/>
        <w:outlineLvl w:val="1"/>
        <w:rPr>
          <w:rFonts w:ascii="宋体" w:hAnsi="宋体" w:eastAsia="黑体" w:cs="Times New Roman"/>
          <w:b w:val="0"/>
          <w:color w:val="000000"/>
          <w:kern w:val="2"/>
          <w:sz w:val="24"/>
          <w:szCs w:val="22"/>
          <w:lang w:val="en-US" w:eastAsia="zh-CN" w:bidi="ar-SA"/>
        </w:rPr>
      </w:pPr>
    </w:p>
    <w:p w14:paraId="7F4ABBA1">
      <w:pPr>
        <w:keepNext/>
        <w:keepLines/>
        <w:widowControl w:val="0"/>
        <w:spacing w:before="0" w:after="0" w:line="240" w:lineRule="auto"/>
        <w:ind w:left="2280" w:hanging="2280" w:hangingChars="950"/>
        <w:jc w:val="both"/>
        <w:outlineLvl w:val="1"/>
        <w:rPr>
          <w:rFonts w:ascii="宋体" w:hAnsi="宋体" w:eastAsia="黑体" w:cs="Times New Roman"/>
          <w:b w:val="0"/>
          <w:color w:val="000000"/>
          <w:kern w:val="2"/>
          <w:sz w:val="24"/>
          <w:szCs w:val="22"/>
          <w:lang w:val="en-US" w:eastAsia="zh-CN" w:bidi="ar-SA"/>
        </w:rPr>
      </w:pPr>
    </w:p>
    <w:p w14:paraId="53CFA1A7">
      <w:pPr>
        <w:rPr>
          <w:rFonts w:ascii="Calibri" w:hAnsi="Calibri" w:eastAsia="宋体" w:cs="Times New Roman"/>
          <w:color w:val="000000"/>
          <w:szCs w:val="22"/>
        </w:rPr>
      </w:pPr>
    </w:p>
    <w:p w14:paraId="7F550A35">
      <w:pPr>
        <w:keepNext/>
        <w:keepLines/>
        <w:widowControl w:val="0"/>
        <w:spacing w:before="0" w:after="0" w:line="240" w:lineRule="auto"/>
        <w:ind w:left="2280" w:hanging="2280" w:hangingChars="950"/>
        <w:jc w:val="both"/>
        <w:outlineLvl w:val="1"/>
        <w:rPr>
          <w:rFonts w:ascii="宋体" w:hAnsi="宋体" w:eastAsia="黑体" w:cs="Times New Roman"/>
          <w:b w:val="0"/>
          <w:color w:val="000000"/>
          <w:kern w:val="2"/>
          <w:sz w:val="24"/>
          <w:szCs w:val="22"/>
          <w:lang w:val="en-US" w:eastAsia="zh-CN" w:bidi="ar-SA"/>
        </w:rPr>
      </w:pPr>
    </w:p>
    <w:p w14:paraId="316467B1">
      <w:pPr>
        <w:keepNext/>
        <w:keepLines/>
        <w:widowControl w:val="0"/>
        <w:spacing w:before="0" w:after="0" w:line="240" w:lineRule="auto"/>
        <w:ind w:left="2280" w:hanging="2280" w:hangingChars="950"/>
        <w:jc w:val="both"/>
        <w:outlineLvl w:val="1"/>
        <w:rPr>
          <w:rFonts w:ascii="宋体" w:hAnsi="宋体" w:eastAsia="黑体" w:cs="Times New Roman"/>
          <w:b w:val="0"/>
          <w:color w:val="000000"/>
          <w:kern w:val="2"/>
          <w:sz w:val="24"/>
          <w:szCs w:val="22"/>
          <w:lang w:val="en-US" w:eastAsia="zh-CN" w:bidi="ar-SA"/>
        </w:rPr>
      </w:pPr>
    </w:p>
    <w:p w14:paraId="7835AE97">
      <w:pPr>
        <w:keepNext/>
        <w:keepLines/>
        <w:widowControl w:val="0"/>
        <w:spacing w:before="0" w:after="0" w:line="240" w:lineRule="auto"/>
        <w:ind w:left="2280" w:hanging="2280" w:hangingChars="950"/>
        <w:jc w:val="both"/>
        <w:outlineLvl w:val="1"/>
        <w:rPr>
          <w:rFonts w:ascii="黑体" w:hAnsi="黑体" w:eastAsia="黑体" w:cs="黑体"/>
          <w:b w:val="0"/>
          <w:color w:val="000000"/>
          <w:kern w:val="2"/>
          <w:sz w:val="24"/>
          <w:szCs w:val="22"/>
          <w:lang w:val="en-US" w:eastAsia="zh-CN" w:bidi="ar-SA"/>
        </w:rPr>
      </w:pPr>
    </w:p>
    <w:p w14:paraId="1BEB88F8">
      <w:pPr>
        <w:keepNext/>
        <w:keepLines/>
        <w:widowControl w:val="0"/>
        <w:spacing w:before="0" w:after="0" w:line="240" w:lineRule="auto"/>
        <w:ind w:firstLine="1680" w:firstLineChars="700"/>
        <w:jc w:val="both"/>
        <w:outlineLvl w:val="1"/>
        <w:rPr>
          <w:rFonts w:ascii="黑体" w:hAnsi="黑体" w:eastAsia="黑体" w:cs="黑体"/>
          <w:b w:val="0"/>
          <w:color w:val="000000"/>
          <w:kern w:val="2"/>
          <w:sz w:val="24"/>
          <w:szCs w:val="24"/>
          <w:u w:val="single"/>
          <w:lang w:val="en-US" w:eastAsia="zh-CN" w:bidi="ar-SA"/>
        </w:rPr>
      </w:pPr>
      <w:bookmarkStart w:id="101" w:name="bookmark1"/>
      <w:r>
        <w:rPr>
          <w:rFonts w:hint="eastAsia" w:ascii="黑体" w:hAnsi="黑体" w:eastAsia="黑体" w:cs="黑体"/>
          <w:b w:val="0"/>
          <w:color w:val="000000"/>
          <w:kern w:val="2"/>
          <w:sz w:val="24"/>
          <w:szCs w:val="24"/>
          <w:lang w:val="en-US" w:eastAsia="zh-CN" w:bidi="ar-SA"/>
        </w:rPr>
        <w:t>委托方（甲方）：</w:t>
      </w:r>
      <w:r>
        <w:rPr>
          <w:rFonts w:hint="eastAsia" w:ascii="黑体" w:hAnsi="黑体" w:eastAsia="黑体" w:cs="黑体"/>
          <w:b w:val="0"/>
          <w:color w:val="000000"/>
          <w:kern w:val="2"/>
          <w:sz w:val="24"/>
          <w:szCs w:val="24"/>
          <w:u w:val="single"/>
          <w:lang w:val="en-US" w:eastAsia="zh-CN" w:bidi="ar-SA"/>
        </w:rPr>
        <w:t xml:space="preserve">      信阳市中心医院      </w:t>
      </w:r>
    </w:p>
    <w:p w14:paraId="5FCE808C">
      <w:pPr>
        <w:keepNext/>
        <w:keepLines/>
        <w:widowControl w:val="0"/>
        <w:spacing w:before="0" w:after="0" w:line="240" w:lineRule="auto"/>
        <w:ind w:firstLine="1680" w:firstLineChars="700"/>
        <w:jc w:val="both"/>
        <w:outlineLvl w:val="1"/>
        <w:rPr>
          <w:rFonts w:ascii="黑体" w:hAnsi="黑体" w:eastAsia="黑体" w:cs="黑体"/>
          <w:b w:val="0"/>
          <w:color w:val="000000"/>
          <w:kern w:val="2"/>
          <w:sz w:val="24"/>
          <w:szCs w:val="24"/>
          <w:lang w:val="en-US" w:eastAsia="zh-CN" w:bidi="ar-SA"/>
        </w:rPr>
      </w:pPr>
    </w:p>
    <w:p w14:paraId="6C4898AB">
      <w:pPr>
        <w:keepNext/>
        <w:keepLines/>
        <w:widowControl w:val="0"/>
        <w:spacing w:before="0" w:after="0" w:line="240" w:lineRule="auto"/>
        <w:ind w:firstLine="1680" w:firstLineChars="700"/>
        <w:jc w:val="both"/>
        <w:outlineLvl w:val="1"/>
        <w:rPr>
          <w:rFonts w:hint="default" w:ascii="黑体" w:hAnsi="黑体" w:eastAsia="黑体" w:cs="黑体"/>
          <w:b w:val="0"/>
          <w:color w:val="000000"/>
          <w:kern w:val="2"/>
          <w:sz w:val="24"/>
          <w:szCs w:val="24"/>
          <w:u w:val="single"/>
          <w:lang w:val="en-US" w:eastAsia="zh-CN" w:bidi="ar-SA"/>
        </w:rPr>
      </w:pPr>
      <w:r>
        <w:rPr>
          <w:rFonts w:hint="eastAsia" w:ascii="黑体" w:hAnsi="黑体" w:eastAsia="黑体" w:cs="黑体"/>
          <w:b w:val="0"/>
          <w:color w:val="000000"/>
          <w:kern w:val="2"/>
          <w:sz w:val="24"/>
          <w:szCs w:val="24"/>
          <w:lang w:val="en-US" w:eastAsia="zh-CN" w:bidi="ar-SA"/>
        </w:rPr>
        <w:t>受托方（乙方）：</w:t>
      </w:r>
      <w:r>
        <w:rPr>
          <w:rFonts w:hint="eastAsia" w:ascii="黑体" w:hAnsi="黑体" w:eastAsia="黑体" w:cs="黑体"/>
          <w:b w:val="0"/>
          <w:color w:val="000000"/>
          <w:kern w:val="2"/>
          <w:sz w:val="24"/>
          <w:szCs w:val="24"/>
          <w:u w:val="single"/>
          <w:lang w:val="en-US" w:eastAsia="zh-CN" w:bidi="ar-SA"/>
        </w:rPr>
        <w:t xml:space="preserve">                           </w:t>
      </w:r>
    </w:p>
    <w:p w14:paraId="189178F4">
      <w:pPr>
        <w:rPr>
          <w:rFonts w:ascii="黑体" w:hAnsi="黑体" w:eastAsia="黑体" w:cs="黑体"/>
          <w:color w:val="000000"/>
          <w:sz w:val="24"/>
          <w:szCs w:val="24"/>
        </w:rPr>
      </w:pPr>
    </w:p>
    <w:p w14:paraId="7498BC66">
      <w:pPr>
        <w:keepNext/>
        <w:keepLines/>
        <w:widowControl w:val="0"/>
        <w:spacing w:before="0" w:after="0" w:line="240" w:lineRule="auto"/>
        <w:ind w:firstLine="1680" w:firstLineChars="700"/>
        <w:jc w:val="both"/>
        <w:outlineLvl w:val="1"/>
        <w:rPr>
          <w:rFonts w:ascii="黑体" w:hAnsi="黑体" w:eastAsia="黑体" w:cs="黑体"/>
          <w:b w:val="0"/>
          <w:color w:val="000000"/>
          <w:kern w:val="2"/>
          <w:sz w:val="24"/>
          <w:szCs w:val="24"/>
          <w:u w:val="single"/>
          <w:lang w:val="en-US" w:eastAsia="zh-CN" w:bidi="ar-SA"/>
        </w:rPr>
      </w:pPr>
      <w:r>
        <w:rPr>
          <w:rFonts w:hint="eastAsia" w:ascii="黑体" w:hAnsi="黑体" w:eastAsia="黑体" w:cs="黑体"/>
          <w:b w:val="0"/>
          <w:color w:val="000000"/>
          <w:kern w:val="2"/>
          <w:sz w:val="24"/>
          <w:szCs w:val="24"/>
          <w:lang w:val="en-US" w:eastAsia="zh-CN" w:bidi="ar-SA"/>
        </w:rPr>
        <w:t>签订时间：</w:t>
      </w:r>
      <w:r>
        <w:rPr>
          <w:rFonts w:hint="eastAsia" w:ascii="黑体" w:hAnsi="黑体" w:eastAsia="黑体" w:cs="黑体"/>
          <w:b w:val="0"/>
          <w:color w:val="000000"/>
          <w:kern w:val="2"/>
          <w:sz w:val="24"/>
          <w:szCs w:val="24"/>
          <w:u w:val="single"/>
          <w:lang w:val="en-US" w:eastAsia="zh-CN" w:bidi="ar-SA"/>
        </w:rPr>
        <w:t xml:space="preserve">                                </w:t>
      </w:r>
    </w:p>
    <w:p w14:paraId="77B541C6">
      <w:pPr>
        <w:rPr>
          <w:rFonts w:ascii="黑体" w:hAnsi="黑体" w:eastAsia="黑体" w:cs="黑体"/>
          <w:color w:val="000000"/>
          <w:sz w:val="24"/>
          <w:szCs w:val="24"/>
        </w:rPr>
      </w:pPr>
    </w:p>
    <w:p w14:paraId="63BC430B">
      <w:pPr>
        <w:keepNext/>
        <w:keepLines/>
        <w:widowControl w:val="0"/>
        <w:spacing w:before="0" w:after="0" w:line="240" w:lineRule="auto"/>
        <w:ind w:firstLine="1680" w:firstLineChars="700"/>
        <w:jc w:val="both"/>
        <w:outlineLvl w:val="1"/>
        <w:rPr>
          <w:rFonts w:ascii="黑体" w:hAnsi="黑体" w:eastAsia="黑体" w:cs="黑体"/>
          <w:b w:val="0"/>
          <w:color w:val="000000"/>
          <w:kern w:val="2"/>
          <w:sz w:val="24"/>
          <w:szCs w:val="24"/>
          <w:u w:val="single"/>
          <w:lang w:val="en-US" w:eastAsia="zh-CN" w:bidi="ar-SA"/>
        </w:rPr>
      </w:pPr>
      <w:r>
        <w:rPr>
          <w:rFonts w:hint="eastAsia" w:ascii="黑体" w:hAnsi="黑体" w:eastAsia="黑体" w:cs="黑体"/>
          <w:b w:val="0"/>
          <w:color w:val="000000"/>
          <w:kern w:val="2"/>
          <w:sz w:val="24"/>
          <w:szCs w:val="24"/>
          <w:lang w:val="en-US" w:eastAsia="zh-CN" w:bidi="ar-SA"/>
        </w:rPr>
        <w:t>签订地点：</w:t>
      </w:r>
      <w:r>
        <w:rPr>
          <w:rFonts w:hint="eastAsia" w:ascii="黑体" w:hAnsi="黑体" w:eastAsia="黑体" w:cs="黑体"/>
          <w:b w:val="0"/>
          <w:color w:val="000000"/>
          <w:kern w:val="2"/>
          <w:sz w:val="24"/>
          <w:szCs w:val="24"/>
          <w:u w:val="single"/>
          <w:lang w:val="en-US" w:eastAsia="zh-CN" w:bidi="ar-SA"/>
        </w:rPr>
        <w:t xml:space="preserve">                                </w:t>
      </w:r>
    </w:p>
    <w:p w14:paraId="61094309">
      <w:pP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 xml:space="preserve"> </w:t>
      </w:r>
    </w:p>
    <w:p w14:paraId="3853AF39">
      <w:pPr>
        <w:keepNext/>
        <w:keepLines/>
        <w:widowControl w:val="0"/>
        <w:spacing w:before="0" w:after="0" w:line="240" w:lineRule="auto"/>
        <w:ind w:firstLine="1680" w:firstLineChars="700"/>
        <w:jc w:val="both"/>
        <w:outlineLvl w:val="1"/>
        <w:rPr>
          <w:rFonts w:hint="default" w:ascii="黑体" w:hAnsi="黑体" w:eastAsia="黑体" w:cs="黑体"/>
          <w:b w:val="0"/>
          <w:color w:val="000000"/>
          <w:kern w:val="2"/>
          <w:sz w:val="24"/>
          <w:szCs w:val="24"/>
          <w:u w:val="single"/>
          <w:lang w:val="en-US" w:eastAsia="zh-CN" w:bidi="ar-SA"/>
        </w:rPr>
      </w:pPr>
      <w:r>
        <w:rPr>
          <w:rFonts w:hint="eastAsia" w:ascii="黑体" w:hAnsi="黑体" w:eastAsia="黑体" w:cs="黑体"/>
          <w:b w:val="0"/>
          <w:color w:val="000000"/>
          <w:kern w:val="2"/>
          <w:sz w:val="24"/>
          <w:szCs w:val="24"/>
          <w:lang w:val="en-US" w:eastAsia="zh-CN" w:bidi="ar-SA"/>
        </w:rPr>
        <w:t>有效期限：</w:t>
      </w:r>
      <w:r>
        <w:rPr>
          <w:rFonts w:hint="eastAsia" w:ascii="黑体" w:hAnsi="黑体" w:eastAsia="黑体" w:cs="黑体"/>
          <w:b w:val="0"/>
          <w:color w:val="000000"/>
          <w:kern w:val="2"/>
          <w:sz w:val="24"/>
          <w:szCs w:val="24"/>
          <w:u w:val="single"/>
          <w:lang w:val="en-US" w:eastAsia="zh-CN" w:bidi="ar-SA"/>
        </w:rPr>
        <w:t xml:space="preserve">                              </w:t>
      </w:r>
    </w:p>
    <w:p w14:paraId="1B7659F2">
      <w:pPr>
        <w:keepNext/>
        <w:keepLines/>
        <w:widowControl w:val="0"/>
        <w:spacing w:before="0" w:after="0" w:line="360" w:lineRule="auto"/>
        <w:jc w:val="center"/>
        <w:outlineLvl w:val="1"/>
        <w:rPr>
          <w:rFonts w:ascii="黑体" w:hAnsi="黑体" w:eastAsia="黑体" w:cs="黑体"/>
          <w:b w:val="0"/>
          <w:color w:val="000000"/>
          <w:kern w:val="2"/>
          <w:sz w:val="21"/>
          <w:szCs w:val="22"/>
          <w:lang w:val="en-US" w:eastAsia="zh-CN" w:bidi="ar-SA"/>
        </w:rPr>
      </w:pPr>
    </w:p>
    <w:p w14:paraId="17273D31">
      <w:pPr>
        <w:keepNext/>
        <w:keepLines/>
        <w:widowControl w:val="0"/>
        <w:spacing w:before="0" w:after="0" w:line="360" w:lineRule="auto"/>
        <w:jc w:val="center"/>
        <w:outlineLvl w:val="1"/>
        <w:rPr>
          <w:rFonts w:ascii="宋体" w:hAnsi="宋体" w:eastAsia="黑体" w:cs="Times New Roman"/>
          <w:b w:val="0"/>
          <w:color w:val="000000"/>
          <w:kern w:val="2"/>
          <w:sz w:val="21"/>
          <w:szCs w:val="22"/>
          <w:lang w:val="en-US" w:eastAsia="zh-CN" w:bidi="ar-SA"/>
        </w:rPr>
      </w:pPr>
    </w:p>
    <w:p w14:paraId="3C32E3BD">
      <w:pPr>
        <w:keepNext/>
        <w:keepLines/>
        <w:widowControl w:val="0"/>
        <w:spacing w:before="0" w:after="0" w:line="360" w:lineRule="auto"/>
        <w:jc w:val="both"/>
        <w:outlineLvl w:val="1"/>
        <w:rPr>
          <w:rFonts w:ascii="宋体" w:hAnsi="宋体" w:eastAsia="黑体" w:cs="Times New Roman"/>
          <w:b w:val="0"/>
          <w:color w:val="000000"/>
          <w:kern w:val="2"/>
          <w:sz w:val="21"/>
          <w:szCs w:val="22"/>
          <w:lang w:val="en-US" w:eastAsia="zh-CN" w:bidi="ar-SA"/>
        </w:rPr>
      </w:pPr>
    </w:p>
    <w:p w14:paraId="60E10278">
      <w:pPr>
        <w:rPr>
          <w:rFonts w:ascii="Calibri" w:hAnsi="Calibri" w:eastAsia="宋体" w:cs="Times New Roman"/>
          <w:color w:val="000000"/>
          <w:szCs w:val="22"/>
        </w:rPr>
      </w:pPr>
    </w:p>
    <w:bookmarkEnd w:id="101"/>
    <w:p w14:paraId="6D9B866D">
      <w:pPr>
        <w:widowControl w:val="0"/>
        <w:spacing w:line="360" w:lineRule="auto"/>
        <w:rPr>
          <w:rFonts w:ascii="黑体" w:hAnsi="黑体" w:eastAsia="黑体" w:cs="黑体"/>
          <w:color w:val="000000"/>
          <w:sz w:val="21"/>
          <w:lang w:val="zh-CN" w:eastAsia="zh-CN" w:bidi="ar-SA"/>
        </w:rPr>
      </w:pPr>
    </w:p>
    <w:p w14:paraId="057D4832">
      <w:pPr>
        <w:widowControl w:val="0"/>
        <w:spacing w:line="360" w:lineRule="auto"/>
        <w:rPr>
          <w:rFonts w:ascii="黑体" w:hAnsi="黑体" w:eastAsia="黑体" w:cs="黑体"/>
          <w:color w:val="000000"/>
          <w:sz w:val="21"/>
          <w:lang w:val="zh-CN" w:eastAsia="zh-CN" w:bidi="ar-SA"/>
        </w:rPr>
      </w:pPr>
    </w:p>
    <w:p w14:paraId="2D05AE50">
      <w:pPr>
        <w:keepNext/>
        <w:keepLines/>
        <w:widowControl w:val="0"/>
        <w:spacing w:before="0" w:after="0" w:line="360" w:lineRule="auto"/>
        <w:jc w:val="center"/>
        <w:outlineLvl w:val="1"/>
        <w:rPr>
          <w:rFonts w:ascii="宋体" w:hAnsi="宋体" w:eastAsia="黑体" w:cs="Times New Roman"/>
          <w:b/>
          <w:bCs/>
          <w:color w:val="000000"/>
          <w:kern w:val="2"/>
          <w:sz w:val="24"/>
          <w:szCs w:val="28"/>
          <w:lang w:val="en-US" w:eastAsia="zh-CN" w:bidi="ar-SA"/>
        </w:rPr>
      </w:pPr>
      <w:r>
        <w:rPr>
          <w:rFonts w:hint="eastAsia" w:ascii="宋体" w:hAnsi="宋体" w:eastAsia="黑体" w:cs="Times New Roman"/>
          <w:b/>
          <w:bCs/>
          <w:color w:val="000000"/>
          <w:kern w:val="2"/>
          <w:sz w:val="24"/>
          <w:szCs w:val="28"/>
          <w:u w:val="single"/>
          <w:lang w:val="en-US" w:eastAsia="zh-CN" w:bidi="ar-SA"/>
        </w:rPr>
        <w:t xml:space="preserve">                                      </w:t>
      </w:r>
      <w:r>
        <w:rPr>
          <w:rFonts w:hint="eastAsia" w:ascii="宋体" w:hAnsi="宋体" w:eastAsia="黑体" w:cs="Times New Roman"/>
          <w:b/>
          <w:bCs/>
          <w:color w:val="000000"/>
          <w:kern w:val="2"/>
          <w:sz w:val="24"/>
          <w:szCs w:val="28"/>
          <w:u w:val="none"/>
          <w:lang w:val="en-US" w:eastAsia="zh-CN" w:bidi="ar-SA"/>
        </w:rPr>
        <w:t>项</w:t>
      </w:r>
      <w:r>
        <w:rPr>
          <w:rFonts w:hint="eastAsia" w:ascii="宋体" w:hAnsi="宋体" w:eastAsia="黑体" w:cs="Times New Roman"/>
          <w:b/>
          <w:bCs/>
          <w:color w:val="000000"/>
          <w:kern w:val="2"/>
          <w:sz w:val="24"/>
          <w:szCs w:val="28"/>
          <w:lang w:val="en-US" w:eastAsia="zh-CN" w:bidi="ar-SA"/>
        </w:rPr>
        <w:t>目服务</w:t>
      </w:r>
      <w:r>
        <w:rPr>
          <w:rFonts w:ascii="宋体" w:hAnsi="宋体" w:eastAsia="黑体" w:cs="Times New Roman"/>
          <w:b/>
          <w:bCs/>
          <w:color w:val="000000"/>
          <w:kern w:val="2"/>
          <w:sz w:val="24"/>
          <w:szCs w:val="28"/>
          <w:lang w:val="en-US" w:eastAsia="zh-CN" w:bidi="ar-SA"/>
        </w:rPr>
        <w:t>合同</w:t>
      </w:r>
    </w:p>
    <w:tbl>
      <w:tblPr>
        <w:tblStyle w:val="26"/>
        <w:tblW w:w="9049" w:type="dxa"/>
        <w:jc w:val="center"/>
        <w:tblLayout w:type="fixed"/>
        <w:tblCellMar>
          <w:top w:w="0" w:type="dxa"/>
          <w:left w:w="10" w:type="dxa"/>
          <w:bottom w:w="0" w:type="dxa"/>
          <w:right w:w="10" w:type="dxa"/>
        </w:tblCellMar>
      </w:tblPr>
      <w:tblGrid>
        <w:gridCol w:w="1589"/>
        <w:gridCol w:w="2473"/>
        <w:gridCol w:w="1465"/>
        <w:gridCol w:w="598"/>
        <w:gridCol w:w="1483"/>
        <w:gridCol w:w="1441"/>
      </w:tblGrid>
      <w:tr w14:paraId="2C0B20B8">
        <w:tblPrEx>
          <w:tblCellMar>
            <w:top w:w="0" w:type="dxa"/>
            <w:left w:w="10" w:type="dxa"/>
            <w:bottom w:w="0" w:type="dxa"/>
            <w:right w:w="10" w:type="dxa"/>
          </w:tblCellMar>
        </w:tblPrEx>
        <w:trPr>
          <w:trHeight w:val="360" w:hRule="atLeast"/>
          <w:jc w:val="center"/>
        </w:trPr>
        <w:tc>
          <w:tcPr>
            <w:tcW w:w="1589" w:type="dxa"/>
            <w:tcBorders>
              <w:top w:val="single" w:color="auto" w:sz="4" w:space="0"/>
              <w:left w:val="single" w:color="auto" w:sz="4" w:space="0"/>
            </w:tcBorders>
            <w:shd w:val="clear" w:color="auto" w:fill="FFFFFF"/>
            <w:noWrap w:val="0"/>
            <w:vAlign w:val="center"/>
          </w:tcPr>
          <w:p w14:paraId="210C8CA2">
            <w:pPr>
              <w:keepNext/>
              <w:keepLines/>
              <w:widowControl w:val="0"/>
              <w:spacing w:before="0" w:after="0" w:line="240" w:lineRule="auto"/>
              <w:jc w:val="center"/>
              <w:outlineLvl w:val="1"/>
              <w:rPr>
                <w:rFonts w:ascii="宋体" w:hAnsi="宋体" w:eastAsia="黑体" w:cs="Times New Roman"/>
                <w:b w:val="0"/>
                <w:color w:val="000000"/>
                <w:kern w:val="2"/>
                <w:sz w:val="21"/>
                <w:szCs w:val="22"/>
                <w:lang w:val="zh-CN" w:eastAsia="zh-CN" w:bidi="ar-SA"/>
              </w:rPr>
            </w:pPr>
            <w:r>
              <w:rPr>
                <w:rFonts w:ascii="宋体" w:hAnsi="宋体" w:eastAsia="黑体" w:cs="Times New Roman"/>
                <w:b w:val="0"/>
                <w:color w:val="000000"/>
                <w:kern w:val="2"/>
                <w:sz w:val="21"/>
                <w:szCs w:val="22"/>
                <w:lang w:val="zh-CN" w:eastAsia="zh-CN" w:bidi="ar-SA"/>
              </w:rPr>
              <w:t>委托方（甲方</w:t>
            </w:r>
            <w:r>
              <w:rPr>
                <w:rFonts w:ascii="宋体" w:hAnsi="宋体" w:eastAsia="黑体" w:cs="Times New Roman"/>
                <w:b w:val="0"/>
                <w:color w:val="000000"/>
                <w:kern w:val="2"/>
                <w:sz w:val="21"/>
                <w:szCs w:val="22"/>
                <w:lang w:val="en-US" w:eastAsia="en-US" w:bidi="ar-SA"/>
              </w:rPr>
              <w:t>）</w:t>
            </w:r>
          </w:p>
        </w:tc>
        <w:tc>
          <w:tcPr>
            <w:tcW w:w="4536" w:type="dxa"/>
            <w:gridSpan w:val="3"/>
            <w:tcBorders>
              <w:top w:val="single" w:color="auto" w:sz="4" w:space="0"/>
              <w:left w:val="single" w:color="auto" w:sz="4" w:space="0"/>
            </w:tcBorders>
            <w:shd w:val="clear" w:color="auto" w:fill="FFFFFF"/>
            <w:noWrap w:val="0"/>
            <w:vAlign w:val="center"/>
          </w:tcPr>
          <w:p w14:paraId="71F03D59">
            <w:pPr>
              <w:keepNext/>
              <w:keepLines/>
              <w:widowControl w:val="0"/>
              <w:spacing w:before="0" w:after="0" w:line="240" w:lineRule="auto"/>
              <w:jc w:val="center"/>
              <w:outlineLvl w:val="1"/>
              <w:rPr>
                <w:rFonts w:ascii="宋体" w:hAnsi="宋体" w:eastAsia="黑体" w:cs="Times New Roman"/>
                <w:b w:val="0"/>
                <w:color w:val="000000"/>
                <w:kern w:val="2"/>
                <w:sz w:val="21"/>
                <w:szCs w:val="21"/>
                <w:lang w:val="en-US" w:eastAsia="zh-CN" w:bidi="ar-SA"/>
              </w:rPr>
            </w:pPr>
          </w:p>
        </w:tc>
        <w:tc>
          <w:tcPr>
            <w:tcW w:w="1483" w:type="dxa"/>
            <w:tcBorders>
              <w:top w:val="single" w:color="auto" w:sz="4" w:space="0"/>
              <w:left w:val="single" w:color="auto" w:sz="4" w:space="0"/>
            </w:tcBorders>
            <w:shd w:val="clear" w:color="auto" w:fill="FFFFFF"/>
            <w:noWrap w:val="0"/>
            <w:vAlign w:val="center"/>
          </w:tcPr>
          <w:p w14:paraId="59C00FA8">
            <w:pPr>
              <w:keepNext/>
              <w:keepLines/>
              <w:widowControl w:val="0"/>
              <w:spacing w:before="0" w:after="0" w:line="240" w:lineRule="auto"/>
              <w:jc w:val="center"/>
              <w:outlineLvl w:val="1"/>
              <w:rPr>
                <w:rFonts w:ascii="宋体" w:hAnsi="宋体" w:eastAsia="黑体" w:cs="Times New Roman"/>
                <w:b w:val="0"/>
                <w:color w:val="000000"/>
                <w:kern w:val="2"/>
                <w:sz w:val="21"/>
                <w:szCs w:val="22"/>
                <w:lang w:val="zh-CN" w:eastAsia="zh-CN" w:bidi="ar-SA"/>
              </w:rPr>
            </w:pPr>
          </w:p>
        </w:tc>
        <w:tc>
          <w:tcPr>
            <w:tcW w:w="1441" w:type="dxa"/>
            <w:tcBorders>
              <w:top w:val="single" w:color="auto" w:sz="4" w:space="0"/>
              <w:left w:val="single" w:color="auto" w:sz="4" w:space="0"/>
              <w:right w:val="single" w:color="auto" w:sz="4" w:space="0"/>
            </w:tcBorders>
            <w:shd w:val="clear" w:color="auto" w:fill="FFFFFF"/>
            <w:noWrap w:val="0"/>
            <w:vAlign w:val="center"/>
          </w:tcPr>
          <w:p w14:paraId="766EC654">
            <w:pPr>
              <w:keepNext/>
              <w:keepLines/>
              <w:widowControl w:val="0"/>
              <w:spacing w:before="0" w:after="0" w:line="240" w:lineRule="auto"/>
              <w:jc w:val="center"/>
              <w:outlineLvl w:val="1"/>
              <w:rPr>
                <w:rFonts w:ascii="宋体" w:hAnsi="宋体" w:eastAsia="黑体" w:cs="Times New Roman"/>
                <w:b w:val="0"/>
                <w:color w:val="000000"/>
                <w:kern w:val="2"/>
                <w:sz w:val="21"/>
                <w:szCs w:val="22"/>
                <w:lang w:val="en-US" w:eastAsia="zh-CN" w:bidi="ar-SA"/>
              </w:rPr>
            </w:pPr>
          </w:p>
        </w:tc>
      </w:tr>
      <w:tr w14:paraId="21CFECEC">
        <w:tblPrEx>
          <w:tblCellMar>
            <w:top w:w="0" w:type="dxa"/>
            <w:left w:w="10" w:type="dxa"/>
            <w:bottom w:w="0" w:type="dxa"/>
            <w:right w:w="10" w:type="dxa"/>
          </w:tblCellMar>
        </w:tblPrEx>
        <w:trPr>
          <w:trHeight w:val="360" w:hRule="atLeast"/>
          <w:jc w:val="center"/>
        </w:trPr>
        <w:tc>
          <w:tcPr>
            <w:tcW w:w="1589" w:type="dxa"/>
            <w:tcBorders>
              <w:top w:val="single" w:color="auto" w:sz="4" w:space="0"/>
              <w:left w:val="single" w:color="auto" w:sz="4" w:space="0"/>
            </w:tcBorders>
            <w:shd w:val="clear" w:color="auto" w:fill="FFFFFF"/>
            <w:noWrap w:val="0"/>
            <w:vAlign w:val="center"/>
          </w:tcPr>
          <w:p w14:paraId="6C4B36C9">
            <w:pPr>
              <w:keepNext/>
              <w:keepLines/>
              <w:widowControl w:val="0"/>
              <w:spacing w:before="0" w:after="0" w:line="240" w:lineRule="auto"/>
              <w:jc w:val="center"/>
              <w:outlineLvl w:val="1"/>
              <w:rPr>
                <w:rFonts w:ascii="宋体" w:hAnsi="宋体" w:eastAsia="黑体" w:cs="Times New Roman"/>
                <w:b w:val="0"/>
                <w:color w:val="000000"/>
                <w:kern w:val="2"/>
                <w:sz w:val="21"/>
                <w:szCs w:val="22"/>
                <w:lang w:val="zh-CN" w:eastAsia="zh-CN" w:bidi="ar-SA"/>
              </w:rPr>
            </w:pPr>
            <w:r>
              <w:rPr>
                <w:rFonts w:ascii="宋体" w:hAnsi="宋体" w:eastAsia="黑体" w:cs="Times New Roman"/>
                <w:b w:val="0"/>
                <w:color w:val="000000"/>
                <w:kern w:val="2"/>
                <w:sz w:val="21"/>
                <w:szCs w:val="22"/>
                <w:lang w:val="zh-CN" w:eastAsia="zh-CN" w:bidi="ar-SA"/>
              </w:rPr>
              <w:t>通讯地址</w:t>
            </w:r>
          </w:p>
        </w:tc>
        <w:tc>
          <w:tcPr>
            <w:tcW w:w="7460" w:type="dxa"/>
            <w:gridSpan w:val="5"/>
            <w:tcBorders>
              <w:top w:val="single" w:color="auto" w:sz="4" w:space="0"/>
              <w:left w:val="single" w:color="auto" w:sz="4" w:space="0"/>
              <w:right w:val="single" w:color="auto" w:sz="4" w:space="0"/>
            </w:tcBorders>
            <w:shd w:val="clear" w:color="auto" w:fill="FFFFFF"/>
            <w:noWrap w:val="0"/>
            <w:vAlign w:val="center"/>
          </w:tcPr>
          <w:p w14:paraId="2A85D600">
            <w:pPr>
              <w:keepNext/>
              <w:keepLines/>
              <w:widowControl w:val="0"/>
              <w:spacing w:before="0" w:after="0" w:line="240" w:lineRule="auto"/>
              <w:jc w:val="center"/>
              <w:outlineLvl w:val="1"/>
              <w:rPr>
                <w:rFonts w:ascii="宋体" w:hAnsi="宋体" w:eastAsia="黑体" w:cs="Times New Roman"/>
                <w:b w:val="0"/>
                <w:color w:val="000000"/>
                <w:kern w:val="2"/>
                <w:sz w:val="21"/>
                <w:szCs w:val="22"/>
                <w:lang w:val="en-US" w:eastAsia="zh-CN" w:bidi="ar-SA"/>
              </w:rPr>
            </w:pPr>
          </w:p>
        </w:tc>
      </w:tr>
      <w:tr w14:paraId="698C8C50">
        <w:tblPrEx>
          <w:tblCellMar>
            <w:top w:w="0" w:type="dxa"/>
            <w:left w:w="10" w:type="dxa"/>
            <w:bottom w:w="0" w:type="dxa"/>
            <w:right w:w="10" w:type="dxa"/>
          </w:tblCellMar>
        </w:tblPrEx>
        <w:trPr>
          <w:trHeight w:val="347" w:hRule="atLeast"/>
          <w:jc w:val="center"/>
        </w:trPr>
        <w:tc>
          <w:tcPr>
            <w:tcW w:w="1589" w:type="dxa"/>
            <w:tcBorders>
              <w:top w:val="single" w:color="auto" w:sz="4" w:space="0"/>
              <w:left w:val="single" w:color="auto" w:sz="4" w:space="0"/>
            </w:tcBorders>
            <w:shd w:val="clear" w:color="auto" w:fill="FFFFFF"/>
            <w:noWrap w:val="0"/>
            <w:vAlign w:val="center"/>
          </w:tcPr>
          <w:p w14:paraId="7A333EA5">
            <w:pPr>
              <w:keepNext/>
              <w:keepLines/>
              <w:widowControl w:val="0"/>
              <w:spacing w:before="0" w:after="0" w:line="240" w:lineRule="auto"/>
              <w:jc w:val="center"/>
              <w:outlineLvl w:val="1"/>
              <w:rPr>
                <w:rFonts w:ascii="宋体" w:hAnsi="宋体" w:eastAsia="黑体" w:cs="Times New Roman"/>
                <w:b w:val="0"/>
                <w:color w:val="000000"/>
                <w:kern w:val="2"/>
                <w:sz w:val="21"/>
                <w:szCs w:val="22"/>
                <w:lang w:val="zh-CN" w:eastAsia="zh-CN" w:bidi="ar-SA"/>
              </w:rPr>
            </w:pPr>
            <w:r>
              <w:rPr>
                <w:rFonts w:ascii="宋体" w:hAnsi="宋体" w:eastAsia="黑体" w:cs="Times New Roman"/>
                <w:b w:val="0"/>
                <w:color w:val="000000"/>
                <w:kern w:val="2"/>
                <w:sz w:val="21"/>
                <w:szCs w:val="22"/>
                <w:lang w:val="zh-CN" w:eastAsia="zh-CN" w:bidi="ar-SA"/>
              </w:rPr>
              <w:t>项目联系人</w:t>
            </w:r>
          </w:p>
        </w:tc>
        <w:tc>
          <w:tcPr>
            <w:tcW w:w="2473" w:type="dxa"/>
            <w:tcBorders>
              <w:top w:val="single" w:color="auto" w:sz="4" w:space="0"/>
              <w:left w:val="single" w:color="auto" w:sz="4" w:space="0"/>
            </w:tcBorders>
            <w:shd w:val="clear" w:color="auto" w:fill="FFFFFF"/>
            <w:noWrap w:val="0"/>
            <w:vAlign w:val="center"/>
          </w:tcPr>
          <w:p w14:paraId="645C213A">
            <w:pPr>
              <w:keepNext/>
              <w:keepLines/>
              <w:widowControl w:val="0"/>
              <w:spacing w:before="0" w:after="0" w:line="240" w:lineRule="auto"/>
              <w:jc w:val="center"/>
              <w:outlineLvl w:val="1"/>
              <w:rPr>
                <w:rFonts w:ascii="宋体" w:hAnsi="宋体" w:eastAsia="黑体" w:cs="Times New Roman"/>
                <w:b w:val="0"/>
                <w:color w:val="000000"/>
                <w:kern w:val="2"/>
                <w:sz w:val="21"/>
                <w:szCs w:val="21"/>
                <w:lang w:val="en-US" w:eastAsia="zh-CN" w:bidi="ar-SA"/>
              </w:rPr>
            </w:pPr>
          </w:p>
        </w:tc>
        <w:tc>
          <w:tcPr>
            <w:tcW w:w="1465" w:type="dxa"/>
            <w:tcBorders>
              <w:top w:val="single" w:color="auto" w:sz="4" w:space="0"/>
              <w:left w:val="single" w:color="auto" w:sz="4" w:space="0"/>
            </w:tcBorders>
            <w:shd w:val="clear" w:color="auto" w:fill="FFFFFF"/>
            <w:noWrap w:val="0"/>
            <w:vAlign w:val="center"/>
          </w:tcPr>
          <w:p w14:paraId="1DCE2095">
            <w:pPr>
              <w:keepNext/>
              <w:keepLines/>
              <w:widowControl w:val="0"/>
              <w:spacing w:before="0" w:after="0" w:line="240" w:lineRule="auto"/>
              <w:jc w:val="center"/>
              <w:outlineLvl w:val="1"/>
              <w:rPr>
                <w:rFonts w:ascii="宋体" w:hAnsi="宋体" w:eastAsia="黑体" w:cs="Times New Roman"/>
                <w:b w:val="0"/>
                <w:color w:val="000000"/>
                <w:kern w:val="2"/>
                <w:sz w:val="21"/>
                <w:szCs w:val="21"/>
                <w:lang w:val="zh-CN" w:eastAsia="zh-CN" w:bidi="ar-SA"/>
              </w:rPr>
            </w:pPr>
          </w:p>
        </w:tc>
        <w:tc>
          <w:tcPr>
            <w:tcW w:w="3522" w:type="dxa"/>
            <w:gridSpan w:val="3"/>
            <w:tcBorders>
              <w:top w:val="single" w:color="auto" w:sz="4" w:space="0"/>
              <w:left w:val="single" w:color="auto" w:sz="4" w:space="0"/>
              <w:right w:val="single" w:color="auto" w:sz="4" w:space="0"/>
            </w:tcBorders>
            <w:shd w:val="clear" w:color="auto" w:fill="FFFFFF"/>
            <w:noWrap w:val="0"/>
            <w:vAlign w:val="center"/>
          </w:tcPr>
          <w:p w14:paraId="40B924CA">
            <w:pPr>
              <w:keepNext/>
              <w:keepLines/>
              <w:widowControl w:val="0"/>
              <w:spacing w:before="0" w:after="0" w:line="240" w:lineRule="auto"/>
              <w:jc w:val="center"/>
              <w:outlineLvl w:val="1"/>
              <w:rPr>
                <w:rFonts w:ascii="宋体" w:hAnsi="宋体" w:eastAsia="黑体" w:cs="Times New Roman"/>
                <w:b w:val="0"/>
                <w:color w:val="000000"/>
                <w:kern w:val="2"/>
                <w:sz w:val="21"/>
                <w:szCs w:val="21"/>
                <w:lang w:val="en-US" w:eastAsia="zh-CN" w:bidi="ar-SA"/>
              </w:rPr>
            </w:pPr>
          </w:p>
        </w:tc>
      </w:tr>
      <w:tr w14:paraId="575CC32E">
        <w:tblPrEx>
          <w:tblCellMar>
            <w:top w:w="0" w:type="dxa"/>
            <w:left w:w="10" w:type="dxa"/>
            <w:bottom w:w="0" w:type="dxa"/>
            <w:right w:w="10" w:type="dxa"/>
          </w:tblCellMar>
        </w:tblPrEx>
        <w:trPr>
          <w:trHeight w:val="359" w:hRule="atLeast"/>
          <w:jc w:val="center"/>
        </w:trPr>
        <w:tc>
          <w:tcPr>
            <w:tcW w:w="1589" w:type="dxa"/>
            <w:tcBorders>
              <w:top w:val="single" w:color="auto" w:sz="4" w:space="0"/>
              <w:left w:val="single" w:color="auto" w:sz="4" w:space="0"/>
              <w:bottom w:val="single" w:color="auto" w:sz="4" w:space="0"/>
            </w:tcBorders>
            <w:shd w:val="clear" w:color="auto" w:fill="FFFFFF"/>
            <w:noWrap w:val="0"/>
            <w:vAlign w:val="center"/>
          </w:tcPr>
          <w:p w14:paraId="6F27239C">
            <w:pPr>
              <w:keepNext/>
              <w:keepLines/>
              <w:widowControl w:val="0"/>
              <w:spacing w:before="0" w:after="0" w:line="240" w:lineRule="auto"/>
              <w:jc w:val="center"/>
              <w:outlineLvl w:val="1"/>
              <w:rPr>
                <w:rFonts w:ascii="宋体" w:hAnsi="宋体" w:eastAsia="黑体" w:cs="Times New Roman"/>
                <w:b w:val="0"/>
                <w:color w:val="000000"/>
                <w:kern w:val="2"/>
                <w:sz w:val="21"/>
                <w:szCs w:val="22"/>
                <w:lang w:val="zh-CN" w:eastAsia="zh-CN" w:bidi="ar-SA"/>
              </w:rPr>
            </w:pPr>
            <w:r>
              <w:rPr>
                <w:rFonts w:ascii="宋体" w:hAnsi="宋体" w:eastAsia="黑体" w:cs="Times New Roman"/>
                <w:b w:val="0"/>
                <w:color w:val="000000"/>
                <w:kern w:val="2"/>
                <w:sz w:val="21"/>
                <w:szCs w:val="22"/>
                <w:lang w:val="zh-CN" w:eastAsia="zh-CN" w:bidi="ar-SA"/>
              </w:rPr>
              <w:t>电子邮箱</w:t>
            </w:r>
          </w:p>
        </w:tc>
        <w:tc>
          <w:tcPr>
            <w:tcW w:w="2473" w:type="dxa"/>
            <w:tcBorders>
              <w:top w:val="single" w:color="auto" w:sz="4" w:space="0"/>
              <w:left w:val="single" w:color="auto" w:sz="4" w:space="0"/>
              <w:bottom w:val="single" w:color="auto" w:sz="4" w:space="0"/>
            </w:tcBorders>
            <w:shd w:val="clear" w:color="auto" w:fill="FFFFFF"/>
            <w:noWrap w:val="0"/>
            <w:vAlign w:val="center"/>
          </w:tcPr>
          <w:p w14:paraId="269E0B60">
            <w:pPr>
              <w:keepNext/>
              <w:keepLines/>
              <w:widowControl w:val="0"/>
              <w:spacing w:before="0" w:after="0" w:line="240" w:lineRule="auto"/>
              <w:jc w:val="center"/>
              <w:outlineLvl w:val="1"/>
              <w:rPr>
                <w:rFonts w:ascii="宋体" w:hAnsi="宋体" w:eastAsia="黑体" w:cs="Times New Roman"/>
                <w:b w:val="0"/>
                <w:color w:val="000000"/>
                <w:kern w:val="2"/>
                <w:sz w:val="21"/>
                <w:szCs w:val="22"/>
                <w:lang w:val="en-US" w:eastAsia="zh-CN" w:bidi="ar-SA"/>
              </w:rPr>
            </w:pPr>
          </w:p>
        </w:tc>
        <w:tc>
          <w:tcPr>
            <w:tcW w:w="1465" w:type="dxa"/>
            <w:tcBorders>
              <w:top w:val="single" w:color="auto" w:sz="4" w:space="0"/>
              <w:left w:val="single" w:color="auto" w:sz="4" w:space="0"/>
              <w:bottom w:val="single" w:color="auto" w:sz="4" w:space="0"/>
            </w:tcBorders>
            <w:shd w:val="clear" w:color="auto" w:fill="FFFFFF"/>
            <w:noWrap w:val="0"/>
            <w:vAlign w:val="center"/>
          </w:tcPr>
          <w:p w14:paraId="5D223631">
            <w:pPr>
              <w:keepNext/>
              <w:keepLines/>
              <w:widowControl w:val="0"/>
              <w:spacing w:before="0" w:after="0" w:line="240" w:lineRule="auto"/>
              <w:jc w:val="center"/>
              <w:outlineLvl w:val="1"/>
              <w:rPr>
                <w:rFonts w:ascii="宋体" w:hAnsi="宋体" w:eastAsia="黑体" w:cs="Times New Roman"/>
                <w:b w:val="0"/>
                <w:color w:val="000000"/>
                <w:kern w:val="2"/>
                <w:sz w:val="21"/>
                <w:szCs w:val="22"/>
                <w:lang w:val="zh-CN" w:eastAsia="zh-CN" w:bidi="ar-SA"/>
              </w:rPr>
            </w:pPr>
          </w:p>
        </w:tc>
        <w:tc>
          <w:tcPr>
            <w:tcW w:w="3522"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FD8BF9">
            <w:pPr>
              <w:keepNext/>
              <w:keepLines/>
              <w:widowControl w:val="0"/>
              <w:spacing w:before="0" w:after="0" w:line="240" w:lineRule="auto"/>
              <w:jc w:val="center"/>
              <w:outlineLvl w:val="1"/>
              <w:rPr>
                <w:rFonts w:ascii="宋体" w:hAnsi="宋体" w:eastAsia="黑体" w:cs="Times New Roman"/>
                <w:b w:val="0"/>
                <w:color w:val="000000"/>
                <w:kern w:val="2"/>
                <w:sz w:val="21"/>
                <w:szCs w:val="22"/>
                <w:lang w:val="en-US" w:eastAsia="zh-CN" w:bidi="ar-SA"/>
              </w:rPr>
            </w:pPr>
          </w:p>
        </w:tc>
      </w:tr>
    </w:tbl>
    <w:p w14:paraId="2A5265F1">
      <w:pPr>
        <w:keepNext/>
        <w:keepLines/>
        <w:widowControl w:val="0"/>
        <w:spacing w:before="0" w:after="0" w:line="240" w:lineRule="auto"/>
        <w:jc w:val="both"/>
        <w:outlineLvl w:val="1"/>
        <w:rPr>
          <w:rFonts w:ascii="宋体" w:hAnsi="宋体" w:eastAsia="黑体" w:cs="Times New Roman"/>
          <w:b w:val="0"/>
          <w:color w:val="000000"/>
          <w:kern w:val="2"/>
          <w:sz w:val="21"/>
          <w:szCs w:val="22"/>
          <w:lang w:val="en-US" w:eastAsia="zh-CN" w:bidi="ar-SA"/>
        </w:rPr>
      </w:pPr>
    </w:p>
    <w:tbl>
      <w:tblPr>
        <w:tblStyle w:val="26"/>
        <w:tblW w:w="9071" w:type="dxa"/>
        <w:jc w:val="center"/>
        <w:tblLayout w:type="fixed"/>
        <w:tblCellMar>
          <w:top w:w="0" w:type="dxa"/>
          <w:left w:w="10" w:type="dxa"/>
          <w:bottom w:w="0" w:type="dxa"/>
          <w:right w:w="10" w:type="dxa"/>
        </w:tblCellMar>
      </w:tblPr>
      <w:tblGrid>
        <w:gridCol w:w="1538"/>
        <w:gridCol w:w="2473"/>
        <w:gridCol w:w="1469"/>
        <w:gridCol w:w="605"/>
        <w:gridCol w:w="1490"/>
        <w:gridCol w:w="1496"/>
      </w:tblGrid>
      <w:tr w14:paraId="5815F3A1">
        <w:tblPrEx>
          <w:tblCellMar>
            <w:top w:w="0" w:type="dxa"/>
            <w:left w:w="10" w:type="dxa"/>
            <w:bottom w:w="0" w:type="dxa"/>
            <w:right w:w="10" w:type="dxa"/>
          </w:tblCellMar>
        </w:tblPrEx>
        <w:trPr>
          <w:trHeight w:val="397" w:hRule="atLeast"/>
          <w:jc w:val="center"/>
        </w:trPr>
        <w:tc>
          <w:tcPr>
            <w:tcW w:w="1538" w:type="dxa"/>
            <w:tcBorders>
              <w:top w:val="single" w:color="auto" w:sz="4" w:space="0"/>
              <w:left w:val="single" w:color="auto" w:sz="4" w:space="0"/>
            </w:tcBorders>
            <w:shd w:val="clear" w:color="auto" w:fill="FFFFFF"/>
            <w:noWrap w:val="0"/>
            <w:vAlign w:val="center"/>
          </w:tcPr>
          <w:p w14:paraId="4038C886">
            <w:pPr>
              <w:keepNext/>
              <w:keepLines/>
              <w:widowControl w:val="0"/>
              <w:spacing w:before="0" w:after="0" w:line="240" w:lineRule="auto"/>
              <w:jc w:val="center"/>
              <w:outlineLvl w:val="1"/>
              <w:rPr>
                <w:rFonts w:ascii="宋体" w:hAnsi="宋体" w:eastAsia="黑体" w:cs="Times New Roman"/>
                <w:b w:val="0"/>
                <w:color w:val="000000"/>
                <w:kern w:val="2"/>
                <w:sz w:val="21"/>
                <w:szCs w:val="22"/>
                <w:lang w:val="zh-CN" w:eastAsia="zh-CN" w:bidi="ar-SA"/>
              </w:rPr>
            </w:pPr>
            <w:r>
              <w:rPr>
                <w:rFonts w:ascii="宋体" w:hAnsi="宋体" w:eastAsia="黑体" w:cs="Times New Roman"/>
                <w:b w:val="0"/>
                <w:color w:val="000000"/>
                <w:kern w:val="2"/>
                <w:sz w:val="21"/>
                <w:szCs w:val="22"/>
                <w:lang w:val="zh-CN" w:eastAsia="zh-CN" w:bidi="ar-SA"/>
              </w:rPr>
              <w:t>受托方（乙方</w:t>
            </w:r>
            <w:r>
              <w:rPr>
                <w:rFonts w:ascii="宋体" w:hAnsi="宋体" w:eastAsia="黑体" w:cs="Times New Roman"/>
                <w:b w:val="0"/>
                <w:color w:val="000000"/>
                <w:kern w:val="2"/>
                <w:sz w:val="21"/>
                <w:szCs w:val="22"/>
                <w:lang w:val="en-US" w:eastAsia="en-US" w:bidi="ar-SA"/>
              </w:rPr>
              <w:t>）</w:t>
            </w:r>
          </w:p>
        </w:tc>
        <w:tc>
          <w:tcPr>
            <w:tcW w:w="4547" w:type="dxa"/>
            <w:gridSpan w:val="3"/>
            <w:tcBorders>
              <w:top w:val="single" w:color="auto" w:sz="4" w:space="0"/>
              <w:left w:val="single" w:color="auto" w:sz="4" w:space="0"/>
            </w:tcBorders>
            <w:shd w:val="clear" w:color="auto" w:fill="FFFFFF"/>
            <w:noWrap w:val="0"/>
            <w:vAlign w:val="center"/>
          </w:tcPr>
          <w:p w14:paraId="7FEA8ACA">
            <w:pPr>
              <w:keepNext/>
              <w:keepLines/>
              <w:widowControl w:val="0"/>
              <w:spacing w:before="0" w:after="0" w:line="240" w:lineRule="auto"/>
              <w:jc w:val="center"/>
              <w:outlineLvl w:val="1"/>
              <w:rPr>
                <w:rFonts w:ascii="宋体" w:hAnsi="宋体" w:eastAsia="黑体" w:cs="Times New Roman"/>
                <w:b w:val="0"/>
                <w:color w:val="000000"/>
                <w:kern w:val="2"/>
                <w:sz w:val="21"/>
                <w:szCs w:val="22"/>
                <w:lang w:val="zh-CN" w:eastAsia="zh-CN" w:bidi="ar-SA"/>
              </w:rPr>
            </w:pPr>
          </w:p>
        </w:tc>
        <w:tc>
          <w:tcPr>
            <w:tcW w:w="1490" w:type="dxa"/>
            <w:tcBorders>
              <w:top w:val="single" w:color="auto" w:sz="4" w:space="0"/>
              <w:left w:val="single" w:color="auto" w:sz="4" w:space="0"/>
            </w:tcBorders>
            <w:shd w:val="clear" w:color="auto" w:fill="FFFFFF"/>
            <w:noWrap w:val="0"/>
            <w:vAlign w:val="center"/>
          </w:tcPr>
          <w:p w14:paraId="5D501DB5">
            <w:pPr>
              <w:keepNext/>
              <w:keepLines/>
              <w:widowControl w:val="0"/>
              <w:spacing w:before="0" w:after="0" w:line="240" w:lineRule="auto"/>
              <w:jc w:val="center"/>
              <w:outlineLvl w:val="1"/>
              <w:rPr>
                <w:rFonts w:ascii="宋体" w:hAnsi="宋体" w:eastAsia="黑体" w:cs="Times New Roman"/>
                <w:b w:val="0"/>
                <w:color w:val="000000"/>
                <w:kern w:val="2"/>
                <w:sz w:val="21"/>
                <w:szCs w:val="22"/>
                <w:lang w:val="zh-CN" w:eastAsia="zh-CN" w:bidi="ar-SA"/>
              </w:rPr>
            </w:pPr>
          </w:p>
        </w:tc>
        <w:tc>
          <w:tcPr>
            <w:tcW w:w="1496" w:type="dxa"/>
            <w:tcBorders>
              <w:top w:val="single" w:color="auto" w:sz="4" w:space="0"/>
              <w:left w:val="single" w:color="auto" w:sz="4" w:space="0"/>
              <w:right w:val="single" w:color="auto" w:sz="4" w:space="0"/>
            </w:tcBorders>
            <w:shd w:val="clear" w:color="auto" w:fill="FFFFFF"/>
            <w:noWrap w:val="0"/>
            <w:vAlign w:val="center"/>
          </w:tcPr>
          <w:p w14:paraId="6779587D">
            <w:pPr>
              <w:keepNext/>
              <w:keepLines/>
              <w:widowControl w:val="0"/>
              <w:spacing w:before="0" w:after="0" w:line="240" w:lineRule="auto"/>
              <w:jc w:val="center"/>
              <w:outlineLvl w:val="1"/>
              <w:rPr>
                <w:rFonts w:hint="eastAsia" w:ascii="宋体" w:hAnsi="宋体" w:eastAsia="黑体" w:cs="Times New Roman"/>
                <w:b w:val="0"/>
                <w:color w:val="000000"/>
                <w:kern w:val="2"/>
                <w:sz w:val="21"/>
                <w:szCs w:val="22"/>
                <w:lang w:val="en-US" w:eastAsia="zh-CN" w:bidi="ar-SA"/>
              </w:rPr>
            </w:pPr>
          </w:p>
        </w:tc>
      </w:tr>
      <w:tr w14:paraId="57E0B2C8">
        <w:tblPrEx>
          <w:tblCellMar>
            <w:top w:w="0" w:type="dxa"/>
            <w:left w:w="10" w:type="dxa"/>
            <w:bottom w:w="0" w:type="dxa"/>
            <w:right w:w="10" w:type="dxa"/>
          </w:tblCellMar>
        </w:tblPrEx>
        <w:trPr>
          <w:trHeight w:val="322" w:hRule="atLeast"/>
          <w:jc w:val="center"/>
        </w:trPr>
        <w:tc>
          <w:tcPr>
            <w:tcW w:w="1538" w:type="dxa"/>
            <w:tcBorders>
              <w:top w:val="single" w:color="auto" w:sz="4" w:space="0"/>
              <w:left w:val="single" w:color="auto" w:sz="4" w:space="0"/>
            </w:tcBorders>
            <w:shd w:val="clear" w:color="auto" w:fill="FFFFFF"/>
            <w:noWrap w:val="0"/>
            <w:vAlign w:val="center"/>
          </w:tcPr>
          <w:p w14:paraId="45E54E37">
            <w:pPr>
              <w:keepNext/>
              <w:keepLines/>
              <w:widowControl w:val="0"/>
              <w:spacing w:before="0" w:after="0" w:line="240" w:lineRule="auto"/>
              <w:jc w:val="center"/>
              <w:outlineLvl w:val="1"/>
              <w:rPr>
                <w:rFonts w:ascii="宋体" w:hAnsi="宋体" w:eastAsia="黑体" w:cs="Times New Roman"/>
                <w:b w:val="0"/>
                <w:color w:val="000000"/>
                <w:kern w:val="2"/>
                <w:sz w:val="21"/>
                <w:szCs w:val="22"/>
                <w:lang w:val="en-US" w:eastAsia="zh-CN" w:bidi="ar-SA"/>
              </w:rPr>
            </w:pPr>
            <w:r>
              <w:rPr>
                <w:rFonts w:hint="eastAsia" w:ascii="宋体" w:hAnsi="宋体" w:eastAsia="黑体" w:cs="Times New Roman"/>
                <w:b w:val="0"/>
                <w:color w:val="000000"/>
                <w:kern w:val="2"/>
                <w:sz w:val="21"/>
                <w:szCs w:val="22"/>
                <w:lang w:val="en-US" w:eastAsia="zh-CN" w:bidi="ar-SA"/>
              </w:rPr>
              <w:t>乙方资质证书号</w:t>
            </w:r>
          </w:p>
        </w:tc>
        <w:tc>
          <w:tcPr>
            <w:tcW w:w="4547" w:type="dxa"/>
            <w:gridSpan w:val="3"/>
            <w:tcBorders>
              <w:top w:val="single" w:color="auto" w:sz="4" w:space="0"/>
              <w:left w:val="single" w:color="auto" w:sz="4" w:space="0"/>
            </w:tcBorders>
            <w:shd w:val="clear" w:color="auto" w:fill="FFFFFF"/>
            <w:noWrap w:val="0"/>
            <w:vAlign w:val="center"/>
          </w:tcPr>
          <w:p w14:paraId="35398822">
            <w:pPr>
              <w:keepNext/>
              <w:keepLines/>
              <w:widowControl w:val="0"/>
              <w:spacing w:before="0" w:after="0" w:line="240" w:lineRule="auto"/>
              <w:jc w:val="center"/>
              <w:outlineLvl w:val="1"/>
              <w:rPr>
                <w:rFonts w:ascii="宋体" w:hAnsi="宋体" w:eastAsia="黑体" w:cs="Times New Roman"/>
                <w:b w:val="0"/>
                <w:color w:val="000000"/>
                <w:kern w:val="2"/>
                <w:sz w:val="21"/>
                <w:szCs w:val="22"/>
                <w:lang w:val="en-US" w:eastAsia="zh-CN" w:bidi="ar-SA"/>
              </w:rPr>
            </w:pPr>
          </w:p>
        </w:tc>
        <w:tc>
          <w:tcPr>
            <w:tcW w:w="1490" w:type="dxa"/>
            <w:tcBorders>
              <w:top w:val="single" w:color="auto" w:sz="4" w:space="0"/>
              <w:left w:val="single" w:color="auto" w:sz="4" w:space="0"/>
            </w:tcBorders>
            <w:shd w:val="clear" w:color="auto" w:fill="FFFFFF"/>
            <w:noWrap w:val="0"/>
            <w:vAlign w:val="center"/>
          </w:tcPr>
          <w:p w14:paraId="26F90144">
            <w:pPr>
              <w:keepNext/>
              <w:keepLines/>
              <w:widowControl w:val="0"/>
              <w:spacing w:before="0" w:after="0" w:line="240" w:lineRule="auto"/>
              <w:jc w:val="center"/>
              <w:outlineLvl w:val="1"/>
              <w:rPr>
                <w:rFonts w:ascii="宋体" w:hAnsi="宋体" w:eastAsia="黑体" w:cs="Times New Roman"/>
                <w:b w:val="0"/>
                <w:color w:val="000000"/>
                <w:kern w:val="2"/>
                <w:sz w:val="21"/>
                <w:szCs w:val="22"/>
                <w:lang w:val="en-US" w:eastAsia="zh-CN" w:bidi="ar-SA"/>
              </w:rPr>
            </w:pPr>
          </w:p>
        </w:tc>
        <w:tc>
          <w:tcPr>
            <w:tcW w:w="1496" w:type="dxa"/>
            <w:tcBorders>
              <w:top w:val="single" w:color="auto" w:sz="4" w:space="0"/>
              <w:left w:val="single" w:color="auto" w:sz="4" w:space="0"/>
              <w:right w:val="single" w:color="auto" w:sz="4" w:space="0"/>
            </w:tcBorders>
            <w:shd w:val="clear" w:color="auto" w:fill="FFFFFF"/>
            <w:noWrap w:val="0"/>
            <w:vAlign w:val="center"/>
          </w:tcPr>
          <w:p w14:paraId="3E420B71">
            <w:pPr>
              <w:keepNext/>
              <w:keepLines/>
              <w:widowControl w:val="0"/>
              <w:spacing w:before="0" w:after="0" w:line="240" w:lineRule="auto"/>
              <w:jc w:val="center"/>
              <w:outlineLvl w:val="1"/>
              <w:rPr>
                <w:rFonts w:ascii="宋体" w:hAnsi="宋体" w:eastAsia="黑体" w:cs="Times New Roman"/>
                <w:b w:val="0"/>
                <w:color w:val="000000"/>
                <w:kern w:val="2"/>
                <w:sz w:val="21"/>
                <w:szCs w:val="22"/>
                <w:lang w:val="en-US" w:eastAsia="zh-CN" w:bidi="ar-SA"/>
              </w:rPr>
            </w:pPr>
          </w:p>
        </w:tc>
      </w:tr>
      <w:tr w14:paraId="355077C0">
        <w:tblPrEx>
          <w:tblCellMar>
            <w:top w:w="0" w:type="dxa"/>
            <w:left w:w="10" w:type="dxa"/>
            <w:bottom w:w="0" w:type="dxa"/>
            <w:right w:w="10" w:type="dxa"/>
          </w:tblCellMar>
        </w:tblPrEx>
        <w:trPr>
          <w:trHeight w:val="357" w:hRule="atLeast"/>
          <w:jc w:val="center"/>
        </w:trPr>
        <w:tc>
          <w:tcPr>
            <w:tcW w:w="1538" w:type="dxa"/>
            <w:tcBorders>
              <w:top w:val="single" w:color="auto" w:sz="4" w:space="0"/>
              <w:left w:val="single" w:color="auto" w:sz="4" w:space="0"/>
            </w:tcBorders>
            <w:shd w:val="clear" w:color="auto" w:fill="FFFFFF"/>
            <w:noWrap w:val="0"/>
            <w:vAlign w:val="center"/>
          </w:tcPr>
          <w:p w14:paraId="4480BD88">
            <w:pPr>
              <w:keepNext/>
              <w:keepLines/>
              <w:widowControl w:val="0"/>
              <w:spacing w:before="0" w:after="0" w:line="240" w:lineRule="auto"/>
              <w:jc w:val="center"/>
              <w:outlineLvl w:val="1"/>
              <w:rPr>
                <w:rFonts w:ascii="宋体" w:hAnsi="宋体" w:eastAsia="黑体" w:cs="Times New Roman"/>
                <w:b w:val="0"/>
                <w:color w:val="000000"/>
                <w:kern w:val="2"/>
                <w:sz w:val="21"/>
                <w:szCs w:val="22"/>
                <w:lang w:val="zh-CN" w:eastAsia="zh-CN" w:bidi="ar-SA"/>
              </w:rPr>
            </w:pPr>
            <w:r>
              <w:rPr>
                <w:rFonts w:ascii="宋体" w:hAnsi="宋体" w:eastAsia="黑体" w:cs="Times New Roman"/>
                <w:b w:val="0"/>
                <w:color w:val="000000"/>
                <w:kern w:val="2"/>
                <w:sz w:val="21"/>
                <w:szCs w:val="22"/>
                <w:lang w:val="zh-CN" w:eastAsia="zh-CN" w:bidi="ar-SA"/>
              </w:rPr>
              <w:t>通讯地址</w:t>
            </w:r>
          </w:p>
        </w:tc>
        <w:tc>
          <w:tcPr>
            <w:tcW w:w="7533" w:type="dxa"/>
            <w:gridSpan w:val="5"/>
            <w:tcBorders>
              <w:top w:val="single" w:color="auto" w:sz="4" w:space="0"/>
              <w:left w:val="single" w:color="auto" w:sz="4" w:space="0"/>
              <w:right w:val="single" w:color="auto" w:sz="4" w:space="0"/>
            </w:tcBorders>
            <w:shd w:val="clear" w:color="auto" w:fill="FFFFFF"/>
            <w:noWrap w:val="0"/>
            <w:vAlign w:val="center"/>
          </w:tcPr>
          <w:p w14:paraId="7F126A2F">
            <w:pPr>
              <w:keepNext/>
              <w:keepLines/>
              <w:widowControl w:val="0"/>
              <w:spacing w:before="0" w:after="0" w:line="240" w:lineRule="auto"/>
              <w:jc w:val="center"/>
              <w:outlineLvl w:val="1"/>
              <w:rPr>
                <w:rFonts w:ascii="宋体" w:hAnsi="宋体" w:eastAsia="黑体" w:cs="Times New Roman"/>
                <w:b w:val="0"/>
                <w:color w:val="000000"/>
                <w:kern w:val="2"/>
                <w:sz w:val="21"/>
                <w:szCs w:val="22"/>
                <w:lang w:val="zh-CN" w:eastAsia="zh-CN" w:bidi="ar-SA"/>
              </w:rPr>
            </w:pPr>
          </w:p>
        </w:tc>
      </w:tr>
      <w:tr w14:paraId="75153763">
        <w:tblPrEx>
          <w:tblCellMar>
            <w:top w:w="0" w:type="dxa"/>
            <w:left w:w="10" w:type="dxa"/>
            <w:bottom w:w="0" w:type="dxa"/>
            <w:right w:w="10" w:type="dxa"/>
          </w:tblCellMar>
        </w:tblPrEx>
        <w:trPr>
          <w:trHeight w:val="397" w:hRule="atLeast"/>
          <w:jc w:val="center"/>
        </w:trPr>
        <w:tc>
          <w:tcPr>
            <w:tcW w:w="1538" w:type="dxa"/>
            <w:tcBorders>
              <w:top w:val="single" w:color="auto" w:sz="4" w:space="0"/>
              <w:left w:val="single" w:color="auto" w:sz="4" w:space="0"/>
            </w:tcBorders>
            <w:shd w:val="clear" w:color="auto" w:fill="FFFFFF"/>
            <w:noWrap w:val="0"/>
            <w:vAlign w:val="center"/>
          </w:tcPr>
          <w:p w14:paraId="34A518C8">
            <w:pPr>
              <w:keepNext/>
              <w:keepLines/>
              <w:widowControl w:val="0"/>
              <w:spacing w:before="0" w:after="0" w:line="240" w:lineRule="auto"/>
              <w:jc w:val="center"/>
              <w:outlineLvl w:val="1"/>
              <w:rPr>
                <w:rFonts w:ascii="宋体" w:hAnsi="宋体" w:eastAsia="黑体" w:cs="Times New Roman"/>
                <w:b w:val="0"/>
                <w:color w:val="000000"/>
                <w:kern w:val="2"/>
                <w:sz w:val="21"/>
                <w:szCs w:val="21"/>
                <w:lang w:val="en-US" w:eastAsia="zh-CN" w:bidi="ar-SA"/>
              </w:rPr>
            </w:pPr>
            <w:r>
              <w:rPr>
                <w:rFonts w:hint="eastAsia" w:ascii="宋体" w:hAnsi="宋体" w:eastAsia="黑体" w:cs="Times New Roman"/>
                <w:b w:val="0"/>
                <w:color w:val="000000"/>
                <w:kern w:val="2"/>
                <w:sz w:val="21"/>
                <w:szCs w:val="21"/>
                <w:lang w:val="zh-CN" w:eastAsia="zh-CN" w:bidi="ar-SA"/>
              </w:rPr>
              <w:t>电子邮箱</w:t>
            </w:r>
          </w:p>
        </w:tc>
        <w:tc>
          <w:tcPr>
            <w:tcW w:w="2473" w:type="dxa"/>
            <w:tcBorders>
              <w:top w:val="single" w:color="auto" w:sz="4" w:space="0"/>
              <w:left w:val="single" w:color="auto" w:sz="4" w:space="0"/>
            </w:tcBorders>
            <w:shd w:val="clear" w:color="auto" w:fill="FFFFFF"/>
            <w:noWrap w:val="0"/>
            <w:vAlign w:val="center"/>
          </w:tcPr>
          <w:p w14:paraId="1FBE5693">
            <w:pPr>
              <w:keepNext/>
              <w:keepLines/>
              <w:widowControl w:val="0"/>
              <w:spacing w:before="0" w:after="0" w:line="240" w:lineRule="auto"/>
              <w:jc w:val="center"/>
              <w:outlineLvl w:val="1"/>
              <w:rPr>
                <w:rFonts w:ascii="宋体" w:hAnsi="宋体" w:eastAsia="黑体" w:cs="Times New Roman"/>
                <w:b w:val="0"/>
                <w:color w:val="000000"/>
                <w:kern w:val="2"/>
                <w:sz w:val="21"/>
                <w:szCs w:val="21"/>
                <w:lang w:val="zh-CN" w:eastAsia="zh-CN" w:bidi="ar-SA"/>
              </w:rPr>
            </w:pPr>
          </w:p>
        </w:tc>
        <w:tc>
          <w:tcPr>
            <w:tcW w:w="1469" w:type="dxa"/>
            <w:tcBorders>
              <w:top w:val="single" w:color="auto" w:sz="4" w:space="0"/>
              <w:left w:val="single" w:color="auto" w:sz="4" w:space="0"/>
            </w:tcBorders>
            <w:shd w:val="clear" w:color="auto" w:fill="FFFFFF"/>
            <w:noWrap w:val="0"/>
            <w:vAlign w:val="center"/>
          </w:tcPr>
          <w:p w14:paraId="271524CE">
            <w:pPr>
              <w:keepNext/>
              <w:keepLines/>
              <w:widowControl w:val="0"/>
              <w:spacing w:before="0" w:after="0" w:line="240" w:lineRule="auto"/>
              <w:jc w:val="center"/>
              <w:outlineLvl w:val="1"/>
              <w:rPr>
                <w:rFonts w:ascii="宋体" w:hAnsi="宋体" w:eastAsia="黑体" w:cs="Times New Roman"/>
                <w:b w:val="0"/>
                <w:color w:val="000000"/>
                <w:kern w:val="2"/>
                <w:sz w:val="21"/>
                <w:szCs w:val="21"/>
                <w:lang w:val="zh-CN" w:eastAsia="zh-CN" w:bidi="ar-SA"/>
              </w:rPr>
            </w:pPr>
          </w:p>
        </w:tc>
        <w:tc>
          <w:tcPr>
            <w:tcW w:w="3591" w:type="dxa"/>
            <w:gridSpan w:val="3"/>
            <w:tcBorders>
              <w:top w:val="single" w:color="auto" w:sz="4" w:space="0"/>
              <w:left w:val="single" w:color="auto" w:sz="4" w:space="0"/>
              <w:right w:val="single" w:color="auto" w:sz="4" w:space="0"/>
            </w:tcBorders>
            <w:shd w:val="clear" w:color="auto" w:fill="FFFFFF"/>
            <w:noWrap w:val="0"/>
            <w:vAlign w:val="center"/>
          </w:tcPr>
          <w:p w14:paraId="141BE04E">
            <w:pPr>
              <w:keepNext/>
              <w:keepLines/>
              <w:widowControl w:val="0"/>
              <w:spacing w:before="0" w:after="0" w:line="240" w:lineRule="auto"/>
              <w:jc w:val="center"/>
              <w:outlineLvl w:val="1"/>
              <w:rPr>
                <w:rFonts w:ascii="宋体" w:hAnsi="宋体" w:eastAsia="黑体" w:cs="Times New Roman"/>
                <w:b w:val="0"/>
                <w:color w:val="000000"/>
                <w:kern w:val="2"/>
                <w:sz w:val="21"/>
                <w:szCs w:val="21"/>
                <w:lang w:val="en-US" w:eastAsia="zh-CN" w:bidi="ar-SA"/>
              </w:rPr>
            </w:pPr>
          </w:p>
        </w:tc>
      </w:tr>
      <w:tr w14:paraId="7398CD66">
        <w:tblPrEx>
          <w:tblCellMar>
            <w:top w:w="0" w:type="dxa"/>
            <w:left w:w="10" w:type="dxa"/>
            <w:bottom w:w="0" w:type="dxa"/>
            <w:right w:w="10" w:type="dxa"/>
          </w:tblCellMar>
        </w:tblPrEx>
        <w:trPr>
          <w:trHeight w:val="397" w:hRule="atLeast"/>
          <w:jc w:val="center"/>
        </w:trPr>
        <w:tc>
          <w:tcPr>
            <w:tcW w:w="1538" w:type="dxa"/>
            <w:tcBorders>
              <w:top w:val="single" w:color="auto" w:sz="4" w:space="0"/>
              <w:left w:val="single" w:color="auto" w:sz="4" w:space="0"/>
            </w:tcBorders>
            <w:shd w:val="clear" w:color="auto" w:fill="FFFFFF"/>
            <w:noWrap w:val="0"/>
            <w:vAlign w:val="center"/>
          </w:tcPr>
          <w:p w14:paraId="3FA94FF2">
            <w:pPr>
              <w:keepNext/>
              <w:keepLines/>
              <w:widowControl w:val="0"/>
              <w:spacing w:before="0" w:after="0" w:line="240" w:lineRule="auto"/>
              <w:jc w:val="center"/>
              <w:outlineLvl w:val="1"/>
              <w:rPr>
                <w:rFonts w:ascii="宋体" w:hAnsi="宋体" w:eastAsia="黑体" w:cs="Times New Roman"/>
                <w:b w:val="0"/>
                <w:color w:val="000000"/>
                <w:kern w:val="2"/>
                <w:sz w:val="21"/>
                <w:szCs w:val="22"/>
                <w:lang w:val="en-US" w:eastAsia="zh-CN" w:bidi="ar-SA"/>
              </w:rPr>
            </w:pPr>
            <w:r>
              <w:rPr>
                <w:rFonts w:hint="eastAsia" w:ascii="宋体" w:hAnsi="宋体" w:eastAsia="黑体" w:cs="Times New Roman"/>
                <w:b w:val="0"/>
                <w:color w:val="000000"/>
                <w:kern w:val="2"/>
                <w:sz w:val="21"/>
                <w:szCs w:val="22"/>
                <w:lang w:val="en-US" w:eastAsia="zh-CN" w:bidi="ar-SA"/>
              </w:rPr>
              <w:t>公司联系人</w:t>
            </w:r>
          </w:p>
        </w:tc>
        <w:tc>
          <w:tcPr>
            <w:tcW w:w="2473" w:type="dxa"/>
            <w:tcBorders>
              <w:top w:val="single" w:color="auto" w:sz="4" w:space="0"/>
              <w:left w:val="single" w:color="auto" w:sz="4" w:space="0"/>
            </w:tcBorders>
            <w:shd w:val="clear" w:color="auto" w:fill="FFFFFF"/>
            <w:noWrap w:val="0"/>
            <w:vAlign w:val="center"/>
          </w:tcPr>
          <w:p w14:paraId="0CBA1E0A">
            <w:pPr>
              <w:keepNext/>
              <w:keepLines/>
              <w:widowControl w:val="0"/>
              <w:spacing w:before="0" w:after="0" w:line="240" w:lineRule="auto"/>
              <w:jc w:val="center"/>
              <w:outlineLvl w:val="1"/>
              <w:rPr>
                <w:rFonts w:hint="eastAsia" w:ascii="宋体" w:hAnsi="宋体" w:eastAsia="黑体" w:cs="Times New Roman"/>
                <w:b w:val="0"/>
                <w:color w:val="000000"/>
                <w:kern w:val="2"/>
                <w:sz w:val="21"/>
                <w:szCs w:val="22"/>
                <w:lang w:val="en-US" w:eastAsia="zh-CN" w:bidi="ar-SA"/>
              </w:rPr>
            </w:pPr>
          </w:p>
        </w:tc>
        <w:tc>
          <w:tcPr>
            <w:tcW w:w="1469" w:type="dxa"/>
            <w:tcBorders>
              <w:top w:val="single" w:color="auto" w:sz="4" w:space="0"/>
              <w:left w:val="single" w:color="auto" w:sz="4" w:space="0"/>
            </w:tcBorders>
            <w:shd w:val="clear" w:color="auto" w:fill="FFFFFF"/>
            <w:noWrap w:val="0"/>
            <w:vAlign w:val="center"/>
          </w:tcPr>
          <w:p w14:paraId="64D285E1">
            <w:pPr>
              <w:keepNext/>
              <w:keepLines/>
              <w:widowControl w:val="0"/>
              <w:spacing w:before="0" w:after="0" w:line="240" w:lineRule="auto"/>
              <w:jc w:val="center"/>
              <w:outlineLvl w:val="1"/>
              <w:rPr>
                <w:rFonts w:ascii="宋体" w:hAnsi="宋体" w:eastAsia="黑体" w:cs="Times New Roman"/>
                <w:b w:val="0"/>
                <w:color w:val="000000"/>
                <w:kern w:val="2"/>
                <w:sz w:val="21"/>
                <w:szCs w:val="22"/>
                <w:lang w:val="en-US" w:eastAsia="zh-CN" w:bidi="ar-SA"/>
              </w:rPr>
            </w:pPr>
          </w:p>
        </w:tc>
        <w:tc>
          <w:tcPr>
            <w:tcW w:w="3591" w:type="dxa"/>
            <w:gridSpan w:val="3"/>
            <w:tcBorders>
              <w:top w:val="single" w:color="auto" w:sz="4" w:space="0"/>
              <w:left w:val="single" w:color="auto" w:sz="4" w:space="0"/>
              <w:right w:val="single" w:color="auto" w:sz="4" w:space="0"/>
            </w:tcBorders>
            <w:shd w:val="clear" w:color="auto" w:fill="FFFFFF"/>
            <w:noWrap w:val="0"/>
            <w:vAlign w:val="center"/>
          </w:tcPr>
          <w:p w14:paraId="60E57CC6">
            <w:pPr>
              <w:keepNext/>
              <w:keepLines/>
              <w:widowControl w:val="0"/>
              <w:spacing w:before="0" w:after="0" w:line="240" w:lineRule="auto"/>
              <w:jc w:val="center"/>
              <w:outlineLvl w:val="1"/>
              <w:rPr>
                <w:rFonts w:hint="default" w:ascii="宋体" w:hAnsi="宋体" w:eastAsia="黑体" w:cs="Times New Roman"/>
                <w:b w:val="0"/>
                <w:color w:val="000000"/>
                <w:kern w:val="2"/>
                <w:sz w:val="21"/>
                <w:szCs w:val="22"/>
                <w:lang w:val="en-US" w:eastAsia="zh-CN" w:bidi="ar-SA"/>
              </w:rPr>
            </w:pPr>
          </w:p>
        </w:tc>
      </w:tr>
      <w:tr w14:paraId="2862E35F">
        <w:tblPrEx>
          <w:tblCellMar>
            <w:top w:w="0" w:type="dxa"/>
            <w:left w:w="10" w:type="dxa"/>
            <w:bottom w:w="0" w:type="dxa"/>
            <w:right w:w="10" w:type="dxa"/>
          </w:tblCellMar>
        </w:tblPrEx>
        <w:trPr>
          <w:trHeight w:val="372" w:hRule="atLeast"/>
          <w:jc w:val="center"/>
        </w:trPr>
        <w:tc>
          <w:tcPr>
            <w:tcW w:w="1538" w:type="dxa"/>
            <w:tcBorders>
              <w:top w:val="single" w:color="auto" w:sz="4" w:space="0"/>
              <w:left w:val="single" w:color="auto" w:sz="4" w:space="0"/>
              <w:bottom w:val="single" w:color="auto" w:sz="4" w:space="0"/>
            </w:tcBorders>
            <w:shd w:val="clear" w:color="auto" w:fill="FFFFFF"/>
            <w:noWrap w:val="0"/>
            <w:vAlign w:val="center"/>
          </w:tcPr>
          <w:p w14:paraId="4996A8E1">
            <w:pPr>
              <w:keepNext/>
              <w:keepLines/>
              <w:widowControl w:val="0"/>
              <w:spacing w:before="0" w:after="0" w:line="240" w:lineRule="auto"/>
              <w:jc w:val="center"/>
              <w:outlineLvl w:val="1"/>
              <w:rPr>
                <w:rFonts w:ascii="宋体" w:hAnsi="宋体" w:eastAsia="黑体" w:cs="Times New Roman"/>
                <w:b w:val="0"/>
                <w:color w:val="000000"/>
                <w:kern w:val="2"/>
                <w:sz w:val="21"/>
                <w:szCs w:val="22"/>
                <w:lang w:val="zh-CN" w:eastAsia="zh-CN" w:bidi="ar-SA"/>
              </w:rPr>
            </w:pPr>
            <w:r>
              <w:rPr>
                <w:rFonts w:hint="eastAsia" w:ascii="宋体" w:hAnsi="宋体" w:eastAsia="黑体" w:cs="Times New Roman"/>
                <w:b w:val="0"/>
                <w:color w:val="000000"/>
                <w:kern w:val="2"/>
                <w:sz w:val="21"/>
                <w:szCs w:val="22"/>
                <w:lang w:val="en-US" w:eastAsia="zh-CN" w:bidi="ar-SA"/>
              </w:rPr>
              <w:t>业务负责人</w:t>
            </w:r>
          </w:p>
        </w:tc>
        <w:tc>
          <w:tcPr>
            <w:tcW w:w="2473" w:type="dxa"/>
            <w:tcBorders>
              <w:top w:val="single" w:color="auto" w:sz="4" w:space="0"/>
              <w:left w:val="single" w:color="auto" w:sz="4" w:space="0"/>
              <w:bottom w:val="single" w:color="auto" w:sz="4" w:space="0"/>
            </w:tcBorders>
            <w:shd w:val="clear" w:color="auto" w:fill="FFFFFF"/>
            <w:noWrap w:val="0"/>
            <w:vAlign w:val="center"/>
          </w:tcPr>
          <w:p w14:paraId="02F90055">
            <w:pPr>
              <w:keepNext/>
              <w:keepLines/>
              <w:widowControl w:val="0"/>
              <w:spacing w:before="0" w:after="0" w:line="240" w:lineRule="auto"/>
              <w:jc w:val="center"/>
              <w:outlineLvl w:val="1"/>
              <w:rPr>
                <w:rFonts w:hint="default" w:ascii="宋体" w:hAnsi="宋体" w:eastAsia="黑体" w:cs="Times New Roman"/>
                <w:b w:val="0"/>
                <w:color w:val="000000"/>
                <w:kern w:val="2"/>
                <w:sz w:val="21"/>
                <w:szCs w:val="22"/>
                <w:lang w:val="en-US" w:eastAsia="zh-CN" w:bidi="ar-SA"/>
              </w:rPr>
            </w:pPr>
          </w:p>
        </w:tc>
        <w:tc>
          <w:tcPr>
            <w:tcW w:w="1469" w:type="dxa"/>
            <w:tcBorders>
              <w:top w:val="single" w:color="auto" w:sz="4" w:space="0"/>
              <w:left w:val="single" w:color="auto" w:sz="4" w:space="0"/>
              <w:bottom w:val="single" w:color="auto" w:sz="4" w:space="0"/>
            </w:tcBorders>
            <w:shd w:val="clear" w:color="auto" w:fill="FFFFFF"/>
            <w:noWrap w:val="0"/>
            <w:vAlign w:val="center"/>
          </w:tcPr>
          <w:p w14:paraId="2AA54599">
            <w:pPr>
              <w:keepNext/>
              <w:keepLines/>
              <w:widowControl w:val="0"/>
              <w:spacing w:before="0" w:after="0" w:line="240" w:lineRule="auto"/>
              <w:jc w:val="center"/>
              <w:outlineLvl w:val="1"/>
              <w:rPr>
                <w:rFonts w:ascii="宋体" w:hAnsi="宋体" w:eastAsia="黑体" w:cs="Times New Roman"/>
                <w:b w:val="0"/>
                <w:color w:val="000000"/>
                <w:kern w:val="2"/>
                <w:sz w:val="21"/>
                <w:szCs w:val="22"/>
                <w:lang w:val="zh-CN" w:eastAsia="zh-CN" w:bidi="ar-SA"/>
              </w:rPr>
            </w:pPr>
          </w:p>
        </w:tc>
        <w:tc>
          <w:tcPr>
            <w:tcW w:w="3591"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272C89">
            <w:pPr>
              <w:keepNext/>
              <w:keepLines/>
              <w:widowControl w:val="0"/>
              <w:spacing w:before="0" w:after="0" w:line="240" w:lineRule="auto"/>
              <w:jc w:val="center"/>
              <w:outlineLvl w:val="1"/>
              <w:rPr>
                <w:rFonts w:hint="default" w:ascii="宋体" w:hAnsi="宋体" w:eastAsia="黑体" w:cs="Times New Roman"/>
                <w:b w:val="0"/>
                <w:color w:val="000000"/>
                <w:kern w:val="2"/>
                <w:sz w:val="21"/>
                <w:szCs w:val="22"/>
                <w:lang w:val="en-US" w:eastAsia="zh-CN" w:bidi="ar-SA"/>
              </w:rPr>
            </w:pPr>
          </w:p>
        </w:tc>
      </w:tr>
    </w:tbl>
    <w:p w14:paraId="11F1E36A">
      <w:pPr>
        <w:keepNext/>
        <w:keepLines/>
        <w:widowControl w:val="0"/>
        <w:spacing w:before="0" w:after="0" w:line="360" w:lineRule="auto"/>
        <w:ind w:firstLine="420" w:firstLineChars="200"/>
        <w:jc w:val="both"/>
        <w:outlineLvl w:val="1"/>
        <w:rPr>
          <w:rFonts w:ascii="宋体" w:hAnsi="宋体" w:eastAsia="黑体" w:cs="Times New Roman"/>
          <w:b w:val="0"/>
          <w:color w:val="000000"/>
          <w:kern w:val="2"/>
          <w:sz w:val="21"/>
          <w:szCs w:val="22"/>
          <w:lang w:val="en-US" w:eastAsia="zh-CN" w:bidi="ar-SA"/>
        </w:rPr>
      </w:pPr>
      <w:r>
        <w:rPr>
          <w:rFonts w:ascii="宋体" w:hAnsi="宋体" w:eastAsia="黑体" w:cs="Times New Roman"/>
          <w:b w:val="0"/>
          <w:color w:val="000000"/>
          <w:kern w:val="2"/>
          <w:sz w:val="21"/>
          <w:szCs w:val="22"/>
          <w:lang w:val="en-US" w:eastAsia="zh-CN" w:bidi="ar-SA"/>
        </w:rPr>
        <w:t>鉴于甲方就</w:t>
      </w:r>
      <w:r>
        <w:rPr>
          <w:rFonts w:hint="eastAsia" w:ascii="宋体" w:hAnsi="宋体" w:eastAsia="黑体" w:cs="Times New Roman"/>
          <w:b w:val="0"/>
          <w:color w:val="000000"/>
          <w:kern w:val="2"/>
          <w:sz w:val="21"/>
          <w:szCs w:val="22"/>
          <w:lang w:val="en-US" w:eastAsia="zh-CN" w:bidi="ar-SA"/>
        </w:rPr>
        <w:t>其</w:t>
      </w:r>
      <w:r>
        <w:rPr>
          <w:rFonts w:ascii="宋体" w:hAnsi="宋体" w:eastAsia="黑体" w:cs="Times New Roman"/>
          <w:b w:val="0"/>
          <w:color w:val="000000"/>
          <w:kern w:val="2"/>
          <w:sz w:val="21"/>
          <w:szCs w:val="22"/>
          <w:lang w:val="en-US" w:eastAsia="zh-CN" w:bidi="ar-SA"/>
        </w:rPr>
        <w:t>产生的危险废物</w:t>
      </w:r>
      <w:r>
        <w:rPr>
          <w:rFonts w:hint="eastAsia" w:ascii="宋体" w:hAnsi="宋体" w:eastAsia="黑体" w:cs="Times New Roman"/>
          <w:b w:val="0"/>
          <w:color w:val="000000"/>
          <w:kern w:val="2"/>
          <w:sz w:val="21"/>
          <w:szCs w:val="22"/>
          <w:lang w:val="en-US" w:eastAsia="zh-CN" w:bidi="ar-SA"/>
        </w:rPr>
        <w:t>需要</w:t>
      </w:r>
      <w:r>
        <w:rPr>
          <w:rFonts w:ascii="宋体" w:hAnsi="宋体" w:eastAsia="黑体" w:cs="Times New Roman"/>
          <w:b w:val="0"/>
          <w:color w:val="000000"/>
          <w:kern w:val="2"/>
          <w:sz w:val="21"/>
          <w:szCs w:val="22"/>
          <w:lang w:val="en-US" w:eastAsia="zh-CN" w:bidi="ar-SA"/>
        </w:rPr>
        <w:t>进行无害化处置，并同意支付相应的处置费用，</w:t>
      </w:r>
      <w:r>
        <w:rPr>
          <w:rFonts w:hint="eastAsia" w:ascii="宋体" w:hAnsi="宋体" w:eastAsia="黑体" w:cs="Times New Roman"/>
          <w:b w:val="0"/>
          <w:color w:val="000000"/>
          <w:kern w:val="2"/>
          <w:sz w:val="21"/>
          <w:szCs w:val="22"/>
          <w:lang w:val="en-US" w:eastAsia="zh-CN" w:bidi="ar-SA"/>
        </w:rPr>
        <w:t>而</w:t>
      </w:r>
      <w:r>
        <w:rPr>
          <w:rFonts w:ascii="宋体" w:hAnsi="宋体" w:eastAsia="黑体" w:cs="Times New Roman"/>
          <w:b w:val="0"/>
          <w:color w:val="000000"/>
          <w:kern w:val="2"/>
          <w:sz w:val="21"/>
          <w:szCs w:val="22"/>
          <w:lang w:val="en-US" w:eastAsia="zh-CN" w:bidi="ar-SA"/>
        </w:rPr>
        <w:t>乙方拥有提供上述</w:t>
      </w:r>
      <w:r>
        <w:rPr>
          <w:rFonts w:hint="eastAsia" w:ascii="宋体" w:hAnsi="宋体" w:eastAsia="黑体" w:cs="Times New Roman"/>
          <w:b w:val="0"/>
          <w:color w:val="000000"/>
          <w:kern w:val="2"/>
          <w:sz w:val="21"/>
          <w:szCs w:val="22"/>
          <w:lang w:val="en-US" w:eastAsia="zh-CN" w:bidi="ar-SA"/>
        </w:rPr>
        <w:t>处置</w:t>
      </w:r>
      <w:r>
        <w:rPr>
          <w:rFonts w:ascii="宋体" w:hAnsi="宋体" w:eastAsia="黑体" w:cs="Times New Roman"/>
          <w:b w:val="0"/>
          <w:color w:val="000000"/>
          <w:kern w:val="2"/>
          <w:sz w:val="21"/>
          <w:szCs w:val="22"/>
          <w:lang w:val="en-US" w:eastAsia="zh-CN" w:bidi="ar-SA"/>
        </w:rPr>
        <w:t>的能力</w:t>
      </w:r>
      <w:r>
        <w:rPr>
          <w:rFonts w:hint="eastAsia" w:ascii="宋体" w:hAnsi="宋体" w:eastAsia="黑体" w:cs="Times New Roman"/>
          <w:b w:val="0"/>
          <w:color w:val="000000"/>
          <w:kern w:val="2"/>
          <w:sz w:val="21"/>
          <w:szCs w:val="22"/>
          <w:lang w:val="en-US" w:eastAsia="zh-CN" w:bidi="ar-SA"/>
        </w:rPr>
        <w:t>及相关资质</w:t>
      </w:r>
      <w:r>
        <w:rPr>
          <w:rFonts w:ascii="宋体" w:hAnsi="宋体" w:eastAsia="黑体" w:cs="Times New Roman"/>
          <w:b w:val="0"/>
          <w:color w:val="000000"/>
          <w:kern w:val="2"/>
          <w:sz w:val="21"/>
          <w:szCs w:val="22"/>
          <w:lang w:val="en-US" w:eastAsia="zh-CN" w:bidi="ar-SA"/>
        </w:rPr>
        <w:t>，并同意</w:t>
      </w:r>
      <w:r>
        <w:rPr>
          <w:rFonts w:hint="eastAsia" w:ascii="宋体" w:hAnsi="宋体" w:eastAsia="黑体" w:cs="Times New Roman"/>
          <w:b w:val="0"/>
          <w:color w:val="000000"/>
          <w:kern w:val="2"/>
          <w:sz w:val="21"/>
          <w:szCs w:val="22"/>
          <w:lang w:val="en-US" w:eastAsia="zh-CN" w:bidi="ar-SA"/>
        </w:rPr>
        <w:t>接收处置</w:t>
      </w:r>
      <w:r>
        <w:rPr>
          <w:rFonts w:ascii="宋体" w:hAnsi="宋体" w:eastAsia="黑体" w:cs="Times New Roman"/>
          <w:b w:val="0"/>
          <w:color w:val="000000"/>
          <w:kern w:val="2"/>
          <w:sz w:val="21"/>
          <w:szCs w:val="22"/>
          <w:lang w:val="en-US" w:eastAsia="zh-CN" w:bidi="ar-SA"/>
        </w:rPr>
        <w:t>甲方</w:t>
      </w:r>
      <w:r>
        <w:rPr>
          <w:rFonts w:hint="eastAsia" w:ascii="宋体" w:hAnsi="宋体" w:eastAsia="黑体" w:cs="Times New Roman"/>
          <w:b w:val="0"/>
          <w:color w:val="000000"/>
          <w:kern w:val="2"/>
          <w:sz w:val="21"/>
          <w:szCs w:val="22"/>
          <w:lang w:val="en-US" w:eastAsia="zh-CN" w:bidi="ar-SA"/>
        </w:rPr>
        <w:t>产生的危险废物</w:t>
      </w:r>
      <w:r>
        <w:rPr>
          <w:rFonts w:ascii="宋体" w:hAnsi="宋体" w:eastAsia="黑体" w:cs="Times New Roman"/>
          <w:b w:val="0"/>
          <w:color w:val="000000"/>
          <w:kern w:val="2"/>
          <w:sz w:val="21"/>
          <w:szCs w:val="22"/>
          <w:lang w:val="en-US" w:eastAsia="zh-CN" w:bidi="ar-SA"/>
        </w:rPr>
        <w:t>。</w:t>
      </w:r>
      <w:r>
        <w:rPr>
          <w:rFonts w:hint="eastAsia" w:ascii="宋体" w:hAnsi="宋体" w:eastAsia="黑体" w:cs="Times New Roman"/>
          <w:b w:val="0"/>
          <w:color w:val="000000"/>
          <w:kern w:val="2"/>
          <w:sz w:val="21"/>
          <w:szCs w:val="22"/>
          <w:lang w:val="en-US" w:eastAsia="zh-CN" w:bidi="ar-SA"/>
        </w:rPr>
        <w:t>甲乙</w:t>
      </w:r>
      <w:r>
        <w:rPr>
          <w:rFonts w:ascii="宋体" w:hAnsi="宋体" w:eastAsia="黑体" w:cs="Times New Roman"/>
          <w:b w:val="0"/>
          <w:color w:val="000000"/>
          <w:kern w:val="2"/>
          <w:sz w:val="21"/>
          <w:szCs w:val="22"/>
          <w:lang w:val="en-US" w:eastAsia="zh-CN" w:bidi="ar-SA"/>
        </w:rPr>
        <w:t>双方经过平等协商，在真实、</w:t>
      </w:r>
      <w:r>
        <w:rPr>
          <w:rFonts w:hint="eastAsia" w:ascii="宋体" w:hAnsi="宋体" w:eastAsia="黑体" w:cs="Times New Roman"/>
          <w:b w:val="0"/>
          <w:color w:val="000000"/>
          <w:kern w:val="2"/>
          <w:sz w:val="21"/>
          <w:szCs w:val="22"/>
          <w:lang w:val="en-US" w:eastAsia="zh-CN" w:bidi="ar-SA"/>
        </w:rPr>
        <w:t>自愿</w:t>
      </w:r>
      <w:r>
        <w:rPr>
          <w:rFonts w:ascii="宋体" w:hAnsi="宋体" w:eastAsia="黑体" w:cs="Times New Roman"/>
          <w:b w:val="0"/>
          <w:color w:val="000000"/>
          <w:kern w:val="2"/>
          <w:sz w:val="21"/>
          <w:szCs w:val="22"/>
          <w:lang w:val="en-US" w:eastAsia="zh-CN" w:bidi="ar-SA"/>
        </w:rPr>
        <w:t>地表达各自意愿的基础上，根据《中华人民共和国</w:t>
      </w:r>
      <w:r>
        <w:rPr>
          <w:rFonts w:hint="eastAsia" w:ascii="宋体" w:hAnsi="宋体" w:eastAsia="黑体" w:cs="Times New Roman"/>
          <w:b w:val="0"/>
          <w:color w:val="000000"/>
          <w:kern w:val="2"/>
          <w:sz w:val="21"/>
          <w:szCs w:val="22"/>
          <w:lang w:val="en-US" w:eastAsia="zh-CN" w:bidi="ar-SA"/>
        </w:rPr>
        <w:t>民法典</w:t>
      </w:r>
      <w:r>
        <w:rPr>
          <w:rFonts w:ascii="宋体" w:hAnsi="宋体" w:eastAsia="黑体" w:cs="Times New Roman"/>
          <w:b w:val="0"/>
          <w:color w:val="000000"/>
          <w:kern w:val="2"/>
          <w:sz w:val="21"/>
          <w:szCs w:val="22"/>
          <w:lang w:val="en-US" w:eastAsia="zh-CN" w:bidi="ar-SA"/>
        </w:rPr>
        <w:t>》</w:t>
      </w:r>
      <w:r>
        <w:rPr>
          <w:rFonts w:hint="eastAsia" w:ascii="宋体" w:hAnsi="宋体" w:eastAsia="黑体" w:cs="Times New Roman"/>
          <w:b w:val="0"/>
          <w:color w:val="000000"/>
          <w:kern w:val="2"/>
          <w:sz w:val="21"/>
          <w:szCs w:val="22"/>
          <w:lang w:val="en-US" w:eastAsia="zh-CN" w:bidi="ar-SA"/>
        </w:rPr>
        <w:t>及相关法律</w:t>
      </w:r>
      <w:r>
        <w:rPr>
          <w:rFonts w:ascii="宋体" w:hAnsi="宋体" w:eastAsia="黑体" w:cs="Times New Roman"/>
          <w:b w:val="0"/>
          <w:color w:val="000000"/>
          <w:kern w:val="2"/>
          <w:sz w:val="21"/>
          <w:szCs w:val="22"/>
          <w:lang w:val="en-US" w:eastAsia="zh-CN" w:bidi="ar-SA"/>
        </w:rPr>
        <w:t>规定，达成如下协议，并由双方共同恪守。</w:t>
      </w:r>
    </w:p>
    <w:p w14:paraId="6A507C08">
      <w:pPr>
        <w:keepNext/>
        <w:keepLines/>
        <w:widowControl w:val="0"/>
        <w:spacing w:before="0" w:after="0" w:line="360" w:lineRule="auto"/>
        <w:jc w:val="both"/>
        <w:outlineLvl w:val="1"/>
        <w:rPr>
          <w:rFonts w:ascii="宋体" w:hAnsi="宋体" w:eastAsia="黑体" w:cs="Times New Roman"/>
          <w:b w:val="0"/>
          <w:color w:val="000000"/>
          <w:kern w:val="2"/>
          <w:sz w:val="21"/>
          <w:szCs w:val="22"/>
          <w:lang w:val="en-US" w:eastAsia="zh-CN" w:bidi="ar-SA"/>
        </w:rPr>
      </w:pPr>
      <w:r>
        <w:rPr>
          <w:rFonts w:ascii="宋体" w:hAnsi="宋体" w:eastAsia="黑体" w:cs="Times New Roman"/>
          <w:b/>
          <w:color w:val="000000"/>
          <w:kern w:val="2"/>
          <w:sz w:val="21"/>
          <w:szCs w:val="22"/>
          <w:lang w:val="en-US" w:eastAsia="zh-CN" w:bidi="ar-SA"/>
        </w:rPr>
        <w:t>第一条</w:t>
      </w:r>
      <w:r>
        <w:rPr>
          <w:rFonts w:hint="eastAsia" w:ascii="宋体" w:hAnsi="宋体" w:eastAsia="黑体" w:cs="Times New Roman"/>
          <w:b w:val="0"/>
          <w:color w:val="000000"/>
          <w:kern w:val="2"/>
          <w:sz w:val="21"/>
          <w:szCs w:val="22"/>
          <w:lang w:val="en-US" w:eastAsia="zh-CN" w:bidi="ar-SA"/>
        </w:rPr>
        <w:t xml:space="preserve">  </w:t>
      </w:r>
      <w:r>
        <w:rPr>
          <w:rFonts w:ascii="宋体" w:hAnsi="宋体" w:eastAsia="黑体" w:cs="Times New Roman"/>
          <w:b w:val="0"/>
          <w:color w:val="000000"/>
          <w:kern w:val="2"/>
          <w:sz w:val="21"/>
          <w:szCs w:val="22"/>
          <w:lang w:val="en-US" w:eastAsia="zh-CN" w:bidi="ar-SA"/>
        </w:rPr>
        <w:t>名词和术语</w:t>
      </w:r>
    </w:p>
    <w:p w14:paraId="58C4CBEE">
      <w:pPr>
        <w:keepNext/>
        <w:keepLines/>
        <w:widowControl w:val="0"/>
        <w:spacing w:before="0" w:after="0" w:line="360" w:lineRule="auto"/>
        <w:ind w:firstLine="420" w:firstLineChars="200"/>
        <w:jc w:val="both"/>
        <w:outlineLvl w:val="1"/>
        <w:rPr>
          <w:rFonts w:ascii="宋体" w:hAnsi="宋体" w:eastAsia="黑体" w:cs="Times New Roman"/>
          <w:b w:val="0"/>
          <w:color w:val="000000"/>
          <w:kern w:val="2"/>
          <w:sz w:val="21"/>
          <w:szCs w:val="22"/>
          <w:lang w:val="en-US" w:eastAsia="zh-CN" w:bidi="ar-SA"/>
        </w:rPr>
      </w:pPr>
      <w:r>
        <w:rPr>
          <w:rFonts w:ascii="宋体" w:hAnsi="宋体" w:eastAsia="黑体" w:cs="Times New Roman"/>
          <w:b w:val="0"/>
          <w:color w:val="000000"/>
          <w:kern w:val="2"/>
          <w:sz w:val="21"/>
          <w:szCs w:val="22"/>
          <w:lang w:val="en-US" w:eastAsia="zh-CN" w:bidi="ar-SA"/>
        </w:rPr>
        <w:t>本合同涉及的名词和术语解释如下：</w:t>
      </w:r>
    </w:p>
    <w:p w14:paraId="0C4AC2A5">
      <w:pPr>
        <w:keepNext/>
        <w:keepLines/>
        <w:widowControl w:val="0"/>
        <w:spacing w:before="0" w:after="0" w:line="360" w:lineRule="auto"/>
        <w:jc w:val="both"/>
        <w:outlineLvl w:val="1"/>
        <w:rPr>
          <w:rFonts w:ascii="宋体" w:hAnsi="宋体" w:eastAsia="黑体" w:cs="Times New Roman"/>
          <w:b w:val="0"/>
          <w:color w:val="000000"/>
          <w:kern w:val="2"/>
          <w:sz w:val="21"/>
          <w:szCs w:val="22"/>
          <w:lang w:val="en-US" w:eastAsia="zh-CN" w:bidi="ar-SA"/>
        </w:rPr>
      </w:pPr>
      <w:r>
        <w:rPr>
          <w:rFonts w:ascii="宋体" w:hAnsi="宋体" w:eastAsia="黑体" w:cs="Times New Roman"/>
          <w:b/>
          <w:bCs/>
          <w:color w:val="000000"/>
          <w:kern w:val="2"/>
          <w:sz w:val="21"/>
          <w:szCs w:val="22"/>
          <w:lang w:val="en-US" w:eastAsia="zh-CN" w:bidi="ar-SA"/>
        </w:rPr>
        <w:t>危险废物</w:t>
      </w:r>
      <w:r>
        <w:rPr>
          <w:rFonts w:ascii="宋体" w:hAnsi="宋体" w:eastAsia="黑体" w:cs="Times New Roman"/>
          <w:b w:val="0"/>
          <w:color w:val="000000"/>
          <w:kern w:val="2"/>
          <w:sz w:val="21"/>
          <w:szCs w:val="22"/>
          <w:lang w:val="en-US" w:eastAsia="zh-CN" w:bidi="ar-SA"/>
        </w:rPr>
        <w:t>：危险废物是指列入国家危险废物名录或者根据国家规定的危险废物鉴别标准和鉴别方法认定的具有危险特性的废物。</w:t>
      </w:r>
    </w:p>
    <w:p w14:paraId="410EEA13">
      <w:pPr>
        <w:keepNext/>
        <w:keepLines/>
        <w:widowControl w:val="0"/>
        <w:spacing w:before="0" w:after="0" w:line="360" w:lineRule="auto"/>
        <w:jc w:val="both"/>
        <w:outlineLvl w:val="1"/>
        <w:rPr>
          <w:rFonts w:ascii="宋体" w:hAnsi="宋体" w:eastAsia="黑体" w:cs="Times New Roman"/>
          <w:b/>
          <w:color w:val="000000"/>
          <w:kern w:val="2"/>
          <w:sz w:val="21"/>
          <w:szCs w:val="22"/>
          <w:lang w:val="en-US" w:eastAsia="zh-CN" w:bidi="ar-SA"/>
        </w:rPr>
      </w:pPr>
      <w:r>
        <w:rPr>
          <w:rFonts w:ascii="宋体" w:hAnsi="宋体" w:eastAsia="黑体" w:cs="Times New Roman"/>
          <w:b/>
          <w:bCs/>
          <w:color w:val="000000"/>
          <w:kern w:val="2"/>
          <w:sz w:val="21"/>
          <w:szCs w:val="22"/>
          <w:lang w:val="en-US" w:eastAsia="zh-CN" w:bidi="ar-SA"/>
        </w:rPr>
        <w:t>处置</w:t>
      </w:r>
      <w:r>
        <w:rPr>
          <w:rFonts w:hint="eastAsia" w:ascii="宋体" w:hAnsi="宋体" w:eastAsia="黑体" w:cs="Times New Roman"/>
          <w:b/>
          <w:bCs/>
          <w:color w:val="000000"/>
          <w:kern w:val="2"/>
          <w:sz w:val="21"/>
          <w:szCs w:val="22"/>
          <w:lang w:val="en-US" w:eastAsia="zh-CN" w:bidi="ar-SA"/>
        </w:rPr>
        <w:t>技术</w:t>
      </w:r>
      <w:r>
        <w:rPr>
          <w:rFonts w:hint="eastAsia" w:ascii="宋体" w:hAnsi="宋体" w:eastAsia="黑体" w:cs="Times New Roman"/>
          <w:b w:val="0"/>
          <w:color w:val="000000"/>
          <w:kern w:val="2"/>
          <w:sz w:val="21"/>
          <w:szCs w:val="22"/>
          <w:lang w:val="en-US" w:eastAsia="zh-CN" w:bidi="ar-SA"/>
        </w:rPr>
        <w:t>：</w:t>
      </w:r>
      <w:r>
        <w:rPr>
          <w:rFonts w:ascii="宋体" w:hAnsi="宋体" w:eastAsia="黑体" w:cs="Times New Roman"/>
          <w:b w:val="0"/>
          <w:color w:val="000000"/>
          <w:kern w:val="2"/>
          <w:sz w:val="21"/>
          <w:szCs w:val="22"/>
          <w:lang w:val="en-US" w:eastAsia="zh-CN" w:bidi="ar-SA"/>
        </w:rPr>
        <w:t>是指将固体废物焚烧和用其他改变固体废物的物理、化学、生物特性的方法，达到减少已产生的固体废物数量、缩小固体废物体积、减少或者消除其危险成份的活动，或者将固体废物最终置于符合环境保护规定要求的填埋场的活动。</w:t>
      </w:r>
    </w:p>
    <w:p w14:paraId="32C8A75D">
      <w:pPr>
        <w:keepNext/>
        <w:keepLines/>
        <w:widowControl w:val="0"/>
        <w:spacing w:before="0" w:after="0" w:line="360" w:lineRule="auto"/>
        <w:jc w:val="both"/>
        <w:outlineLvl w:val="1"/>
        <w:rPr>
          <w:rFonts w:ascii="宋体" w:hAnsi="宋体" w:eastAsia="黑体" w:cs="Times New Roman"/>
          <w:b w:val="0"/>
          <w:color w:val="000000"/>
          <w:kern w:val="2"/>
          <w:sz w:val="21"/>
          <w:szCs w:val="22"/>
          <w:lang w:val="en-US" w:eastAsia="zh-CN" w:bidi="ar-SA"/>
        </w:rPr>
      </w:pPr>
      <w:r>
        <w:rPr>
          <w:rFonts w:ascii="宋体" w:hAnsi="宋体" w:eastAsia="黑体" w:cs="Times New Roman"/>
          <w:b/>
          <w:color w:val="000000"/>
          <w:kern w:val="2"/>
          <w:sz w:val="21"/>
          <w:szCs w:val="22"/>
          <w:lang w:val="en-US" w:eastAsia="zh-CN" w:bidi="ar-SA"/>
        </w:rPr>
        <w:t>第二条</w:t>
      </w:r>
      <w:r>
        <w:rPr>
          <w:rFonts w:hint="eastAsia" w:ascii="宋体" w:hAnsi="宋体" w:eastAsia="黑体" w:cs="Times New Roman"/>
          <w:b/>
          <w:color w:val="000000"/>
          <w:kern w:val="2"/>
          <w:sz w:val="21"/>
          <w:szCs w:val="22"/>
          <w:lang w:val="en-US" w:eastAsia="zh-CN" w:bidi="ar-SA"/>
        </w:rPr>
        <w:t xml:space="preserve"> </w:t>
      </w:r>
      <w:r>
        <w:rPr>
          <w:rFonts w:hint="eastAsia" w:ascii="宋体" w:hAnsi="宋体" w:eastAsia="黑体" w:cs="Times New Roman"/>
          <w:b w:val="0"/>
          <w:color w:val="000000"/>
          <w:kern w:val="2"/>
          <w:sz w:val="21"/>
          <w:szCs w:val="22"/>
          <w:lang w:val="en-US" w:eastAsia="zh-CN" w:bidi="ar-SA"/>
        </w:rPr>
        <w:t xml:space="preserve"> </w:t>
      </w:r>
      <w:r>
        <w:rPr>
          <w:rFonts w:ascii="宋体" w:hAnsi="宋体" w:eastAsia="黑体" w:cs="Times New Roman"/>
          <w:b w:val="0"/>
          <w:color w:val="000000"/>
          <w:kern w:val="2"/>
          <w:sz w:val="21"/>
          <w:szCs w:val="22"/>
          <w:lang w:val="en-US" w:eastAsia="zh-CN" w:bidi="ar-SA"/>
        </w:rPr>
        <w:t>甲方委托乙方处置服务内容：</w:t>
      </w:r>
    </w:p>
    <w:p w14:paraId="516CBDDD">
      <w:pPr>
        <w:keepNext/>
        <w:keepLines/>
        <w:widowControl w:val="0"/>
        <w:spacing w:before="0" w:after="0" w:line="360" w:lineRule="auto"/>
        <w:jc w:val="both"/>
        <w:outlineLvl w:val="1"/>
        <w:rPr>
          <w:rFonts w:ascii="宋体" w:hAnsi="宋体" w:eastAsia="黑体" w:cs="Times New Roman"/>
          <w:b w:val="0"/>
          <w:color w:val="000000"/>
          <w:kern w:val="2"/>
          <w:sz w:val="21"/>
          <w:szCs w:val="22"/>
          <w:lang w:val="en-US" w:eastAsia="zh-CN" w:bidi="ar-SA"/>
        </w:rPr>
      </w:pPr>
      <w:r>
        <w:rPr>
          <w:rFonts w:hint="eastAsia" w:ascii="黑体" w:hAnsi="黑体" w:eastAsia="黑体" w:cs="黑体"/>
          <w:b w:val="0"/>
          <w:color w:val="000000"/>
          <w:kern w:val="2"/>
          <w:sz w:val="21"/>
          <w:szCs w:val="22"/>
          <w:lang w:val="en-US" w:eastAsia="zh-CN" w:bidi="ar-SA"/>
        </w:rPr>
        <w:t>1.</w:t>
      </w:r>
      <w:r>
        <w:rPr>
          <w:rFonts w:ascii="宋体" w:hAnsi="宋体" w:eastAsia="黑体" w:cs="Times New Roman"/>
          <w:b w:val="0"/>
          <w:color w:val="000000"/>
          <w:kern w:val="2"/>
          <w:sz w:val="21"/>
          <w:szCs w:val="22"/>
          <w:lang w:val="en-US" w:eastAsia="zh-CN" w:bidi="ar-SA"/>
        </w:rPr>
        <w:t>处置服务目标：乙方对甲方产生的危险废物</w:t>
      </w:r>
      <w:r>
        <w:rPr>
          <w:rFonts w:hint="eastAsia" w:ascii="宋体" w:hAnsi="宋体" w:eastAsia="黑体" w:cs="Times New Roman"/>
          <w:b w:val="0"/>
          <w:color w:val="000000"/>
          <w:kern w:val="2"/>
          <w:sz w:val="21"/>
          <w:szCs w:val="22"/>
          <w:lang w:val="en-US" w:eastAsia="zh-CN" w:bidi="ar-SA"/>
        </w:rPr>
        <w:t>委托专业危险废物运输车队</w:t>
      </w:r>
      <w:r>
        <w:rPr>
          <w:rFonts w:ascii="宋体" w:hAnsi="宋体" w:eastAsia="黑体" w:cs="Times New Roman"/>
          <w:b w:val="0"/>
          <w:color w:val="000000"/>
          <w:kern w:val="2"/>
          <w:sz w:val="21"/>
          <w:szCs w:val="22"/>
          <w:lang w:val="en-US" w:eastAsia="zh-CN" w:bidi="ar-SA"/>
        </w:rPr>
        <w:t>进行安全运输</w:t>
      </w:r>
      <w:r>
        <w:rPr>
          <w:rFonts w:hint="eastAsia" w:ascii="宋体" w:hAnsi="宋体" w:eastAsia="黑体" w:cs="Times New Roman"/>
          <w:b w:val="0"/>
          <w:color w:val="000000"/>
          <w:kern w:val="2"/>
          <w:sz w:val="21"/>
          <w:szCs w:val="22"/>
          <w:lang w:val="en-US" w:eastAsia="zh-CN" w:bidi="ar-SA"/>
        </w:rPr>
        <w:t>至乙方指定场所，</w:t>
      </w:r>
      <w:r>
        <w:rPr>
          <w:rFonts w:ascii="宋体" w:hAnsi="宋体" w:eastAsia="黑体" w:cs="Times New Roman"/>
          <w:b w:val="0"/>
          <w:color w:val="000000"/>
          <w:kern w:val="2"/>
          <w:sz w:val="21"/>
          <w:szCs w:val="22"/>
          <w:lang w:val="en-US" w:eastAsia="zh-CN" w:bidi="ar-SA"/>
        </w:rPr>
        <w:t>乙方对危险废物进行无害化集中处置。</w:t>
      </w:r>
    </w:p>
    <w:p w14:paraId="2852F94A">
      <w:pPr>
        <w:keepNext/>
        <w:keepLines/>
        <w:widowControl w:val="0"/>
        <w:spacing w:before="0" w:after="0" w:line="360" w:lineRule="auto"/>
        <w:jc w:val="both"/>
        <w:outlineLvl w:val="1"/>
        <w:rPr>
          <w:rFonts w:ascii="宋体" w:hAnsi="宋体" w:eastAsia="黑体" w:cs="Times New Roman"/>
          <w:b w:val="0"/>
          <w:color w:val="000000"/>
          <w:kern w:val="2"/>
          <w:sz w:val="21"/>
          <w:szCs w:val="22"/>
          <w:lang w:val="en-US" w:eastAsia="zh-CN" w:bidi="ar-SA"/>
        </w:rPr>
      </w:pPr>
      <w:r>
        <w:rPr>
          <w:rFonts w:hint="eastAsia" w:ascii="黑体" w:hAnsi="黑体" w:eastAsia="黑体" w:cs="黑体"/>
          <w:b w:val="0"/>
          <w:color w:val="000000"/>
          <w:kern w:val="2"/>
          <w:sz w:val="21"/>
          <w:szCs w:val="22"/>
          <w:lang w:val="en-US" w:eastAsia="zh-CN" w:bidi="ar-SA"/>
        </w:rPr>
        <w:t>2.</w:t>
      </w:r>
      <w:r>
        <w:rPr>
          <w:rFonts w:ascii="宋体" w:hAnsi="宋体" w:eastAsia="黑体" w:cs="Times New Roman"/>
          <w:b w:val="0"/>
          <w:color w:val="000000"/>
          <w:kern w:val="2"/>
          <w:sz w:val="21"/>
          <w:szCs w:val="22"/>
          <w:lang w:val="en-US" w:eastAsia="zh-CN" w:bidi="ar-SA"/>
        </w:rPr>
        <w:t>处置服务内容：</w:t>
      </w:r>
      <w:r>
        <w:rPr>
          <w:rFonts w:hint="eastAsia" w:ascii="宋体" w:hAnsi="宋体" w:eastAsia="黑体" w:cs="Times New Roman"/>
          <w:b w:val="0"/>
          <w:color w:val="000000"/>
          <w:kern w:val="2"/>
          <w:sz w:val="21"/>
          <w:szCs w:val="22"/>
          <w:u w:val="single"/>
          <w:lang w:val="en-US" w:eastAsia="zh-CN" w:bidi="ar-SA"/>
        </w:rPr>
        <w:t xml:space="preserve">                                              </w:t>
      </w:r>
    </w:p>
    <w:p w14:paraId="05DDFF13">
      <w:pPr>
        <w:keepNext/>
        <w:keepLines/>
        <w:widowControl w:val="0"/>
        <w:spacing w:before="0" w:after="0" w:line="360" w:lineRule="auto"/>
        <w:jc w:val="both"/>
        <w:outlineLvl w:val="1"/>
        <w:rPr>
          <w:rFonts w:hint="default" w:ascii="宋体" w:hAnsi="宋体" w:eastAsia="黑体" w:cs="Times New Roman"/>
          <w:b w:val="0"/>
          <w:color w:val="000000"/>
          <w:kern w:val="2"/>
          <w:sz w:val="21"/>
          <w:szCs w:val="22"/>
          <w:u w:val="single"/>
          <w:lang w:val="en-US" w:eastAsia="zh-CN" w:bidi="ar-SA"/>
        </w:rPr>
      </w:pPr>
      <w:r>
        <w:rPr>
          <w:rFonts w:hint="eastAsia" w:ascii="黑体" w:hAnsi="黑体" w:eastAsia="黑体" w:cs="黑体"/>
          <w:b w:val="0"/>
          <w:color w:val="000000"/>
          <w:kern w:val="2"/>
          <w:sz w:val="21"/>
          <w:szCs w:val="22"/>
          <w:lang w:val="en-US" w:eastAsia="zh-CN" w:bidi="ar-SA"/>
        </w:rPr>
        <w:t>3.处置</w:t>
      </w:r>
      <w:r>
        <w:rPr>
          <w:rFonts w:ascii="宋体" w:hAnsi="宋体" w:eastAsia="黑体" w:cs="Times New Roman"/>
          <w:b w:val="0"/>
          <w:color w:val="000000"/>
          <w:kern w:val="2"/>
          <w:sz w:val="21"/>
          <w:szCs w:val="22"/>
          <w:lang w:val="en-US" w:eastAsia="zh-CN" w:bidi="ar-SA"/>
        </w:rPr>
        <w:t>服务的</w:t>
      </w:r>
      <w:r>
        <w:rPr>
          <w:rFonts w:hint="eastAsia" w:ascii="宋体" w:hAnsi="宋体" w:eastAsia="黑体" w:cs="Times New Roman"/>
          <w:b w:val="0"/>
          <w:color w:val="000000"/>
          <w:kern w:val="2"/>
          <w:sz w:val="21"/>
          <w:szCs w:val="22"/>
          <w:lang w:val="en-US" w:eastAsia="zh-CN" w:bidi="ar-SA"/>
        </w:rPr>
        <w:t>期限：</w:t>
      </w:r>
      <w:r>
        <w:rPr>
          <w:rFonts w:hint="eastAsia" w:ascii="宋体" w:hAnsi="宋体" w:eastAsia="黑体" w:cs="Times New Roman"/>
          <w:b w:val="0"/>
          <w:color w:val="000000"/>
          <w:kern w:val="2"/>
          <w:sz w:val="21"/>
          <w:szCs w:val="22"/>
          <w:u w:val="single"/>
          <w:lang w:val="en-US" w:eastAsia="zh-CN" w:bidi="ar-SA"/>
        </w:rPr>
        <w:t xml:space="preserve">                                            </w:t>
      </w:r>
    </w:p>
    <w:p w14:paraId="25A8E2CA">
      <w:pPr>
        <w:keepNext/>
        <w:keepLines/>
        <w:widowControl w:val="0"/>
        <w:spacing w:before="0" w:after="0" w:line="360" w:lineRule="auto"/>
        <w:jc w:val="both"/>
        <w:outlineLvl w:val="1"/>
        <w:rPr>
          <w:rFonts w:ascii="宋体" w:hAnsi="宋体" w:eastAsia="黑体" w:cs="Times New Roman"/>
          <w:b w:val="0"/>
          <w:color w:val="000000"/>
          <w:kern w:val="2"/>
          <w:sz w:val="21"/>
          <w:szCs w:val="22"/>
          <w:lang w:val="en-US" w:eastAsia="zh-CN" w:bidi="ar-SA"/>
        </w:rPr>
      </w:pPr>
      <w:r>
        <w:rPr>
          <w:rFonts w:ascii="宋体" w:hAnsi="宋体" w:eastAsia="黑体" w:cs="Times New Roman"/>
          <w:b/>
          <w:color w:val="000000"/>
          <w:kern w:val="2"/>
          <w:sz w:val="21"/>
          <w:szCs w:val="22"/>
          <w:lang w:val="en-US" w:eastAsia="zh-CN" w:bidi="ar-SA"/>
        </w:rPr>
        <w:t>第三条</w:t>
      </w:r>
      <w:r>
        <w:rPr>
          <w:rFonts w:hint="eastAsia" w:ascii="宋体" w:hAnsi="宋体" w:eastAsia="黑体" w:cs="Times New Roman"/>
          <w:b w:val="0"/>
          <w:color w:val="000000"/>
          <w:kern w:val="2"/>
          <w:sz w:val="21"/>
          <w:szCs w:val="22"/>
          <w:lang w:val="en-US" w:eastAsia="zh-CN" w:bidi="ar-SA"/>
        </w:rPr>
        <w:t xml:space="preserve">  </w:t>
      </w:r>
      <w:r>
        <w:rPr>
          <w:rFonts w:ascii="宋体" w:hAnsi="宋体" w:eastAsia="黑体" w:cs="Times New Roman"/>
          <w:b w:val="0"/>
          <w:color w:val="000000"/>
          <w:kern w:val="2"/>
          <w:sz w:val="21"/>
          <w:szCs w:val="22"/>
          <w:lang w:val="en-US" w:eastAsia="zh-CN" w:bidi="ar-SA"/>
        </w:rPr>
        <w:t>乙方应按下列要求完成处置技术服务工作：</w:t>
      </w:r>
    </w:p>
    <w:p w14:paraId="64F12A8A">
      <w:pPr>
        <w:keepNext/>
        <w:keepLines/>
        <w:widowControl w:val="0"/>
        <w:spacing w:before="0" w:after="0" w:line="360" w:lineRule="auto"/>
        <w:jc w:val="both"/>
        <w:outlineLvl w:val="1"/>
        <w:rPr>
          <w:rFonts w:ascii="宋体" w:hAnsi="宋体" w:eastAsia="黑体" w:cs="Times New Roman"/>
          <w:b w:val="0"/>
          <w:color w:val="000000"/>
          <w:kern w:val="2"/>
          <w:sz w:val="21"/>
          <w:szCs w:val="22"/>
          <w:lang w:val="en-US" w:eastAsia="zh-CN" w:bidi="ar-SA"/>
        </w:rPr>
      </w:pPr>
      <w:r>
        <w:rPr>
          <w:rFonts w:hint="eastAsia" w:ascii="黑体" w:hAnsi="黑体" w:eastAsia="黑体" w:cs="黑体"/>
          <w:b w:val="0"/>
          <w:color w:val="000000"/>
          <w:kern w:val="2"/>
          <w:sz w:val="21"/>
          <w:szCs w:val="22"/>
          <w:lang w:val="en-US" w:eastAsia="zh-CN" w:bidi="ar-SA"/>
        </w:rPr>
        <w:t>1.</w:t>
      </w:r>
      <w:r>
        <w:rPr>
          <w:rFonts w:ascii="宋体" w:hAnsi="宋体" w:eastAsia="黑体" w:cs="Times New Roman"/>
          <w:b w:val="0"/>
          <w:color w:val="000000"/>
          <w:kern w:val="2"/>
          <w:sz w:val="21"/>
          <w:szCs w:val="22"/>
          <w:lang w:val="en-US" w:eastAsia="zh-CN" w:bidi="ar-SA"/>
        </w:rPr>
        <w:t>客户现场服务地点：</w:t>
      </w:r>
      <w:r>
        <w:rPr>
          <w:rFonts w:hint="eastAsia" w:ascii="宋体" w:hAnsi="宋体" w:eastAsia="黑体" w:cs="Times New Roman"/>
          <w:b w:val="0"/>
          <w:color w:val="000000"/>
          <w:kern w:val="2"/>
          <w:sz w:val="21"/>
          <w:szCs w:val="22"/>
          <w:lang w:val="en-US" w:eastAsia="zh-CN" w:bidi="ar-SA"/>
        </w:rPr>
        <w:t>信阳市中心医院东院区、西院区</w:t>
      </w:r>
    </w:p>
    <w:p w14:paraId="3E678D14">
      <w:pPr>
        <w:keepNext/>
        <w:keepLines/>
        <w:widowControl w:val="0"/>
        <w:spacing w:before="0" w:after="0" w:line="360" w:lineRule="auto"/>
        <w:jc w:val="both"/>
        <w:outlineLvl w:val="1"/>
        <w:rPr>
          <w:rFonts w:ascii="宋体" w:hAnsi="宋体" w:eastAsia="黑体" w:cs="Times New Roman"/>
          <w:b w:val="0"/>
          <w:color w:val="000000"/>
          <w:kern w:val="2"/>
          <w:sz w:val="21"/>
          <w:szCs w:val="22"/>
          <w:lang w:val="en-US" w:eastAsia="zh-CN" w:bidi="ar-SA"/>
        </w:rPr>
      </w:pPr>
      <w:r>
        <w:rPr>
          <w:rFonts w:hint="eastAsia" w:ascii="黑体" w:hAnsi="黑体" w:eastAsia="黑体" w:cs="黑体"/>
          <w:b w:val="0"/>
          <w:color w:val="000000"/>
          <w:kern w:val="2"/>
          <w:sz w:val="21"/>
          <w:szCs w:val="22"/>
          <w:lang w:val="en-US" w:eastAsia="zh-CN" w:bidi="ar-SA"/>
        </w:rPr>
        <w:t>2.</w:t>
      </w:r>
      <w:r>
        <w:rPr>
          <w:rFonts w:ascii="宋体" w:hAnsi="宋体" w:eastAsia="黑体" w:cs="Times New Roman"/>
          <w:b w:val="0"/>
          <w:color w:val="000000"/>
          <w:kern w:val="2"/>
          <w:sz w:val="21"/>
          <w:szCs w:val="22"/>
          <w:lang w:val="en-US" w:eastAsia="zh-CN" w:bidi="ar-SA"/>
        </w:rPr>
        <w:t>处置服务进度</w:t>
      </w:r>
      <w:r>
        <w:rPr>
          <w:rFonts w:hint="eastAsia" w:ascii="宋体" w:hAnsi="宋体" w:eastAsia="黑体" w:cs="Times New Roman"/>
          <w:b w:val="0"/>
          <w:color w:val="000000"/>
          <w:kern w:val="2"/>
          <w:sz w:val="21"/>
          <w:szCs w:val="22"/>
          <w:lang w:val="en-US" w:eastAsia="zh-CN" w:bidi="ar-SA"/>
        </w:rPr>
        <w:t>：</w:t>
      </w:r>
      <w:r>
        <w:rPr>
          <w:rFonts w:ascii="宋体" w:hAnsi="宋体" w:eastAsia="黑体" w:cs="Times New Roman"/>
          <w:b w:val="0"/>
          <w:color w:val="000000"/>
          <w:kern w:val="2"/>
          <w:sz w:val="21"/>
          <w:szCs w:val="22"/>
          <w:lang w:val="en-US" w:eastAsia="zh-CN" w:bidi="ar-SA"/>
        </w:rPr>
        <w:t>按甲</w:t>
      </w:r>
      <w:r>
        <w:rPr>
          <w:rFonts w:hint="eastAsia" w:ascii="宋体" w:hAnsi="宋体" w:eastAsia="黑体" w:cs="Times New Roman"/>
          <w:b w:val="0"/>
          <w:color w:val="000000"/>
          <w:kern w:val="2"/>
          <w:sz w:val="21"/>
          <w:szCs w:val="22"/>
          <w:lang w:val="en-US" w:eastAsia="zh-CN" w:bidi="ar-SA"/>
        </w:rPr>
        <w:t>方要求的</w:t>
      </w:r>
      <w:r>
        <w:rPr>
          <w:rFonts w:ascii="宋体" w:hAnsi="宋体" w:eastAsia="黑体" w:cs="Times New Roman"/>
          <w:b w:val="0"/>
          <w:color w:val="000000"/>
          <w:kern w:val="2"/>
          <w:sz w:val="21"/>
          <w:szCs w:val="22"/>
          <w:lang w:val="en-US" w:eastAsia="zh-CN" w:bidi="ar-SA"/>
        </w:rPr>
        <w:t>进度进行。</w:t>
      </w:r>
    </w:p>
    <w:p w14:paraId="23AF311C">
      <w:pPr>
        <w:keepNext/>
        <w:keepLines/>
        <w:widowControl w:val="0"/>
        <w:spacing w:before="0" w:after="0" w:line="360" w:lineRule="auto"/>
        <w:jc w:val="both"/>
        <w:outlineLvl w:val="1"/>
        <w:rPr>
          <w:rFonts w:ascii="宋体" w:hAnsi="宋体" w:eastAsia="黑体" w:cs="Times New Roman"/>
          <w:b w:val="0"/>
          <w:color w:val="000000"/>
          <w:kern w:val="2"/>
          <w:sz w:val="21"/>
          <w:szCs w:val="22"/>
          <w:lang w:val="en-US" w:eastAsia="zh-CN" w:bidi="ar-SA"/>
        </w:rPr>
      </w:pPr>
      <w:r>
        <w:rPr>
          <w:rFonts w:hint="eastAsia" w:ascii="黑体" w:hAnsi="黑体" w:eastAsia="黑体" w:cs="黑体"/>
          <w:b w:val="0"/>
          <w:color w:val="000000"/>
          <w:kern w:val="2"/>
          <w:sz w:val="21"/>
          <w:szCs w:val="22"/>
          <w:lang w:val="en-US" w:eastAsia="zh-CN" w:bidi="ar-SA"/>
        </w:rPr>
        <w:t>3.</w:t>
      </w:r>
      <w:r>
        <w:rPr>
          <w:rFonts w:ascii="宋体" w:hAnsi="宋体" w:eastAsia="黑体" w:cs="Times New Roman"/>
          <w:b w:val="0"/>
          <w:color w:val="000000"/>
          <w:kern w:val="2"/>
          <w:sz w:val="21"/>
          <w:szCs w:val="22"/>
          <w:lang w:val="en-US" w:eastAsia="zh-CN" w:bidi="ar-SA"/>
        </w:rPr>
        <w:t>处置服务质量要求：符合国家</w:t>
      </w:r>
      <w:r>
        <w:rPr>
          <w:rFonts w:hint="eastAsia" w:ascii="宋体" w:hAnsi="宋体" w:eastAsia="黑体" w:cs="Times New Roman"/>
          <w:b w:val="0"/>
          <w:color w:val="000000"/>
          <w:kern w:val="2"/>
          <w:sz w:val="21"/>
          <w:szCs w:val="22"/>
          <w:lang w:val="en-US" w:eastAsia="zh-CN" w:bidi="ar-SA"/>
        </w:rPr>
        <w:t>及地方</w:t>
      </w:r>
      <w:r>
        <w:rPr>
          <w:rFonts w:ascii="宋体" w:hAnsi="宋体" w:eastAsia="黑体" w:cs="Times New Roman"/>
          <w:b w:val="0"/>
          <w:color w:val="000000"/>
          <w:kern w:val="2"/>
          <w:sz w:val="21"/>
          <w:szCs w:val="22"/>
          <w:lang w:val="en-US" w:eastAsia="zh-CN" w:bidi="ar-SA"/>
        </w:rPr>
        <w:t>的有关环保/安全/职业健康等方面的法律/法规/行业标准。</w:t>
      </w:r>
    </w:p>
    <w:p w14:paraId="5665E0ED">
      <w:pPr>
        <w:keepNext/>
        <w:keepLines/>
        <w:widowControl w:val="0"/>
        <w:spacing w:before="0" w:after="0" w:line="360" w:lineRule="auto"/>
        <w:jc w:val="both"/>
        <w:outlineLvl w:val="1"/>
        <w:rPr>
          <w:rFonts w:ascii="宋体" w:hAnsi="宋体" w:eastAsia="黑体" w:cs="Times New Roman"/>
          <w:b w:val="0"/>
          <w:color w:val="000000"/>
          <w:kern w:val="2"/>
          <w:sz w:val="21"/>
          <w:szCs w:val="22"/>
          <w:lang w:val="en-US" w:eastAsia="zh-CN" w:bidi="ar-SA"/>
        </w:rPr>
      </w:pPr>
      <w:r>
        <w:rPr>
          <w:rFonts w:hint="eastAsia" w:ascii="黑体" w:hAnsi="黑体" w:eastAsia="黑体" w:cs="黑体"/>
          <w:b w:val="0"/>
          <w:color w:val="000000"/>
          <w:kern w:val="2"/>
          <w:sz w:val="21"/>
          <w:szCs w:val="22"/>
          <w:lang w:val="en-US" w:eastAsia="zh-CN" w:bidi="ar-SA"/>
        </w:rPr>
        <w:t>4.</w:t>
      </w:r>
      <w:r>
        <w:rPr>
          <w:rFonts w:ascii="宋体" w:hAnsi="宋体" w:eastAsia="黑体" w:cs="Times New Roman"/>
          <w:b w:val="0"/>
          <w:color w:val="000000"/>
          <w:kern w:val="2"/>
          <w:sz w:val="21"/>
          <w:szCs w:val="22"/>
          <w:lang w:val="en-US" w:eastAsia="zh-CN" w:bidi="ar-SA"/>
        </w:rPr>
        <w:t>乙方</w:t>
      </w:r>
      <w:r>
        <w:rPr>
          <w:rFonts w:hint="eastAsia" w:ascii="宋体" w:hAnsi="宋体" w:eastAsia="黑体" w:cs="Times New Roman"/>
          <w:b w:val="0"/>
          <w:color w:val="000000"/>
          <w:kern w:val="2"/>
          <w:sz w:val="21"/>
          <w:szCs w:val="22"/>
          <w:lang w:val="en-US" w:eastAsia="zh-CN" w:bidi="ar-SA"/>
        </w:rPr>
        <w:t>委派</w:t>
      </w:r>
      <w:r>
        <w:rPr>
          <w:rFonts w:ascii="宋体" w:hAnsi="宋体" w:eastAsia="黑体" w:cs="Times New Roman"/>
          <w:b w:val="0"/>
          <w:color w:val="000000"/>
          <w:kern w:val="2"/>
          <w:sz w:val="21"/>
          <w:szCs w:val="22"/>
          <w:lang w:val="en-US" w:eastAsia="zh-CN" w:bidi="ar-SA"/>
        </w:rPr>
        <w:t>运输车辆的司机和有关人员，在甲方</w:t>
      </w:r>
      <w:r>
        <w:rPr>
          <w:rFonts w:hint="eastAsia" w:ascii="宋体" w:hAnsi="宋体" w:eastAsia="黑体" w:cs="Times New Roman"/>
          <w:b w:val="0"/>
          <w:color w:val="000000"/>
          <w:kern w:val="2"/>
          <w:sz w:val="21"/>
          <w:szCs w:val="22"/>
          <w:lang w:val="en-US" w:eastAsia="zh-CN" w:bidi="ar-SA"/>
        </w:rPr>
        <w:t>院</w:t>
      </w:r>
      <w:r>
        <w:rPr>
          <w:rFonts w:ascii="宋体" w:hAnsi="宋体" w:eastAsia="黑体" w:cs="Times New Roman"/>
          <w:b w:val="0"/>
          <w:color w:val="000000"/>
          <w:kern w:val="2"/>
          <w:sz w:val="21"/>
          <w:szCs w:val="22"/>
          <w:lang w:val="en-US" w:eastAsia="zh-CN" w:bidi="ar-SA"/>
        </w:rPr>
        <w:t>区内应文明作业，按照甲方</w:t>
      </w:r>
      <w:r>
        <w:rPr>
          <w:rFonts w:hint="eastAsia" w:ascii="宋体" w:hAnsi="宋体" w:eastAsia="黑体" w:cs="Times New Roman"/>
          <w:b w:val="0"/>
          <w:color w:val="000000"/>
          <w:kern w:val="2"/>
          <w:sz w:val="21"/>
          <w:szCs w:val="22"/>
          <w:lang w:val="en-US" w:eastAsia="zh-CN" w:bidi="ar-SA"/>
        </w:rPr>
        <w:t>规章制度</w:t>
      </w:r>
      <w:r>
        <w:rPr>
          <w:rFonts w:ascii="宋体" w:hAnsi="宋体" w:eastAsia="黑体" w:cs="Times New Roman"/>
          <w:b w:val="0"/>
          <w:color w:val="000000"/>
          <w:kern w:val="2"/>
          <w:sz w:val="21"/>
          <w:szCs w:val="22"/>
          <w:lang w:val="en-US" w:eastAsia="zh-CN" w:bidi="ar-SA"/>
        </w:rPr>
        <w:t>操作，遵守国家有关法律法规及甲方的安全生产管理制度，如违规作业引发的人身设备</w:t>
      </w:r>
      <w:r>
        <w:rPr>
          <w:rFonts w:hint="eastAsia" w:ascii="宋体" w:hAnsi="宋体" w:eastAsia="黑体" w:cs="Times New Roman"/>
          <w:b w:val="0"/>
          <w:color w:val="000000"/>
          <w:kern w:val="2"/>
          <w:sz w:val="21"/>
          <w:szCs w:val="22"/>
          <w:lang w:val="en-US" w:eastAsia="zh-CN" w:bidi="ar-SA"/>
        </w:rPr>
        <w:t>及</w:t>
      </w:r>
      <w:r>
        <w:rPr>
          <w:rFonts w:ascii="宋体" w:hAnsi="宋体" w:eastAsia="黑体" w:cs="Times New Roman"/>
          <w:b w:val="0"/>
          <w:color w:val="000000"/>
          <w:kern w:val="2"/>
          <w:sz w:val="21"/>
          <w:szCs w:val="22"/>
          <w:lang w:val="en-US" w:eastAsia="zh-CN" w:bidi="ar-SA"/>
        </w:rPr>
        <w:t>安全事故的</w:t>
      </w:r>
      <w:r>
        <w:rPr>
          <w:rFonts w:hint="eastAsia" w:ascii="宋体" w:hAnsi="宋体" w:eastAsia="黑体" w:cs="Times New Roman"/>
          <w:b w:val="0"/>
          <w:color w:val="000000"/>
          <w:kern w:val="2"/>
          <w:sz w:val="21"/>
          <w:szCs w:val="22"/>
          <w:lang w:val="en-US" w:eastAsia="zh-CN" w:bidi="ar-SA"/>
        </w:rPr>
        <w:t>责</w:t>
      </w:r>
      <w:r>
        <w:rPr>
          <w:rFonts w:ascii="宋体" w:hAnsi="宋体" w:eastAsia="黑体" w:cs="Times New Roman"/>
          <w:b w:val="0"/>
          <w:color w:val="000000"/>
          <w:kern w:val="2"/>
          <w:sz w:val="21"/>
          <w:szCs w:val="22"/>
          <w:lang w:val="en-US" w:eastAsia="zh-CN" w:bidi="ar-SA"/>
        </w:rPr>
        <w:t>任、损失由乙方承担。</w:t>
      </w:r>
    </w:p>
    <w:p w14:paraId="12D47E27">
      <w:pPr>
        <w:keepNext/>
        <w:keepLines/>
        <w:widowControl w:val="0"/>
        <w:spacing w:before="0" w:after="0" w:line="360" w:lineRule="auto"/>
        <w:jc w:val="both"/>
        <w:outlineLvl w:val="1"/>
        <w:rPr>
          <w:rFonts w:ascii="宋体" w:hAnsi="宋体" w:eastAsia="黑体" w:cs="Times New Roman"/>
          <w:b w:val="0"/>
          <w:color w:val="000000"/>
          <w:kern w:val="2"/>
          <w:sz w:val="21"/>
          <w:szCs w:val="22"/>
          <w:lang w:val="en-US" w:eastAsia="zh-CN" w:bidi="ar-SA"/>
        </w:rPr>
      </w:pPr>
      <w:r>
        <w:rPr>
          <w:rFonts w:ascii="宋体" w:hAnsi="宋体" w:eastAsia="黑体" w:cs="Times New Roman"/>
          <w:b/>
          <w:color w:val="000000"/>
          <w:kern w:val="2"/>
          <w:sz w:val="21"/>
          <w:szCs w:val="22"/>
          <w:lang w:val="en-US" w:eastAsia="zh-CN" w:bidi="ar-SA"/>
        </w:rPr>
        <w:t>第四条</w:t>
      </w:r>
      <w:r>
        <w:rPr>
          <w:rFonts w:hint="eastAsia" w:ascii="宋体" w:hAnsi="宋体" w:eastAsia="黑体" w:cs="Times New Roman"/>
          <w:b w:val="0"/>
          <w:color w:val="000000"/>
          <w:kern w:val="2"/>
          <w:sz w:val="21"/>
          <w:szCs w:val="22"/>
          <w:lang w:val="en-US" w:eastAsia="zh-CN" w:bidi="ar-SA"/>
        </w:rPr>
        <w:t xml:space="preserve">  </w:t>
      </w:r>
      <w:r>
        <w:rPr>
          <w:rFonts w:ascii="宋体" w:hAnsi="宋体" w:eastAsia="黑体" w:cs="Times New Roman"/>
          <w:b w:val="0"/>
          <w:color w:val="000000"/>
          <w:kern w:val="2"/>
          <w:sz w:val="21"/>
          <w:szCs w:val="22"/>
          <w:lang w:val="en-US" w:eastAsia="zh-CN" w:bidi="ar-SA"/>
        </w:rPr>
        <w:t>为保证乙方有效进行处置技术服务工作，甲方应当向乙方提供下列工作条件和事项：</w:t>
      </w:r>
    </w:p>
    <w:p w14:paraId="61C5DD4A">
      <w:pPr>
        <w:keepNext/>
        <w:keepLines/>
        <w:widowControl w:val="0"/>
        <w:spacing w:before="0" w:after="0" w:line="360" w:lineRule="auto"/>
        <w:jc w:val="both"/>
        <w:outlineLvl w:val="1"/>
        <w:rPr>
          <w:rFonts w:hint="eastAsia" w:ascii="宋体" w:hAnsi="宋体" w:eastAsia="黑体" w:cs="Times New Roman"/>
          <w:b w:val="0"/>
          <w:color w:val="000000"/>
          <w:kern w:val="2"/>
          <w:sz w:val="21"/>
          <w:szCs w:val="22"/>
          <w:lang w:val="en-US" w:eastAsia="zh-CN" w:bidi="ar-SA"/>
        </w:rPr>
      </w:pPr>
      <w:r>
        <w:rPr>
          <w:rFonts w:hint="eastAsia" w:ascii="黑体" w:hAnsi="黑体" w:eastAsia="黑体" w:cs="黑体"/>
          <w:b w:val="0"/>
          <w:color w:val="000000"/>
          <w:kern w:val="2"/>
          <w:sz w:val="21"/>
          <w:szCs w:val="22"/>
          <w:lang w:val="en-US" w:eastAsia="zh-CN" w:bidi="ar-SA"/>
        </w:rPr>
        <w:t>1.</w:t>
      </w:r>
      <w:r>
        <w:rPr>
          <w:rFonts w:ascii="宋体" w:hAnsi="宋体" w:eastAsia="黑体" w:cs="Times New Roman"/>
          <w:b w:val="0"/>
          <w:color w:val="000000"/>
          <w:kern w:val="2"/>
          <w:sz w:val="21"/>
          <w:szCs w:val="22"/>
          <w:lang w:val="en-US" w:eastAsia="zh-CN" w:bidi="ar-SA"/>
        </w:rPr>
        <w:t>提供技术资料</w:t>
      </w:r>
      <w:r>
        <w:rPr>
          <w:rFonts w:ascii="宋体" w:hAnsi="宋体" w:eastAsia="黑体" w:cs="Times New Roman"/>
          <w:b w:val="0"/>
          <w:color w:val="000000"/>
          <w:kern w:val="2"/>
          <w:sz w:val="21"/>
          <w:szCs w:val="22"/>
          <w:vertAlign w:val="subscript"/>
          <w:lang w:val="en-US" w:eastAsia="zh-CN" w:bidi="ar-SA"/>
        </w:rPr>
        <w:t>：</w:t>
      </w:r>
      <w:r>
        <w:rPr>
          <w:rFonts w:ascii="宋体" w:hAnsi="宋体" w:eastAsia="黑体" w:cs="Times New Roman"/>
          <w:b w:val="0"/>
          <w:color w:val="000000"/>
          <w:kern w:val="2"/>
          <w:sz w:val="21"/>
          <w:szCs w:val="22"/>
          <w:lang w:val="en-US" w:eastAsia="zh-CN" w:bidi="ar-SA"/>
        </w:rPr>
        <w:t>有关危险废物的基本信息（包括危险废物的产生工艺、主要成分、物理形态、包装物情况、预计转移数量、必要的安全预防措施等）</w:t>
      </w:r>
      <w:bookmarkStart w:id="102" w:name="_Hlk33520626"/>
      <w:r>
        <w:rPr>
          <w:rFonts w:hint="eastAsia" w:ascii="宋体" w:hAnsi="宋体" w:eastAsia="黑体" w:cs="Times New Roman"/>
          <w:b w:val="0"/>
          <w:color w:val="000000"/>
          <w:kern w:val="2"/>
          <w:sz w:val="21"/>
          <w:szCs w:val="22"/>
          <w:lang w:val="en-US" w:eastAsia="zh-CN" w:bidi="ar-SA"/>
        </w:rPr>
        <w:t>。</w:t>
      </w:r>
    </w:p>
    <w:p w14:paraId="4788522F">
      <w:pPr>
        <w:keepNext/>
        <w:keepLines/>
        <w:widowControl w:val="0"/>
        <w:spacing w:before="0" w:after="0" w:line="360" w:lineRule="auto"/>
        <w:jc w:val="both"/>
        <w:outlineLvl w:val="1"/>
        <w:rPr>
          <w:rFonts w:hint="default" w:ascii="宋体" w:hAnsi="宋体" w:eastAsia="黑体" w:cs="Times New Roman"/>
          <w:b w:val="0"/>
          <w:color w:val="000000"/>
          <w:kern w:val="2"/>
          <w:sz w:val="21"/>
          <w:szCs w:val="22"/>
          <w:lang w:val="en-US" w:eastAsia="zh-CN" w:bidi="ar-SA"/>
        </w:rPr>
      </w:pPr>
      <w:r>
        <w:rPr>
          <w:rFonts w:hint="eastAsia" w:ascii="宋体" w:hAnsi="宋体" w:eastAsia="黑体" w:cs="Times New Roman"/>
          <w:b w:val="0"/>
          <w:color w:val="000000"/>
          <w:kern w:val="2"/>
          <w:sz w:val="21"/>
          <w:szCs w:val="22"/>
          <w:lang w:val="en-US" w:eastAsia="zh-CN" w:bidi="ar-SA"/>
        </w:rPr>
        <w:t>2.水电费由甲方承担。</w:t>
      </w:r>
    </w:p>
    <w:bookmarkEnd w:id="102"/>
    <w:p w14:paraId="65C873F8">
      <w:pPr>
        <w:keepNext/>
        <w:keepLines/>
        <w:widowControl w:val="0"/>
        <w:spacing w:before="0" w:after="0" w:line="360" w:lineRule="auto"/>
        <w:jc w:val="both"/>
        <w:outlineLvl w:val="1"/>
        <w:rPr>
          <w:rFonts w:ascii="宋体" w:hAnsi="宋体" w:eastAsia="黑体" w:cs="Times New Roman"/>
          <w:b w:val="0"/>
          <w:color w:val="000000"/>
          <w:kern w:val="2"/>
          <w:sz w:val="21"/>
          <w:szCs w:val="22"/>
          <w:lang w:val="en-US" w:eastAsia="zh-CN" w:bidi="ar-SA"/>
        </w:rPr>
      </w:pPr>
      <w:r>
        <w:rPr>
          <w:rFonts w:ascii="宋体" w:hAnsi="宋体" w:eastAsia="黑体" w:cs="Times New Roman"/>
          <w:b/>
          <w:color w:val="000000"/>
          <w:kern w:val="2"/>
          <w:sz w:val="21"/>
          <w:szCs w:val="22"/>
          <w:lang w:val="en-US" w:eastAsia="zh-CN" w:bidi="ar-SA"/>
        </w:rPr>
        <w:t>第</w:t>
      </w:r>
      <w:r>
        <w:rPr>
          <w:rFonts w:hint="eastAsia" w:ascii="宋体" w:hAnsi="宋体" w:eastAsia="黑体" w:cs="Times New Roman"/>
          <w:b/>
          <w:color w:val="000000"/>
          <w:kern w:val="2"/>
          <w:sz w:val="21"/>
          <w:szCs w:val="22"/>
          <w:lang w:val="en-US" w:eastAsia="zh-CN" w:bidi="ar-SA"/>
        </w:rPr>
        <w:t>五</w:t>
      </w:r>
      <w:r>
        <w:rPr>
          <w:rFonts w:ascii="宋体" w:hAnsi="宋体" w:eastAsia="黑体" w:cs="Times New Roman"/>
          <w:b/>
          <w:color w:val="000000"/>
          <w:kern w:val="2"/>
          <w:sz w:val="21"/>
          <w:szCs w:val="22"/>
          <w:lang w:val="en-US" w:eastAsia="zh-CN" w:bidi="ar-SA"/>
        </w:rPr>
        <w:t>条</w:t>
      </w:r>
      <w:r>
        <w:rPr>
          <w:rFonts w:hint="eastAsia" w:ascii="宋体" w:hAnsi="宋体" w:eastAsia="黑体" w:cs="Times New Roman"/>
          <w:b w:val="0"/>
          <w:color w:val="000000"/>
          <w:kern w:val="2"/>
          <w:sz w:val="21"/>
          <w:szCs w:val="22"/>
          <w:lang w:val="en-US" w:eastAsia="zh-CN" w:bidi="ar-SA"/>
        </w:rPr>
        <w:t xml:space="preserve"> 处置服务费及支付方式：</w:t>
      </w:r>
    </w:p>
    <w:p w14:paraId="24D3F5CF">
      <w:pPr>
        <w:keepNext/>
        <w:keepLines/>
        <w:widowControl w:val="0"/>
        <w:spacing w:before="0" w:after="0" w:line="360" w:lineRule="auto"/>
        <w:jc w:val="both"/>
        <w:outlineLvl w:val="1"/>
        <w:rPr>
          <w:rFonts w:ascii="宋体" w:hAnsi="宋体" w:eastAsia="黑体" w:cs="Times New Roman"/>
          <w:b w:val="0"/>
          <w:color w:val="000000"/>
          <w:kern w:val="2"/>
          <w:sz w:val="21"/>
          <w:szCs w:val="22"/>
          <w:lang w:val="en-US" w:eastAsia="zh-CN" w:bidi="ar-SA"/>
        </w:rPr>
      </w:pPr>
      <w:r>
        <w:rPr>
          <w:rFonts w:hint="eastAsia" w:ascii="宋体" w:hAnsi="宋体" w:eastAsia="黑体" w:cs="Times New Roman"/>
          <w:b w:val="0"/>
          <w:color w:val="000000"/>
          <w:kern w:val="2"/>
          <w:sz w:val="21"/>
          <w:szCs w:val="22"/>
          <w:lang w:val="en-US" w:eastAsia="zh-CN" w:bidi="ar-SA"/>
        </w:rPr>
        <w:t>1.处置服务费计算方式：</w:t>
      </w:r>
    </w:p>
    <w:p w14:paraId="3F1575FA">
      <w:pPr>
        <w:keepNext/>
        <w:keepLines/>
        <w:widowControl w:val="0"/>
        <w:spacing w:before="0" w:after="0" w:line="360" w:lineRule="auto"/>
        <w:jc w:val="both"/>
        <w:outlineLvl w:val="1"/>
        <w:rPr>
          <w:rFonts w:ascii="宋体" w:hAnsi="宋体" w:eastAsia="黑体" w:cs="Times New Roman"/>
          <w:b w:val="0"/>
          <w:color w:val="000000"/>
          <w:kern w:val="2"/>
          <w:sz w:val="21"/>
          <w:szCs w:val="22"/>
          <w:lang w:val="en-US" w:eastAsia="zh-CN" w:bidi="ar-SA"/>
        </w:rPr>
      </w:pPr>
      <w:r>
        <w:rPr>
          <w:rFonts w:hint="eastAsia" w:ascii="宋体" w:hAnsi="宋体" w:eastAsia="黑体" w:cs="Times New Roman"/>
          <w:b w:val="0"/>
          <w:color w:val="000000"/>
          <w:kern w:val="2"/>
          <w:sz w:val="21"/>
          <w:szCs w:val="22"/>
          <w:lang w:val="en-US" w:eastAsia="zh-CN" w:bidi="ar-SA"/>
        </w:rPr>
        <w:t>乙方在服务期内负责东、西、淮滨院区化粪池、窨井和排水沟清淤、打包、装车、运输、处置的工作。</w:t>
      </w:r>
    </w:p>
    <w:p w14:paraId="694E4FA2">
      <w:pPr>
        <w:pStyle w:val="72"/>
        <w:spacing w:line="451" w:lineRule="exact"/>
        <w:ind w:firstLine="0"/>
        <w:jc w:val="left"/>
        <w:rPr>
          <w:rFonts w:ascii="黑体" w:hAnsi="黑体" w:eastAsia="黑体" w:cs="黑体"/>
          <w:color w:val="000000"/>
          <w:sz w:val="21"/>
          <w:szCs w:val="22"/>
          <w:highlight w:val="none"/>
          <w:lang w:val="en-US" w:eastAsia="zh-CN" w:bidi="ar-SA"/>
        </w:rPr>
      </w:pPr>
      <w:r>
        <w:rPr>
          <w:rFonts w:hint="eastAsia" w:ascii="黑体" w:hAnsi="黑体" w:eastAsia="黑体" w:cs="黑体"/>
          <w:color w:val="000000"/>
          <w:sz w:val="21"/>
          <w:szCs w:val="22"/>
          <w:highlight w:val="none"/>
          <w:lang w:val="en-US" w:eastAsia="zh-CN" w:bidi="ar-SA"/>
        </w:rPr>
        <w:t xml:space="preserve">具体实施内容如下：  </w:t>
      </w:r>
    </w:p>
    <w:p w14:paraId="7D62FF69">
      <w:pPr>
        <w:pStyle w:val="72"/>
        <w:shd w:val="clear" w:color="auto" w:fill="auto"/>
        <w:spacing w:line="451" w:lineRule="exact"/>
        <w:ind w:left="0" w:leftChars="0" w:firstLine="0" w:firstLineChars="0"/>
        <w:jc w:val="left"/>
        <w:rPr>
          <w:rFonts w:hint="eastAsia" w:ascii="黑体" w:hAnsi="黑体" w:eastAsia="黑体" w:cs="黑体"/>
          <w:color w:val="000000"/>
          <w:sz w:val="21"/>
          <w:szCs w:val="22"/>
          <w:highlight w:val="none"/>
          <w:lang w:val="en-US" w:eastAsia="zh-CN" w:bidi="ar-SA"/>
        </w:rPr>
      </w:pPr>
      <w:r>
        <w:rPr>
          <w:rFonts w:hint="eastAsia" w:ascii="黑体" w:hAnsi="黑体" w:eastAsia="黑体" w:cs="黑体"/>
          <w:color w:val="000000"/>
          <w:sz w:val="21"/>
          <w:szCs w:val="22"/>
          <w:highlight w:val="none"/>
          <w:lang w:val="en-US" w:eastAsia="zh-CN" w:bidi="ar-SA"/>
        </w:rPr>
        <w:t xml:space="preserve">据甲方要求清掏所属污化粪池、窨井和排水沟，每季度深度清掏一次。 </w:t>
      </w:r>
    </w:p>
    <w:p w14:paraId="0032FE96">
      <w:pPr>
        <w:pStyle w:val="72"/>
        <w:shd w:val="clear" w:color="auto" w:fill="auto"/>
        <w:spacing w:line="451" w:lineRule="exact"/>
        <w:ind w:left="0" w:leftChars="0" w:firstLine="0" w:firstLineChars="0"/>
        <w:jc w:val="left"/>
        <w:rPr>
          <w:rFonts w:hint="eastAsia" w:ascii="黑体" w:hAnsi="黑体" w:eastAsia="黑体" w:cs="黑体"/>
          <w:color w:val="000000"/>
          <w:sz w:val="21"/>
          <w:szCs w:val="22"/>
          <w:highlight w:val="none"/>
          <w:lang w:val="en-US" w:eastAsia="zh-CN" w:bidi="ar-SA"/>
        </w:rPr>
      </w:pPr>
      <w:r>
        <w:rPr>
          <w:rFonts w:hint="eastAsia" w:ascii="黑体" w:hAnsi="黑体" w:eastAsia="黑体" w:cs="黑体"/>
          <w:color w:val="000000"/>
          <w:sz w:val="21"/>
          <w:szCs w:val="22"/>
          <w:highlight w:val="none"/>
          <w:lang w:val="en-US" w:eastAsia="zh-CN" w:bidi="ar-SA"/>
        </w:rPr>
        <w:t>2.甲方需处置的危险废物类别及处置价：</w:t>
      </w:r>
    </w:p>
    <w:tbl>
      <w:tblPr>
        <w:tblStyle w:val="26"/>
        <w:tblW w:w="9263" w:type="dxa"/>
        <w:tblInd w:w="0" w:type="dxa"/>
        <w:tblLayout w:type="fixed"/>
        <w:tblCellMar>
          <w:top w:w="0" w:type="dxa"/>
          <w:left w:w="10" w:type="dxa"/>
          <w:bottom w:w="0" w:type="dxa"/>
          <w:right w:w="10" w:type="dxa"/>
        </w:tblCellMar>
      </w:tblPr>
      <w:tblGrid>
        <w:gridCol w:w="715"/>
        <w:gridCol w:w="5022"/>
        <w:gridCol w:w="1407"/>
        <w:gridCol w:w="2119"/>
      </w:tblGrid>
      <w:tr w14:paraId="4339131A">
        <w:tblPrEx>
          <w:tblCellMar>
            <w:top w:w="0" w:type="dxa"/>
            <w:left w:w="10" w:type="dxa"/>
            <w:bottom w:w="0" w:type="dxa"/>
            <w:right w:w="10" w:type="dxa"/>
          </w:tblCellMar>
        </w:tblPrEx>
        <w:trPr>
          <w:trHeight w:val="508" w:hRule="atLeast"/>
        </w:trPr>
        <w:tc>
          <w:tcPr>
            <w:tcW w:w="715" w:type="dxa"/>
            <w:tcBorders>
              <w:top w:val="single" w:color="auto" w:sz="4" w:space="0"/>
              <w:left w:val="single" w:color="auto" w:sz="4" w:space="0"/>
            </w:tcBorders>
            <w:shd w:val="clear" w:color="auto" w:fill="FFFFFF"/>
            <w:noWrap w:val="0"/>
            <w:vAlign w:val="center"/>
          </w:tcPr>
          <w:p w14:paraId="640E52AA">
            <w:pPr>
              <w:keepNext/>
              <w:keepLines/>
              <w:widowControl w:val="0"/>
              <w:spacing w:before="0" w:after="0" w:line="240" w:lineRule="auto"/>
              <w:jc w:val="center"/>
              <w:outlineLvl w:val="1"/>
              <w:rPr>
                <w:rFonts w:ascii="黑体" w:hAnsi="黑体" w:eastAsia="黑体" w:cs="黑体"/>
                <w:b w:val="0"/>
                <w:color w:val="000000"/>
                <w:kern w:val="2"/>
                <w:sz w:val="21"/>
                <w:szCs w:val="22"/>
                <w:highlight w:val="none"/>
                <w:lang w:val="zh-CN" w:eastAsia="zh-CN" w:bidi="ar-SA"/>
              </w:rPr>
            </w:pPr>
            <w:r>
              <w:rPr>
                <w:rFonts w:hint="eastAsia" w:ascii="黑体" w:hAnsi="黑体" w:eastAsia="黑体" w:cs="黑体"/>
                <w:b w:val="0"/>
                <w:color w:val="000000"/>
                <w:kern w:val="2"/>
                <w:sz w:val="21"/>
                <w:szCs w:val="22"/>
                <w:highlight w:val="none"/>
                <w:lang w:val="zh-CN" w:eastAsia="zh-CN" w:bidi="ar-SA"/>
              </w:rPr>
              <w:t>序号</w:t>
            </w:r>
          </w:p>
        </w:tc>
        <w:tc>
          <w:tcPr>
            <w:tcW w:w="5022" w:type="dxa"/>
            <w:tcBorders>
              <w:top w:val="single" w:color="auto" w:sz="4" w:space="0"/>
              <w:left w:val="single" w:color="auto" w:sz="4" w:space="0"/>
            </w:tcBorders>
            <w:shd w:val="clear" w:color="auto" w:fill="FFFFFF"/>
            <w:noWrap w:val="0"/>
            <w:vAlign w:val="center"/>
          </w:tcPr>
          <w:p w14:paraId="05FC9BF5">
            <w:pPr>
              <w:keepNext/>
              <w:keepLines/>
              <w:widowControl w:val="0"/>
              <w:spacing w:before="0" w:after="0" w:line="240" w:lineRule="auto"/>
              <w:jc w:val="center"/>
              <w:outlineLvl w:val="1"/>
              <w:rPr>
                <w:rFonts w:ascii="黑体" w:hAnsi="黑体" w:eastAsia="黑体" w:cs="黑体"/>
                <w:b w:val="0"/>
                <w:color w:val="000000"/>
                <w:kern w:val="2"/>
                <w:sz w:val="21"/>
                <w:szCs w:val="22"/>
                <w:highlight w:val="none"/>
                <w:lang w:val="zh-CN" w:eastAsia="zh-CN" w:bidi="ar-SA"/>
              </w:rPr>
            </w:pPr>
            <w:r>
              <w:rPr>
                <w:rFonts w:hint="eastAsia" w:ascii="黑体" w:hAnsi="黑体" w:eastAsia="黑体" w:cs="黑体"/>
                <w:b w:val="0"/>
                <w:color w:val="000000"/>
                <w:kern w:val="2"/>
                <w:sz w:val="21"/>
                <w:szCs w:val="22"/>
                <w:highlight w:val="none"/>
                <w:lang w:val="en-US" w:eastAsia="zh-CN" w:bidi="ar-SA"/>
              </w:rPr>
              <w:t>处置内容（包段名称）</w:t>
            </w:r>
          </w:p>
        </w:tc>
        <w:tc>
          <w:tcPr>
            <w:tcW w:w="14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72F43E">
            <w:pPr>
              <w:keepNext/>
              <w:keepLines/>
              <w:widowControl w:val="0"/>
              <w:spacing w:before="0" w:after="0" w:line="240" w:lineRule="auto"/>
              <w:jc w:val="center"/>
              <w:outlineLvl w:val="1"/>
              <w:rPr>
                <w:rFonts w:ascii="黑体" w:hAnsi="黑体" w:eastAsia="黑体" w:cs="黑体"/>
                <w:b w:val="0"/>
                <w:color w:val="000000"/>
                <w:kern w:val="2"/>
                <w:sz w:val="21"/>
                <w:szCs w:val="22"/>
                <w:highlight w:val="none"/>
                <w:lang w:val="en-US" w:eastAsia="zh-CN" w:bidi="ar-SA"/>
              </w:rPr>
            </w:pPr>
            <w:r>
              <w:rPr>
                <w:rFonts w:hint="eastAsia" w:ascii="黑体" w:hAnsi="黑体" w:eastAsia="黑体" w:cs="黑体"/>
                <w:b w:val="0"/>
                <w:color w:val="000000"/>
                <w:kern w:val="2"/>
                <w:sz w:val="21"/>
                <w:szCs w:val="22"/>
                <w:highlight w:val="none"/>
                <w:lang w:val="en-US" w:eastAsia="zh-CN" w:bidi="ar-SA"/>
              </w:rPr>
              <w:t>危废类别</w:t>
            </w:r>
          </w:p>
        </w:tc>
        <w:tc>
          <w:tcPr>
            <w:tcW w:w="21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88864A">
            <w:pPr>
              <w:keepNext/>
              <w:keepLines/>
              <w:widowControl w:val="0"/>
              <w:spacing w:before="0" w:after="0" w:line="240" w:lineRule="auto"/>
              <w:jc w:val="center"/>
              <w:outlineLvl w:val="1"/>
              <w:rPr>
                <w:rFonts w:ascii="黑体" w:hAnsi="黑体" w:eastAsia="黑体" w:cs="黑体"/>
                <w:b w:val="0"/>
                <w:color w:val="000000"/>
                <w:kern w:val="2"/>
                <w:sz w:val="21"/>
                <w:szCs w:val="22"/>
                <w:highlight w:val="none"/>
                <w:lang w:val="en-US" w:eastAsia="zh-CN" w:bidi="ar-SA"/>
              </w:rPr>
            </w:pPr>
            <w:r>
              <w:rPr>
                <w:rFonts w:hint="eastAsia" w:ascii="黑体" w:hAnsi="黑体" w:eastAsia="黑体" w:cs="黑体"/>
                <w:b w:val="0"/>
                <w:color w:val="000000"/>
                <w:kern w:val="2"/>
                <w:sz w:val="21"/>
                <w:szCs w:val="22"/>
                <w:highlight w:val="none"/>
                <w:lang w:val="zh-CN" w:eastAsia="zh-CN" w:bidi="ar-SA"/>
              </w:rPr>
              <w:t>处置</w:t>
            </w:r>
            <w:r>
              <w:rPr>
                <w:rFonts w:hint="eastAsia" w:ascii="黑体" w:hAnsi="黑体" w:eastAsia="黑体" w:cs="黑体"/>
                <w:b w:val="0"/>
                <w:color w:val="000000"/>
                <w:kern w:val="2"/>
                <w:sz w:val="21"/>
                <w:szCs w:val="22"/>
                <w:highlight w:val="none"/>
                <w:lang w:val="en-US" w:eastAsia="zh-CN" w:bidi="ar-SA"/>
              </w:rPr>
              <w:t>价格（元/年）</w:t>
            </w:r>
          </w:p>
        </w:tc>
      </w:tr>
      <w:tr w14:paraId="53BE44B2">
        <w:tblPrEx>
          <w:tblCellMar>
            <w:top w:w="0" w:type="dxa"/>
            <w:left w:w="10" w:type="dxa"/>
            <w:bottom w:w="0" w:type="dxa"/>
            <w:right w:w="10" w:type="dxa"/>
          </w:tblCellMar>
        </w:tblPrEx>
        <w:trPr>
          <w:trHeight w:val="449" w:hRule="atLeast"/>
        </w:trPr>
        <w:tc>
          <w:tcPr>
            <w:tcW w:w="715" w:type="dxa"/>
            <w:tcBorders>
              <w:top w:val="single" w:color="auto" w:sz="4" w:space="0"/>
              <w:left w:val="single" w:color="auto" w:sz="4" w:space="0"/>
              <w:bottom w:val="single" w:color="auto" w:sz="4" w:space="0"/>
            </w:tcBorders>
            <w:shd w:val="clear" w:color="auto" w:fill="FFFFFF"/>
            <w:noWrap w:val="0"/>
            <w:vAlign w:val="center"/>
          </w:tcPr>
          <w:p w14:paraId="5C093308">
            <w:pPr>
              <w:keepNext/>
              <w:keepLines/>
              <w:widowControl w:val="0"/>
              <w:spacing w:before="0" w:after="0" w:line="240" w:lineRule="auto"/>
              <w:jc w:val="center"/>
              <w:outlineLvl w:val="1"/>
              <w:rPr>
                <w:rFonts w:ascii="黑体" w:hAnsi="黑体" w:eastAsia="黑体" w:cs="黑体"/>
                <w:b w:val="0"/>
                <w:color w:val="000000"/>
                <w:kern w:val="2"/>
                <w:sz w:val="21"/>
                <w:szCs w:val="22"/>
                <w:highlight w:val="none"/>
                <w:lang w:val="zh-CN" w:eastAsia="zh-CN" w:bidi="ar-SA"/>
              </w:rPr>
            </w:pPr>
            <w:r>
              <w:rPr>
                <w:rFonts w:hint="eastAsia" w:ascii="黑体" w:hAnsi="黑体" w:eastAsia="黑体" w:cs="黑体"/>
                <w:b w:val="0"/>
                <w:color w:val="000000"/>
                <w:kern w:val="2"/>
                <w:sz w:val="21"/>
                <w:szCs w:val="22"/>
                <w:highlight w:val="none"/>
                <w:lang w:val="zh-CN" w:eastAsia="zh-CN" w:bidi="ar-SA"/>
              </w:rPr>
              <w:t>1</w:t>
            </w:r>
          </w:p>
        </w:tc>
        <w:tc>
          <w:tcPr>
            <w:tcW w:w="5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FCB1EF">
            <w:pPr>
              <w:keepNext/>
              <w:keepLines/>
              <w:widowControl w:val="0"/>
              <w:spacing w:before="0" w:after="0" w:line="240" w:lineRule="auto"/>
              <w:jc w:val="center"/>
              <w:outlineLvl w:val="1"/>
              <w:rPr>
                <w:rFonts w:ascii="黑体" w:hAnsi="黑体" w:eastAsia="黑体" w:cs="黑体"/>
                <w:b w:val="0"/>
                <w:color w:val="000000"/>
                <w:kern w:val="2"/>
                <w:sz w:val="21"/>
                <w:szCs w:val="22"/>
                <w:highlight w:val="none"/>
                <w:lang w:val="en-US" w:eastAsia="zh-CN" w:bidi="ar-SA"/>
              </w:rPr>
            </w:pPr>
          </w:p>
        </w:tc>
        <w:tc>
          <w:tcPr>
            <w:tcW w:w="14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A55CFD">
            <w:pPr>
              <w:keepNext/>
              <w:keepLines/>
              <w:widowControl w:val="0"/>
              <w:spacing w:before="0" w:after="0" w:line="240" w:lineRule="auto"/>
              <w:jc w:val="center"/>
              <w:outlineLvl w:val="1"/>
              <w:rPr>
                <w:rFonts w:ascii="黑体" w:hAnsi="黑体" w:eastAsia="黑体" w:cs="黑体"/>
                <w:b w:val="0"/>
                <w:color w:val="000000"/>
                <w:kern w:val="2"/>
                <w:sz w:val="21"/>
                <w:szCs w:val="22"/>
                <w:highlight w:val="none"/>
                <w:lang w:val="en-US" w:eastAsia="zh-CN" w:bidi="ar-SA"/>
              </w:rPr>
            </w:pPr>
          </w:p>
        </w:tc>
        <w:tc>
          <w:tcPr>
            <w:tcW w:w="21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E23281">
            <w:pPr>
              <w:keepNext/>
              <w:keepLines/>
              <w:widowControl w:val="0"/>
              <w:spacing w:before="0" w:after="0" w:line="240" w:lineRule="auto"/>
              <w:jc w:val="center"/>
              <w:outlineLvl w:val="1"/>
              <w:rPr>
                <w:rFonts w:ascii="黑体" w:hAnsi="黑体" w:eastAsia="黑体" w:cs="黑体"/>
                <w:b w:val="0"/>
                <w:color w:val="000000"/>
                <w:kern w:val="2"/>
                <w:sz w:val="21"/>
                <w:szCs w:val="22"/>
                <w:highlight w:val="none"/>
                <w:lang w:val="en-US" w:eastAsia="zh-CN" w:bidi="ar-SA"/>
              </w:rPr>
            </w:pPr>
          </w:p>
        </w:tc>
      </w:tr>
    </w:tbl>
    <w:p w14:paraId="34FA6608">
      <w:pPr>
        <w:widowControl w:val="0"/>
        <w:spacing w:line="360" w:lineRule="auto"/>
        <w:rPr>
          <w:rFonts w:ascii="黑体" w:hAnsi="黑体" w:eastAsia="黑体" w:cs="黑体"/>
          <w:color w:val="000000"/>
          <w:sz w:val="21"/>
          <w:szCs w:val="22"/>
          <w:highlight w:val="none"/>
          <w:lang w:val="en-US" w:eastAsia="zh-CN" w:bidi="ar-SA"/>
        </w:rPr>
      </w:pPr>
      <w:r>
        <w:rPr>
          <w:rFonts w:hint="eastAsia" w:ascii="黑体" w:hAnsi="黑体" w:eastAsia="黑体" w:cs="黑体"/>
          <w:color w:val="000000"/>
          <w:sz w:val="21"/>
          <w:szCs w:val="22"/>
          <w:highlight w:val="none"/>
          <w:lang w:val="en-US" w:eastAsia="zh-CN" w:bidi="ar-SA"/>
        </w:rPr>
        <w:t>3.</w:t>
      </w:r>
      <w:r>
        <w:rPr>
          <w:rFonts w:hint="eastAsia" w:ascii="黑体" w:hAnsi="黑体" w:eastAsia="黑体" w:cs="黑体"/>
          <w:color w:val="000000"/>
          <w:sz w:val="21"/>
          <w:szCs w:val="22"/>
          <w:highlight w:val="none"/>
          <w:lang w:val="zh-CN" w:eastAsia="zh-CN" w:bidi="ar-SA"/>
        </w:rPr>
        <w:t>处置服务费支付方式和时间如下</w:t>
      </w:r>
      <w:r>
        <w:rPr>
          <w:rFonts w:hint="eastAsia" w:ascii="黑体" w:hAnsi="黑体" w:eastAsia="黑体" w:cs="黑体"/>
          <w:color w:val="000000"/>
          <w:sz w:val="21"/>
          <w:szCs w:val="22"/>
          <w:highlight w:val="none"/>
          <w:lang w:val="en-US" w:eastAsia="zh-CN" w:bidi="ar-SA"/>
        </w:rPr>
        <w:t>:</w:t>
      </w:r>
    </w:p>
    <w:p w14:paraId="0324DFEB">
      <w:pPr>
        <w:widowControl w:val="0"/>
        <w:spacing w:line="360" w:lineRule="auto"/>
        <w:rPr>
          <w:rFonts w:hint="default" w:ascii="黑体" w:hAnsi="黑体" w:eastAsia="黑体" w:cs="黑体"/>
          <w:color w:val="000000"/>
          <w:sz w:val="21"/>
          <w:szCs w:val="22"/>
          <w:highlight w:val="none"/>
          <w:lang w:val="en-US" w:eastAsia="zh-CN" w:bidi="ar-SA"/>
        </w:rPr>
      </w:pPr>
      <w:r>
        <w:rPr>
          <w:rFonts w:hint="eastAsia" w:ascii="黑体" w:hAnsi="黑体" w:eastAsia="黑体" w:cs="黑体"/>
          <w:b/>
          <w:bCs/>
          <w:color w:val="000000"/>
          <w:sz w:val="21"/>
          <w:szCs w:val="22"/>
          <w:highlight w:val="none"/>
          <w:lang w:val="en-US" w:eastAsia="zh-CN" w:bidi="ar-SA"/>
        </w:rPr>
        <w:t>本合同价格形式为总包干价，合同签订后，无预付款，按季度支付合同款</w:t>
      </w:r>
      <w:r>
        <w:rPr>
          <w:rFonts w:hint="eastAsia" w:ascii="黑体" w:hAnsi="黑体" w:eastAsia="黑体" w:cs="黑体"/>
          <w:color w:val="000000"/>
          <w:sz w:val="21"/>
          <w:szCs w:val="22"/>
          <w:highlight w:val="none"/>
          <w:lang w:val="en-US" w:eastAsia="zh-CN" w:bidi="ar-SA"/>
        </w:rPr>
        <w:t>（</w:t>
      </w:r>
      <w:r>
        <w:rPr>
          <w:rFonts w:hint="eastAsia" w:ascii="黑体" w:hAnsi="黑体" w:eastAsia="黑体" w:cs="黑体"/>
          <w:color w:val="000000"/>
          <w:sz w:val="21"/>
          <w:szCs w:val="22"/>
          <w:highlight w:val="none"/>
          <w:u w:val="single"/>
          <w:lang w:val="en-US" w:eastAsia="zh-CN" w:bidi="ar-SA"/>
        </w:rPr>
        <w:t xml:space="preserve">      </w:t>
      </w:r>
      <w:r>
        <w:rPr>
          <w:rFonts w:hint="eastAsia" w:ascii="黑体" w:hAnsi="黑体" w:eastAsia="黑体" w:cs="黑体"/>
          <w:color w:val="000000"/>
          <w:sz w:val="21"/>
          <w:szCs w:val="22"/>
          <w:highlight w:val="none"/>
          <w:lang w:val="en-US" w:eastAsia="zh-CN" w:bidi="ar-SA"/>
        </w:rPr>
        <w:t>元/季），乙方开具增值税发票后30日内付款。本项目服务期   年，合同一年一签，有效期为   年   月   日至   年   月   。甲方有权指派相关人员对乙方服务进行监督、考评，及时整改存在的问题，考评结果与业绩表现挂钩，每季度综合考评一次，考核不达标，甲方有权对乙方进行警告、罚款处理，连续两个季度考核不达标的，甲方将约谈乙方，直至解除合同。</w:t>
      </w:r>
    </w:p>
    <w:p w14:paraId="6E6DB130">
      <w:pPr>
        <w:widowControl w:val="0"/>
        <w:spacing w:line="360" w:lineRule="auto"/>
        <w:ind w:firstLine="420" w:firstLineChars="200"/>
        <w:rPr>
          <w:rFonts w:ascii="黑体" w:hAnsi="黑体" w:eastAsia="黑体" w:cs="黑体"/>
          <w:color w:val="000000"/>
          <w:sz w:val="21"/>
          <w:highlight w:val="none"/>
          <w:u w:val="single"/>
          <w:lang w:val="zh-CN" w:eastAsia="zh-CN" w:bidi="ar-SA"/>
        </w:rPr>
      </w:pPr>
      <w:r>
        <w:rPr>
          <w:rFonts w:hint="eastAsia" w:ascii="黑体" w:hAnsi="黑体" w:eastAsia="黑体" w:cs="黑体"/>
          <w:color w:val="000000"/>
          <w:sz w:val="21"/>
          <w:highlight w:val="none"/>
          <w:lang w:val="zh-CN" w:eastAsia="zh-CN" w:bidi="ar-SA"/>
        </w:rPr>
        <w:t>单位名称：</w:t>
      </w:r>
    </w:p>
    <w:p w14:paraId="75CB20FF">
      <w:pPr>
        <w:pStyle w:val="80"/>
        <w:spacing w:line="360" w:lineRule="auto"/>
        <w:ind w:firstLine="420" w:firstLineChars="200"/>
        <w:rPr>
          <w:rFonts w:ascii="黑体" w:hAnsi="黑体" w:eastAsia="黑体" w:cs="黑体"/>
          <w:color w:val="000000"/>
          <w:sz w:val="21"/>
          <w:highlight w:val="none"/>
          <w:u w:val="single"/>
          <w:lang w:val="en-US"/>
        </w:rPr>
      </w:pPr>
      <w:r>
        <w:rPr>
          <w:rFonts w:hint="eastAsia" w:ascii="黑体" w:hAnsi="黑体" w:eastAsia="黑体" w:cs="黑体"/>
          <w:color w:val="000000"/>
          <w:sz w:val="21"/>
          <w:highlight w:val="none"/>
        </w:rPr>
        <w:t>开户银行：</w:t>
      </w:r>
    </w:p>
    <w:p w14:paraId="695DEFCD">
      <w:pPr>
        <w:pStyle w:val="81"/>
        <w:spacing w:line="360" w:lineRule="auto"/>
        <w:ind w:firstLine="440" w:firstLineChars="200"/>
        <w:rPr>
          <w:rFonts w:hint="eastAsia" w:ascii="黑体" w:hAnsi="黑体" w:eastAsia="黑体" w:cs="黑体"/>
          <w:color w:val="000000"/>
          <w:sz w:val="22"/>
          <w:szCs w:val="18"/>
          <w:highlight w:val="none"/>
        </w:rPr>
      </w:pPr>
      <w:r>
        <w:rPr>
          <w:rFonts w:hint="eastAsia" w:ascii="黑体" w:hAnsi="黑体" w:eastAsia="黑体" w:cs="黑体"/>
          <w:color w:val="000000"/>
          <w:sz w:val="22"/>
          <w:szCs w:val="18"/>
          <w:highlight w:val="none"/>
        </w:rPr>
        <w:t>帐    号：</w:t>
      </w:r>
    </w:p>
    <w:p w14:paraId="1F42F5FD">
      <w:pPr>
        <w:pStyle w:val="81"/>
        <w:spacing w:line="360" w:lineRule="auto"/>
        <w:ind w:firstLine="440" w:firstLineChars="200"/>
        <w:rPr>
          <w:rFonts w:ascii="黑体" w:hAnsi="黑体" w:eastAsia="黑体" w:cs="黑体"/>
          <w:color w:val="000000"/>
          <w:sz w:val="22"/>
          <w:szCs w:val="18"/>
          <w:u w:val="single"/>
          <w:lang w:val="en-US"/>
        </w:rPr>
      </w:pPr>
      <w:r>
        <w:rPr>
          <w:rFonts w:hint="eastAsia" w:ascii="黑体" w:hAnsi="黑体" w:eastAsia="黑体" w:cs="黑体"/>
          <w:color w:val="000000"/>
          <w:sz w:val="22"/>
          <w:szCs w:val="18"/>
          <w:lang w:val="en-US"/>
        </w:rPr>
        <w:t>银行行号：</w:t>
      </w:r>
    </w:p>
    <w:p w14:paraId="38B47307">
      <w:pPr>
        <w:pStyle w:val="81"/>
        <w:spacing w:line="360" w:lineRule="auto"/>
        <w:rPr>
          <w:rFonts w:ascii="黑体" w:hAnsi="黑体" w:eastAsia="黑体" w:cs="黑体"/>
          <w:color w:val="000000"/>
          <w:sz w:val="21"/>
          <w:szCs w:val="22"/>
          <w:lang w:val="en-US"/>
        </w:rPr>
      </w:pPr>
      <w:r>
        <w:rPr>
          <w:rFonts w:hint="eastAsia" w:ascii="黑体" w:hAnsi="黑体" w:eastAsia="黑体" w:cs="黑体"/>
          <w:color w:val="000000"/>
          <w:sz w:val="21"/>
          <w:szCs w:val="22"/>
          <w:lang w:val="en-US"/>
        </w:rPr>
        <w:t>甲方开票信息为：</w:t>
      </w:r>
    </w:p>
    <w:p w14:paraId="47D01796">
      <w:pPr>
        <w:pStyle w:val="81"/>
        <w:spacing w:line="360" w:lineRule="auto"/>
        <w:ind w:firstLine="420"/>
        <w:rPr>
          <w:rFonts w:ascii="黑体" w:hAnsi="黑体" w:eastAsia="黑体" w:cs="黑体"/>
          <w:color w:val="000000"/>
          <w:sz w:val="21"/>
          <w:szCs w:val="22"/>
          <w:u w:val="single"/>
          <w:lang w:val="en-US"/>
        </w:rPr>
      </w:pPr>
      <w:r>
        <w:rPr>
          <w:rFonts w:hint="eastAsia" w:ascii="黑体" w:hAnsi="黑体" w:eastAsia="黑体" w:cs="黑体"/>
          <w:color w:val="000000"/>
          <w:sz w:val="21"/>
          <w:szCs w:val="22"/>
          <w:lang w:val="en-US"/>
        </w:rPr>
        <w:t>单位名称：</w:t>
      </w:r>
      <w:r>
        <w:rPr>
          <w:rFonts w:hint="eastAsia" w:ascii="黑体" w:hAnsi="黑体" w:eastAsia="黑体" w:cs="黑体"/>
          <w:color w:val="000000"/>
          <w:sz w:val="21"/>
          <w:szCs w:val="22"/>
          <w:u w:val="single"/>
          <w:lang w:val="en-US"/>
        </w:rPr>
        <w:t xml:space="preserve">                          </w:t>
      </w:r>
    </w:p>
    <w:p w14:paraId="2C33BD6A">
      <w:pPr>
        <w:pStyle w:val="81"/>
        <w:spacing w:line="360" w:lineRule="auto"/>
        <w:ind w:firstLine="420"/>
        <w:rPr>
          <w:rFonts w:ascii="黑体" w:hAnsi="黑体" w:eastAsia="黑体" w:cs="黑体"/>
          <w:color w:val="000000"/>
          <w:sz w:val="21"/>
          <w:szCs w:val="22"/>
          <w:lang w:val="en-US"/>
        </w:rPr>
      </w:pPr>
      <w:r>
        <w:rPr>
          <w:rFonts w:hint="eastAsia" w:ascii="黑体" w:hAnsi="黑体" w:eastAsia="黑体" w:cs="黑体"/>
          <w:color w:val="000000"/>
          <w:sz w:val="21"/>
          <w:szCs w:val="22"/>
          <w:lang w:val="en-US"/>
        </w:rPr>
        <w:t xml:space="preserve">税号：  </w:t>
      </w:r>
      <w:r>
        <w:rPr>
          <w:rFonts w:hint="eastAsia" w:ascii="黑体" w:hAnsi="黑体" w:eastAsia="黑体" w:cs="黑体"/>
          <w:color w:val="000000"/>
          <w:sz w:val="21"/>
          <w:szCs w:val="22"/>
          <w:u w:val="single"/>
          <w:lang w:val="en-US"/>
        </w:rPr>
        <w:t xml:space="preserve">                            </w:t>
      </w:r>
      <w:r>
        <w:rPr>
          <w:rFonts w:hint="eastAsia" w:ascii="黑体" w:hAnsi="黑体" w:eastAsia="黑体" w:cs="黑体"/>
          <w:color w:val="000000"/>
          <w:sz w:val="21"/>
          <w:szCs w:val="22"/>
          <w:lang w:val="en-US"/>
        </w:rPr>
        <w:t xml:space="preserve">             </w:t>
      </w:r>
    </w:p>
    <w:p w14:paraId="37A547A8">
      <w:pPr>
        <w:pStyle w:val="81"/>
        <w:spacing w:line="360" w:lineRule="auto"/>
        <w:ind w:firstLine="420"/>
        <w:rPr>
          <w:rFonts w:ascii="黑体" w:hAnsi="黑体" w:eastAsia="黑体" w:cs="黑体"/>
          <w:color w:val="000000"/>
          <w:sz w:val="21"/>
          <w:szCs w:val="22"/>
          <w:u w:val="single"/>
          <w:lang w:val="en-US"/>
        </w:rPr>
      </w:pPr>
      <w:r>
        <w:rPr>
          <w:rFonts w:hint="eastAsia" w:ascii="黑体" w:hAnsi="黑体" w:eastAsia="黑体" w:cs="黑体"/>
          <w:color w:val="000000"/>
          <w:sz w:val="21"/>
          <w:szCs w:val="22"/>
          <w:lang w:val="en-US"/>
        </w:rPr>
        <w:t xml:space="preserve">地址及电话：  </w:t>
      </w:r>
      <w:r>
        <w:rPr>
          <w:rFonts w:hint="eastAsia" w:ascii="黑体" w:hAnsi="黑体" w:eastAsia="黑体" w:cs="黑体"/>
          <w:color w:val="000000"/>
          <w:sz w:val="21"/>
          <w:szCs w:val="22"/>
          <w:u w:val="single"/>
          <w:lang w:val="en-US"/>
        </w:rPr>
        <w:t xml:space="preserve">                      </w:t>
      </w:r>
      <w:r>
        <w:rPr>
          <w:rFonts w:hint="eastAsia" w:ascii="黑体" w:hAnsi="黑体" w:eastAsia="黑体" w:cs="黑体"/>
          <w:color w:val="000000"/>
          <w:sz w:val="21"/>
          <w:szCs w:val="22"/>
          <w:lang w:val="en-US"/>
        </w:rPr>
        <w:t xml:space="preserve">          </w:t>
      </w:r>
    </w:p>
    <w:p w14:paraId="33A8FB60">
      <w:pPr>
        <w:pStyle w:val="81"/>
        <w:spacing w:line="360" w:lineRule="auto"/>
        <w:ind w:firstLine="420"/>
        <w:rPr>
          <w:rFonts w:ascii="黑体" w:hAnsi="黑体" w:eastAsia="黑体" w:cs="黑体"/>
          <w:color w:val="000000"/>
          <w:sz w:val="21"/>
          <w:szCs w:val="22"/>
          <w:u w:val="single"/>
          <w:lang w:val="en-US"/>
        </w:rPr>
      </w:pPr>
      <w:r>
        <w:rPr>
          <w:rFonts w:hint="eastAsia" w:ascii="黑体" w:hAnsi="黑体" w:eastAsia="黑体" w:cs="黑体"/>
          <w:color w:val="000000"/>
          <w:sz w:val="21"/>
          <w:szCs w:val="22"/>
          <w:lang w:val="en-US"/>
        </w:rPr>
        <w:t>开户银行及账号：</w:t>
      </w:r>
      <w:r>
        <w:rPr>
          <w:rFonts w:hint="eastAsia" w:ascii="黑体" w:hAnsi="黑体" w:eastAsia="黑体" w:cs="黑体"/>
          <w:color w:val="000000"/>
          <w:sz w:val="21"/>
          <w:szCs w:val="22"/>
          <w:u w:val="single"/>
          <w:lang w:val="en-US"/>
        </w:rPr>
        <w:t xml:space="preserve">                    </w:t>
      </w:r>
    </w:p>
    <w:p w14:paraId="447AD7BA">
      <w:pPr>
        <w:widowControl w:val="0"/>
        <w:spacing w:line="360" w:lineRule="auto"/>
        <w:ind w:firstLine="420" w:firstLineChars="200"/>
        <w:rPr>
          <w:rFonts w:ascii="黑体" w:hAnsi="黑体" w:eastAsia="黑体" w:cs="黑体"/>
          <w:color w:val="000000"/>
          <w:sz w:val="21"/>
          <w:szCs w:val="22"/>
          <w:u w:val="single"/>
          <w:lang w:val="en-US" w:eastAsia="zh-CN" w:bidi="ar-SA"/>
        </w:rPr>
      </w:pPr>
      <w:r>
        <w:rPr>
          <w:rFonts w:hint="eastAsia" w:ascii="黑体" w:hAnsi="黑体" w:eastAsia="黑体" w:cs="黑体"/>
          <w:color w:val="000000"/>
          <w:sz w:val="21"/>
          <w:szCs w:val="22"/>
          <w:lang w:val="en-US" w:eastAsia="zh-CN" w:bidi="ar-SA"/>
        </w:rPr>
        <w:t>发票类型：</w:t>
      </w:r>
      <w:r>
        <w:rPr>
          <w:rFonts w:hint="eastAsia" w:ascii="黑体" w:hAnsi="黑体" w:eastAsia="黑体" w:cs="黑体"/>
          <w:color w:val="000000"/>
          <w:sz w:val="21"/>
          <w:szCs w:val="22"/>
          <w:u w:val="single"/>
          <w:lang w:val="en-US" w:eastAsia="zh-CN" w:bidi="ar-SA"/>
        </w:rPr>
        <w:t xml:space="preserve">                          </w:t>
      </w:r>
    </w:p>
    <w:p w14:paraId="3F13EDB7">
      <w:pPr>
        <w:widowControl w:val="0"/>
        <w:spacing w:line="360" w:lineRule="auto"/>
        <w:rPr>
          <w:rFonts w:ascii="黑体" w:hAnsi="黑体" w:eastAsia="黑体" w:cs="黑体"/>
          <w:color w:val="000000"/>
          <w:sz w:val="21"/>
          <w:szCs w:val="22"/>
          <w:lang w:val="zh-CN" w:eastAsia="zh-CN" w:bidi="ar-SA"/>
        </w:rPr>
      </w:pPr>
      <w:r>
        <w:rPr>
          <w:rFonts w:hint="eastAsia" w:ascii="黑体" w:hAnsi="黑体" w:eastAsia="黑体" w:cs="黑体"/>
          <w:b/>
          <w:color w:val="000000"/>
          <w:sz w:val="21"/>
          <w:szCs w:val="22"/>
          <w:lang w:val="zh-CN" w:eastAsia="zh-CN" w:bidi="ar-SA"/>
        </w:rPr>
        <w:t>第六条</w:t>
      </w:r>
      <w:r>
        <w:rPr>
          <w:rFonts w:hint="eastAsia" w:ascii="黑体" w:hAnsi="黑体" w:eastAsia="黑体" w:cs="黑体"/>
          <w:color w:val="000000"/>
          <w:sz w:val="21"/>
          <w:szCs w:val="22"/>
          <w:lang w:val="zh-CN" w:eastAsia="zh-CN" w:bidi="ar-SA"/>
        </w:rPr>
        <w:t xml:space="preserve">  双方确定因履行本合同应遵守的保密义务：</w:t>
      </w:r>
    </w:p>
    <w:p w14:paraId="6F60CEB0">
      <w:pPr>
        <w:widowControl w:val="0"/>
        <w:spacing w:line="360" w:lineRule="auto"/>
        <w:rPr>
          <w:rFonts w:ascii="黑体" w:hAnsi="黑体" w:eastAsia="黑体" w:cs="黑体"/>
          <w:color w:val="000000"/>
          <w:sz w:val="21"/>
          <w:lang w:val="zh-CN" w:eastAsia="zh-CN" w:bidi="ar-SA"/>
        </w:rPr>
      </w:pPr>
      <w:r>
        <w:rPr>
          <w:rFonts w:hint="eastAsia" w:ascii="黑体" w:hAnsi="黑体" w:eastAsia="黑体" w:cs="黑体"/>
          <w:color w:val="000000"/>
          <w:sz w:val="21"/>
          <w:lang w:val="en-US" w:eastAsia="zh-CN" w:bidi="ar-SA"/>
        </w:rPr>
        <w:t>1.</w:t>
      </w:r>
      <w:r>
        <w:rPr>
          <w:rFonts w:hint="eastAsia" w:ascii="黑体" w:hAnsi="黑体" w:eastAsia="黑体" w:cs="黑体"/>
          <w:color w:val="000000"/>
          <w:sz w:val="21"/>
          <w:lang w:val="zh-CN" w:eastAsia="zh-CN" w:bidi="ar-SA"/>
        </w:rPr>
        <w:t>保密内容（包括技术信息和经营信息</w:t>
      </w:r>
      <w:r>
        <w:rPr>
          <w:rFonts w:hint="eastAsia" w:ascii="黑体" w:hAnsi="黑体" w:eastAsia="黑体" w:cs="黑体"/>
          <w:color w:val="000000"/>
          <w:sz w:val="21"/>
          <w:lang w:val="en-US" w:eastAsia="zh-CN" w:bidi="ar-SA"/>
        </w:rPr>
        <w:t>）</w:t>
      </w:r>
      <w:r>
        <w:rPr>
          <w:rFonts w:hint="eastAsia" w:ascii="黑体" w:hAnsi="黑体" w:eastAsia="黑体" w:cs="黑体"/>
          <w:color w:val="000000"/>
          <w:sz w:val="21"/>
          <w:lang w:val="zh-CN" w:eastAsia="zh-CN" w:bidi="ar-SA"/>
        </w:rPr>
        <w:t>：不得向任何第三方</w:t>
      </w:r>
      <w:r>
        <w:rPr>
          <w:rFonts w:hint="eastAsia" w:ascii="黑体" w:hAnsi="黑体" w:eastAsia="黑体" w:cs="黑体"/>
          <w:color w:val="000000"/>
          <w:sz w:val="21"/>
          <w:lang w:val="en-US" w:eastAsia="zh-CN" w:bidi="ar-SA"/>
        </w:rPr>
        <w:t>泄</w:t>
      </w:r>
      <w:r>
        <w:rPr>
          <w:rFonts w:hint="eastAsia" w:ascii="黑体" w:hAnsi="黑体" w:eastAsia="黑体" w:cs="黑体"/>
          <w:color w:val="000000"/>
          <w:sz w:val="21"/>
          <w:lang w:val="zh-CN" w:eastAsia="zh-CN" w:bidi="ar-SA"/>
        </w:rPr>
        <w:t>漏乙方关于技术服务方面的内容。</w:t>
      </w:r>
    </w:p>
    <w:p w14:paraId="47C340B3">
      <w:pPr>
        <w:widowControl w:val="0"/>
        <w:spacing w:line="360" w:lineRule="auto"/>
        <w:rPr>
          <w:rFonts w:ascii="黑体" w:hAnsi="黑体" w:eastAsia="黑体" w:cs="黑体"/>
          <w:color w:val="000000"/>
          <w:sz w:val="21"/>
          <w:lang w:val="zh-CN" w:eastAsia="zh-CN" w:bidi="ar-SA"/>
        </w:rPr>
      </w:pPr>
      <w:r>
        <w:rPr>
          <w:rFonts w:hint="eastAsia" w:ascii="黑体" w:hAnsi="黑体" w:eastAsia="黑体" w:cs="黑体"/>
          <w:color w:val="000000"/>
          <w:sz w:val="21"/>
          <w:lang w:val="en-US" w:eastAsia="zh-CN" w:bidi="ar-SA"/>
        </w:rPr>
        <w:t>2.</w:t>
      </w:r>
      <w:r>
        <w:rPr>
          <w:rFonts w:hint="eastAsia" w:ascii="黑体" w:hAnsi="黑体" w:eastAsia="黑体" w:cs="黑体"/>
          <w:color w:val="000000"/>
          <w:sz w:val="21"/>
          <w:lang w:val="zh-CN" w:eastAsia="zh-CN" w:bidi="ar-SA"/>
        </w:rPr>
        <w:t>涉密人员范围：</w:t>
      </w:r>
      <w:r>
        <w:rPr>
          <w:rFonts w:hint="eastAsia" w:ascii="黑体" w:hAnsi="黑体" w:eastAsia="黑体" w:cs="黑体"/>
          <w:color w:val="000000"/>
          <w:sz w:val="21"/>
          <w:lang w:val="en-US" w:eastAsia="zh-CN" w:bidi="ar-SA"/>
        </w:rPr>
        <w:t>参与本次技术服务的</w:t>
      </w:r>
      <w:r>
        <w:rPr>
          <w:rFonts w:hint="eastAsia" w:ascii="黑体" w:hAnsi="黑体" w:eastAsia="黑体" w:cs="黑体"/>
          <w:color w:val="000000"/>
          <w:sz w:val="21"/>
          <w:lang w:val="zh-CN" w:eastAsia="zh-CN" w:bidi="ar-SA"/>
        </w:rPr>
        <w:t>相关人员。</w:t>
      </w:r>
    </w:p>
    <w:p w14:paraId="24525860">
      <w:pPr>
        <w:widowControl w:val="0"/>
        <w:spacing w:line="360" w:lineRule="auto"/>
        <w:rPr>
          <w:rFonts w:ascii="黑体" w:hAnsi="黑体" w:eastAsia="黑体" w:cs="黑体"/>
          <w:color w:val="000000"/>
          <w:sz w:val="21"/>
          <w:lang w:val="zh-CN" w:eastAsia="zh-CN" w:bidi="ar-SA"/>
        </w:rPr>
      </w:pPr>
      <w:r>
        <w:rPr>
          <w:rFonts w:hint="eastAsia" w:ascii="黑体" w:hAnsi="黑体" w:eastAsia="黑体" w:cs="黑体"/>
          <w:color w:val="000000"/>
          <w:sz w:val="21"/>
          <w:lang w:val="en-US" w:eastAsia="zh-CN" w:bidi="ar-SA"/>
        </w:rPr>
        <w:t>3.</w:t>
      </w:r>
      <w:r>
        <w:rPr>
          <w:rFonts w:hint="eastAsia" w:ascii="黑体" w:hAnsi="黑体" w:eastAsia="黑体" w:cs="黑体"/>
          <w:color w:val="000000"/>
          <w:sz w:val="21"/>
          <w:lang w:val="zh-CN" w:eastAsia="zh-CN" w:bidi="ar-SA"/>
        </w:rPr>
        <w:t>保密期限：合同履行完毕后两年。</w:t>
      </w:r>
    </w:p>
    <w:p w14:paraId="7C104D43">
      <w:pPr>
        <w:widowControl w:val="0"/>
        <w:spacing w:line="360" w:lineRule="auto"/>
        <w:rPr>
          <w:rFonts w:ascii="黑体" w:hAnsi="黑体" w:eastAsia="黑体" w:cs="黑体"/>
          <w:color w:val="000000"/>
          <w:sz w:val="21"/>
          <w:lang w:val="zh-CN" w:eastAsia="zh-CN" w:bidi="ar-SA"/>
        </w:rPr>
      </w:pPr>
      <w:r>
        <w:rPr>
          <w:rFonts w:hint="eastAsia" w:ascii="黑体" w:hAnsi="黑体" w:eastAsia="黑体" w:cs="黑体"/>
          <w:color w:val="000000"/>
          <w:sz w:val="21"/>
          <w:lang w:val="en-US" w:eastAsia="zh-CN" w:bidi="ar-SA"/>
        </w:rPr>
        <w:t>4.</w:t>
      </w:r>
      <w:r>
        <w:rPr>
          <w:rFonts w:hint="eastAsia" w:ascii="黑体" w:hAnsi="黑体" w:eastAsia="黑体" w:cs="黑体"/>
          <w:color w:val="000000"/>
          <w:sz w:val="21"/>
          <w:lang w:val="zh-CN" w:eastAsia="zh-CN" w:bidi="ar-SA"/>
        </w:rPr>
        <w:t>泄密责任：承担所发生的经济损失及相关费用。</w:t>
      </w:r>
    </w:p>
    <w:p w14:paraId="1A778CAB">
      <w:pPr>
        <w:widowControl w:val="0"/>
        <w:spacing w:line="360" w:lineRule="auto"/>
        <w:rPr>
          <w:rFonts w:ascii="黑体" w:hAnsi="黑体" w:eastAsia="黑体" w:cs="黑体"/>
          <w:color w:val="000000"/>
          <w:sz w:val="21"/>
          <w:lang w:val="zh-CN" w:eastAsia="zh-CN" w:bidi="ar-SA"/>
        </w:rPr>
      </w:pPr>
      <w:r>
        <w:rPr>
          <w:rFonts w:hint="eastAsia" w:ascii="黑体" w:hAnsi="黑体" w:eastAsia="黑体" w:cs="黑体"/>
          <w:b/>
          <w:color w:val="000000"/>
          <w:sz w:val="21"/>
          <w:lang w:val="zh-CN" w:eastAsia="zh-CN" w:bidi="ar-SA"/>
        </w:rPr>
        <w:t>第七条</w:t>
      </w:r>
      <w:r>
        <w:rPr>
          <w:rFonts w:hint="eastAsia" w:ascii="黑体" w:hAnsi="黑体" w:eastAsia="黑体" w:cs="黑体"/>
          <w:color w:val="000000"/>
          <w:sz w:val="21"/>
          <w:lang w:val="zh-CN" w:eastAsia="zh-CN" w:bidi="ar-SA"/>
        </w:rPr>
        <w:t xml:space="preserve">  本合同的变更</w:t>
      </w:r>
      <w:r>
        <w:rPr>
          <w:rFonts w:hint="eastAsia" w:ascii="黑体" w:hAnsi="黑体" w:eastAsia="黑体" w:cs="黑体"/>
          <w:color w:val="000000"/>
          <w:sz w:val="21"/>
          <w:lang w:val="en-US" w:eastAsia="zh-CN" w:bidi="ar-SA"/>
        </w:rPr>
        <w:t>或更改</w:t>
      </w:r>
      <w:r>
        <w:rPr>
          <w:rFonts w:hint="eastAsia" w:ascii="黑体" w:hAnsi="黑体" w:eastAsia="黑体" w:cs="黑体"/>
          <w:color w:val="000000"/>
          <w:sz w:val="21"/>
          <w:lang w:val="zh-CN" w:eastAsia="zh-CN" w:bidi="ar-SA"/>
        </w:rPr>
        <w:t>必须由双方协商一致，并以书面形式确定。如一方有合同变更需求的，可向另一方以书面形式提出，另一方应在</w:t>
      </w:r>
      <w:r>
        <w:rPr>
          <w:rFonts w:hint="eastAsia" w:ascii="黑体" w:hAnsi="黑体" w:eastAsia="黑体" w:cs="黑体"/>
          <w:color w:val="000000"/>
          <w:sz w:val="21"/>
          <w:lang w:val="en-US" w:eastAsia="zh-CN" w:bidi="ar-SA"/>
        </w:rPr>
        <w:t>7</w:t>
      </w:r>
      <w:r>
        <w:rPr>
          <w:rFonts w:hint="eastAsia" w:ascii="黑体" w:hAnsi="黑体" w:eastAsia="黑体" w:cs="黑体"/>
          <w:color w:val="000000"/>
          <w:sz w:val="21"/>
          <w:lang w:val="zh-CN" w:eastAsia="zh-CN" w:bidi="ar-SA"/>
        </w:rPr>
        <w:t>日内予以答复，逾期未予答复的，视为</w:t>
      </w:r>
      <w:r>
        <w:rPr>
          <w:rFonts w:hint="eastAsia" w:ascii="黑体" w:hAnsi="黑体" w:eastAsia="黑体" w:cs="黑体"/>
          <w:color w:val="000000"/>
          <w:sz w:val="21"/>
          <w:lang w:val="en-US" w:eastAsia="zh-CN" w:bidi="ar-SA"/>
        </w:rPr>
        <w:t>接受一方的变更要求</w:t>
      </w:r>
      <w:r>
        <w:rPr>
          <w:rFonts w:hint="eastAsia" w:ascii="黑体" w:hAnsi="黑体" w:eastAsia="黑体" w:cs="黑体"/>
          <w:color w:val="000000"/>
          <w:sz w:val="21"/>
          <w:lang w:val="zh-CN" w:eastAsia="zh-CN" w:bidi="ar-SA"/>
        </w:rPr>
        <w:t>。</w:t>
      </w:r>
    </w:p>
    <w:p w14:paraId="778FA5DD">
      <w:pPr>
        <w:widowControl w:val="0"/>
        <w:spacing w:line="360" w:lineRule="auto"/>
        <w:rPr>
          <w:rFonts w:ascii="黑体" w:hAnsi="黑体" w:eastAsia="黑体" w:cs="黑体"/>
          <w:color w:val="000000"/>
          <w:sz w:val="21"/>
          <w:lang w:val="zh-CN" w:eastAsia="zh-CN" w:bidi="ar-SA"/>
        </w:rPr>
      </w:pPr>
      <w:r>
        <w:rPr>
          <w:rFonts w:hint="eastAsia" w:ascii="黑体" w:hAnsi="黑体" w:eastAsia="黑体" w:cs="黑体"/>
          <w:b/>
          <w:color w:val="000000"/>
          <w:sz w:val="21"/>
          <w:lang w:val="zh-CN" w:eastAsia="zh-CN" w:bidi="ar-SA"/>
        </w:rPr>
        <w:t>第八条</w:t>
      </w:r>
      <w:r>
        <w:rPr>
          <w:rFonts w:hint="eastAsia" w:ascii="黑体" w:hAnsi="黑体" w:eastAsia="黑体" w:cs="黑体"/>
          <w:b/>
          <w:color w:val="000000"/>
          <w:sz w:val="21"/>
          <w:lang w:val="en-US" w:eastAsia="zh-CN" w:bidi="ar-SA"/>
        </w:rPr>
        <w:t xml:space="preserve"> </w:t>
      </w:r>
      <w:r>
        <w:rPr>
          <w:rFonts w:hint="eastAsia" w:ascii="黑体" w:hAnsi="黑体" w:eastAsia="黑体" w:cs="黑体"/>
          <w:color w:val="000000"/>
          <w:sz w:val="21"/>
          <w:lang w:val="zh-CN" w:eastAsia="zh-CN" w:bidi="ar-SA"/>
        </w:rPr>
        <w:t xml:space="preserve"> 双方确认，按以下约定承担各自的违约</w:t>
      </w:r>
      <w:r>
        <w:rPr>
          <w:rFonts w:hint="eastAsia" w:ascii="黑体" w:hAnsi="黑体" w:eastAsia="黑体" w:cs="黑体"/>
          <w:color w:val="000000"/>
          <w:sz w:val="21"/>
          <w:lang w:val="en-US" w:eastAsia="zh-CN" w:bidi="ar-SA"/>
        </w:rPr>
        <w:t>责</w:t>
      </w:r>
      <w:r>
        <w:rPr>
          <w:rFonts w:hint="eastAsia" w:ascii="黑体" w:hAnsi="黑体" w:eastAsia="黑体" w:cs="黑体"/>
          <w:color w:val="000000"/>
          <w:sz w:val="21"/>
          <w:lang w:val="zh-CN" w:eastAsia="zh-CN" w:bidi="ar-SA"/>
        </w:rPr>
        <w:t>任：</w:t>
      </w:r>
    </w:p>
    <w:p w14:paraId="27845ED4">
      <w:pPr>
        <w:widowControl w:val="0"/>
        <w:spacing w:line="360" w:lineRule="auto"/>
        <w:rPr>
          <w:rFonts w:hint="default" w:ascii="黑体" w:hAnsi="黑体" w:eastAsia="黑体" w:cs="黑体"/>
          <w:color w:val="000000"/>
          <w:sz w:val="21"/>
          <w:lang w:val="en-US" w:eastAsia="zh-CN" w:bidi="ar-SA"/>
        </w:rPr>
      </w:pPr>
      <w:r>
        <w:rPr>
          <w:rFonts w:hint="eastAsia" w:ascii="黑体" w:hAnsi="黑体" w:eastAsia="黑体" w:cs="黑体"/>
          <w:color w:val="000000"/>
          <w:sz w:val="21"/>
          <w:lang w:val="en-US" w:eastAsia="zh-CN" w:bidi="ar-SA"/>
        </w:rPr>
        <w:t>1.合同内所有清淤内容在清理及处置过程中由乙方原因引起的所有责任与纠纷均由乙方自行承担。</w:t>
      </w:r>
    </w:p>
    <w:p w14:paraId="20EC78E6">
      <w:pPr>
        <w:pStyle w:val="80"/>
        <w:spacing w:line="360" w:lineRule="auto"/>
        <w:rPr>
          <w:rFonts w:ascii="黑体" w:hAnsi="黑体" w:eastAsia="黑体" w:cs="黑体"/>
          <w:color w:val="000000"/>
          <w:sz w:val="21"/>
        </w:rPr>
      </w:pPr>
      <w:r>
        <w:rPr>
          <w:rFonts w:hint="eastAsia" w:ascii="黑体" w:hAnsi="黑体" w:eastAsia="黑体" w:cs="黑体"/>
          <w:color w:val="000000"/>
          <w:sz w:val="21"/>
          <w:szCs w:val="22"/>
          <w:lang w:val="en-US"/>
        </w:rPr>
        <w:t>2.</w:t>
      </w:r>
      <w:r>
        <w:rPr>
          <w:rFonts w:hint="eastAsia" w:ascii="黑体" w:hAnsi="黑体" w:eastAsia="黑体" w:cs="黑体"/>
          <w:color w:val="000000"/>
          <w:sz w:val="21"/>
        </w:rPr>
        <w:t>在本合同有效期内甲方不得与第三方再另行签定本合同约定的危险废物范围的处理协议；未经乙方书面同意，甲方不得将本合同约定的危险废物交由第三方处置；</w:t>
      </w:r>
    </w:p>
    <w:p w14:paraId="0BD2BA10">
      <w:pPr>
        <w:widowControl w:val="0"/>
        <w:spacing w:line="360" w:lineRule="auto"/>
        <w:jc w:val="both"/>
        <w:rPr>
          <w:rFonts w:ascii="黑体" w:hAnsi="黑体" w:eastAsia="黑体" w:cs="黑体"/>
          <w:color w:val="000000"/>
          <w:sz w:val="21"/>
          <w:lang w:val="en-US" w:eastAsia="zh-CN" w:bidi="ar-SA"/>
        </w:rPr>
      </w:pPr>
      <w:r>
        <w:rPr>
          <w:rFonts w:hint="eastAsia" w:ascii="黑体" w:hAnsi="黑体" w:eastAsia="黑体" w:cs="黑体"/>
          <w:color w:val="000000"/>
          <w:sz w:val="21"/>
          <w:lang w:val="en-US" w:eastAsia="zh-CN" w:bidi="ar-SA"/>
        </w:rPr>
        <w:t xml:space="preserve"> </w:t>
      </w:r>
      <w:r>
        <w:rPr>
          <w:rFonts w:hint="eastAsia" w:ascii="黑体" w:hAnsi="黑体" w:eastAsia="黑体" w:cs="黑体"/>
          <w:b/>
          <w:color w:val="000000"/>
          <w:sz w:val="21"/>
          <w:lang w:val="zh-CN" w:eastAsia="zh-CN" w:bidi="ar-SA"/>
        </w:rPr>
        <w:t>第</w:t>
      </w:r>
      <w:r>
        <w:rPr>
          <w:rFonts w:hint="eastAsia" w:ascii="黑体" w:hAnsi="黑体" w:eastAsia="黑体" w:cs="黑体"/>
          <w:b/>
          <w:color w:val="000000"/>
          <w:sz w:val="21"/>
          <w:lang w:val="en-US" w:eastAsia="zh-CN" w:bidi="ar-SA"/>
        </w:rPr>
        <w:t>九</w:t>
      </w:r>
      <w:r>
        <w:rPr>
          <w:rFonts w:hint="eastAsia" w:ascii="黑体" w:hAnsi="黑体" w:eastAsia="黑体" w:cs="黑体"/>
          <w:b/>
          <w:color w:val="000000"/>
          <w:sz w:val="21"/>
          <w:lang w:val="zh-CN" w:eastAsia="zh-CN" w:bidi="ar-SA"/>
        </w:rPr>
        <w:t>条</w:t>
      </w:r>
      <w:r>
        <w:rPr>
          <w:rFonts w:hint="eastAsia" w:ascii="黑体" w:hAnsi="黑体" w:eastAsia="黑体" w:cs="黑体"/>
          <w:b/>
          <w:color w:val="000000"/>
          <w:sz w:val="21"/>
          <w:lang w:val="en-US" w:eastAsia="zh-CN" w:bidi="ar-SA"/>
        </w:rPr>
        <w:t xml:space="preserve"> </w:t>
      </w:r>
      <w:r>
        <w:rPr>
          <w:rFonts w:hint="eastAsia" w:ascii="黑体" w:hAnsi="黑体" w:eastAsia="黑体" w:cs="黑体"/>
          <w:color w:val="000000"/>
          <w:sz w:val="21"/>
          <w:lang w:val="zh-CN" w:eastAsia="zh-CN" w:bidi="ar-SA"/>
        </w:rPr>
        <w:t xml:space="preserve"> </w:t>
      </w:r>
      <w:r>
        <w:rPr>
          <w:rFonts w:hint="eastAsia" w:ascii="黑体" w:hAnsi="黑体" w:eastAsia="黑体" w:cs="黑体"/>
          <w:color w:val="000000"/>
          <w:sz w:val="21"/>
          <w:lang w:val="en-US" w:eastAsia="zh-CN" w:bidi="ar-SA"/>
        </w:rPr>
        <w:t>合同的变更、解除或者终止</w:t>
      </w:r>
    </w:p>
    <w:p w14:paraId="51F7102F">
      <w:pPr>
        <w:widowControl w:val="0"/>
        <w:numPr>
          <w:ilvl w:val="0"/>
          <w:numId w:val="6"/>
        </w:numPr>
        <w:spacing w:line="360" w:lineRule="auto"/>
        <w:jc w:val="both"/>
        <w:rPr>
          <w:rFonts w:ascii="黑体" w:hAnsi="黑体" w:eastAsia="黑体" w:cs="黑体"/>
          <w:color w:val="000000"/>
          <w:sz w:val="21"/>
          <w:lang w:val="en-US" w:eastAsia="zh-CN" w:bidi="ar-SA"/>
        </w:rPr>
      </w:pPr>
      <w:r>
        <w:rPr>
          <w:rFonts w:hint="eastAsia" w:ascii="黑体" w:hAnsi="黑体" w:eastAsia="黑体" w:cs="黑体"/>
          <w:color w:val="000000"/>
          <w:sz w:val="21"/>
          <w:lang w:val="en-US" w:eastAsia="zh-CN" w:bidi="ar-SA"/>
        </w:rPr>
        <w:t>因国家法律、法规或者政策的变化，导致对危险废物的处置要求发生变化时，双方应根据新的要求对本合同进行变更、解除或终止。</w:t>
      </w:r>
    </w:p>
    <w:p w14:paraId="1C843738">
      <w:pPr>
        <w:widowControl w:val="0"/>
        <w:numPr>
          <w:ilvl w:val="0"/>
          <w:numId w:val="6"/>
        </w:numPr>
        <w:spacing w:line="360" w:lineRule="auto"/>
        <w:jc w:val="both"/>
        <w:rPr>
          <w:rFonts w:ascii="黑体" w:hAnsi="黑体" w:eastAsia="黑体" w:cs="黑体"/>
          <w:color w:val="000000"/>
          <w:sz w:val="21"/>
          <w:lang w:val="en-US" w:eastAsia="zh-CN" w:bidi="ar-SA"/>
        </w:rPr>
      </w:pPr>
      <w:r>
        <w:rPr>
          <w:rFonts w:hint="eastAsia" w:ascii="黑体" w:hAnsi="黑体" w:eastAsia="黑体" w:cs="黑体"/>
          <w:color w:val="000000"/>
          <w:sz w:val="21"/>
          <w:lang w:val="en-US" w:eastAsia="zh-CN" w:bidi="ar-SA"/>
        </w:rPr>
        <w:t>有下列情形之一的，合同一方当事人可以变更、解除或者终止合同；</w:t>
      </w:r>
    </w:p>
    <w:p w14:paraId="7274A2BC">
      <w:pPr>
        <w:widowControl w:val="0"/>
        <w:numPr>
          <w:ilvl w:val="0"/>
          <w:numId w:val="7"/>
        </w:numPr>
        <w:spacing w:line="360" w:lineRule="auto"/>
        <w:jc w:val="both"/>
        <w:rPr>
          <w:rFonts w:ascii="黑体" w:hAnsi="黑体" w:eastAsia="黑体" w:cs="黑体"/>
          <w:color w:val="000000"/>
          <w:sz w:val="21"/>
          <w:lang w:val="en-US" w:eastAsia="zh-CN" w:bidi="ar-SA"/>
        </w:rPr>
      </w:pPr>
      <w:r>
        <w:rPr>
          <w:rFonts w:hint="eastAsia" w:ascii="黑体" w:hAnsi="黑体" w:eastAsia="黑体" w:cs="黑体"/>
          <w:color w:val="000000"/>
          <w:sz w:val="21"/>
          <w:lang w:val="en-US" w:eastAsia="zh-CN" w:bidi="ar-SA"/>
        </w:rPr>
        <w:t>经甲乙双方书面协商一致的；</w:t>
      </w:r>
    </w:p>
    <w:p w14:paraId="490D1C7A">
      <w:pPr>
        <w:widowControl w:val="0"/>
        <w:numPr>
          <w:ilvl w:val="0"/>
          <w:numId w:val="7"/>
        </w:numPr>
        <w:spacing w:line="360" w:lineRule="auto"/>
        <w:jc w:val="both"/>
        <w:rPr>
          <w:rFonts w:ascii="黑体" w:hAnsi="黑体" w:eastAsia="黑体" w:cs="黑体"/>
          <w:color w:val="000000"/>
          <w:sz w:val="21"/>
          <w:lang w:val="en-US" w:eastAsia="zh-CN" w:bidi="ar-SA"/>
        </w:rPr>
      </w:pPr>
      <w:r>
        <w:rPr>
          <w:rFonts w:hint="eastAsia" w:ascii="黑体" w:hAnsi="黑体" w:eastAsia="黑体" w:cs="黑体"/>
          <w:color w:val="000000"/>
          <w:sz w:val="21"/>
          <w:lang w:val="en-US" w:eastAsia="zh-CN" w:bidi="ar-SA"/>
        </w:rPr>
        <w:t>因不可抗力情形致使不能实现合同目的；</w:t>
      </w:r>
    </w:p>
    <w:p w14:paraId="28192DE4">
      <w:pPr>
        <w:widowControl w:val="0"/>
        <w:numPr>
          <w:ilvl w:val="0"/>
          <w:numId w:val="7"/>
        </w:numPr>
        <w:spacing w:line="360" w:lineRule="auto"/>
        <w:jc w:val="both"/>
        <w:rPr>
          <w:rFonts w:ascii="黑体" w:hAnsi="黑体" w:eastAsia="黑体" w:cs="黑体"/>
          <w:color w:val="000000"/>
          <w:sz w:val="21"/>
          <w:lang w:val="en-US" w:eastAsia="zh-CN" w:bidi="ar-SA"/>
        </w:rPr>
      </w:pPr>
      <w:r>
        <w:rPr>
          <w:rFonts w:hint="eastAsia" w:ascii="黑体" w:hAnsi="黑体" w:eastAsia="黑体" w:cs="黑体"/>
          <w:color w:val="000000"/>
          <w:sz w:val="21"/>
          <w:lang w:val="en-US" w:eastAsia="zh-CN" w:bidi="ar-SA"/>
        </w:rPr>
        <w:t>甲方或乙方因合并、分立、解散、破产等致使合同不能履行；</w:t>
      </w:r>
    </w:p>
    <w:p w14:paraId="6472C487">
      <w:pPr>
        <w:widowControl w:val="0"/>
        <w:numPr>
          <w:ilvl w:val="0"/>
          <w:numId w:val="7"/>
        </w:numPr>
        <w:spacing w:line="360" w:lineRule="auto"/>
        <w:jc w:val="both"/>
        <w:rPr>
          <w:rFonts w:ascii="黑体" w:hAnsi="黑体" w:eastAsia="黑体" w:cs="黑体"/>
          <w:color w:val="000000"/>
          <w:sz w:val="21"/>
          <w:lang w:val="en-US" w:eastAsia="zh-CN" w:bidi="ar-SA"/>
        </w:rPr>
      </w:pPr>
      <w:r>
        <w:rPr>
          <w:rFonts w:hint="eastAsia" w:ascii="黑体" w:hAnsi="黑体" w:eastAsia="黑体" w:cs="黑体"/>
          <w:color w:val="000000"/>
          <w:sz w:val="21"/>
          <w:lang w:val="en-US" w:eastAsia="zh-CN" w:bidi="ar-SA"/>
        </w:rPr>
        <w:t>法律、行政法规规定的其他情形；</w:t>
      </w:r>
    </w:p>
    <w:p w14:paraId="00CBABE2">
      <w:pPr>
        <w:widowControl w:val="0"/>
        <w:spacing w:line="360" w:lineRule="auto"/>
        <w:jc w:val="both"/>
        <w:rPr>
          <w:rFonts w:ascii="黑体" w:hAnsi="黑体" w:eastAsia="黑体" w:cs="黑体"/>
          <w:color w:val="000000"/>
          <w:sz w:val="21"/>
          <w:lang w:val="en-US" w:eastAsia="zh-CN" w:bidi="ar-SA"/>
        </w:rPr>
      </w:pPr>
      <w:r>
        <w:rPr>
          <w:rFonts w:hint="eastAsia" w:ascii="黑体" w:hAnsi="黑体" w:eastAsia="黑体" w:cs="黑体"/>
          <w:color w:val="000000"/>
          <w:sz w:val="21"/>
          <w:lang w:val="en-US" w:eastAsia="zh-CN" w:bidi="ar-SA"/>
        </w:rPr>
        <w:t>3、甲乙双方按照本条第二款第（2）（3）（4）项之规定主张解除合同的，应当提前30天以书面形式通知对方。</w:t>
      </w:r>
    </w:p>
    <w:p w14:paraId="5897DD46">
      <w:pPr>
        <w:pStyle w:val="80"/>
        <w:spacing w:line="360" w:lineRule="auto"/>
        <w:rPr>
          <w:rFonts w:ascii="黑体" w:hAnsi="黑体" w:eastAsia="黑体" w:cs="黑体"/>
          <w:color w:val="000000"/>
          <w:sz w:val="21"/>
        </w:rPr>
      </w:pPr>
      <w:r>
        <w:rPr>
          <w:rFonts w:hint="eastAsia" w:ascii="黑体" w:hAnsi="黑体" w:eastAsia="黑体" w:cs="黑体"/>
          <w:b/>
          <w:color w:val="000000"/>
          <w:sz w:val="21"/>
        </w:rPr>
        <w:t>第十条</w:t>
      </w:r>
      <w:r>
        <w:rPr>
          <w:rFonts w:hint="eastAsia" w:ascii="黑体" w:hAnsi="黑体" w:eastAsia="黑体" w:cs="黑体"/>
          <w:color w:val="000000"/>
          <w:sz w:val="21"/>
        </w:rPr>
        <w:t xml:space="preserve">  当事人迟延履行后发生</w:t>
      </w:r>
      <w:r>
        <w:rPr>
          <w:rFonts w:hint="eastAsia" w:ascii="黑体" w:hAnsi="黑体" w:eastAsia="黑体" w:cs="黑体"/>
          <w:color w:val="000000"/>
          <w:sz w:val="21"/>
          <w:lang w:val="en-US"/>
        </w:rPr>
        <w:t>上述</w:t>
      </w:r>
      <w:r>
        <w:rPr>
          <w:rFonts w:hint="eastAsia" w:ascii="黑体" w:hAnsi="黑体" w:eastAsia="黑体" w:cs="黑体"/>
          <w:color w:val="000000"/>
          <w:sz w:val="21"/>
        </w:rPr>
        <w:t>不可抗力</w:t>
      </w:r>
      <w:r>
        <w:rPr>
          <w:rFonts w:hint="eastAsia" w:ascii="黑体" w:hAnsi="黑体" w:eastAsia="黑体" w:cs="黑体"/>
          <w:color w:val="000000"/>
          <w:sz w:val="21"/>
          <w:lang w:val="en-US"/>
        </w:rPr>
        <w:t>情形</w:t>
      </w:r>
      <w:r>
        <w:rPr>
          <w:rFonts w:hint="eastAsia" w:ascii="黑体" w:hAnsi="黑体" w:eastAsia="黑体" w:cs="黑体"/>
          <w:color w:val="000000"/>
          <w:sz w:val="21"/>
        </w:rPr>
        <w:t>的，不能免除责任。</w:t>
      </w:r>
    </w:p>
    <w:p w14:paraId="4152C946">
      <w:pPr>
        <w:pStyle w:val="80"/>
        <w:spacing w:line="360" w:lineRule="auto"/>
        <w:rPr>
          <w:rFonts w:ascii="黑体" w:hAnsi="黑体" w:eastAsia="黑体" w:cs="黑体"/>
          <w:color w:val="000000"/>
          <w:sz w:val="21"/>
        </w:rPr>
      </w:pPr>
      <w:r>
        <w:rPr>
          <w:rFonts w:hint="eastAsia" w:ascii="黑体" w:hAnsi="黑体" w:eastAsia="黑体" w:cs="黑体"/>
          <w:b/>
          <w:bCs/>
          <w:color w:val="000000"/>
          <w:sz w:val="21"/>
        </w:rPr>
        <w:t>第十</w:t>
      </w:r>
      <w:r>
        <w:rPr>
          <w:rFonts w:hint="eastAsia" w:ascii="黑体" w:hAnsi="黑体" w:eastAsia="黑体" w:cs="黑体"/>
          <w:b/>
          <w:bCs/>
          <w:color w:val="000000"/>
          <w:sz w:val="21"/>
          <w:lang w:val="en-US"/>
        </w:rPr>
        <w:t>一</w:t>
      </w:r>
      <w:r>
        <w:rPr>
          <w:rFonts w:hint="eastAsia" w:ascii="黑体" w:hAnsi="黑体" w:eastAsia="黑体" w:cs="黑体"/>
          <w:b/>
          <w:bCs/>
          <w:color w:val="000000"/>
          <w:sz w:val="21"/>
        </w:rPr>
        <w:t xml:space="preserve">条  </w:t>
      </w:r>
      <w:r>
        <w:rPr>
          <w:rFonts w:hint="eastAsia" w:ascii="黑体" w:hAnsi="黑体" w:eastAsia="黑体" w:cs="黑体"/>
          <w:color w:val="000000"/>
          <w:sz w:val="21"/>
        </w:rPr>
        <w:t>双方因履行本合同而发生的争议，应协商解决。不能协商或经协商不</w:t>
      </w:r>
      <w:r>
        <w:rPr>
          <w:rFonts w:hint="eastAsia" w:ascii="黑体" w:hAnsi="黑体" w:eastAsia="黑体" w:cs="黑体"/>
          <w:color w:val="000000"/>
          <w:sz w:val="21"/>
          <w:lang w:val="en-US"/>
        </w:rPr>
        <w:t>成</w:t>
      </w:r>
      <w:r>
        <w:rPr>
          <w:rFonts w:hint="eastAsia" w:ascii="黑体" w:hAnsi="黑体" w:eastAsia="黑体" w:cs="黑体"/>
          <w:color w:val="000000"/>
          <w:sz w:val="21"/>
        </w:rPr>
        <w:t>的，甲乙双方均有权向合同签订地人民法院诉讼解决。</w:t>
      </w:r>
    </w:p>
    <w:p w14:paraId="3AE92C7C">
      <w:pPr>
        <w:pStyle w:val="80"/>
        <w:spacing w:line="360" w:lineRule="auto"/>
        <w:rPr>
          <w:rFonts w:ascii="黑体" w:hAnsi="黑体" w:eastAsia="黑体" w:cs="黑体"/>
          <w:color w:val="000000"/>
          <w:sz w:val="21"/>
        </w:rPr>
      </w:pPr>
      <w:r>
        <w:rPr>
          <w:rFonts w:hint="eastAsia" w:ascii="黑体" w:hAnsi="黑体" w:eastAsia="黑体" w:cs="黑体"/>
          <w:b/>
          <w:bCs/>
          <w:color w:val="000000"/>
          <w:sz w:val="21"/>
        </w:rPr>
        <w:t>第</w:t>
      </w:r>
      <w:r>
        <w:rPr>
          <w:rFonts w:hint="eastAsia" w:ascii="黑体" w:hAnsi="黑体" w:eastAsia="黑体" w:cs="黑体"/>
          <w:b/>
          <w:bCs/>
          <w:color w:val="000000"/>
          <w:sz w:val="21"/>
          <w:lang w:val="en-US"/>
        </w:rPr>
        <w:t>十二</w:t>
      </w:r>
      <w:r>
        <w:rPr>
          <w:rFonts w:hint="eastAsia" w:ascii="黑体" w:hAnsi="黑体" w:eastAsia="黑体" w:cs="黑体"/>
          <w:b/>
          <w:bCs/>
          <w:color w:val="000000"/>
          <w:sz w:val="21"/>
        </w:rPr>
        <w:t>条</w:t>
      </w:r>
      <w:r>
        <w:rPr>
          <w:rFonts w:hint="eastAsia" w:ascii="黑体" w:hAnsi="黑体" w:eastAsia="黑体" w:cs="黑体"/>
          <w:color w:val="000000"/>
          <w:sz w:val="21"/>
        </w:rPr>
        <w:t xml:space="preserve">  本合同</w:t>
      </w:r>
      <w:r>
        <w:rPr>
          <w:rFonts w:hint="eastAsia" w:ascii="黑体" w:hAnsi="黑体" w:eastAsia="黑体" w:cs="黑体"/>
          <w:color w:val="000000"/>
          <w:sz w:val="21"/>
          <w:lang w:val="en-US"/>
        </w:rPr>
        <w:t>未尽事宜可由双方另行协商签订补充条款，补充条款与本协议具有同等法律效力；</w:t>
      </w:r>
      <w:r>
        <w:rPr>
          <w:rFonts w:hint="eastAsia" w:ascii="黑体" w:hAnsi="黑体" w:eastAsia="黑体" w:cs="黑体"/>
          <w:color w:val="000000"/>
          <w:sz w:val="21"/>
        </w:rPr>
        <w:t>如有</w:t>
      </w:r>
      <w:r>
        <w:rPr>
          <w:rFonts w:hint="eastAsia" w:ascii="黑体" w:hAnsi="黑体" w:eastAsia="黑体" w:cs="黑体"/>
          <w:color w:val="000000"/>
          <w:sz w:val="21"/>
          <w:lang w:val="en-US"/>
        </w:rPr>
        <w:t>条款</w:t>
      </w:r>
      <w:r>
        <w:rPr>
          <w:rFonts w:hint="eastAsia" w:ascii="黑体" w:hAnsi="黑体" w:eastAsia="黑体" w:cs="黑体"/>
          <w:color w:val="000000"/>
          <w:sz w:val="21"/>
        </w:rPr>
        <w:t>与法律法规</w:t>
      </w:r>
      <w:r>
        <w:rPr>
          <w:rFonts w:hint="eastAsia" w:ascii="黑体" w:hAnsi="黑体" w:eastAsia="黑体" w:cs="黑体"/>
          <w:color w:val="000000"/>
          <w:sz w:val="21"/>
          <w:lang w:val="en-US"/>
        </w:rPr>
        <w:t>相冲突</w:t>
      </w:r>
      <w:r>
        <w:rPr>
          <w:rFonts w:hint="eastAsia" w:ascii="黑体" w:hAnsi="黑体" w:eastAsia="黑体" w:cs="黑体"/>
          <w:color w:val="000000"/>
          <w:sz w:val="21"/>
        </w:rPr>
        <w:t>，以法律法规为准。</w:t>
      </w:r>
    </w:p>
    <w:p w14:paraId="13D23173">
      <w:pPr>
        <w:pStyle w:val="80"/>
        <w:spacing w:line="360" w:lineRule="auto"/>
        <w:rPr>
          <w:rFonts w:ascii="黑体" w:hAnsi="黑体" w:eastAsia="黑体" w:cs="黑体"/>
          <w:color w:val="000000"/>
          <w:sz w:val="21"/>
          <w:lang w:val="en-US"/>
        </w:rPr>
      </w:pPr>
      <w:r>
        <w:rPr>
          <w:rFonts w:hint="eastAsia" w:ascii="黑体" w:hAnsi="黑体" w:eastAsia="黑体" w:cs="黑体"/>
          <w:b/>
          <w:bCs/>
          <w:color w:val="000000"/>
          <w:sz w:val="21"/>
        </w:rPr>
        <w:t>第十</w:t>
      </w:r>
      <w:r>
        <w:rPr>
          <w:rFonts w:hint="eastAsia" w:ascii="黑体" w:hAnsi="黑体" w:eastAsia="黑体" w:cs="黑体"/>
          <w:b/>
          <w:bCs/>
          <w:color w:val="000000"/>
          <w:sz w:val="21"/>
          <w:lang w:val="en-US"/>
        </w:rPr>
        <w:t>三</w:t>
      </w:r>
      <w:r>
        <w:rPr>
          <w:rFonts w:hint="eastAsia" w:ascii="黑体" w:hAnsi="黑体" w:eastAsia="黑体" w:cs="黑体"/>
          <w:b/>
          <w:bCs/>
          <w:color w:val="000000"/>
          <w:sz w:val="21"/>
        </w:rPr>
        <w:t xml:space="preserve">条 </w:t>
      </w:r>
      <w:r>
        <w:rPr>
          <w:rFonts w:hint="eastAsia" w:ascii="黑体" w:hAnsi="黑体" w:eastAsia="黑体" w:cs="黑体"/>
          <w:color w:val="000000"/>
          <w:sz w:val="21"/>
          <w:lang w:val="en-US"/>
        </w:rPr>
        <w:t>本协议经甲乙双方负责人/委托代理人签字，并加盖单位公章或合同专用章后成立并生效。</w:t>
      </w:r>
    </w:p>
    <w:p w14:paraId="2BD78F4B">
      <w:pPr>
        <w:pStyle w:val="80"/>
        <w:spacing w:line="360" w:lineRule="auto"/>
        <w:rPr>
          <w:rFonts w:ascii="黑体" w:hAnsi="黑体" w:eastAsia="黑体" w:cs="黑体"/>
          <w:color w:val="000000"/>
          <w:sz w:val="21"/>
        </w:rPr>
      </w:pPr>
      <w:r>
        <w:rPr>
          <w:rFonts w:hint="eastAsia" w:ascii="黑体" w:hAnsi="黑体" w:eastAsia="黑体" w:cs="黑体"/>
          <w:b/>
          <w:bCs/>
          <w:color w:val="000000"/>
          <w:sz w:val="21"/>
          <w:lang w:val="en-US"/>
        </w:rPr>
        <w:t>第十四条</w:t>
      </w:r>
      <w:r>
        <w:rPr>
          <w:rFonts w:hint="eastAsia" w:ascii="黑体" w:hAnsi="黑体" w:eastAsia="黑体" w:cs="黑体"/>
          <w:color w:val="000000"/>
          <w:sz w:val="21"/>
          <w:lang w:val="en-US"/>
        </w:rPr>
        <w:t xml:space="preserve">  </w:t>
      </w:r>
      <w:r>
        <w:rPr>
          <w:rFonts w:hint="eastAsia" w:ascii="黑体" w:hAnsi="黑体" w:eastAsia="黑体" w:cs="黑体"/>
          <w:color w:val="000000"/>
          <w:sz w:val="21"/>
        </w:rPr>
        <w:t>本合同一式</w:t>
      </w:r>
      <w:r>
        <w:rPr>
          <w:rFonts w:hint="eastAsia" w:ascii="黑体" w:hAnsi="黑体" w:eastAsia="黑体" w:cs="黑体"/>
          <w:color w:val="000000"/>
          <w:sz w:val="21"/>
          <w:lang w:val="en-US"/>
        </w:rPr>
        <w:t>肆</w:t>
      </w:r>
      <w:r>
        <w:rPr>
          <w:rFonts w:hint="eastAsia" w:ascii="黑体" w:hAnsi="黑体" w:eastAsia="黑体" w:cs="黑体"/>
          <w:color w:val="000000"/>
          <w:sz w:val="21"/>
        </w:rPr>
        <w:t>份，甲方执</w:t>
      </w:r>
      <w:r>
        <w:rPr>
          <w:rFonts w:hint="eastAsia" w:ascii="黑体" w:hAnsi="黑体" w:eastAsia="黑体" w:cs="黑体"/>
          <w:color w:val="000000"/>
          <w:sz w:val="21"/>
          <w:lang w:val="en-US"/>
        </w:rPr>
        <w:t>贰</w:t>
      </w:r>
      <w:r>
        <w:rPr>
          <w:rFonts w:hint="eastAsia" w:ascii="黑体" w:hAnsi="黑体" w:eastAsia="黑体" w:cs="黑体"/>
          <w:color w:val="000000"/>
          <w:sz w:val="21"/>
        </w:rPr>
        <w:t>份，乙方执</w:t>
      </w:r>
      <w:r>
        <w:rPr>
          <w:rFonts w:hint="eastAsia" w:ascii="黑体" w:hAnsi="黑体" w:eastAsia="黑体" w:cs="黑体"/>
          <w:color w:val="000000"/>
          <w:sz w:val="21"/>
          <w:lang w:val="en-US"/>
        </w:rPr>
        <w:t>贰</w:t>
      </w:r>
      <w:r>
        <w:rPr>
          <w:rFonts w:hint="eastAsia" w:ascii="黑体" w:hAnsi="黑体" w:eastAsia="黑体" w:cs="黑体"/>
          <w:color w:val="000000"/>
          <w:sz w:val="21"/>
        </w:rPr>
        <w:t>份，具有同等法律效力。</w:t>
      </w:r>
    </w:p>
    <w:p w14:paraId="7E6342E2">
      <w:pPr>
        <w:widowControl w:val="0"/>
        <w:spacing w:line="360" w:lineRule="auto"/>
        <w:ind w:firstLine="420" w:firstLineChars="200"/>
        <w:rPr>
          <w:rFonts w:ascii="黑体" w:hAnsi="黑体" w:eastAsia="黑体" w:cs="黑体"/>
          <w:b/>
          <w:bCs/>
          <w:color w:val="000000"/>
          <w:sz w:val="21"/>
          <w:lang w:val="zh-CN" w:eastAsia="zh-CN" w:bidi="ar-SA"/>
        </w:rPr>
      </w:pPr>
      <w:r>
        <w:rPr>
          <w:rFonts w:hint="eastAsia" w:ascii="黑体" w:hAnsi="黑体" w:eastAsia="黑体" w:cs="黑体"/>
          <w:color w:val="000000"/>
          <w:sz w:val="21"/>
          <w:lang w:val="zh-CN" w:eastAsia="zh-CN" w:bidi="ar-SA"/>
        </w:rPr>
        <w:t>以下无正文</w:t>
      </w:r>
    </w:p>
    <w:p w14:paraId="646100F6">
      <w:pPr>
        <w:widowControl w:val="0"/>
        <w:spacing w:line="360" w:lineRule="auto"/>
        <w:rPr>
          <w:rFonts w:ascii="黑体" w:hAnsi="黑体" w:eastAsia="黑体" w:cs="黑体"/>
          <w:b/>
          <w:bCs/>
          <w:color w:val="000000"/>
          <w:sz w:val="21"/>
          <w:lang w:val="en-US" w:eastAsia="zh-CN" w:bidi="ar-SA"/>
        </w:rPr>
      </w:pPr>
      <w:r>
        <w:rPr>
          <w:rFonts w:hint="eastAsia" w:ascii="黑体" w:hAnsi="黑体" w:eastAsia="黑体" w:cs="黑体"/>
          <w:b/>
          <w:bCs/>
          <w:color w:val="000000"/>
          <w:sz w:val="21"/>
          <w:lang w:val="zh-CN" w:eastAsia="zh-CN" w:bidi="ar-SA"/>
        </w:rPr>
        <w:t>附件一</w:t>
      </w:r>
      <w:r>
        <w:rPr>
          <w:rFonts w:hint="eastAsia" w:ascii="黑体" w:hAnsi="黑体" w:eastAsia="黑体" w:cs="黑体"/>
          <w:b/>
          <w:bCs/>
          <w:color w:val="000000"/>
          <w:sz w:val="21"/>
          <w:lang w:val="en-US" w:eastAsia="zh-CN" w:bidi="ar-SA"/>
        </w:rPr>
        <w:t>:</w:t>
      </w:r>
    </w:p>
    <w:p w14:paraId="3FDAE262">
      <w:pPr>
        <w:widowControl w:val="0"/>
        <w:spacing w:line="360" w:lineRule="auto"/>
        <w:jc w:val="center"/>
        <w:rPr>
          <w:rFonts w:ascii="黑体" w:hAnsi="黑体" w:eastAsia="黑体" w:cs="黑体"/>
          <w:b/>
          <w:bCs/>
          <w:color w:val="000000"/>
          <w:sz w:val="22"/>
          <w:szCs w:val="21"/>
          <w:lang w:val="en-US" w:eastAsia="zh-CN" w:bidi="ar-SA"/>
        </w:rPr>
      </w:pPr>
      <w:r>
        <w:rPr>
          <w:rFonts w:hint="eastAsia" w:ascii="黑体" w:hAnsi="黑体" w:eastAsia="黑体" w:cs="黑体"/>
          <w:b/>
          <w:bCs/>
          <w:color w:val="000000"/>
          <w:sz w:val="22"/>
          <w:szCs w:val="21"/>
          <w:lang w:val="en-US" w:eastAsia="zh-CN" w:bidi="ar-SA"/>
        </w:rPr>
        <w:t>危险废物准入参考基准</w:t>
      </w:r>
    </w:p>
    <w:tbl>
      <w:tblPr>
        <w:tblStyle w:val="26"/>
        <w:tblpPr w:leftFromText="180" w:rightFromText="180" w:vertAnchor="text" w:horzAnchor="page" w:tblpXSpec="center" w:tblpY="88"/>
        <w:tblOverlap w:val="never"/>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58"/>
        <w:gridCol w:w="2346"/>
        <w:gridCol w:w="642"/>
        <w:gridCol w:w="1627"/>
        <w:gridCol w:w="2029"/>
      </w:tblGrid>
      <w:tr w14:paraId="631F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822" w:type="dxa"/>
            <w:gridSpan w:val="6"/>
            <w:noWrap w:val="0"/>
            <w:vAlign w:val="center"/>
          </w:tcPr>
          <w:p w14:paraId="7C8E9F99">
            <w:pPr>
              <w:ind w:firstLine="2951" w:firstLineChars="1400"/>
              <w:rPr>
                <w:rFonts w:ascii="黑体" w:hAnsi="黑体" w:eastAsia="黑体" w:cs="黑体"/>
                <w:color w:val="000000"/>
                <w:sz w:val="21"/>
                <w:szCs w:val="15"/>
              </w:rPr>
            </w:pPr>
            <w:r>
              <w:rPr>
                <w:rFonts w:hint="eastAsia" w:ascii="黑体" w:hAnsi="黑体" w:eastAsia="黑体" w:cs="黑体"/>
                <w:b/>
                <w:bCs/>
                <w:color w:val="000000"/>
                <w:sz w:val="21"/>
                <w:szCs w:val="15"/>
              </w:rPr>
              <w:t>危险废物有害元素控制基准表</w:t>
            </w:r>
          </w:p>
        </w:tc>
      </w:tr>
      <w:tr w14:paraId="155B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0" w:type="dxa"/>
            <w:noWrap w:val="0"/>
            <w:vAlign w:val="center"/>
          </w:tcPr>
          <w:p w14:paraId="01BDADDF">
            <w:pPr>
              <w:jc w:val="center"/>
              <w:rPr>
                <w:rFonts w:ascii="黑体" w:hAnsi="黑体" w:eastAsia="黑体" w:cs="黑体"/>
                <w:color w:val="000000"/>
                <w:sz w:val="21"/>
                <w:szCs w:val="15"/>
              </w:rPr>
            </w:pPr>
            <w:r>
              <w:rPr>
                <w:rFonts w:hint="eastAsia" w:ascii="黑体" w:hAnsi="黑体" w:eastAsia="黑体" w:cs="黑体"/>
                <w:color w:val="000000"/>
                <w:sz w:val="21"/>
                <w:szCs w:val="15"/>
              </w:rPr>
              <w:t>序号</w:t>
            </w:r>
          </w:p>
        </w:tc>
        <w:tc>
          <w:tcPr>
            <w:tcW w:w="1458" w:type="dxa"/>
            <w:noWrap w:val="0"/>
            <w:vAlign w:val="center"/>
          </w:tcPr>
          <w:p w14:paraId="1575CC16">
            <w:pPr>
              <w:jc w:val="center"/>
              <w:rPr>
                <w:rFonts w:ascii="黑体" w:hAnsi="黑体" w:eastAsia="黑体" w:cs="黑体"/>
                <w:color w:val="000000"/>
                <w:sz w:val="21"/>
                <w:szCs w:val="15"/>
              </w:rPr>
            </w:pPr>
            <w:r>
              <w:rPr>
                <w:rFonts w:hint="eastAsia" w:ascii="黑体" w:hAnsi="黑体" w:eastAsia="黑体" w:cs="黑体"/>
                <w:color w:val="000000"/>
                <w:sz w:val="21"/>
                <w:szCs w:val="15"/>
              </w:rPr>
              <w:t>有害因素</w:t>
            </w:r>
          </w:p>
        </w:tc>
        <w:tc>
          <w:tcPr>
            <w:tcW w:w="2346" w:type="dxa"/>
            <w:noWrap w:val="0"/>
            <w:vAlign w:val="center"/>
          </w:tcPr>
          <w:p w14:paraId="29EFD668">
            <w:pPr>
              <w:jc w:val="center"/>
              <w:rPr>
                <w:rFonts w:ascii="黑体" w:hAnsi="黑体" w:eastAsia="黑体" w:cs="黑体"/>
                <w:color w:val="000000"/>
                <w:sz w:val="21"/>
                <w:szCs w:val="15"/>
              </w:rPr>
            </w:pPr>
            <w:r>
              <w:rPr>
                <w:rFonts w:hint="eastAsia" w:ascii="黑体" w:hAnsi="黑体" w:eastAsia="黑体" w:cs="黑体"/>
                <w:color w:val="000000"/>
                <w:sz w:val="21"/>
                <w:szCs w:val="15"/>
              </w:rPr>
              <w:t>最大限值</w:t>
            </w:r>
          </w:p>
        </w:tc>
        <w:tc>
          <w:tcPr>
            <w:tcW w:w="642" w:type="dxa"/>
            <w:noWrap w:val="0"/>
            <w:vAlign w:val="center"/>
          </w:tcPr>
          <w:p w14:paraId="32F37199">
            <w:pPr>
              <w:jc w:val="center"/>
              <w:rPr>
                <w:rFonts w:ascii="黑体" w:hAnsi="黑体" w:eastAsia="黑体" w:cs="黑体"/>
                <w:color w:val="000000"/>
                <w:sz w:val="21"/>
                <w:szCs w:val="15"/>
              </w:rPr>
            </w:pPr>
            <w:r>
              <w:rPr>
                <w:rFonts w:hint="eastAsia" w:ascii="黑体" w:hAnsi="黑体" w:eastAsia="黑体" w:cs="黑体"/>
                <w:color w:val="000000"/>
                <w:sz w:val="21"/>
                <w:szCs w:val="15"/>
              </w:rPr>
              <w:t>序号</w:t>
            </w:r>
          </w:p>
        </w:tc>
        <w:tc>
          <w:tcPr>
            <w:tcW w:w="1627" w:type="dxa"/>
            <w:noWrap w:val="0"/>
            <w:vAlign w:val="center"/>
          </w:tcPr>
          <w:p w14:paraId="06BC6FFD">
            <w:pPr>
              <w:jc w:val="center"/>
              <w:rPr>
                <w:rFonts w:ascii="黑体" w:hAnsi="黑体" w:eastAsia="黑体" w:cs="黑体"/>
                <w:color w:val="000000"/>
                <w:sz w:val="21"/>
                <w:szCs w:val="15"/>
              </w:rPr>
            </w:pPr>
            <w:r>
              <w:rPr>
                <w:rFonts w:hint="eastAsia" w:ascii="黑体" w:hAnsi="黑体" w:eastAsia="黑体" w:cs="黑体"/>
                <w:color w:val="000000"/>
                <w:sz w:val="21"/>
                <w:szCs w:val="15"/>
              </w:rPr>
              <w:t>有害因素</w:t>
            </w:r>
          </w:p>
        </w:tc>
        <w:tc>
          <w:tcPr>
            <w:tcW w:w="2029" w:type="dxa"/>
            <w:noWrap w:val="0"/>
            <w:vAlign w:val="center"/>
          </w:tcPr>
          <w:p w14:paraId="191342AD">
            <w:pPr>
              <w:jc w:val="center"/>
              <w:rPr>
                <w:rFonts w:ascii="黑体" w:hAnsi="黑体" w:eastAsia="黑体" w:cs="黑体"/>
                <w:color w:val="000000"/>
                <w:sz w:val="21"/>
                <w:szCs w:val="15"/>
              </w:rPr>
            </w:pPr>
            <w:r>
              <w:rPr>
                <w:rFonts w:hint="eastAsia" w:ascii="黑体" w:hAnsi="黑体" w:eastAsia="黑体" w:cs="黑体"/>
                <w:color w:val="000000"/>
                <w:sz w:val="21"/>
                <w:szCs w:val="15"/>
              </w:rPr>
              <w:t>最大限值</w:t>
            </w:r>
          </w:p>
        </w:tc>
      </w:tr>
      <w:tr w14:paraId="1F7F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0" w:type="dxa"/>
            <w:noWrap w:val="0"/>
            <w:vAlign w:val="center"/>
          </w:tcPr>
          <w:p w14:paraId="0C685689">
            <w:pPr>
              <w:jc w:val="center"/>
              <w:rPr>
                <w:rFonts w:ascii="黑体" w:hAnsi="黑体" w:eastAsia="黑体" w:cs="黑体"/>
                <w:color w:val="000000"/>
                <w:sz w:val="21"/>
                <w:szCs w:val="15"/>
              </w:rPr>
            </w:pPr>
            <w:r>
              <w:rPr>
                <w:rFonts w:hint="eastAsia" w:ascii="黑体" w:hAnsi="黑体" w:eastAsia="黑体" w:cs="黑体"/>
                <w:color w:val="000000"/>
                <w:sz w:val="21"/>
                <w:szCs w:val="15"/>
              </w:rPr>
              <w:t>1</w:t>
            </w:r>
          </w:p>
        </w:tc>
        <w:tc>
          <w:tcPr>
            <w:tcW w:w="1458" w:type="dxa"/>
            <w:noWrap w:val="0"/>
            <w:vAlign w:val="center"/>
          </w:tcPr>
          <w:p w14:paraId="35DAA28D">
            <w:pPr>
              <w:jc w:val="center"/>
              <w:rPr>
                <w:rFonts w:ascii="黑体" w:hAnsi="黑体" w:eastAsia="黑体" w:cs="黑体"/>
                <w:color w:val="000000"/>
                <w:sz w:val="21"/>
                <w:szCs w:val="15"/>
              </w:rPr>
            </w:pPr>
            <w:r>
              <w:rPr>
                <w:rFonts w:hint="eastAsia" w:ascii="黑体" w:hAnsi="黑体" w:eastAsia="黑体" w:cs="黑体"/>
                <w:color w:val="000000"/>
                <w:sz w:val="21"/>
                <w:szCs w:val="15"/>
              </w:rPr>
              <w:t>（氯）Cl</w:t>
            </w:r>
            <w:r>
              <w:rPr>
                <w:rFonts w:hint="eastAsia" w:ascii="黑体" w:hAnsi="黑体" w:eastAsia="黑体" w:cs="黑体"/>
                <w:color w:val="000000"/>
                <w:sz w:val="21"/>
                <w:szCs w:val="15"/>
                <w:vertAlign w:val="superscript"/>
              </w:rPr>
              <w:t xml:space="preserve">- </w:t>
            </w:r>
          </w:p>
        </w:tc>
        <w:tc>
          <w:tcPr>
            <w:tcW w:w="2346" w:type="dxa"/>
            <w:noWrap w:val="0"/>
            <w:vAlign w:val="center"/>
          </w:tcPr>
          <w:p w14:paraId="20993241">
            <w:pPr>
              <w:jc w:val="center"/>
              <w:rPr>
                <w:rFonts w:ascii="黑体" w:hAnsi="黑体" w:eastAsia="黑体" w:cs="黑体"/>
                <w:color w:val="000000"/>
                <w:sz w:val="21"/>
                <w:szCs w:val="15"/>
              </w:rPr>
            </w:pPr>
            <w:r>
              <w:rPr>
                <w:rFonts w:hint="eastAsia" w:ascii="黑体" w:hAnsi="黑体" w:eastAsia="黑体" w:cs="黑体"/>
                <w:color w:val="000000"/>
                <w:sz w:val="21"/>
                <w:szCs w:val="15"/>
              </w:rPr>
              <w:t>20000mg/kg（2%）</w:t>
            </w:r>
          </w:p>
        </w:tc>
        <w:tc>
          <w:tcPr>
            <w:tcW w:w="642" w:type="dxa"/>
            <w:noWrap w:val="0"/>
            <w:vAlign w:val="center"/>
          </w:tcPr>
          <w:p w14:paraId="420ADF7A">
            <w:pPr>
              <w:jc w:val="center"/>
              <w:rPr>
                <w:rFonts w:ascii="黑体" w:hAnsi="黑体" w:eastAsia="黑体" w:cs="黑体"/>
                <w:color w:val="000000"/>
                <w:sz w:val="21"/>
                <w:szCs w:val="15"/>
              </w:rPr>
            </w:pPr>
            <w:r>
              <w:rPr>
                <w:rFonts w:hint="eastAsia" w:ascii="黑体" w:hAnsi="黑体" w:eastAsia="黑体" w:cs="黑体"/>
                <w:color w:val="000000"/>
                <w:sz w:val="21"/>
                <w:szCs w:val="15"/>
              </w:rPr>
              <w:t>10</w:t>
            </w:r>
          </w:p>
        </w:tc>
        <w:tc>
          <w:tcPr>
            <w:tcW w:w="1627" w:type="dxa"/>
            <w:noWrap w:val="0"/>
            <w:vAlign w:val="center"/>
          </w:tcPr>
          <w:p w14:paraId="40F0B715">
            <w:pPr>
              <w:jc w:val="center"/>
              <w:rPr>
                <w:rFonts w:ascii="黑体" w:hAnsi="黑体" w:eastAsia="黑体" w:cs="黑体"/>
                <w:color w:val="000000"/>
                <w:sz w:val="21"/>
                <w:szCs w:val="15"/>
              </w:rPr>
            </w:pPr>
            <w:r>
              <w:rPr>
                <w:rFonts w:hint="eastAsia" w:ascii="黑体" w:hAnsi="黑体" w:eastAsia="黑体" w:cs="黑体"/>
                <w:color w:val="000000"/>
                <w:sz w:val="21"/>
                <w:szCs w:val="15"/>
              </w:rPr>
              <w:t>总Cr</w:t>
            </w:r>
          </w:p>
        </w:tc>
        <w:tc>
          <w:tcPr>
            <w:tcW w:w="2029" w:type="dxa"/>
            <w:noWrap w:val="0"/>
            <w:vAlign w:val="center"/>
          </w:tcPr>
          <w:p w14:paraId="59587125">
            <w:pPr>
              <w:jc w:val="center"/>
              <w:rPr>
                <w:rFonts w:ascii="黑体" w:hAnsi="黑体" w:eastAsia="黑体" w:cs="黑体"/>
                <w:color w:val="000000"/>
                <w:sz w:val="21"/>
                <w:szCs w:val="15"/>
              </w:rPr>
            </w:pPr>
            <w:r>
              <w:rPr>
                <w:rFonts w:hint="eastAsia" w:ascii="黑体" w:hAnsi="黑体" w:eastAsia="黑体" w:cs="黑体"/>
                <w:color w:val="000000"/>
                <w:sz w:val="21"/>
                <w:szCs w:val="15"/>
              </w:rPr>
              <w:t>6000mg/kg（0.6%）</w:t>
            </w:r>
          </w:p>
        </w:tc>
      </w:tr>
      <w:tr w14:paraId="19B1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20" w:type="dxa"/>
            <w:noWrap w:val="0"/>
            <w:vAlign w:val="center"/>
          </w:tcPr>
          <w:p w14:paraId="5E8F9125">
            <w:pPr>
              <w:jc w:val="center"/>
              <w:rPr>
                <w:rFonts w:ascii="黑体" w:hAnsi="黑体" w:eastAsia="黑体" w:cs="黑体"/>
                <w:color w:val="000000"/>
                <w:sz w:val="21"/>
                <w:szCs w:val="15"/>
              </w:rPr>
            </w:pPr>
            <w:r>
              <w:rPr>
                <w:rFonts w:hint="eastAsia" w:ascii="黑体" w:hAnsi="黑体" w:eastAsia="黑体" w:cs="黑体"/>
                <w:color w:val="000000"/>
                <w:sz w:val="21"/>
                <w:szCs w:val="15"/>
              </w:rPr>
              <w:t>2</w:t>
            </w:r>
          </w:p>
        </w:tc>
        <w:tc>
          <w:tcPr>
            <w:tcW w:w="1458" w:type="dxa"/>
            <w:noWrap w:val="0"/>
            <w:vAlign w:val="center"/>
          </w:tcPr>
          <w:p w14:paraId="188B60A6">
            <w:pPr>
              <w:jc w:val="center"/>
              <w:rPr>
                <w:rFonts w:ascii="黑体" w:hAnsi="黑体" w:eastAsia="黑体" w:cs="黑体"/>
                <w:color w:val="000000"/>
                <w:sz w:val="21"/>
                <w:szCs w:val="15"/>
              </w:rPr>
            </w:pPr>
            <w:r>
              <w:rPr>
                <w:rFonts w:hint="eastAsia" w:ascii="黑体" w:hAnsi="黑体" w:eastAsia="黑体" w:cs="黑体"/>
                <w:color w:val="000000"/>
                <w:sz w:val="21"/>
                <w:szCs w:val="15"/>
              </w:rPr>
              <w:t>（氟）F</w:t>
            </w:r>
            <w:r>
              <w:rPr>
                <w:rFonts w:hint="eastAsia" w:ascii="黑体" w:hAnsi="黑体" w:eastAsia="黑体" w:cs="黑体"/>
                <w:color w:val="000000"/>
                <w:sz w:val="21"/>
                <w:szCs w:val="15"/>
                <w:vertAlign w:val="superscript"/>
              </w:rPr>
              <w:t>-</w:t>
            </w:r>
          </w:p>
        </w:tc>
        <w:tc>
          <w:tcPr>
            <w:tcW w:w="2346" w:type="dxa"/>
            <w:noWrap w:val="0"/>
            <w:vAlign w:val="center"/>
          </w:tcPr>
          <w:p w14:paraId="251B0FF9">
            <w:pPr>
              <w:jc w:val="center"/>
              <w:rPr>
                <w:rFonts w:ascii="黑体" w:hAnsi="黑体" w:eastAsia="黑体" w:cs="黑体"/>
                <w:color w:val="000000"/>
                <w:sz w:val="21"/>
                <w:szCs w:val="15"/>
              </w:rPr>
            </w:pPr>
            <w:r>
              <w:rPr>
                <w:rFonts w:hint="eastAsia" w:ascii="黑体" w:hAnsi="黑体" w:eastAsia="黑体" w:cs="黑体"/>
                <w:color w:val="000000"/>
                <w:sz w:val="21"/>
                <w:szCs w:val="15"/>
              </w:rPr>
              <w:t>50000mg/kg（5%）</w:t>
            </w:r>
          </w:p>
        </w:tc>
        <w:tc>
          <w:tcPr>
            <w:tcW w:w="642" w:type="dxa"/>
            <w:noWrap w:val="0"/>
            <w:vAlign w:val="center"/>
          </w:tcPr>
          <w:p w14:paraId="3D00CE31">
            <w:pPr>
              <w:jc w:val="center"/>
              <w:rPr>
                <w:rFonts w:ascii="黑体" w:hAnsi="黑体" w:eastAsia="黑体" w:cs="黑体"/>
                <w:color w:val="000000"/>
                <w:sz w:val="21"/>
                <w:szCs w:val="15"/>
              </w:rPr>
            </w:pPr>
            <w:r>
              <w:rPr>
                <w:rFonts w:hint="eastAsia" w:ascii="黑体" w:hAnsi="黑体" w:eastAsia="黑体" w:cs="黑体"/>
                <w:color w:val="000000"/>
                <w:sz w:val="21"/>
                <w:szCs w:val="15"/>
              </w:rPr>
              <w:t>11</w:t>
            </w:r>
          </w:p>
        </w:tc>
        <w:tc>
          <w:tcPr>
            <w:tcW w:w="1627" w:type="dxa"/>
            <w:noWrap w:val="0"/>
            <w:vAlign w:val="center"/>
          </w:tcPr>
          <w:p w14:paraId="2D70B9B7">
            <w:pPr>
              <w:jc w:val="center"/>
              <w:rPr>
                <w:rFonts w:ascii="黑体" w:hAnsi="黑体" w:eastAsia="黑体" w:cs="黑体"/>
                <w:color w:val="000000"/>
                <w:sz w:val="21"/>
                <w:szCs w:val="15"/>
              </w:rPr>
            </w:pPr>
            <w:r>
              <w:rPr>
                <w:rFonts w:hint="eastAsia" w:ascii="黑体" w:hAnsi="黑体" w:eastAsia="黑体" w:cs="黑体"/>
                <w:color w:val="000000"/>
                <w:sz w:val="21"/>
                <w:szCs w:val="15"/>
              </w:rPr>
              <w:t>（镍）Ni</w:t>
            </w:r>
          </w:p>
        </w:tc>
        <w:tc>
          <w:tcPr>
            <w:tcW w:w="2029" w:type="dxa"/>
            <w:noWrap w:val="0"/>
            <w:vAlign w:val="center"/>
          </w:tcPr>
          <w:p w14:paraId="783173DE">
            <w:pPr>
              <w:jc w:val="center"/>
              <w:rPr>
                <w:rFonts w:ascii="黑体" w:hAnsi="黑体" w:eastAsia="黑体" w:cs="黑体"/>
                <w:color w:val="000000"/>
                <w:sz w:val="21"/>
                <w:szCs w:val="15"/>
              </w:rPr>
            </w:pPr>
            <w:r>
              <w:rPr>
                <w:rFonts w:hint="eastAsia" w:ascii="黑体" w:hAnsi="黑体" w:eastAsia="黑体" w:cs="黑体"/>
                <w:color w:val="000000"/>
                <w:sz w:val="21"/>
                <w:szCs w:val="15"/>
              </w:rPr>
              <w:t>12000mg/kg（1.2%）</w:t>
            </w:r>
          </w:p>
        </w:tc>
      </w:tr>
      <w:tr w14:paraId="4B85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20" w:type="dxa"/>
            <w:noWrap w:val="0"/>
            <w:vAlign w:val="center"/>
          </w:tcPr>
          <w:p w14:paraId="56F8C696">
            <w:pPr>
              <w:jc w:val="center"/>
              <w:rPr>
                <w:rFonts w:ascii="黑体" w:hAnsi="黑体" w:eastAsia="黑体" w:cs="黑体"/>
                <w:color w:val="000000"/>
                <w:sz w:val="21"/>
                <w:szCs w:val="15"/>
              </w:rPr>
            </w:pPr>
            <w:r>
              <w:rPr>
                <w:rFonts w:hint="eastAsia" w:ascii="黑体" w:hAnsi="黑体" w:eastAsia="黑体" w:cs="黑体"/>
                <w:color w:val="000000"/>
                <w:sz w:val="21"/>
                <w:szCs w:val="15"/>
              </w:rPr>
              <w:t>3</w:t>
            </w:r>
          </w:p>
        </w:tc>
        <w:tc>
          <w:tcPr>
            <w:tcW w:w="1458" w:type="dxa"/>
            <w:noWrap w:val="0"/>
            <w:vAlign w:val="center"/>
          </w:tcPr>
          <w:p w14:paraId="29E0696D">
            <w:pPr>
              <w:jc w:val="center"/>
              <w:rPr>
                <w:rFonts w:ascii="黑体" w:hAnsi="黑体" w:eastAsia="黑体" w:cs="黑体"/>
                <w:color w:val="000000"/>
                <w:sz w:val="21"/>
                <w:szCs w:val="15"/>
              </w:rPr>
            </w:pPr>
            <w:r>
              <w:rPr>
                <w:rFonts w:hint="eastAsia" w:ascii="黑体" w:hAnsi="黑体" w:eastAsia="黑体" w:cs="黑体"/>
                <w:color w:val="000000"/>
                <w:sz w:val="21"/>
                <w:szCs w:val="15"/>
              </w:rPr>
              <w:t>全硫S</w:t>
            </w:r>
          </w:p>
        </w:tc>
        <w:tc>
          <w:tcPr>
            <w:tcW w:w="2346" w:type="dxa"/>
            <w:noWrap w:val="0"/>
            <w:vAlign w:val="center"/>
          </w:tcPr>
          <w:p w14:paraId="286EB9DB">
            <w:pPr>
              <w:jc w:val="center"/>
              <w:rPr>
                <w:rFonts w:ascii="黑体" w:hAnsi="黑体" w:eastAsia="黑体" w:cs="黑体"/>
                <w:color w:val="000000"/>
                <w:sz w:val="21"/>
                <w:szCs w:val="15"/>
              </w:rPr>
            </w:pPr>
            <w:r>
              <w:rPr>
                <w:rFonts w:hint="eastAsia" w:ascii="黑体" w:hAnsi="黑体" w:eastAsia="黑体" w:cs="黑体"/>
                <w:color w:val="000000"/>
                <w:sz w:val="21"/>
                <w:szCs w:val="15"/>
              </w:rPr>
              <w:t>20000mg/kg（2%）</w:t>
            </w:r>
          </w:p>
        </w:tc>
        <w:tc>
          <w:tcPr>
            <w:tcW w:w="642" w:type="dxa"/>
            <w:noWrap w:val="0"/>
            <w:vAlign w:val="center"/>
          </w:tcPr>
          <w:p w14:paraId="4E2791A2">
            <w:pPr>
              <w:jc w:val="center"/>
              <w:rPr>
                <w:rFonts w:ascii="黑体" w:hAnsi="黑体" w:eastAsia="黑体" w:cs="黑体"/>
                <w:color w:val="000000"/>
                <w:sz w:val="21"/>
                <w:szCs w:val="15"/>
              </w:rPr>
            </w:pPr>
            <w:r>
              <w:rPr>
                <w:rFonts w:hint="eastAsia" w:ascii="黑体" w:hAnsi="黑体" w:eastAsia="黑体" w:cs="黑体"/>
                <w:color w:val="000000"/>
                <w:sz w:val="21"/>
                <w:szCs w:val="15"/>
              </w:rPr>
              <w:t>12</w:t>
            </w:r>
          </w:p>
        </w:tc>
        <w:tc>
          <w:tcPr>
            <w:tcW w:w="1627" w:type="dxa"/>
            <w:noWrap w:val="0"/>
            <w:vAlign w:val="center"/>
          </w:tcPr>
          <w:p w14:paraId="677F1407">
            <w:pPr>
              <w:jc w:val="center"/>
              <w:rPr>
                <w:rFonts w:ascii="黑体" w:hAnsi="黑体" w:eastAsia="黑体" w:cs="黑体"/>
                <w:color w:val="000000"/>
                <w:sz w:val="21"/>
                <w:szCs w:val="15"/>
              </w:rPr>
            </w:pPr>
            <w:r>
              <w:rPr>
                <w:rFonts w:hint="eastAsia" w:ascii="黑体" w:hAnsi="黑体" w:eastAsia="黑体" w:cs="黑体"/>
                <w:color w:val="000000"/>
                <w:sz w:val="21"/>
                <w:szCs w:val="15"/>
              </w:rPr>
              <w:t>（锌）Zn</w:t>
            </w:r>
          </w:p>
        </w:tc>
        <w:tc>
          <w:tcPr>
            <w:tcW w:w="2029" w:type="dxa"/>
            <w:noWrap w:val="0"/>
            <w:vAlign w:val="center"/>
          </w:tcPr>
          <w:p w14:paraId="0C37F45D">
            <w:pPr>
              <w:jc w:val="center"/>
              <w:rPr>
                <w:rFonts w:ascii="黑体" w:hAnsi="黑体" w:eastAsia="黑体" w:cs="黑体"/>
                <w:color w:val="000000"/>
                <w:sz w:val="21"/>
                <w:szCs w:val="15"/>
              </w:rPr>
            </w:pPr>
            <w:r>
              <w:rPr>
                <w:rFonts w:hint="eastAsia" w:ascii="黑体" w:hAnsi="黑体" w:eastAsia="黑体" w:cs="黑体"/>
                <w:color w:val="000000"/>
                <w:sz w:val="21"/>
                <w:szCs w:val="15"/>
              </w:rPr>
              <w:t>65000mg/kg</w:t>
            </w:r>
          </w:p>
        </w:tc>
      </w:tr>
      <w:tr w14:paraId="1C0D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20" w:type="dxa"/>
            <w:noWrap w:val="0"/>
            <w:vAlign w:val="center"/>
          </w:tcPr>
          <w:p w14:paraId="6AD36996">
            <w:pPr>
              <w:jc w:val="center"/>
              <w:rPr>
                <w:rFonts w:ascii="黑体" w:hAnsi="黑体" w:eastAsia="黑体" w:cs="黑体"/>
                <w:color w:val="000000"/>
                <w:sz w:val="21"/>
                <w:szCs w:val="15"/>
              </w:rPr>
            </w:pPr>
            <w:r>
              <w:rPr>
                <w:rFonts w:hint="eastAsia" w:ascii="黑体" w:hAnsi="黑体" w:eastAsia="黑体" w:cs="黑体"/>
                <w:color w:val="000000"/>
                <w:sz w:val="21"/>
                <w:szCs w:val="15"/>
              </w:rPr>
              <w:t>4</w:t>
            </w:r>
          </w:p>
        </w:tc>
        <w:tc>
          <w:tcPr>
            <w:tcW w:w="1458" w:type="dxa"/>
            <w:noWrap w:val="0"/>
            <w:vAlign w:val="center"/>
          </w:tcPr>
          <w:p w14:paraId="45F36A0F">
            <w:pPr>
              <w:jc w:val="center"/>
              <w:rPr>
                <w:rFonts w:ascii="黑体" w:hAnsi="黑体" w:eastAsia="黑体" w:cs="黑体"/>
                <w:color w:val="000000"/>
                <w:sz w:val="21"/>
                <w:szCs w:val="15"/>
              </w:rPr>
            </w:pPr>
            <w:r>
              <w:rPr>
                <w:rFonts w:hint="eastAsia" w:ascii="黑体" w:hAnsi="黑体" w:eastAsia="黑体" w:cs="黑体"/>
                <w:color w:val="000000"/>
                <w:sz w:val="21"/>
                <w:szCs w:val="15"/>
              </w:rPr>
              <w:t>（砷）As</w:t>
            </w:r>
          </w:p>
        </w:tc>
        <w:tc>
          <w:tcPr>
            <w:tcW w:w="2346" w:type="dxa"/>
            <w:noWrap w:val="0"/>
            <w:vAlign w:val="center"/>
          </w:tcPr>
          <w:p w14:paraId="4E3F07CC">
            <w:pPr>
              <w:jc w:val="center"/>
              <w:rPr>
                <w:rFonts w:ascii="黑体" w:hAnsi="黑体" w:eastAsia="黑体" w:cs="黑体"/>
                <w:color w:val="000000"/>
                <w:sz w:val="21"/>
                <w:szCs w:val="15"/>
              </w:rPr>
            </w:pPr>
            <w:r>
              <w:rPr>
                <w:rFonts w:hint="eastAsia" w:ascii="黑体" w:hAnsi="黑体" w:eastAsia="黑体" w:cs="黑体"/>
                <w:color w:val="000000"/>
                <w:sz w:val="21"/>
                <w:szCs w:val="15"/>
              </w:rPr>
              <w:t>75000mg/kg（7.5%）</w:t>
            </w:r>
          </w:p>
        </w:tc>
        <w:tc>
          <w:tcPr>
            <w:tcW w:w="642" w:type="dxa"/>
            <w:noWrap w:val="0"/>
            <w:vAlign w:val="center"/>
          </w:tcPr>
          <w:p w14:paraId="3FF08265">
            <w:pPr>
              <w:jc w:val="center"/>
              <w:rPr>
                <w:rFonts w:ascii="黑体" w:hAnsi="黑体" w:eastAsia="黑体" w:cs="黑体"/>
                <w:color w:val="000000"/>
                <w:sz w:val="21"/>
                <w:szCs w:val="15"/>
              </w:rPr>
            </w:pPr>
            <w:r>
              <w:rPr>
                <w:rFonts w:hint="eastAsia" w:ascii="黑体" w:hAnsi="黑体" w:eastAsia="黑体" w:cs="黑体"/>
                <w:color w:val="000000"/>
                <w:sz w:val="21"/>
                <w:szCs w:val="15"/>
              </w:rPr>
              <w:t>13</w:t>
            </w:r>
          </w:p>
        </w:tc>
        <w:tc>
          <w:tcPr>
            <w:tcW w:w="1627" w:type="dxa"/>
            <w:noWrap w:val="0"/>
            <w:vAlign w:val="center"/>
          </w:tcPr>
          <w:p w14:paraId="2E2B4C9B">
            <w:pPr>
              <w:jc w:val="center"/>
              <w:rPr>
                <w:rFonts w:ascii="黑体" w:hAnsi="黑体" w:eastAsia="黑体" w:cs="黑体"/>
                <w:color w:val="000000"/>
                <w:sz w:val="21"/>
                <w:szCs w:val="15"/>
              </w:rPr>
            </w:pPr>
            <w:r>
              <w:rPr>
                <w:rFonts w:hint="eastAsia" w:ascii="黑体" w:hAnsi="黑体" w:eastAsia="黑体" w:cs="黑体"/>
                <w:color w:val="000000"/>
                <w:sz w:val="21"/>
                <w:szCs w:val="15"/>
              </w:rPr>
              <w:t>（锰）Mn</w:t>
            </w:r>
          </w:p>
        </w:tc>
        <w:tc>
          <w:tcPr>
            <w:tcW w:w="2029" w:type="dxa"/>
            <w:noWrap w:val="0"/>
            <w:vAlign w:val="center"/>
          </w:tcPr>
          <w:p w14:paraId="00EBAB21">
            <w:pPr>
              <w:jc w:val="center"/>
              <w:rPr>
                <w:rFonts w:ascii="黑体" w:hAnsi="黑体" w:eastAsia="黑体" w:cs="黑体"/>
                <w:color w:val="000000"/>
                <w:sz w:val="21"/>
                <w:szCs w:val="15"/>
              </w:rPr>
            </w:pPr>
            <w:r>
              <w:rPr>
                <w:rFonts w:hint="eastAsia" w:ascii="黑体" w:hAnsi="黑体" w:eastAsia="黑体" w:cs="黑体"/>
                <w:color w:val="000000"/>
                <w:sz w:val="21"/>
                <w:szCs w:val="15"/>
              </w:rPr>
              <w:t>60000mg/kg（6%）</w:t>
            </w:r>
          </w:p>
        </w:tc>
      </w:tr>
      <w:tr w14:paraId="039D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noWrap w:val="0"/>
            <w:vAlign w:val="center"/>
          </w:tcPr>
          <w:p w14:paraId="0EA1CA99">
            <w:pPr>
              <w:jc w:val="center"/>
              <w:rPr>
                <w:rFonts w:ascii="黑体" w:hAnsi="黑体" w:eastAsia="黑体" w:cs="黑体"/>
                <w:color w:val="000000"/>
                <w:sz w:val="21"/>
                <w:szCs w:val="15"/>
              </w:rPr>
            </w:pPr>
            <w:r>
              <w:rPr>
                <w:rFonts w:hint="eastAsia" w:ascii="黑体" w:hAnsi="黑体" w:eastAsia="黑体" w:cs="黑体"/>
                <w:color w:val="000000"/>
                <w:sz w:val="21"/>
                <w:szCs w:val="15"/>
              </w:rPr>
              <w:t>5</w:t>
            </w:r>
          </w:p>
        </w:tc>
        <w:tc>
          <w:tcPr>
            <w:tcW w:w="1458" w:type="dxa"/>
            <w:noWrap w:val="0"/>
            <w:vAlign w:val="center"/>
          </w:tcPr>
          <w:p w14:paraId="7EC7425D">
            <w:pPr>
              <w:jc w:val="center"/>
              <w:rPr>
                <w:rFonts w:ascii="黑体" w:hAnsi="黑体" w:eastAsia="黑体" w:cs="黑体"/>
                <w:color w:val="000000"/>
                <w:sz w:val="21"/>
                <w:szCs w:val="15"/>
              </w:rPr>
            </w:pPr>
            <w:r>
              <w:rPr>
                <w:rFonts w:hint="eastAsia" w:ascii="黑体" w:hAnsi="黑体" w:eastAsia="黑体" w:cs="黑体"/>
                <w:color w:val="000000"/>
                <w:sz w:val="21"/>
                <w:szCs w:val="15"/>
              </w:rPr>
              <w:t>（铅）Pb</w:t>
            </w:r>
          </w:p>
        </w:tc>
        <w:tc>
          <w:tcPr>
            <w:tcW w:w="2346" w:type="dxa"/>
            <w:noWrap w:val="0"/>
            <w:vAlign w:val="center"/>
          </w:tcPr>
          <w:p w14:paraId="1FB130F2">
            <w:pPr>
              <w:jc w:val="center"/>
              <w:rPr>
                <w:rFonts w:ascii="黑体" w:hAnsi="黑体" w:eastAsia="黑体" w:cs="黑体"/>
                <w:color w:val="000000"/>
                <w:sz w:val="21"/>
                <w:szCs w:val="15"/>
              </w:rPr>
            </w:pPr>
            <w:r>
              <w:rPr>
                <w:rFonts w:hint="eastAsia" w:ascii="黑体" w:hAnsi="黑体" w:eastAsia="黑体" w:cs="黑体"/>
                <w:color w:val="000000"/>
                <w:sz w:val="21"/>
                <w:szCs w:val="15"/>
              </w:rPr>
              <w:t>30000mg/kg（3%）</w:t>
            </w:r>
          </w:p>
        </w:tc>
        <w:tc>
          <w:tcPr>
            <w:tcW w:w="642" w:type="dxa"/>
            <w:noWrap w:val="0"/>
            <w:vAlign w:val="center"/>
          </w:tcPr>
          <w:p w14:paraId="0DEDB19F">
            <w:pPr>
              <w:jc w:val="center"/>
              <w:rPr>
                <w:rFonts w:ascii="黑体" w:hAnsi="黑体" w:eastAsia="黑体" w:cs="黑体"/>
                <w:color w:val="000000"/>
                <w:sz w:val="21"/>
                <w:szCs w:val="15"/>
              </w:rPr>
            </w:pPr>
            <w:r>
              <w:rPr>
                <w:rFonts w:hint="eastAsia" w:ascii="黑体" w:hAnsi="黑体" w:eastAsia="黑体" w:cs="黑体"/>
                <w:color w:val="000000"/>
                <w:sz w:val="21"/>
                <w:szCs w:val="15"/>
              </w:rPr>
              <w:t>14</w:t>
            </w:r>
          </w:p>
        </w:tc>
        <w:tc>
          <w:tcPr>
            <w:tcW w:w="1627" w:type="dxa"/>
            <w:noWrap w:val="0"/>
            <w:vAlign w:val="center"/>
          </w:tcPr>
          <w:p w14:paraId="6FDDC6C4">
            <w:pPr>
              <w:jc w:val="center"/>
              <w:rPr>
                <w:rFonts w:ascii="黑体" w:hAnsi="黑体" w:eastAsia="黑体" w:cs="黑体"/>
                <w:color w:val="000000"/>
                <w:sz w:val="21"/>
                <w:szCs w:val="15"/>
              </w:rPr>
            </w:pPr>
            <w:r>
              <w:rPr>
                <w:rFonts w:hint="eastAsia" w:ascii="黑体" w:hAnsi="黑体" w:eastAsia="黑体" w:cs="黑体"/>
                <w:color w:val="000000"/>
                <w:sz w:val="21"/>
                <w:szCs w:val="15"/>
              </w:rPr>
              <w:t>（汞）Hg</w:t>
            </w:r>
          </w:p>
        </w:tc>
        <w:tc>
          <w:tcPr>
            <w:tcW w:w="2029" w:type="dxa"/>
            <w:noWrap w:val="0"/>
            <w:vAlign w:val="center"/>
          </w:tcPr>
          <w:p w14:paraId="4802F53A">
            <w:pPr>
              <w:jc w:val="center"/>
              <w:rPr>
                <w:rFonts w:ascii="黑体" w:hAnsi="黑体" w:eastAsia="黑体" w:cs="黑体"/>
                <w:color w:val="000000"/>
                <w:sz w:val="21"/>
                <w:szCs w:val="15"/>
              </w:rPr>
            </w:pPr>
            <w:r>
              <w:rPr>
                <w:rFonts w:hint="eastAsia" w:ascii="黑体" w:hAnsi="黑体" w:eastAsia="黑体" w:cs="黑体"/>
                <w:color w:val="000000"/>
                <w:sz w:val="21"/>
                <w:szCs w:val="15"/>
              </w:rPr>
              <w:t>10mg/kg（0.001%）</w:t>
            </w:r>
          </w:p>
        </w:tc>
      </w:tr>
      <w:tr w14:paraId="761A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20" w:type="dxa"/>
            <w:noWrap w:val="0"/>
            <w:vAlign w:val="center"/>
          </w:tcPr>
          <w:p w14:paraId="69D4B1B9">
            <w:pPr>
              <w:jc w:val="center"/>
              <w:rPr>
                <w:rFonts w:ascii="黑体" w:hAnsi="黑体" w:eastAsia="黑体" w:cs="黑体"/>
                <w:color w:val="000000"/>
                <w:sz w:val="21"/>
                <w:szCs w:val="15"/>
              </w:rPr>
            </w:pPr>
            <w:r>
              <w:rPr>
                <w:rFonts w:hint="eastAsia" w:ascii="黑体" w:hAnsi="黑体" w:eastAsia="黑体" w:cs="黑体"/>
                <w:color w:val="000000"/>
                <w:sz w:val="21"/>
                <w:szCs w:val="15"/>
              </w:rPr>
              <w:t>6</w:t>
            </w:r>
          </w:p>
        </w:tc>
        <w:tc>
          <w:tcPr>
            <w:tcW w:w="1458" w:type="dxa"/>
            <w:noWrap w:val="0"/>
            <w:vAlign w:val="center"/>
          </w:tcPr>
          <w:p w14:paraId="0526A331">
            <w:pPr>
              <w:jc w:val="center"/>
              <w:rPr>
                <w:rFonts w:ascii="黑体" w:hAnsi="黑体" w:eastAsia="黑体" w:cs="黑体"/>
                <w:color w:val="000000"/>
                <w:sz w:val="21"/>
                <w:szCs w:val="15"/>
              </w:rPr>
            </w:pPr>
            <w:r>
              <w:rPr>
                <w:rFonts w:hint="eastAsia" w:ascii="黑体" w:hAnsi="黑体" w:eastAsia="黑体" w:cs="黑体"/>
                <w:color w:val="000000"/>
                <w:sz w:val="21"/>
                <w:szCs w:val="15"/>
              </w:rPr>
              <w:t>（镉）Cd</w:t>
            </w:r>
          </w:p>
        </w:tc>
        <w:tc>
          <w:tcPr>
            <w:tcW w:w="2346" w:type="dxa"/>
            <w:noWrap w:val="0"/>
            <w:vAlign w:val="center"/>
          </w:tcPr>
          <w:p w14:paraId="1899A15E">
            <w:pPr>
              <w:jc w:val="center"/>
              <w:rPr>
                <w:rFonts w:ascii="黑体" w:hAnsi="黑体" w:eastAsia="黑体" w:cs="黑体"/>
                <w:color w:val="000000"/>
                <w:sz w:val="21"/>
                <w:szCs w:val="15"/>
              </w:rPr>
            </w:pPr>
            <w:r>
              <w:rPr>
                <w:rFonts w:hint="eastAsia" w:ascii="黑体" w:hAnsi="黑体" w:eastAsia="黑体" w:cs="黑体"/>
                <w:color w:val="000000"/>
                <w:sz w:val="21"/>
                <w:szCs w:val="15"/>
              </w:rPr>
              <w:t>750mg/kg（0.075%）</w:t>
            </w:r>
          </w:p>
        </w:tc>
        <w:tc>
          <w:tcPr>
            <w:tcW w:w="642" w:type="dxa"/>
            <w:noWrap w:val="0"/>
            <w:vAlign w:val="center"/>
          </w:tcPr>
          <w:p w14:paraId="2D1DC54F">
            <w:pPr>
              <w:jc w:val="center"/>
              <w:rPr>
                <w:rFonts w:ascii="黑体" w:hAnsi="黑体" w:eastAsia="黑体" w:cs="黑体"/>
                <w:color w:val="000000"/>
                <w:sz w:val="21"/>
                <w:szCs w:val="15"/>
              </w:rPr>
            </w:pPr>
            <w:r>
              <w:rPr>
                <w:rFonts w:hint="eastAsia" w:ascii="黑体" w:hAnsi="黑体" w:eastAsia="黑体" w:cs="黑体"/>
                <w:color w:val="000000"/>
                <w:sz w:val="21"/>
                <w:szCs w:val="15"/>
              </w:rPr>
              <w:t>15</w:t>
            </w:r>
          </w:p>
        </w:tc>
        <w:tc>
          <w:tcPr>
            <w:tcW w:w="1627" w:type="dxa"/>
            <w:noWrap w:val="0"/>
            <w:vAlign w:val="center"/>
          </w:tcPr>
          <w:p w14:paraId="40F0ECFA">
            <w:pPr>
              <w:jc w:val="center"/>
              <w:rPr>
                <w:rFonts w:ascii="黑体" w:hAnsi="黑体" w:eastAsia="黑体" w:cs="黑体"/>
                <w:color w:val="000000"/>
                <w:sz w:val="21"/>
                <w:szCs w:val="15"/>
              </w:rPr>
            </w:pPr>
            <w:r>
              <w:rPr>
                <w:rFonts w:hint="eastAsia" w:ascii="黑体" w:hAnsi="黑体" w:eastAsia="黑体" w:cs="黑体"/>
                <w:color w:val="000000"/>
                <w:sz w:val="21"/>
                <w:szCs w:val="15"/>
                <w:lang w:eastAsia="zh-CN"/>
              </w:rPr>
              <w:t>（</w:t>
            </w:r>
            <w:r>
              <w:rPr>
                <w:rFonts w:hint="eastAsia" w:ascii="黑体" w:hAnsi="黑体" w:eastAsia="黑体" w:cs="黑体"/>
                <w:color w:val="000000"/>
                <w:sz w:val="21"/>
                <w:szCs w:val="15"/>
              </w:rPr>
              <w:t>钼</w:t>
            </w:r>
            <w:r>
              <w:rPr>
                <w:rFonts w:hint="eastAsia" w:ascii="黑体" w:hAnsi="黑体" w:eastAsia="黑体" w:cs="黑体"/>
                <w:color w:val="000000"/>
                <w:sz w:val="21"/>
                <w:szCs w:val="15"/>
                <w:lang w:eastAsia="zh-CN"/>
              </w:rPr>
              <w:t>）</w:t>
            </w:r>
            <w:r>
              <w:rPr>
                <w:rFonts w:hint="eastAsia" w:ascii="黑体" w:hAnsi="黑体" w:eastAsia="黑体" w:cs="黑体"/>
                <w:color w:val="000000"/>
                <w:sz w:val="21"/>
                <w:szCs w:val="15"/>
              </w:rPr>
              <w:t>Mo</w:t>
            </w:r>
          </w:p>
        </w:tc>
        <w:tc>
          <w:tcPr>
            <w:tcW w:w="2029" w:type="dxa"/>
            <w:noWrap w:val="0"/>
            <w:vAlign w:val="center"/>
          </w:tcPr>
          <w:p w14:paraId="1DA6A6DE">
            <w:pPr>
              <w:jc w:val="center"/>
              <w:rPr>
                <w:rFonts w:hint="eastAsia" w:ascii="黑体" w:hAnsi="黑体" w:eastAsia="黑体" w:cs="黑体"/>
                <w:color w:val="000000"/>
                <w:sz w:val="21"/>
                <w:szCs w:val="15"/>
                <w:lang w:eastAsia="zh-CN"/>
              </w:rPr>
            </w:pPr>
            <w:r>
              <w:rPr>
                <w:rFonts w:hint="eastAsia" w:ascii="黑体" w:hAnsi="黑体" w:eastAsia="黑体" w:cs="黑体"/>
                <w:color w:val="000000"/>
                <w:sz w:val="21"/>
                <w:szCs w:val="15"/>
              </w:rPr>
              <w:t>5500mg/kg（0.55%</w:t>
            </w:r>
            <w:r>
              <w:rPr>
                <w:rFonts w:hint="eastAsia" w:ascii="黑体" w:hAnsi="黑体" w:eastAsia="黑体" w:cs="黑体"/>
                <w:color w:val="000000"/>
                <w:sz w:val="21"/>
                <w:szCs w:val="15"/>
                <w:lang w:eastAsia="zh-CN"/>
              </w:rPr>
              <w:t>）</w:t>
            </w:r>
          </w:p>
        </w:tc>
      </w:tr>
      <w:tr w14:paraId="085C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20" w:type="dxa"/>
            <w:noWrap w:val="0"/>
            <w:vAlign w:val="center"/>
          </w:tcPr>
          <w:p w14:paraId="7EB4527D">
            <w:pPr>
              <w:jc w:val="center"/>
              <w:rPr>
                <w:rFonts w:ascii="黑体" w:hAnsi="黑体" w:eastAsia="黑体" w:cs="黑体"/>
                <w:color w:val="000000"/>
                <w:sz w:val="21"/>
                <w:szCs w:val="15"/>
              </w:rPr>
            </w:pPr>
            <w:r>
              <w:rPr>
                <w:rFonts w:hint="eastAsia" w:ascii="黑体" w:hAnsi="黑体" w:eastAsia="黑体" w:cs="黑体"/>
                <w:color w:val="000000"/>
                <w:sz w:val="21"/>
                <w:szCs w:val="15"/>
              </w:rPr>
              <w:t>7</w:t>
            </w:r>
          </w:p>
        </w:tc>
        <w:tc>
          <w:tcPr>
            <w:tcW w:w="1458" w:type="dxa"/>
            <w:noWrap w:val="0"/>
            <w:vAlign w:val="center"/>
          </w:tcPr>
          <w:p w14:paraId="2E3C0610">
            <w:pPr>
              <w:jc w:val="center"/>
              <w:rPr>
                <w:rFonts w:ascii="黑体" w:hAnsi="黑体" w:eastAsia="黑体" w:cs="黑体"/>
                <w:color w:val="000000"/>
                <w:sz w:val="21"/>
                <w:szCs w:val="15"/>
              </w:rPr>
            </w:pPr>
            <w:r>
              <w:rPr>
                <w:rFonts w:hint="eastAsia" w:ascii="黑体" w:hAnsi="黑体" w:eastAsia="黑体" w:cs="黑体"/>
                <w:color w:val="000000"/>
                <w:sz w:val="21"/>
                <w:szCs w:val="15"/>
              </w:rPr>
              <w:t>（铜）Cu</w:t>
            </w:r>
          </w:p>
        </w:tc>
        <w:tc>
          <w:tcPr>
            <w:tcW w:w="2346" w:type="dxa"/>
            <w:noWrap w:val="0"/>
            <w:vAlign w:val="center"/>
          </w:tcPr>
          <w:p w14:paraId="27BEE1AC">
            <w:pPr>
              <w:jc w:val="center"/>
              <w:rPr>
                <w:rFonts w:ascii="黑体" w:hAnsi="黑体" w:eastAsia="黑体" w:cs="黑体"/>
                <w:color w:val="000000"/>
                <w:sz w:val="21"/>
                <w:szCs w:val="15"/>
              </w:rPr>
            </w:pPr>
            <w:r>
              <w:rPr>
                <w:rFonts w:hint="eastAsia" w:ascii="黑体" w:hAnsi="黑体" w:eastAsia="黑体" w:cs="黑体"/>
                <w:color w:val="000000"/>
                <w:sz w:val="21"/>
                <w:szCs w:val="15"/>
              </w:rPr>
              <w:t>140000mg/kg（14%）</w:t>
            </w:r>
          </w:p>
        </w:tc>
        <w:tc>
          <w:tcPr>
            <w:tcW w:w="642" w:type="dxa"/>
            <w:noWrap w:val="0"/>
            <w:vAlign w:val="center"/>
          </w:tcPr>
          <w:p w14:paraId="6D3DE743">
            <w:pPr>
              <w:jc w:val="center"/>
              <w:rPr>
                <w:rFonts w:ascii="黑体" w:hAnsi="黑体" w:eastAsia="黑体" w:cs="黑体"/>
                <w:color w:val="000000"/>
                <w:sz w:val="21"/>
                <w:szCs w:val="15"/>
              </w:rPr>
            </w:pPr>
            <w:r>
              <w:rPr>
                <w:rFonts w:hint="eastAsia" w:ascii="黑体" w:hAnsi="黑体" w:eastAsia="黑体" w:cs="黑体"/>
                <w:color w:val="000000"/>
                <w:sz w:val="21"/>
                <w:szCs w:val="15"/>
              </w:rPr>
              <w:t>16</w:t>
            </w:r>
          </w:p>
        </w:tc>
        <w:tc>
          <w:tcPr>
            <w:tcW w:w="1627" w:type="dxa"/>
            <w:noWrap w:val="0"/>
            <w:vAlign w:val="center"/>
          </w:tcPr>
          <w:p w14:paraId="21FC5B78">
            <w:pPr>
              <w:jc w:val="center"/>
              <w:rPr>
                <w:rFonts w:ascii="黑体" w:hAnsi="黑体" w:eastAsia="黑体" w:cs="黑体"/>
                <w:color w:val="000000"/>
                <w:sz w:val="21"/>
                <w:szCs w:val="15"/>
              </w:rPr>
            </w:pPr>
            <w:r>
              <w:rPr>
                <w:rFonts w:hint="eastAsia" w:ascii="黑体" w:hAnsi="黑体" w:eastAsia="黑体" w:cs="黑体"/>
                <w:color w:val="000000"/>
                <w:sz w:val="21"/>
                <w:szCs w:val="15"/>
              </w:rPr>
              <w:t>（铊）Tl</w:t>
            </w:r>
          </w:p>
        </w:tc>
        <w:tc>
          <w:tcPr>
            <w:tcW w:w="2029" w:type="dxa"/>
            <w:noWrap w:val="0"/>
            <w:vAlign w:val="center"/>
          </w:tcPr>
          <w:p w14:paraId="4B3057D1">
            <w:pPr>
              <w:rPr>
                <w:rFonts w:hint="eastAsia" w:ascii="黑体" w:hAnsi="黑体" w:eastAsia="黑体" w:cs="黑体"/>
                <w:color w:val="000000"/>
                <w:sz w:val="21"/>
                <w:szCs w:val="15"/>
                <w:lang w:eastAsia="zh-CN"/>
              </w:rPr>
            </w:pPr>
            <w:r>
              <w:rPr>
                <w:rFonts w:hint="eastAsia" w:ascii="黑体" w:hAnsi="黑体" w:eastAsia="黑体" w:cs="黑体"/>
                <w:color w:val="000000"/>
                <w:sz w:val="21"/>
                <w:szCs w:val="15"/>
              </w:rPr>
              <w:t>8000mg/kg</w:t>
            </w:r>
            <w:r>
              <w:rPr>
                <w:rFonts w:hint="eastAsia" w:ascii="黑体" w:hAnsi="黑体" w:eastAsia="黑体" w:cs="黑体"/>
                <w:color w:val="000000"/>
                <w:sz w:val="21"/>
                <w:szCs w:val="15"/>
                <w:lang w:eastAsia="zh-CN"/>
              </w:rPr>
              <w:t>（</w:t>
            </w:r>
            <w:r>
              <w:rPr>
                <w:rFonts w:hint="eastAsia" w:ascii="黑体" w:hAnsi="黑体" w:eastAsia="黑体" w:cs="黑体"/>
                <w:color w:val="000000"/>
                <w:sz w:val="21"/>
                <w:szCs w:val="15"/>
              </w:rPr>
              <w:t>0.8%</w:t>
            </w:r>
            <w:r>
              <w:rPr>
                <w:rFonts w:hint="eastAsia" w:ascii="黑体" w:hAnsi="黑体" w:eastAsia="黑体" w:cs="黑体"/>
                <w:color w:val="000000"/>
                <w:sz w:val="21"/>
                <w:szCs w:val="15"/>
                <w:lang w:eastAsia="zh-CN"/>
              </w:rPr>
              <w:t>）</w:t>
            </w:r>
          </w:p>
        </w:tc>
      </w:tr>
      <w:tr w14:paraId="64AA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20" w:type="dxa"/>
            <w:noWrap w:val="0"/>
            <w:vAlign w:val="center"/>
          </w:tcPr>
          <w:p w14:paraId="4228B568">
            <w:pPr>
              <w:jc w:val="center"/>
              <w:rPr>
                <w:rFonts w:ascii="黑体" w:hAnsi="黑体" w:eastAsia="黑体" w:cs="黑体"/>
                <w:color w:val="000000"/>
                <w:sz w:val="21"/>
                <w:szCs w:val="15"/>
              </w:rPr>
            </w:pPr>
            <w:r>
              <w:rPr>
                <w:rFonts w:hint="eastAsia" w:ascii="黑体" w:hAnsi="黑体" w:eastAsia="黑体" w:cs="黑体"/>
                <w:color w:val="000000"/>
                <w:sz w:val="21"/>
                <w:szCs w:val="15"/>
              </w:rPr>
              <w:t>8</w:t>
            </w:r>
          </w:p>
        </w:tc>
        <w:tc>
          <w:tcPr>
            <w:tcW w:w="1458" w:type="dxa"/>
            <w:noWrap w:val="0"/>
            <w:vAlign w:val="center"/>
          </w:tcPr>
          <w:p w14:paraId="41FC8CB8">
            <w:pPr>
              <w:jc w:val="center"/>
              <w:rPr>
                <w:rFonts w:ascii="黑体" w:hAnsi="黑体" w:eastAsia="黑体" w:cs="黑体"/>
                <w:color w:val="000000"/>
                <w:sz w:val="21"/>
                <w:szCs w:val="15"/>
              </w:rPr>
            </w:pPr>
            <w:r>
              <w:rPr>
                <w:rFonts w:hint="eastAsia" w:ascii="黑体" w:hAnsi="黑体" w:eastAsia="黑体" w:cs="黑体"/>
                <w:color w:val="000000"/>
                <w:sz w:val="21"/>
                <w:szCs w:val="15"/>
              </w:rPr>
              <w:t>（铍）Be</w:t>
            </w:r>
          </w:p>
        </w:tc>
        <w:tc>
          <w:tcPr>
            <w:tcW w:w="2346" w:type="dxa"/>
            <w:noWrap w:val="0"/>
            <w:vAlign w:val="center"/>
          </w:tcPr>
          <w:p w14:paraId="6FAF683B">
            <w:pPr>
              <w:jc w:val="center"/>
              <w:rPr>
                <w:rFonts w:ascii="黑体" w:hAnsi="黑体" w:eastAsia="黑体" w:cs="黑体"/>
                <w:color w:val="000000"/>
                <w:sz w:val="21"/>
                <w:szCs w:val="15"/>
              </w:rPr>
            </w:pPr>
            <w:r>
              <w:rPr>
                <w:rFonts w:hint="eastAsia" w:ascii="黑体" w:hAnsi="黑体" w:eastAsia="黑体" w:cs="黑体"/>
                <w:color w:val="000000"/>
                <w:sz w:val="21"/>
                <w:szCs w:val="15"/>
              </w:rPr>
              <w:t>40000mg/kg（4%）</w:t>
            </w:r>
          </w:p>
        </w:tc>
        <w:tc>
          <w:tcPr>
            <w:tcW w:w="642" w:type="dxa"/>
            <w:noWrap w:val="0"/>
            <w:vAlign w:val="center"/>
          </w:tcPr>
          <w:p w14:paraId="5FCCA35C">
            <w:pPr>
              <w:jc w:val="center"/>
              <w:rPr>
                <w:rFonts w:ascii="黑体" w:hAnsi="黑体" w:eastAsia="黑体" w:cs="黑体"/>
                <w:color w:val="000000"/>
                <w:sz w:val="21"/>
                <w:szCs w:val="15"/>
              </w:rPr>
            </w:pPr>
            <w:r>
              <w:rPr>
                <w:rFonts w:hint="eastAsia" w:ascii="黑体" w:hAnsi="黑体" w:eastAsia="黑体" w:cs="黑体"/>
                <w:color w:val="000000"/>
                <w:sz w:val="21"/>
                <w:szCs w:val="15"/>
              </w:rPr>
              <w:t>17</w:t>
            </w:r>
          </w:p>
        </w:tc>
        <w:tc>
          <w:tcPr>
            <w:tcW w:w="1627" w:type="dxa"/>
            <w:noWrap w:val="0"/>
            <w:vAlign w:val="center"/>
          </w:tcPr>
          <w:p w14:paraId="029D2575">
            <w:pPr>
              <w:jc w:val="center"/>
              <w:rPr>
                <w:rFonts w:ascii="黑体" w:hAnsi="黑体" w:eastAsia="黑体" w:cs="黑体"/>
                <w:color w:val="000000"/>
                <w:sz w:val="21"/>
                <w:szCs w:val="15"/>
              </w:rPr>
            </w:pPr>
            <w:r>
              <w:rPr>
                <w:rFonts w:hint="eastAsia" w:ascii="黑体" w:hAnsi="黑体" w:eastAsia="黑体" w:cs="黑体"/>
                <w:color w:val="000000"/>
                <w:sz w:val="21"/>
                <w:szCs w:val="15"/>
                <w:lang w:eastAsia="zh-CN"/>
              </w:rPr>
              <w:t>（</w:t>
            </w:r>
            <w:r>
              <w:rPr>
                <w:rFonts w:hint="eastAsia" w:ascii="黑体" w:hAnsi="黑体" w:eastAsia="黑体" w:cs="黑体"/>
                <w:color w:val="000000"/>
                <w:sz w:val="21"/>
                <w:szCs w:val="15"/>
              </w:rPr>
              <w:t>锑</w:t>
            </w:r>
            <w:r>
              <w:rPr>
                <w:rFonts w:hint="eastAsia" w:ascii="黑体" w:hAnsi="黑体" w:eastAsia="黑体" w:cs="黑体"/>
                <w:color w:val="000000"/>
                <w:sz w:val="21"/>
                <w:szCs w:val="15"/>
                <w:lang w:eastAsia="zh-CN"/>
              </w:rPr>
              <w:t>）</w:t>
            </w:r>
            <w:r>
              <w:rPr>
                <w:rFonts w:hint="eastAsia" w:ascii="黑体" w:hAnsi="黑体" w:eastAsia="黑体" w:cs="黑体"/>
                <w:color w:val="000000"/>
                <w:sz w:val="21"/>
                <w:szCs w:val="15"/>
              </w:rPr>
              <w:t>Sb</w:t>
            </w:r>
          </w:p>
        </w:tc>
        <w:tc>
          <w:tcPr>
            <w:tcW w:w="2029" w:type="dxa"/>
            <w:noWrap w:val="0"/>
            <w:vAlign w:val="center"/>
          </w:tcPr>
          <w:p w14:paraId="26FD18BF">
            <w:pPr>
              <w:jc w:val="center"/>
              <w:rPr>
                <w:rFonts w:ascii="黑体" w:hAnsi="黑体" w:eastAsia="黑体" w:cs="黑体"/>
                <w:color w:val="000000"/>
                <w:sz w:val="21"/>
                <w:szCs w:val="15"/>
              </w:rPr>
            </w:pPr>
            <w:r>
              <w:rPr>
                <w:rFonts w:hint="eastAsia" w:ascii="黑体" w:hAnsi="黑体" w:eastAsia="黑体" w:cs="黑体"/>
                <w:color w:val="000000"/>
                <w:sz w:val="21"/>
                <w:szCs w:val="15"/>
              </w:rPr>
              <w:t>800mg/kg（0.08%）</w:t>
            </w:r>
          </w:p>
        </w:tc>
      </w:tr>
      <w:tr w14:paraId="1A5C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20" w:type="dxa"/>
            <w:noWrap w:val="0"/>
            <w:vAlign w:val="center"/>
          </w:tcPr>
          <w:p w14:paraId="1C71CC15">
            <w:pPr>
              <w:jc w:val="center"/>
              <w:rPr>
                <w:rFonts w:ascii="黑体" w:hAnsi="黑体" w:eastAsia="黑体" w:cs="黑体"/>
                <w:color w:val="000000"/>
                <w:sz w:val="21"/>
                <w:szCs w:val="15"/>
              </w:rPr>
            </w:pPr>
            <w:r>
              <w:rPr>
                <w:rFonts w:hint="eastAsia" w:ascii="黑体" w:hAnsi="黑体" w:eastAsia="黑体" w:cs="黑体"/>
                <w:color w:val="000000"/>
                <w:sz w:val="21"/>
                <w:szCs w:val="15"/>
              </w:rPr>
              <w:t>9</w:t>
            </w:r>
          </w:p>
        </w:tc>
        <w:tc>
          <w:tcPr>
            <w:tcW w:w="1458" w:type="dxa"/>
            <w:noWrap w:val="0"/>
            <w:vAlign w:val="center"/>
          </w:tcPr>
          <w:p w14:paraId="6508EA57">
            <w:pPr>
              <w:jc w:val="center"/>
              <w:rPr>
                <w:rFonts w:ascii="黑体" w:hAnsi="黑体" w:eastAsia="黑体" w:cs="黑体"/>
                <w:color w:val="000000"/>
                <w:sz w:val="21"/>
                <w:szCs w:val="15"/>
              </w:rPr>
            </w:pPr>
            <w:r>
              <w:rPr>
                <w:rFonts w:hint="eastAsia" w:ascii="黑体" w:hAnsi="黑体" w:eastAsia="黑体" w:cs="黑体"/>
                <w:color w:val="000000"/>
                <w:sz w:val="21"/>
                <w:szCs w:val="15"/>
              </w:rPr>
              <w:t>（锡）Sn</w:t>
            </w:r>
          </w:p>
        </w:tc>
        <w:tc>
          <w:tcPr>
            <w:tcW w:w="2346" w:type="dxa"/>
            <w:noWrap w:val="0"/>
            <w:vAlign w:val="center"/>
          </w:tcPr>
          <w:p w14:paraId="51653DFF">
            <w:pPr>
              <w:jc w:val="center"/>
              <w:rPr>
                <w:rFonts w:ascii="黑体" w:hAnsi="黑体" w:eastAsia="黑体" w:cs="黑体"/>
                <w:color w:val="000000"/>
                <w:sz w:val="21"/>
                <w:szCs w:val="15"/>
              </w:rPr>
            </w:pPr>
            <w:r>
              <w:rPr>
                <w:rFonts w:hint="eastAsia" w:ascii="黑体" w:hAnsi="黑体" w:eastAsia="黑体" w:cs="黑体"/>
                <w:color w:val="000000"/>
                <w:sz w:val="21"/>
                <w:szCs w:val="15"/>
              </w:rPr>
              <w:t>40000mg/kg（4%）</w:t>
            </w:r>
          </w:p>
        </w:tc>
        <w:tc>
          <w:tcPr>
            <w:tcW w:w="642" w:type="dxa"/>
            <w:noWrap w:val="0"/>
            <w:vAlign w:val="center"/>
          </w:tcPr>
          <w:p w14:paraId="684D0B27">
            <w:pPr>
              <w:jc w:val="center"/>
              <w:rPr>
                <w:rFonts w:ascii="黑体" w:hAnsi="黑体" w:eastAsia="黑体" w:cs="黑体"/>
                <w:color w:val="000000"/>
                <w:sz w:val="21"/>
                <w:szCs w:val="15"/>
              </w:rPr>
            </w:pPr>
            <w:r>
              <w:rPr>
                <w:rFonts w:hint="eastAsia" w:ascii="黑体" w:hAnsi="黑体" w:eastAsia="黑体" w:cs="黑体"/>
                <w:color w:val="000000"/>
                <w:sz w:val="21"/>
                <w:szCs w:val="15"/>
              </w:rPr>
              <w:t>18</w:t>
            </w:r>
          </w:p>
        </w:tc>
        <w:tc>
          <w:tcPr>
            <w:tcW w:w="1627" w:type="dxa"/>
            <w:noWrap w:val="0"/>
            <w:vAlign w:val="center"/>
          </w:tcPr>
          <w:p w14:paraId="64EAD6AA">
            <w:pPr>
              <w:jc w:val="center"/>
              <w:rPr>
                <w:rFonts w:ascii="黑体" w:hAnsi="黑体" w:eastAsia="黑体" w:cs="黑体"/>
                <w:color w:val="000000"/>
                <w:sz w:val="21"/>
                <w:szCs w:val="15"/>
              </w:rPr>
            </w:pPr>
            <w:r>
              <w:rPr>
                <w:rFonts w:hint="eastAsia" w:ascii="黑体" w:hAnsi="黑体" w:eastAsia="黑体" w:cs="黑体"/>
                <w:color w:val="000000"/>
                <w:sz w:val="21"/>
                <w:szCs w:val="15"/>
              </w:rPr>
              <w:t>（钒）V</w:t>
            </w:r>
          </w:p>
        </w:tc>
        <w:tc>
          <w:tcPr>
            <w:tcW w:w="2029" w:type="dxa"/>
            <w:noWrap w:val="0"/>
            <w:vAlign w:val="center"/>
          </w:tcPr>
          <w:p w14:paraId="58183D75">
            <w:pPr>
              <w:jc w:val="center"/>
              <w:rPr>
                <w:rFonts w:ascii="黑体" w:hAnsi="黑体" w:eastAsia="黑体" w:cs="黑体"/>
                <w:color w:val="000000"/>
                <w:sz w:val="21"/>
                <w:szCs w:val="15"/>
              </w:rPr>
            </w:pPr>
            <w:r>
              <w:rPr>
                <w:rFonts w:hint="eastAsia" w:ascii="黑体" w:hAnsi="黑体" w:eastAsia="黑体" w:cs="黑体"/>
                <w:color w:val="000000"/>
                <w:sz w:val="21"/>
                <w:szCs w:val="15"/>
              </w:rPr>
              <w:t>40000mg/kg（4%）</w:t>
            </w:r>
          </w:p>
        </w:tc>
      </w:tr>
      <w:tr w14:paraId="7B94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0" w:type="dxa"/>
            <w:noWrap w:val="0"/>
            <w:vAlign w:val="center"/>
          </w:tcPr>
          <w:p w14:paraId="304379AC">
            <w:pPr>
              <w:jc w:val="center"/>
              <w:rPr>
                <w:rFonts w:ascii="黑体" w:hAnsi="黑体" w:eastAsia="黑体" w:cs="黑体"/>
                <w:color w:val="000000"/>
                <w:sz w:val="21"/>
                <w:szCs w:val="15"/>
              </w:rPr>
            </w:pPr>
            <w:r>
              <w:rPr>
                <w:rFonts w:hint="eastAsia" w:ascii="黑体" w:hAnsi="黑体" w:eastAsia="黑体" w:cs="黑体"/>
                <w:color w:val="000000"/>
                <w:sz w:val="21"/>
                <w:szCs w:val="15"/>
              </w:rPr>
              <w:t>19</w:t>
            </w:r>
          </w:p>
        </w:tc>
        <w:tc>
          <w:tcPr>
            <w:tcW w:w="1458" w:type="dxa"/>
            <w:noWrap w:val="0"/>
            <w:vAlign w:val="center"/>
          </w:tcPr>
          <w:p w14:paraId="05E8827F">
            <w:pPr>
              <w:jc w:val="center"/>
              <w:rPr>
                <w:rFonts w:ascii="黑体" w:hAnsi="黑体" w:eastAsia="黑体" w:cs="黑体"/>
                <w:color w:val="000000"/>
                <w:sz w:val="21"/>
                <w:szCs w:val="15"/>
              </w:rPr>
            </w:pPr>
            <w:r>
              <w:rPr>
                <w:rFonts w:hint="eastAsia" w:ascii="黑体" w:hAnsi="黑体" w:eastAsia="黑体" w:cs="黑体"/>
                <w:color w:val="000000"/>
                <w:sz w:val="21"/>
                <w:szCs w:val="15"/>
              </w:rPr>
              <w:t>（铬）Cr</w:t>
            </w:r>
            <w:r>
              <w:rPr>
                <w:rFonts w:hint="eastAsia" w:ascii="黑体" w:hAnsi="黑体" w:eastAsia="黑体" w:cs="黑体"/>
                <w:color w:val="000000"/>
                <w:sz w:val="21"/>
                <w:szCs w:val="15"/>
                <w:vertAlign w:val="superscript"/>
              </w:rPr>
              <w:t>6+</w:t>
            </w:r>
          </w:p>
        </w:tc>
        <w:tc>
          <w:tcPr>
            <w:tcW w:w="2346" w:type="dxa"/>
            <w:noWrap w:val="0"/>
            <w:vAlign w:val="center"/>
          </w:tcPr>
          <w:p w14:paraId="32156BFF">
            <w:pPr>
              <w:jc w:val="center"/>
              <w:rPr>
                <w:rFonts w:ascii="黑体" w:hAnsi="黑体" w:eastAsia="黑体" w:cs="黑体"/>
                <w:color w:val="000000"/>
                <w:sz w:val="21"/>
                <w:szCs w:val="15"/>
              </w:rPr>
            </w:pPr>
            <w:r>
              <w:rPr>
                <w:rFonts w:hint="eastAsia" w:ascii="黑体" w:hAnsi="黑体" w:eastAsia="黑体" w:cs="黑体"/>
                <w:color w:val="000000"/>
                <w:sz w:val="21"/>
                <w:szCs w:val="15"/>
                <w:lang w:val="en-US" w:eastAsia="zh-CN"/>
              </w:rPr>
              <w:t>5</w:t>
            </w:r>
            <w:r>
              <w:rPr>
                <w:rFonts w:hint="eastAsia" w:ascii="黑体" w:hAnsi="黑体" w:eastAsia="黑体" w:cs="黑体"/>
                <w:color w:val="000000"/>
                <w:sz w:val="21"/>
                <w:szCs w:val="15"/>
              </w:rPr>
              <w:t>0mg/kg（0.</w:t>
            </w:r>
            <w:r>
              <w:rPr>
                <w:rFonts w:hint="eastAsia" w:ascii="黑体" w:hAnsi="黑体" w:eastAsia="黑体" w:cs="黑体"/>
                <w:color w:val="000000"/>
                <w:sz w:val="21"/>
                <w:szCs w:val="15"/>
                <w:lang w:val="en-US" w:eastAsia="zh-CN"/>
              </w:rPr>
              <w:t>005</w:t>
            </w:r>
            <w:r>
              <w:rPr>
                <w:rFonts w:hint="eastAsia" w:ascii="黑体" w:hAnsi="黑体" w:eastAsia="黑体" w:cs="黑体"/>
                <w:color w:val="000000"/>
                <w:sz w:val="21"/>
                <w:szCs w:val="15"/>
              </w:rPr>
              <w:t>%）</w:t>
            </w:r>
          </w:p>
        </w:tc>
        <w:tc>
          <w:tcPr>
            <w:tcW w:w="642" w:type="dxa"/>
            <w:noWrap w:val="0"/>
            <w:vAlign w:val="center"/>
          </w:tcPr>
          <w:p w14:paraId="37347046">
            <w:pPr>
              <w:jc w:val="center"/>
              <w:rPr>
                <w:rFonts w:ascii="黑体" w:hAnsi="黑体" w:eastAsia="黑体" w:cs="黑体"/>
                <w:color w:val="000000"/>
                <w:sz w:val="21"/>
                <w:szCs w:val="15"/>
              </w:rPr>
            </w:pPr>
            <w:r>
              <w:rPr>
                <w:rFonts w:hint="eastAsia" w:ascii="黑体" w:hAnsi="黑体" w:eastAsia="黑体" w:cs="黑体"/>
                <w:color w:val="000000"/>
                <w:sz w:val="21"/>
                <w:szCs w:val="15"/>
              </w:rPr>
              <w:t>20</w:t>
            </w:r>
          </w:p>
        </w:tc>
        <w:tc>
          <w:tcPr>
            <w:tcW w:w="1627" w:type="dxa"/>
            <w:noWrap w:val="0"/>
            <w:vAlign w:val="center"/>
          </w:tcPr>
          <w:p w14:paraId="7922E91B">
            <w:pPr>
              <w:jc w:val="center"/>
              <w:rPr>
                <w:rFonts w:ascii="黑体" w:hAnsi="黑体" w:eastAsia="黑体" w:cs="黑体"/>
                <w:color w:val="000000"/>
                <w:sz w:val="21"/>
                <w:szCs w:val="15"/>
              </w:rPr>
            </w:pPr>
            <w:r>
              <w:rPr>
                <w:rFonts w:hint="eastAsia" w:ascii="黑体" w:hAnsi="黑体" w:eastAsia="黑体" w:cs="黑体"/>
                <w:color w:val="000000"/>
                <w:sz w:val="21"/>
                <w:szCs w:val="15"/>
                <w:lang w:eastAsia="zh-CN"/>
              </w:rPr>
              <w:t>（</w:t>
            </w:r>
            <w:r>
              <w:rPr>
                <w:rFonts w:hint="eastAsia" w:ascii="黑体" w:hAnsi="黑体" w:eastAsia="黑体" w:cs="黑体"/>
                <w:color w:val="000000"/>
                <w:sz w:val="21"/>
                <w:szCs w:val="15"/>
              </w:rPr>
              <w:t>碱含量）R</w:t>
            </w:r>
            <w:r>
              <w:rPr>
                <w:rFonts w:hint="eastAsia" w:ascii="黑体" w:hAnsi="黑体" w:eastAsia="黑体" w:cs="黑体"/>
                <w:color w:val="000000"/>
                <w:sz w:val="21"/>
                <w:szCs w:val="15"/>
                <w:vertAlign w:val="subscript"/>
              </w:rPr>
              <w:t>2</w:t>
            </w:r>
            <w:r>
              <w:rPr>
                <w:rFonts w:hint="eastAsia" w:ascii="黑体" w:hAnsi="黑体" w:eastAsia="黑体" w:cs="黑体"/>
                <w:color w:val="000000"/>
                <w:sz w:val="21"/>
                <w:szCs w:val="15"/>
              </w:rPr>
              <w:t>O</w:t>
            </w:r>
          </w:p>
        </w:tc>
        <w:tc>
          <w:tcPr>
            <w:tcW w:w="2029" w:type="dxa"/>
            <w:noWrap w:val="0"/>
            <w:vAlign w:val="center"/>
          </w:tcPr>
          <w:p w14:paraId="73E30C1C">
            <w:pPr>
              <w:jc w:val="center"/>
              <w:rPr>
                <w:rFonts w:ascii="黑体" w:hAnsi="黑体" w:eastAsia="黑体" w:cs="黑体"/>
                <w:color w:val="000000"/>
                <w:sz w:val="21"/>
                <w:szCs w:val="15"/>
              </w:rPr>
            </w:pPr>
            <w:r>
              <w:rPr>
                <w:rFonts w:hint="eastAsia" w:ascii="黑体" w:hAnsi="黑体" w:eastAsia="黑体" w:cs="黑体"/>
                <w:color w:val="000000"/>
                <w:sz w:val="21"/>
                <w:szCs w:val="15"/>
              </w:rPr>
              <w:t>3%</w:t>
            </w:r>
          </w:p>
        </w:tc>
      </w:tr>
    </w:tbl>
    <w:p w14:paraId="254C2DAC">
      <w:pPr>
        <w:keepNext/>
        <w:keepLines/>
        <w:widowControl w:val="0"/>
        <w:spacing w:before="0" w:after="0" w:line="360" w:lineRule="auto"/>
        <w:jc w:val="both"/>
        <w:outlineLvl w:val="1"/>
        <w:rPr>
          <w:rFonts w:ascii="黑体" w:hAnsi="黑体" w:eastAsia="黑体" w:cs="黑体"/>
          <w:b/>
          <w:bCs/>
          <w:color w:val="000000"/>
          <w:kern w:val="2"/>
          <w:sz w:val="21"/>
          <w:szCs w:val="22"/>
          <w:lang w:val="en-US" w:eastAsia="zh-CN" w:bidi="ar-SA"/>
        </w:rPr>
      </w:pPr>
    </w:p>
    <w:p w14:paraId="0811621B">
      <w:pPr>
        <w:keepNext/>
        <w:keepLines/>
        <w:widowControl w:val="0"/>
        <w:spacing w:before="0" w:after="0" w:line="360" w:lineRule="auto"/>
        <w:jc w:val="both"/>
        <w:outlineLvl w:val="1"/>
        <w:rPr>
          <w:rFonts w:ascii="黑体" w:hAnsi="黑体" w:eastAsia="黑体" w:cs="黑体"/>
          <w:b w:val="0"/>
          <w:color w:val="000000"/>
          <w:kern w:val="2"/>
          <w:sz w:val="21"/>
          <w:szCs w:val="21"/>
          <w:lang w:val="en-US" w:eastAsia="zh-CN" w:bidi="ar-SA"/>
        </w:rPr>
      </w:pPr>
      <w:r>
        <w:rPr>
          <w:rFonts w:hint="eastAsia" w:ascii="黑体" w:hAnsi="黑体" w:eastAsia="黑体" w:cs="黑体"/>
          <w:b/>
          <w:bCs/>
          <w:color w:val="000000"/>
          <w:kern w:val="2"/>
          <w:sz w:val="21"/>
          <w:szCs w:val="21"/>
          <w:lang w:val="en-US" w:eastAsia="zh-CN" w:bidi="ar-SA"/>
        </w:rPr>
        <w:t>签字页</w:t>
      </w:r>
    </w:p>
    <w:p w14:paraId="2B972EDF">
      <w:pPr>
        <w:keepNext/>
        <w:keepLines/>
        <w:widowControl w:val="0"/>
        <w:spacing w:before="0" w:after="0" w:line="360" w:lineRule="auto"/>
        <w:jc w:val="both"/>
        <w:outlineLvl w:val="1"/>
        <w:rPr>
          <w:rFonts w:ascii="黑体" w:hAnsi="黑体" w:eastAsia="黑体" w:cs="黑体"/>
          <w:b w:val="0"/>
          <w:color w:val="000000"/>
          <w:kern w:val="2"/>
          <w:sz w:val="21"/>
          <w:szCs w:val="21"/>
          <w:lang w:val="en-US" w:eastAsia="zh-CN" w:bidi="ar-SA"/>
        </w:rPr>
      </w:pPr>
      <w:r>
        <w:rPr>
          <w:rFonts w:hint="eastAsia" w:ascii="黑体" w:hAnsi="黑体" w:eastAsia="黑体" w:cs="黑体"/>
          <w:b w:val="0"/>
          <w:color w:val="000000"/>
          <w:kern w:val="2"/>
          <w:sz w:val="21"/>
          <w:szCs w:val="21"/>
          <w:lang w:val="en-US" w:eastAsia="zh-CN" w:bidi="ar-SA"/>
        </w:rPr>
        <w:t xml:space="preserve">甲方： </w:t>
      </w:r>
      <w:r>
        <w:rPr>
          <w:rFonts w:hint="eastAsia" w:ascii="黑体" w:hAnsi="黑体" w:eastAsia="黑体" w:cs="黑体"/>
          <w:b w:val="0"/>
          <w:color w:val="000000"/>
          <w:kern w:val="2"/>
          <w:sz w:val="21"/>
          <w:szCs w:val="21"/>
          <w:u w:val="single"/>
          <w:lang w:val="en-US" w:eastAsia="zh-CN" w:bidi="ar-SA"/>
        </w:rPr>
        <w:t xml:space="preserve">   信阳市中心医院  </w:t>
      </w:r>
      <w:r>
        <w:rPr>
          <w:rFonts w:hint="eastAsia" w:ascii="黑体" w:hAnsi="黑体" w:eastAsia="黑体" w:cs="黑体"/>
          <w:b w:val="0"/>
          <w:color w:val="000000"/>
          <w:kern w:val="2"/>
          <w:sz w:val="21"/>
          <w:szCs w:val="21"/>
          <w:lang w:val="en-US" w:eastAsia="zh-CN" w:bidi="ar-SA"/>
        </w:rPr>
        <w:t xml:space="preserve">  （ 盖章）</w:t>
      </w:r>
    </w:p>
    <w:p w14:paraId="22C8CE56">
      <w:pPr>
        <w:spacing w:line="360" w:lineRule="auto"/>
        <w:rPr>
          <w:rFonts w:hint="eastAsia" w:ascii="黑体" w:hAnsi="黑体" w:eastAsia="黑体" w:cs="黑体"/>
          <w:color w:val="000000"/>
          <w:sz w:val="21"/>
          <w:szCs w:val="21"/>
        </w:rPr>
      </w:pPr>
    </w:p>
    <w:p w14:paraId="758F332C">
      <w:pPr>
        <w:spacing w:line="360" w:lineRule="auto"/>
        <w:rPr>
          <w:rFonts w:ascii="黑体" w:hAnsi="黑体" w:eastAsia="黑体" w:cs="黑体"/>
          <w:color w:val="000000"/>
          <w:sz w:val="21"/>
          <w:szCs w:val="21"/>
        </w:rPr>
      </w:pPr>
      <w:r>
        <w:rPr>
          <w:rFonts w:hint="eastAsia" w:ascii="黑体" w:hAnsi="黑体" w:eastAsia="黑体" w:cs="黑体"/>
          <w:color w:val="000000"/>
          <w:sz w:val="21"/>
          <w:szCs w:val="21"/>
        </w:rPr>
        <w:t>法定代表/委托代理人________________（签字）</w:t>
      </w:r>
    </w:p>
    <w:p w14:paraId="0B3D49B9">
      <w:pPr>
        <w:spacing w:line="360" w:lineRule="auto"/>
        <w:rPr>
          <w:rFonts w:ascii="黑体" w:hAnsi="黑体" w:eastAsia="黑体" w:cs="黑体"/>
          <w:color w:val="000000"/>
          <w:sz w:val="21"/>
          <w:szCs w:val="21"/>
        </w:rPr>
      </w:pPr>
      <w:r>
        <w:rPr>
          <w:rFonts w:hint="eastAsia" w:ascii="黑体" w:hAnsi="黑体" w:eastAsia="黑体" w:cs="黑体"/>
          <w:color w:val="000000"/>
          <w:sz w:val="21"/>
          <w:szCs w:val="21"/>
        </w:rPr>
        <w:t>签订日期：</w:t>
      </w:r>
      <w:r>
        <w:rPr>
          <w:rFonts w:hint="eastAsia" w:ascii="黑体" w:hAnsi="黑体" w:eastAsia="黑体" w:cs="黑体"/>
          <w:color w:val="000000"/>
          <w:sz w:val="21"/>
          <w:szCs w:val="21"/>
          <w:lang w:val="en-US" w:eastAsia="zh-CN"/>
        </w:rPr>
        <w:t xml:space="preserve">   </w:t>
      </w:r>
      <w:r>
        <w:rPr>
          <w:rFonts w:hint="eastAsia" w:ascii="黑体" w:hAnsi="黑体" w:eastAsia="黑体" w:cs="黑体"/>
          <w:color w:val="000000"/>
          <w:sz w:val="21"/>
          <w:szCs w:val="21"/>
        </w:rPr>
        <w:t>年   月    日</w:t>
      </w:r>
    </w:p>
    <w:p w14:paraId="781C5043">
      <w:pPr>
        <w:rPr>
          <w:rFonts w:ascii="黑体" w:hAnsi="黑体" w:eastAsia="黑体" w:cs="黑体"/>
          <w:color w:val="000000"/>
          <w:sz w:val="21"/>
          <w:szCs w:val="21"/>
        </w:rPr>
      </w:pPr>
    </w:p>
    <w:p w14:paraId="6380527C">
      <w:pPr>
        <w:rPr>
          <w:rFonts w:ascii="Calibri" w:hAnsi="Calibri" w:eastAsia="宋体" w:cs="Times New Roman"/>
          <w:color w:val="000000"/>
          <w:sz w:val="21"/>
          <w:szCs w:val="21"/>
        </w:rPr>
      </w:pPr>
    </w:p>
    <w:p w14:paraId="64C87134">
      <w:pPr>
        <w:keepNext/>
        <w:keepLines/>
        <w:widowControl w:val="0"/>
        <w:spacing w:before="0" w:after="0" w:line="360" w:lineRule="auto"/>
        <w:jc w:val="both"/>
        <w:outlineLvl w:val="1"/>
        <w:rPr>
          <w:rFonts w:ascii="黑体" w:hAnsi="黑体" w:eastAsia="黑体" w:cs="黑体"/>
          <w:b w:val="0"/>
          <w:color w:val="000000"/>
          <w:kern w:val="2"/>
          <w:sz w:val="21"/>
          <w:szCs w:val="21"/>
          <w:lang w:val="en-US" w:eastAsia="zh-CN" w:bidi="ar-SA"/>
        </w:rPr>
      </w:pPr>
      <w:r>
        <w:rPr>
          <w:rFonts w:hint="eastAsia" w:ascii="黑体" w:hAnsi="黑体" w:eastAsia="黑体" w:cs="黑体"/>
          <w:b w:val="0"/>
          <w:color w:val="000000"/>
          <w:kern w:val="2"/>
          <w:sz w:val="21"/>
          <w:szCs w:val="21"/>
          <w:lang w:val="en-US" w:eastAsia="zh-CN" w:bidi="ar-SA"/>
        </w:rPr>
        <w:t xml:space="preserve">乙方： </w:t>
      </w:r>
      <w:r>
        <w:rPr>
          <w:rFonts w:hint="eastAsia" w:ascii="黑体" w:hAnsi="黑体" w:eastAsia="黑体" w:cs="黑体"/>
          <w:b w:val="0"/>
          <w:color w:val="000000"/>
          <w:kern w:val="2"/>
          <w:sz w:val="21"/>
          <w:szCs w:val="21"/>
          <w:u w:val="single"/>
          <w:lang w:val="en-US" w:eastAsia="zh-CN" w:bidi="ar-SA"/>
        </w:rPr>
        <w:t xml:space="preserve">                </w:t>
      </w:r>
      <w:r>
        <w:rPr>
          <w:rFonts w:hint="eastAsia" w:ascii="黑体" w:hAnsi="黑体" w:eastAsia="黑体" w:cs="黑体"/>
          <w:b w:val="0"/>
          <w:color w:val="000000"/>
          <w:kern w:val="2"/>
          <w:sz w:val="21"/>
          <w:szCs w:val="21"/>
          <w:lang w:val="en-US" w:eastAsia="zh-CN" w:bidi="ar-SA"/>
        </w:rPr>
        <w:t>（盖章）</w:t>
      </w:r>
    </w:p>
    <w:p w14:paraId="3595ABEE">
      <w:pPr>
        <w:spacing w:line="360" w:lineRule="auto"/>
        <w:rPr>
          <w:rFonts w:hint="eastAsia" w:ascii="黑体" w:hAnsi="黑体" w:eastAsia="黑体" w:cs="黑体"/>
          <w:color w:val="000000"/>
          <w:sz w:val="21"/>
          <w:szCs w:val="21"/>
        </w:rPr>
      </w:pPr>
    </w:p>
    <w:p w14:paraId="0AB7ADED">
      <w:pPr>
        <w:spacing w:line="360" w:lineRule="auto"/>
        <w:rPr>
          <w:rFonts w:ascii="黑体" w:hAnsi="黑体" w:eastAsia="黑体" w:cs="黑体"/>
          <w:color w:val="000000"/>
          <w:sz w:val="21"/>
          <w:szCs w:val="21"/>
        </w:rPr>
      </w:pPr>
      <w:r>
        <w:rPr>
          <w:rFonts w:hint="eastAsia" w:ascii="黑体" w:hAnsi="黑体" w:eastAsia="黑体" w:cs="黑体"/>
          <w:color w:val="000000"/>
          <w:sz w:val="21"/>
          <w:szCs w:val="21"/>
        </w:rPr>
        <w:t xml:space="preserve">法定代表/委托代理人________________（签字）  </w:t>
      </w:r>
    </w:p>
    <w:p w14:paraId="11F320ED">
      <w:pPr>
        <w:spacing w:line="360" w:lineRule="auto"/>
        <w:rPr>
          <w:rFonts w:hint="eastAsia"/>
          <w:sz w:val="21"/>
          <w:szCs w:val="21"/>
          <w:lang w:val="en-US" w:eastAsia="zh-CN"/>
        </w:rPr>
        <w:sectPr>
          <w:headerReference r:id="rId8" w:type="default"/>
          <w:footerReference r:id="rId9" w:type="default"/>
          <w:pgSz w:w="11905" w:h="16838"/>
          <w:pgMar w:top="1247" w:right="1701" w:bottom="1247" w:left="1501" w:header="850" w:footer="850" w:gutter="0"/>
          <w:pgBorders>
            <w:top w:val="none" w:sz="0" w:space="0"/>
            <w:left w:val="none" w:sz="0" w:space="0"/>
            <w:bottom w:val="none" w:sz="0" w:space="0"/>
            <w:right w:val="none" w:sz="0" w:space="0"/>
          </w:pgBorders>
          <w:pgNumType w:fmt="decimal"/>
          <w:cols w:space="720" w:num="1"/>
          <w:docGrid w:type="lines" w:linePitch="317" w:charSpace="0"/>
        </w:sectPr>
      </w:pPr>
      <w:r>
        <w:rPr>
          <w:rFonts w:hint="eastAsia" w:ascii="黑体" w:hAnsi="黑体" w:eastAsia="黑体" w:cs="黑体"/>
          <w:color w:val="000000"/>
          <w:sz w:val="21"/>
          <w:szCs w:val="21"/>
        </w:rPr>
        <w:t>签订日期：</w:t>
      </w:r>
      <w:r>
        <w:rPr>
          <w:rFonts w:hint="eastAsia" w:ascii="黑体" w:hAnsi="黑体" w:eastAsia="黑体" w:cs="黑体"/>
          <w:color w:val="000000"/>
          <w:sz w:val="21"/>
          <w:szCs w:val="21"/>
          <w:lang w:val="en-US" w:eastAsia="zh-CN"/>
        </w:rPr>
        <w:t xml:space="preserve">   </w:t>
      </w:r>
      <w:r>
        <w:rPr>
          <w:rFonts w:hint="eastAsia" w:ascii="黑体" w:hAnsi="黑体" w:eastAsia="黑体" w:cs="黑体"/>
          <w:color w:val="000000"/>
          <w:sz w:val="21"/>
          <w:szCs w:val="21"/>
        </w:rPr>
        <w:t xml:space="preserve"> 年    月   日</w:t>
      </w:r>
    </w:p>
    <w:p w14:paraId="74731B73">
      <w:pPr>
        <w:pStyle w:val="2"/>
        <w:numPr>
          <w:ilvl w:val="0"/>
          <w:numId w:val="8"/>
        </w:numPr>
        <w:bidi w:val="0"/>
        <w:jc w:val="center"/>
        <w:rPr>
          <w:rFonts w:hint="eastAsia"/>
          <w:sz w:val="28"/>
          <w:szCs w:val="28"/>
          <w:lang w:val="en-US" w:eastAsia="zh-CN"/>
        </w:rPr>
      </w:pPr>
      <w:r>
        <w:rPr>
          <w:rFonts w:hint="eastAsia"/>
          <w:sz w:val="28"/>
          <w:szCs w:val="28"/>
          <w:lang w:val="en-US" w:eastAsia="zh-CN"/>
        </w:rPr>
        <w:t xml:space="preserve"> </w:t>
      </w:r>
      <w:bookmarkStart w:id="103" w:name="_Toc17187"/>
      <w:r>
        <w:rPr>
          <w:rFonts w:hint="eastAsia"/>
          <w:sz w:val="28"/>
          <w:szCs w:val="28"/>
          <w:lang w:val="en-US" w:eastAsia="zh-CN"/>
        </w:rPr>
        <w:t>服务内容与要求</w:t>
      </w:r>
      <w:bookmarkEnd w:id="103"/>
    </w:p>
    <w:p w14:paraId="65B3A6E7">
      <w:pPr>
        <w:pStyle w:val="11"/>
        <w:rPr>
          <w:rFonts w:hint="eastAsia"/>
          <w:color w:val="auto"/>
          <w:highlight w:val="none"/>
          <w:lang w:val="en-US" w:eastAsia="zh-CN"/>
        </w:rPr>
      </w:pPr>
    </w:p>
    <w:p w14:paraId="5047BCA6">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jc w:val="both"/>
        <w:textAlignment w:val="auto"/>
        <w:outlineLvl w:val="9"/>
        <w:rPr>
          <w:rFonts w:hint="eastAsia" w:ascii="宋体" w:hAnsi="宋体" w:eastAsia="宋体" w:cs="宋体"/>
          <w:b/>
          <w:bCs/>
          <w:i w:val="0"/>
          <w:iCs w:val="0"/>
          <w:color w:val="000000"/>
          <w:kern w:val="0"/>
          <w:sz w:val="21"/>
          <w:szCs w:val="21"/>
          <w:u w:val="none"/>
          <w:lang w:val="en-US" w:eastAsia="zh-CN" w:bidi="ar"/>
        </w:rPr>
      </w:pPr>
      <w:bookmarkStart w:id="104" w:name="_Toc22847"/>
      <w:r>
        <w:rPr>
          <w:rFonts w:hint="eastAsia" w:ascii="宋体" w:hAnsi="宋体" w:eastAsia="宋体" w:cs="宋体"/>
          <w:b/>
          <w:bCs/>
          <w:i w:val="0"/>
          <w:iCs w:val="0"/>
          <w:color w:val="000000"/>
          <w:kern w:val="0"/>
          <w:sz w:val="21"/>
          <w:szCs w:val="21"/>
          <w:u w:val="none"/>
          <w:lang w:val="en-US" w:eastAsia="zh-CN" w:bidi="ar"/>
        </w:rPr>
        <w:t>一、采购需求：</w:t>
      </w:r>
    </w:p>
    <w:p w14:paraId="5DB01603">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firstLine="420" w:firstLineChars="200"/>
        <w:jc w:val="both"/>
        <w:textAlignment w:val="auto"/>
        <w:outlineLvl w:val="9"/>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1、采购内容：信阳市中心医院浉河、羊山、淮滨院区化粪池、窨井和排水沟清淤等危险废物处置</w:t>
      </w:r>
    </w:p>
    <w:p w14:paraId="43D246EE">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firstLine="420" w:firstLineChars="200"/>
        <w:jc w:val="both"/>
        <w:textAlignment w:val="auto"/>
        <w:outlineLvl w:val="9"/>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2、服务期限：淮滨院区两年，浉河、羊山院区三年。</w:t>
      </w:r>
    </w:p>
    <w:p w14:paraId="49F4B23F">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firstLine="420" w:firstLineChars="200"/>
        <w:jc w:val="both"/>
        <w:textAlignment w:val="auto"/>
        <w:outlineLvl w:val="9"/>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3、质量要求：符合国家及地方相关规定，满足院方管理要求。</w:t>
      </w:r>
    </w:p>
    <w:p w14:paraId="7120E2CA">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firstLine="420" w:firstLineChars="200"/>
        <w:jc w:val="both"/>
        <w:textAlignment w:val="auto"/>
        <w:outlineLvl w:val="9"/>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4、服务地点：采购人指定地点</w:t>
      </w:r>
    </w:p>
    <w:p w14:paraId="7DD1FCA3">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jc w:val="both"/>
        <w:textAlignment w:val="auto"/>
        <w:outlineLvl w:val="9"/>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二、采购内容及要求</w:t>
      </w:r>
    </w:p>
    <w:p w14:paraId="0FD3B347">
      <w:pPr>
        <w:pageBreakBefore w:val="0"/>
        <w:widowControl w:val="0"/>
        <w:numPr>
          <w:ilvl w:val="0"/>
          <w:numId w:val="0"/>
        </w:numPr>
        <w:kinsoku/>
        <w:wordWrap/>
        <w:overflowPunct/>
        <w:topLinePunct w:val="0"/>
        <w:autoSpaceDE/>
        <w:autoSpaceDN/>
        <w:bidi w:val="0"/>
        <w:adjustRightInd/>
        <w:snapToGrid/>
        <w:spacing w:line="360" w:lineRule="auto"/>
        <w:ind w:left="720" w:leftChars="0" w:hanging="720" w:firstLineChars="0"/>
        <w:textAlignment w:val="auto"/>
        <w:rPr>
          <w:rFonts w:hint="eastAsia" w:ascii="宋体" w:hAnsi="宋体"/>
          <w:b/>
          <w:bCs w:val="0"/>
          <w:sz w:val="21"/>
          <w:szCs w:val="21"/>
        </w:rPr>
      </w:pPr>
      <w:r>
        <w:rPr>
          <w:rFonts w:hint="default" w:ascii="宋体" w:hAnsi="宋体"/>
          <w:b/>
          <w:bCs w:val="0"/>
          <w:kern w:val="2"/>
          <w:sz w:val="21"/>
          <w:szCs w:val="21"/>
          <w:lang w:val="en-US" w:eastAsia="zh-CN" w:bidi="ar-SA"/>
        </w:rPr>
        <w:t>1、</w:t>
      </w:r>
      <w:r>
        <w:rPr>
          <w:rFonts w:hint="eastAsia" w:ascii="宋体" w:hAnsi="宋体"/>
          <w:b/>
          <w:bCs w:val="0"/>
          <w:sz w:val="21"/>
          <w:szCs w:val="21"/>
          <w:lang w:val="en-US" w:eastAsia="zh-CN"/>
        </w:rPr>
        <w:t>羊山</w:t>
      </w:r>
      <w:r>
        <w:rPr>
          <w:rFonts w:hint="eastAsia" w:ascii="宋体" w:hAnsi="宋体"/>
          <w:b/>
          <w:bCs w:val="0"/>
          <w:sz w:val="21"/>
          <w:szCs w:val="21"/>
        </w:rPr>
        <w:t>院区化粪池、窨井和排水沟清淤等危险废物处置</w:t>
      </w:r>
    </w:p>
    <w:tbl>
      <w:tblPr>
        <w:tblStyle w:val="26"/>
        <w:tblW w:w="9255"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66"/>
        <w:gridCol w:w="5627"/>
        <w:gridCol w:w="716"/>
        <w:gridCol w:w="971"/>
      </w:tblGrid>
      <w:tr w14:paraId="1C40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724635DE">
            <w:pPr>
              <w:jc w:val="center"/>
              <w:rPr>
                <w:rFonts w:hint="eastAsia" w:ascii="宋体" w:hAnsi="宋体"/>
                <w:b w:val="0"/>
                <w:bCs/>
                <w:sz w:val="21"/>
                <w:szCs w:val="21"/>
              </w:rPr>
            </w:pPr>
            <w:r>
              <w:rPr>
                <w:rFonts w:hint="eastAsia" w:ascii="宋体" w:hAnsi="宋体"/>
                <w:b w:val="0"/>
                <w:bCs/>
                <w:sz w:val="21"/>
                <w:szCs w:val="21"/>
              </w:rPr>
              <w:t>序号</w:t>
            </w:r>
          </w:p>
        </w:tc>
        <w:tc>
          <w:tcPr>
            <w:tcW w:w="1266" w:type="dxa"/>
            <w:noWrap w:val="0"/>
            <w:vAlign w:val="center"/>
          </w:tcPr>
          <w:p w14:paraId="18511442">
            <w:pPr>
              <w:jc w:val="center"/>
              <w:rPr>
                <w:rFonts w:hint="eastAsia" w:ascii="宋体" w:hAnsi="宋体"/>
                <w:b w:val="0"/>
                <w:bCs/>
                <w:sz w:val="21"/>
                <w:szCs w:val="21"/>
              </w:rPr>
            </w:pPr>
            <w:r>
              <w:rPr>
                <w:rFonts w:hint="eastAsia" w:ascii="宋体" w:hAnsi="宋体"/>
                <w:b w:val="0"/>
                <w:bCs/>
                <w:sz w:val="21"/>
                <w:szCs w:val="21"/>
              </w:rPr>
              <w:t>项目名称</w:t>
            </w:r>
          </w:p>
        </w:tc>
        <w:tc>
          <w:tcPr>
            <w:tcW w:w="5627" w:type="dxa"/>
            <w:noWrap w:val="0"/>
            <w:vAlign w:val="center"/>
          </w:tcPr>
          <w:p w14:paraId="2DFE9B5A">
            <w:pPr>
              <w:jc w:val="center"/>
              <w:rPr>
                <w:rFonts w:hint="eastAsia" w:ascii="宋体" w:hAnsi="宋体"/>
                <w:b w:val="0"/>
                <w:bCs/>
                <w:sz w:val="21"/>
                <w:szCs w:val="21"/>
              </w:rPr>
            </w:pPr>
            <w:r>
              <w:rPr>
                <w:rFonts w:hint="eastAsia" w:ascii="宋体" w:hAnsi="宋体"/>
                <w:b w:val="0"/>
                <w:bCs/>
                <w:sz w:val="21"/>
                <w:szCs w:val="21"/>
              </w:rPr>
              <w:t>项目特征描述</w:t>
            </w:r>
          </w:p>
        </w:tc>
        <w:tc>
          <w:tcPr>
            <w:tcW w:w="716" w:type="dxa"/>
            <w:noWrap w:val="0"/>
            <w:vAlign w:val="center"/>
          </w:tcPr>
          <w:p w14:paraId="3355DBED">
            <w:pPr>
              <w:jc w:val="center"/>
              <w:rPr>
                <w:rFonts w:hint="eastAsia" w:ascii="宋体" w:hAnsi="宋体"/>
                <w:b w:val="0"/>
                <w:bCs/>
                <w:sz w:val="21"/>
                <w:szCs w:val="21"/>
              </w:rPr>
            </w:pPr>
            <w:r>
              <w:rPr>
                <w:rFonts w:hint="eastAsia" w:ascii="宋体" w:hAnsi="宋体"/>
                <w:b w:val="0"/>
                <w:bCs/>
                <w:sz w:val="21"/>
                <w:szCs w:val="21"/>
              </w:rPr>
              <w:t>单位</w:t>
            </w:r>
          </w:p>
        </w:tc>
        <w:tc>
          <w:tcPr>
            <w:tcW w:w="971" w:type="dxa"/>
            <w:noWrap w:val="0"/>
            <w:vAlign w:val="center"/>
          </w:tcPr>
          <w:p w14:paraId="0CA14701">
            <w:pPr>
              <w:jc w:val="center"/>
              <w:rPr>
                <w:rFonts w:hint="eastAsia" w:ascii="宋体" w:hAnsi="宋体"/>
                <w:b w:val="0"/>
                <w:bCs/>
                <w:sz w:val="21"/>
                <w:szCs w:val="21"/>
              </w:rPr>
            </w:pPr>
            <w:r>
              <w:rPr>
                <w:rFonts w:hint="eastAsia" w:ascii="宋体" w:hAnsi="宋体"/>
                <w:b w:val="0"/>
                <w:bCs/>
                <w:sz w:val="21"/>
                <w:szCs w:val="21"/>
              </w:rPr>
              <w:t>工程量</w:t>
            </w:r>
          </w:p>
        </w:tc>
      </w:tr>
      <w:tr w14:paraId="458A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56C2CA02">
            <w:pPr>
              <w:widowControl/>
              <w:kinsoku w:val="0"/>
              <w:autoSpaceDE w:val="0"/>
              <w:autoSpaceDN w:val="0"/>
              <w:adjustRightInd w:val="0"/>
              <w:snapToGrid w:val="0"/>
              <w:spacing w:line="312" w:lineRule="auto"/>
              <w:jc w:val="center"/>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1</w:t>
            </w:r>
          </w:p>
        </w:tc>
        <w:tc>
          <w:tcPr>
            <w:tcW w:w="1266" w:type="dxa"/>
            <w:noWrap w:val="0"/>
            <w:vAlign w:val="center"/>
          </w:tcPr>
          <w:p w14:paraId="5984A767">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清掏病房楼西侧化粪池</w:t>
            </w:r>
          </w:p>
        </w:tc>
        <w:tc>
          <w:tcPr>
            <w:tcW w:w="5627" w:type="dxa"/>
            <w:noWrap w:val="0"/>
            <w:vAlign w:val="center"/>
          </w:tcPr>
          <w:p w14:paraId="6CE3F640">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部位：病房楼西侧</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1.泥浆泵抽清掏深度</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1.4m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2.化粪池数量：2座</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3.化粪池尺寸：13.4m*3.7m*1.4m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4.垃圾外运：运距自行考虑</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5.服务期3年，一年清理四次，工程量138.82m³/年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6.其他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716" w:type="dxa"/>
            <w:noWrap w:val="0"/>
            <w:vAlign w:val="center"/>
          </w:tcPr>
          <w:p w14:paraId="3E28808E">
            <w:pPr>
              <w:keepNext w:val="0"/>
              <w:keepLines w:val="0"/>
              <w:widowControl/>
              <w:suppressLineNumbers w:val="0"/>
              <w:jc w:val="center"/>
              <w:textAlignment w:val="center"/>
              <w:rPr>
                <w:rFonts w:hint="eastAsia" w:ascii="宋体" w:hAnsi="宋体" w:eastAsia="宋体" w:cs="宋体"/>
                <w:snapToGrid w:val="0"/>
                <w:color w:val="000000"/>
                <w:kern w:val="0"/>
                <w:sz w:val="21"/>
                <w:szCs w:val="21"/>
                <w:lang w:eastAsia="zh-CN"/>
              </w:rPr>
            </w:pPr>
            <w:r>
              <w:rPr>
                <w:rStyle w:val="82"/>
                <w:rFonts w:hint="eastAsia"/>
                <w:sz w:val="21"/>
                <w:szCs w:val="21"/>
                <w:lang w:val="en-US" w:eastAsia="zh-CN" w:bidi="ar"/>
              </w:rPr>
              <w:t>m³</w:t>
            </w:r>
          </w:p>
        </w:tc>
        <w:tc>
          <w:tcPr>
            <w:tcW w:w="971" w:type="dxa"/>
            <w:noWrap w:val="0"/>
            <w:vAlign w:val="center"/>
          </w:tcPr>
          <w:p w14:paraId="35DB2E91">
            <w:pPr>
              <w:keepNext w:val="0"/>
              <w:keepLines w:val="0"/>
              <w:widowControl/>
              <w:suppressLineNumbers w:val="0"/>
              <w:jc w:val="right"/>
              <w:textAlignment w:val="center"/>
              <w:rPr>
                <w:rFonts w:hint="eastAsia" w:ascii="宋体" w:hAnsi="宋体" w:eastAsia="宋体" w:cs="宋体"/>
                <w:snapToGrid w:val="0"/>
                <w:color w:val="000000"/>
                <w:kern w:val="0"/>
                <w:sz w:val="21"/>
                <w:szCs w:val="21"/>
                <w:lang w:eastAsia="zh-CN"/>
              </w:rPr>
            </w:pPr>
            <w:r>
              <w:rPr>
                <w:rFonts w:ascii="宋体" w:hAnsi="宋体" w:eastAsia="宋体" w:cs="宋体"/>
                <w:i w:val="0"/>
                <w:iCs w:val="0"/>
                <w:color w:val="000000"/>
                <w:kern w:val="0"/>
                <w:sz w:val="21"/>
                <w:szCs w:val="21"/>
                <w:u w:val="none"/>
                <w:lang w:val="en-US" w:eastAsia="zh-CN" w:bidi="ar"/>
              </w:rPr>
              <w:t xml:space="preserve">416.46 </w:t>
            </w:r>
          </w:p>
        </w:tc>
      </w:tr>
      <w:tr w14:paraId="045D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0"/>
            <w:vAlign w:val="center"/>
          </w:tcPr>
          <w:p w14:paraId="0FAB5EA5">
            <w:pPr>
              <w:widowControl/>
              <w:kinsoku w:val="0"/>
              <w:autoSpaceDE w:val="0"/>
              <w:autoSpaceDN w:val="0"/>
              <w:adjustRightInd w:val="0"/>
              <w:snapToGrid w:val="0"/>
              <w:spacing w:line="312" w:lineRule="auto"/>
              <w:jc w:val="center"/>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2</w:t>
            </w:r>
          </w:p>
        </w:tc>
        <w:tc>
          <w:tcPr>
            <w:tcW w:w="1266" w:type="dxa"/>
            <w:noWrap w:val="0"/>
            <w:vAlign w:val="center"/>
          </w:tcPr>
          <w:p w14:paraId="08665C36">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清掏垃圾站东侧化粪池</w:t>
            </w:r>
          </w:p>
        </w:tc>
        <w:tc>
          <w:tcPr>
            <w:tcW w:w="5627" w:type="dxa"/>
            <w:noWrap w:val="0"/>
            <w:vAlign w:val="center"/>
          </w:tcPr>
          <w:p w14:paraId="4C3A99F8">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部位：垃圾站东侧</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1.泥浆泵抽清掏深度</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1.4m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2.化粪池数量： 2座</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3.化粪池尺寸分别为： 13.4m*3.7m*1.4m、 12m*3m*1.4m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4.垃圾外运：运距自行考虑</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5.服务期3年， 一年清理四次，工程量119.81m³/年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6.其他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716" w:type="dxa"/>
            <w:noWrap w:val="0"/>
            <w:vAlign w:val="center"/>
          </w:tcPr>
          <w:p w14:paraId="5C8C2D14">
            <w:pPr>
              <w:keepNext w:val="0"/>
              <w:keepLines w:val="0"/>
              <w:widowControl/>
              <w:suppressLineNumbers w:val="0"/>
              <w:jc w:val="center"/>
              <w:textAlignment w:val="center"/>
              <w:rPr>
                <w:rFonts w:hint="eastAsia" w:ascii="宋体" w:hAnsi="宋体" w:eastAsia="宋体" w:cs="宋体"/>
                <w:snapToGrid w:val="0"/>
                <w:color w:val="000000"/>
                <w:kern w:val="0"/>
                <w:sz w:val="21"/>
                <w:szCs w:val="21"/>
                <w:lang w:eastAsia="zh-CN"/>
              </w:rPr>
            </w:pPr>
            <w:r>
              <w:rPr>
                <w:rStyle w:val="82"/>
                <w:rFonts w:hint="eastAsia"/>
                <w:sz w:val="21"/>
                <w:szCs w:val="21"/>
                <w:lang w:val="en-US" w:eastAsia="zh-CN" w:bidi="ar"/>
              </w:rPr>
              <w:t>m³</w:t>
            </w:r>
          </w:p>
        </w:tc>
        <w:tc>
          <w:tcPr>
            <w:tcW w:w="971" w:type="dxa"/>
            <w:noWrap w:val="0"/>
            <w:vAlign w:val="center"/>
          </w:tcPr>
          <w:p w14:paraId="44B0B65C">
            <w:pPr>
              <w:keepNext w:val="0"/>
              <w:keepLines w:val="0"/>
              <w:widowControl/>
              <w:suppressLineNumbers w:val="0"/>
              <w:jc w:val="right"/>
              <w:textAlignment w:val="center"/>
              <w:rPr>
                <w:rFonts w:hint="eastAsia" w:ascii="宋体" w:hAnsi="宋体" w:eastAsia="宋体" w:cs="宋体"/>
                <w:snapToGrid w:val="0"/>
                <w:color w:val="000000"/>
                <w:kern w:val="0"/>
                <w:sz w:val="21"/>
                <w:szCs w:val="21"/>
                <w:lang w:eastAsia="zh-CN"/>
              </w:rPr>
            </w:pPr>
            <w:r>
              <w:rPr>
                <w:rFonts w:ascii="宋体" w:hAnsi="宋体" w:eastAsia="宋体" w:cs="宋体"/>
                <w:i w:val="0"/>
                <w:iCs w:val="0"/>
                <w:color w:val="000000"/>
                <w:kern w:val="0"/>
                <w:sz w:val="21"/>
                <w:szCs w:val="21"/>
                <w:u w:val="none"/>
                <w:lang w:val="en-US" w:eastAsia="zh-CN" w:bidi="ar"/>
              </w:rPr>
              <w:t xml:space="preserve">359.43 </w:t>
            </w:r>
          </w:p>
        </w:tc>
      </w:tr>
      <w:tr w14:paraId="361E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034E87AC">
            <w:pPr>
              <w:widowControl/>
              <w:kinsoku w:val="0"/>
              <w:autoSpaceDE w:val="0"/>
              <w:autoSpaceDN w:val="0"/>
              <w:adjustRightInd w:val="0"/>
              <w:snapToGrid w:val="0"/>
              <w:spacing w:line="312" w:lineRule="auto"/>
              <w:jc w:val="center"/>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3</w:t>
            </w:r>
          </w:p>
        </w:tc>
        <w:tc>
          <w:tcPr>
            <w:tcW w:w="1266" w:type="dxa"/>
            <w:noWrap w:val="0"/>
            <w:vAlign w:val="center"/>
          </w:tcPr>
          <w:p w14:paraId="746BC038">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Style w:val="82"/>
                <w:sz w:val="21"/>
                <w:szCs w:val="21"/>
                <w:lang w:val="en-US" w:eastAsia="zh-CN" w:bidi="ar"/>
              </w:rPr>
              <w:t>清掏院区西北角化粪池</w:t>
            </w:r>
          </w:p>
        </w:tc>
        <w:tc>
          <w:tcPr>
            <w:tcW w:w="5627" w:type="dxa"/>
            <w:noWrap w:val="0"/>
            <w:vAlign w:val="center"/>
          </w:tcPr>
          <w:p w14:paraId="5A0DD51A">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部位：院区西北角</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1.泥浆泵抽清掏深度</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1.4m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2.化粪池数量：2座</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3.化粪池尺寸分别为：13.4m*3.7m*1.4m、 12m*3m*1.4m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4.垃圾外运：运距自行考虑</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5.服务期3年，一年清理四次，工程量119.81m³/年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6.其他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716" w:type="dxa"/>
            <w:noWrap w:val="0"/>
            <w:vAlign w:val="center"/>
          </w:tcPr>
          <w:p w14:paraId="4F7E2BE6">
            <w:pPr>
              <w:keepNext w:val="0"/>
              <w:keepLines w:val="0"/>
              <w:widowControl/>
              <w:suppressLineNumbers w:val="0"/>
              <w:jc w:val="center"/>
              <w:textAlignment w:val="center"/>
              <w:rPr>
                <w:rFonts w:hint="eastAsia" w:ascii="宋体" w:hAnsi="宋体" w:eastAsia="宋体" w:cs="宋体"/>
                <w:snapToGrid w:val="0"/>
                <w:color w:val="000000"/>
                <w:kern w:val="0"/>
                <w:sz w:val="21"/>
                <w:szCs w:val="21"/>
                <w:lang w:eastAsia="zh-CN"/>
              </w:rPr>
            </w:pPr>
            <w:r>
              <w:rPr>
                <w:rStyle w:val="82"/>
                <w:rFonts w:hint="eastAsia"/>
                <w:sz w:val="21"/>
                <w:szCs w:val="21"/>
                <w:lang w:val="en-US" w:eastAsia="zh-CN" w:bidi="ar"/>
              </w:rPr>
              <w:t>m³</w:t>
            </w:r>
          </w:p>
        </w:tc>
        <w:tc>
          <w:tcPr>
            <w:tcW w:w="971" w:type="dxa"/>
            <w:noWrap w:val="0"/>
            <w:vAlign w:val="center"/>
          </w:tcPr>
          <w:p w14:paraId="72EBE8F5">
            <w:pPr>
              <w:keepNext w:val="0"/>
              <w:keepLines w:val="0"/>
              <w:widowControl/>
              <w:suppressLineNumbers w:val="0"/>
              <w:jc w:val="right"/>
              <w:textAlignment w:val="center"/>
              <w:rPr>
                <w:rFonts w:hint="eastAsia" w:ascii="宋体" w:hAnsi="宋体" w:eastAsia="宋体" w:cs="宋体"/>
                <w:snapToGrid w:val="0"/>
                <w:color w:val="000000"/>
                <w:kern w:val="0"/>
                <w:sz w:val="21"/>
                <w:szCs w:val="21"/>
                <w:lang w:eastAsia="zh-CN"/>
              </w:rPr>
            </w:pPr>
            <w:r>
              <w:rPr>
                <w:rFonts w:ascii="宋体" w:hAnsi="宋体" w:eastAsia="宋体" w:cs="宋体"/>
                <w:i w:val="0"/>
                <w:iCs w:val="0"/>
                <w:color w:val="000000"/>
                <w:kern w:val="0"/>
                <w:sz w:val="21"/>
                <w:szCs w:val="21"/>
                <w:u w:val="none"/>
                <w:lang w:val="en-US" w:eastAsia="zh-CN" w:bidi="ar"/>
              </w:rPr>
              <w:t xml:space="preserve">359.43 </w:t>
            </w:r>
          </w:p>
        </w:tc>
      </w:tr>
      <w:tr w14:paraId="7E97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75" w:type="dxa"/>
            <w:noWrap w:val="0"/>
            <w:vAlign w:val="center"/>
          </w:tcPr>
          <w:p w14:paraId="0CA96A8B">
            <w:pPr>
              <w:widowControl/>
              <w:kinsoku w:val="0"/>
              <w:autoSpaceDE w:val="0"/>
              <w:autoSpaceDN w:val="0"/>
              <w:adjustRightInd w:val="0"/>
              <w:snapToGrid w:val="0"/>
              <w:spacing w:line="312" w:lineRule="auto"/>
              <w:jc w:val="center"/>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4</w:t>
            </w:r>
          </w:p>
        </w:tc>
        <w:tc>
          <w:tcPr>
            <w:tcW w:w="1266" w:type="dxa"/>
            <w:noWrap w:val="0"/>
            <w:vAlign w:val="center"/>
          </w:tcPr>
          <w:p w14:paraId="32668804">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Style w:val="82"/>
                <w:sz w:val="21"/>
                <w:szCs w:val="21"/>
                <w:lang w:val="en-US" w:eastAsia="zh-CN" w:bidi="ar"/>
              </w:rPr>
              <w:t>清掏院总化粪池</w:t>
            </w:r>
          </w:p>
        </w:tc>
        <w:tc>
          <w:tcPr>
            <w:tcW w:w="5627" w:type="dxa"/>
            <w:noWrap w:val="0"/>
            <w:vAlign w:val="center"/>
          </w:tcPr>
          <w:p w14:paraId="3AF355D6">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部位：院总化粪池</w:t>
            </w:r>
            <w:r>
              <w:rPr>
                <w:rFonts w:hint="eastAsia" w:ascii="宋体" w:hAnsi="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二沉池、好氧池、缺氧池、厌氧池、调节池、消毒池、脱氧池</w:t>
            </w:r>
            <w:r>
              <w:rPr>
                <w:rFonts w:hint="eastAsia" w:ascii="宋体" w:hAnsi="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1.泥浆泵抽清掏深度</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2.2m-2.9m之间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2.化粪池尺寸：二沉池6m*6m*2.9m、好氧池8m*6m*2.8m、缺氧池4.75m*4.5m*2.6m、厌氧池6m*2m*2.2m、调节12.3m*7.7m*2.6m、消毒池6.5m*1.8m*2.6m、脱氧池6m*1.8m*2.6m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3.垃圾外运：运距自行考虑</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4.服务期3年，一年清理四次，工程量625.52m³/年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5.其他:未尽事宜参见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716" w:type="dxa"/>
            <w:noWrap w:val="0"/>
            <w:vAlign w:val="center"/>
          </w:tcPr>
          <w:p w14:paraId="5B6896A3">
            <w:pPr>
              <w:keepNext w:val="0"/>
              <w:keepLines w:val="0"/>
              <w:widowControl/>
              <w:suppressLineNumbers w:val="0"/>
              <w:jc w:val="center"/>
              <w:textAlignment w:val="center"/>
              <w:rPr>
                <w:rFonts w:hint="eastAsia" w:ascii="宋体" w:hAnsi="宋体" w:eastAsia="宋体" w:cs="宋体"/>
                <w:snapToGrid w:val="0"/>
                <w:color w:val="000000"/>
                <w:kern w:val="0"/>
                <w:sz w:val="21"/>
                <w:szCs w:val="21"/>
                <w:lang w:eastAsia="zh-CN"/>
              </w:rPr>
            </w:pPr>
            <w:r>
              <w:rPr>
                <w:rStyle w:val="82"/>
                <w:rFonts w:hint="eastAsia"/>
                <w:sz w:val="21"/>
                <w:szCs w:val="21"/>
                <w:lang w:val="en-US" w:eastAsia="zh-CN" w:bidi="ar"/>
              </w:rPr>
              <w:t>m³</w:t>
            </w:r>
          </w:p>
        </w:tc>
        <w:tc>
          <w:tcPr>
            <w:tcW w:w="971" w:type="dxa"/>
            <w:noWrap w:val="0"/>
            <w:vAlign w:val="center"/>
          </w:tcPr>
          <w:p w14:paraId="6D4574E6">
            <w:pPr>
              <w:keepNext w:val="0"/>
              <w:keepLines w:val="0"/>
              <w:widowControl/>
              <w:suppressLineNumbers w:val="0"/>
              <w:jc w:val="righ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 xml:space="preserve">1876.56 </w:t>
            </w:r>
          </w:p>
        </w:tc>
      </w:tr>
      <w:tr w14:paraId="4ACA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23A7C9FB">
            <w:pPr>
              <w:widowControl/>
              <w:kinsoku w:val="0"/>
              <w:autoSpaceDE w:val="0"/>
              <w:autoSpaceDN w:val="0"/>
              <w:adjustRightInd w:val="0"/>
              <w:snapToGrid w:val="0"/>
              <w:spacing w:line="312" w:lineRule="auto"/>
              <w:jc w:val="center"/>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w:t>
            </w:r>
          </w:p>
        </w:tc>
        <w:tc>
          <w:tcPr>
            <w:tcW w:w="1266" w:type="dxa"/>
            <w:noWrap w:val="0"/>
            <w:vAlign w:val="center"/>
          </w:tcPr>
          <w:p w14:paraId="65007B19">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Style w:val="82"/>
                <w:sz w:val="21"/>
                <w:szCs w:val="21"/>
                <w:lang w:val="en-US" w:eastAsia="zh-CN" w:bidi="ar"/>
              </w:rPr>
              <w:t>清掏院总化粪池（污泥池）</w:t>
            </w:r>
          </w:p>
        </w:tc>
        <w:tc>
          <w:tcPr>
            <w:tcW w:w="5627" w:type="dxa"/>
            <w:noWrap w:val="0"/>
            <w:vAlign w:val="center"/>
          </w:tcPr>
          <w:p w14:paraId="7D947BD8">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部位：院总化粪池</w:t>
            </w:r>
            <w:r>
              <w:rPr>
                <w:rFonts w:hint="eastAsia" w:ascii="宋体" w:hAnsi="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污泥池</w:t>
            </w:r>
            <w:r>
              <w:rPr>
                <w:rFonts w:hint="eastAsia" w:ascii="宋体" w:hAnsi="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有毒有害污泥处置</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1.泥浆泵抽清掏深度</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2.6m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2.化粪池尺寸：4m*2.45m*2.6m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3.院总化粪池</w:t>
            </w:r>
            <w:r>
              <w:rPr>
                <w:rFonts w:hint="eastAsia" w:ascii="宋体" w:hAnsi="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污泥池</w:t>
            </w:r>
            <w:r>
              <w:rPr>
                <w:rFonts w:hint="eastAsia" w:ascii="宋体" w:hAnsi="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有毒有害污泥消纳费</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4.垃圾外运： 80km外运</w:t>
            </w:r>
            <w:r>
              <w:rPr>
                <w:rFonts w:hint="eastAsia" w:ascii="宋体" w:hAnsi="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一年分两次运至光山县官渡河产业集聚区污水处理厂</w:t>
            </w:r>
            <w:r>
              <w:rPr>
                <w:rFonts w:hint="eastAsia" w:ascii="宋体" w:hAnsi="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污泥清抽及运费服务期3年， 一年清理四次，工程量25.48m³/年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716" w:type="dxa"/>
            <w:noWrap w:val="0"/>
            <w:vAlign w:val="center"/>
          </w:tcPr>
          <w:p w14:paraId="0CEFC13E">
            <w:pPr>
              <w:keepNext w:val="0"/>
              <w:keepLines w:val="0"/>
              <w:widowControl/>
              <w:suppressLineNumbers w:val="0"/>
              <w:jc w:val="center"/>
              <w:textAlignment w:val="center"/>
              <w:rPr>
                <w:rFonts w:hint="eastAsia" w:ascii="宋体" w:hAnsi="宋体" w:eastAsia="宋体" w:cs="宋体"/>
                <w:snapToGrid w:val="0"/>
                <w:color w:val="000000"/>
                <w:kern w:val="0"/>
                <w:sz w:val="21"/>
                <w:szCs w:val="21"/>
                <w:lang w:eastAsia="zh-CN"/>
              </w:rPr>
            </w:pPr>
            <w:r>
              <w:rPr>
                <w:rStyle w:val="82"/>
                <w:rFonts w:hint="eastAsia"/>
                <w:sz w:val="21"/>
                <w:szCs w:val="21"/>
                <w:lang w:val="en-US" w:eastAsia="zh-CN" w:bidi="ar"/>
              </w:rPr>
              <w:t>m³</w:t>
            </w:r>
          </w:p>
        </w:tc>
        <w:tc>
          <w:tcPr>
            <w:tcW w:w="971" w:type="dxa"/>
            <w:noWrap w:val="0"/>
            <w:vAlign w:val="center"/>
          </w:tcPr>
          <w:p w14:paraId="5FA3A0E8">
            <w:pPr>
              <w:keepNext w:val="0"/>
              <w:keepLines w:val="0"/>
              <w:widowControl/>
              <w:suppressLineNumbers w:val="0"/>
              <w:jc w:val="righ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 xml:space="preserve">76.44 </w:t>
            </w:r>
          </w:p>
        </w:tc>
      </w:tr>
      <w:tr w14:paraId="2617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4415D26E">
            <w:pPr>
              <w:widowControl/>
              <w:kinsoku w:val="0"/>
              <w:autoSpaceDE w:val="0"/>
              <w:autoSpaceDN w:val="0"/>
              <w:adjustRightInd w:val="0"/>
              <w:snapToGrid w:val="0"/>
              <w:spacing w:line="312" w:lineRule="auto"/>
              <w:jc w:val="center"/>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6</w:t>
            </w:r>
          </w:p>
        </w:tc>
        <w:tc>
          <w:tcPr>
            <w:tcW w:w="1266" w:type="dxa"/>
            <w:noWrap w:val="0"/>
            <w:vAlign w:val="center"/>
          </w:tcPr>
          <w:p w14:paraId="6C875930">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Style w:val="82"/>
                <w:sz w:val="21"/>
                <w:szCs w:val="21"/>
                <w:lang w:val="en-US" w:eastAsia="zh-CN" w:bidi="ar"/>
              </w:rPr>
              <w:t>院内污水管道清理</w:t>
            </w:r>
          </w:p>
        </w:tc>
        <w:tc>
          <w:tcPr>
            <w:tcW w:w="5627" w:type="dxa"/>
            <w:noWrap w:val="0"/>
            <w:vAlign w:val="center"/>
          </w:tcPr>
          <w:p w14:paraId="6F134307">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1.污水管型号分别为：DE200和DE315污水管</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2.泥浆泵抽污水管清淤长度：DE200管长880.4m，DE315管1058m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3.垃圾外运：运距自行考虑</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4.服务期3年，一年清理四次，工程量69.85m³/年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716" w:type="dxa"/>
            <w:noWrap w:val="0"/>
            <w:vAlign w:val="center"/>
          </w:tcPr>
          <w:p w14:paraId="1BA6913D">
            <w:pPr>
              <w:keepNext w:val="0"/>
              <w:keepLines w:val="0"/>
              <w:widowControl/>
              <w:suppressLineNumbers w:val="0"/>
              <w:jc w:val="center"/>
              <w:textAlignment w:val="center"/>
              <w:rPr>
                <w:rFonts w:hint="eastAsia" w:ascii="宋体" w:hAnsi="宋体" w:eastAsia="宋体" w:cs="宋体"/>
                <w:snapToGrid w:val="0"/>
                <w:color w:val="000000"/>
                <w:kern w:val="0"/>
                <w:sz w:val="21"/>
                <w:szCs w:val="21"/>
                <w:lang w:eastAsia="zh-CN"/>
              </w:rPr>
            </w:pPr>
            <w:r>
              <w:rPr>
                <w:rStyle w:val="82"/>
                <w:rFonts w:hint="eastAsia"/>
                <w:sz w:val="21"/>
                <w:szCs w:val="21"/>
                <w:lang w:val="en-US" w:eastAsia="zh-CN" w:bidi="ar"/>
              </w:rPr>
              <w:t>m³</w:t>
            </w:r>
          </w:p>
        </w:tc>
        <w:tc>
          <w:tcPr>
            <w:tcW w:w="971" w:type="dxa"/>
            <w:noWrap w:val="0"/>
            <w:vAlign w:val="center"/>
          </w:tcPr>
          <w:p w14:paraId="748E0F05">
            <w:pPr>
              <w:keepNext w:val="0"/>
              <w:keepLines w:val="0"/>
              <w:widowControl/>
              <w:suppressLineNumbers w:val="0"/>
              <w:jc w:val="righ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 xml:space="preserve">209.55 </w:t>
            </w:r>
          </w:p>
        </w:tc>
      </w:tr>
      <w:tr w14:paraId="7538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4F9DE292">
            <w:pPr>
              <w:widowControl/>
              <w:kinsoku w:val="0"/>
              <w:autoSpaceDE w:val="0"/>
              <w:autoSpaceDN w:val="0"/>
              <w:adjustRightInd w:val="0"/>
              <w:snapToGrid w:val="0"/>
              <w:spacing w:line="312" w:lineRule="auto"/>
              <w:jc w:val="center"/>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7</w:t>
            </w:r>
          </w:p>
        </w:tc>
        <w:tc>
          <w:tcPr>
            <w:tcW w:w="1266" w:type="dxa"/>
            <w:noWrap w:val="0"/>
            <w:vAlign w:val="center"/>
          </w:tcPr>
          <w:p w14:paraId="48D78201">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Style w:val="82"/>
                <w:sz w:val="21"/>
                <w:szCs w:val="21"/>
                <w:lang w:val="en-US" w:eastAsia="zh-CN" w:bidi="ar"/>
              </w:rPr>
              <w:t>塑料检查井清淤</w:t>
            </w:r>
          </w:p>
        </w:tc>
        <w:tc>
          <w:tcPr>
            <w:tcW w:w="5627" w:type="dxa"/>
            <w:noWrap w:val="0"/>
            <w:vAlign w:val="center"/>
          </w:tcPr>
          <w:p w14:paraId="44A03853">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1.塑料检查井清淤：圆形井体、直径0.7m、清淤深度0.3m、85座</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2.服务期3年，工程量85座/年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716" w:type="dxa"/>
            <w:noWrap w:val="0"/>
            <w:vAlign w:val="center"/>
          </w:tcPr>
          <w:p w14:paraId="4E7BB935">
            <w:pPr>
              <w:keepNext w:val="0"/>
              <w:keepLines w:val="0"/>
              <w:widowControl/>
              <w:suppressLineNumbers w:val="0"/>
              <w:jc w:val="center"/>
              <w:textAlignment w:val="center"/>
              <w:rPr>
                <w:rFonts w:hint="eastAsia" w:ascii="宋体" w:hAnsi="宋体" w:eastAsia="宋体" w:cs="宋体"/>
                <w:snapToGrid w:val="0"/>
                <w:color w:val="000000"/>
                <w:kern w:val="0"/>
                <w:sz w:val="21"/>
                <w:szCs w:val="21"/>
                <w:lang w:eastAsia="zh-CN"/>
              </w:rPr>
            </w:pPr>
            <w:r>
              <w:rPr>
                <w:rStyle w:val="82"/>
                <w:sz w:val="21"/>
                <w:szCs w:val="21"/>
                <w:lang w:val="en-US" w:eastAsia="zh-CN" w:bidi="ar"/>
              </w:rPr>
              <w:t>座</w:t>
            </w:r>
          </w:p>
        </w:tc>
        <w:tc>
          <w:tcPr>
            <w:tcW w:w="971" w:type="dxa"/>
            <w:noWrap w:val="0"/>
            <w:vAlign w:val="center"/>
          </w:tcPr>
          <w:p w14:paraId="5942E3EA">
            <w:pPr>
              <w:keepNext w:val="0"/>
              <w:keepLines w:val="0"/>
              <w:widowControl/>
              <w:suppressLineNumbers w:val="0"/>
              <w:jc w:val="righ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 xml:space="preserve">255 </w:t>
            </w:r>
          </w:p>
        </w:tc>
      </w:tr>
      <w:tr w14:paraId="7891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131924A0">
            <w:pPr>
              <w:widowControl/>
              <w:kinsoku w:val="0"/>
              <w:autoSpaceDE w:val="0"/>
              <w:autoSpaceDN w:val="0"/>
              <w:adjustRightInd w:val="0"/>
              <w:snapToGrid w:val="0"/>
              <w:spacing w:line="312" w:lineRule="auto"/>
              <w:jc w:val="center"/>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8</w:t>
            </w:r>
          </w:p>
        </w:tc>
        <w:tc>
          <w:tcPr>
            <w:tcW w:w="1266" w:type="dxa"/>
            <w:noWrap w:val="0"/>
            <w:vAlign w:val="center"/>
          </w:tcPr>
          <w:p w14:paraId="7D0C0D81">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Style w:val="82"/>
                <w:sz w:val="21"/>
                <w:szCs w:val="21"/>
                <w:lang w:val="en-US" w:eastAsia="zh-CN" w:bidi="ar"/>
              </w:rPr>
              <w:t>清理明沟</w:t>
            </w:r>
          </w:p>
        </w:tc>
        <w:tc>
          <w:tcPr>
            <w:tcW w:w="5627" w:type="dxa"/>
            <w:noWrap w:val="0"/>
            <w:vAlign w:val="center"/>
          </w:tcPr>
          <w:p w14:paraId="40B70399">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1.部位</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明沟排水沟</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康复楼0.45*0.75*15m、0.3*2.4m、3.18*0.3m、0.45*0.75*6m、0.3*3m、东护坡0.7*1.6*0.4m、门诊楼0.45*0.75*6m、0.2*0.5*1.06m、出库口6.6*0.4m、连廊东0.45*0.75*2m、病房楼0.45*0.75*4m、0.45*7.4m、0.45*0.75*7m、设备房0.2*1.48m、病房北0.4*0.6*8m、1.14*0.6*0.2m、（主路）病房0.45*0.75*6m、0.2*1.44*50m、门诊南0.2*0.21*60m、门诊西0.45*0.75*4m、7.8*0.5m、0.75*0.45*6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3.人工清理明沟10cm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4.运距自行考虑</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5.服务期3年，一年清理四次，工程量7.86m³/年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6.其他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716" w:type="dxa"/>
            <w:noWrap w:val="0"/>
            <w:vAlign w:val="center"/>
          </w:tcPr>
          <w:p w14:paraId="64442611">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Style w:val="82"/>
                <w:rFonts w:hint="eastAsia"/>
                <w:sz w:val="21"/>
                <w:szCs w:val="21"/>
                <w:lang w:val="en-US" w:eastAsia="zh-CN" w:bidi="ar"/>
              </w:rPr>
              <w:t>m³</w:t>
            </w:r>
          </w:p>
        </w:tc>
        <w:tc>
          <w:tcPr>
            <w:tcW w:w="971" w:type="dxa"/>
            <w:noWrap w:val="0"/>
            <w:vAlign w:val="center"/>
          </w:tcPr>
          <w:p w14:paraId="6C6F8216">
            <w:pPr>
              <w:keepNext w:val="0"/>
              <w:keepLines w:val="0"/>
              <w:widowControl/>
              <w:suppressLineNumbers w:val="0"/>
              <w:jc w:val="righ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 xml:space="preserve">23.58 </w:t>
            </w:r>
          </w:p>
        </w:tc>
      </w:tr>
    </w:tbl>
    <w:p w14:paraId="32638CA2">
      <w:pPr>
        <w:numPr>
          <w:ilvl w:val="0"/>
          <w:numId w:val="0"/>
        </w:numPr>
        <w:ind w:leftChars="0"/>
        <w:rPr>
          <w:rFonts w:hint="eastAsia" w:ascii="宋体" w:hAnsi="宋体"/>
          <w:b/>
          <w:bCs w:val="0"/>
          <w:sz w:val="21"/>
          <w:szCs w:val="21"/>
          <w:lang w:val="en-US" w:eastAsia="zh-CN"/>
        </w:rPr>
      </w:pPr>
    </w:p>
    <w:p w14:paraId="79924E63">
      <w:pPr>
        <w:numPr>
          <w:ilvl w:val="0"/>
          <w:numId w:val="0"/>
        </w:numPr>
        <w:ind w:leftChars="0"/>
        <w:rPr>
          <w:rFonts w:hint="eastAsia" w:ascii="宋体" w:hAnsi="宋体"/>
          <w:b/>
          <w:bCs w:val="0"/>
          <w:sz w:val="21"/>
          <w:szCs w:val="21"/>
        </w:rPr>
      </w:pPr>
      <w:r>
        <w:rPr>
          <w:rFonts w:hint="eastAsia" w:ascii="宋体" w:hAnsi="宋体"/>
          <w:b/>
          <w:bCs w:val="0"/>
          <w:sz w:val="21"/>
          <w:szCs w:val="21"/>
          <w:lang w:val="en-US" w:eastAsia="zh-CN"/>
        </w:rPr>
        <w:t>2、浉河</w:t>
      </w:r>
      <w:r>
        <w:rPr>
          <w:rFonts w:hint="eastAsia" w:ascii="宋体" w:hAnsi="宋体"/>
          <w:b/>
          <w:bCs w:val="0"/>
          <w:sz w:val="21"/>
          <w:szCs w:val="21"/>
        </w:rPr>
        <w:t>院区化粪池、窨井和排水沟清淤等危险废物处置</w:t>
      </w:r>
    </w:p>
    <w:tbl>
      <w:tblPr>
        <w:tblStyle w:val="26"/>
        <w:tblW w:w="9265"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49"/>
        <w:gridCol w:w="5531"/>
        <w:gridCol w:w="724"/>
        <w:gridCol w:w="874"/>
      </w:tblGrid>
      <w:tr w14:paraId="1662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87" w:type="dxa"/>
            <w:noWrap w:val="0"/>
            <w:vAlign w:val="center"/>
          </w:tcPr>
          <w:p w14:paraId="7C7A0F41">
            <w:pPr>
              <w:jc w:val="center"/>
              <w:rPr>
                <w:rFonts w:hint="eastAsia" w:ascii="宋体" w:hAnsi="宋体"/>
                <w:b w:val="0"/>
                <w:bCs/>
                <w:sz w:val="21"/>
                <w:szCs w:val="21"/>
              </w:rPr>
            </w:pPr>
            <w:r>
              <w:rPr>
                <w:rFonts w:hint="eastAsia" w:ascii="宋体" w:hAnsi="宋体"/>
                <w:b w:val="0"/>
                <w:bCs/>
                <w:sz w:val="21"/>
                <w:szCs w:val="21"/>
              </w:rPr>
              <w:t>序号</w:t>
            </w:r>
          </w:p>
        </w:tc>
        <w:tc>
          <w:tcPr>
            <w:tcW w:w="1449" w:type="dxa"/>
            <w:noWrap w:val="0"/>
            <w:vAlign w:val="center"/>
          </w:tcPr>
          <w:p w14:paraId="5AFF3AEF">
            <w:pPr>
              <w:ind w:firstLine="210" w:firstLineChars="100"/>
              <w:jc w:val="center"/>
              <w:rPr>
                <w:rFonts w:hint="eastAsia" w:ascii="宋体" w:hAnsi="宋体"/>
                <w:b w:val="0"/>
                <w:bCs/>
                <w:sz w:val="21"/>
                <w:szCs w:val="21"/>
              </w:rPr>
            </w:pPr>
            <w:r>
              <w:rPr>
                <w:rFonts w:hint="eastAsia" w:ascii="宋体" w:hAnsi="宋体"/>
                <w:b w:val="0"/>
                <w:bCs/>
                <w:sz w:val="21"/>
                <w:szCs w:val="21"/>
              </w:rPr>
              <w:t>项目名称</w:t>
            </w:r>
          </w:p>
        </w:tc>
        <w:tc>
          <w:tcPr>
            <w:tcW w:w="5531" w:type="dxa"/>
            <w:noWrap w:val="0"/>
            <w:vAlign w:val="center"/>
          </w:tcPr>
          <w:p w14:paraId="298F99B3">
            <w:pPr>
              <w:jc w:val="center"/>
              <w:rPr>
                <w:rFonts w:hint="eastAsia" w:ascii="宋体" w:hAnsi="宋体"/>
                <w:b w:val="0"/>
                <w:bCs/>
                <w:sz w:val="21"/>
                <w:szCs w:val="21"/>
              </w:rPr>
            </w:pPr>
            <w:r>
              <w:rPr>
                <w:rFonts w:hint="eastAsia" w:ascii="宋体" w:hAnsi="宋体"/>
                <w:b w:val="0"/>
                <w:bCs/>
                <w:sz w:val="21"/>
                <w:szCs w:val="21"/>
              </w:rPr>
              <w:t>项目特征描述</w:t>
            </w:r>
          </w:p>
        </w:tc>
        <w:tc>
          <w:tcPr>
            <w:tcW w:w="724" w:type="dxa"/>
            <w:noWrap w:val="0"/>
            <w:vAlign w:val="center"/>
          </w:tcPr>
          <w:p w14:paraId="581FF555">
            <w:pPr>
              <w:jc w:val="center"/>
              <w:rPr>
                <w:rFonts w:hint="eastAsia" w:ascii="宋体" w:hAnsi="宋体"/>
                <w:b w:val="0"/>
                <w:bCs/>
                <w:sz w:val="21"/>
                <w:szCs w:val="21"/>
              </w:rPr>
            </w:pPr>
            <w:r>
              <w:rPr>
                <w:rFonts w:hint="eastAsia" w:ascii="宋体" w:hAnsi="宋体"/>
                <w:b w:val="0"/>
                <w:bCs/>
                <w:sz w:val="21"/>
                <w:szCs w:val="21"/>
              </w:rPr>
              <w:t>单位</w:t>
            </w:r>
          </w:p>
        </w:tc>
        <w:tc>
          <w:tcPr>
            <w:tcW w:w="874" w:type="dxa"/>
            <w:noWrap w:val="0"/>
            <w:vAlign w:val="center"/>
          </w:tcPr>
          <w:p w14:paraId="45A6CE10">
            <w:pPr>
              <w:jc w:val="center"/>
              <w:rPr>
                <w:rFonts w:hint="eastAsia" w:ascii="宋体" w:hAnsi="宋体"/>
                <w:b w:val="0"/>
                <w:bCs/>
                <w:sz w:val="21"/>
                <w:szCs w:val="21"/>
              </w:rPr>
            </w:pPr>
            <w:r>
              <w:rPr>
                <w:rFonts w:hint="eastAsia" w:ascii="宋体" w:hAnsi="宋体"/>
                <w:b w:val="0"/>
                <w:bCs/>
                <w:sz w:val="21"/>
                <w:szCs w:val="21"/>
              </w:rPr>
              <w:t>工程量</w:t>
            </w:r>
          </w:p>
        </w:tc>
      </w:tr>
      <w:tr w14:paraId="6CAD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87" w:type="dxa"/>
            <w:noWrap w:val="0"/>
            <w:vAlign w:val="center"/>
          </w:tcPr>
          <w:p w14:paraId="12343DF0">
            <w:pPr>
              <w:jc w:val="center"/>
              <w:rPr>
                <w:rFonts w:hint="eastAsia" w:ascii="宋体" w:hAnsi="宋体"/>
                <w:b w:val="0"/>
                <w:bCs/>
                <w:sz w:val="21"/>
                <w:szCs w:val="21"/>
              </w:rPr>
            </w:pPr>
            <w:r>
              <w:rPr>
                <w:rFonts w:hint="eastAsia" w:ascii="宋体" w:hAnsi="宋体"/>
                <w:b w:val="0"/>
                <w:bCs/>
                <w:sz w:val="21"/>
                <w:szCs w:val="21"/>
              </w:rPr>
              <w:t>1</w:t>
            </w:r>
          </w:p>
        </w:tc>
        <w:tc>
          <w:tcPr>
            <w:tcW w:w="1449" w:type="dxa"/>
            <w:noWrap w:val="0"/>
            <w:vAlign w:val="center"/>
          </w:tcPr>
          <w:p w14:paraId="10DA67E0">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Style w:val="83"/>
                <w:sz w:val="21"/>
                <w:szCs w:val="21"/>
                <w:lang w:val="en-US" w:eastAsia="zh-CN" w:bidi="ar"/>
              </w:rPr>
              <w:t>清掏门诊化粪池</w:t>
            </w:r>
          </w:p>
        </w:tc>
        <w:tc>
          <w:tcPr>
            <w:tcW w:w="5531" w:type="dxa"/>
            <w:noWrap w:val="0"/>
            <w:vAlign w:val="center"/>
          </w:tcPr>
          <w:p w14:paraId="7036B88B">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部位：门诊化粪池</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1.泥浆泵抽清掏深度</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2.6m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2.化粪池数量：1座</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3.化粪池尺寸：12.7m*2.2m*2.6m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4.垃圾外运：运距自行考虑</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5.服务期3年，一年清理四次，工程量72.64m³/年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6.其他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724" w:type="dxa"/>
            <w:noWrap w:val="0"/>
            <w:vAlign w:val="center"/>
          </w:tcPr>
          <w:p w14:paraId="4EEA003A">
            <w:pPr>
              <w:keepNext w:val="0"/>
              <w:keepLines w:val="0"/>
              <w:widowControl/>
              <w:suppressLineNumbers w:val="0"/>
              <w:jc w:val="center"/>
              <w:textAlignment w:val="center"/>
              <w:rPr>
                <w:rFonts w:hint="eastAsia" w:ascii="宋体" w:hAnsi="宋体" w:eastAsia="宋体" w:cs="宋体"/>
                <w:snapToGrid w:val="0"/>
                <w:color w:val="000000"/>
                <w:kern w:val="0"/>
                <w:sz w:val="21"/>
                <w:szCs w:val="21"/>
                <w:lang w:eastAsia="zh-CN"/>
              </w:rPr>
            </w:pPr>
            <w:r>
              <w:rPr>
                <w:rStyle w:val="83"/>
                <w:rFonts w:hint="eastAsia"/>
                <w:sz w:val="21"/>
                <w:szCs w:val="21"/>
                <w:lang w:val="en-US" w:eastAsia="zh-CN" w:bidi="ar"/>
              </w:rPr>
              <w:t>m³</w:t>
            </w:r>
          </w:p>
        </w:tc>
        <w:tc>
          <w:tcPr>
            <w:tcW w:w="874" w:type="dxa"/>
            <w:noWrap w:val="0"/>
            <w:vAlign w:val="center"/>
          </w:tcPr>
          <w:p w14:paraId="72E663F6">
            <w:pPr>
              <w:keepNext w:val="0"/>
              <w:keepLines w:val="0"/>
              <w:widowControl/>
              <w:suppressLineNumbers w:val="0"/>
              <w:jc w:val="right"/>
              <w:textAlignment w:val="center"/>
              <w:rPr>
                <w:rFonts w:hint="eastAsia" w:ascii="宋体" w:hAnsi="宋体" w:eastAsia="宋体" w:cs="宋体"/>
                <w:snapToGrid w:val="0"/>
                <w:color w:val="000000"/>
                <w:kern w:val="0"/>
                <w:sz w:val="21"/>
                <w:szCs w:val="21"/>
                <w:lang w:eastAsia="zh-CN"/>
              </w:rPr>
            </w:pPr>
            <w:r>
              <w:rPr>
                <w:rFonts w:ascii="宋体" w:hAnsi="宋体" w:eastAsia="宋体" w:cs="宋体"/>
                <w:i w:val="0"/>
                <w:iCs w:val="0"/>
                <w:color w:val="000000"/>
                <w:kern w:val="0"/>
                <w:sz w:val="21"/>
                <w:szCs w:val="21"/>
                <w:u w:val="none"/>
                <w:lang w:val="en-US" w:eastAsia="zh-CN" w:bidi="ar"/>
              </w:rPr>
              <w:t xml:space="preserve">217.92 </w:t>
            </w:r>
          </w:p>
        </w:tc>
      </w:tr>
      <w:tr w14:paraId="4071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687" w:type="dxa"/>
            <w:noWrap w:val="0"/>
            <w:vAlign w:val="center"/>
          </w:tcPr>
          <w:p w14:paraId="5E865DE8">
            <w:pPr>
              <w:jc w:val="center"/>
              <w:rPr>
                <w:rFonts w:hint="eastAsia" w:ascii="宋体" w:hAnsi="宋体"/>
                <w:b w:val="0"/>
                <w:bCs/>
                <w:sz w:val="21"/>
                <w:szCs w:val="21"/>
              </w:rPr>
            </w:pPr>
            <w:r>
              <w:rPr>
                <w:rFonts w:hint="eastAsia" w:ascii="宋体" w:hAnsi="宋体"/>
                <w:b w:val="0"/>
                <w:bCs/>
                <w:sz w:val="21"/>
                <w:szCs w:val="21"/>
              </w:rPr>
              <w:t>2</w:t>
            </w:r>
          </w:p>
        </w:tc>
        <w:tc>
          <w:tcPr>
            <w:tcW w:w="1449" w:type="dxa"/>
            <w:noWrap w:val="0"/>
            <w:vAlign w:val="center"/>
          </w:tcPr>
          <w:p w14:paraId="16867C2A">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Style w:val="83"/>
                <w:sz w:val="21"/>
                <w:szCs w:val="21"/>
                <w:lang w:val="en-US" w:eastAsia="zh-CN" w:bidi="ar"/>
              </w:rPr>
              <w:t>清掏四一路化粪池</w:t>
            </w:r>
          </w:p>
        </w:tc>
        <w:tc>
          <w:tcPr>
            <w:tcW w:w="5531" w:type="dxa"/>
            <w:noWrap w:val="0"/>
            <w:vAlign w:val="center"/>
          </w:tcPr>
          <w:p w14:paraId="531BFBF8">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部位：四一路化粪池</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1.泥浆泵抽清掏深度</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1.6m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2.化粪池数量：1座</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3.垃圾外运：运距自行考虑</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4.服务期3年，一年清理四次，工程量20m³/年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724" w:type="dxa"/>
            <w:noWrap w:val="0"/>
            <w:vAlign w:val="center"/>
          </w:tcPr>
          <w:p w14:paraId="7CE1B4E2">
            <w:pPr>
              <w:keepNext w:val="0"/>
              <w:keepLines w:val="0"/>
              <w:widowControl/>
              <w:suppressLineNumbers w:val="0"/>
              <w:jc w:val="center"/>
              <w:textAlignment w:val="center"/>
              <w:rPr>
                <w:rFonts w:hint="eastAsia" w:ascii="宋体" w:hAnsi="宋体" w:eastAsia="宋体" w:cs="宋体"/>
                <w:snapToGrid w:val="0"/>
                <w:color w:val="000000"/>
                <w:kern w:val="0"/>
                <w:sz w:val="21"/>
                <w:szCs w:val="21"/>
                <w:lang w:eastAsia="zh-CN"/>
              </w:rPr>
            </w:pPr>
            <w:r>
              <w:rPr>
                <w:rStyle w:val="83"/>
                <w:rFonts w:hint="eastAsia"/>
                <w:sz w:val="21"/>
                <w:szCs w:val="21"/>
                <w:lang w:val="en-US" w:eastAsia="zh-CN" w:bidi="ar"/>
              </w:rPr>
              <w:t>m³</w:t>
            </w:r>
          </w:p>
        </w:tc>
        <w:tc>
          <w:tcPr>
            <w:tcW w:w="874" w:type="dxa"/>
            <w:noWrap w:val="0"/>
            <w:vAlign w:val="center"/>
          </w:tcPr>
          <w:p w14:paraId="36ED1058">
            <w:pPr>
              <w:keepNext w:val="0"/>
              <w:keepLines w:val="0"/>
              <w:widowControl/>
              <w:suppressLineNumbers w:val="0"/>
              <w:jc w:val="right"/>
              <w:textAlignment w:val="center"/>
              <w:rPr>
                <w:rFonts w:hint="default" w:ascii="宋体" w:hAnsi="宋体" w:eastAsia="宋体" w:cs="宋体"/>
                <w:snapToGrid w:val="0"/>
                <w:color w:val="000000"/>
                <w:kern w:val="0"/>
                <w:sz w:val="21"/>
                <w:szCs w:val="21"/>
                <w:lang w:val="en-US" w:eastAsia="zh-CN"/>
              </w:rPr>
            </w:pPr>
            <w:r>
              <w:rPr>
                <w:rFonts w:ascii="宋体" w:hAnsi="宋体" w:eastAsia="宋体" w:cs="宋体"/>
                <w:i w:val="0"/>
                <w:iCs w:val="0"/>
                <w:color w:val="000000"/>
                <w:kern w:val="0"/>
                <w:sz w:val="21"/>
                <w:szCs w:val="21"/>
                <w:u w:val="none"/>
                <w:lang w:val="en-US" w:eastAsia="zh-CN" w:bidi="ar"/>
              </w:rPr>
              <w:t xml:space="preserve">60 </w:t>
            </w:r>
          </w:p>
        </w:tc>
      </w:tr>
      <w:tr w14:paraId="42F4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87" w:type="dxa"/>
            <w:noWrap w:val="0"/>
            <w:vAlign w:val="center"/>
          </w:tcPr>
          <w:p w14:paraId="5BCAA0C7">
            <w:pPr>
              <w:jc w:val="center"/>
              <w:rPr>
                <w:rFonts w:hint="eastAsia" w:ascii="宋体" w:hAnsi="宋体"/>
                <w:b w:val="0"/>
                <w:bCs/>
                <w:sz w:val="21"/>
                <w:szCs w:val="21"/>
              </w:rPr>
            </w:pPr>
            <w:r>
              <w:rPr>
                <w:rFonts w:hint="eastAsia" w:ascii="宋体" w:hAnsi="宋体"/>
                <w:b w:val="0"/>
                <w:bCs/>
                <w:sz w:val="21"/>
                <w:szCs w:val="21"/>
              </w:rPr>
              <w:t>3</w:t>
            </w:r>
          </w:p>
        </w:tc>
        <w:tc>
          <w:tcPr>
            <w:tcW w:w="1449" w:type="dxa"/>
            <w:noWrap w:val="0"/>
            <w:vAlign w:val="center"/>
          </w:tcPr>
          <w:p w14:paraId="7C654A5A">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Style w:val="83"/>
                <w:sz w:val="21"/>
                <w:szCs w:val="21"/>
                <w:lang w:val="en-US" w:eastAsia="zh-CN" w:bidi="ar"/>
              </w:rPr>
              <w:t>清掏发热门诊化粪池</w:t>
            </w:r>
          </w:p>
        </w:tc>
        <w:tc>
          <w:tcPr>
            <w:tcW w:w="5531" w:type="dxa"/>
            <w:noWrap w:val="0"/>
            <w:vAlign w:val="center"/>
          </w:tcPr>
          <w:p w14:paraId="23701B52">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部位：发热门诊化粪池</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1.泥浆泵抽清掏深度</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1.8m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2.化粪池数量：1座</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3.化粪池尺寸为：6m*1.8m*1.8m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4.垃圾外运：运距自行考虑</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5.服务期3年，一年清理四次，工程19.44m³/年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6.其他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724" w:type="dxa"/>
            <w:noWrap w:val="0"/>
            <w:vAlign w:val="center"/>
          </w:tcPr>
          <w:p w14:paraId="42F13573">
            <w:pPr>
              <w:keepNext w:val="0"/>
              <w:keepLines w:val="0"/>
              <w:widowControl/>
              <w:suppressLineNumbers w:val="0"/>
              <w:jc w:val="center"/>
              <w:textAlignment w:val="center"/>
              <w:rPr>
                <w:rFonts w:hint="eastAsia" w:ascii="宋体" w:hAnsi="宋体" w:eastAsia="宋体" w:cs="宋体"/>
                <w:snapToGrid w:val="0"/>
                <w:color w:val="000000"/>
                <w:kern w:val="0"/>
                <w:sz w:val="21"/>
                <w:szCs w:val="21"/>
                <w:lang w:eastAsia="zh-CN"/>
              </w:rPr>
            </w:pPr>
            <w:r>
              <w:rPr>
                <w:rStyle w:val="83"/>
                <w:rFonts w:hint="eastAsia"/>
                <w:sz w:val="21"/>
                <w:szCs w:val="21"/>
                <w:lang w:val="en-US" w:eastAsia="zh-CN" w:bidi="ar"/>
              </w:rPr>
              <w:t>m³</w:t>
            </w:r>
          </w:p>
        </w:tc>
        <w:tc>
          <w:tcPr>
            <w:tcW w:w="874" w:type="dxa"/>
            <w:noWrap w:val="0"/>
            <w:vAlign w:val="center"/>
          </w:tcPr>
          <w:p w14:paraId="4492CBE2">
            <w:pPr>
              <w:keepNext w:val="0"/>
              <w:keepLines w:val="0"/>
              <w:widowControl/>
              <w:suppressLineNumbers w:val="0"/>
              <w:jc w:val="right"/>
              <w:textAlignment w:val="center"/>
              <w:rPr>
                <w:rFonts w:hint="eastAsia" w:ascii="宋体" w:hAnsi="宋体" w:eastAsia="宋体" w:cs="宋体"/>
                <w:snapToGrid w:val="0"/>
                <w:color w:val="000000"/>
                <w:kern w:val="0"/>
                <w:sz w:val="21"/>
                <w:szCs w:val="21"/>
                <w:lang w:eastAsia="zh-CN"/>
              </w:rPr>
            </w:pPr>
            <w:r>
              <w:rPr>
                <w:rFonts w:ascii="宋体" w:hAnsi="宋体" w:eastAsia="宋体" w:cs="宋体"/>
                <w:i w:val="0"/>
                <w:iCs w:val="0"/>
                <w:color w:val="000000"/>
                <w:kern w:val="0"/>
                <w:sz w:val="21"/>
                <w:szCs w:val="21"/>
                <w:u w:val="none"/>
                <w:lang w:val="en-US" w:eastAsia="zh-CN" w:bidi="ar"/>
              </w:rPr>
              <w:t xml:space="preserve">58.32 </w:t>
            </w:r>
          </w:p>
        </w:tc>
      </w:tr>
      <w:tr w14:paraId="4DB6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687" w:type="dxa"/>
            <w:noWrap w:val="0"/>
            <w:vAlign w:val="center"/>
          </w:tcPr>
          <w:p w14:paraId="521211F1">
            <w:pPr>
              <w:jc w:val="center"/>
              <w:rPr>
                <w:rFonts w:hint="eastAsia" w:ascii="宋体" w:hAnsi="宋体"/>
                <w:b w:val="0"/>
                <w:bCs/>
                <w:sz w:val="21"/>
                <w:szCs w:val="21"/>
              </w:rPr>
            </w:pPr>
            <w:r>
              <w:rPr>
                <w:rFonts w:hint="eastAsia" w:ascii="宋体" w:hAnsi="宋体"/>
                <w:b w:val="0"/>
                <w:bCs/>
                <w:sz w:val="21"/>
                <w:szCs w:val="21"/>
              </w:rPr>
              <w:t>4</w:t>
            </w:r>
          </w:p>
        </w:tc>
        <w:tc>
          <w:tcPr>
            <w:tcW w:w="1449" w:type="dxa"/>
            <w:noWrap w:val="0"/>
            <w:vAlign w:val="center"/>
          </w:tcPr>
          <w:p w14:paraId="762C63BF">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清掏影像楼和磁共振化粪池</w:t>
            </w:r>
          </w:p>
        </w:tc>
        <w:tc>
          <w:tcPr>
            <w:tcW w:w="5531" w:type="dxa"/>
            <w:noWrap w:val="0"/>
            <w:vAlign w:val="center"/>
          </w:tcPr>
          <w:p w14:paraId="2C003818">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部位：影像楼和磁共振化粪池</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1.泥浆泵抽清掏深度</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分别为1.53m和2.8m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2.化粪池数量：2座</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3.化粪池尺寸分别为：2.1m*1.7m*1.53</w:t>
            </w:r>
            <w:r>
              <w:rPr>
                <w:rFonts w:hint="eastAsia" w:ascii="宋体" w:hAnsi="宋体" w:cs="宋体"/>
                <w:i w:val="0"/>
                <w:iCs w:val="0"/>
                <w:color w:val="000000"/>
                <w:kern w:val="0"/>
                <w:sz w:val="21"/>
                <w:szCs w:val="21"/>
                <w:u w:val="none"/>
                <w:lang w:val="en-US" w:eastAsia="zh-CN" w:bidi="ar"/>
              </w:rPr>
              <w:t>m³</w:t>
            </w:r>
            <w:r>
              <w:rPr>
                <w:rFonts w:ascii="宋体" w:hAnsi="宋体" w:eastAsia="宋体" w:cs="宋体"/>
                <w:i w:val="0"/>
                <w:iCs w:val="0"/>
                <w:color w:val="000000"/>
                <w:kern w:val="0"/>
                <w:sz w:val="21"/>
                <w:szCs w:val="21"/>
                <w:u w:val="none"/>
                <w:lang w:val="en-US" w:eastAsia="zh-CN" w:bidi="ar"/>
              </w:rPr>
              <w:t>.14*2m*2m*2.8m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4.垃圾外运：运距自行考虑</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5.服务期3年， 一年清理四次，工程量40.63m³/年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6.其他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724" w:type="dxa"/>
            <w:noWrap w:val="0"/>
            <w:vAlign w:val="center"/>
          </w:tcPr>
          <w:p w14:paraId="187B0047">
            <w:pPr>
              <w:keepNext w:val="0"/>
              <w:keepLines w:val="0"/>
              <w:widowControl/>
              <w:suppressLineNumbers w:val="0"/>
              <w:jc w:val="center"/>
              <w:textAlignment w:val="center"/>
              <w:rPr>
                <w:rFonts w:hint="eastAsia" w:ascii="宋体" w:hAnsi="宋体" w:eastAsia="宋体" w:cs="宋体"/>
                <w:snapToGrid w:val="0"/>
                <w:color w:val="000000"/>
                <w:kern w:val="0"/>
                <w:sz w:val="21"/>
                <w:szCs w:val="21"/>
                <w:lang w:eastAsia="zh-CN"/>
              </w:rPr>
            </w:pPr>
            <w:r>
              <w:rPr>
                <w:rStyle w:val="83"/>
                <w:rFonts w:hint="eastAsia"/>
                <w:sz w:val="21"/>
                <w:szCs w:val="21"/>
                <w:lang w:val="en-US" w:eastAsia="zh-CN" w:bidi="ar"/>
              </w:rPr>
              <w:t>m³</w:t>
            </w:r>
          </w:p>
        </w:tc>
        <w:tc>
          <w:tcPr>
            <w:tcW w:w="874" w:type="dxa"/>
            <w:noWrap w:val="0"/>
            <w:vAlign w:val="center"/>
          </w:tcPr>
          <w:p w14:paraId="4A43211E">
            <w:pPr>
              <w:keepNext w:val="0"/>
              <w:keepLines w:val="0"/>
              <w:widowControl/>
              <w:suppressLineNumbers w:val="0"/>
              <w:jc w:val="right"/>
              <w:textAlignment w:val="center"/>
              <w:rPr>
                <w:rFonts w:hint="default" w:ascii="宋体" w:hAnsi="宋体" w:eastAsia="宋体" w:cs="宋体"/>
                <w:snapToGrid w:val="0"/>
                <w:color w:val="000000"/>
                <w:kern w:val="0"/>
                <w:sz w:val="21"/>
                <w:szCs w:val="21"/>
                <w:lang w:val="en-US" w:eastAsia="zh-CN"/>
              </w:rPr>
            </w:pPr>
            <w:r>
              <w:rPr>
                <w:rFonts w:ascii="宋体" w:hAnsi="宋体" w:eastAsia="宋体" w:cs="宋体"/>
                <w:i w:val="0"/>
                <w:iCs w:val="0"/>
                <w:color w:val="000000"/>
                <w:kern w:val="0"/>
                <w:sz w:val="21"/>
                <w:szCs w:val="21"/>
                <w:u w:val="none"/>
                <w:lang w:val="en-US" w:eastAsia="zh-CN" w:bidi="ar"/>
              </w:rPr>
              <w:t xml:space="preserve">121.89 </w:t>
            </w:r>
          </w:p>
        </w:tc>
      </w:tr>
      <w:tr w14:paraId="7F44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87" w:type="dxa"/>
            <w:noWrap w:val="0"/>
            <w:vAlign w:val="center"/>
          </w:tcPr>
          <w:p w14:paraId="6E4FA122">
            <w:pPr>
              <w:jc w:val="center"/>
              <w:rPr>
                <w:rFonts w:hint="eastAsia" w:ascii="宋体" w:hAnsi="宋体" w:eastAsia="宋体"/>
                <w:b w:val="0"/>
                <w:bCs/>
                <w:sz w:val="21"/>
                <w:szCs w:val="21"/>
                <w:lang w:val="en-US" w:eastAsia="zh-CN"/>
              </w:rPr>
            </w:pPr>
            <w:r>
              <w:rPr>
                <w:rFonts w:hint="eastAsia" w:ascii="宋体" w:hAnsi="宋体"/>
                <w:b w:val="0"/>
                <w:bCs/>
                <w:sz w:val="21"/>
                <w:szCs w:val="21"/>
                <w:lang w:val="en-US" w:eastAsia="zh-CN"/>
              </w:rPr>
              <w:t>5</w:t>
            </w:r>
          </w:p>
        </w:tc>
        <w:tc>
          <w:tcPr>
            <w:tcW w:w="1449" w:type="dxa"/>
            <w:noWrap w:val="0"/>
            <w:vAlign w:val="center"/>
          </w:tcPr>
          <w:p w14:paraId="7BFDD41C">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Style w:val="83"/>
                <w:sz w:val="21"/>
                <w:szCs w:val="21"/>
                <w:lang w:val="en-US" w:eastAsia="zh-CN" w:bidi="ar"/>
              </w:rPr>
              <w:t>清掏传染科化粪池</w:t>
            </w:r>
          </w:p>
        </w:tc>
        <w:tc>
          <w:tcPr>
            <w:tcW w:w="5531" w:type="dxa"/>
            <w:noWrap w:val="0"/>
            <w:vAlign w:val="center"/>
          </w:tcPr>
          <w:p w14:paraId="10558926">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部位：传染科化粪池</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1.泥浆泵抽清掏深度:1.5m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2.化粪池数量：1座</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3.化粪池尺寸为：3.2m*2.6m*1.5m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4.垃圾外运：运距自行考虑</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5.服务期3年，一年清理四次，工程量12.48m³/年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6.其他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724" w:type="dxa"/>
            <w:noWrap w:val="0"/>
            <w:vAlign w:val="center"/>
          </w:tcPr>
          <w:p w14:paraId="7E30775D">
            <w:pPr>
              <w:keepNext w:val="0"/>
              <w:keepLines w:val="0"/>
              <w:widowControl/>
              <w:suppressLineNumbers w:val="0"/>
              <w:jc w:val="center"/>
              <w:textAlignment w:val="center"/>
              <w:rPr>
                <w:rFonts w:hint="eastAsia" w:ascii="宋体" w:hAnsi="宋体" w:eastAsia="宋体" w:cs="宋体"/>
                <w:snapToGrid w:val="0"/>
                <w:color w:val="000000"/>
                <w:kern w:val="0"/>
                <w:sz w:val="21"/>
                <w:szCs w:val="21"/>
                <w:lang w:eastAsia="zh-CN"/>
              </w:rPr>
            </w:pPr>
            <w:r>
              <w:rPr>
                <w:rStyle w:val="83"/>
                <w:rFonts w:hint="eastAsia"/>
                <w:sz w:val="21"/>
                <w:szCs w:val="21"/>
                <w:lang w:val="en-US" w:eastAsia="zh-CN" w:bidi="ar"/>
              </w:rPr>
              <w:t>m³</w:t>
            </w:r>
          </w:p>
        </w:tc>
        <w:tc>
          <w:tcPr>
            <w:tcW w:w="874" w:type="dxa"/>
            <w:noWrap w:val="0"/>
            <w:vAlign w:val="center"/>
          </w:tcPr>
          <w:p w14:paraId="65F87063">
            <w:pPr>
              <w:keepNext w:val="0"/>
              <w:keepLines w:val="0"/>
              <w:widowControl/>
              <w:suppressLineNumbers w:val="0"/>
              <w:jc w:val="right"/>
              <w:textAlignment w:val="center"/>
              <w:rPr>
                <w:rFonts w:hint="default" w:ascii="宋体" w:hAnsi="宋体" w:eastAsia="宋体" w:cs="宋体"/>
                <w:snapToGrid w:val="0"/>
                <w:color w:val="000000"/>
                <w:kern w:val="0"/>
                <w:sz w:val="21"/>
                <w:szCs w:val="21"/>
                <w:lang w:val="en-US" w:eastAsia="zh-CN"/>
              </w:rPr>
            </w:pPr>
            <w:r>
              <w:rPr>
                <w:rFonts w:ascii="宋体" w:hAnsi="宋体" w:eastAsia="宋体" w:cs="宋体"/>
                <w:i w:val="0"/>
                <w:iCs w:val="0"/>
                <w:color w:val="000000"/>
                <w:kern w:val="0"/>
                <w:sz w:val="21"/>
                <w:szCs w:val="21"/>
                <w:u w:val="none"/>
                <w:lang w:val="en-US" w:eastAsia="zh-CN" w:bidi="ar"/>
              </w:rPr>
              <w:t xml:space="preserve">37.44 </w:t>
            </w:r>
          </w:p>
        </w:tc>
      </w:tr>
      <w:tr w14:paraId="5D94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687" w:type="dxa"/>
            <w:noWrap w:val="0"/>
            <w:vAlign w:val="center"/>
          </w:tcPr>
          <w:p w14:paraId="7727A20D">
            <w:pPr>
              <w:jc w:val="center"/>
              <w:rPr>
                <w:rFonts w:hint="eastAsia" w:ascii="宋体" w:hAnsi="宋体" w:eastAsia="宋体"/>
                <w:b w:val="0"/>
                <w:bCs/>
                <w:sz w:val="21"/>
                <w:szCs w:val="21"/>
                <w:lang w:val="en-US" w:eastAsia="zh-CN"/>
              </w:rPr>
            </w:pPr>
            <w:r>
              <w:rPr>
                <w:rFonts w:hint="eastAsia" w:ascii="宋体" w:hAnsi="宋体"/>
                <w:b w:val="0"/>
                <w:bCs/>
                <w:sz w:val="21"/>
                <w:szCs w:val="21"/>
                <w:lang w:val="en-US" w:eastAsia="zh-CN"/>
              </w:rPr>
              <w:t>6</w:t>
            </w:r>
          </w:p>
        </w:tc>
        <w:tc>
          <w:tcPr>
            <w:tcW w:w="1449" w:type="dxa"/>
            <w:noWrap w:val="0"/>
            <w:vAlign w:val="center"/>
          </w:tcPr>
          <w:p w14:paraId="47608D3C">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Style w:val="83"/>
                <w:sz w:val="21"/>
                <w:szCs w:val="21"/>
                <w:lang w:val="en-US" w:eastAsia="zh-CN" w:bidi="ar"/>
              </w:rPr>
              <w:t>清掏放疗中心化粪池</w:t>
            </w:r>
          </w:p>
        </w:tc>
        <w:tc>
          <w:tcPr>
            <w:tcW w:w="5531" w:type="dxa"/>
            <w:noWrap w:val="0"/>
            <w:vAlign w:val="center"/>
          </w:tcPr>
          <w:p w14:paraId="30A12557">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部位：放疗中心化粪池</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1.泥浆泵抽清掏深度</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分别为1.4m、2.5m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2.化粪池数量</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2座</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3.化粪池尺寸分别为</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1.8m*1.5m*1.4m、3.14m*1.25m*1.25m*2.5m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4.垃圾外运：运距自行考虑</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5.服务期3年，一年清理四次，工程量16.05m³/年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6.其他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724" w:type="dxa"/>
            <w:noWrap w:val="0"/>
            <w:vAlign w:val="center"/>
          </w:tcPr>
          <w:p w14:paraId="6F892BA8">
            <w:pPr>
              <w:keepNext w:val="0"/>
              <w:keepLines w:val="0"/>
              <w:widowControl/>
              <w:suppressLineNumbers w:val="0"/>
              <w:jc w:val="center"/>
              <w:textAlignment w:val="center"/>
              <w:rPr>
                <w:rFonts w:hint="eastAsia" w:ascii="宋体" w:hAnsi="宋体" w:eastAsia="宋体" w:cs="宋体"/>
                <w:snapToGrid w:val="0"/>
                <w:color w:val="000000"/>
                <w:kern w:val="0"/>
                <w:sz w:val="21"/>
                <w:szCs w:val="21"/>
                <w:lang w:eastAsia="zh-CN"/>
              </w:rPr>
            </w:pPr>
            <w:r>
              <w:rPr>
                <w:rStyle w:val="83"/>
                <w:rFonts w:hint="eastAsia"/>
                <w:sz w:val="21"/>
                <w:szCs w:val="21"/>
                <w:lang w:val="en-US" w:eastAsia="zh-CN" w:bidi="ar"/>
              </w:rPr>
              <w:t>m³</w:t>
            </w:r>
          </w:p>
        </w:tc>
        <w:tc>
          <w:tcPr>
            <w:tcW w:w="874" w:type="dxa"/>
            <w:noWrap w:val="0"/>
            <w:vAlign w:val="center"/>
          </w:tcPr>
          <w:p w14:paraId="55B810F8">
            <w:pPr>
              <w:keepNext w:val="0"/>
              <w:keepLines w:val="0"/>
              <w:widowControl/>
              <w:suppressLineNumbers w:val="0"/>
              <w:jc w:val="righ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 xml:space="preserve">48.15 </w:t>
            </w:r>
          </w:p>
        </w:tc>
      </w:tr>
      <w:tr w14:paraId="35C7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87" w:type="dxa"/>
            <w:noWrap w:val="0"/>
            <w:vAlign w:val="center"/>
          </w:tcPr>
          <w:p w14:paraId="3707AEAA">
            <w:pPr>
              <w:jc w:val="center"/>
              <w:rPr>
                <w:rFonts w:hint="eastAsia" w:ascii="宋体" w:hAnsi="宋体" w:eastAsia="宋体"/>
                <w:b w:val="0"/>
                <w:bCs/>
                <w:sz w:val="21"/>
                <w:szCs w:val="21"/>
                <w:lang w:val="en-US" w:eastAsia="zh-CN"/>
              </w:rPr>
            </w:pPr>
            <w:r>
              <w:rPr>
                <w:rFonts w:hint="eastAsia" w:ascii="宋体" w:hAnsi="宋体"/>
                <w:b w:val="0"/>
                <w:bCs/>
                <w:sz w:val="21"/>
                <w:szCs w:val="21"/>
                <w:lang w:val="en-US" w:eastAsia="zh-CN"/>
              </w:rPr>
              <w:t>7</w:t>
            </w:r>
          </w:p>
        </w:tc>
        <w:tc>
          <w:tcPr>
            <w:tcW w:w="1449" w:type="dxa"/>
            <w:noWrap w:val="0"/>
            <w:vAlign w:val="center"/>
          </w:tcPr>
          <w:p w14:paraId="0D5C1D20">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Style w:val="83"/>
                <w:sz w:val="21"/>
                <w:szCs w:val="21"/>
                <w:lang w:val="en-US" w:eastAsia="zh-CN" w:bidi="ar"/>
              </w:rPr>
              <w:t>清掏2#楼化粪池</w:t>
            </w:r>
          </w:p>
        </w:tc>
        <w:tc>
          <w:tcPr>
            <w:tcW w:w="5531" w:type="dxa"/>
            <w:noWrap w:val="0"/>
            <w:vAlign w:val="center"/>
          </w:tcPr>
          <w:p w14:paraId="1B1AC21A">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部位： 2#楼化粪池</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1.泥浆泵抽清掏深度</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3m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2.化粪池数量</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1座</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3.化粪池尺寸为</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7.5m*6.5m*3m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4.垃圾外运：运距自行考虑</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5.服务期3年，一年清理四次，工程量146.25m³/年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6.其他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724" w:type="dxa"/>
            <w:noWrap w:val="0"/>
            <w:vAlign w:val="center"/>
          </w:tcPr>
          <w:p w14:paraId="289799C9">
            <w:pPr>
              <w:keepNext w:val="0"/>
              <w:keepLines w:val="0"/>
              <w:widowControl/>
              <w:suppressLineNumbers w:val="0"/>
              <w:jc w:val="center"/>
              <w:textAlignment w:val="center"/>
              <w:rPr>
                <w:rFonts w:hint="eastAsia" w:ascii="宋体" w:hAnsi="宋体" w:eastAsia="宋体" w:cs="宋体"/>
                <w:snapToGrid w:val="0"/>
                <w:color w:val="000000"/>
                <w:kern w:val="0"/>
                <w:sz w:val="21"/>
                <w:szCs w:val="21"/>
                <w:lang w:eastAsia="zh-CN"/>
              </w:rPr>
            </w:pPr>
            <w:r>
              <w:rPr>
                <w:rStyle w:val="83"/>
                <w:rFonts w:hint="eastAsia"/>
                <w:sz w:val="21"/>
                <w:szCs w:val="21"/>
                <w:lang w:val="en-US" w:eastAsia="zh-CN" w:bidi="ar"/>
              </w:rPr>
              <w:t>m³</w:t>
            </w:r>
          </w:p>
        </w:tc>
        <w:tc>
          <w:tcPr>
            <w:tcW w:w="874" w:type="dxa"/>
            <w:noWrap w:val="0"/>
            <w:vAlign w:val="center"/>
          </w:tcPr>
          <w:p w14:paraId="6F4406EB">
            <w:pPr>
              <w:keepNext w:val="0"/>
              <w:keepLines w:val="0"/>
              <w:widowControl/>
              <w:suppressLineNumbers w:val="0"/>
              <w:jc w:val="righ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 xml:space="preserve">435.75 </w:t>
            </w:r>
          </w:p>
        </w:tc>
      </w:tr>
      <w:tr w14:paraId="5C14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687" w:type="dxa"/>
            <w:noWrap w:val="0"/>
            <w:vAlign w:val="center"/>
          </w:tcPr>
          <w:p w14:paraId="20FCF833">
            <w:pPr>
              <w:jc w:val="center"/>
              <w:rPr>
                <w:rFonts w:hint="eastAsia" w:ascii="宋体" w:hAnsi="宋体" w:eastAsia="宋体"/>
                <w:b w:val="0"/>
                <w:bCs/>
                <w:sz w:val="21"/>
                <w:szCs w:val="21"/>
                <w:lang w:val="en-US" w:eastAsia="zh-CN"/>
              </w:rPr>
            </w:pPr>
            <w:r>
              <w:rPr>
                <w:rFonts w:hint="eastAsia" w:ascii="宋体" w:hAnsi="宋体"/>
                <w:b w:val="0"/>
                <w:bCs/>
                <w:sz w:val="21"/>
                <w:szCs w:val="21"/>
                <w:lang w:val="en-US" w:eastAsia="zh-CN"/>
              </w:rPr>
              <w:t>8</w:t>
            </w:r>
          </w:p>
        </w:tc>
        <w:tc>
          <w:tcPr>
            <w:tcW w:w="1449" w:type="dxa"/>
            <w:noWrap w:val="0"/>
            <w:vAlign w:val="center"/>
          </w:tcPr>
          <w:p w14:paraId="34B38064">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清掏2#楼厌氧池、调节池</w:t>
            </w:r>
          </w:p>
        </w:tc>
        <w:tc>
          <w:tcPr>
            <w:tcW w:w="5531" w:type="dxa"/>
            <w:noWrap w:val="0"/>
            <w:vAlign w:val="center"/>
          </w:tcPr>
          <w:p w14:paraId="658276CE">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部位：2#楼厌氧池、调节池</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1.泥浆泵抽清掏深度</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分别为3.9m、2.1m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2.化粪池数量：2座</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3.化粪池尺寸分别为：调节池3.14*2.75m*2.75m*3.9m、厌氧池4m*3.5m*2.1m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4.垃圾外运：运距自行考虑</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5.服务期3年，一年清理四次，工程量122.01m³/年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6.其他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724" w:type="dxa"/>
            <w:noWrap w:val="0"/>
            <w:vAlign w:val="center"/>
          </w:tcPr>
          <w:p w14:paraId="5B373293">
            <w:pPr>
              <w:keepNext w:val="0"/>
              <w:keepLines w:val="0"/>
              <w:widowControl/>
              <w:suppressLineNumbers w:val="0"/>
              <w:jc w:val="center"/>
              <w:textAlignment w:val="center"/>
              <w:rPr>
                <w:rFonts w:hint="eastAsia" w:ascii="宋体" w:hAnsi="宋体" w:eastAsia="宋体" w:cs="宋体"/>
                <w:snapToGrid w:val="0"/>
                <w:color w:val="000000"/>
                <w:kern w:val="0"/>
                <w:sz w:val="21"/>
                <w:szCs w:val="21"/>
                <w:lang w:eastAsia="zh-CN"/>
              </w:rPr>
            </w:pPr>
            <w:r>
              <w:rPr>
                <w:rStyle w:val="83"/>
                <w:rFonts w:hint="eastAsia"/>
                <w:sz w:val="21"/>
                <w:szCs w:val="21"/>
                <w:lang w:val="en-US" w:eastAsia="zh-CN" w:bidi="ar"/>
              </w:rPr>
              <w:t>m³</w:t>
            </w:r>
          </w:p>
        </w:tc>
        <w:tc>
          <w:tcPr>
            <w:tcW w:w="874" w:type="dxa"/>
            <w:noWrap w:val="0"/>
            <w:vAlign w:val="center"/>
          </w:tcPr>
          <w:p w14:paraId="2F77EB74">
            <w:pPr>
              <w:keepNext w:val="0"/>
              <w:keepLines w:val="0"/>
              <w:widowControl/>
              <w:suppressLineNumbers w:val="0"/>
              <w:jc w:val="right"/>
              <w:textAlignment w:val="center"/>
              <w:rPr>
                <w:rFonts w:hint="default" w:ascii="宋体" w:hAnsi="宋体" w:eastAsia="宋体" w:cs="宋体"/>
                <w:snapToGrid w:val="0"/>
                <w:color w:val="000000"/>
                <w:kern w:val="0"/>
                <w:sz w:val="21"/>
                <w:szCs w:val="21"/>
                <w:lang w:val="en-US" w:eastAsia="zh-CN"/>
              </w:rPr>
            </w:pPr>
            <w:r>
              <w:rPr>
                <w:rFonts w:ascii="宋体" w:hAnsi="宋体" w:eastAsia="宋体" w:cs="宋体"/>
                <w:i w:val="0"/>
                <w:iCs w:val="0"/>
                <w:color w:val="000000"/>
                <w:kern w:val="0"/>
                <w:sz w:val="21"/>
                <w:szCs w:val="21"/>
                <w:u w:val="none"/>
                <w:lang w:val="en-US" w:eastAsia="zh-CN" w:bidi="ar"/>
              </w:rPr>
              <w:t xml:space="preserve">366.03 </w:t>
            </w:r>
          </w:p>
        </w:tc>
      </w:tr>
      <w:tr w14:paraId="2D30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87" w:type="dxa"/>
            <w:noWrap w:val="0"/>
            <w:vAlign w:val="center"/>
          </w:tcPr>
          <w:p w14:paraId="0D2F7BDD">
            <w:pPr>
              <w:jc w:val="center"/>
              <w:rPr>
                <w:rFonts w:hint="eastAsia" w:ascii="宋体" w:hAnsi="宋体"/>
                <w:b w:val="0"/>
                <w:bCs/>
                <w:sz w:val="21"/>
                <w:szCs w:val="21"/>
                <w:lang w:val="en-US" w:eastAsia="zh-CN"/>
              </w:rPr>
            </w:pPr>
          </w:p>
          <w:p w14:paraId="0EC4AB7E">
            <w:pPr>
              <w:jc w:val="center"/>
              <w:rPr>
                <w:rFonts w:hint="eastAsia" w:ascii="宋体" w:hAnsi="宋体" w:eastAsia="宋体"/>
                <w:b w:val="0"/>
                <w:bCs/>
                <w:sz w:val="21"/>
                <w:szCs w:val="21"/>
                <w:lang w:val="en-US" w:eastAsia="zh-CN"/>
              </w:rPr>
            </w:pPr>
            <w:r>
              <w:rPr>
                <w:rFonts w:hint="eastAsia" w:ascii="宋体" w:hAnsi="宋体"/>
                <w:b w:val="0"/>
                <w:bCs/>
                <w:sz w:val="21"/>
                <w:szCs w:val="21"/>
                <w:lang w:val="en-US" w:eastAsia="zh-CN"/>
              </w:rPr>
              <w:t>9</w:t>
            </w:r>
          </w:p>
        </w:tc>
        <w:tc>
          <w:tcPr>
            <w:tcW w:w="1449" w:type="dxa"/>
            <w:noWrap w:val="0"/>
            <w:vAlign w:val="center"/>
          </w:tcPr>
          <w:p w14:paraId="54A4D69E">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清掏食堂前检查井、水沟</w:t>
            </w:r>
          </w:p>
        </w:tc>
        <w:tc>
          <w:tcPr>
            <w:tcW w:w="5531" w:type="dxa"/>
            <w:noWrap w:val="0"/>
            <w:vAlign w:val="center"/>
          </w:tcPr>
          <w:p w14:paraId="257825E4">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部位：食堂前检查井、水沟</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1.泥浆泵抽清掏深度</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分别为1m、0.2</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2.化粪池数量：7座</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3.化粪池尺寸分别为：检查井1为1.3m*1.3m*1m、检查</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井2为2.2m*2.1m*1m、检查井3为2m*1.9m*1m、检查井4为2m*1.9m*1m、检查井5为1.1m*1m*1m、检查井6为1.5m*1.5m*1m、水沟57.7m*0.3m*0.2m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4.垃圾外运：运距自行考虑</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5.服务期3年，一年清理四次，工程量20.72m³/年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6.其他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724" w:type="dxa"/>
            <w:noWrap w:val="0"/>
            <w:vAlign w:val="center"/>
          </w:tcPr>
          <w:p w14:paraId="450DD952">
            <w:pPr>
              <w:keepNext w:val="0"/>
              <w:keepLines w:val="0"/>
              <w:widowControl/>
              <w:suppressLineNumbers w:val="0"/>
              <w:jc w:val="center"/>
              <w:textAlignment w:val="center"/>
              <w:rPr>
                <w:rFonts w:hint="eastAsia" w:ascii="宋体" w:hAnsi="宋体" w:eastAsia="宋体" w:cs="宋体"/>
                <w:snapToGrid w:val="0"/>
                <w:color w:val="000000"/>
                <w:kern w:val="0"/>
                <w:sz w:val="21"/>
                <w:szCs w:val="21"/>
                <w:lang w:eastAsia="zh-CN"/>
              </w:rPr>
            </w:pPr>
            <w:r>
              <w:rPr>
                <w:rStyle w:val="83"/>
                <w:rFonts w:hint="eastAsia"/>
                <w:sz w:val="21"/>
                <w:szCs w:val="21"/>
                <w:lang w:val="en-US" w:eastAsia="zh-CN" w:bidi="ar"/>
              </w:rPr>
              <w:t>m³</w:t>
            </w:r>
          </w:p>
        </w:tc>
        <w:tc>
          <w:tcPr>
            <w:tcW w:w="874" w:type="dxa"/>
            <w:noWrap w:val="0"/>
            <w:vAlign w:val="center"/>
          </w:tcPr>
          <w:p w14:paraId="62D5A3FB">
            <w:pPr>
              <w:keepNext w:val="0"/>
              <w:keepLines w:val="0"/>
              <w:widowControl/>
              <w:suppressLineNumbers w:val="0"/>
              <w:jc w:val="right"/>
              <w:textAlignment w:val="center"/>
              <w:rPr>
                <w:rFonts w:hint="default" w:ascii="宋体" w:hAnsi="宋体" w:eastAsia="宋体" w:cs="宋体"/>
                <w:snapToGrid w:val="0"/>
                <w:color w:val="000000"/>
                <w:kern w:val="0"/>
                <w:sz w:val="21"/>
                <w:szCs w:val="21"/>
                <w:lang w:val="en-US" w:eastAsia="zh-CN"/>
              </w:rPr>
            </w:pPr>
            <w:r>
              <w:rPr>
                <w:rFonts w:ascii="宋体" w:hAnsi="宋体" w:eastAsia="宋体" w:cs="宋体"/>
                <w:i w:val="0"/>
                <w:iCs w:val="0"/>
                <w:color w:val="000000"/>
                <w:kern w:val="0"/>
                <w:sz w:val="21"/>
                <w:szCs w:val="21"/>
                <w:u w:val="none"/>
                <w:lang w:val="en-US" w:eastAsia="zh-CN" w:bidi="ar"/>
              </w:rPr>
              <w:t xml:space="preserve">62.16 </w:t>
            </w:r>
          </w:p>
        </w:tc>
      </w:tr>
      <w:tr w14:paraId="504E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noWrap w:val="0"/>
            <w:vAlign w:val="center"/>
          </w:tcPr>
          <w:p w14:paraId="71C7D0E4">
            <w:pPr>
              <w:jc w:val="center"/>
              <w:rPr>
                <w:rFonts w:hint="default" w:ascii="宋体" w:hAnsi="宋体" w:eastAsia="宋体"/>
                <w:b w:val="0"/>
                <w:bCs/>
                <w:sz w:val="21"/>
                <w:szCs w:val="21"/>
                <w:lang w:val="en-US" w:eastAsia="zh-CN"/>
              </w:rPr>
            </w:pPr>
            <w:r>
              <w:rPr>
                <w:rFonts w:hint="eastAsia" w:ascii="宋体" w:hAnsi="宋体"/>
                <w:b w:val="0"/>
                <w:bCs/>
                <w:sz w:val="21"/>
                <w:szCs w:val="21"/>
                <w:lang w:val="en-US" w:eastAsia="zh-CN"/>
              </w:rPr>
              <w:t>10</w:t>
            </w:r>
          </w:p>
        </w:tc>
        <w:tc>
          <w:tcPr>
            <w:tcW w:w="1449" w:type="dxa"/>
            <w:noWrap w:val="0"/>
            <w:vAlign w:val="center"/>
          </w:tcPr>
          <w:p w14:paraId="41B35155">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东院墙D800水沟清理、清掏1#病</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房楼后至15#楼D800主污水管道、清掏1#病房楼四周D600水沟</w:t>
            </w:r>
          </w:p>
        </w:tc>
        <w:tc>
          <w:tcPr>
            <w:tcW w:w="5531" w:type="dxa"/>
            <w:noWrap w:val="0"/>
            <w:vAlign w:val="center"/>
          </w:tcPr>
          <w:p w14:paraId="654E6C5D">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1.污水管型号：D800、D600</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2.泥浆泵抽污水管清淤长度</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东院墙水沟187m、 1#病房楼后至15#楼D800主污水管道71m、 1#病房楼四周D600水沟235.8m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3.垃圾外运：运距自行考虑</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4.服务期3年，一年清理四次、工程量196.26m³/年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724" w:type="dxa"/>
            <w:noWrap w:val="0"/>
            <w:vAlign w:val="center"/>
          </w:tcPr>
          <w:p w14:paraId="1A0FB4AC">
            <w:pPr>
              <w:keepNext w:val="0"/>
              <w:keepLines w:val="0"/>
              <w:widowControl/>
              <w:suppressLineNumbers w:val="0"/>
              <w:jc w:val="center"/>
              <w:textAlignment w:val="center"/>
              <w:rPr>
                <w:rFonts w:hint="eastAsia" w:ascii="宋体" w:hAnsi="宋体" w:eastAsia="宋体" w:cs="宋体"/>
                <w:snapToGrid w:val="0"/>
                <w:color w:val="000000"/>
                <w:kern w:val="0"/>
                <w:sz w:val="21"/>
                <w:szCs w:val="21"/>
                <w:lang w:eastAsia="zh-CN"/>
              </w:rPr>
            </w:pPr>
            <w:r>
              <w:rPr>
                <w:rStyle w:val="83"/>
                <w:rFonts w:hint="eastAsia"/>
                <w:sz w:val="21"/>
                <w:szCs w:val="21"/>
                <w:lang w:val="en-US" w:eastAsia="zh-CN" w:bidi="ar"/>
              </w:rPr>
              <w:t>m³</w:t>
            </w:r>
          </w:p>
        </w:tc>
        <w:tc>
          <w:tcPr>
            <w:tcW w:w="874" w:type="dxa"/>
            <w:noWrap w:val="0"/>
            <w:vAlign w:val="center"/>
          </w:tcPr>
          <w:p w14:paraId="0471E3ED">
            <w:pPr>
              <w:keepNext w:val="0"/>
              <w:keepLines w:val="0"/>
              <w:widowControl/>
              <w:suppressLineNumbers w:val="0"/>
              <w:jc w:val="righ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 xml:space="preserve">588.78 </w:t>
            </w:r>
          </w:p>
        </w:tc>
      </w:tr>
      <w:tr w14:paraId="14A1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87" w:type="dxa"/>
            <w:noWrap w:val="0"/>
            <w:vAlign w:val="center"/>
          </w:tcPr>
          <w:p w14:paraId="2D56494B">
            <w:pPr>
              <w:jc w:val="center"/>
              <w:rPr>
                <w:rFonts w:hint="default" w:ascii="宋体" w:hAnsi="宋体" w:eastAsia="宋体"/>
                <w:b w:val="0"/>
                <w:bCs/>
                <w:sz w:val="21"/>
                <w:szCs w:val="21"/>
                <w:lang w:val="en-US" w:eastAsia="zh-CN"/>
              </w:rPr>
            </w:pPr>
            <w:r>
              <w:rPr>
                <w:rFonts w:hint="eastAsia" w:ascii="宋体" w:hAnsi="宋体"/>
                <w:b w:val="0"/>
                <w:bCs/>
                <w:sz w:val="21"/>
                <w:szCs w:val="21"/>
                <w:lang w:val="en-US" w:eastAsia="zh-CN"/>
              </w:rPr>
              <w:t>11</w:t>
            </w:r>
          </w:p>
        </w:tc>
        <w:tc>
          <w:tcPr>
            <w:tcW w:w="1449" w:type="dxa"/>
            <w:noWrap w:val="0"/>
            <w:vAlign w:val="center"/>
          </w:tcPr>
          <w:p w14:paraId="0A350695">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东院墙检查井及1#楼四周检查井清</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淤</w:t>
            </w:r>
          </w:p>
        </w:tc>
        <w:tc>
          <w:tcPr>
            <w:tcW w:w="5531" w:type="dxa"/>
            <w:noWrap w:val="0"/>
            <w:vAlign w:val="center"/>
          </w:tcPr>
          <w:p w14:paraId="2002FC49">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1.检查井清淤31座</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2.服务期3年，工程量31座/年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724" w:type="dxa"/>
            <w:noWrap w:val="0"/>
            <w:vAlign w:val="center"/>
          </w:tcPr>
          <w:p w14:paraId="2A57FD92">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Style w:val="83"/>
                <w:sz w:val="21"/>
                <w:szCs w:val="21"/>
                <w:lang w:val="en-US" w:eastAsia="zh-CN" w:bidi="ar"/>
              </w:rPr>
              <w:t>座</w:t>
            </w:r>
          </w:p>
        </w:tc>
        <w:tc>
          <w:tcPr>
            <w:tcW w:w="874" w:type="dxa"/>
            <w:noWrap w:val="0"/>
            <w:vAlign w:val="center"/>
          </w:tcPr>
          <w:p w14:paraId="26F973F0">
            <w:pPr>
              <w:keepNext w:val="0"/>
              <w:keepLines w:val="0"/>
              <w:widowControl/>
              <w:suppressLineNumbers w:val="0"/>
              <w:jc w:val="right"/>
              <w:textAlignment w:val="center"/>
              <w:rPr>
                <w:rFonts w:hint="default" w:ascii="宋体" w:hAnsi="宋体" w:eastAsia="宋体" w:cs="宋体"/>
                <w:snapToGrid w:val="0"/>
                <w:color w:val="000000"/>
                <w:kern w:val="0"/>
                <w:sz w:val="21"/>
                <w:szCs w:val="21"/>
                <w:lang w:val="en-US" w:eastAsia="zh-CN"/>
              </w:rPr>
            </w:pPr>
            <w:r>
              <w:rPr>
                <w:rFonts w:ascii="宋体" w:hAnsi="宋体" w:eastAsia="宋体" w:cs="宋体"/>
                <w:i w:val="0"/>
                <w:iCs w:val="0"/>
                <w:color w:val="000000"/>
                <w:kern w:val="0"/>
                <w:sz w:val="21"/>
                <w:szCs w:val="21"/>
                <w:u w:val="none"/>
                <w:lang w:val="en-US" w:eastAsia="zh-CN" w:bidi="ar"/>
              </w:rPr>
              <w:t xml:space="preserve">93 </w:t>
            </w:r>
          </w:p>
        </w:tc>
      </w:tr>
      <w:tr w14:paraId="7FE1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687" w:type="dxa"/>
            <w:noWrap w:val="0"/>
            <w:vAlign w:val="center"/>
          </w:tcPr>
          <w:p w14:paraId="6903EC5D">
            <w:pPr>
              <w:jc w:val="center"/>
              <w:rPr>
                <w:rFonts w:hint="default" w:ascii="宋体" w:hAnsi="宋体" w:eastAsia="宋体"/>
                <w:b w:val="0"/>
                <w:bCs/>
                <w:sz w:val="21"/>
                <w:szCs w:val="21"/>
                <w:lang w:val="en-US" w:eastAsia="zh-CN"/>
              </w:rPr>
            </w:pPr>
            <w:r>
              <w:rPr>
                <w:rFonts w:hint="eastAsia" w:ascii="宋体" w:hAnsi="宋体"/>
                <w:b w:val="0"/>
                <w:bCs/>
                <w:sz w:val="21"/>
                <w:szCs w:val="21"/>
                <w:lang w:val="en-US" w:eastAsia="zh-CN"/>
              </w:rPr>
              <w:t>12</w:t>
            </w:r>
          </w:p>
        </w:tc>
        <w:tc>
          <w:tcPr>
            <w:tcW w:w="1449" w:type="dxa"/>
            <w:noWrap w:val="0"/>
            <w:vAlign w:val="center"/>
          </w:tcPr>
          <w:p w14:paraId="0E756ACF">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Style w:val="83"/>
                <w:sz w:val="21"/>
                <w:szCs w:val="21"/>
                <w:lang w:val="en-US" w:eastAsia="zh-CN" w:bidi="ar"/>
              </w:rPr>
              <w:t>清掏1#楼后污水池</w:t>
            </w:r>
          </w:p>
        </w:tc>
        <w:tc>
          <w:tcPr>
            <w:tcW w:w="5531" w:type="dxa"/>
            <w:noWrap w:val="0"/>
            <w:vAlign w:val="center"/>
          </w:tcPr>
          <w:p w14:paraId="77D354F1">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部位：1#楼后污水池</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1.泥浆泵抽清掏深度</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1.6m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2.化粪池数量：1座</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3.化粪池尺寸为：13.98m*15.75m*1.6m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4.垃圾外运：运距自行考虑</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5.服务期3年，一年清理四次，工程量352.3m³/年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6.其他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724" w:type="dxa"/>
            <w:noWrap w:val="0"/>
            <w:vAlign w:val="center"/>
          </w:tcPr>
          <w:p w14:paraId="2E108E94">
            <w:pPr>
              <w:keepNext w:val="0"/>
              <w:keepLines w:val="0"/>
              <w:widowControl/>
              <w:suppressLineNumbers w:val="0"/>
              <w:jc w:val="center"/>
              <w:textAlignment w:val="center"/>
              <w:rPr>
                <w:rFonts w:hint="eastAsia" w:ascii="宋体" w:hAnsi="宋体" w:eastAsia="宋体" w:cs="宋体"/>
                <w:snapToGrid w:val="0"/>
                <w:color w:val="000000"/>
                <w:kern w:val="0"/>
                <w:sz w:val="21"/>
                <w:szCs w:val="21"/>
                <w:lang w:eastAsia="zh-CN"/>
              </w:rPr>
            </w:pPr>
            <w:r>
              <w:rPr>
                <w:rStyle w:val="83"/>
                <w:rFonts w:hint="eastAsia"/>
                <w:sz w:val="21"/>
                <w:szCs w:val="21"/>
                <w:lang w:val="en-US" w:eastAsia="zh-CN" w:bidi="ar"/>
              </w:rPr>
              <w:t>m³</w:t>
            </w:r>
          </w:p>
        </w:tc>
        <w:tc>
          <w:tcPr>
            <w:tcW w:w="874" w:type="dxa"/>
            <w:noWrap w:val="0"/>
            <w:vAlign w:val="center"/>
          </w:tcPr>
          <w:p w14:paraId="63423E85">
            <w:pPr>
              <w:keepNext w:val="0"/>
              <w:keepLines w:val="0"/>
              <w:widowControl/>
              <w:suppressLineNumbers w:val="0"/>
              <w:jc w:val="right"/>
              <w:textAlignment w:val="center"/>
              <w:rPr>
                <w:rFonts w:hint="default" w:ascii="宋体" w:hAnsi="宋体" w:eastAsia="宋体" w:cs="宋体"/>
                <w:snapToGrid w:val="0"/>
                <w:color w:val="000000"/>
                <w:kern w:val="0"/>
                <w:sz w:val="21"/>
                <w:szCs w:val="21"/>
                <w:lang w:val="en-US" w:eastAsia="zh-CN"/>
              </w:rPr>
            </w:pPr>
            <w:r>
              <w:rPr>
                <w:rFonts w:ascii="宋体" w:hAnsi="宋体" w:eastAsia="宋体" w:cs="宋体"/>
                <w:i w:val="0"/>
                <w:iCs w:val="0"/>
                <w:color w:val="000000"/>
                <w:kern w:val="0"/>
                <w:sz w:val="21"/>
                <w:szCs w:val="21"/>
                <w:u w:val="none"/>
                <w:lang w:val="en-US" w:eastAsia="zh-CN" w:bidi="ar"/>
              </w:rPr>
              <w:t xml:space="preserve">1056.9 </w:t>
            </w:r>
          </w:p>
        </w:tc>
      </w:tr>
      <w:tr w14:paraId="7239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687" w:type="dxa"/>
            <w:noWrap w:val="0"/>
            <w:vAlign w:val="center"/>
          </w:tcPr>
          <w:p w14:paraId="1BC16B7F">
            <w:pPr>
              <w:jc w:val="center"/>
              <w:rPr>
                <w:rFonts w:hint="default" w:ascii="宋体" w:hAnsi="宋体" w:eastAsia="宋体"/>
                <w:b w:val="0"/>
                <w:bCs/>
                <w:sz w:val="21"/>
                <w:szCs w:val="21"/>
                <w:lang w:val="en-US" w:eastAsia="zh-CN"/>
              </w:rPr>
            </w:pPr>
            <w:r>
              <w:rPr>
                <w:rFonts w:hint="eastAsia" w:ascii="宋体" w:hAnsi="宋体"/>
                <w:b w:val="0"/>
                <w:bCs/>
                <w:sz w:val="21"/>
                <w:szCs w:val="21"/>
                <w:lang w:val="en-US" w:eastAsia="zh-CN"/>
              </w:rPr>
              <w:t>13</w:t>
            </w:r>
          </w:p>
        </w:tc>
        <w:tc>
          <w:tcPr>
            <w:tcW w:w="1449" w:type="dxa"/>
            <w:noWrap w:val="0"/>
            <w:vAlign w:val="center"/>
          </w:tcPr>
          <w:p w14:paraId="5DC3AD73">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Style w:val="83"/>
                <w:sz w:val="21"/>
                <w:szCs w:val="21"/>
                <w:lang w:val="en-US" w:eastAsia="zh-CN" w:bidi="ar"/>
              </w:rPr>
              <w:t>清掏门诊楼后污水池</w:t>
            </w:r>
          </w:p>
        </w:tc>
        <w:tc>
          <w:tcPr>
            <w:tcW w:w="5531" w:type="dxa"/>
            <w:noWrap w:val="0"/>
            <w:vAlign w:val="center"/>
          </w:tcPr>
          <w:p w14:paraId="6F56FD49">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部位：门诊楼后污水池</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1.泥浆泵抽清掏深度</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1.3m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2.化粪池数量：1座</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3.化粪池尺寸为：16.5m*12m*1.3m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4.垃圾外运：运距自行考虑</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5.服务期3年，一年清理四次，工程量257.4m³/年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6.其他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724" w:type="dxa"/>
            <w:noWrap w:val="0"/>
            <w:vAlign w:val="center"/>
          </w:tcPr>
          <w:p w14:paraId="52BD7057">
            <w:pPr>
              <w:keepNext w:val="0"/>
              <w:keepLines w:val="0"/>
              <w:widowControl/>
              <w:suppressLineNumbers w:val="0"/>
              <w:jc w:val="center"/>
              <w:textAlignment w:val="center"/>
              <w:rPr>
                <w:rFonts w:hint="eastAsia" w:ascii="宋体" w:hAnsi="宋体" w:eastAsia="宋体" w:cs="宋体"/>
                <w:snapToGrid w:val="0"/>
                <w:color w:val="000000"/>
                <w:kern w:val="0"/>
                <w:sz w:val="21"/>
                <w:szCs w:val="21"/>
                <w:lang w:eastAsia="zh-CN"/>
              </w:rPr>
            </w:pPr>
            <w:r>
              <w:rPr>
                <w:rStyle w:val="83"/>
                <w:rFonts w:hint="eastAsia"/>
                <w:sz w:val="21"/>
                <w:szCs w:val="21"/>
                <w:lang w:val="en-US" w:eastAsia="zh-CN" w:bidi="ar"/>
              </w:rPr>
              <w:t>m³</w:t>
            </w:r>
          </w:p>
        </w:tc>
        <w:tc>
          <w:tcPr>
            <w:tcW w:w="874" w:type="dxa"/>
            <w:noWrap w:val="0"/>
            <w:vAlign w:val="center"/>
          </w:tcPr>
          <w:p w14:paraId="1FD197DA">
            <w:pPr>
              <w:keepNext w:val="0"/>
              <w:keepLines w:val="0"/>
              <w:widowControl/>
              <w:suppressLineNumbers w:val="0"/>
              <w:jc w:val="right"/>
              <w:textAlignment w:val="center"/>
              <w:rPr>
                <w:rFonts w:hint="default" w:ascii="宋体" w:hAnsi="宋体" w:eastAsia="宋体" w:cs="宋体"/>
                <w:snapToGrid w:val="0"/>
                <w:color w:val="000000"/>
                <w:kern w:val="0"/>
                <w:sz w:val="21"/>
                <w:szCs w:val="21"/>
                <w:lang w:val="en-US" w:eastAsia="zh-CN"/>
              </w:rPr>
            </w:pPr>
            <w:r>
              <w:rPr>
                <w:rFonts w:ascii="宋体" w:hAnsi="宋体" w:eastAsia="宋体" w:cs="宋体"/>
                <w:i w:val="0"/>
                <w:iCs w:val="0"/>
                <w:color w:val="000000"/>
                <w:kern w:val="0"/>
                <w:sz w:val="21"/>
                <w:szCs w:val="21"/>
                <w:u w:val="none"/>
                <w:lang w:val="en-US" w:eastAsia="zh-CN" w:bidi="ar"/>
              </w:rPr>
              <w:t xml:space="preserve">772.2 </w:t>
            </w:r>
          </w:p>
        </w:tc>
      </w:tr>
      <w:tr w14:paraId="0A62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87" w:type="dxa"/>
            <w:noWrap w:val="0"/>
            <w:vAlign w:val="center"/>
          </w:tcPr>
          <w:p w14:paraId="5F9009D0">
            <w:pPr>
              <w:jc w:val="center"/>
              <w:rPr>
                <w:rFonts w:hint="default" w:ascii="宋体" w:hAnsi="宋体" w:eastAsia="宋体"/>
                <w:b w:val="0"/>
                <w:bCs/>
                <w:sz w:val="21"/>
                <w:szCs w:val="21"/>
                <w:lang w:val="en-US" w:eastAsia="zh-CN"/>
              </w:rPr>
            </w:pPr>
            <w:r>
              <w:rPr>
                <w:rFonts w:hint="eastAsia" w:ascii="宋体" w:hAnsi="宋体"/>
                <w:b w:val="0"/>
                <w:bCs/>
                <w:sz w:val="21"/>
                <w:szCs w:val="21"/>
                <w:lang w:val="en-US" w:eastAsia="zh-CN"/>
              </w:rPr>
              <w:t>14</w:t>
            </w:r>
          </w:p>
        </w:tc>
        <w:tc>
          <w:tcPr>
            <w:tcW w:w="1449" w:type="dxa"/>
            <w:noWrap w:val="0"/>
            <w:vAlign w:val="center"/>
          </w:tcPr>
          <w:p w14:paraId="59D1E260">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rPr>
            </w:pPr>
            <w:r>
              <w:rPr>
                <w:rStyle w:val="83"/>
                <w:sz w:val="21"/>
                <w:szCs w:val="21"/>
                <w:lang w:val="en-US" w:eastAsia="zh-CN" w:bidi="ar"/>
              </w:rPr>
              <w:t>清掏院总化粪池</w:t>
            </w:r>
          </w:p>
        </w:tc>
        <w:tc>
          <w:tcPr>
            <w:tcW w:w="5531" w:type="dxa"/>
            <w:noWrap w:val="0"/>
            <w:vAlign w:val="center"/>
          </w:tcPr>
          <w:p w14:paraId="67215B66">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部位：院总化粪池</w:t>
            </w:r>
            <w:r>
              <w:rPr>
                <w:rFonts w:hint="eastAsia" w:ascii="宋体" w:hAnsi="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调节池2、接触氧化池1、水解酸化池、接触氧化池2、沉淀池1、污泥池</w:t>
            </w:r>
            <w:r>
              <w:rPr>
                <w:rFonts w:hint="eastAsia" w:ascii="宋体" w:hAnsi="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1.泥浆泵抽清掏深度</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1.8m-2.1m之间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2.化粪池尺寸：调节池2为9.75m*2.3m*2m、接触氧化池1为4.25m*5.5m*2.1m、水解酸化池5.25m*5.5m*2.1m、接触氧化池2为9.75m*6.5m*1.8m、沉淀池1为7.2m*7.2m*1.8m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4.垃圾外运：运距自行考虑</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5.服务期3年，一年清理四次，工程量361.96m³/年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6.其他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724" w:type="dxa"/>
            <w:noWrap w:val="0"/>
            <w:vAlign w:val="center"/>
          </w:tcPr>
          <w:p w14:paraId="111036A2">
            <w:pPr>
              <w:keepNext w:val="0"/>
              <w:keepLines w:val="0"/>
              <w:widowControl/>
              <w:suppressLineNumbers w:val="0"/>
              <w:jc w:val="center"/>
              <w:textAlignment w:val="center"/>
              <w:rPr>
                <w:rFonts w:hint="eastAsia" w:ascii="宋体" w:hAnsi="宋体" w:eastAsia="宋体" w:cs="宋体"/>
                <w:snapToGrid w:val="0"/>
                <w:color w:val="000000"/>
                <w:kern w:val="0"/>
                <w:sz w:val="21"/>
                <w:szCs w:val="21"/>
                <w:lang w:eastAsia="zh-CN"/>
              </w:rPr>
            </w:pPr>
            <w:r>
              <w:rPr>
                <w:rStyle w:val="83"/>
                <w:rFonts w:hint="eastAsia"/>
                <w:sz w:val="21"/>
                <w:szCs w:val="21"/>
                <w:lang w:val="en-US" w:eastAsia="zh-CN" w:bidi="ar"/>
              </w:rPr>
              <w:t>m³</w:t>
            </w:r>
          </w:p>
        </w:tc>
        <w:tc>
          <w:tcPr>
            <w:tcW w:w="874" w:type="dxa"/>
            <w:noWrap w:val="0"/>
            <w:vAlign w:val="center"/>
          </w:tcPr>
          <w:p w14:paraId="4464DB8A">
            <w:pPr>
              <w:keepNext w:val="0"/>
              <w:keepLines w:val="0"/>
              <w:widowControl/>
              <w:suppressLineNumbers w:val="0"/>
              <w:jc w:val="righ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 xml:space="preserve">1085.88 </w:t>
            </w:r>
          </w:p>
        </w:tc>
      </w:tr>
      <w:tr w14:paraId="3377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87" w:type="dxa"/>
            <w:noWrap w:val="0"/>
            <w:vAlign w:val="center"/>
          </w:tcPr>
          <w:p w14:paraId="36D88105">
            <w:pPr>
              <w:jc w:val="center"/>
              <w:rPr>
                <w:rFonts w:hint="default" w:ascii="宋体" w:hAnsi="宋体" w:eastAsia="宋体"/>
                <w:b w:val="0"/>
                <w:bCs/>
                <w:sz w:val="21"/>
                <w:szCs w:val="21"/>
                <w:lang w:val="en-US" w:eastAsia="zh-CN"/>
              </w:rPr>
            </w:pPr>
            <w:r>
              <w:rPr>
                <w:rFonts w:hint="eastAsia" w:ascii="宋体" w:hAnsi="宋体"/>
                <w:b w:val="0"/>
                <w:bCs/>
                <w:sz w:val="21"/>
                <w:szCs w:val="21"/>
                <w:lang w:val="en-US" w:eastAsia="zh-CN"/>
              </w:rPr>
              <w:t>15</w:t>
            </w:r>
          </w:p>
        </w:tc>
        <w:tc>
          <w:tcPr>
            <w:tcW w:w="1449" w:type="dxa"/>
            <w:noWrap w:val="0"/>
            <w:vAlign w:val="center"/>
          </w:tcPr>
          <w:p w14:paraId="0FC2C7C2">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Style w:val="83"/>
                <w:sz w:val="21"/>
                <w:szCs w:val="21"/>
                <w:lang w:val="en-US" w:eastAsia="zh-CN" w:bidi="ar"/>
              </w:rPr>
              <w:t>清掏院总化粪池</w:t>
            </w:r>
          </w:p>
        </w:tc>
        <w:tc>
          <w:tcPr>
            <w:tcW w:w="5531" w:type="dxa"/>
            <w:noWrap w:val="0"/>
            <w:vAlign w:val="center"/>
          </w:tcPr>
          <w:p w14:paraId="0DE532CE">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部位：污泥池有毒有害污泥处置</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1.泥浆泵抽清掏深度</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1.8m、1.6m、2.0m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2.污泥池尺寸分别为： 2.0m*6.7m*1.8m、2.0m*4.8m*1.6m、1.0m*7.2m*2.0m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3.清掏污泥池</w:t>
            </w:r>
            <w:r>
              <w:rPr>
                <w:rFonts w:hint="eastAsia" w:ascii="宋体" w:hAnsi="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1#楼后污水池、门诊楼后污水池、院总化粪池</w:t>
            </w:r>
            <w:r>
              <w:rPr>
                <w:rFonts w:hint="eastAsia" w:ascii="宋体" w:hAnsi="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有毒有害污泥消纳费</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4.垃圾外运：80km外运</w:t>
            </w:r>
            <w:r>
              <w:rPr>
                <w:rFonts w:hint="eastAsia" w:ascii="宋体" w:hAnsi="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一年分两次运至光山县官渡河产业集聚区污水处理厂</w:t>
            </w:r>
            <w:r>
              <w:rPr>
                <w:rFonts w:hint="eastAsia" w:ascii="宋体" w:hAnsi="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污泥清抽及运费服务期3年，工程量53.88m³/年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724" w:type="dxa"/>
            <w:noWrap w:val="0"/>
            <w:vAlign w:val="center"/>
          </w:tcPr>
          <w:p w14:paraId="57B599D4">
            <w:pPr>
              <w:keepNext w:val="0"/>
              <w:keepLines w:val="0"/>
              <w:widowControl/>
              <w:suppressLineNumbers w:val="0"/>
              <w:jc w:val="center"/>
              <w:textAlignment w:val="center"/>
              <w:rPr>
                <w:rFonts w:hint="eastAsia" w:ascii="宋体" w:hAnsi="宋体" w:eastAsia="宋体" w:cs="宋体"/>
                <w:snapToGrid w:val="0"/>
                <w:color w:val="000000"/>
                <w:kern w:val="0"/>
                <w:sz w:val="21"/>
                <w:szCs w:val="21"/>
                <w:lang w:eastAsia="zh-CN"/>
              </w:rPr>
            </w:pPr>
            <w:r>
              <w:rPr>
                <w:rStyle w:val="83"/>
                <w:rFonts w:hint="eastAsia"/>
                <w:sz w:val="21"/>
                <w:szCs w:val="21"/>
                <w:lang w:val="en-US" w:eastAsia="zh-CN" w:bidi="ar"/>
              </w:rPr>
              <w:t>m³</w:t>
            </w:r>
          </w:p>
        </w:tc>
        <w:tc>
          <w:tcPr>
            <w:tcW w:w="874" w:type="dxa"/>
            <w:noWrap w:val="0"/>
            <w:vAlign w:val="center"/>
          </w:tcPr>
          <w:p w14:paraId="6C4CAC60">
            <w:pPr>
              <w:keepNext w:val="0"/>
              <w:keepLines w:val="0"/>
              <w:widowControl/>
              <w:suppressLineNumbers w:val="0"/>
              <w:jc w:val="righ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 xml:space="preserve">161.64 </w:t>
            </w:r>
          </w:p>
        </w:tc>
      </w:tr>
      <w:tr w14:paraId="2501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687" w:type="dxa"/>
            <w:noWrap w:val="0"/>
            <w:vAlign w:val="center"/>
          </w:tcPr>
          <w:p w14:paraId="188DAF57">
            <w:pPr>
              <w:jc w:val="center"/>
              <w:rPr>
                <w:rFonts w:hint="default" w:ascii="宋体" w:hAnsi="宋体" w:eastAsia="宋体"/>
                <w:b w:val="0"/>
                <w:bCs/>
                <w:sz w:val="21"/>
                <w:szCs w:val="21"/>
                <w:lang w:val="en-US" w:eastAsia="zh-CN"/>
              </w:rPr>
            </w:pPr>
            <w:r>
              <w:rPr>
                <w:rFonts w:hint="eastAsia" w:ascii="宋体" w:hAnsi="宋体"/>
                <w:b w:val="0"/>
                <w:bCs/>
                <w:sz w:val="21"/>
                <w:szCs w:val="21"/>
                <w:lang w:val="en-US" w:eastAsia="zh-CN"/>
              </w:rPr>
              <w:t>16</w:t>
            </w:r>
          </w:p>
        </w:tc>
        <w:tc>
          <w:tcPr>
            <w:tcW w:w="1449" w:type="dxa"/>
            <w:noWrap w:val="0"/>
            <w:vAlign w:val="center"/>
          </w:tcPr>
          <w:p w14:paraId="1F64AA53">
            <w:pPr>
              <w:keepNext w:val="0"/>
              <w:keepLines w:val="0"/>
              <w:widowControl/>
              <w:suppressLineNumbers w:val="0"/>
              <w:jc w:val="center"/>
              <w:textAlignment w:val="center"/>
              <w:rPr>
                <w:rFonts w:hint="eastAsia" w:ascii="宋体" w:hAnsi="宋体" w:eastAsia="宋体" w:cs="宋体"/>
                <w:snapToGrid w:val="0"/>
                <w:color w:val="000000"/>
                <w:kern w:val="0"/>
                <w:sz w:val="21"/>
                <w:szCs w:val="21"/>
              </w:rPr>
            </w:pPr>
            <w:r>
              <w:rPr>
                <w:rStyle w:val="83"/>
                <w:sz w:val="21"/>
                <w:szCs w:val="21"/>
                <w:lang w:val="en-US" w:eastAsia="zh-CN" w:bidi="ar"/>
              </w:rPr>
              <w:t>清理明沟</w:t>
            </w:r>
          </w:p>
        </w:tc>
        <w:tc>
          <w:tcPr>
            <w:tcW w:w="5531" w:type="dxa"/>
            <w:noWrap w:val="0"/>
            <w:vAlign w:val="center"/>
          </w:tcPr>
          <w:p w14:paraId="7A25557E">
            <w:pPr>
              <w:keepNext w:val="0"/>
              <w:keepLines w:val="0"/>
              <w:widowControl/>
              <w:suppressLineNumbers w:val="0"/>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1.部位</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明沟排水沟13号楼北18*0.3、 16号楼东南13*0.3、 17号楼20*0.3、4号楼东18*0.3、3号楼北17*0.3、27*0.3、3号楼西9*0.3、3号楼南20*0.3、职工食堂东20*0.3、职工食堂南33*0.3</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2.人工清理明沟10cm垃圾</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3.运距自行考虑，服务期3年，一年清理四次，工程量5.85m³/年</w:t>
            </w:r>
          </w:p>
        </w:tc>
        <w:tc>
          <w:tcPr>
            <w:tcW w:w="724" w:type="dxa"/>
            <w:noWrap w:val="0"/>
            <w:vAlign w:val="center"/>
          </w:tcPr>
          <w:p w14:paraId="72F16553">
            <w:pPr>
              <w:keepNext w:val="0"/>
              <w:keepLines w:val="0"/>
              <w:widowControl/>
              <w:suppressLineNumbers w:val="0"/>
              <w:jc w:val="center"/>
              <w:textAlignment w:val="center"/>
              <w:rPr>
                <w:rFonts w:hint="eastAsia" w:ascii="宋体" w:hAnsi="宋体" w:eastAsia="宋体" w:cs="宋体"/>
                <w:snapToGrid w:val="0"/>
                <w:color w:val="000000"/>
                <w:kern w:val="0"/>
                <w:sz w:val="21"/>
                <w:szCs w:val="21"/>
                <w:lang w:eastAsia="zh-CN"/>
              </w:rPr>
            </w:pPr>
            <w:r>
              <w:rPr>
                <w:rStyle w:val="83"/>
                <w:rFonts w:hint="eastAsia"/>
                <w:sz w:val="21"/>
                <w:szCs w:val="21"/>
                <w:lang w:val="en-US" w:eastAsia="zh-CN" w:bidi="ar"/>
              </w:rPr>
              <w:t>m³</w:t>
            </w:r>
          </w:p>
        </w:tc>
        <w:tc>
          <w:tcPr>
            <w:tcW w:w="874" w:type="dxa"/>
            <w:noWrap w:val="0"/>
            <w:vAlign w:val="center"/>
          </w:tcPr>
          <w:p w14:paraId="04F74974">
            <w:pPr>
              <w:keepNext w:val="0"/>
              <w:keepLines w:val="0"/>
              <w:widowControl/>
              <w:suppressLineNumbers w:val="0"/>
              <w:jc w:val="right"/>
              <w:textAlignment w:val="center"/>
              <w:rPr>
                <w:rFonts w:hint="default" w:ascii="宋体" w:hAnsi="宋体" w:eastAsia="宋体" w:cs="宋体"/>
                <w:snapToGrid w:val="0"/>
                <w:color w:val="000000"/>
                <w:kern w:val="0"/>
                <w:sz w:val="21"/>
                <w:szCs w:val="21"/>
                <w:lang w:val="en-US" w:eastAsia="zh-CN"/>
              </w:rPr>
            </w:pPr>
            <w:r>
              <w:rPr>
                <w:rFonts w:ascii="宋体" w:hAnsi="宋体" w:eastAsia="宋体" w:cs="宋体"/>
                <w:i w:val="0"/>
                <w:iCs w:val="0"/>
                <w:color w:val="000000"/>
                <w:kern w:val="0"/>
                <w:sz w:val="21"/>
                <w:szCs w:val="21"/>
                <w:u w:val="none"/>
                <w:lang w:val="en-US" w:eastAsia="zh-CN" w:bidi="ar"/>
              </w:rPr>
              <w:t xml:space="preserve">17.55 </w:t>
            </w:r>
          </w:p>
        </w:tc>
      </w:tr>
    </w:tbl>
    <w:p w14:paraId="5850B502">
      <w:pPr>
        <w:numPr>
          <w:ilvl w:val="0"/>
          <w:numId w:val="0"/>
        </w:numPr>
        <w:ind w:left="720" w:leftChars="0" w:hanging="720" w:firstLineChars="0"/>
        <w:rPr>
          <w:rFonts w:hint="eastAsia" w:ascii="宋体" w:hAnsi="宋体"/>
          <w:b/>
          <w:bCs w:val="0"/>
          <w:kern w:val="2"/>
          <w:sz w:val="21"/>
          <w:szCs w:val="21"/>
          <w:lang w:val="en-US" w:eastAsia="zh-CN" w:bidi="ar-SA"/>
        </w:rPr>
      </w:pPr>
    </w:p>
    <w:p w14:paraId="53AA04AC">
      <w:pPr>
        <w:numPr>
          <w:ilvl w:val="0"/>
          <w:numId w:val="0"/>
        </w:numPr>
        <w:ind w:left="720" w:leftChars="0" w:hanging="720" w:firstLineChars="0"/>
        <w:rPr>
          <w:rFonts w:hint="eastAsia" w:ascii="宋体" w:hAnsi="宋体"/>
          <w:b/>
          <w:bCs w:val="0"/>
          <w:kern w:val="2"/>
          <w:sz w:val="21"/>
          <w:szCs w:val="21"/>
          <w:lang w:val="en-US" w:eastAsia="zh-CN" w:bidi="ar-SA"/>
        </w:rPr>
      </w:pPr>
    </w:p>
    <w:p w14:paraId="0D4A8450">
      <w:pPr>
        <w:numPr>
          <w:ilvl w:val="0"/>
          <w:numId w:val="0"/>
        </w:numPr>
        <w:ind w:left="720" w:leftChars="0" w:hanging="720" w:firstLineChars="0"/>
        <w:rPr>
          <w:rFonts w:hint="eastAsia" w:ascii="宋体" w:hAnsi="宋体"/>
          <w:b/>
          <w:bCs w:val="0"/>
          <w:sz w:val="21"/>
          <w:szCs w:val="21"/>
        </w:rPr>
      </w:pPr>
      <w:r>
        <w:rPr>
          <w:rFonts w:hint="eastAsia" w:ascii="宋体" w:hAnsi="宋体"/>
          <w:b/>
          <w:bCs w:val="0"/>
          <w:kern w:val="2"/>
          <w:sz w:val="21"/>
          <w:szCs w:val="21"/>
          <w:lang w:val="en-US" w:eastAsia="zh-CN" w:bidi="ar-SA"/>
        </w:rPr>
        <w:t>3</w:t>
      </w:r>
      <w:r>
        <w:rPr>
          <w:rFonts w:hint="default" w:ascii="宋体" w:hAnsi="宋体"/>
          <w:b/>
          <w:bCs w:val="0"/>
          <w:kern w:val="2"/>
          <w:sz w:val="21"/>
          <w:szCs w:val="21"/>
          <w:lang w:val="en-US" w:eastAsia="zh-CN" w:bidi="ar-SA"/>
        </w:rPr>
        <w:t>、</w:t>
      </w:r>
      <w:r>
        <w:rPr>
          <w:rFonts w:hint="eastAsia" w:ascii="宋体" w:hAnsi="宋体"/>
          <w:b/>
          <w:bCs w:val="0"/>
          <w:sz w:val="21"/>
          <w:szCs w:val="21"/>
          <w:lang w:val="en-US" w:eastAsia="zh-CN"/>
        </w:rPr>
        <w:t>淮滨</w:t>
      </w:r>
      <w:r>
        <w:rPr>
          <w:rFonts w:hint="eastAsia" w:ascii="宋体" w:hAnsi="宋体"/>
          <w:b/>
          <w:bCs w:val="0"/>
          <w:sz w:val="21"/>
          <w:szCs w:val="21"/>
        </w:rPr>
        <w:t>院区化粪池、窨井和排水沟清淤等危险废物处置</w:t>
      </w:r>
    </w:p>
    <w:tbl>
      <w:tblPr>
        <w:tblStyle w:val="26"/>
        <w:tblW w:w="9255"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80"/>
        <w:gridCol w:w="5631"/>
        <w:gridCol w:w="690"/>
        <w:gridCol w:w="879"/>
      </w:tblGrid>
      <w:tr w14:paraId="6907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2562EB19">
            <w:pPr>
              <w:keepNext w:val="0"/>
              <w:keepLines w:val="0"/>
              <w:pageBreakBefore w:val="0"/>
              <w:wordWrap/>
              <w:overflowPunct/>
              <w:topLinePunct w:val="0"/>
              <w:bidi w:val="0"/>
              <w:spacing w:line="240" w:lineRule="auto"/>
              <w:jc w:val="center"/>
              <w:rPr>
                <w:rFonts w:hint="eastAsia" w:ascii="宋体" w:hAnsi="宋体"/>
                <w:b w:val="0"/>
                <w:bCs/>
                <w:sz w:val="21"/>
                <w:szCs w:val="21"/>
              </w:rPr>
            </w:pPr>
            <w:r>
              <w:rPr>
                <w:rFonts w:hint="eastAsia" w:ascii="宋体" w:hAnsi="宋体"/>
                <w:b w:val="0"/>
                <w:bCs/>
                <w:sz w:val="21"/>
                <w:szCs w:val="21"/>
              </w:rPr>
              <w:t>序号</w:t>
            </w:r>
          </w:p>
        </w:tc>
        <w:tc>
          <w:tcPr>
            <w:tcW w:w="1380" w:type="dxa"/>
            <w:noWrap w:val="0"/>
            <w:vAlign w:val="center"/>
          </w:tcPr>
          <w:p w14:paraId="6A82BDA4">
            <w:pPr>
              <w:keepNext w:val="0"/>
              <w:keepLines w:val="0"/>
              <w:pageBreakBefore w:val="0"/>
              <w:wordWrap/>
              <w:overflowPunct/>
              <w:topLinePunct w:val="0"/>
              <w:bidi w:val="0"/>
              <w:spacing w:line="240" w:lineRule="auto"/>
              <w:jc w:val="center"/>
              <w:rPr>
                <w:rFonts w:hint="eastAsia" w:ascii="宋体" w:hAnsi="宋体"/>
                <w:b w:val="0"/>
                <w:bCs/>
                <w:sz w:val="21"/>
                <w:szCs w:val="21"/>
              </w:rPr>
            </w:pPr>
            <w:r>
              <w:rPr>
                <w:rFonts w:hint="eastAsia" w:ascii="宋体" w:hAnsi="宋体"/>
                <w:b w:val="0"/>
                <w:bCs/>
                <w:sz w:val="21"/>
                <w:szCs w:val="21"/>
              </w:rPr>
              <w:t>项目名称</w:t>
            </w:r>
          </w:p>
        </w:tc>
        <w:tc>
          <w:tcPr>
            <w:tcW w:w="5631" w:type="dxa"/>
            <w:noWrap w:val="0"/>
            <w:vAlign w:val="center"/>
          </w:tcPr>
          <w:p w14:paraId="04F837AC">
            <w:pPr>
              <w:keepNext w:val="0"/>
              <w:keepLines w:val="0"/>
              <w:pageBreakBefore w:val="0"/>
              <w:wordWrap/>
              <w:overflowPunct/>
              <w:topLinePunct w:val="0"/>
              <w:bidi w:val="0"/>
              <w:spacing w:line="240" w:lineRule="auto"/>
              <w:jc w:val="center"/>
              <w:rPr>
                <w:rFonts w:hint="eastAsia" w:ascii="宋体" w:hAnsi="宋体"/>
                <w:b w:val="0"/>
                <w:bCs/>
                <w:sz w:val="21"/>
                <w:szCs w:val="21"/>
              </w:rPr>
            </w:pPr>
            <w:r>
              <w:rPr>
                <w:rFonts w:hint="eastAsia" w:ascii="宋体" w:hAnsi="宋体"/>
                <w:b w:val="0"/>
                <w:bCs/>
                <w:sz w:val="21"/>
                <w:szCs w:val="21"/>
              </w:rPr>
              <w:t>项目特征描述</w:t>
            </w:r>
          </w:p>
        </w:tc>
        <w:tc>
          <w:tcPr>
            <w:tcW w:w="690" w:type="dxa"/>
            <w:noWrap w:val="0"/>
            <w:vAlign w:val="center"/>
          </w:tcPr>
          <w:p w14:paraId="08BEEDC9">
            <w:pPr>
              <w:keepNext w:val="0"/>
              <w:keepLines w:val="0"/>
              <w:pageBreakBefore w:val="0"/>
              <w:wordWrap/>
              <w:overflowPunct/>
              <w:topLinePunct w:val="0"/>
              <w:bidi w:val="0"/>
              <w:spacing w:line="240" w:lineRule="auto"/>
              <w:jc w:val="center"/>
              <w:rPr>
                <w:rFonts w:hint="eastAsia" w:ascii="宋体" w:hAnsi="宋体"/>
                <w:b w:val="0"/>
                <w:bCs/>
                <w:sz w:val="21"/>
                <w:szCs w:val="21"/>
              </w:rPr>
            </w:pPr>
            <w:r>
              <w:rPr>
                <w:rFonts w:hint="eastAsia" w:ascii="宋体" w:hAnsi="宋体"/>
                <w:b w:val="0"/>
                <w:bCs/>
                <w:sz w:val="21"/>
                <w:szCs w:val="21"/>
              </w:rPr>
              <w:t>单位</w:t>
            </w:r>
          </w:p>
        </w:tc>
        <w:tc>
          <w:tcPr>
            <w:tcW w:w="879" w:type="dxa"/>
            <w:noWrap w:val="0"/>
            <w:vAlign w:val="center"/>
          </w:tcPr>
          <w:p w14:paraId="2824B97D">
            <w:pPr>
              <w:keepNext w:val="0"/>
              <w:keepLines w:val="0"/>
              <w:pageBreakBefore w:val="0"/>
              <w:wordWrap/>
              <w:overflowPunct/>
              <w:topLinePunct w:val="0"/>
              <w:bidi w:val="0"/>
              <w:spacing w:line="240" w:lineRule="auto"/>
              <w:jc w:val="center"/>
              <w:rPr>
                <w:rFonts w:hint="eastAsia" w:ascii="宋体" w:hAnsi="宋体"/>
                <w:b w:val="0"/>
                <w:bCs/>
                <w:sz w:val="21"/>
                <w:szCs w:val="21"/>
              </w:rPr>
            </w:pPr>
            <w:r>
              <w:rPr>
                <w:rFonts w:hint="eastAsia" w:ascii="宋体" w:hAnsi="宋体"/>
                <w:b w:val="0"/>
                <w:bCs/>
                <w:sz w:val="21"/>
                <w:szCs w:val="21"/>
              </w:rPr>
              <w:t>工程量</w:t>
            </w:r>
          </w:p>
        </w:tc>
      </w:tr>
      <w:tr w14:paraId="4DFB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257E775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1</w:t>
            </w:r>
          </w:p>
        </w:tc>
        <w:tc>
          <w:tcPr>
            <w:tcW w:w="1380" w:type="dxa"/>
            <w:noWrap w:val="0"/>
            <w:vAlign w:val="center"/>
          </w:tcPr>
          <w:p w14:paraId="1A7E35E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污水管道清理</w:t>
            </w:r>
          </w:p>
        </w:tc>
        <w:tc>
          <w:tcPr>
            <w:tcW w:w="5631" w:type="dxa"/>
            <w:noWrap w:val="0"/>
            <w:vAlign w:val="center"/>
          </w:tcPr>
          <w:p w14:paraId="7DC00BA6">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1.污水管型号分别为：D200和D300HDPE双臂波纹管</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2.泥浆泵抽污水管清淤长度：D200管长290m，D300管长626m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3.垃圾外运：运距自行考虑</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4.一年清理两次，一次一个台班</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5.服务期2年，量为17.8</w:t>
            </w:r>
            <w:r>
              <w:rPr>
                <w:rFonts w:hint="eastAsia" w:ascii="宋体" w:hAnsi="宋体" w:eastAsia="宋体" w:cs="宋体"/>
                <w:i w:val="0"/>
                <w:iCs w:val="0"/>
                <w:color w:val="000000"/>
                <w:kern w:val="0"/>
                <w:sz w:val="21"/>
                <w:szCs w:val="21"/>
                <w:u w:val="none"/>
                <w:lang w:val="en-US" w:eastAsia="zh-CN" w:bidi="ar"/>
              </w:rPr>
              <w:t>m³</w:t>
            </w:r>
            <w:r>
              <w:rPr>
                <w:rFonts w:ascii="宋体" w:hAnsi="宋体" w:eastAsia="宋体" w:cs="宋体"/>
                <w:i w:val="0"/>
                <w:iCs w:val="0"/>
                <w:color w:val="000000"/>
                <w:kern w:val="0"/>
                <w:sz w:val="21"/>
                <w:szCs w:val="21"/>
                <w:u w:val="none"/>
                <w:lang w:val="en-US" w:eastAsia="zh-CN" w:bidi="ar"/>
              </w:rPr>
              <w:t>/年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6.其他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690" w:type="dxa"/>
            <w:noWrap w:val="0"/>
            <w:vAlign w:val="center"/>
          </w:tcPr>
          <w:p w14:paraId="1023864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snapToGrid w:val="0"/>
                <w:color w:val="000000"/>
                <w:kern w:val="0"/>
                <w:sz w:val="21"/>
                <w:szCs w:val="21"/>
                <w:lang w:eastAsia="zh-CN"/>
              </w:rPr>
            </w:pPr>
            <w:r>
              <w:rPr>
                <w:rFonts w:hint="eastAsia" w:ascii="宋体" w:hAnsi="宋体" w:cs="宋体"/>
                <w:i w:val="0"/>
                <w:iCs w:val="0"/>
                <w:color w:val="000000"/>
                <w:kern w:val="0"/>
                <w:sz w:val="21"/>
                <w:szCs w:val="21"/>
                <w:u w:val="none"/>
                <w:lang w:val="en-US" w:eastAsia="zh-CN" w:bidi="ar"/>
              </w:rPr>
              <w:t>m³</w:t>
            </w:r>
          </w:p>
        </w:tc>
        <w:tc>
          <w:tcPr>
            <w:tcW w:w="879" w:type="dxa"/>
            <w:noWrap w:val="0"/>
            <w:vAlign w:val="center"/>
          </w:tcPr>
          <w:p w14:paraId="6F57CBD1">
            <w:pPr>
              <w:keepNext w:val="0"/>
              <w:keepLines w:val="0"/>
              <w:pageBreakBefore w:val="0"/>
              <w:widowControl/>
              <w:suppressLineNumbers w:val="0"/>
              <w:wordWrap/>
              <w:overflowPunct/>
              <w:topLinePunct w:val="0"/>
              <w:bidi w:val="0"/>
              <w:spacing w:line="240" w:lineRule="auto"/>
              <w:jc w:val="right"/>
              <w:textAlignment w:val="center"/>
              <w:rPr>
                <w:rFonts w:hint="eastAsia" w:ascii="宋体" w:hAnsi="宋体" w:eastAsia="宋体" w:cs="宋体"/>
                <w:snapToGrid w:val="0"/>
                <w:color w:val="000000"/>
                <w:kern w:val="0"/>
                <w:sz w:val="21"/>
                <w:szCs w:val="21"/>
                <w:lang w:eastAsia="zh-CN"/>
              </w:rPr>
            </w:pPr>
            <w:r>
              <w:rPr>
                <w:rFonts w:ascii="宋体" w:hAnsi="宋体" w:eastAsia="宋体" w:cs="宋体"/>
                <w:i w:val="0"/>
                <w:iCs w:val="0"/>
                <w:color w:val="000000"/>
                <w:kern w:val="0"/>
                <w:sz w:val="21"/>
                <w:szCs w:val="21"/>
                <w:u w:val="none"/>
                <w:lang w:val="en-US" w:eastAsia="zh-CN" w:bidi="ar"/>
              </w:rPr>
              <w:t xml:space="preserve">71.2 </w:t>
            </w:r>
          </w:p>
        </w:tc>
      </w:tr>
      <w:tr w14:paraId="2B8D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0"/>
            <w:vAlign w:val="center"/>
          </w:tcPr>
          <w:p w14:paraId="28A3DBA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2</w:t>
            </w:r>
          </w:p>
        </w:tc>
        <w:tc>
          <w:tcPr>
            <w:tcW w:w="1380" w:type="dxa"/>
            <w:noWrap w:val="0"/>
            <w:vAlign w:val="center"/>
          </w:tcPr>
          <w:p w14:paraId="7DC259D2">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清掏院总化粪池</w:t>
            </w:r>
          </w:p>
        </w:tc>
        <w:tc>
          <w:tcPr>
            <w:tcW w:w="5631" w:type="dxa"/>
            <w:noWrap w:val="0"/>
            <w:vAlign w:val="center"/>
          </w:tcPr>
          <w:p w14:paraId="03F6E869">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部位：院总化粪池</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1化粪池数量：1座</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2.化粪池容积：75</w:t>
            </w:r>
            <w:r>
              <w:rPr>
                <w:rFonts w:hint="eastAsia" w:ascii="宋体" w:hAnsi="宋体" w:cs="宋体"/>
                <w:i w:val="0"/>
                <w:iCs w:val="0"/>
                <w:color w:val="000000"/>
                <w:kern w:val="0"/>
                <w:sz w:val="21"/>
                <w:szCs w:val="21"/>
                <w:u w:val="none"/>
                <w:lang w:val="en-US" w:eastAsia="zh-CN" w:bidi="ar"/>
              </w:rPr>
              <w:t>m³</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3.垃圾外运：运距自行考虑</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4.一年清理两次，服务期2年，量为75</w:t>
            </w:r>
            <w:r>
              <w:rPr>
                <w:rFonts w:hint="eastAsia" w:ascii="宋体" w:hAnsi="宋体" w:cs="宋体"/>
                <w:i w:val="0"/>
                <w:iCs w:val="0"/>
                <w:color w:val="000000"/>
                <w:kern w:val="0"/>
                <w:sz w:val="21"/>
                <w:szCs w:val="21"/>
                <w:u w:val="none"/>
                <w:lang w:val="en-US" w:eastAsia="zh-CN" w:bidi="ar"/>
              </w:rPr>
              <w:t>m³</w:t>
            </w:r>
            <w:r>
              <w:rPr>
                <w:rFonts w:ascii="宋体" w:hAnsi="宋体" w:eastAsia="宋体" w:cs="宋体"/>
                <w:i w:val="0"/>
                <w:iCs w:val="0"/>
                <w:color w:val="000000"/>
                <w:kern w:val="0"/>
                <w:sz w:val="21"/>
                <w:szCs w:val="21"/>
                <w:u w:val="none"/>
                <w:lang w:val="en-US" w:eastAsia="zh-CN" w:bidi="ar"/>
              </w:rPr>
              <w:t>/年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690" w:type="dxa"/>
            <w:noWrap w:val="0"/>
            <w:vAlign w:val="center"/>
          </w:tcPr>
          <w:p w14:paraId="1A275ADF">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snapToGrid w:val="0"/>
                <w:color w:val="000000"/>
                <w:kern w:val="0"/>
                <w:sz w:val="21"/>
                <w:szCs w:val="21"/>
                <w:lang w:eastAsia="zh-CN"/>
              </w:rPr>
            </w:pPr>
            <w:r>
              <w:rPr>
                <w:rFonts w:hint="eastAsia" w:ascii="宋体" w:hAnsi="宋体" w:cs="宋体"/>
                <w:i w:val="0"/>
                <w:iCs w:val="0"/>
                <w:color w:val="000000"/>
                <w:kern w:val="0"/>
                <w:sz w:val="21"/>
                <w:szCs w:val="21"/>
                <w:u w:val="none"/>
                <w:lang w:val="en-US" w:eastAsia="zh-CN" w:bidi="ar"/>
              </w:rPr>
              <w:t>m³</w:t>
            </w:r>
          </w:p>
        </w:tc>
        <w:tc>
          <w:tcPr>
            <w:tcW w:w="879" w:type="dxa"/>
            <w:noWrap w:val="0"/>
            <w:vAlign w:val="center"/>
          </w:tcPr>
          <w:p w14:paraId="67C052B0">
            <w:pPr>
              <w:keepNext w:val="0"/>
              <w:keepLines w:val="0"/>
              <w:pageBreakBefore w:val="0"/>
              <w:widowControl/>
              <w:suppressLineNumbers w:val="0"/>
              <w:wordWrap/>
              <w:overflowPunct/>
              <w:topLinePunct w:val="0"/>
              <w:bidi w:val="0"/>
              <w:spacing w:line="240" w:lineRule="auto"/>
              <w:jc w:val="right"/>
              <w:textAlignment w:val="center"/>
              <w:rPr>
                <w:rFonts w:hint="eastAsia" w:ascii="宋体" w:hAnsi="宋体" w:eastAsia="宋体" w:cs="宋体"/>
                <w:snapToGrid w:val="0"/>
                <w:color w:val="000000"/>
                <w:kern w:val="0"/>
                <w:sz w:val="21"/>
                <w:szCs w:val="21"/>
                <w:lang w:eastAsia="zh-CN"/>
              </w:rPr>
            </w:pPr>
            <w:r>
              <w:rPr>
                <w:rFonts w:ascii="宋体" w:hAnsi="宋体" w:eastAsia="宋体" w:cs="宋体"/>
                <w:i w:val="0"/>
                <w:iCs w:val="0"/>
                <w:color w:val="000000"/>
                <w:kern w:val="0"/>
                <w:sz w:val="21"/>
                <w:szCs w:val="21"/>
                <w:u w:val="none"/>
                <w:lang w:val="en-US" w:eastAsia="zh-CN" w:bidi="ar"/>
              </w:rPr>
              <w:t xml:space="preserve">150 </w:t>
            </w:r>
          </w:p>
        </w:tc>
      </w:tr>
      <w:tr w14:paraId="2ED4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00F1C55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3</w:t>
            </w:r>
          </w:p>
        </w:tc>
        <w:tc>
          <w:tcPr>
            <w:tcW w:w="1380" w:type="dxa"/>
            <w:noWrap w:val="0"/>
            <w:vAlign w:val="center"/>
          </w:tcPr>
          <w:p w14:paraId="6AC6E28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特殊废弃物处理</w:t>
            </w:r>
          </w:p>
        </w:tc>
        <w:tc>
          <w:tcPr>
            <w:tcW w:w="5631" w:type="dxa"/>
            <w:noWrap w:val="0"/>
            <w:vAlign w:val="center"/>
          </w:tcPr>
          <w:p w14:paraId="620D0FE5">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1.特殊废弃物运至光山县官渡河产业集聚区污水处理厂</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2.运距：80km</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3.有毒有害污泥消纳费</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4.工程量8m³/年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5.其他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690" w:type="dxa"/>
            <w:noWrap w:val="0"/>
            <w:vAlign w:val="center"/>
          </w:tcPr>
          <w:p w14:paraId="3F9EC2A7">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snapToGrid w:val="0"/>
                <w:color w:val="000000"/>
                <w:kern w:val="0"/>
                <w:sz w:val="21"/>
                <w:szCs w:val="21"/>
                <w:lang w:eastAsia="zh-CN"/>
              </w:rPr>
            </w:pPr>
            <w:r>
              <w:rPr>
                <w:rFonts w:hint="eastAsia" w:ascii="宋体" w:hAnsi="宋体" w:cs="宋体"/>
                <w:i w:val="0"/>
                <w:iCs w:val="0"/>
                <w:color w:val="000000"/>
                <w:kern w:val="0"/>
                <w:sz w:val="21"/>
                <w:szCs w:val="21"/>
                <w:u w:val="none"/>
                <w:lang w:val="en-US" w:eastAsia="zh-CN" w:bidi="ar"/>
              </w:rPr>
              <w:t>m³</w:t>
            </w:r>
          </w:p>
        </w:tc>
        <w:tc>
          <w:tcPr>
            <w:tcW w:w="879" w:type="dxa"/>
            <w:noWrap w:val="0"/>
            <w:vAlign w:val="center"/>
          </w:tcPr>
          <w:p w14:paraId="37B5581A">
            <w:pPr>
              <w:keepNext w:val="0"/>
              <w:keepLines w:val="0"/>
              <w:pageBreakBefore w:val="0"/>
              <w:widowControl/>
              <w:suppressLineNumbers w:val="0"/>
              <w:wordWrap/>
              <w:overflowPunct/>
              <w:topLinePunct w:val="0"/>
              <w:bidi w:val="0"/>
              <w:spacing w:line="240" w:lineRule="auto"/>
              <w:jc w:val="right"/>
              <w:textAlignment w:val="center"/>
              <w:rPr>
                <w:rFonts w:hint="eastAsia" w:ascii="宋体" w:hAnsi="宋体" w:eastAsia="宋体" w:cs="宋体"/>
                <w:snapToGrid w:val="0"/>
                <w:color w:val="000000"/>
                <w:kern w:val="0"/>
                <w:sz w:val="21"/>
                <w:szCs w:val="21"/>
                <w:lang w:eastAsia="zh-CN"/>
              </w:rPr>
            </w:pPr>
            <w:r>
              <w:rPr>
                <w:rFonts w:ascii="宋体" w:hAnsi="宋体" w:eastAsia="宋体" w:cs="宋体"/>
                <w:i w:val="0"/>
                <w:iCs w:val="0"/>
                <w:color w:val="000000"/>
                <w:kern w:val="0"/>
                <w:sz w:val="21"/>
                <w:szCs w:val="21"/>
                <w:u w:val="none"/>
                <w:lang w:val="en-US" w:eastAsia="zh-CN" w:bidi="ar"/>
              </w:rPr>
              <w:t xml:space="preserve">16 </w:t>
            </w:r>
          </w:p>
        </w:tc>
      </w:tr>
      <w:tr w14:paraId="053F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75" w:type="dxa"/>
            <w:noWrap w:val="0"/>
            <w:vAlign w:val="center"/>
          </w:tcPr>
          <w:p w14:paraId="4DF9AC5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4</w:t>
            </w:r>
          </w:p>
        </w:tc>
        <w:tc>
          <w:tcPr>
            <w:tcW w:w="1380" w:type="dxa"/>
            <w:noWrap w:val="0"/>
            <w:vAlign w:val="center"/>
          </w:tcPr>
          <w:p w14:paraId="27C6924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塑料检查井清淤</w:t>
            </w:r>
          </w:p>
        </w:tc>
        <w:tc>
          <w:tcPr>
            <w:tcW w:w="5631" w:type="dxa"/>
            <w:noWrap w:val="0"/>
            <w:vAlign w:val="center"/>
          </w:tcPr>
          <w:p w14:paraId="16399092">
            <w:pPr>
              <w:keepNext w:val="0"/>
              <w:keepLines w:val="0"/>
              <w:pageBreakBefore w:val="0"/>
              <w:widowControl/>
              <w:suppressLineNumbers w:val="0"/>
              <w:wordWrap/>
              <w:overflowPunct/>
              <w:topLinePunct w:val="0"/>
              <w:bidi w:val="0"/>
              <w:spacing w:line="240" w:lineRule="auto"/>
              <w:jc w:val="lef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1.检查井清淤，68个</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2.服务期两年，工程量68座/年</w:t>
            </w:r>
            <w:r>
              <w:rPr>
                <w:rFonts w:ascii="宋体" w:hAnsi="宋体" w:eastAsia="宋体" w:cs="宋体"/>
                <w:i w:val="0"/>
                <w:iCs w:val="0"/>
                <w:color w:val="000000"/>
                <w:kern w:val="0"/>
                <w:sz w:val="21"/>
                <w:szCs w:val="21"/>
                <w:u w:val="none"/>
                <w:lang w:val="en-US" w:eastAsia="zh-CN" w:bidi="ar"/>
              </w:rPr>
              <w:br w:type="textWrapping"/>
            </w:r>
            <w:r>
              <w:rPr>
                <w:rFonts w:ascii="宋体" w:hAnsi="宋体" w:eastAsia="宋体" w:cs="宋体"/>
                <w:i w:val="0"/>
                <w:iCs w:val="0"/>
                <w:color w:val="000000"/>
                <w:kern w:val="0"/>
                <w:sz w:val="21"/>
                <w:szCs w:val="21"/>
                <w:u w:val="none"/>
                <w:lang w:val="en-US" w:eastAsia="zh-CN" w:bidi="ar"/>
              </w:rPr>
              <w:t>3.其他</w:t>
            </w:r>
            <w:r>
              <w:rPr>
                <w:rFonts w:hint="eastAsia" w:ascii="宋体" w:hAnsi="宋体" w:eastAsia="宋体" w:cs="宋体"/>
                <w:i w:val="0"/>
                <w:iCs w:val="0"/>
                <w:color w:val="000000"/>
                <w:kern w:val="0"/>
                <w:sz w:val="21"/>
                <w:szCs w:val="21"/>
                <w:u w:val="none"/>
                <w:lang w:val="en-US" w:eastAsia="zh-CN" w:bidi="ar"/>
              </w:rPr>
              <w:t>：</w:t>
            </w:r>
            <w:r>
              <w:rPr>
                <w:rFonts w:ascii="宋体" w:hAnsi="宋体" w:eastAsia="宋体" w:cs="宋体"/>
                <w:i w:val="0"/>
                <w:iCs w:val="0"/>
                <w:color w:val="000000"/>
                <w:kern w:val="0"/>
                <w:sz w:val="21"/>
                <w:szCs w:val="21"/>
                <w:u w:val="none"/>
                <w:lang w:val="en-US" w:eastAsia="zh-CN" w:bidi="ar"/>
              </w:rPr>
              <w:t>未尽事宜参见</w:t>
            </w:r>
            <w:r>
              <w:rPr>
                <w:rFonts w:hint="eastAsia" w:ascii="宋体" w:hAnsi="宋体" w:eastAsia="宋体" w:cs="宋体"/>
                <w:i w:val="0"/>
                <w:iCs w:val="0"/>
                <w:color w:val="000000"/>
                <w:kern w:val="0"/>
                <w:sz w:val="21"/>
                <w:szCs w:val="21"/>
                <w:u w:val="none"/>
                <w:lang w:val="en-US" w:eastAsia="zh-CN" w:bidi="ar"/>
              </w:rPr>
              <w:t>招标文件</w:t>
            </w:r>
            <w:r>
              <w:rPr>
                <w:rFonts w:ascii="宋体" w:hAnsi="宋体" w:eastAsia="宋体" w:cs="宋体"/>
                <w:i w:val="0"/>
                <w:iCs w:val="0"/>
                <w:color w:val="000000"/>
                <w:kern w:val="0"/>
                <w:sz w:val="21"/>
                <w:szCs w:val="21"/>
                <w:u w:val="none"/>
                <w:lang w:val="en-US" w:eastAsia="zh-CN" w:bidi="ar"/>
              </w:rPr>
              <w:t>及相关规范要求</w:t>
            </w:r>
          </w:p>
        </w:tc>
        <w:tc>
          <w:tcPr>
            <w:tcW w:w="690" w:type="dxa"/>
            <w:noWrap w:val="0"/>
            <w:vAlign w:val="center"/>
          </w:tcPr>
          <w:p w14:paraId="7AEAAA97">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snapToGrid w:val="0"/>
                <w:color w:val="000000"/>
                <w:kern w:val="0"/>
                <w:sz w:val="21"/>
                <w:szCs w:val="21"/>
                <w:lang w:eastAsia="zh-CN"/>
              </w:rPr>
            </w:pPr>
            <w:r>
              <w:rPr>
                <w:rFonts w:ascii="宋体" w:hAnsi="宋体" w:eastAsia="宋体" w:cs="宋体"/>
                <w:i w:val="0"/>
                <w:iCs w:val="0"/>
                <w:color w:val="000000"/>
                <w:kern w:val="0"/>
                <w:sz w:val="21"/>
                <w:szCs w:val="21"/>
                <w:u w:val="none"/>
                <w:lang w:val="en-US" w:eastAsia="zh-CN" w:bidi="ar"/>
              </w:rPr>
              <w:t>座</w:t>
            </w:r>
          </w:p>
        </w:tc>
        <w:tc>
          <w:tcPr>
            <w:tcW w:w="879" w:type="dxa"/>
            <w:noWrap w:val="0"/>
            <w:vAlign w:val="center"/>
          </w:tcPr>
          <w:p w14:paraId="6F61418D">
            <w:pPr>
              <w:keepNext w:val="0"/>
              <w:keepLines w:val="0"/>
              <w:pageBreakBefore w:val="0"/>
              <w:widowControl/>
              <w:suppressLineNumbers w:val="0"/>
              <w:wordWrap/>
              <w:overflowPunct/>
              <w:topLinePunct w:val="0"/>
              <w:bidi w:val="0"/>
              <w:spacing w:line="240" w:lineRule="auto"/>
              <w:jc w:val="right"/>
              <w:textAlignment w:val="center"/>
              <w:rPr>
                <w:rFonts w:hint="eastAsia" w:ascii="宋体" w:hAnsi="宋体" w:eastAsia="宋体" w:cs="宋体"/>
                <w:snapToGrid w:val="0"/>
                <w:color w:val="000000"/>
                <w:kern w:val="0"/>
                <w:sz w:val="21"/>
                <w:szCs w:val="21"/>
              </w:rPr>
            </w:pPr>
            <w:r>
              <w:rPr>
                <w:rFonts w:ascii="宋体" w:hAnsi="宋体" w:eastAsia="宋体" w:cs="宋体"/>
                <w:i w:val="0"/>
                <w:iCs w:val="0"/>
                <w:color w:val="000000"/>
                <w:kern w:val="0"/>
                <w:sz w:val="21"/>
                <w:szCs w:val="21"/>
                <w:u w:val="none"/>
                <w:lang w:val="en-US" w:eastAsia="zh-CN" w:bidi="ar"/>
              </w:rPr>
              <w:t xml:space="preserve">136 </w:t>
            </w:r>
          </w:p>
        </w:tc>
      </w:tr>
    </w:tbl>
    <w:p w14:paraId="615835FE">
      <w:pPr>
        <w:pStyle w:val="23"/>
        <w:pageBreakBefore w:val="0"/>
        <w:kinsoku/>
        <w:wordWrap/>
        <w:overflowPunct/>
        <w:topLinePunct w:val="0"/>
        <w:bidi w:val="0"/>
        <w:adjustRightInd/>
        <w:snapToGrid/>
        <w:spacing w:before="0" w:beforeLines="0" w:after="0" w:afterLines="0" w:line="400" w:lineRule="exact"/>
        <w:ind w:left="0" w:leftChars="0" w:right="0" w:rightChars="0"/>
        <w:rPr>
          <w:rFonts w:hint="eastAsia" w:ascii="宋体" w:hAnsi="宋体" w:eastAsia="宋体" w:cs="宋体"/>
          <w:color w:val="auto"/>
          <w:highlight w:val="none"/>
        </w:rPr>
        <w:sectPr>
          <w:pgSz w:w="11905" w:h="16838"/>
          <w:pgMar w:top="1440" w:right="1701" w:bottom="1440" w:left="1701" w:header="850" w:footer="850" w:gutter="0"/>
          <w:pgBorders>
            <w:top w:val="none" w:sz="0" w:space="0"/>
            <w:left w:val="none" w:sz="0" w:space="0"/>
            <w:bottom w:val="none" w:sz="0" w:space="0"/>
            <w:right w:val="none" w:sz="0" w:space="0"/>
          </w:pgBorders>
          <w:pgNumType w:fmt="decimal"/>
          <w:cols w:space="0" w:num="1"/>
          <w:rtlGutter w:val="0"/>
          <w:docGrid w:type="lines" w:linePitch="425" w:charSpace="0"/>
        </w:sectPr>
      </w:pPr>
    </w:p>
    <w:p w14:paraId="15E527B2">
      <w:pPr>
        <w:pStyle w:val="23"/>
        <w:pageBreakBefore w:val="0"/>
        <w:kinsoku/>
        <w:wordWrap/>
        <w:overflowPunct/>
        <w:topLinePunct w:val="0"/>
        <w:bidi w:val="0"/>
        <w:adjustRightInd/>
        <w:snapToGrid/>
        <w:spacing w:before="0" w:beforeLines="0" w:after="0" w:afterLines="0" w:line="400" w:lineRule="exact"/>
        <w:ind w:left="0" w:leftChars="0" w:right="0" w:rightChars="0"/>
        <w:rPr>
          <w:rFonts w:hint="eastAsia" w:ascii="宋体" w:hAnsi="宋体" w:eastAsia="宋体" w:cs="宋体"/>
          <w:color w:val="auto"/>
          <w:highlight w:val="none"/>
        </w:rPr>
      </w:pPr>
      <w:r>
        <w:rPr>
          <w:rFonts w:hint="eastAsia" w:ascii="宋体" w:hAnsi="宋体" w:eastAsia="宋体" w:cs="宋体"/>
          <w:color w:val="auto"/>
          <w:highlight w:val="none"/>
        </w:rPr>
        <w:t>第六章 投标文件格式</w:t>
      </w:r>
      <w:bookmarkEnd w:id="104"/>
    </w:p>
    <w:p w14:paraId="3CB46053">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32"/>
          <w:szCs w:val="32"/>
          <w:highlight w:val="none"/>
        </w:rPr>
      </w:pPr>
    </w:p>
    <w:p w14:paraId="714F8015">
      <w:pPr>
        <w:pStyle w:val="24"/>
        <w:pageBreakBefore w:val="0"/>
        <w:kinsoku/>
        <w:wordWrap/>
        <w:overflowPunct/>
        <w:topLinePunct w:val="0"/>
        <w:bidi w:val="0"/>
        <w:adjustRightInd/>
        <w:snapToGrid/>
        <w:spacing w:after="0" w:afterLines="0" w:line="400" w:lineRule="exact"/>
        <w:ind w:left="0" w:leftChars="0" w:right="0" w:rightChars="0" w:firstLine="210"/>
        <w:jc w:val="right"/>
        <w:rPr>
          <w:rFonts w:hint="eastAsia" w:ascii="宋体" w:hAnsi="宋体" w:eastAsia="宋体" w:cs="宋体"/>
          <w:color w:val="auto"/>
          <w:highlight w:val="none"/>
        </w:rPr>
      </w:pPr>
      <w:r>
        <w:rPr>
          <w:rFonts w:hint="eastAsia" w:ascii="宋体" w:hAnsi="宋体" w:eastAsia="宋体" w:cs="宋体"/>
          <w:color w:val="auto"/>
          <w:highlight w:val="none"/>
        </w:rPr>
        <w:t>（封面格式）</w:t>
      </w:r>
    </w:p>
    <w:p w14:paraId="605A0594">
      <w:pPr>
        <w:pStyle w:val="24"/>
        <w:pageBreakBefore w:val="0"/>
        <w:kinsoku/>
        <w:wordWrap/>
        <w:overflowPunct/>
        <w:topLinePunct w:val="0"/>
        <w:bidi w:val="0"/>
        <w:adjustRightInd/>
        <w:snapToGrid/>
        <w:spacing w:after="0" w:afterLines="0" w:line="400" w:lineRule="exact"/>
        <w:ind w:left="0" w:leftChars="0" w:right="0" w:rightChars="0" w:firstLine="210"/>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t xml:space="preserve">                                                         </w:t>
      </w:r>
    </w:p>
    <w:p w14:paraId="3577308B">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kern w:val="0"/>
          <w:sz w:val="32"/>
          <w:szCs w:val="32"/>
          <w:highlight w:val="none"/>
          <w:u w:val="single"/>
        </w:rPr>
      </w:pPr>
    </w:p>
    <w:p w14:paraId="07A73208">
      <w:pPr>
        <w:pageBreakBefore w:val="0"/>
        <w:kinsoku/>
        <w:wordWrap/>
        <w:overflowPunct/>
        <w:topLinePunct w:val="0"/>
        <w:bidi w:val="0"/>
        <w:adjustRightInd/>
        <w:snapToGrid/>
        <w:spacing w:line="360" w:lineRule="auto"/>
        <w:ind w:left="0" w:leftChars="0" w:right="0" w:rightChars="0"/>
        <w:jc w:val="center"/>
        <w:rPr>
          <w:rFonts w:hint="default" w:ascii="宋体" w:hAnsi="宋体" w:eastAsia="宋体" w:cs="宋体"/>
          <w:color w:val="auto"/>
          <w:kern w:val="0"/>
          <w:sz w:val="32"/>
          <w:szCs w:val="32"/>
          <w:highlight w:val="none"/>
          <w:lang w:val="en-US" w:eastAsia="zh-CN"/>
        </w:rPr>
      </w:pPr>
      <w:r>
        <w:rPr>
          <w:rFonts w:hint="eastAsia" w:ascii="宋体" w:hAnsi="宋体" w:eastAsia="宋体" w:cs="宋体"/>
          <w:color w:val="auto"/>
          <w:kern w:val="0"/>
          <w:sz w:val="32"/>
          <w:szCs w:val="32"/>
          <w:highlight w:val="none"/>
          <w:u w:val="single"/>
        </w:rPr>
        <w:t xml:space="preserve">           </w:t>
      </w:r>
      <w:r>
        <w:rPr>
          <w:rFonts w:hint="eastAsia" w:ascii="宋体" w:hAnsi="宋体" w:cs="宋体"/>
          <w:color w:val="auto"/>
          <w:kern w:val="0"/>
          <w:sz w:val="32"/>
          <w:szCs w:val="32"/>
          <w:highlight w:val="none"/>
          <w:u w:val="single"/>
          <w:lang w:val="en-US" w:eastAsia="zh-CN"/>
        </w:rPr>
        <w:t xml:space="preserve">     </w:t>
      </w:r>
      <w:r>
        <w:rPr>
          <w:rFonts w:hint="eastAsia" w:ascii="宋体" w:hAnsi="宋体" w:eastAsia="宋体" w:cs="宋体"/>
          <w:color w:val="auto"/>
          <w:kern w:val="0"/>
          <w:sz w:val="32"/>
          <w:szCs w:val="32"/>
          <w:highlight w:val="none"/>
          <w:u w:val="single"/>
        </w:rPr>
        <w:t xml:space="preserve">     </w:t>
      </w:r>
      <w:r>
        <w:rPr>
          <w:rFonts w:hint="eastAsia" w:ascii="宋体" w:hAnsi="宋体" w:eastAsia="宋体" w:cs="宋体"/>
          <w:color w:val="auto"/>
          <w:kern w:val="0"/>
          <w:sz w:val="32"/>
          <w:szCs w:val="32"/>
          <w:highlight w:val="none"/>
        </w:rPr>
        <w:t>（项目名称）</w:t>
      </w:r>
    </w:p>
    <w:p w14:paraId="2D8194BC">
      <w:pPr>
        <w:pageBreakBefore w:val="0"/>
        <w:kinsoku/>
        <w:wordWrap/>
        <w:overflowPunct/>
        <w:topLinePunct w:val="0"/>
        <w:bidi w:val="0"/>
        <w:adjustRightInd/>
        <w:snapToGrid/>
        <w:spacing w:line="360" w:lineRule="auto"/>
        <w:ind w:left="0" w:leftChars="0" w:right="0" w:rightChars="0"/>
        <w:jc w:val="center"/>
        <w:rPr>
          <w:rFonts w:hint="eastAsia" w:ascii="宋体" w:hAnsi="宋体" w:eastAsia="宋体" w:cs="宋体"/>
          <w:color w:val="auto"/>
          <w:sz w:val="44"/>
          <w:szCs w:val="44"/>
          <w:highlight w:val="none"/>
        </w:rPr>
      </w:pPr>
    </w:p>
    <w:p w14:paraId="516D2DD3">
      <w:pPr>
        <w:pageBreakBefore w:val="0"/>
        <w:kinsoku/>
        <w:wordWrap/>
        <w:overflowPunct/>
        <w:topLinePunct w:val="0"/>
        <w:bidi w:val="0"/>
        <w:adjustRightInd/>
        <w:snapToGrid/>
        <w:spacing w:line="360" w:lineRule="auto"/>
        <w:ind w:left="0" w:leftChars="0" w:right="0" w:right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投  标  文  件</w:t>
      </w:r>
    </w:p>
    <w:p w14:paraId="724C944C">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32"/>
          <w:szCs w:val="32"/>
          <w:highlight w:val="none"/>
        </w:rPr>
      </w:pPr>
    </w:p>
    <w:p w14:paraId="57944224">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32"/>
          <w:szCs w:val="32"/>
          <w:highlight w:val="none"/>
        </w:rPr>
      </w:pPr>
    </w:p>
    <w:p w14:paraId="05D339C6">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32"/>
          <w:szCs w:val="32"/>
          <w:highlight w:val="none"/>
        </w:rPr>
      </w:pPr>
    </w:p>
    <w:p w14:paraId="65E05B4C">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32"/>
          <w:szCs w:val="32"/>
          <w:highlight w:val="none"/>
        </w:rPr>
      </w:pPr>
    </w:p>
    <w:p w14:paraId="4F60C461">
      <w:pPr>
        <w:pStyle w:val="24"/>
        <w:pageBreakBefore w:val="0"/>
        <w:kinsoku/>
        <w:wordWrap/>
        <w:overflowPunct/>
        <w:topLinePunct w:val="0"/>
        <w:bidi w:val="0"/>
        <w:adjustRightInd/>
        <w:snapToGrid/>
        <w:spacing w:after="0" w:afterLines="0"/>
        <w:ind w:left="0" w:leftChars="0" w:right="0" w:rightChars="0"/>
        <w:rPr>
          <w:rFonts w:hint="eastAsia"/>
          <w:color w:val="auto"/>
          <w:highlight w:val="none"/>
        </w:rPr>
      </w:pPr>
    </w:p>
    <w:p w14:paraId="47D1FCD4">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32"/>
          <w:szCs w:val="32"/>
          <w:highlight w:val="none"/>
        </w:rPr>
      </w:pPr>
    </w:p>
    <w:p w14:paraId="7B07466A">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32"/>
          <w:szCs w:val="32"/>
          <w:highlight w:val="none"/>
        </w:rPr>
      </w:pPr>
    </w:p>
    <w:p w14:paraId="017C6ACA">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32"/>
          <w:szCs w:val="32"/>
          <w:highlight w:val="none"/>
        </w:rPr>
      </w:pPr>
    </w:p>
    <w:p w14:paraId="47D07951">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32"/>
          <w:szCs w:val="32"/>
          <w:highlight w:val="none"/>
        </w:rPr>
      </w:pPr>
    </w:p>
    <w:p w14:paraId="281219C2">
      <w:pPr>
        <w:rPr>
          <w:rFonts w:hint="eastAsia"/>
          <w:color w:val="auto"/>
          <w:highlight w:val="none"/>
        </w:rPr>
      </w:pPr>
    </w:p>
    <w:p w14:paraId="3667C6E2">
      <w:pPr>
        <w:pStyle w:val="11"/>
        <w:pageBreakBefore w:val="0"/>
        <w:kinsoku/>
        <w:wordWrap/>
        <w:overflowPunct/>
        <w:topLinePunct w:val="0"/>
        <w:bidi w:val="0"/>
        <w:adjustRightInd/>
        <w:snapToGrid/>
        <w:spacing w:after="0" w:afterLines="0"/>
        <w:ind w:left="0" w:leftChars="0" w:right="0" w:rightChars="0"/>
        <w:rPr>
          <w:rFonts w:hint="eastAsia"/>
          <w:color w:val="auto"/>
          <w:highlight w:val="none"/>
        </w:rPr>
      </w:pPr>
    </w:p>
    <w:p w14:paraId="6403DF18">
      <w:pPr>
        <w:pStyle w:val="12"/>
        <w:pageBreakBefore w:val="0"/>
        <w:kinsoku/>
        <w:wordWrap/>
        <w:overflowPunct/>
        <w:topLinePunct w:val="0"/>
        <w:bidi w:val="0"/>
        <w:adjustRightInd/>
        <w:snapToGrid/>
        <w:spacing w:after="0" w:afterLines="0"/>
        <w:ind w:left="0" w:leftChars="0" w:right="0" w:rightChars="0"/>
        <w:rPr>
          <w:rFonts w:hint="eastAsia"/>
          <w:color w:val="auto"/>
          <w:highlight w:val="none"/>
        </w:rPr>
      </w:pPr>
    </w:p>
    <w:p w14:paraId="3C28A550">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32"/>
          <w:szCs w:val="32"/>
          <w:highlight w:val="none"/>
        </w:rPr>
      </w:pPr>
    </w:p>
    <w:p w14:paraId="18D06FE8">
      <w:pPr>
        <w:pageBreakBefore w:val="0"/>
        <w:kinsoku/>
        <w:wordWrap/>
        <w:overflowPunct/>
        <w:topLinePunct w:val="0"/>
        <w:bidi w:val="0"/>
        <w:adjustRightInd/>
        <w:snapToGrid/>
        <w:spacing w:line="360" w:lineRule="auto"/>
        <w:ind w:left="0" w:leftChars="0" w:right="0" w:rightChars="0"/>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（单位电子签章）</w:t>
      </w:r>
    </w:p>
    <w:p w14:paraId="3EA2719F">
      <w:pPr>
        <w:pageBreakBefore w:val="0"/>
        <w:kinsoku/>
        <w:wordWrap/>
        <w:overflowPunct/>
        <w:topLinePunct w:val="0"/>
        <w:bidi w:val="0"/>
        <w:adjustRightInd/>
        <w:snapToGrid/>
        <w:spacing w:line="360" w:lineRule="auto"/>
        <w:ind w:left="0" w:leftChars="0" w:right="0" w:right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电子签名或签章</w:t>
      </w:r>
      <w:r>
        <w:rPr>
          <w:rFonts w:hint="eastAsia" w:ascii="宋体" w:hAnsi="宋体" w:eastAsia="宋体" w:cs="宋体"/>
          <w:color w:val="auto"/>
          <w:sz w:val="28"/>
          <w:szCs w:val="28"/>
          <w:highlight w:val="none"/>
        </w:rPr>
        <w:t>）</w:t>
      </w:r>
    </w:p>
    <w:p w14:paraId="19DAA04E">
      <w:pPr>
        <w:pageBreakBefore w:val="0"/>
        <w:kinsoku/>
        <w:wordWrap/>
        <w:overflowPunct/>
        <w:topLinePunct w:val="0"/>
        <w:bidi w:val="0"/>
        <w:adjustRightInd/>
        <w:snapToGrid/>
        <w:spacing w:line="360" w:lineRule="auto"/>
        <w:ind w:left="0" w:leftChars="0" w:right="0" w:right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1AE902E4">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bCs/>
          <w:color w:val="auto"/>
          <w:sz w:val="24"/>
          <w:highlight w:val="none"/>
        </w:rPr>
      </w:pPr>
    </w:p>
    <w:p w14:paraId="1911A3A4">
      <w:pPr>
        <w:pStyle w:val="24"/>
        <w:pageBreakBefore w:val="0"/>
        <w:kinsoku/>
        <w:wordWrap/>
        <w:overflowPunct/>
        <w:topLinePunct w:val="0"/>
        <w:bidi w:val="0"/>
        <w:adjustRightInd/>
        <w:snapToGrid/>
        <w:spacing w:after="0" w:afterLines="0" w:line="400" w:lineRule="exact"/>
        <w:ind w:left="0" w:leftChars="0" w:right="0" w:rightChars="0" w:firstLine="0" w:firstLineChars="0"/>
        <w:rPr>
          <w:rFonts w:hint="eastAsia" w:ascii="宋体" w:hAnsi="宋体" w:eastAsia="宋体" w:cs="宋体"/>
          <w:color w:val="auto"/>
          <w:highlight w:val="none"/>
        </w:rPr>
      </w:pPr>
    </w:p>
    <w:p w14:paraId="68B1AE98">
      <w:pPr>
        <w:rPr>
          <w:rFonts w:hint="eastAsia" w:ascii="宋体" w:hAnsi="宋体" w:eastAsia="宋体" w:cs="宋体"/>
          <w:color w:val="auto"/>
          <w:szCs w:val="32"/>
          <w:highlight w:val="none"/>
        </w:rPr>
      </w:pPr>
      <w:bookmarkStart w:id="105" w:name="_Toc472429341"/>
      <w:bookmarkStart w:id="106" w:name="_Toc472337696"/>
      <w:r>
        <w:rPr>
          <w:rFonts w:hint="eastAsia" w:ascii="宋体" w:hAnsi="宋体" w:eastAsia="宋体" w:cs="宋体"/>
          <w:color w:val="auto"/>
          <w:szCs w:val="32"/>
          <w:highlight w:val="none"/>
        </w:rPr>
        <w:br w:type="page"/>
      </w:r>
    </w:p>
    <w:p w14:paraId="462D63BE">
      <w:pPr>
        <w:rPr>
          <w:rFonts w:hint="eastAsia"/>
        </w:rPr>
      </w:pPr>
    </w:p>
    <w:p w14:paraId="7BE72154">
      <w:pPr>
        <w:bidi w:val="0"/>
        <w:jc w:val="center"/>
        <w:rPr>
          <w:rFonts w:hint="eastAsia"/>
          <w:b/>
          <w:bCs/>
        </w:rPr>
      </w:pPr>
      <w:r>
        <w:rPr>
          <w:rFonts w:hint="eastAsia"/>
          <w:b/>
          <w:bCs/>
        </w:rPr>
        <w:t>目    录</w:t>
      </w:r>
    </w:p>
    <w:bookmarkEnd w:id="105"/>
    <w:bookmarkEnd w:id="106"/>
    <w:p w14:paraId="03CAEB8B">
      <w:pPr>
        <w:jc w:val="center"/>
        <w:rPr>
          <w:rFonts w:hint="eastAsia"/>
        </w:rPr>
      </w:pPr>
      <w:bookmarkStart w:id="107" w:name="_Toc472337697"/>
      <w:bookmarkStart w:id="108" w:name="_Toc472429342"/>
      <w:r>
        <w:rPr>
          <w:rFonts w:hint="eastAsia" w:ascii="宋体" w:hAnsi="宋体" w:eastAsia="宋体" w:cs="宋体"/>
          <w:b/>
          <w:bCs w:val="0"/>
          <w:color w:val="auto"/>
          <w:sz w:val="22"/>
          <w:szCs w:val="22"/>
          <w:lang w:eastAsia="zh-CN"/>
        </w:rPr>
        <w:t>（供应商自行编制</w:t>
      </w:r>
      <w:r>
        <w:rPr>
          <w:rFonts w:hint="eastAsia" w:ascii="宋体" w:hAnsi="宋体" w:eastAsia="宋体" w:cs="宋体"/>
          <w:b/>
          <w:bCs w:val="0"/>
          <w:color w:val="auto"/>
          <w:sz w:val="22"/>
          <w:szCs w:val="22"/>
          <w:lang w:val="en-US" w:eastAsia="zh-CN"/>
        </w:rPr>
        <w:t>目录及</w:t>
      </w:r>
      <w:r>
        <w:rPr>
          <w:rFonts w:hint="eastAsia" w:ascii="宋体" w:hAnsi="宋体" w:eastAsia="宋体" w:cs="宋体"/>
          <w:b/>
          <w:bCs w:val="0"/>
          <w:color w:val="auto"/>
          <w:sz w:val="22"/>
          <w:szCs w:val="22"/>
          <w:lang w:eastAsia="zh-CN"/>
        </w:rPr>
        <w:t>页码）</w:t>
      </w:r>
    </w:p>
    <w:p w14:paraId="6AA2B665">
      <w:pPr>
        <w:pStyle w:val="2"/>
        <w:pageBreakBefore w:val="0"/>
        <w:numPr>
          <w:ilvl w:val="0"/>
          <w:numId w:val="0"/>
        </w:numPr>
        <w:kinsoku/>
        <w:wordWrap/>
        <w:overflowPunct/>
        <w:topLinePunct w:val="0"/>
        <w:bidi w:val="0"/>
        <w:adjustRightInd/>
        <w:snapToGrid/>
        <w:spacing w:line="400" w:lineRule="exact"/>
        <w:ind w:left="0" w:leftChars="0" w:right="0" w:rightChars="0"/>
        <w:jc w:val="center"/>
        <w:rPr>
          <w:rFonts w:hint="eastAsia" w:ascii="宋体" w:hAnsi="宋体" w:eastAsia="宋体" w:cs="宋体"/>
          <w:b/>
          <w:color w:val="auto"/>
          <w:sz w:val="28"/>
          <w:szCs w:val="28"/>
          <w:highlight w:val="none"/>
        </w:rPr>
        <w:sectPr>
          <w:pgSz w:w="11905" w:h="16838"/>
          <w:pgMar w:top="1440" w:right="1701" w:bottom="1440" w:left="1701" w:header="850" w:footer="850" w:gutter="0"/>
          <w:pgBorders>
            <w:top w:val="none" w:sz="0" w:space="0"/>
            <w:left w:val="none" w:sz="0" w:space="0"/>
            <w:bottom w:val="none" w:sz="0" w:space="0"/>
            <w:right w:val="none" w:sz="0" w:space="0"/>
          </w:pgBorders>
          <w:pgNumType w:fmt="decimal"/>
          <w:cols w:space="0" w:num="1"/>
          <w:rtlGutter w:val="0"/>
          <w:docGrid w:type="lines" w:linePitch="425" w:charSpace="0"/>
        </w:sectPr>
      </w:pPr>
      <w:bookmarkStart w:id="109" w:name="_Toc13305"/>
      <w:bookmarkStart w:id="110" w:name="_Toc17857"/>
    </w:p>
    <w:p w14:paraId="16FFFF34">
      <w:pPr>
        <w:pStyle w:val="2"/>
        <w:pageBreakBefore w:val="0"/>
        <w:numPr>
          <w:ilvl w:val="0"/>
          <w:numId w:val="0"/>
        </w:numPr>
        <w:kinsoku/>
        <w:wordWrap/>
        <w:overflowPunct/>
        <w:topLinePunct w:val="0"/>
        <w:bidi w:val="0"/>
        <w:adjustRightInd/>
        <w:snapToGrid/>
        <w:spacing w:line="400" w:lineRule="exact"/>
        <w:ind w:left="0" w:leftChars="0" w:right="0" w:rightChars="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一、投标函</w:t>
      </w:r>
      <w:bookmarkEnd w:id="107"/>
      <w:bookmarkEnd w:id="108"/>
      <w:bookmarkEnd w:id="109"/>
      <w:bookmarkEnd w:id="110"/>
    </w:p>
    <w:p w14:paraId="77E73B8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rPr>
        <w:t>致：</w:t>
      </w:r>
      <w:r>
        <w:rPr>
          <w:rFonts w:hint="eastAsia" w:ascii="宋体" w:hAnsi="宋体" w:eastAsia="宋体" w:cs="宋体"/>
          <w:color w:val="auto"/>
          <w:kern w:val="1"/>
          <w:sz w:val="21"/>
          <w:szCs w:val="21"/>
          <w:highlight w:val="none"/>
          <w:u w:val="single"/>
        </w:rPr>
        <w:t xml:space="preserve">    </w:t>
      </w:r>
      <w:r>
        <w:rPr>
          <w:rFonts w:hint="eastAsia" w:ascii="宋体" w:hAnsi="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 xml:space="preserve">采购人名称）   </w:t>
      </w:r>
    </w:p>
    <w:p w14:paraId="5541DB1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我们收到了</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u w:val="single"/>
          <w:lang w:val="en-US" w:eastAsia="zh-CN"/>
        </w:rPr>
        <w:t xml:space="preserve"> </w:t>
      </w:r>
      <w:r>
        <w:rPr>
          <w:rFonts w:hint="eastAsia" w:ascii="宋体" w:hAnsi="宋体" w:cs="宋体"/>
          <w:color w:val="auto"/>
          <w:kern w:val="1"/>
          <w:sz w:val="21"/>
          <w:szCs w:val="21"/>
          <w:highlight w:val="none"/>
          <w:u w:val="single"/>
          <w:lang w:val="en-US" w:eastAsia="zh-CN"/>
        </w:rPr>
        <w:t xml:space="preserve">        </w:t>
      </w:r>
      <w:r>
        <w:rPr>
          <w:rFonts w:hint="eastAsia" w:ascii="宋体" w:hAnsi="宋体" w:eastAsia="宋体" w:cs="宋体"/>
          <w:color w:val="auto"/>
          <w:kern w:val="1"/>
          <w:sz w:val="21"/>
          <w:szCs w:val="21"/>
          <w:highlight w:val="none"/>
          <w:u w:val="single"/>
          <w:lang w:val="en-US" w:eastAsia="zh-CN"/>
        </w:rPr>
        <w:t xml:space="preserve">   </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u w:val="none"/>
        </w:rPr>
        <w:t>（项目名称）</w:t>
      </w:r>
      <w:r>
        <w:rPr>
          <w:rFonts w:hint="eastAsia" w:ascii="宋体" w:hAnsi="宋体" w:eastAsia="宋体" w:cs="宋体"/>
          <w:color w:val="auto"/>
          <w:kern w:val="1"/>
          <w:sz w:val="21"/>
          <w:szCs w:val="21"/>
          <w:highlight w:val="none"/>
        </w:rPr>
        <w:t>招标文件，经详细研究，我们决定参加该项目的招标采购活动并按要求提交投标文件。我们郑重声明以下诸点并负法律责任：</w:t>
      </w:r>
    </w:p>
    <w:p w14:paraId="2097896E">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jc w:val="left"/>
        <w:textAlignment w:val="auto"/>
        <w:rPr>
          <w:rFonts w:hint="eastAsia" w:ascii="宋体" w:hAnsi="宋体" w:eastAsia="宋体" w:cs="宋体"/>
          <w:color w:val="auto"/>
          <w:kern w:val="1"/>
          <w:sz w:val="21"/>
          <w:szCs w:val="21"/>
          <w:highlight w:val="none"/>
        </w:rPr>
      </w:pPr>
      <w:r>
        <w:rPr>
          <w:rFonts w:hint="eastAsia" w:ascii="宋体" w:hAnsi="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1</w:t>
      </w:r>
      <w:r>
        <w:rPr>
          <w:rFonts w:hint="eastAsia" w:ascii="宋体" w:hAnsi="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愿按照招标文件中规定的条款和要求</w:t>
      </w:r>
      <w:r>
        <w:rPr>
          <w:rFonts w:hint="eastAsia" w:ascii="宋体" w:hAnsi="宋体" w:eastAsia="宋体" w:cs="宋体"/>
          <w:color w:val="auto"/>
          <w:kern w:val="1"/>
          <w:sz w:val="21"/>
          <w:szCs w:val="21"/>
          <w:highlight w:val="none"/>
          <w:u w:val="none"/>
        </w:rPr>
        <w:t>，提供完成招标文件规定的全部工作，</w:t>
      </w:r>
      <w:r>
        <w:rPr>
          <w:rFonts w:hint="eastAsia" w:ascii="宋体" w:hAnsi="宋体" w:eastAsia="宋体" w:cs="宋体"/>
          <w:color w:val="auto"/>
          <w:kern w:val="1"/>
          <w:sz w:val="21"/>
          <w:szCs w:val="21"/>
          <w:highlight w:val="none"/>
          <w:lang w:eastAsia="zh-CN"/>
        </w:rPr>
        <w:t>投标总报价</w:t>
      </w:r>
      <w:r>
        <w:rPr>
          <w:rFonts w:hint="eastAsia" w:ascii="宋体" w:hAnsi="宋体" w:eastAsia="宋体" w:cs="宋体"/>
          <w:color w:val="auto"/>
          <w:kern w:val="1"/>
          <w:sz w:val="21"/>
          <w:szCs w:val="21"/>
          <w:highlight w:val="none"/>
          <w:u w:val="none"/>
        </w:rPr>
        <w:t>人民币（大写）</w:t>
      </w:r>
      <w:r>
        <w:rPr>
          <w:rFonts w:hint="eastAsia" w:ascii="宋体" w:hAnsi="宋体" w:eastAsia="宋体" w:cs="宋体"/>
          <w:color w:val="auto"/>
          <w:kern w:val="1"/>
          <w:sz w:val="21"/>
          <w:szCs w:val="21"/>
          <w:highlight w:val="none"/>
          <w:u w:val="single"/>
        </w:rPr>
        <w:t xml:space="preserve">               （￥   </w:t>
      </w:r>
      <w:r>
        <w:rPr>
          <w:rFonts w:hint="eastAsia" w:ascii="宋体" w:hAnsi="宋体" w:eastAsia="宋体" w:cs="宋体"/>
          <w:color w:val="auto"/>
          <w:kern w:val="1"/>
          <w:sz w:val="21"/>
          <w:szCs w:val="21"/>
          <w:highlight w:val="none"/>
          <w:u w:val="single"/>
          <w:lang w:val="en-US" w:eastAsia="zh-CN"/>
        </w:rPr>
        <w:t xml:space="preserve">  </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），按合同约定实施和完成本项目，并承担其任何质量缺陷等问题所造成的任何损失。</w:t>
      </w:r>
    </w:p>
    <w:p w14:paraId="3DDE7AA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textAlignment w:val="auto"/>
        <w:rPr>
          <w:rFonts w:hint="eastAsia" w:ascii="宋体" w:hAnsi="宋体" w:eastAsia="宋体" w:cs="宋体"/>
          <w:color w:val="auto"/>
          <w:kern w:val="1"/>
          <w:sz w:val="21"/>
          <w:szCs w:val="21"/>
          <w:highlight w:val="none"/>
        </w:rPr>
      </w:pPr>
      <w:r>
        <w:rPr>
          <w:rFonts w:hint="eastAsia" w:ascii="宋体" w:hAnsi="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2</w:t>
      </w:r>
      <w:r>
        <w:rPr>
          <w:rFonts w:hint="eastAsia" w:ascii="宋体" w:hAnsi="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如果我们的投标文件被接受，我们将履行招标文件中规定的各项要求。</w:t>
      </w:r>
    </w:p>
    <w:p w14:paraId="1543594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textAlignment w:val="auto"/>
        <w:rPr>
          <w:rFonts w:hint="eastAsia" w:ascii="宋体" w:hAnsi="宋体" w:eastAsia="宋体" w:cs="宋体"/>
          <w:color w:val="auto"/>
          <w:kern w:val="1"/>
          <w:sz w:val="21"/>
          <w:szCs w:val="21"/>
          <w:highlight w:val="none"/>
        </w:rPr>
      </w:pPr>
      <w:r>
        <w:rPr>
          <w:rFonts w:hint="eastAsia" w:ascii="宋体" w:hAnsi="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3</w:t>
      </w:r>
      <w:r>
        <w:rPr>
          <w:rFonts w:hint="eastAsia" w:ascii="宋体" w:hAnsi="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我们同意本招标文件中有关有效期的规定。如果</w:t>
      </w:r>
      <w:r>
        <w:rPr>
          <w:rFonts w:hint="eastAsia" w:ascii="宋体" w:hAnsi="宋体" w:eastAsia="宋体" w:cs="宋体"/>
          <w:color w:val="auto"/>
          <w:kern w:val="1"/>
          <w:sz w:val="21"/>
          <w:szCs w:val="21"/>
          <w:highlight w:val="none"/>
          <w:lang w:val="en-US" w:eastAsia="zh-CN"/>
        </w:rPr>
        <w:t>中标</w:t>
      </w:r>
      <w:r>
        <w:rPr>
          <w:rFonts w:hint="eastAsia" w:ascii="宋体" w:hAnsi="宋体" w:eastAsia="宋体" w:cs="宋体"/>
          <w:color w:val="auto"/>
          <w:kern w:val="1"/>
          <w:sz w:val="21"/>
          <w:szCs w:val="21"/>
          <w:highlight w:val="none"/>
        </w:rPr>
        <w:t>，有效期延长至合同终止日止。</w:t>
      </w:r>
    </w:p>
    <w:p w14:paraId="74AB79A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textAlignment w:val="auto"/>
        <w:rPr>
          <w:rFonts w:hint="eastAsia" w:ascii="宋体" w:hAnsi="宋体" w:eastAsia="宋体" w:cs="宋体"/>
          <w:color w:val="auto"/>
          <w:kern w:val="1"/>
          <w:sz w:val="21"/>
          <w:szCs w:val="21"/>
          <w:highlight w:val="none"/>
        </w:rPr>
      </w:pPr>
      <w:r>
        <w:rPr>
          <w:rFonts w:hint="eastAsia" w:ascii="宋体" w:hAnsi="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4</w:t>
      </w:r>
      <w:r>
        <w:rPr>
          <w:rFonts w:hint="eastAsia" w:ascii="宋体" w:hAnsi="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我们愿提供招标文件中要求的所有文件资料。</w:t>
      </w:r>
    </w:p>
    <w:p w14:paraId="70A6A19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textAlignment w:val="auto"/>
        <w:rPr>
          <w:rFonts w:hint="eastAsia" w:ascii="宋体" w:hAnsi="宋体" w:eastAsia="宋体" w:cs="宋体"/>
          <w:color w:val="auto"/>
          <w:kern w:val="1"/>
          <w:sz w:val="21"/>
          <w:szCs w:val="21"/>
          <w:highlight w:val="none"/>
        </w:rPr>
      </w:pPr>
      <w:r>
        <w:rPr>
          <w:rFonts w:hint="eastAsia" w:ascii="宋体" w:hAnsi="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5</w:t>
      </w:r>
      <w:r>
        <w:rPr>
          <w:rFonts w:hint="eastAsia" w:ascii="宋体" w:hAnsi="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我们已经详细审核了全部招标文件，如有需要澄清的问题，我们同意按招标文件规定的时间向采购人提出。逾期不提，我公司同意放弃对这方面有不明及误解的权利。</w:t>
      </w:r>
    </w:p>
    <w:p w14:paraId="1259B09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textAlignment w:val="auto"/>
        <w:rPr>
          <w:rFonts w:hint="eastAsia" w:ascii="宋体" w:hAnsi="宋体" w:eastAsia="宋体" w:cs="宋体"/>
          <w:color w:val="auto"/>
          <w:kern w:val="1"/>
          <w:sz w:val="21"/>
          <w:szCs w:val="21"/>
          <w:highlight w:val="none"/>
        </w:rPr>
      </w:pPr>
      <w:r>
        <w:rPr>
          <w:rFonts w:hint="eastAsia" w:ascii="宋体" w:hAnsi="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6</w:t>
      </w:r>
      <w:r>
        <w:rPr>
          <w:rFonts w:hint="eastAsia" w:ascii="宋体" w:hAnsi="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我公司同意提供按照采购人可能要求的与其采购响应有关的一切数据或资料，完全理解采购人不一定接受最低价的投标或收到的任何投标。</w:t>
      </w:r>
    </w:p>
    <w:p w14:paraId="7B3DA6F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textAlignment w:val="auto"/>
        <w:rPr>
          <w:rFonts w:hint="eastAsia" w:ascii="宋体" w:hAnsi="宋体" w:eastAsia="宋体" w:cs="宋体"/>
          <w:color w:val="auto"/>
          <w:kern w:val="1"/>
          <w:sz w:val="21"/>
          <w:szCs w:val="21"/>
          <w:highlight w:val="none"/>
        </w:rPr>
      </w:pPr>
      <w:r>
        <w:rPr>
          <w:rFonts w:hint="eastAsia" w:ascii="宋体" w:hAnsi="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7</w:t>
      </w:r>
      <w:r>
        <w:rPr>
          <w:rFonts w:hint="eastAsia" w:ascii="宋体" w:hAnsi="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我们愿按《中华人民共和国</w:t>
      </w:r>
      <w:r>
        <w:rPr>
          <w:rFonts w:hint="eastAsia" w:ascii="宋体" w:hAnsi="宋体" w:eastAsia="宋体" w:cs="宋体"/>
          <w:color w:val="auto"/>
          <w:kern w:val="1"/>
          <w:sz w:val="21"/>
          <w:szCs w:val="21"/>
          <w:highlight w:val="none"/>
          <w:lang w:eastAsia="zh-CN"/>
        </w:rPr>
        <w:t>民典</w:t>
      </w:r>
      <w:r>
        <w:rPr>
          <w:rFonts w:hint="eastAsia" w:ascii="宋体" w:hAnsi="宋体" w:eastAsia="宋体" w:cs="宋体"/>
          <w:color w:val="auto"/>
          <w:kern w:val="1"/>
          <w:sz w:val="21"/>
          <w:szCs w:val="21"/>
          <w:highlight w:val="none"/>
        </w:rPr>
        <w:t>法》履行自己的全部责任。</w:t>
      </w:r>
    </w:p>
    <w:p w14:paraId="3E72CD89">
      <w:pPr>
        <w:pageBreakBefore w:val="0"/>
        <w:kinsoku/>
        <w:wordWrap/>
        <w:overflowPunct/>
        <w:topLinePunct w:val="0"/>
        <w:bidi w:val="0"/>
        <w:adjustRightInd/>
        <w:snapToGrid/>
        <w:spacing w:line="460" w:lineRule="exact"/>
        <w:ind w:right="0" w:rightChars="0"/>
        <w:rPr>
          <w:rFonts w:hint="eastAsia" w:ascii="宋体" w:hAnsi="宋体" w:eastAsia="宋体" w:cs="宋体"/>
          <w:color w:val="auto"/>
          <w:kern w:val="1"/>
          <w:sz w:val="21"/>
          <w:szCs w:val="21"/>
          <w:highlight w:val="none"/>
        </w:rPr>
      </w:pPr>
    </w:p>
    <w:p w14:paraId="2BCB96B9">
      <w:pPr>
        <w:pageBreakBefore w:val="0"/>
        <w:kinsoku/>
        <w:wordWrap/>
        <w:overflowPunct/>
        <w:topLinePunct w:val="0"/>
        <w:bidi w:val="0"/>
        <w:adjustRightInd/>
        <w:snapToGrid/>
        <w:spacing w:line="460" w:lineRule="exact"/>
        <w:ind w:right="0" w:rightChars="0"/>
        <w:rPr>
          <w:rFonts w:hint="eastAsia" w:ascii="宋体" w:hAnsi="宋体" w:eastAsia="宋体" w:cs="宋体"/>
          <w:color w:val="auto"/>
          <w:kern w:val="1"/>
          <w:sz w:val="21"/>
          <w:szCs w:val="21"/>
          <w:highlight w:val="none"/>
        </w:rPr>
      </w:pPr>
    </w:p>
    <w:p w14:paraId="5B94CD03">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default" w:ascii="宋体" w:hAnsi="宋体" w:eastAsia="宋体" w:cs="宋体"/>
          <w:color w:val="auto"/>
          <w:kern w:val="1"/>
          <w:sz w:val="21"/>
          <w:szCs w:val="21"/>
          <w:highlight w:val="none"/>
          <w:u w:val="single"/>
          <w:lang w:val="en-US" w:eastAsia="zh-CN"/>
        </w:rPr>
      </w:pPr>
      <w:r>
        <w:rPr>
          <w:rFonts w:hint="eastAsia" w:ascii="宋体" w:hAnsi="宋体" w:eastAsia="宋体" w:cs="宋体"/>
          <w:color w:val="auto"/>
          <w:kern w:val="1"/>
          <w:sz w:val="21"/>
          <w:szCs w:val="21"/>
          <w:highlight w:val="none"/>
        </w:rPr>
        <w:t>与</w:t>
      </w:r>
      <w:r>
        <w:rPr>
          <w:rFonts w:hint="eastAsia" w:ascii="宋体" w:hAnsi="宋体" w:cs="宋体"/>
          <w:color w:val="auto"/>
          <w:kern w:val="1"/>
          <w:sz w:val="21"/>
          <w:szCs w:val="21"/>
          <w:highlight w:val="none"/>
          <w:lang w:eastAsia="zh-CN"/>
        </w:rPr>
        <w:t>本次</w:t>
      </w:r>
      <w:r>
        <w:rPr>
          <w:rFonts w:hint="eastAsia" w:ascii="宋体" w:hAnsi="宋体" w:eastAsia="宋体" w:cs="宋体"/>
          <w:color w:val="auto"/>
          <w:kern w:val="1"/>
          <w:sz w:val="21"/>
          <w:szCs w:val="21"/>
          <w:highlight w:val="none"/>
        </w:rPr>
        <w:t>投标有关的正式通讯地址：</w:t>
      </w:r>
      <w:r>
        <w:rPr>
          <w:rFonts w:hint="eastAsia" w:ascii="宋体" w:hAnsi="宋体" w:cs="宋体"/>
          <w:color w:val="auto"/>
          <w:kern w:val="1"/>
          <w:sz w:val="21"/>
          <w:szCs w:val="21"/>
          <w:highlight w:val="none"/>
          <w:u w:val="single"/>
          <w:lang w:val="en-US" w:eastAsia="zh-CN"/>
        </w:rPr>
        <w:t xml:space="preserve">                                </w:t>
      </w:r>
    </w:p>
    <w:p w14:paraId="512B79B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rPr>
          <w:rFonts w:hint="default"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rPr>
        <w:t>地  址：</w:t>
      </w:r>
      <w:r>
        <w:rPr>
          <w:rFonts w:hint="eastAsia" w:ascii="宋体" w:hAnsi="宋体" w:cs="宋体"/>
          <w:color w:val="auto"/>
          <w:kern w:val="1"/>
          <w:sz w:val="21"/>
          <w:szCs w:val="21"/>
          <w:highlight w:val="none"/>
          <w:u w:val="single"/>
          <w:lang w:val="en-US" w:eastAsia="zh-CN"/>
        </w:rPr>
        <w:t xml:space="preserve">              </w:t>
      </w:r>
      <w:r>
        <w:rPr>
          <w:rFonts w:hint="eastAsia" w:ascii="宋体" w:hAnsi="宋体" w:eastAsia="宋体" w:cs="宋体"/>
          <w:color w:val="auto"/>
          <w:kern w:val="1"/>
          <w:sz w:val="21"/>
          <w:szCs w:val="21"/>
          <w:highlight w:val="none"/>
        </w:rPr>
        <w:t xml:space="preserve">         邮  编：</w:t>
      </w:r>
      <w:r>
        <w:rPr>
          <w:rFonts w:hint="eastAsia" w:ascii="宋体" w:hAnsi="宋体" w:cs="宋体"/>
          <w:color w:val="auto"/>
          <w:kern w:val="1"/>
          <w:sz w:val="21"/>
          <w:szCs w:val="21"/>
          <w:highlight w:val="none"/>
          <w:u w:val="single"/>
          <w:lang w:val="en-US" w:eastAsia="zh-CN"/>
        </w:rPr>
        <w:t xml:space="preserve">                     </w:t>
      </w:r>
    </w:p>
    <w:p w14:paraId="4D8C531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rPr>
          <w:rFonts w:hint="default"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rPr>
        <w:t>电  话：</w:t>
      </w:r>
      <w:r>
        <w:rPr>
          <w:rFonts w:hint="eastAsia" w:ascii="宋体" w:hAnsi="宋体" w:cs="宋体"/>
          <w:color w:val="auto"/>
          <w:kern w:val="1"/>
          <w:sz w:val="21"/>
          <w:szCs w:val="21"/>
          <w:highlight w:val="none"/>
          <w:u w:val="single"/>
          <w:lang w:val="en-US" w:eastAsia="zh-CN"/>
        </w:rPr>
        <w:t xml:space="preserve">              </w:t>
      </w:r>
      <w:r>
        <w:rPr>
          <w:rFonts w:hint="eastAsia" w:ascii="宋体" w:hAnsi="宋体" w:eastAsia="宋体" w:cs="宋体"/>
          <w:color w:val="auto"/>
          <w:kern w:val="1"/>
          <w:sz w:val="21"/>
          <w:szCs w:val="21"/>
          <w:highlight w:val="none"/>
        </w:rPr>
        <w:t xml:space="preserve">         传  真：</w:t>
      </w:r>
      <w:r>
        <w:rPr>
          <w:rFonts w:hint="eastAsia" w:ascii="宋体" w:hAnsi="宋体" w:cs="宋体"/>
          <w:color w:val="auto"/>
          <w:kern w:val="1"/>
          <w:sz w:val="21"/>
          <w:szCs w:val="21"/>
          <w:highlight w:val="none"/>
          <w:u w:val="single"/>
          <w:lang w:val="en-US" w:eastAsia="zh-CN"/>
        </w:rPr>
        <w:t xml:space="preserve">                     </w:t>
      </w:r>
    </w:p>
    <w:p w14:paraId="33CF3E94">
      <w:pPr>
        <w:pageBreakBefore w:val="0"/>
        <w:kinsoku/>
        <w:wordWrap/>
        <w:overflowPunct/>
        <w:topLinePunct w:val="0"/>
        <w:bidi w:val="0"/>
        <w:adjustRightInd/>
        <w:snapToGrid/>
        <w:spacing w:line="400" w:lineRule="exact"/>
        <w:ind w:right="0" w:rightChars="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单位电子签章</w:t>
      </w:r>
      <w:r>
        <w:rPr>
          <w:rFonts w:hint="eastAsia" w:ascii="宋体" w:hAnsi="宋体" w:eastAsia="宋体" w:cs="宋体"/>
          <w:color w:val="auto"/>
          <w:sz w:val="21"/>
          <w:szCs w:val="21"/>
          <w:highlight w:val="none"/>
          <w:lang w:eastAsia="zh-CN"/>
        </w:rPr>
        <w:t>）</w:t>
      </w:r>
    </w:p>
    <w:p w14:paraId="5815DA92">
      <w:pPr>
        <w:pageBreakBefore w:val="0"/>
        <w:kinsoku/>
        <w:wordWrap/>
        <w:overflowPunct/>
        <w:topLinePunct w:val="0"/>
        <w:bidi w:val="0"/>
        <w:adjustRightInd/>
        <w:snapToGrid/>
        <w:spacing w:line="400" w:lineRule="exact"/>
        <w:ind w:right="0" w:righ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法定代表人或其委托代理人：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电子签名或签章</w:t>
      </w:r>
      <w:r>
        <w:rPr>
          <w:rFonts w:hint="eastAsia" w:ascii="宋体" w:hAnsi="宋体" w:eastAsia="宋体" w:cs="宋体"/>
          <w:color w:val="auto"/>
          <w:sz w:val="21"/>
          <w:szCs w:val="21"/>
          <w:highlight w:val="none"/>
          <w:lang w:eastAsia="zh-CN"/>
        </w:rPr>
        <w:t>）</w:t>
      </w:r>
    </w:p>
    <w:p w14:paraId="5A3A796C">
      <w:pPr>
        <w:pageBreakBefore w:val="0"/>
        <w:kinsoku/>
        <w:wordWrap/>
        <w:overflowPunct/>
        <w:topLinePunct w:val="0"/>
        <w:bidi w:val="0"/>
        <w:adjustRightInd/>
        <w:snapToGrid/>
        <w:spacing w:line="400" w:lineRule="exact"/>
        <w:ind w:right="0" w:right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9EF4C18">
      <w:pPr>
        <w:pageBreakBefore w:val="0"/>
        <w:kinsoku/>
        <w:wordWrap/>
        <w:overflowPunct/>
        <w:topLinePunct w:val="0"/>
        <w:bidi w:val="0"/>
        <w:adjustRightInd/>
        <w:snapToGrid/>
        <w:spacing w:line="240" w:lineRule="auto"/>
        <w:ind w:left="0" w:leftChars="0" w:right="0" w:rightChars="0"/>
        <w:jc w:val="both"/>
        <w:rPr>
          <w:rFonts w:hint="eastAsia" w:ascii="宋体" w:hAnsi="宋体" w:eastAsia="宋体" w:cs="宋体"/>
          <w:color w:val="auto"/>
          <w:kern w:val="1"/>
          <w:sz w:val="21"/>
          <w:szCs w:val="21"/>
          <w:highlight w:val="none"/>
        </w:rPr>
      </w:pPr>
    </w:p>
    <w:p w14:paraId="186BCBB2">
      <w:pPr>
        <w:pageBreakBefore w:val="0"/>
        <w:kinsoku/>
        <w:wordWrap/>
        <w:overflowPunct/>
        <w:topLinePunct w:val="0"/>
        <w:bidi w:val="0"/>
        <w:adjustRightInd/>
        <w:snapToGrid/>
        <w:spacing w:line="400" w:lineRule="exact"/>
        <w:ind w:left="0" w:leftChars="0" w:right="0" w:rightChars="0" w:firstLine="3990" w:firstLineChars="1900"/>
        <w:rPr>
          <w:rFonts w:hint="eastAsia" w:ascii="宋体" w:hAnsi="宋体" w:eastAsia="宋体" w:cs="宋体"/>
          <w:color w:val="auto"/>
          <w:sz w:val="21"/>
          <w:szCs w:val="21"/>
          <w:highlight w:val="none"/>
        </w:rPr>
      </w:pPr>
    </w:p>
    <w:p w14:paraId="790209AD">
      <w:pPr>
        <w:pStyle w:val="24"/>
        <w:pageBreakBefore w:val="0"/>
        <w:kinsoku/>
        <w:wordWrap/>
        <w:overflowPunct/>
        <w:topLinePunct w:val="0"/>
        <w:bidi w:val="0"/>
        <w:adjustRightInd/>
        <w:snapToGrid/>
        <w:spacing w:after="0" w:afterLines="0" w:line="400" w:lineRule="exact"/>
        <w:ind w:left="0" w:leftChars="0" w:right="0" w:rightChars="0" w:firstLine="210"/>
        <w:rPr>
          <w:rFonts w:hint="eastAsia" w:ascii="宋体" w:hAnsi="宋体" w:eastAsia="宋体" w:cs="宋体"/>
          <w:color w:val="auto"/>
          <w:sz w:val="21"/>
          <w:szCs w:val="21"/>
          <w:highlight w:val="none"/>
        </w:rPr>
      </w:pPr>
    </w:p>
    <w:p w14:paraId="44632975">
      <w:pPr>
        <w:rPr>
          <w:rFonts w:hint="eastAsia"/>
          <w:color w:val="auto"/>
          <w:highlight w:val="none"/>
        </w:rPr>
      </w:pPr>
    </w:p>
    <w:p w14:paraId="2D1FE563">
      <w:pPr>
        <w:pStyle w:val="11"/>
        <w:rPr>
          <w:rFonts w:hint="eastAsia"/>
          <w:color w:val="auto"/>
          <w:highlight w:val="none"/>
        </w:rPr>
      </w:pPr>
    </w:p>
    <w:p w14:paraId="26504654">
      <w:pPr>
        <w:pStyle w:val="12"/>
        <w:rPr>
          <w:rFonts w:hint="eastAsia"/>
          <w:color w:val="auto"/>
          <w:highlight w:val="none"/>
        </w:rPr>
      </w:pPr>
    </w:p>
    <w:p w14:paraId="437AD84C">
      <w:pPr>
        <w:pageBreakBefore w:val="0"/>
        <w:widowControl/>
        <w:kinsoku/>
        <w:wordWrap/>
        <w:overflowPunct/>
        <w:topLinePunct w:val="0"/>
        <w:bidi w:val="0"/>
        <w:adjustRightInd/>
        <w:snapToGrid/>
        <w:spacing w:line="400" w:lineRule="exact"/>
        <w:ind w:left="0" w:leftChars="0" w:right="0" w:rightChars="0"/>
        <w:jc w:val="center"/>
        <w:rPr>
          <w:rFonts w:hint="eastAsia" w:ascii="宋体" w:hAnsi="宋体" w:eastAsia="宋体" w:cs="宋体"/>
          <w:b/>
          <w:color w:val="auto"/>
          <w:sz w:val="28"/>
          <w:szCs w:val="28"/>
          <w:highlight w:val="none"/>
        </w:rPr>
      </w:pPr>
    </w:p>
    <w:p w14:paraId="48C9D74C">
      <w:pPr>
        <w:pStyle w:val="2"/>
        <w:pageBreakBefore w:val="0"/>
        <w:numPr>
          <w:ilvl w:val="0"/>
          <w:numId w:val="0"/>
        </w:numPr>
        <w:kinsoku/>
        <w:wordWrap/>
        <w:overflowPunct/>
        <w:topLinePunct w:val="0"/>
        <w:bidi w:val="0"/>
        <w:adjustRightInd/>
        <w:snapToGrid/>
        <w:spacing w:line="400" w:lineRule="exact"/>
        <w:ind w:left="0" w:leftChars="0" w:right="0" w:rightChars="0"/>
        <w:jc w:val="center"/>
        <w:rPr>
          <w:rFonts w:hint="eastAsia" w:ascii="宋体" w:hAnsi="宋体" w:eastAsia="宋体" w:cs="宋体"/>
          <w:b/>
          <w:color w:val="auto"/>
          <w:sz w:val="28"/>
          <w:szCs w:val="28"/>
          <w:highlight w:val="none"/>
        </w:rPr>
      </w:pPr>
      <w:bookmarkStart w:id="111" w:name="_Toc14281"/>
      <w:bookmarkStart w:id="112" w:name="_Toc13354"/>
      <w:r>
        <w:rPr>
          <w:rFonts w:hint="eastAsia" w:ascii="宋体" w:hAnsi="宋体" w:eastAsia="宋体" w:cs="宋体"/>
          <w:b/>
          <w:color w:val="auto"/>
          <w:sz w:val="28"/>
          <w:szCs w:val="28"/>
          <w:highlight w:val="none"/>
        </w:rPr>
        <w:t>二</w:t>
      </w:r>
      <w:r>
        <w:rPr>
          <w:rFonts w:hint="eastAsia" w:ascii="宋体" w:hAnsi="宋体" w:cs="宋体"/>
          <w:b/>
          <w:color w:val="auto"/>
          <w:sz w:val="28"/>
          <w:szCs w:val="28"/>
          <w:highlight w:val="none"/>
          <w:lang w:eastAsia="zh-CN"/>
        </w:rPr>
        <w:t>、开标一览表</w:t>
      </w:r>
      <w:bookmarkEnd w:id="111"/>
      <w:bookmarkEnd w:id="112"/>
    </w:p>
    <w:p w14:paraId="06735E24">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bl>
      <w:tblPr>
        <w:tblStyle w:val="26"/>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2831"/>
        <w:gridCol w:w="2378"/>
        <w:gridCol w:w="1451"/>
      </w:tblGrid>
      <w:tr w14:paraId="3547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332" w:type="dxa"/>
            <w:noWrap w:val="0"/>
            <w:vAlign w:val="center"/>
          </w:tcPr>
          <w:p w14:paraId="428A2963">
            <w:pPr>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项目名称</w:t>
            </w:r>
          </w:p>
        </w:tc>
        <w:tc>
          <w:tcPr>
            <w:tcW w:w="6660" w:type="dxa"/>
            <w:gridSpan w:val="3"/>
            <w:noWrap w:val="0"/>
            <w:vAlign w:val="center"/>
          </w:tcPr>
          <w:p w14:paraId="1CF5441E">
            <w:pPr>
              <w:spacing w:line="360" w:lineRule="auto"/>
              <w:jc w:val="center"/>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（项目名称）</w:t>
            </w:r>
          </w:p>
        </w:tc>
      </w:tr>
      <w:tr w14:paraId="13F4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332" w:type="dxa"/>
            <w:noWrap w:val="0"/>
            <w:vAlign w:val="center"/>
          </w:tcPr>
          <w:p w14:paraId="70FF4302">
            <w:pPr>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供应商名称</w:t>
            </w:r>
          </w:p>
        </w:tc>
        <w:tc>
          <w:tcPr>
            <w:tcW w:w="6660" w:type="dxa"/>
            <w:gridSpan w:val="3"/>
            <w:noWrap w:val="0"/>
            <w:vAlign w:val="center"/>
          </w:tcPr>
          <w:p w14:paraId="10986750">
            <w:pPr>
              <w:spacing w:line="360" w:lineRule="auto"/>
              <w:jc w:val="center"/>
              <w:rPr>
                <w:rFonts w:hint="eastAsia" w:ascii="宋体" w:hAnsi="宋体" w:eastAsia="宋体" w:cs="宋体"/>
                <w:sz w:val="21"/>
                <w:szCs w:val="21"/>
              </w:rPr>
            </w:pPr>
          </w:p>
        </w:tc>
      </w:tr>
      <w:tr w14:paraId="6E6D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332" w:type="dxa"/>
            <w:noWrap w:val="0"/>
            <w:vAlign w:val="center"/>
          </w:tcPr>
          <w:p w14:paraId="5DB412F0">
            <w:pPr>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投标内容</w:t>
            </w:r>
          </w:p>
        </w:tc>
        <w:tc>
          <w:tcPr>
            <w:tcW w:w="6660" w:type="dxa"/>
            <w:gridSpan w:val="3"/>
            <w:noWrap w:val="0"/>
            <w:vAlign w:val="center"/>
          </w:tcPr>
          <w:p w14:paraId="374AC217">
            <w:pPr>
              <w:spacing w:line="360" w:lineRule="auto"/>
              <w:rPr>
                <w:rFonts w:hint="eastAsia" w:ascii="宋体" w:hAnsi="宋体" w:eastAsia="宋体" w:cs="宋体"/>
                <w:sz w:val="21"/>
                <w:szCs w:val="21"/>
              </w:rPr>
            </w:pPr>
          </w:p>
        </w:tc>
      </w:tr>
      <w:tr w14:paraId="61D7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trPr>
        <w:tc>
          <w:tcPr>
            <w:tcW w:w="2332" w:type="dxa"/>
            <w:noWrap w:val="0"/>
            <w:vAlign w:val="center"/>
          </w:tcPr>
          <w:p w14:paraId="718278DC">
            <w:pPr>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投标报价（元）</w:t>
            </w:r>
          </w:p>
        </w:tc>
        <w:tc>
          <w:tcPr>
            <w:tcW w:w="6660" w:type="dxa"/>
            <w:gridSpan w:val="3"/>
            <w:noWrap w:val="0"/>
            <w:vAlign w:val="center"/>
          </w:tcPr>
          <w:p w14:paraId="0371B059">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大写：                          </w:t>
            </w:r>
          </w:p>
          <w:p w14:paraId="2DE44ED6">
            <w:pPr>
              <w:spacing w:line="360" w:lineRule="auto"/>
              <w:rPr>
                <w:rFonts w:hint="eastAsia" w:ascii="宋体" w:hAnsi="宋体" w:eastAsia="宋体" w:cs="宋体"/>
                <w:sz w:val="21"/>
                <w:szCs w:val="21"/>
              </w:rPr>
            </w:pPr>
            <w:r>
              <w:rPr>
                <w:rFonts w:hint="eastAsia" w:ascii="宋体" w:hAnsi="宋体" w:eastAsia="宋体" w:cs="宋体"/>
                <w:sz w:val="21"/>
                <w:szCs w:val="21"/>
              </w:rPr>
              <w:t>小写：</w:t>
            </w:r>
          </w:p>
        </w:tc>
      </w:tr>
      <w:tr w14:paraId="341F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332" w:type="dxa"/>
            <w:noWrap w:val="0"/>
            <w:vAlign w:val="center"/>
          </w:tcPr>
          <w:p w14:paraId="56636929">
            <w:pPr>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服务期限</w:t>
            </w:r>
          </w:p>
        </w:tc>
        <w:tc>
          <w:tcPr>
            <w:tcW w:w="6660" w:type="dxa"/>
            <w:gridSpan w:val="3"/>
            <w:noWrap w:val="0"/>
            <w:vAlign w:val="center"/>
          </w:tcPr>
          <w:p w14:paraId="087D7A40">
            <w:pPr>
              <w:spacing w:line="360" w:lineRule="auto"/>
              <w:rPr>
                <w:rFonts w:hint="eastAsia" w:ascii="宋体" w:hAnsi="宋体" w:eastAsia="宋体" w:cs="宋体"/>
                <w:sz w:val="21"/>
                <w:szCs w:val="21"/>
              </w:rPr>
            </w:pPr>
          </w:p>
        </w:tc>
      </w:tr>
      <w:tr w14:paraId="73F0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exact"/>
        </w:trPr>
        <w:tc>
          <w:tcPr>
            <w:tcW w:w="2332" w:type="dxa"/>
            <w:noWrap w:val="0"/>
            <w:vAlign w:val="center"/>
          </w:tcPr>
          <w:p w14:paraId="7F7BD4D9">
            <w:pPr>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质量要求</w:t>
            </w:r>
          </w:p>
        </w:tc>
        <w:tc>
          <w:tcPr>
            <w:tcW w:w="6660" w:type="dxa"/>
            <w:gridSpan w:val="3"/>
            <w:noWrap w:val="0"/>
            <w:vAlign w:val="center"/>
          </w:tcPr>
          <w:p w14:paraId="54F49537">
            <w:pPr>
              <w:spacing w:line="360" w:lineRule="auto"/>
              <w:rPr>
                <w:rFonts w:hint="eastAsia" w:ascii="宋体" w:hAnsi="宋体" w:eastAsia="宋体" w:cs="宋体"/>
                <w:sz w:val="21"/>
                <w:szCs w:val="21"/>
              </w:rPr>
            </w:pPr>
          </w:p>
        </w:tc>
      </w:tr>
      <w:tr w14:paraId="13BB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332" w:type="dxa"/>
            <w:noWrap w:val="0"/>
            <w:vAlign w:val="center"/>
          </w:tcPr>
          <w:p w14:paraId="2F01AA5A">
            <w:pPr>
              <w:spacing w:line="360" w:lineRule="auto"/>
              <w:ind w:left="0" w:leftChars="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项目负责人</w:t>
            </w:r>
          </w:p>
        </w:tc>
        <w:tc>
          <w:tcPr>
            <w:tcW w:w="2831" w:type="dxa"/>
            <w:noWrap w:val="0"/>
            <w:vAlign w:val="center"/>
          </w:tcPr>
          <w:p w14:paraId="6FB4A3E2">
            <w:pPr>
              <w:pStyle w:val="64"/>
              <w:widowControl w:val="0"/>
              <w:autoSpaceDE w:val="0"/>
              <w:autoSpaceDN w:val="0"/>
              <w:spacing w:before="0" w:after="0" w:line="360" w:lineRule="auto"/>
              <w:jc w:val="center"/>
              <w:rPr>
                <w:rFonts w:hint="eastAsia" w:ascii="宋体" w:hAnsi="宋体" w:eastAsia="宋体" w:cs="宋体"/>
                <w:color w:val="auto"/>
                <w:spacing w:val="-1"/>
                <w:sz w:val="21"/>
                <w:szCs w:val="21"/>
                <w:lang w:eastAsia="zh-CN"/>
              </w:rPr>
            </w:pPr>
          </w:p>
        </w:tc>
        <w:tc>
          <w:tcPr>
            <w:tcW w:w="2378" w:type="dxa"/>
            <w:noWrap w:val="0"/>
            <w:vAlign w:val="center"/>
          </w:tcPr>
          <w:p w14:paraId="7B3DA4ED">
            <w:pPr>
              <w:pStyle w:val="64"/>
              <w:widowControl w:val="0"/>
              <w:autoSpaceDE w:val="0"/>
              <w:autoSpaceDN w:val="0"/>
              <w:spacing w:before="0" w:after="0" w:line="360" w:lineRule="auto"/>
              <w:jc w:val="center"/>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联系方式</w:t>
            </w:r>
          </w:p>
        </w:tc>
        <w:tc>
          <w:tcPr>
            <w:tcW w:w="1451" w:type="dxa"/>
            <w:noWrap w:val="0"/>
            <w:vAlign w:val="center"/>
          </w:tcPr>
          <w:p w14:paraId="53F8B220">
            <w:pPr>
              <w:pStyle w:val="64"/>
              <w:widowControl w:val="0"/>
              <w:autoSpaceDE w:val="0"/>
              <w:autoSpaceDN w:val="0"/>
              <w:spacing w:before="0" w:after="0" w:line="360" w:lineRule="auto"/>
              <w:jc w:val="center"/>
              <w:rPr>
                <w:rFonts w:hint="eastAsia" w:ascii="宋体" w:hAnsi="宋体" w:eastAsia="宋体" w:cs="宋体"/>
                <w:color w:val="auto"/>
                <w:spacing w:val="-1"/>
                <w:sz w:val="21"/>
                <w:szCs w:val="21"/>
                <w:lang w:eastAsia="zh-CN"/>
              </w:rPr>
            </w:pPr>
          </w:p>
        </w:tc>
      </w:tr>
      <w:tr w14:paraId="631D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332" w:type="dxa"/>
            <w:noWrap w:val="0"/>
            <w:vAlign w:val="center"/>
          </w:tcPr>
          <w:p w14:paraId="3CC08E69">
            <w:pPr>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投标有效期</w:t>
            </w:r>
          </w:p>
        </w:tc>
        <w:tc>
          <w:tcPr>
            <w:tcW w:w="6660" w:type="dxa"/>
            <w:gridSpan w:val="3"/>
            <w:noWrap w:val="0"/>
            <w:vAlign w:val="center"/>
          </w:tcPr>
          <w:p w14:paraId="55EAC76E">
            <w:pPr>
              <w:spacing w:line="360" w:lineRule="auto"/>
              <w:rPr>
                <w:rFonts w:hint="eastAsia" w:ascii="宋体" w:hAnsi="宋体" w:eastAsia="宋体" w:cs="宋体"/>
                <w:sz w:val="21"/>
                <w:szCs w:val="21"/>
              </w:rPr>
            </w:pPr>
          </w:p>
        </w:tc>
      </w:tr>
      <w:tr w14:paraId="5FE9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332" w:type="dxa"/>
            <w:noWrap w:val="0"/>
            <w:vAlign w:val="center"/>
          </w:tcPr>
          <w:p w14:paraId="39667184">
            <w:pPr>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备注</w:t>
            </w:r>
          </w:p>
        </w:tc>
        <w:tc>
          <w:tcPr>
            <w:tcW w:w="6660" w:type="dxa"/>
            <w:gridSpan w:val="3"/>
            <w:noWrap w:val="0"/>
            <w:vAlign w:val="center"/>
          </w:tcPr>
          <w:p w14:paraId="5CAC78E9">
            <w:pPr>
              <w:spacing w:line="360" w:lineRule="auto"/>
              <w:rPr>
                <w:rFonts w:hint="eastAsia" w:ascii="宋体" w:hAnsi="宋体" w:eastAsia="宋体" w:cs="宋体"/>
                <w:sz w:val="21"/>
                <w:szCs w:val="21"/>
              </w:rPr>
            </w:pPr>
          </w:p>
        </w:tc>
      </w:tr>
    </w:tbl>
    <w:p w14:paraId="1738276E">
      <w:pPr>
        <w:pageBreakBefore w:val="0"/>
        <w:kinsoku/>
        <w:wordWrap/>
        <w:overflowPunct/>
        <w:topLinePunct w:val="0"/>
        <w:bidi w:val="0"/>
        <w:adjustRightInd/>
        <w:snapToGrid/>
        <w:spacing w:line="400" w:lineRule="exact"/>
        <w:ind w:left="0" w:leftChars="0" w:right="0" w:rightChars="0" w:firstLine="422" w:firstLineChars="200"/>
        <w:rPr>
          <w:rFonts w:hint="eastAsia" w:ascii="宋体" w:hAnsi="宋体" w:eastAsia="宋体" w:cs="宋体"/>
          <w:b/>
          <w:color w:val="auto"/>
          <w:sz w:val="21"/>
          <w:szCs w:val="21"/>
          <w:highlight w:val="none"/>
        </w:rPr>
      </w:pPr>
    </w:p>
    <w:p w14:paraId="18B313C8">
      <w:pPr>
        <w:pageBreakBefore w:val="0"/>
        <w:kinsoku/>
        <w:wordWrap/>
        <w:overflowPunct/>
        <w:topLinePunct w:val="0"/>
        <w:bidi w:val="0"/>
        <w:adjustRightInd/>
        <w:snapToGrid/>
        <w:spacing w:line="400" w:lineRule="exact"/>
        <w:ind w:right="0" w:rightChars="0" w:firstLine="3150" w:firstLineChars="1500"/>
        <w:jc w:val="righ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单位电子签章</w:t>
      </w:r>
      <w:r>
        <w:rPr>
          <w:rFonts w:hint="eastAsia" w:ascii="宋体" w:hAnsi="宋体" w:eastAsia="宋体" w:cs="宋体"/>
          <w:color w:val="auto"/>
          <w:sz w:val="21"/>
          <w:szCs w:val="21"/>
          <w:highlight w:val="none"/>
          <w:lang w:eastAsia="zh-CN"/>
        </w:rPr>
        <w:t>）</w:t>
      </w:r>
    </w:p>
    <w:p w14:paraId="5D8FD4B6">
      <w:pPr>
        <w:pageBreakBefore w:val="0"/>
        <w:kinsoku/>
        <w:wordWrap/>
        <w:overflowPunct/>
        <w:topLinePunct w:val="0"/>
        <w:bidi w:val="0"/>
        <w:adjustRightInd/>
        <w:snapToGrid/>
        <w:spacing w:line="400" w:lineRule="exact"/>
        <w:ind w:right="0" w:rightChars="0" w:firstLine="2100" w:firstLineChars="100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法定代表人或其委托代理人：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电子签名或签章</w:t>
      </w:r>
      <w:r>
        <w:rPr>
          <w:rFonts w:hint="eastAsia" w:ascii="宋体" w:hAnsi="宋体" w:eastAsia="宋体" w:cs="宋体"/>
          <w:color w:val="auto"/>
          <w:sz w:val="21"/>
          <w:szCs w:val="21"/>
          <w:highlight w:val="none"/>
          <w:lang w:eastAsia="zh-CN"/>
        </w:rPr>
        <w:t>）</w:t>
      </w:r>
    </w:p>
    <w:p w14:paraId="31EA03CF">
      <w:pPr>
        <w:pageBreakBefore w:val="0"/>
        <w:kinsoku/>
        <w:wordWrap/>
        <w:overflowPunct/>
        <w:topLinePunct w:val="0"/>
        <w:bidi w:val="0"/>
        <w:adjustRightInd/>
        <w:snapToGrid/>
        <w:spacing w:line="400" w:lineRule="exact"/>
        <w:ind w:left="0" w:leftChars="0" w:right="0" w:rightChars="0" w:firstLine="4935" w:firstLineChars="235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A533BAA">
      <w:pPr>
        <w:rPr>
          <w:rFonts w:hint="eastAsia"/>
          <w:lang w:eastAsia="zh-CN"/>
        </w:rPr>
      </w:pPr>
      <w:r>
        <w:rPr>
          <w:rFonts w:hint="eastAsia"/>
          <w:lang w:eastAsia="zh-CN"/>
        </w:rPr>
        <w:br w:type="page"/>
      </w:r>
    </w:p>
    <w:p w14:paraId="0DF46703">
      <w:pPr>
        <w:pStyle w:val="2"/>
        <w:bidi w:val="0"/>
        <w:jc w:val="center"/>
        <w:rPr>
          <w:rFonts w:hint="eastAsia"/>
          <w:sz w:val="28"/>
          <w:szCs w:val="28"/>
        </w:rPr>
      </w:pPr>
      <w:bookmarkStart w:id="113" w:name="_Toc1427"/>
      <w:bookmarkStart w:id="114" w:name="_Toc19409"/>
      <w:r>
        <w:rPr>
          <w:rFonts w:hint="eastAsia"/>
          <w:sz w:val="28"/>
          <w:szCs w:val="28"/>
          <w:lang w:eastAsia="zh-CN"/>
        </w:rPr>
        <w:t>三</w:t>
      </w:r>
      <w:r>
        <w:rPr>
          <w:rFonts w:hint="eastAsia"/>
          <w:sz w:val="28"/>
          <w:szCs w:val="28"/>
        </w:rPr>
        <w:t>、法定代表人身份证明</w:t>
      </w:r>
      <w:bookmarkEnd w:id="113"/>
      <w:bookmarkEnd w:id="114"/>
    </w:p>
    <w:p w14:paraId="2F7B7B6A">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p>
    <w:p w14:paraId="4F14D811">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70AD071D">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名：</w:t>
      </w:r>
      <w:r>
        <w:rPr>
          <w:rFonts w:hint="eastAsia" w:ascii="宋体" w:hAnsi="宋体" w:cs="宋体"/>
          <w:color w:val="auto"/>
          <w:sz w:val="21"/>
          <w:szCs w:val="21"/>
          <w:highlight w:val="none"/>
          <w:u w:val="single"/>
          <w:lang w:val="en-US" w:eastAsia="zh-CN"/>
        </w:rPr>
        <w:t xml:space="preserve">                                        </w:t>
      </w:r>
    </w:p>
    <w:p w14:paraId="7C03CF96">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别：</w:t>
      </w:r>
      <w:r>
        <w:rPr>
          <w:rFonts w:hint="eastAsia" w:ascii="宋体" w:hAnsi="宋体" w:cs="宋体"/>
          <w:color w:val="auto"/>
          <w:sz w:val="21"/>
          <w:szCs w:val="21"/>
          <w:highlight w:val="none"/>
          <w:u w:val="single"/>
          <w:lang w:val="en-US" w:eastAsia="zh-CN"/>
        </w:rPr>
        <w:t xml:space="preserve">                                        </w:t>
      </w:r>
    </w:p>
    <w:p w14:paraId="69BA11F7">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职</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u w:val="single"/>
        </w:rPr>
        <w:t xml:space="preserve">                </w:t>
      </w:r>
    </w:p>
    <w:p w14:paraId="4F1F322C">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名称）的法定代表人。</w:t>
      </w:r>
    </w:p>
    <w:p w14:paraId="03546A72">
      <w:pPr>
        <w:pageBreakBefore w:val="0"/>
        <w:kinsoku/>
        <w:wordWrap/>
        <w:overflowPunct/>
        <w:topLinePunct w:val="0"/>
        <w:bidi w:val="0"/>
        <w:adjustRightInd/>
        <w:snapToGrid/>
        <w:spacing w:line="400" w:lineRule="exact"/>
        <w:ind w:left="0" w:leftChars="0" w:right="0" w:rightChars="0"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13D7360E">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p>
    <w:p w14:paraId="7EA95FD9">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w:t>
      </w:r>
      <w:r>
        <w:rPr>
          <w:rFonts w:hint="eastAsia" w:ascii="宋体" w:hAnsi="宋体" w:cs="宋体"/>
          <w:color w:val="auto"/>
          <w:sz w:val="21"/>
          <w:szCs w:val="21"/>
          <w:highlight w:val="none"/>
          <w:lang w:val="en-US" w:eastAsia="zh-CN"/>
        </w:rPr>
        <w:t>扫描件</w:t>
      </w:r>
      <w:r>
        <w:rPr>
          <w:rFonts w:hint="eastAsia" w:ascii="宋体" w:hAnsi="宋体" w:eastAsia="宋体" w:cs="宋体"/>
          <w:color w:val="auto"/>
          <w:sz w:val="21"/>
          <w:szCs w:val="21"/>
          <w:highlight w:val="none"/>
        </w:rPr>
        <w:t>。</w:t>
      </w:r>
    </w:p>
    <w:p w14:paraId="56056C19">
      <w:pPr>
        <w:pStyle w:val="24"/>
        <w:pageBreakBefore w:val="0"/>
        <w:kinsoku/>
        <w:wordWrap/>
        <w:overflowPunct/>
        <w:topLinePunct w:val="0"/>
        <w:bidi w:val="0"/>
        <w:adjustRightInd/>
        <w:snapToGrid/>
        <w:spacing w:after="0" w:afterLines="0" w:line="400" w:lineRule="exact"/>
        <w:ind w:left="0" w:leftChars="0" w:right="0" w:rightChars="0" w:firstLine="210"/>
        <w:rPr>
          <w:rFonts w:hint="eastAsia" w:ascii="宋体" w:hAnsi="宋体" w:eastAsia="宋体" w:cs="宋体"/>
          <w:color w:val="auto"/>
          <w:sz w:val="21"/>
          <w:szCs w:val="21"/>
          <w:highlight w:val="none"/>
        </w:rPr>
      </w:pPr>
    </w:p>
    <w:p w14:paraId="4149D0D8">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p>
    <w:p w14:paraId="1229D988">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p>
    <w:p w14:paraId="089A8BDD">
      <w:pPr>
        <w:pageBreakBefore w:val="0"/>
        <w:kinsoku/>
        <w:wordWrap/>
        <w:overflowPunct/>
        <w:topLinePunct w:val="0"/>
        <w:bidi w:val="0"/>
        <w:adjustRightInd/>
        <w:snapToGrid/>
        <w:spacing w:line="400" w:lineRule="exact"/>
        <w:ind w:left="0" w:leftChars="0" w:right="0" w:rightChars="0" w:firstLine="3780" w:firstLineChars="1800"/>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（单位电子签章）</w:t>
      </w:r>
    </w:p>
    <w:p w14:paraId="2500BAAE">
      <w:pPr>
        <w:pageBreakBefore w:val="0"/>
        <w:kinsoku/>
        <w:wordWrap/>
        <w:overflowPunct/>
        <w:topLinePunct w:val="0"/>
        <w:bidi w:val="0"/>
        <w:adjustRightInd/>
        <w:snapToGrid/>
        <w:spacing w:line="400" w:lineRule="exact"/>
        <w:ind w:left="0" w:leftChars="0" w:right="0" w:rightChars="0" w:firstLine="4935" w:firstLineChars="2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1DA4FEC">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sectPr>
          <w:pgSz w:w="11905" w:h="16838"/>
          <w:pgMar w:top="1440" w:right="1701" w:bottom="1440" w:left="1701" w:header="850" w:footer="850" w:gutter="0"/>
          <w:pgBorders>
            <w:top w:val="none" w:sz="0" w:space="0"/>
            <w:left w:val="none" w:sz="0" w:space="0"/>
            <w:bottom w:val="none" w:sz="0" w:space="0"/>
            <w:right w:val="none" w:sz="0" w:space="0"/>
          </w:pgBorders>
          <w:pgNumType w:fmt="decimal"/>
          <w:cols w:space="0" w:num="1"/>
          <w:rtlGutter w:val="0"/>
          <w:docGrid w:type="lines" w:linePitch="425" w:charSpace="0"/>
        </w:sectPr>
      </w:pPr>
    </w:p>
    <w:p w14:paraId="7D3CA8A7">
      <w:pPr>
        <w:pStyle w:val="2"/>
        <w:bidi w:val="0"/>
        <w:jc w:val="center"/>
        <w:rPr>
          <w:rFonts w:hint="eastAsia"/>
          <w:sz w:val="28"/>
          <w:szCs w:val="28"/>
        </w:rPr>
      </w:pPr>
      <w:bookmarkStart w:id="115" w:name="_Toc22194"/>
      <w:bookmarkStart w:id="116" w:name="_Toc184635140"/>
      <w:bookmarkStart w:id="117" w:name="_Toc8235"/>
      <w:r>
        <w:rPr>
          <w:rFonts w:hint="eastAsia"/>
          <w:sz w:val="28"/>
          <w:szCs w:val="28"/>
          <w:lang w:eastAsia="zh-CN"/>
        </w:rPr>
        <w:t>四</w:t>
      </w:r>
      <w:r>
        <w:rPr>
          <w:rFonts w:hint="eastAsia"/>
          <w:sz w:val="28"/>
          <w:szCs w:val="28"/>
        </w:rPr>
        <w:t>、授权委托书</w:t>
      </w:r>
      <w:bookmarkEnd w:id="115"/>
      <w:bookmarkEnd w:id="116"/>
      <w:bookmarkEnd w:id="117"/>
    </w:p>
    <w:p w14:paraId="61E9CC84">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p>
    <w:p w14:paraId="64D5574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系（</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（项目名称）</w:t>
      </w:r>
      <w:r>
        <w:rPr>
          <w:rFonts w:hint="eastAsia" w:ascii="宋体" w:hAnsi="宋体" w:eastAsia="宋体" w:cs="宋体"/>
          <w:color w:val="auto"/>
          <w:sz w:val="21"/>
          <w:szCs w:val="21"/>
          <w:highlight w:val="none"/>
        </w:rPr>
        <w:t>投标文件、签订合同和处理有关事宜，其法律后果由我方承担。</w:t>
      </w:r>
    </w:p>
    <w:p w14:paraId="522430D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委托期限：本授权书至投标有效期结束前始终有效</w:t>
      </w:r>
      <w:r>
        <w:rPr>
          <w:rFonts w:hint="eastAsia" w:ascii="宋体" w:hAnsi="宋体" w:eastAsia="宋体" w:cs="宋体"/>
          <w:b/>
          <w:bCs/>
          <w:color w:val="auto"/>
          <w:sz w:val="21"/>
          <w:szCs w:val="21"/>
          <w:highlight w:val="none"/>
        </w:rPr>
        <w:t>。</w:t>
      </w:r>
    </w:p>
    <w:p w14:paraId="715849E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r>
        <w:rPr>
          <w:rFonts w:hint="eastAsia" w:ascii="宋体" w:hAnsi="宋体" w:eastAsia="宋体" w:cs="宋体"/>
          <w:color w:val="auto"/>
          <w:sz w:val="21"/>
          <w:szCs w:val="21"/>
          <w:highlight w:val="none"/>
          <w:lang w:eastAsia="zh-CN"/>
        </w:rPr>
        <w:t>。</w:t>
      </w:r>
    </w:p>
    <w:p w14:paraId="6AD3860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w:t>
      </w:r>
      <w:r>
        <w:rPr>
          <w:rFonts w:hint="eastAsia" w:ascii="宋体" w:hAnsi="宋体" w:cs="宋体"/>
          <w:color w:val="auto"/>
          <w:sz w:val="21"/>
          <w:szCs w:val="21"/>
          <w:highlight w:val="none"/>
          <w:lang w:val="en-US" w:eastAsia="zh-CN"/>
        </w:rPr>
        <w:t>扫描件</w:t>
      </w:r>
      <w:r>
        <w:rPr>
          <w:rFonts w:hint="eastAsia" w:ascii="宋体" w:hAnsi="宋体" w:eastAsia="宋体" w:cs="宋体"/>
          <w:color w:val="auto"/>
          <w:sz w:val="21"/>
          <w:szCs w:val="21"/>
          <w:highlight w:val="none"/>
        </w:rPr>
        <w:t>及委托代理人身份证</w:t>
      </w:r>
      <w:r>
        <w:rPr>
          <w:rFonts w:hint="eastAsia" w:ascii="宋体" w:hAnsi="宋体" w:eastAsia="宋体" w:cs="宋体"/>
          <w:color w:val="auto"/>
          <w:sz w:val="21"/>
          <w:szCs w:val="21"/>
          <w:highlight w:val="none"/>
          <w:lang w:val="en-US" w:eastAsia="zh-CN"/>
        </w:rPr>
        <w:t>扫描件</w:t>
      </w:r>
    </w:p>
    <w:p w14:paraId="59E0CB1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p>
    <w:p w14:paraId="4782BA3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p>
    <w:p w14:paraId="1C22DC6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p>
    <w:p w14:paraId="3438F76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5" w:firstLineChars="2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应</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（单位电子签章）</w:t>
      </w:r>
    </w:p>
    <w:p w14:paraId="3F6016D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5" w:firstLineChars="2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电子签名或签章</w:t>
      </w:r>
      <w:r>
        <w:rPr>
          <w:rFonts w:hint="eastAsia" w:ascii="宋体" w:hAnsi="宋体" w:eastAsia="宋体" w:cs="宋体"/>
          <w:color w:val="auto"/>
          <w:sz w:val="21"/>
          <w:szCs w:val="21"/>
          <w:highlight w:val="none"/>
        </w:rPr>
        <w:t>）</w:t>
      </w:r>
    </w:p>
    <w:p w14:paraId="4509D49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5" w:firstLineChars="2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59B4D4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5" w:firstLineChars="2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签字或盖章</w:t>
      </w:r>
      <w:r>
        <w:rPr>
          <w:rFonts w:hint="eastAsia" w:ascii="宋体" w:hAnsi="宋体" w:eastAsia="宋体" w:cs="宋体"/>
          <w:color w:val="auto"/>
          <w:sz w:val="21"/>
          <w:szCs w:val="21"/>
          <w:highlight w:val="none"/>
        </w:rPr>
        <w:t>）</w:t>
      </w:r>
    </w:p>
    <w:p w14:paraId="2340EEE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5" w:firstLineChars="2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E75FF7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935" w:firstLineChars="23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3E44A21">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p w14:paraId="46FA84F6">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bCs/>
          <w:color w:val="auto"/>
          <w:sz w:val="21"/>
          <w:szCs w:val="21"/>
          <w:highlight w:val="none"/>
        </w:rPr>
      </w:pPr>
    </w:p>
    <w:p w14:paraId="2A422637">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bCs/>
          <w:color w:val="auto"/>
          <w:sz w:val="21"/>
          <w:szCs w:val="21"/>
          <w:highlight w:val="none"/>
        </w:rPr>
      </w:pPr>
    </w:p>
    <w:p w14:paraId="267FC617">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bCs/>
          <w:color w:val="auto"/>
          <w:sz w:val="21"/>
          <w:szCs w:val="21"/>
          <w:highlight w:val="none"/>
        </w:rPr>
      </w:pPr>
    </w:p>
    <w:p w14:paraId="02292BE4">
      <w:pPr>
        <w:pStyle w:val="24"/>
        <w:pageBreakBefore w:val="0"/>
        <w:kinsoku/>
        <w:wordWrap/>
        <w:overflowPunct/>
        <w:topLinePunct w:val="0"/>
        <w:bidi w:val="0"/>
        <w:adjustRightInd/>
        <w:snapToGrid/>
        <w:spacing w:after="0" w:afterLines="0" w:line="400" w:lineRule="exact"/>
        <w:ind w:left="0" w:leftChars="0" w:right="0" w:rightChars="0" w:firstLine="210"/>
        <w:rPr>
          <w:rFonts w:hint="eastAsia" w:ascii="宋体" w:hAnsi="宋体" w:eastAsia="宋体" w:cs="宋体"/>
          <w:color w:val="auto"/>
          <w:sz w:val="21"/>
          <w:szCs w:val="21"/>
          <w:highlight w:val="none"/>
        </w:rPr>
      </w:pPr>
    </w:p>
    <w:p w14:paraId="1C6F69D7">
      <w:pPr>
        <w:pStyle w:val="24"/>
        <w:pageBreakBefore w:val="0"/>
        <w:kinsoku/>
        <w:wordWrap/>
        <w:overflowPunct/>
        <w:topLinePunct w:val="0"/>
        <w:bidi w:val="0"/>
        <w:adjustRightInd/>
        <w:snapToGrid/>
        <w:spacing w:after="0" w:afterLines="0" w:line="400" w:lineRule="exact"/>
        <w:ind w:left="0" w:leftChars="0" w:right="0" w:rightChars="0" w:firstLine="210"/>
        <w:rPr>
          <w:rFonts w:hint="eastAsia" w:ascii="宋体" w:hAnsi="宋体" w:eastAsia="宋体" w:cs="宋体"/>
          <w:color w:val="auto"/>
          <w:sz w:val="21"/>
          <w:szCs w:val="21"/>
          <w:highlight w:val="none"/>
        </w:rPr>
      </w:pPr>
    </w:p>
    <w:p w14:paraId="02ADA042">
      <w:pPr>
        <w:pStyle w:val="24"/>
        <w:pageBreakBefore w:val="0"/>
        <w:numPr>
          <w:ilvl w:val="0"/>
          <w:numId w:val="0"/>
        </w:numPr>
        <w:kinsoku/>
        <w:wordWrap/>
        <w:overflowPunct/>
        <w:topLinePunct w:val="0"/>
        <w:bidi w:val="0"/>
        <w:adjustRightInd/>
        <w:snapToGrid/>
        <w:spacing w:after="0" w:afterLines="0"/>
        <w:ind w:right="0" w:rightChars="0" w:firstLine="2249" w:firstLineChars="800"/>
        <w:jc w:val="left"/>
        <w:rPr>
          <w:rFonts w:hint="eastAsia" w:ascii="宋体" w:hAnsi="宋体" w:cs="宋体"/>
          <w:b/>
          <w:color w:val="auto"/>
          <w:sz w:val="28"/>
          <w:szCs w:val="28"/>
          <w:highlight w:val="none"/>
          <w:lang w:eastAsia="zh-CN"/>
        </w:rPr>
      </w:pPr>
    </w:p>
    <w:p w14:paraId="691A4EF7">
      <w:pPr>
        <w:pStyle w:val="25"/>
        <w:rPr>
          <w:rFonts w:hint="eastAsia" w:ascii="宋体" w:hAnsi="宋体" w:cs="宋体"/>
          <w:b/>
          <w:color w:val="auto"/>
          <w:sz w:val="28"/>
          <w:szCs w:val="28"/>
          <w:highlight w:val="none"/>
          <w:lang w:eastAsia="zh-CN"/>
        </w:rPr>
      </w:pPr>
    </w:p>
    <w:p w14:paraId="4A6DFC30">
      <w:pPr>
        <w:rPr>
          <w:rFonts w:hint="eastAsia"/>
          <w:lang w:eastAsia="zh-CN"/>
        </w:rPr>
      </w:pPr>
    </w:p>
    <w:p w14:paraId="0EE15694">
      <w:pPr>
        <w:rPr>
          <w:rFonts w:hint="eastAsia" w:ascii="宋体" w:hAnsi="宋体" w:cs="宋体"/>
          <w:b/>
          <w:color w:val="auto"/>
          <w:sz w:val="28"/>
          <w:szCs w:val="28"/>
          <w:highlight w:val="none"/>
          <w:lang w:eastAsia="zh-CN"/>
        </w:rPr>
      </w:pPr>
    </w:p>
    <w:p w14:paraId="55667860">
      <w:pPr>
        <w:rPr>
          <w:rFonts w:hint="eastAsia" w:ascii="宋体" w:hAnsi="宋体" w:cs="宋体"/>
          <w:b/>
          <w:color w:val="auto"/>
          <w:sz w:val="28"/>
          <w:szCs w:val="28"/>
          <w:highlight w:val="none"/>
          <w:lang w:eastAsia="zh-CN"/>
        </w:rPr>
      </w:pPr>
    </w:p>
    <w:p w14:paraId="14720AD4">
      <w:pPr>
        <w:rPr>
          <w:rFonts w:hint="eastAsia" w:ascii="宋体" w:hAnsi="宋体" w:cs="宋体"/>
          <w:b/>
          <w:color w:val="auto"/>
          <w:sz w:val="28"/>
          <w:szCs w:val="28"/>
          <w:highlight w:val="none"/>
          <w:lang w:eastAsia="zh-CN"/>
        </w:rPr>
      </w:pPr>
    </w:p>
    <w:p w14:paraId="122665FD">
      <w:pPr>
        <w:pStyle w:val="24"/>
        <w:pageBreakBefore w:val="0"/>
        <w:numPr>
          <w:ilvl w:val="0"/>
          <w:numId w:val="0"/>
        </w:numPr>
        <w:kinsoku/>
        <w:wordWrap/>
        <w:overflowPunct/>
        <w:topLinePunct w:val="0"/>
        <w:bidi w:val="0"/>
        <w:adjustRightInd/>
        <w:snapToGrid/>
        <w:spacing w:after="0" w:afterLines="0"/>
        <w:ind w:right="0" w:rightChars="0" w:firstLine="2249" w:firstLineChars="800"/>
        <w:jc w:val="left"/>
        <w:rPr>
          <w:rFonts w:hint="eastAsia" w:ascii="宋体" w:hAnsi="宋体" w:cs="宋体"/>
          <w:b/>
          <w:color w:val="auto"/>
          <w:sz w:val="28"/>
          <w:szCs w:val="28"/>
          <w:highlight w:val="none"/>
          <w:lang w:eastAsia="zh-CN"/>
        </w:rPr>
      </w:pPr>
    </w:p>
    <w:p w14:paraId="79145EC0">
      <w:pPr>
        <w:keepNext w:val="0"/>
        <w:keepLines w:val="0"/>
        <w:pageBreakBefore w:val="0"/>
        <w:widowControl w:val="0"/>
        <w:kinsoku/>
        <w:wordWrap w:val="0"/>
        <w:overflowPunct/>
        <w:topLinePunct/>
        <w:bidi w:val="0"/>
        <w:snapToGrid/>
        <w:spacing w:line="360" w:lineRule="auto"/>
        <w:jc w:val="center"/>
        <w:textAlignment w:val="auto"/>
        <w:outlineLvl w:val="1"/>
        <w:rPr>
          <w:rFonts w:hint="eastAsia" w:ascii="宋体" w:hAnsi="宋体" w:eastAsia="宋体" w:cs="宋体"/>
          <w:b/>
          <w:bCs/>
          <w:color w:val="auto"/>
          <w:sz w:val="28"/>
          <w:szCs w:val="28"/>
          <w:highlight w:val="none"/>
        </w:rPr>
      </w:pPr>
      <w:bookmarkStart w:id="118" w:name="_Toc8527"/>
      <w:bookmarkStart w:id="119" w:name="_Toc17759"/>
      <w:r>
        <w:rPr>
          <w:rFonts w:hint="eastAsia"/>
          <w:b/>
          <w:bCs/>
          <w:sz w:val="28"/>
          <w:szCs w:val="18"/>
          <w:lang w:eastAsia="zh-CN"/>
        </w:rPr>
        <w:t>五、</w:t>
      </w:r>
      <w:bookmarkEnd w:id="118"/>
      <w:bookmarkEnd w:id="119"/>
      <w:bookmarkStart w:id="120" w:name="_Toc150653531"/>
      <w:r>
        <w:rPr>
          <w:rFonts w:hint="eastAsia" w:ascii="宋体" w:hAnsi="宋体" w:eastAsia="宋体" w:cs="宋体"/>
          <w:b/>
          <w:bCs/>
          <w:color w:val="auto"/>
          <w:sz w:val="28"/>
          <w:szCs w:val="28"/>
          <w:highlight w:val="none"/>
        </w:rPr>
        <w:t>分项报价表</w:t>
      </w:r>
    </w:p>
    <w:tbl>
      <w:tblPr>
        <w:tblStyle w:val="26"/>
        <w:tblW w:w="91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1265"/>
        <w:gridCol w:w="1775"/>
        <w:gridCol w:w="1169"/>
        <w:gridCol w:w="1169"/>
        <w:gridCol w:w="1304"/>
        <w:gridCol w:w="1510"/>
      </w:tblGrid>
      <w:tr w14:paraId="6002C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944" w:type="dxa"/>
            <w:noWrap w:val="0"/>
            <w:vAlign w:val="center"/>
          </w:tcPr>
          <w:p w14:paraId="076ED8F3">
            <w:pPr>
              <w:bidi w:val="0"/>
              <w:jc w:val="center"/>
              <w:rPr>
                <w:rFonts w:hint="eastAsia" w:ascii="宋体" w:hAnsi="宋体" w:eastAsia="宋体" w:cs="宋体"/>
                <w:sz w:val="21"/>
                <w:szCs w:val="21"/>
              </w:rPr>
            </w:pPr>
            <w:r>
              <w:rPr>
                <w:rFonts w:hint="eastAsia"/>
                <w:sz w:val="21"/>
                <w:szCs w:val="21"/>
                <w:lang w:val="en-US" w:eastAsia="zh-CN"/>
              </w:rPr>
              <w:t>序号</w:t>
            </w:r>
          </w:p>
        </w:tc>
        <w:tc>
          <w:tcPr>
            <w:tcW w:w="1265" w:type="dxa"/>
            <w:noWrap w:val="0"/>
            <w:vAlign w:val="center"/>
          </w:tcPr>
          <w:p w14:paraId="3F308B10">
            <w:pPr>
              <w:bidi w:val="0"/>
              <w:jc w:val="center"/>
              <w:rPr>
                <w:rFonts w:hint="eastAsia" w:ascii="宋体" w:hAnsi="宋体" w:eastAsia="宋体" w:cs="宋体"/>
                <w:sz w:val="21"/>
                <w:szCs w:val="21"/>
              </w:rPr>
            </w:pPr>
            <w:r>
              <w:rPr>
                <w:rFonts w:hint="eastAsia"/>
                <w:sz w:val="21"/>
                <w:szCs w:val="21"/>
                <w:lang w:val="en-US" w:eastAsia="zh-CN"/>
              </w:rPr>
              <w:t>项目名称</w:t>
            </w:r>
          </w:p>
        </w:tc>
        <w:tc>
          <w:tcPr>
            <w:tcW w:w="1775" w:type="dxa"/>
            <w:noWrap w:val="0"/>
            <w:vAlign w:val="center"/>
          </w:tcPr>
          <w:p w14:paraId="410918D6">
            <w:pPr>
              <w:bidi w:val="0"/>
              <w:jc w:val="center"/>
              <w:rPr>
                <w:rFonts w:hint="eastAsia" w:ascii="宋体" w:hAnsi="宋体" w:eastAsia="宋体" w:cs="宋体"/>
                <w:sz w:val="21"/>
                <w:szCs w:val="21"/>
              </w:rPr>
            </w:pPr>
            <w:r>
              <w:rPr>
                <w:rFonts w:hint="eastAsia"/>
                <w:sz w:val="21"/>
                <w:szCs w:val="21"/>
                <w:lang w:val="en-US" w:eastAsia="zh-CN"/>
              </w:rPr>
              <w:t>项目特征描述</w:t>
            </w:r>
          </w:p>
        </w:tc>
        <w:tc>
          <w:tcPr>
            <w:tcW w:w="1169" w:type="dxa"/>
            <w:noWrap w:val="0"/>
            <w:vAlign w:val="center"/>
          </w:tcPr>
          <w:p w14:paraId="4780A516">
            <w:pPr>
              <w:bidi w:val="0"/>
              <w:jc w:val="center"/>
              <w:rPr>
                <w:rFonts w:hint="eastAsia" w:ascii="宋体" w:hAnsi="宋体" w:eastAsia="宋体" w:cs="宋体"/>
                <w:sz w:val="21"/>
                <w:szCs w:val="21"/>
              </w:rPr>
            </w:pPr>
            <w:r>
              <w:rPr>
                <w:rFonts w:hint="eastAsia"/>
                <w:sz w:val="21"/>
                <w:szCs w:val="21"/>
                <w:lang w:val="en-US" w:eastAsia="zh-CN"/>
              </w:rPr>
              <w:t>单位</w:t>
            </w:r>
          </w:p>
        </w:tc>
        <w:tc>
          <w:tcPr>
            <w:tcW w:w="1169" w:type="dxa"/>
            <w:noWrap w:val="0"/>
            <w:vAlign w:val="center"/>
          </w:tcPr>
          <w:p w14:paraId="4F2FBA09">
            <w:pPr>
              <w:bidi w:val="0"/>
              <w:jc w:val="center"/>
              <w:rPr>
                <w:rFonts w:hint="eastAsia" w:ascii="宋体" w:hAnsi="宋体" w:eastAsia="宋体" w:cs="宋体"/>
                <w:sz w:val="21"/>
                <w:szCs w:val="21"/>
                <w:lang w:val="en-US" w:eastAsia="zh-CN"/>
              </w:rPr>
            </w:pPr>
            <w:r>
              <w:rPr>
                <w:rFonts w:hint="eastAsia"/>
                <w:sz w:val="21"/>
                <w:szCs w:val="21"/>
                <w:lang w:val="en-US" w:eastAsia="zh-CN"/>
              </w:rPr>
              <w:t>工程量</w:t>
            </w:r>
          </w:p>
        </w:tc>
        <w:tc>
          <w:tcPr>
            <w:tcW w:w="1304" w:type="dxa"/>
            <w:noWrap w:val="0"/>
            <w:vAlign w:val="center"/>
          </w:tcPr>
          <w:p w14:paraId="0227AE80">
            <w:pPr>
              <w:bidi w:val="0"/>
              <w:jc w:val="center"/>
              <w:rPr>
                <w:rFonts w:hint="default"/>
                <w:sz w:val="21"/>
                <w:szCs w:val="21"/>
                <w:lang w:val="en-US" w:eastAsia="zh-CN"/>
              </w:rPr>
            </w:pPr>
            <w:r>
              <w:rPr>
                <w:rFonts w:hint="eastAsia"/>
                <w:sz w:val="21"/>
                <w:szCs w:val="21"/>
                <w:lang w:val="en-US" w:eastAsia="zh-CN"/>
              </w:rPr>
              <w:t>金额（元）</w:t>
            </w:r>
          </w:p>
        </w:tc>
        <w:tc>
          <w:tcPr>
            <w:tcW w:w="1510" w:type="dxa"/>
            <w:noWrap w:val="0"/>
            <w:vAlign w:val="center"/>
          </w:tcPr>
          <w:p w14:paraId="057350CC">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备注</w:t>
            </w:r>
          </w:p>
        </w:tc>
      </w:tr>
      <w:tr w14:paraId="0C383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jc w:val="center"/>
        </w:trPr>
        <w:tc>
          <w:tcPr>
            <w:tcW w:w="944" w:type="dxa"/>
            <w:noWrap w:val="0"/>
            <w:vAlign w:val="center"/>
          </w:tcPr>
          <w:p w14:paraId="0A24A9E0">
            <w:pPr>
              <w:pStyle w:val="59"/>
              <w:keepNext w:val="0"/>
              <w:keepLines w:val="0"/>
              <w:pageBreakBefore w:val="0"/>
              <w:widowControl w:val="0"/>
              <w:kinsoku/>
              <w:wordWrap/>
              <w:overflowPunct/>
              <w:topLinePunct w:val="0"/>
              <w:bidi w:val="0"/>
              <w:snapToGrid/>
              <w:spacing w:line="312" w:lineRule="auto"/>
              <w:ind w:right="153"/>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1</w:t>
            </w:r>
          </w:p>
        </w:tc>
        <w:tc>
          <w:tcPr>
            <w:tcW w:w="1265" w:type="dxa"/>
            <w:noWrap w:val="0"/>
            <w:vAlign w:val="center"/>
          </w:tcPr>
          <w:p w14:paraId="2091B7CE">
            <w:pPr>
              <w:pStyle w:val="59"/>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sz w:val="21"/>
                <w:szCs w:val="21"/>
                <w:lang w:eastAsia="zh-CN"/>
              </w:rPr>
            </w:pPr>
          </w:p>
        </w:tc>
        <w:tc>
          <w:tcPr>
            <w:tcW w:w="1775" w:type="dxa"/>
            <w:noWrap w:val="0"/>
            <w:vAlign w:val="center"/>
          </w:tcPr>
          <w:p w14:paraId="4DEC9195">
            <w:pPr>
              <w:pStyle w:val="59"/>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sz w:val="21"/>
                <w:szCs w:val="21"/>
                <w:lang w:eastAsia="zh-CN"/>
              </w:rPr>
            </w:pPr>
          </w:p>
        </w:tc>
        <w:tc>
          <w:tcPr>
            <w:tcW w:w="1169" w:type="dxa"/>
            <w:noWrap w:val="0"/>
            <w:vAlign w:val="center"/>
          </w:tcPr>
          <w:p w14:paraId="2780BD7C">
            <w:pPr>
              <w:pStyle w:val="59"/>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sz w:val="21"/>
                <w:szCs w:val="21"/>
                <w:lang w:val="en-US" w:eastAsia="zh-CN"/>
              </w:rPr>
            </w:pPr>
          </w:p>
        </w:tc>
        <w:tc>
          <w:tcPr>
            <w:tcW w:w="1169" w:type="dxa"/>
            <w:noWrap w:val="0"/>
            <w:vAlign w:val="center"/>
          </w:tcPr>
          <w:p w14:paraId="66053806">
            <w:pPr>
              <w:pStyle w:val="59"/>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sz w:val="21"/>
                <w:szCs w:val="21"/>
              </w:rPr>
            </w:pPr>
          </w:p>
        </w:tc>
        <w:tc>
          <w:tcPr>
            <w:tcW w:w="1304" w:type="dxa"/>
            <w:noWrap w:val="0"/>
            <w:vAlign w:val="center"/>
          </w:tcPr>
          <w:p w14:paraId="616B753B">
            <w:pPr>
              <w:pStyle w:val="59"/>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sz w:val="21"/>
                <w:szCs w:val="21"/>
              </w:rPr>
            </w:pPr>
          </w:p>
        </w:tc>
        <w:tc>
          <w:tcPr>
            <w:tcW w:w="1510" w:type="dxa"/>
            <w:noWrap w:val="0"/>
            <w:vAlign w:val="center"/>
          </w:tcPr>
          <w:p w14:paraId="0BBC0C46">
            <w:pPr>
              <w:pStyle w:val="59"/>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sz w:val="21"/>
                <w:szCs w:val="21"/>
              </w:rPr>
            </w:pPr>
          </w:p>
        </w:tc>
      </w:tr>
      <w:tr w14:paraId="33DE7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jc w:val="center"/>
        </w:trPr>
        <w:tc>
          <w:tcPr>
            <w:tcW w:w="944" w:type="dxa"/>
            <w:noWrap w:val="0"/>
            <w:vAlign w:val="center"/>
          </w:tcPr>
          <w:p w14:paraId="683FEDCE">
            <w:pPr>
              <w:pStyle w:val="59"/>
              <w:keepNext w:val="0"/>
              <w:keepLines w:val="0"/>
              <w:pageBreakBefore w:val="0"/>
              <w:widowControl w:val="0"/>
              <w:kinsoku/>
              <w:wordWrap/>
              <w:overflowPunct/>
              <w:topLinePunct w:val="0"/>
              <w:bidi w:val="0"/>
              <w:snapToGrid/>
              <w:spacing w:line="312" w:lineRule="auto"/>
              <w:ind w:right="153"/>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2</w:t>
            </w:r>
          </w:p>
        </w:tc>
        <w:tc>
          <w:tcPr>
            <w:tcW w:w="1265" w:type="dxa"/>
            <w:noWrap w:val="0"/>
            <w:vAlign w:val="center"/>
          </w:tcPr>
          <w:p w14:paraId="2E1D7615">
            <w:pPr>
              <w:pStyle w:val="59"/>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sz w:val="21"/>
                <w:szCs w:val="21"/>
                <w:lang w:eastAsia="zh-CN"/>
              </w:rPr>
            </w:pPr>
          </w:p>
        </w:tc>
        <w:tc>
          <w:tcPr>
            <w:tcW w:w="1775" w:type="dxa"/>
            <w:noWrap w:val="0"/>
            <w:vAlign w:val="center"/>
          </w:tcPr>
          <w:p w14:paraId="59246B47">
            <w:pPr>
              <w:pStyle w:val="59"/>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sz w:val="21"/>
                <w:szCs w:val="21"/>
                <w:lang w:eastAsia="zh-CN"/>
              </w:rPr>
            </w:pPr>
          </w:p>
        </w:tc>
        <w:tc>
          <w:tcPr>
            <w:tcW w:w="1169" w:type="dxa"/>
            <w:noWrap w:val="0"/>
            <w:vAlign w:val="center"/>
          </w:tcPr>
          <w:p w14:paraId="5522AB05">
            <w:pPr>
              <w:pStyle w:val="59"/>
              <w:keepNext w:val="0"/>
              <w:keepLines w:val="0"/>
              <w:pageBreakBefore w:val="0"/>
              <w:widowControl w:val="0"/>
              <w:kinsoku/>
              <w:wordWrap/>
              <w:overflowPunct/>
              <w:topLinePunct w:val="0"/>
              <w:bidi w:val="0"/>
              <w:snapToGrid/>
              <w:spacing w:line="312" w:lineRule="auto"/>
              <w:jc w:val="center"/>
              <w:textAlignment w:val="auto"/>
              <w:rPr>
                <w:rFonts w:hint="default" w:ascii="宋体" w:hAnsi="宋体" w:eastAsia="宋体" w:cs="宋体"/>
                <w:sz w:val="21"/>
                <w:szCs w:val="21"/>
                <w:lang w:val="en-US" w:eastAsia="zh-CN"/>
              </w:rPr>
            </w:pPr>
          </w:p>
        </w:tc>
        <w:tc>
          <w:tcPr>
            <w:tcW w:w="1169" w:type="dxa"/>
            <w:noWrap w:val="0"/>
            <w:vAlign w:val="center"/>
          </w:tcPr>
          <w:p w14:paraId="02CF83A5">
            <w:pPr>
              <w:pStyle w:val="59"/>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sz w:val="21"/>
                <w:szCs w:val="21"/>
              </w:rPr>
            </w:pPr>
          </w:p>
        </w:tc>
        <w:tc>
          <w:tcPr>
            <w:tcW w:w="1304" w:type="dxa"/>
            <w:noWrap w:val="0"/>
            <w:vAlign w:val="center"/>
          </w:tcPr>
          <w:p w14:paraId="3D4E429C">
            <w:pPr>
              <w:pStyle w:val="59"/>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sz w:val="21"/>
                <w:szCs w:val="21"/>
              </w:rPr>
            </w:pPr>
          </w:p>
        </w:tc>
        <w:tc>
          <w:tcPr>
            <w:tcW w:w="1510" w:type="dxa"/>
            <w:noWrap w:val="0"/>
            <w:vAlign w:val="center"/>
          </w:tcPr>
          <w:p w14:paraId="06CFC1BC">
            <w:pPr>
              <w:pStyle w:val="59"/>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sz w:val="21"/>
                <w:szCs w:val="21"/>
              </w:rPr>
            </w:pPr>
          </w:p>
        </w:tc>
      </w:tr>
      <w:tr w14:paraId="11FDE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944" w:type="dxa"/>
            <w:noWrap w:val="0"/>
            <w:vAlign w:val="center"/>
          </w:tcPr>
          <w:p w14:paraId="188CD832">
            <w:pPr>
              <w:pStyle w:val="59"/>
              <w:keepNext w:val="0"/>
              <w:keepLines w:val="0"/>
              <w:pageBreakBefore w:val="0"/>
              <w:widowControl w:val="0"/>
              <w:kinsoku/>
              <w:wordWrap/>
              <w:overflowPunct/>
              <w:topLinePunct w:val="0"/>
              <w:bidi w:val="0"/>
              <w:snapToGrid/>
              <w:spacing w:line="312" w:lineRule="auto"/>
              <w:ind w:right="153"/>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3</w:t>
            </w:r>
          </w:p>
        </w:tc>
        <w:tc>
          <w:tcPr>
            <w:tcW w:w="1265" w:type="dxa"/>
            <w:noWrap w:val="0"/>
            <w:vAlign w:val="center"/>
          </w:tcPr>
          <w:p w14:paraId="5C7DAB67">
            <w:pPr>
              <w:pStyle w:val="59"/>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sz w:val="21"/>
                <w:szCs w:val="21"/>
                <w:lang w:eastAsia="zh-CN"/>
              </w:rPr>
            </w:pPr>
          </w:p>
        </w:tc>
        <w:tc>
          <w:tcPr>
            <w:tcW w:w="1775" w:type="dxa"/>
            <w:noWrap w:val="0"/>
            <w:vAlign w:val="center"/>
          </w:tcPr>
          <w:p w14:paraId="341E21D7">
            <w:pPr>
              <w:pStyle w:val="59"/>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sz w:val="21"/>
                <w:szCs w:val="21"/>
                <w:lang w:eastAsia="zh-CN"/>
              </w:rPr>
            </w:pPr>
          </w:p>
        </w:tc>
        <w:tc>
          <w:tcPr>
            <w:tcW w:w="1169" w:type="dxa"/>
            <w:noWrap w:val="0"/>
            <w:vAlign w:val="center"/>
          </w:tcPr>
          <w:p w14:paraId="05EBBB31">
            <w:pPr>
              <w:pStyle w:val="59"/>
              <w:keepNext w:val="0"/>
              <w:keepLines w:val="0"/>
              <w:pageBreakBefore w:val="0"/>
              <w:widowControl w:val="0"/>
              <w:kinsoku/>
              <w:wordWrap/>
              <w:overflowPunct/>
              <w:topLinePunct w:val="0"/>
              <w:bidi w:val="0"/>
              <w:snapToGrid/>
              <w:spacing w:line="312" w:lineRule="auto"/>
              <w:jc w:val="center"/>
              <w:textAlignment w:val="auto"/>
              <w:rPr>
                <w:rFonts w:hint="default" w:ascii="宋体" w:hAnsi="宋体" w:eastAsia="宋体" w:cs="宋体"/>
                <w:sz w:val="21"/>
                <w:szCs w:val="21"/>
                <w:lang w:val="en-US" w:eastAsia="zh-CN"/>
              </w:rPr>
            </w:pPr>
          </w:p>
        </w:tc>
        <w:tc>
          <w:tcPr>
            <w:tcW w:w="1169" w:type="dxa"/>
            <w:noWrap w:val="0"/>
            <w:vAlign w:val="center"/>
          </w:tcPr>
          <w:p w14:paraId="346E6520">
            <w:pPr>
              <w:pStyle w:val="59"/>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sz w:val="21"/>
                <w:szCs w:val="21"/>
              </w:rPr>
            </w:pPr>
          </w:p>
        </w:tc>
        <w:tc>
          <w:tcPr>
            <w:tcW w:w="1304" w:type="dxa"/>
            <w:noWrap w:val="0"/>
            <w:vAlign w:val="center"/>
          </w:tcPr>
          <w:p w14:paraId="3BFF22A3">
            <w:pPr>
              <w:pStyle w:val="59"/>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sz w:val="21"/>
                <w:szCs w:val="21"/>
              </w:rPr>
            </w:pPr>
          </w:p>
        </w:tc>
        <w:tc>
          <w:tcPr>
            <w:tcW w:w="1510" w:type="dxa"/>
            <w:noWrap w:val="0"/>
            <w:vAlign w:val="center"/>
          </w:tcPr>
          <w:p w14:paraId="2B9F79E0">
            <w:pPr>
              <w:pStyle w:val="59"/>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sz w:val="21"/>
                <w:szCs w:val="21"/>
              </w:rPr>
            </w:pPr>
          </w:p>
        </w:tc>
      </w:tr>
      <w:tr w14:paraId="0ADA9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jc w:val="center"/>
        </w:trPr>
        <w:tc>
          <w:tcPr>
            <w:tcW w:w="944" w:type="dxa"/>
            <w:noWrap w:val="0"/>
            <w:vAlign w:val="center"/>
          </w:tcPr>
          <w:p w14:paraId="26B86652">
            <w:pPr>
              <w:pStyle w:val="59"/>
              <w:keepNext w:val="0"/>
              <w:keepLines w:val="0"/>
              <w:pageBreakBefore w:val="0"/>
              <w:widowControl w:val="0"/>
              <w:kinsoku/>
              <w:wordWrap/>
              <w:overflowPunct/>
              <w:topLinePunct w:val="0"/>
              <w:bidi w:val="0"/>
              <w:snapToGrid/>
              <w:spacing w:line="312" w:lineRule="auto"/>
              <w:ind w:right="153"/>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4</w:t>
            </w:r>
          </w:p>
        </w:tc>
        <w:tc>
          <w:tcPr>
            <w:tcW w:w="1265" w:type="dxa"/>
            <w:noWrap w:val="0"/>
            <w:vAlign w:val="center"/>
          </w:tcPr>
          <w:p w14:paraId="2DA68DC8">
            <w:pPr>
              <w:pStyle w:val="59"/>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sz w:val="21"/>
                <w:szCs w:val="21"/>
              </w:rPr>
            </w:pPr>
          </w:p>
        </w:tc>
        <w:tc>
          <w:tcPr>
            <w:tcW w:w="1775" w:type="dxa"/>
            <w:noWrap w:val="0"/>
            <w:vAlign w:val="center"/>
          </w:tcPr>
          <w:p w14:paraId="5A875954">
            <w:pPr>
              <w:pStyle w:val="59"/>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sz w:val="21"/>
                <w:szCs w:val="21"/>
              </w:rPr>
            </w:pPr>
          </w:p>
        </w:tc>
        <w:tc>
          <w:tcPr>
            <w:tcW w:w="1169" w:type="dxa"/>
            <w:noWrap w:val="0"/>
            <w:vAlign w:val="center"/>
          </w:tcPr>
          <w:p w14:paraId="276FD1BF">
            <w:pPr>
              <w:pStyle w:val="59"/>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sz w:val="21"/>
                <w:szCs w:val="21"/>
              </w:rPr>
            </w:pPr>
          </w:p>
        </w:tc>
        <w:tc>
          <w:tcPr>
            <w:tcW w:w="1169" w:type="dxa"/>
            <w:noWrap w:val="0"/>
            <w:vAlign w:val="center"/>
          </w:tcPr>
          <w:p w14:paraId="04AB3DC5">
            <w:pPr>
              <w:pStyle w:val="59"/>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sz w:val="21"/>
                <w:szCs w:val="21"/>
              </w:rPr>
            </w:pPr>
          </w:p>
        </w:tc>
        <w:tc>
          <w:tcPr>
            <w:tcW w:w="1304" w:type="dxa"/>
            <w:noWrap w:val="0"/>
            <w:vAlign w:val="center"/>
          </w:tcPr>
          <w:p w14:paraId="3262D18D">
            <w:pPr>
              <w:pStyle w:val="59"/>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sz w:val="21"/>
                <w:szCs w:val="21"/>
              </w:rPr>
            </w:pPr>
          </w:p>
        </w:tc>
        <w:tc>
          <w:tcPr>
            <w:tcW w:w="1510" w:type="dxa"/>
            <w:noWrap w:val="0"/>
            <w:vAlign w:val="center"/>
          </w:tcPr>
          <w:p w14:paraId="071AAA43">
            <w:pPr>
              <w:pStyle w:val="59"/>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sz w:val="21"/>
                <w:szCs w:val="21"/>
              </w:rPr>
            </w:pPr>
          </w:p>
        </w:tc>
      </w:tr>
      <w:tr w14:paraId="38158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944" w:type="dxa"/>
            <w:noWrap w:val="0"/>
            <w:vAlign w:val="center"/>
          </w:tcPr>
          <w:p w14:paraId="31E04D6B">
            <w:pPr>
              <w:pStyle w:val="59"/>
              <w:keepNext w:val="0"/>
              <w:keepLines w:val="0"/>
              <w:pageBreakBefore w:val="0"/>
              <w:widowControl w:val="0"/>
              <w:kinsoku/>
              <w:wordWrap/>
              <w:overflowPunct/>
              <w:topLinePunct w:val="0"/>
              <w:bidi w:val="0"/>
              <w:snapToGrid/>
              <w:spacing w:line="312" w:lineRule="auto"/>
              <w:ind w:right="102"/>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5</w:t>
            </w:r>
          </w:p>
        </w:tc>
        <w:tc>
          <w:tcPr>
            <w:tcW w:w="1265" w:type="dxa"/>
            <w:noWrap w:val="0"/>
            <w:vAlign w:val="center"/>
          </w:tcPr>
          <w:p w14:paraId="4B2D54C8">
            <w:pPr>
              <w:pStyle w:val="59"/>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sz w:val="21"/>
                <w:szCs w:val="21"/>
              </w:rPr>
            </w:pPr>
          </w:p>
        </w:tc>
        <w:tc>
          <w:tcPr>
            <w:tcW w:w="1775" w:type="dxa"/>
            <w:noWrap w:val="0"/>
            <w:vAlign w:val="center"/>
          </w:tcPr>
          <w:p w14:paraId="1E078C30">
            <w:pPr>
              <w:pStyle w:val="59"/>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sz w:val="21"/>
                <w:szCs w:val="21"/>
              </w:rPr>
            </w:pPr>
          </w:p>
        </w:tc>
        <w:tc>
          <w:tcPr>
            <w:tcW w:w="1169" w:type="dxa"/>
            <w:noWrap w:val="0"/>
            <w:vAlign w:val="center"/>
          </w:tcPr>
          <w:p w14:paraId="72BA9A58">
            <w:pPr>
              <w:pStyle w:val="59"/>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sz w:val="21"/>
                <w:szCs w:val="21"/>
              </w:rPr>
            </w:pPr>
          </w:p>
        </w:tc>
        <w:tc>
          <w:tcPr>
            <w:tcW w:w="1169" w:type="dxa"/>
            <w:noWrap w:val="0"/>
            <w:vAlign w:val="center"/>
          </w:tcPr>
          <w:p w14:paraId="649AEF7A">
            <w:pPr>
              <w:pStyle w:val="59"/>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sz w:val="21"/>
                <w:szCs w:val="21"/>
              </w:rPr>
            </w:pPr>
          </w:p>
        </w:tc>
        <w:tc>
          <w:tcPr>
            <w:tcW w:w="1304" w:type="dxa"/>
            <w:noWrap w:val="0"/>
            <w:vAlign w:val="center"/>
          </w:tcPr>
          <w:p w14:paraId="476A485C">
            <w:pPr>
              <w:pStyle w:val="59"/>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sz w:val="21"/>
                <w:szCs w:val="21"/>
              </w:rPr>
            </w:pPr>
          </w:p>
        </w:tc>
        <w:tc>
          <w:tcPr>
            <w:tcW w:w="1510" w:type="dxa"/>
            <w:noWrap w:val="0"/>
            <w:vAlign w:val="center"/>
          </w:tcPr>
          <w:p w14:paraId="5E66FFEF">
            <w:pPr>
              <w:pStyle w:val="59"/>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sz w:val="21"/>
                <w:szCs w:val="21"/>
              </w:rPr>
            </w:pPr>
          </w:p>
        </w:tc>
      </w:tr>
      <w:tr w14:paraId="5FDC3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944" w:type="dxa"/>
            <w:noWrap w:val="0"/>
            <w:vAlign w:val="center"/>
          </w:tcPr>
          <w:p w14:paraId="0B97AAB0">
            <w:pPr>
              <w:pStyle w:val="59"/>
              <w:keepNext w:val="0"/>
              <w:keepLines w:val="0"/>
              <w:pageBreakBefore w:val="0"/>
              <w:widowControl w:val="0"/>
              <w:kinsoku/>
              <w:wordWrap/>
              <w:overflowPunct/>
              <w:topLinePunct w:val="0"/>
              <w:bidi w:val="0"/>
              <w:snapToGrid/>
              <w:spacing w:line="312" w:lineRule="auto"/>
              <w:ind w:right="102"/>
              <w:jc w:val="center"/>
              <w:textAlignment w:val="auto"/>
              <w:rPr>
                <w:rFonts w:hint="default" w:cs="宋体"/>
                <w:sz w:val="21"/>
                <w:szCs w:val="21"/>
                <w:lang w:val="en-US" w:eastAsia="zh-CN"/>
              </w:rPr>
            </w:pPr>
            <w:r>
              <w:rPr>
                <w:rFonts w:hint="eastAsia" w:cs="宋体"/>
                <w:sz w:val="21"/>
                <w:szCs w:val="21"/>
                <w:lang w:val="en-US" w:eastAsia="zh-CN"/>
              </w:rPr>
              <w:t>...</w:t>
            </w:r>
          </w:p>
        </w:tc>
        <w:tc>
          <w:tcPr>
            <w:tcW w:w="1265" w:type="dxa"/>
            <w:noWrap w:val="0"/>
            <w:vAlign w:val="center"/>
          </w:tcPr>
          <w:p w14:paraId="591A8ED8">
            <w:pPr>
              <w:pStyle w:val="59"/>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sz w:val="21"/>
                <w:szCs w:val="21"/>
              </w:rPr>
            </w:pPr>
          </w:p>
        </w:tc>
        <w:tc>
          <w:tcPr>
            <w:tcW w:w="1775" w:type="dxa"/>
            <w:noWrap w:val="0"/>
            <w:vAlign w:val="center"/>
          </w:tcPr>
          <w:p w14:paraId="7EB5ABCA">
            <w:pPr>
              <w:pStyle w:val="59"/>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sz w:val="21"/>
                <w:szCs w:val="21"/>
              </w:rPr>
            </w:pPr>
          </w:p>
        </w:tc>
        <w:tc>
          <w:tcPr>
            <w:tcW w:w="1169" w:type="dxa"/>
            <w:noWrap w:val="0"/>
            <w:vAlign w:val="center"/>
          </w:tcPr>
          <w:p w14:paraId="51FD3D16">
            <w:pPr>
              <w:pStyle w:val="59"/>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sz w:val="21"/>
                <w:szCs w:val="21"/>
              </w:rPr>
            </w:pPr>
          </w:p>
        </w:tc>
        <w:tc>
          <w:tcPr>
            <w:tcW w:w="1169" w:type="dxa"/>
            <w:noWrap w:val="0"/>
            <w:vAlign w:val="center"/>
          </w:tcPr>
          <w:p w14:paraId="08994DE1">
            <w:pPr>
              <w:pStyle w:val="59"/>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sz w:val="21"/>
                <w:szCs w:val="21"/>
              </w:rPr>
            </w:pPr>
          </w:p>
        </w:tc>
        <w:tc>
          <w:tcPr>
            <w:tcW w:w="1304" w:type="dxa"/>
            <w:noWrap w:val="0"/>
            <w:vAlign w:val="center"/>
          </w:tcPr>
          <w:p w14:paraId="6E440233">
            <w:pPr>
              <w:pStyle w:val="59"/>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sz w:val="21"/>
                <w:szCs w:val="21"/>
              </w:rPr>
            </w:pPr>
          </w:p>
        </w:tc>
        <w:tc>
          <w:tcPr>
            <w:tcW w:w="1510" w:type="dxa"/>
            <w:noWrap w:val="0"/>
            <w:vAlign w:val="center"/>
          </w:tcPr>
          <w:p w14:paraId="5DA2665F">
            <w:pPr>
              <w:pStyle w:val="59"/>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sz w:val="21"/>
                <w:szCs w:val="21"/>
              </w:rPr>
            </w:pPr>
          </w:p>
        </w:tc>
      </w:tr>
      <w:tr w14:paraId="5B194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jc w:val="center"/>
        </w:trPr>
        <w:tc>
          <w:tcPr>
            <w:tcW w:w="6322" w:type="dxa"/>
            <w:gridSpan w:val="5"/>
            <w:noWrap w:val="0"/>
            <w:vAlign w:val="center"/>
          </w:tcPr>
          <w:p w14:paraId="5BA4E872">
            <w:pPr>
              <w:pStyle w:val="59"/>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合</w:t>
            </w:r>
            <w:r>
              <w:rPr>
                <w:rFonts w:hint="eastAsia" w:cs="宋体"/>
                <w:sz w:val="21"/>
                <w:szCs w:val="21"/>
                <w:lang w:val="en-US" w:eastAsia="zh-CN"/>
              </w:rPr>
              <w:t xml:space="preserve">  </w:t>
            </w:r>
            <w:r>
              <w:rPr>
                <w:rFonts w:hint="eastAsia" w:ascii="宋体" w:hAnsi="宋体" w:eastAsia="宋体" w:cs="宋体"/>
                <w:sz w:val="21"/>
                <w:szCs w:val="21"/>
                <w:lang w:eastAsia="zh-CN"/>
              </w:rPr>
              <w:t>计</w:t>
            </w:r>
          </w:p>
        </w:tc>
        <w:tc>
          <w:tcPr>
            <w:tcW w:w="1304" w:type="dxa"/>
            <w:noWrap w:val="0"/>
            <w:vAlign w:val="center"/>
          </w:tcPr>
          <w:p w14:paraId="65D71A05">
            <w:pPr>
              <w:pStyle w:val="59"/>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sz w:val="21"/>
                <w:szCs w:val="21"/>
                <w:lang w:eastAsia="zh-CN"/>
              </w:rPr>
            </w:pPr>
          </w:p>
        </w:tc>
        <w:tc>
          <w:tcPr>
            <w:tcW w:w="1510" w:type="dxa"/>
            <w:noWrap w:val="0"/>
            <w:vAlign w:val="center"/>
          </w:tcPr>
          <w:p w14:paraId="0D96DEFA">
            <w:pPr>
              <w:pStyle w:val="59"/>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sz w:val="21"/>
                <w:szCs w:val="21"/>
              </w:rPr>
            </w:pPr>
          </w:p>
        </w:tc>
      </w:tr>
    </w:tbl>
    <w:p w14:paraId="3FEE377F">
      <w:pPr>
        <w:pStyle w:val="11"/>
        <w:keepNext w:val="0"/>
        <w:keepLines w:val="0"/>
        <w:pageBreakBefore w:val="0"/>
        <w:widowControl w:val="0"/>
        <w:kinsoku/>
        <w:wordWrap w:val="0"/>
        <w:overflowPunct/>
        <w:topLinePunct/>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注：该表格仅供参考，投标人可根据需要自行扩展。</w:t>
      </w:r>
    </w:p>
    <w:p w14:paraId="73D93F64">
      <w:pPr>
        <w:pStyle w:val="53"/>
        <w:keepNext w:val="0"/>
        <w:keepLines w:val="0"/>
        <w:pageBreakBefore w:val="0"/>
        <w:widowControl w:val="0"/>
        <w:kinsoku/>
        <w:wordWrap w:val="0"/>
        <w:overflowPunct/>
        <w:topLinePunct/>
        <w:bidi w:val="0"/>
        <w:snapToGrid/>
        <w:spacing w:line="360" w:lineRule="auto"/>
        <w:textAlignment w:val="auto"/>
        <w:rPr>
          <w:rFonts w:hint="eastAsia" w:ascii="宋体" w:hAnsi="宋体" w:eastAsia="宋体" w:cs="宋体"/>
          <w:color w:val="auto"/>
          <w:sz w:val="21"/>
          <w:szCs w:val="21"/>
          <w:highlight w:val="none"/>
        </w:rPr>
      </w:pPr>
    </w:p>
    <w:p w14:paraId="1A9D6940">
      <w:pPr>
        <w:pageBreakBefore w:val="0"/>
        <w:kinsoku/>
        <w:wordWrap/>
        <w:overflowPunct/>
        <w:topLinePunct w:val="0"/>
        <w:bidi w:val="0"/>
        <w:adjustRightInd/>
        <w:snapToGrid/>
        <w:spacing w:line="400" w:lineRule="exact"/>
        <w:ind w:right="0" w:rightChars="0" w:firstLine="3150" w:firstLineChars="1500"/>
        <w:jc w:val="righ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单位电子签章</w:t>
      </w:r>
      <w:r>
        <w:rPr>
          <w:rFonts w:hint="eastAsia" w:ascii="宋体" w:hAnsi="宋体" w:eastAsia="宋体" w:cs="宋体"/>
          <w:color w:val="auto"/>
          <w:sz w:val="21"/>
          <w:szCs w:val="21"/>
          <w:highlight w:val="none"/>
          <w:lang w:eastAsia="zh-CN"/>
        </w:rPr>
        <w:t>）</w:t>
      </w:r>
    </w:p>
    <w:p w14:paraId="22C44624">
      <w:pPr>
        <w:pageBreakBefore w:val="0"/>
        <w:kinsoku/>
        <w:wordWrap/>
        <w:overflowPunct/>
        <w:topLinePunct w:val="0"/>
        <w:bidi w:val="0"/>
        <w:adjustRightInd/>
        <w:snapToGrid/>
        <w:spacing w:line="400" w:lineRule="exact"/>
        <w:ind w:right="0" w:rightChars="0" w:firstLine="2100" w:firstLineChars="100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法定代表人或其委托代理人：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电子签名或签章</w:t>
      </w:r>
      <w:r>
        <w:rPr>
          <w:rFonts w:hint="eastAsia" w:ascii="宋体" w:hAnsi="宋体" w:eastAsia="宋体" w:cs="宋体"/>
          <w:color w:val="auto"/>
          <w:sz w:val="21"/>
          <w:szCs w:val="21"/>
          <w:highlight w:val="none"/>
          <w:lang w:eastAsia="zh-CN"/>
        </w:rPr>
        <w:t>）</w:t>
      </w:r>
    </w:p>
    <w:p w14:paraId="544B0567">
      <w:pPr>
        <w:pageBreakBefore w:val="0"/>
        <w:kinsoku/>
        <w:wordWrap/>
        <w:overflowPunct/>
        <w:topLinePunct w:val="0"/>
        <w:bidi w:val="0"/>
        <w:adjustRightInd/>
        <w:snapToGrid/>
        <w:spacing w:line="400" w:lineRule="exact"/>
        <w:ind w:left="0" w:leftChars="0" w:right="0" w:rightChars="0" w:firstLine="4935" w:firstLineChars="235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BD8F7AE">
      <w:pPr>
        <w:pageBreakBefore w:val="0"/>
        <w:kinsoku/>
        <w:wordWrap/>
        <w:overflowPunct/>
        <w:topLinePunct w:val="0"/>
        <w:bidi w:val="0"/>
        <w:adjustRightInd/>
        <w:snapToGrid/>
        <w:spacing w:line="400" w:lineRule="exact"/>
        <w:ind w:right="0" w:rightChars="0"/>
        <w:jc w:val="right"/>
        <w:rPr>
          <w:rFonts w:hint="eastAsia" w:ascii="宋体" w:hAnsi="宋体" w:eastAsia="宋体" w:cs="宋体"/>
          <w:color w:val="auto"/>
          <w:sz w:val="21"/>
          <w:szCs w:val="21"/>
          <w:highlight w:val="none"/>
        </w:rPr>
      </w:pPr>
    </w:p>
    <w:p w14:paraId="4A096222">
      <w:pPr>
        <w:pStyle w:val="24"/>
        <w:pageBreakBefore w:val="0"/>
        <w:kinsoku/>
        <w:wordWrap/>
        <w:overflowPunct/>
        <w:topLinePunct w:val="0"/>
        <w:bidi w:val="0"/>
        <w:adjustRightInd/>
        <w:snapToGrid/>
        <w:spacing w:after="0" w:afterLines="0" w:line="400" w:lineRule="exact"/>
        <w:ind w:left="0" w:leftChars="0" w:right="0" w:rightChars="0" w:firstLine="210"/>
        <w:rPr>
          <w:rFonts w:hint="eastAsia" w:ascii="宋体" w:hAnsi="宋体" w:eastAsia="宋体" w:cs="宋体"/>
          <w:color w:val="auto"/>
          <w:sz w:val="21"/>
          <w:szCs w:val="21"/>
          <w:highlight w:val="none"/>
        </w:rPr>
      </w:pPr>
    </w:p>
    <w:p w14:paraId="339D219D">
      <w:pPr>
        <w:pStyle w:val="24"/>
        <w:pageBreakBefore w:val="0"/>
        <w:kinsoku/>
        <w:wordWrap/>
        <w:overflowPunct/>
        <w:topLinePunct w:val="0"/>
        <w:bidi w:val="0"/>
        <w:adjustRightInd/>
        <w:snapToGrid/>
        <w:spacing w:after="0" w:afterLines="0"/>
        <w:ind w:left="0" w:leftChars="0" w:right="0" w:rightChars="0" w:firstLine="0" w:firstLineChars="0"/>
        <w:jc w:val="both"/>
        <w:rPr>
          <w:rFonts w:hint="eastAsia" w:ascii="宋体" w:hAnsi="宋体" w:eastAsia="宋体" w:cs="宋体"/>
          <w:b/>
          <w:color w:val="auto"/>
          <w:sz w:val="21"/>
          <w:szCs w:val="21"/>
          <w:highlight w:val="none"/>
          <w:lang w:eastAsia="zh-CN"/>
        </w:rPr>
        <w:sectPr>
          <w:headerReference r:id="rId10" w:type="default"/>
          <w:footerReference r:id="rId11" w:type="default"/>
          <w:pgSz w:w="11905" w:h="16838"/>
          <w:pgMar w:top="1440" w:right="1701" w:bottom="1440" w:left="1701" w:header="850" w:footer="850" w:gutter="0"/>
          <w:pgBorders>
            <w:top w:val="none" w:sz="0" w:space="0"/>
            <w:left w:val="none" w:sz="0" w:space="0"/>
            <w:bottom w:val="none" w:sz="0" w:space="0"/>
            <w:right w:val="none" w:sz="0" w:space="0"/>
          </w:pgBorders>
          <w:pgNumType w:fmt="decimal"/>
          <w:cols w:space="0" w:num="1"/>
          <w:rtlGutter w:val="0"/>
          <w:docGrid w:type="lines" w:linePitch="425" w:charSpace="0"/>
        </w:sectPr>
      </w:pPr>
    </w:p>
    <w:p w14:paraId="7670578A">
      <w:pPr>
        <w:keepNext w:val="0"/>
        <w:keepLines w:val="0"/>
        <w:pageBreakBefore w:val="0"/>
        <w:widowControl w:val="0"/>
        <w:numPr>
          <w:ilvl w:val="0"/>
          <w:numId w:val="0"/>
        </w:numPr>
        <w:kinsoku/>
        <w:wordWrap/>
        <w:overflowPunct/>
        <w:topLinePunct w:val="0"/>
        <w:bidi w:val="0"/>
        <w:snapToGrid/>
        <w:spacing w:line="312" w:lineRule="auto"/>
        <w:jc w:val="center"/>
        <w:textAlignment w:val="auto"/>
        <w:outlineLvl w:val="1"/>
        <w:rPr>
          <w:rFonts w:hint="eastAsia" w:ascii="宋体" w:hAnsi="宋体" w:cs="宋体"/>
          <w:b/>
          <w:sz w:val="28"/>
          <w:szCs w:val="28"/>
        </w:rPr>
      </w:pPr>
      <w:bookmarkStart w:id="121" w:name="_Toc21101"/>
      <w:bookmarkStart w:id="122" w:name="_Toc32569"/>
      <w:r>
        <w:rPr>
          <w:rFonts w:hint="eastAsia" w:ascii="宋体" w:hAnsi="宋体" w:cs="宋体"/>
          <w:b/>
          <w:kern w:val="2"/>
          <w:sz w:val="28"/>
          <w:szCs w:val="28"/>
          <w:lang w:val="en-US" w:eastAsia="zh-CN" w:bidi="ar-SA"/>
        </w:rPr>
        <w:t>六</w:t>
      </w:r>
      <w:r>
        <w:rPr>
          <w:rFonts w:hint="eastAsia" w:ascii="宋体" w:hAnsi="宋体" w:eastAsia="宋体" w:cs="宋体"/>
          <w:b/>
          <w:kern w:val="2"/>
          <w:sz w:val="28"/>
          <w:szCs w:val="28"/>
          <w:lang w:val="en-US" w:eastAsia="zh-CN" w:bidi="ar-SA"/>
        </w:rPr>
        <w:t>、</w:t>
      </w:r>
      <w:r>
        <w:rPr>
          <w:rFonts w:hint="eastAsia" w:ascii="宋体" w:hAnsi="宋体" w:cs="宋体"/>
          <w:b/>
          <w:sz w:val="28"/>
          <w:szCs w:val="28"/>
        </w:rPr>
        <w:t>项目管理机构</w:t>
      </w:r>
    </w:p>
    <w:p w14:paraId="71B496EA">
      <w:pPr>
        <w:pStyle w:val="5"/>
        <w:numPr>
          <w:ilvl w:val="3"/>
          <w:numId w:val="0"/>
        </w:numPr>
        <w:spacing w:before="0" w:after="0" w:line="360" w:lineRule="auto"/>
        <w:jc w:val="center"/>
        <w:rPr>
          <w:rFonts w:hint="eastAsia" w:ascii="宋体" w:hAnsi="宋体" w:eastAsia="宋体" w:cs="宋体"/>
          <w:color w:val="000000"/>
          <w:sz w:val="21"/>
          <w:szCs w:val="21"/>
        </w:rPr>
      </w:pPr>
    </w:p>
    <w:p w14:paraId="2D830453">
      <w:pPr>
        <w:pStyle w:val="5"/>
        <w:numPr>
          <w:ilvl w:val="3"/>
          <w:numId w:val="0"/>
        </w:numPr>
        <w:spacing w:before="0" w:after="0" w:line="360" w:lineRule="auto"/>
        <w:jc w:val="center"/>
        <w:rPr>
          <w:rFonts w:hint="eastAsia" w:ascii="宋体" w:hAnsi="宋体" w:eastAsia="宋体" w:cs="宋体"/>
        </w:rPr>
      </w:pPr>
      <w:r>
        <w:rPr>
          <w:rFonts w:hint="eastAsia" w:ascii="宋体" w:hAnsi="宋体" w:eastAsia="宋体" w:cs="宋体"/>
          <w:color w:val="000000"/>
          <w:sz w:val="21"/>
          <w:szCs w:val="21"/>
        </w:rPr>
        <w:t>项目管理机构组成表</w:t>
      </w:r>
    </w:p>
    <w:tbl>
      <w:tblPr>
        <w:tblStyle w:val="26"/>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028"/>
        <w:gridCol w:w="1027"/>
        <w:gridCol w:w="1643"/>
        <w:gridCol w:w="1116"/>
        <w:gridCol w:w="1142"/>
        <w:gridCol w:w="1231"/>
        <w:gridCol w:w="1026"/>
      </w:tblGrid>
      <w:tr w14:paraId="2D39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vMerge w:val="restart"/>
            <w:noWrap w:val="0"/>
            <w:vAlign w:val="center"/>
          </w:tcPr>
          <w:p w14:paraId="5D65C5C4">
            <w:pPr>
              <w:jc w:val="center"/>
              <w:rPr>
                <w:rFonts w:hint="eastAsia" w:ascii="宋体" w:hAnsi="宋体" w:cs="宋体"/>
                <w:color w:val="000000"/>
                <w:sz w:val="21"/>
                <w:szCs w:val="21"/>
              </w:rPr>
            </w:pPr>
            <w:r>
              <w:rPr>
                <w:rFonts w:hint="eastAsia" w:ascii="宋体" w:hAnsi="宋体" w:cs="宋体"/>
                <w:color w:val="000000"/>
                <w:sz w:val="21"/>
                <w:szCs w:val="21"/>
              </w:rPr>
              <w:t>职务</w:t>
            </w:r>
          </w:p>
        </w:tc>
        <w:tc>
          <w:tcPr>
            <w:tcW w:w="1028" w:type="dxa"/>
            <w:vMerge w:val="restart"/>
            <w:noWrap w:val="0"/>
            <w:vAlign w:val="center"/>
          </w:tcPr>
          <w:p w14:paraId="6891D6BA">
            <w:pPr>
              <w:jc w:val="center"/>
              <w:rPr>
                <w:rFonts w:hint="eastAsia" w:ascii="宋体" w:hAnsi="宋体" w:cs="宋体"/>
                <w:color w:val="000000"/>
                <w:sz w:val="21"/>
                <w:szCs w:val="21"/>
              </w:rPr>
            </w:pPr>
            <w:r>
              <w:rPr>
                <w:rFonts w:hint="eastAsia" w:ascii="宋体" w:hAnsi="宋体" w:cs="宋体"/>
                <w:color w:val="000000"/>
                <w:sz w:val="21"/>
                <w:szCs w:val="21"/>
              </w:rPr>
              <w:t>姓名</w:t>
            </w:r>
          </w:p>
        </w:tc>
        <w:tc>
          <w:tcPr>
            <w:tcW w:w="1027" w:type="dxa"/>
            <w:vMerge w:val="restart"/>
            <w:noWrap w:val="0"/>
            <w:vAlign w:val="center"/>
          </w:tcPr>
          <w:p w14:paraId="38AA8A63">
            <w:pPr>
              <w:jc w:val="center"/>
              <w:rPr>
                <w:rFonts w:hint="eastAsia" w:ascii="宋体" w:hAnsi="宋体" w:cs="宋体"/>
                <w:color w:val="000000"/>
                <w:sz w:val="21"/>
                <w:szCs w:val="21"/>
              </w:rPr>
            </w:pPr>
            <w:r>
              <w:rPr>
                <w:rFonts w:hint="eastAsia" w:ascii="宋体" w:hAnsi="宋体" w:cs="宋体"/>
                <w:color w:val="000000"/>
                <w:sz w:val="21"/>
                <w:szCs w:val="21"/>
              </w:rPr>
              <w:t>职称</w:t>
            </w:r>
          </w:p>
        </w:tc>
        <w:tc>
          <w:tcPr>
            <w:tcW w:w="5132" w:type="dxa"/>
            <w:gridSpan w:val="4"/>
            <w:noWrap w:val="0"/>
            <w:vAlign w:val="center"/>
          </w:tcPr>
          <w:p w14:paraId="05DA4C96">
            <w:pPr>
              <w:jc w:val="center"/>
              <w:rPr>
                <w:rFonts w:hint="eastAsia" w:ascii="宋体" w:hAnsi="宋体" w:cs="宋体"/>
                <w:color w:val="000000"/>
                <w:sz w:val="21"/>
                <w:szCs w:val="21"/>
              </w:rPr>
            </w:pPr>
            <w:r>
              <w:rPr>
                <w:rFonts w:hint="eastAsia" w:ascii="宋体" w:hAnsi="宋体" w:cs="宋体"/>
                <w:color w:val="000000"/>
                <w:sz w:val="21"/>
                <w:szCs w:val="21"/>
              </w:rPr>
              <w:t>执业或职业资格证明</w:t>
            </w:r>
          </w:p>
        </w:tc>
        <w:tc>
          <w:tcPr>
            <w:tcW w:w="1026" w:type="dxa"/>
            <w:vMerge w:val="restart"/>
            <w:noWrap w:val="0"/>
            <w:vAlign w:val="center"/>
          </w:tcPr>
          <w:p w14:paraId="69D746FD">
            <w:pPr>
              <w:jc w:val="center"/>
              <w:rPr>
                <w:rFonts w:hint="eastAsia" w:ascii="宋体" w:hAnsi="宋体" w:cs="宋体"/>
                <w:color w:val="000000"/>
                <w:sz w:val="21"/>
                <w:szCs w:val="21"/>
              </w:rPr>
            </w:pPr>
            <w:r>
              <w:rPr>
                <w:rFonts w:hint="eastAsia" w:ascii="宋体" w:hAnsi="宋体" w:cs="宋体"/>
                <w:color w:val="000000"/>
                <w:sz w:val="21"/>
                <w:szCs w:val="21"/>
              </w:rPr>
              <w:t>备注</w:t>
            </w:r>
          </w:p>
        </w:tc>
      </w:tr>
      <w:tr w14:paraId="09CC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vMerge w:val="continue"/>
            <w:noWrap w:val="0"/>
            <w:vAlign w:val="center"/>
          </w:tcPr>
          <w:p w14:paraId="020817D2">
            <w:pPr>
              <w:jc w:val="center"/>
              <w:rPr>
                <w:rFonts w:hint="eastAsia" w:ascii="宋体" w:hAnsi="宋体" w:cs="宋体"/>
                <w:color w:val="000000"/>
                <w:sz w:val="21"/>
                <w:szCs w:val="21"/>
              </w:rPr>
            </w:pPr>
          </w:p>
        </w:tc>
        <w:tc>
          <w:tcPr>
            <w:tcW w:w="1028" w:type="dxa"/>
            <w:vMerge w:val="continue"/>
            <w:noWrap w:val="0"/>
            <w:vAlign w:val="center"/>
          </w:tcPr>
          <w:p w14:paraId="6CB13BBB">
            <w:pPr>
              <w:jc w:val="center"/>
              <w:rPr>
                <w:rFonts w:hint="eastAsia" w:ascii="宋体" w:hAnsi="宋体" w:cs="宋体"/>
                <w:color w:val="000000"/>
                <w:sz w:val="21"/>
                <w:szCs w:val="21"/>
              </w:rPr>
            </w:pPr>
          </w:p>
        </w:tc>
        <w:tc>
          <w:tcPr>
            <w:tcW w:w="1027" w:type="dxa"/>
            <w:vMerge w:val="continue"/>
            <w:noWrap w:val="0"/>
            <w:vAlign w:val="center"/>
          </w:tcPr>
          <w:p w14:paraId="146BB98F">
            <w:pPr>
              <w:jc w:val="center"/>
              <w:rPr>
                <w:rFonts w:hint="eastAsia" w:ascii="宋体" w:hAnsi="宋体" w:cs="宋体"/>
                <w:color w:val="000000"/>
                <w:sz w:val="21"/>
                <w:szCs w:val="21"/>
              </w:rPr>
            </w:pPr>
          </w:p>
        </w:tc>
        <w:tc>
          <w:tcPr>
            <w:tcW w:w="1643" w:type="dxa"/>
            <w:noWrap w:val="0"/>
            <w:vAlign w:val="center"/>
          </w:tcPr>
          <w:p w14:paraId="0064F306">
            <w:pPr>
              <w:jc w:val="center"/>
              <w:rPr>
                <w:rFonts w:hint="eastAsia" w:ascii="宋体" w:hAnsi="宋体" w:cs="宋体"/>
                <w:color w:val="000000"/>
                <w:sz w:val="21"/>
                <w:szCs w:val="21"/>
              </w:rPr>
            </w:pPr>
            <w:r>
              <w:rPr>
                <w:rFonts w:hint="eastAsia" w:ascii="宋体" w:hAnsi="宋体" w:cs="宋体"/>
                <w:color w:val="000000"/>
                <w:sz w:val="21"/>
                <w:szCs w:val="21"/>
              </w:rPr>
              <w:t>证书名称</w:t>
            </w:r>
          </w:p>
        </w:tc>
        <w:tc>
          <w:tcPr>
            <w:tcW w:w="1116" w:type="dxa"/>
            <w:noWrap w:val="0"/>
            <w:vAlign w:val="center"/>
          </w:tcPr>
          <w:p w14:paraId="08CA5A7B">
            <w:pPr>
              <w:jc w:val="center"/>
              <w:rPr>
                <w:rFonts w:hint="eastAsia" w:ascii="宋体" w:hAnsi="宋体" w:cs="宋体"/>
                <w:color w:val="000000"/>
                <w:sz w:val="21"/>
                <w:szCs w:val="21"/>
              </w:rPr>
            </w:pPr>
            <w:r>
              <w:rPr>
                <w:rFonts w:hint="eastAsia" w:ascii="宋体" w:hAnsi="宋体" w:cs="宋体"/>
                <w:color w:val="000000"/>
                <w:sz w:val="21"/>
                <w:szCs w:val="21"/>
              </w:rPr>
              <w:t>级别</w:t>
            </w:r>
          </w:p>
        </w:tc>
        <w:tc>
          <w:tcPr>
            <w:tcW w:w="1142" w:type="dxa"/>
            <w:noWrap w:val="0"/>
            <w:vAlign w:val="center"/>
          </w:tcPr>
          <w:p w14:paraId="64E090F7">
            <w:pPr>
              <w:jc w:val="center"/>
              <w:rPr>
                <w:rFonts w:hint="eastAsia" w:ascii="宋体" w:hAnsi="宋体" w:cs="宋体"/>
                <w:color w:val="000000"/>
                <w:sz w:val="21"/>
                <w:szCs w:val="21"/>
              </w:rPr>
            </w:pPr>
            <w:r>
              <w:rPr>
                <w:rFonts w:hint="eastAsia" w:ascii="宋体" w:hAnsi="宋体" w:cs="宋体"/>
                <w:color w:val="000000"/>
                <w:sz w:val="21"/>
                <w:szCs w:val="21"/>
              </w:rPr>
              <w:t>证号</w:t>
            </w:r>
          </w:p>
        </w:tc>
        <w:tc>
          <w:tcPr>
            <w:tcW w:w="1231" w:type="dxa"/>
            <w:noWrap w:val="0"/>
            <w:vAlign w:val="center"/>
          </w:tcPr>
          <w:p w14:paraId="3B7DD028">
            <w:pPr>
              <w:jc w:val="center"/>
              <w:rPr>
                <w:rFonts w:hint="eastAsia" w:ascii="宋体" w:hAnsi="宋体" w:cs="宋体"/>
                <w:color w:val="000000"/>
                <w:sz w:val="21"/>
                <w:szCs w:val="21"/>
              </w:rPr>
            </w:pPr>
            <w:r>
              <w:rPr>
                <w:rFonts w:hint="eastAsia" w:ascii="宋体" w:hAnsi="宋体" w:cs="宋体"/>
                <w:color w:val="000000"/>
                <w:sz w:val="21"/>
                <w:szCs w:val="21"/>
              </w:rPr>
              <w:t>专业</w:t>
            </w:r>
          </w:p>
        </w:tc>
        <w:tc>
          <w:tcPr>
            <w:tcW w:w="1026" w:type="dxa"/>
            <w:vMerge w:val="continue"/>
            <w:noWrap w:val="0"/>
            <w:vAlign w:val="center"/>
          </w:tcPr>
          <w:p w14:paraId="02828E0D">
            <w:pPr>
              <w:jc w:val="center"/>
              <w:rPr>
                <w:rFonts w:hint="eastAsia" w:ascii="宋体" w:hAnsi="宋体" w:cs="宋体"/>
                <w:color w:val="000000"/>
                <w:sz w:val="21"/>
                <w:szCs w:val="21"/>
              </w:rPr>
            </w:pPr>
          </w:p>
        </w:tc>
      </w:tr>
      <w:tr w14:paraId="1754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527F8001">
            <w:pPr>
              <w:jc w:val="center"/>
              <w:rPr>
                <w:rFonts w:hint="eastAsia" w:ascii="宋体" w:hAnsi="宋体" w:cs="宋体"/>
                <w:color w:val="000000"/>
                <w:sz w:val="21"/>
                <w:szCs w:val="21"/>
              </w:rPr>
            </w:pPr>
          </w:p>
        </w:tc>
        <w:tc>
          <w:tcPr>
            <w:tcW w:w="1028" w:type="dxa"/>
            <w:noWrap w:val="0"/>
            <w:vAlign w:val="center"/>
          </w:tcPr>
          <w:p w14:paraId="4DE286B4">
            <w:pPr>
              <w:jc w:val="center"/>
              <w:rPr>
                <w:rFonts w:hint="eastAsia" w:ascii="宋体" w:hAnsi="宋体" w:cs="宋体"/>
                <w:color w:val="000000"/>
                <w:sz w:val="21"/>
                <w:szCs w:val="21"/>
              </w:rPr>
            </w:pPr>
          </w:p>
        </w:tc>
        <w:tc>
          <w:tcPr>
            <w:tcW w:w="1027" w:type="dxa"/>
            <w:noWrap w:val="0"/>
            <w:vAlign w:val="center"/>
          </w:tcPr>
          <w:p w14:paraId="0D33CF2B">
            <w:pPr>
              <w:jc w:val="center"/>
              <w:rPr>
                <w:rFonts w:hint="eastAsia" w:ascii="宋体" w:hAnsi="宋体" w:cs="宋体"/>
                <w:color w:val="000000"/>
                <w:sz w:val="21"/>
                <w:szCs w:val="21"/>
              </w:rPr>
            </w:pPr>
          </w:p>
        </w:tc>
        <w:tc>
          <w:tcPr>
            <w:tcW w:w="1643" w:type="dxa"/>
            <w:noWrap w:val="0"/>
            <w:vAlign w:val="center"/>
          </w:tcPr>
          <w:p w14:paraId="1BF78736">
            <w:pPr>
              <w:jc w:val="center"/>
              <w:rPr>
                <w:rFonts w:hint="eastAsia" w:ascii="宋体" w:hAnsi="宋体" w:cs="宋体"/>
                <w:color w:val="000000"/>
                <w:sz w:val="21"/>
                <w:szCs w:val="21"/>
              </w:rPr>
            </w:pPr>
          </w:p>
        </w:tc>
        <w:tc>
          <w:tcPr>
            <w:tcW w:w="1116" w:type="dxa"/>
            <w:noWrap w:val="0"/>
            <w:vAlign w:val="center"/>
          </w:tcPr>
          <w:p w14:paraId="450F493D">
            <w:pPr>
              <w:jc w:val="center"/>
              <w:rPr>
                <w:rFonts w:hint="eastAsia" w:ascii="宋体" w:hAnsi="宋体" w:cs="宋体"/>
                <w:color w:val="000000"/>
                <w:sz w:val="21"/>
                <w:szCs w:val="21"/>
              </w:rPr>
            </w:pPr>
          </w:p>
        </w:tc>
        <w:tc>
          <w:tcPr>
            <w:tcW w:w="1142" w:type="dxa"/>
            <w:noWrap w:val="0"/>
            <w:vAlign w:val="center"/>
          </w:tcPr>
          <w:p w14:paraId="67E6F30D">
            <w:pPr>
              <w:jc w:val="center"/>
              <w:rPr>
                <w:rFonts w:hint="eastAsia" w:ascii="宋体" w:hAnsi="宋体" w:cs="宋体"/>
                <w:color w:val="000000"/>
                <w:sz w:val="21"/>
                <w:szCs w:val="21"/>
              </w:rPr>
            </w:pPr>
          </w:p>
        </w:tc>
        <w:tc>
          <w:tcPr>
            <w:tcW w:w="1231" w:type="dxa"/>
            <w:noWrap w:val="0"/>
            <w:vAlign w:val="center"/>
          </w:tcPr>
          <w:p w14:paraId="195361DF">
            <w:pPr>
              <w:jc w:val="center"/>
              <w:rPr>
                <w:rFonts w:hint="eastAsia" w:ascii="宋体" w:hAnsi="宋体" w:cs="宋体"/>
                <w:color w:val="000000"/>
                <w:sz w:val="21"/>
                <w:szCs w:val="21"/>
              </w:rPr>
            </w:pPr>
          </w:p>
        </w:tc>
        <w:tc>
          <w:tcPr>
            <w:tcW w:w="1026" w:type="dxa"/>
            <w:noWrap w:val="0"/>
            <w:vAlign w:val="center"/>
          </w:tcPr>
          <w:p w14:paraId="3EE50707">
            <w:pPr>
              <w:jc w:val="center"/>
              <w:rPr>
                <w:rFonts w:hint="eastAsia" w:ascii="宋体" w:hAnsi="宋体" w:cs="宋体"/>
                <w:color w:val="000000"/>
                <w:sz w:val="21"/>
                <w:szCs w:val="21"/>
              </w:rPr>
            </w:pPr>
          </w:p>
        </w:tc>
      </w:tr>
      <w:tr w14:paraId="2BD7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4304D3BC">
            <w:pPr>
              <w:jc w:val="center"/>
              <w:rPr>
                <w:rFonts w:hint="eastAsia" w:ascii="宋体" w:hAnsi="宋体" w:cs="宋体"/>
                <w:color w:val="000000"/>
                <w:sz w:val="21"/>
                <w:szCs w:val="21"/>
              </w:rPr>
            </w:pPr>
          </w:p>
        </w:tc>
        <w:tc>
          <w:tcPr>
            <w:tcW w:w="1028" w:type="dxa"/>
            <w:noWrap w:val="0"/>
            <w:vAlign w:val="center"/>
          </w:tcPr>
          <w:p w14:paraId="728AEE81">
            <w:pPr>
              <w:jc w:val="center"/>
              <w:rPr>
                <w:rFonts w:hint="eastAsia" w:ascii="宋体" w:hAnsi="宋体" w:cs="宋体"/>
                <w:color w:val="000000"/>
                <w:sz w:val="21"/>
                <w:szCs w:val="21"/>
              </w:rPr>
            </w:pPr>
          </w:p>
        </w:tc>
        <w:tc>
          <w:tcPr>
            <w:tcW w:w="1027" w:type="dxa"/>
            <w:noWrap w:val="0"/>
            <w:vAlign w:val="center"/>
          </w:tcPr>
          <w:p w14:paraId="4A45B32B">
            <w:pPr>
              <w:jc w:val="center"/>
              <w:rPr>
                <w:rFonts w:hint="eastAsia" w:ascii="宋体" w:hAnsi="宋体" w:cs="宋体"/>
                <w:color w:val="000000"/>
                <w:sz w:val="21"/>
                <w:szCs w:val="21"/>
              </w:rPr>
            </w:pPr>
          </w:p>
        </w:tc>
        <w:tc>
          <w:tcPr>
            <w:tcW w:w="1643" w:type="dxa"/>
            <w:noWrap w:val="0"/>
            <w:vAlign w:val="center"/>
          </w:tcPr>
          <w:p w14:paraId="2E7ABDA3">
            <w:pPr>
              <w:jc w:val="center"/>
              <w:rPr>
                <w:rFonts w:hint="eastAsia" w:ascii="宋体" w:hAnsi="宋体" w:cs="宋体"/>
                <w:color w:val="000000"/>
                <w:sz w:val="21"/>
                <w:szCs w:val="21"/>
              </w:rPr>
            </w:pPr>
          </w:p>
        </w:tc>
        <w:tc>
          <w:tcPr>
            <w:tcW w:w="1116" w:type="dxa"/>
            <w:noWrap w:val="0"/>
            <w:vAlign w:val="center"/>
          </w:tcPr>
          <w:p w14:paraId="347E20EB">
            <w:pPr>
              <w:jc w:val="center"/>
              <w:rPr>
                <w:rFonts w:hint="eastAsia" w:ascii="宋体" w:hAnsi="宋体" w:cs="宋体"/>
                <w:color w:val="000000"/>
                <w:sz w:val="21"/>
                <w:szCs w:val="21"/>
              </w:rPr>
            </w:pPr>
          </w:p>
        </w:tc>
        <w:tc>
          <w:tcPr>
            <w:tcW w:w="1142" w:type="dxa"/>
            <w:noWrap w:val="0"/>
            <w:vAlign w:val="center"/>
          </w:tcPr>
          <w:p w14:paraId="27B40D10">
            <w:pPr>
              <w:jc w:val="center"/>
              <w:rPr>
                <w:rFonts w:hint="eastAsia" w:ascii="宋体" w:hAnsi="宋体" w:cs="宋体"/>
                <w:color w:val="000000"/>
                <w:sz w:val="21"/>
                <w:szCs w:val="21"/>
              </w:rPr>
            </w:pPr>
          </w:p>
        </w:tc>
        <w:tc>
          <w:tcPr>
            <w:tcW w:w="1231" w:type="dxa"/>
            <w:noWrap w:val="0"/>
            <w:vAlign w:val="center"/>
          </w:tcPr>
          <w:p w14:paraId="09529600">
            <w:pPr>
              <w:jc w:val="center"/>
              <w:rPr>
                <w:rFonts w:hint="eastAsia" w:ascii="宋体" w:hAnsi="宋体" w:cs="宋体"/>
                <w:color w:val="000000"/>
                <w:sz w:val="21"/>
                <w:szCs w:val="21"/>
              </w:rPr>
            </w:pPr>
          </w:p>
        </w:tc>
        <w:tc>
          <w:tcPr>
            <w:tcW w:w="1026" w:type="dxa"/>
            <w:noWrap w:val="0"/>
            <w:vAlign w:val="center"/>
          </w:tcPr>
          <w:p w14:paraId="032F5915">
            <w:pPr>
              <w:jc w:val="center"/>
              <w:rPr>
                <w:rFonts w:hint="eastAsia" w:ascii="宋体" w:hAnsi="宋体" w:cs="宋体"/>
                <w:color w:val="000000"/>
                <w:sz w:val="21"/>
                <w:szCs w:val="21"/>
              </w:rPr>
            </w:pPr>
          </w:p>
        </w:tc>
      </w:tr>
      <w:tr w14:paraId="65C9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18C534F6">
            <w:pPr>
              <w:jc w:val="center"/>
              <w:rPr>
                <w:rFonts w:hint="eastAsia" w:ascii="宋体" w:hAnsi="宋体" w:cs="宋体"/>
                <w:color w:val="000000"/>
                <w:sz w:val="21"/>
                <w:szCs w:val="21"/>
              </w:rPr>
            </w:pPr>
          </w:p>
        </w:tc>
        <w:tc>
          <w:tcPr>
            <w:tcW w:w="1028" w:type="dxa"/>
            <w:noWrap w:val="0"/>
            <w:vAlign w:val="center"/>
          </w:tcPr>
          <w:p w14:paraId="7C88CF30">
            <w:pPr>
              <w:jc w:val="center"/>
              <w:rPr>
                <w:rFonts w:hint="eastAsia" w:ascii="宋体" w:hAnsi="宋体" w:cs="宋体"/>
                <w:color w:val="000000"/>
                <w:sz w:val="21"/>
                <w:szCs w:val="21"/>
              </w:rPr>
            </w:pPr>
          </w:p>
        </w:tc>
        <w:tc>
          <w:tcPr>
            <w:tcW w:w="1027" w:type="dxa"/>
            <w:noWrap w:val="0"/>
            <w:vAlign w:val="center"/>
          </w:tcPr>
          <w:p w14:paraId="7EDEE99E">
            <w:pPr>
              <w:jc w:val="center"/>
              <w:rPr>
                <w:rFonts w:hint="eastAsia" w:ascii="宋体" w:hAnsi="宋体" w:cs="宋体"/>
                <w:color w:val="000000"/>
                <w:sz w:val="21"/>
                <w:szCs w:val="21"/>
              </w:rPr>
            </w:pPr>
          </w:p>
        </w:tc>
        <w:tc>
          <w:tcPr>
            <w:tcW w:w="1643" w:type="dxa"/>
            <w:noWrap w:val="0"/>
            <w:vAlign w:val="center"/>
          </w:tcPr>
          <w:p w14:paraId="394740F2">
            <w:pPr>
              <w:jc w:val="center"/>
              <w:rPr>
                <w:rFonts w:hint="eastAsia" w:ascii="宋体" w:hAnsi="宋体" w:cs="宋体"/>
                <w:color w:val="000000"/>
                <w:sz w:val="21"/>
                <w:szCs w:val="21"/>
              </w:rPr>
            </w:pPr>
          </w:p>
        </w:tc>
        <w:tc>
          <w:tcPr>
            <w:tcW w:w="1116" w:type="dxa"/>
            <w:noWrap w:val="0"/>
            <w:vAlign w:val="center"/>
          </w:tcPr>
          <w:p w14:paraId="0D03FC2A">
            <w:pPr>
              <w:jc w:val="center"/>
              <w:rPr>
                <w:rFonts w:hint="eastAsia" w:ascii="宋体" w:hAnsi="宋体" w:cs="宋体"/>
                <w:color w:val="000000"/>
                <w:sz w:val="21"/>
                <w:szCs w:val="21"/>
              </w:rPr>
            </w:pPr>
          </w:p>
        </w:tc>
        <w:tc>
          <w:tcPr>
            <w:tcW w:w="1142" w:type="dxa"/>
            <w:noWrap w:val="0"/>
            <w:vAlign w:val="center"/>
          </w:tcPr>
          <w:p w14:paraId="127D6DBC">
            <w:pPr>
              <w:jc w:val="center"/>
              <w:rPr>
                <w:rFonts w:hint="eastAsia" w:ascii="宋体" w:hAnsi="宋体" w:cs="宋体"/>
                <w:color w:val="000000"/>
                <w:sz w:val="21"/>
                <w:szCs w:val="21"/>
              </w:rPr>
            </w:pPr>
          </w:p>
        </w:tc>
        <w:tc>
          <w:tcPr>
            <w:tcW w:w="1231" w:type="dxa"/>
            <w:noWrap w:val="0"/>
            <w:vAlign w:val="center"/>
          </w:tcPr>
          <w:p w14:paraId="4EC7EA6D">
            <w:pPr>
              <w:jc w:val="center"/>
              <w:rPr>
                <w:rFonts w:hint="eastAsia" w:ascii="宋体" w:hAnsi="宋体" w:cs="宋体"/>
                <w:color w:val="000000"/>
                <w:sz w:val="21"/>
                <w:szCs w:val="21"/>
              </w:rPr>
            </w:pPr>
          </w:p>
        </w:tc>
        <w:tc>
          <w:tcPr>
            <w:tcW w:w="1026" w:type="dxa"/>
            <w:noWrap w:val="0"/>
            <w:vAlign w:val="center"/>
          </w:tcPr>
          <w:p w14:paraId="67E84434">
            <w:pPr>
              <w:jc w:val="center"/>
              <w:rPr>
                <w:rFonts w:hint="eastAsia" w:ascii="宋体" w:hAnsi="宋体" w:cs="宋体"/>
                <w:color w:val="000000"/>
                <w:sz w:val="21"/>
                <w:szCs w:val="21"/>
              </w:rPr>
            </w:pPr>
          </w:p>
        </w:tc>
      </w:tr>
      <w:tr w14:paraId="51C6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542EB45A">
            <w:pPr>
              <w:jc w:val="center"/>
              <w:rPr>
                <w:rFonts w:hint="eastAsia" w:ascii="宋体" w:hAnsi="宋体" w:cs="宋体"/>
                <w:color w:val="000000"/>
                <w:sz w:val="21"/>
                <w:szCs w:val="21"/>
              </w:rPr>
            </w:pPr>
          </w:p>
        </w:tc>
        <w:tc>
          <w:tcPr>
            <w:tcW w:w="1028" w:type="dxa"/>
            <w:noWrap w:val="0"/>
            <w:vAlign w:val="center"/>
          </w:tcPr>
          <w:p w14:paraId="59F83EFC">
            <w:pPr>
              <w:jc w:val="center"/>
              <w:rPr>
                <w:rFonts w:hint="eastAsia" w:ascii="宋体" w:hAnsi="宋体" w:cs="宋体"/>
                <w:color w:val="000000"/>
                <w:sz w:val="21"/>
                <w:szCs w:val="21"/>
              </w:rPr>
            </w:pPr>
          </w:p>
        </w:tc>
        <w:tc>
          <w:tcPr>
            <w:tcW w:w="1027" w:type="dxa"/>
            <w:noWrap w:val="0"/>
            <w:vAlign w:val="center"/>
          </w:tcPr>
          <w:p w14:paraId="565DBE5F">
            <w:pPr>
              <w:jc w:val="center"/>
              <w:rPr>
                <w:rFonts w:hint="eastAsia" w:ascii="宋体" w:hAnsi="宋体" w:cs="宋体"/>
                <w:color w:val="000000"/>
                <w:sz w:val="21"/>
                <w:szCs w:val="21"/>
              </w:rPr>
            </w:pPr>
          </w:p>
        </w:tc>
        <w:tc>
          <w:tcPr>
            <w:tcW w:w="1643" w:type="dxa"/>
            <w:noWrap w:val="0"/>
            <w:vAlign w:val="center"/>
          </w:tcPr>
          <w:p w14:paraId="0C68071C">
            <w:pPr>
              <w:jc w:val="center"/>
              <w:rPr>
                <w:rFonts w:hint="eastAsia" w:ascii="宋体" w:hAnsi="宋体" w:cs="宋体"/>
                <w:color w:val="000000"/>
                <w:sz w:val="21"/>
                <w:szCs w:val="21"/>
              </w:rPr>
            </w:pPr>
          </w:p>
        </w:tc>
        <w:tc>
          <w:tcPr>
            <w:tcW w:w="1116" w:type="dxa"/>
            <w:noWrap w:val="0"/>
            <w:vAlign w:val="center"/>
          </w:tcPr>
          <w:p w14:paraId="24102BB4">
            <w:pPr>
              <w:jc w:val="center"/>
              <w:rPr>
                <w:rFonts w:hint="eastAsia" w:ascii="宋体" w:hAnsi="宋体" w:cs="宋体"/>
                <w:color w:val="000000"/>
                <w:sz w:val="21"/>
                <w:szCs w:val="21"/>
              </w:rPr>
            </w:pPr>
          </w:p>
        </w:tc>
        <w:tc>
          <w:tcPr>
            <w:tcW w:w="1142" w:type="dxa"/>
            <w:noWrap w:val="0"/>
            <w:vAlign w:val="center"/>
          </w:tcPr>
          <w:p w14:paraId="741F9BEE">
            <w:pPr>
              <w:jc w:val="center"/>
              <w:rPr>
                <w:rFonts w:hint="eastAsia" w:ascii="宋体" w:hAnsi="宋体" w:cs="宋体"/>
                <w:color w:val="000000"/>
                <w:sz w:val="21"/>
                <w:szCs w:val="21"/>
              </w:rPr>
            </w:pPr>
          </w:p>
        </w:tc>
        <w:tc>
          <w:tcPr>
            <w:tcW w:w="1231" w:type="dxa"/>
            <w:noWrap w:val="0"/>
            <w:vAlign w:val="center"/>
          </w:tcPr>
          <w:p w14:paraId="7D4467DF">
            <w:pPr>
              <w:jc w:val="center"/>
              <w:rPr>
                <w:rFonts w:hint="eastAsia" w:ascii="宋体" w:hAnsi="宋体" w:cs="宋体"/>
                <w:color w:val="000000"/>
                <w:sz w:val="21"/>
                <w:szCs w:val="21"/>
              </w:rPr>
            </w:pPr>
          </w:p>
        </w:tc>
        <w:tc>
          <w:tcPr>
            <w:tcW w:w="1026" w:type="dxa"/>
            <w:noWrap w:val="0"/>
            <w:vAlign w:val="center"/>
          </w:tcPr>
          <w:p w14:paraId="58F46AAD">
            <w:pPr>
              <w:jc w:val="center"/>
              <w:rPr>
                <w:rFonts w:hint="eastAsia" w:ascii="宋体" w:hAnsi="宋体" w:cs="宋体"/>
                <w:color w:val="000000"/>
                <w:sz w:val="21"/>
                <w:szCs w:val="21"/>
              </w:rPr>
            </w:pPr>
          </w:p>
        </w:tc>
      </w:tr>
      <w:tr w14:paraId="61B5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7244AF91">
            <w:pPr>
              <w:jc w:val="center"/>
              <w:rPr>
                <w:rFonts w:hint="eastAsia" w:ascii="宋体" w:hAnsi="宋体" w:cs="宋体"/>
                <w:color w:val="000000"/>
                <w:sz w:val="21"/>
                <w:szCs w:val="21"/>
              </w:rPr>
            </w:pPr>
          </w:p>
        </w:tc>
        <w:tc>
          <w:tcPr>
            <w:tcW w:w="1028" w:type="dxa"/>
            <w:noWrap w:val="0"/>
            <w:vAlign w:val="center"/>
          </w:tcPr>
          <w:p w14:paraId="2912AD63">
            <w:pPr>
              <w:jc w:val="center"/>
              <w:rPr>
                <w:rFonts w:hint="eastAsia" w:ascii="宋体" w:hAnsi="宋体" w:cs="宋体"/>
                <w:color w:val="000000"/>
                <w:sz w:val="21"/>
                <w:szCs w:val="21"/>
              </w:rPr>
            </w:pPr>
          </w:p>
        </w:tc>
        <w:tc>
          <w:tcPr>
            <w:tcW w:w="1027" w:type="dxa"/>
            <w:noWrap w:val="0"/>
            <w:vAlign w:val="center"/>
          </w:tcPr>
          <w:p w14:paraId="14DDE01D">
            <w:pPr>
              <w:jc w:val="center"/>
              <w:rPr>
                <w:rFonts w:hint="eastAsia" w:ascii="宋体" w:hAnsi="宋体" w:cs="宋体"/>
                <w:color w:val="000000"/>
                <w:sz w:val="21"/>
                <w:szCs w:val="21"/>
              </w:rPr>
            </w:pPr>
          </w:p>
        </w:tc>
        <w:tc>
          <w:tcPr>
            <w:tcW w:w="1643" w:type="dxa"/>
            <w:noWrap w:val="0"/>
            <w:vAlign w:val="center"/>
          </w:tcPr>
          <w:p w14:paraId="19846A34">
            <w:pPr>
              <w:jc w:val="center"/>
              <w:rPr>
                <w:rFonts w:hint="eastAsia" w:ascii="宋体" w:hAnsi="宋体" w:cs="宋体"/>
                <w:color w:val="000000"/>
                <w:sz w:val="21"/>
                <w:szCs w:val="21"/>
              </w:rPr>
            </w:pPr>
          </w:p>
        </w:tc>
        <w:tc>
          <w:tcPr>
            <w:tcW w:w="1116" w:type="dxa"/>
            <w:noWrap w:val="0"/>
            <w:vAlign w:val="center"/>
          </w:tcPr>
          <w:p w14:paraId="48896F1E">
            <w:pPr>
              <w:jc w:val="center"/>
              <w:rPr>
                <w:rFonts w:hint="eastAsia" w:ascii="宋体" w:hAnsi="宋体" w:cs="宋体"/>
                <w:color w:val="000000"/>
                <w:sz w:val="21"/>
                <w:szCs w:val="21"/>
              </w:rPr>
            </w:pPr>
          </w:p>
        </w:tc>
        <w:tc>
          <w:tcPr>
            <w:tcW w:w="1142" w:type="dxa"/>
            <w:noWrap w:val="0"/>
            <w:vAlign w:val="center"/>
          </w:tcPr>
          <w:p w14:paraId="43CDEA7F">
            <w:pPr>
              <w:jc w:val="center"/>
              <w:rPr>
                <w:rFonts w:hint="eastAsia" w:ascii="宋体" w:hAnsi="宋体" w:cs="宋体"/>
                <w:color w:val="000000"/>
                <w:sz w:val="21"/>
                <w:szCs w:val="21"/>
              </w:rPr>
            </w:pPr>
          </w:p>
        </w:tc>
        <w:tc>
          <w:tcPr>
            <w:tcW w:w="1231" w:type="dxa"/>
            <w:noWrap w:val="0"/>
            <w:vAlign w:val="center"/>
          </w:tcPr>
          <w:p w14:paraId="21903C73">
            <w:pPr>
              <w:jc w:val="center"/>
              <w:rPr>
                <w:rFonts w:hint="eastAsia" w:ascii="宋体" w:hAnsi="宋体" w:cs="宋体"/>
                <w:color w:val="000000"/>
                <w:sz w:val="21"/>
                <w:szCs w:val="21"/>
              </w:rPr>
            </w:pPr>
          </w:p>
        </w:tc>
        <w:tc>
          <w:tcPr>
            <w:tcW w:w="1026" w:type="dxa"/>
            <w:noWrap w:val="0"/>
            <w:vAlign w:val="center"/>
          </w:tcPr>
          <w:p w14:paraId="74644E82">
            <w:pPr>
              <w:jc w:val="center"/>
              <w:rPr>
                <w:rFonts w:hint="eastAsia" w:ascii="宋体" w:hAnsi="宋体" w:cs="宋体"/>
                <w:color w:val="000000"/>
                <w:sz w:val="21"/>
                <w:szCs w:val="21"/>
              </w:rPr>
            </w:pPr>
          </w:p>
        </w:tc>
      </w:tr>
      <w:tr w14:paraId="5FFF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7C775F7E">
            <w:pPr>
              <w:jc w:val="center"/>
              <w:rPr>
                <w:rFonts w:hint="eastAsia" w:ascii="宋体" w:hAnsi="宋体" w:cs="宋体"/>
                <w:color w:val="000000"/>
                <w:sz w:val="21"/>
                <w:szCs w:val="21"/>
              </w:rPr>
            </w:pPr>
          </w:p>
        </w:tc>
        <w:tc>
          <w:tcPr>
            <w:tcW w:w="1028" w:type="dxa"/>
            <w:noWrap w:val="0"/>
            <w:vAlign w:val="center"/>
          </w:tcPr>
          <w:p w14:paraId="02729273">
            <w:pPr>
              <w:jc w:val="center"/>
              <w:rPr>
                <w:rFonts w:hint="eastAsia" w:ascii="宋体" w:hAnsi="宋体" w:cs="宋体"/>
                <w:color w:val="000000"/>
                <w:sz w:val="21"/>
                <w:szCs w:val="21"/>
              </w:rPr>
            </w:pPr>
          </w:p>
        </w:tc>
        <w:tc>
          <w:tcPr>
            <w:tcW w:w="1027" w:type="dxa"/>
            <w:noWrap w:val="0"/>
            <w:vAlign w:val="center"/>
          </w:tcPr>
          <w:p w14:paraId="4426D24B">
            <w:pPr>
              <w:jc w:val="center"/>
              <w:rPr>
                <w:rFonts w:hint="eastAsia" w:ascii="宋体" w:hAnsi="宋体" w:cs="宋体"/>
                <w:color w:val="000000"/>
                <w:sz w:val="21"/>
                <w:szCs w:val="21"/>
              </w:rPr>
            </w:pPr>
          </w:p>
        </w:tc>
        <w:tc>
          <w:tcPr>
            <w:tcW w:w="1643" w:type="dxa"/>
            <w:noWrap w:val="0"/>
            <w:vAlign w:val="center"/>
          </w:tcPr>
          <w:p w14:paraId="48D9A138">
            <w:pPr>
              <w:jc w:val="center"/>
              <w:rPr>
                <w:rFonts w:hint="eastAsia" w:ascii="宋体" w:hAnsi="宋体" w:cs="宋体"/>
                <w:color w:val="000000"/>
                <w:sz w:val="21"/>
                <w:szCs w:val="21"/>
              </w:rPr>
            </w:pPr>
          </w:p>
        </w:tc>
        <w:tc>
          <w:tcPr>
            <w:tcW w:w="1116" w:type="dxa"/>
            <w:noWrap w:val="0"/>
            <w:vAlign w:val="center"/>
          </w:tcPr>
          <w:p w14:paraId="5ADD4ACB">
            <w:pPr>
              <w:jc w:val="center"/>
              <w:rPr>
                <w:rFonts w:hint="eastAsia" w:ascii="宋体" w:hAnsi="宋体" w:cs="宋体"/>
                <w:color w:val="000000"/>
                <w:sz w:val="21"/>
                <w:szCs w:val="21"/>
              </w:rPr>
            </w:pPr>
          </w:p>
        </w:tc>
        <w:tc>
          <w:tcPr>
            <w:tcW w:w="1142" w:type="dxa"/>
            <w:noWrap w:val="0"/>
            <w:vAlign w:val="center"/>
          </w:tcPr>
          <w:p w14:paraId="34C210ED">
            <w:pPr>
              <w:jc w:val="center"/>
              <w:rPr>
                <w:rFonts w:hint="eastAsia" w:ascii="宋体" w:hAnsi="宋体" w:cs="宋体"/>
                <w:color w:val="000000"/>
                <w:sz w:val="21"/>
                <w:szCs w:val="21"/>
              </w:rPr>
            </w:pPr>
          </w:p>
        </w:tc>
        <w:tc>
          <w:tcPr>
            <w:tcW w:w="1231" w:type="dxa"/>
            <w:noWrap w:val="0"/>
            <w:vAlign w:val="center"/>
          </w:tcPr>
          <w:p w14:paraId="30961ED6">
            <w:pPr>
              <w:jc w:val="center"/>
              <w:rPr>
                <w:rFonts w:hint="eastAsia" w:ascii="宋体" w:hAnsi="宋体" w:cs="宋体"/>
                <w:color w:val="000000"/>
                <w:sz w:val="21"/>
                <w:szCs w:val="21"/>
              </w:rPr>
            </w:pPr>
          </w:p>
        </w:tc>
        <w:tc>
          <w:tcPr>
            <w:tcW w:w="1026" w:type="dxa"/>
            <w:noWrap w:val="0"/>
            <w:vAlign w:val="center"/>
          </w:tcPr>
          <w:p w14:paraId="10889289">
            <w:pPr>
              <w:jc w:val="center"/>
              <w:rPr>
                <w:rFonts w:hint="eastAsia" w:ascii="宋体" w:hAnsi="宋体" w:cs="宋体"/>
                <w:color w:val="000000"/>
                <w:sz w:val="21"/>
                <w:szCs w:val="21"/>
              </w:rPr>
            </w:pPr>
          </w:p>
        </w:tc>
      </w:tr>
      <w:tr w14:paraId="76A9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494AD304">
            <w:pPr>
              <w:jc w:val="center"/>
              <w:rPr>
                <w:rFonts w:hint="eastAsia" w:ascii="宋体" w:hAnsi="宋体" w:cs="宋体"/>
                <w:color w:val="000000"/>
                <w:sz w:val="21"/>
                <w:szCs w:val="21"/>
              </w:rPr>
            </w:pPr>
          </w:p>
        </w:tc>
        <w:tc>
          <w:tcPr>
            <w:tcW w:w="1028" w:type="dxa"/>
            <w:noWrap w:val="0"/>
            <w:vAlign w:val="center"/>
          </w:tcPr>
          <w:p w14:paraId="5C9CDBA0">
            <w:pPr>
              <w:jc w:val="center"/>
              <w:rPr>
                <w:rFonts w:hint="eastAsia" w:ascii="宋体" w:hAnsi="宋体" w:cs="宋体"/>
                <w:color w:val="000000"/>
                <w:sz w:val="21"/>
                <w:szCs w:val="21"/>
              </w:rPr>
            </w:pPr>
          </w:p>
        </w:tc>
        <w:tc>
          <w:tcPr>
            <w:tcW w:w="1027" w:type="dxa"/>
            <w:noWrap w:val="0"/>
            <w:vAlign w:val="center"/>
          </w:tcPr>
          <w:p w14:paraId="018B5919">
            <w:pPr>
              <w:jc w:val="center"/>
              <w:rPr>
                <w:rFonts w:hint="eastAsia" w:ascii="宋体" w:hAnsi="宋体" w:cs="宋体"/>
                <w:color w:val="000000"/>
                <w:sz w:val="21"/>
                <w:szCs w:val="21"/>
              </w:rPr>
            </w:pPr>
          </w:p>
        </w:tc>
        <w:tc>
          <w:tcPr>
            <w:tcW w:w="1643" w:type="dxa"/>
            <w:noWrap w:val="0"/>
            <w:vAlign w:val="center"/>
          </w:tcPr>
          <w:p w14:paraId="0678F326">
            <w:pPr>
              <w:jc w:val="center"/>
              <w:rPr>
                <w:rFonts w:hint="eastAsia" w:ascii="宋体" w:hAnsi="宋体" w:cs="宋体"/>
                <w:color w:val="000000"/>
                <w:sz w:val="21"/>
                <w:szCs w:val="21"/>
              </w:rPr>
            </w:pPr>
          </w:p>
        </w:tc>
        <w:tc>
          <w:tcPr>
            <w:tcW w:w="1116" w:type="dxa"/>
            <w:noWrap w:val="0"/>
            <w:vAlign w:val="center"/>
          </w:tcPr>
          <w:p w14:paraId="5CD34543">
            <w:pPr>
              <w:jc w:val="center"/>
              <w:rPr>
                <w:rFonts w:hint="eastAsia" w:ascii="宋体" w:hAnsi="宋体" w:cs="宋体"/>
                <w:color w:val="000000"/>
                <w:sz w:val="21"/>
                <w:szCs w:val="21"/>
              </w:rPr>
            </w:pPr>
          </w:p>
        </w:tc>
        <w:tc>
          <w:tcPr>
            <w:tcW w:w="1142" w:type="dxa"/>
            <w:noWrap w:val="0"/>
            <w:vAlign w:val="center"/>
          </w:tcPr>
          <w:p w14:paraId="3E57033D">
            <w:pPr>
              <w:jc w:val="center"/>
              <w:rPr>
                <w:rFonts w:hint="eastAsia" w:ascii="宋体" w:hAnsi="宋体" w:cs="宋体"/>
                <w:color w:val="000000"/>
                <w:sz w:val="21"/>
                <w:szCs w:val="21"/>
              </w:rPr>
            </w:pPr>
          </w:p>
        </w:tc>
        <w:tc>
          <w:tcPr>
            <w:tcW w:w="1231" w:type="dxa"/>
            <w:noWrap w:val="0"/>
            <w:vAlign w:val="center"/>
          </w:tcPr>
          <w:p w14:paraId="6AABC70C">
            <w:pPr>
              <w:jc w:val="center"/>
              <w:rPr>
                <w:rFonts w:hint="eastAsia" w:ascii="宋体" w:hAnsi="宋体" w:cs="宋体"/>
                <w:color w:val="000000"/>
                <w:sz w:val="21"/>
                <w:szCs w:val="21"/>
              </w:rPr>
            </w:pPr>
          </w:p>
        </w:tc>
        <w:tc>
          <w:tcPr>
            <w:tcW w:w="1026" w:type="dxa"/>
            <w:noWrap w:val="0"/>
            <w:vAlign w:val="center"/>
          </w:tcPr>
          <w:p w14:paraId="1AB0A27F">
            <w:pPr>
              <w:jc w:val="center"/>
              <w:rPr>
                <w:rFonts w:hint="eastAsia" w:ascii="宋体" w:hAnsi="宋体" w:cs="宋体"/>
                <w:color w:val="000000"/>
                <w:sz w:val="21"/>
                <w:szCs w:val="21"/>
              </w:rPr>
            </w:pPr>
          </w:p>
        </w:tc>
      </w:tr>
      <w:tr w14:paraId="75BA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7E192F32">
            <w:pPr>
              <w:jc w:val="center"/>
              <w:rPr>
                <w:rFonts w:hint="eastAsia" w:ascii="宋体" w:hAnsi="宋体" w:cs="宋体"/>
                <w:color w:val="000000"/>
                <w:sz w:val="21"/>
                <w:szCs w:val="21"/>
              </w:rPr>
            </w:pPr>
          </w:p>
        </w:tc>
        <w:tc>
          <w:tcPr>
            <w:tcW w:w="1028" w:type="dxa"/>
            <w:noWrap w:val="0"/>
            <w:vAlign w:val="center"/>
          </w:tcPr>
          <w:p w14:paraId="3463ED37">
            <w:pPr>
              <w:jc w:val="center"/>
              <w:rPr>
                <w:rFonts w:hint="eastAsia" w:ascii="宋体" w:hAnsi="宋体" w:cs="宋体"/>
                <w:color w:val="000000"/>
                <w:sz w:val="21"/>
                <w:szCs w:val="21"/>
              </w:rPr>
            </w:pPr>
          </w:p>
        </w:tc>
        <w:tc>
          <w:tcPr>
            <w:tcW w:w="1027" w:type="dxa"/>
            <w:noWrap w:val="0"/>
            <w:vAlign w:val="center"/>
          </w:tcPr>
          <w:p w14:paraId="5438D5CD">
            <w:pPr>
              <w:jc w:val="center"/>
              <w:rPr>
                <w:rFonts w:hint="eastAsia" w:ascii="宋体" w:hAnsi="宋体" w:cs="宋体"/>
                <w:color w:val="000000"/>
                <w:sz w:val="21"/>
                <w:szCs w:val="21"/>
              </w:rPr>
            </w:pPr>
          </w:p>
        </w:tc>
        <w:tc>
          <w:tcPr>
            <w:tcW w:w="1643" w:type="dxa"/>
            <w:noWrap w:val="0"/>
            <w:vAlign w:val="center"/>
          </w:tcPr>
          <w:p w14:paraId="283BF0C4">
            <w:pPr>
              <w:jc w:val="center"/>
              <w:rPr>
                <w:rFonts w:hint="eastAsia" w:ascii="宋体" w:hAnsi="宋体" w:cs="宋体"/>
                <w:color w:val="000000"/>
                <w:sz w:val="21"/>
                <w:szCs w:val="21"/>
              </w:rPr>
            </w:pPr>
          </w:p>
        </w:tc>
        <w:tc>
          <w:tcPr>
            <w:tcW w:w="1116" w:type="dxa"/>
            <w:noWrap w:val="0"/>
            <w:vAlign w:val="center"/>
          </w:tcPr>
          <w:p w14:paraId="63F16B5E">
            <w:pPr>
              <w:jc w:val="center"/>
              <w:rPr>
                <w:rFonts w:hint="eastAsia" w:ascii="宋体" w:hAnsi="宋体" w:cs="宋体"/>
                <w:color w:val="000000"/>
                <w:sz w:val="21"/>
                <w:szCs w:val="21"/>
              </w:rPr>
            </w:pPr>
          </w:p>
        </w:tc>
        <w:tc>
          <w:tcPr>
            <w:tcW w:w="1142" w:type="dxa"/>
            <w:noWrap w:val="0"/>
            <w:vAlign w:val="center"/>
          </w:tcPr>
          <w:p w14:paraId="59E90C9C">
            <w:pPr>
              <w:jc w:val="center"/>
              <w:rPr>
                <w:rFonts w:hint="eastAsia" w:ascii="宋体" w:hAnsi="宋体" w:cs="宋体"/>
                <w:color w:val="000000"/>
                <w:sz w:val="21"/>
                <w:szCs w:val="21"/>
              </w:rPr>
            </w:pPr>
          </w:p>
        </w:tc>
        <w:tc>
          <w:tcPr>
            <w:tcW w:w="1231" w:type="dxa"/>
            <w:noWrap w:val="0"/>
            <w:vAlign w:val="center"/>
          </w:tcPr>
          <w:p w14:paraId="3FE9D96E">
            <w:pPr>
              <w:jc w:val="center"/>
              <w:rPr>
                <w:rFonts w:hint="eastAsia" w:ascii="宋体" w:hAnsi="宋体" w:cs="宋体"/>
                <w:color w:val="000000"/>
                <w:sz w:val="21"/>
                <w:szCs w:val="21"/>
              </w:rPr>
            </w:pPr>
          </w:p>
        </w:tc>
        <w:tc>
          <w:tcPr>
            <w:tcW w:w="1026" w:type="dxa"/>
            <w:noWrap w:val="0"/>
            <w:vAlign w:val="center"/>
          </w:tcPr>
          <w:p w14:paraId="338654F6">
            <w:pPr>
              <w:jc w:val="center"/>
              <w:rPr>
                <w:rFonts w:hint="eastAsia" w:ascii="宋体" w:hAnsi="宋体" w:cs="宋体"/>
                <w:color w:val="000000"/>
                <w:sz w:val="21"/>
                <w:szCs w:val="21"/>
              </w:rPr>
            </w:pPr>
          </w:p>
        </w:tc>
      </w:tr>
      <w:tr w14:paraId="7529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10F4569E">
            <w:pPr>
              <w:jc w:val="center"/>
              <w:rPr>
                <w:rFonts w:hint="eastAsia" w:ascii="宋体" w:hAnsi="宋体" w:cs="宋体"/>
                <w:color w:val="000000"/>
                <w:sz w:val="21"/>
                <w:szCs w:val="21"/>
              </w:rPr>
            </w:pPr>
          </w:p>
        </w:tc>
        <w:tc>
          <w:tcPr>
            <w:tcW w:w="1028" w:type="dxa"/>
            <w:noWrap w:val="0"/>
            <w:vAlign w:val="center"/>
          </w:tcPr>
          <w:p w14:paraId="70B1CA4C">
            <w:pPr>
              <w:jc w:val="center"/>
              <w:rPr>
                <w:rFonts w:hint="eastAsia" w:ascii="宋体" w:hAnsi="宋体" w:cs="宋体"/>
                <w:color w:val="000000"/>
                <w:sz w:val="21"/>
                <w:szCs w:val="21"/>
              </w:rPr>
            </w:pPr>
          </w:p>
        </w:tc>
        <w:tc>
          <w:tcPr>
            <w:tcW w:w="1027" w:type="dxa"/>
            <w:noWrap w:val="0"/>
            <w:vAlign w:val="center"/>
          </w:tcPr>
          <w:p w14:paraId="5E157FE2">
            <w:pPr>
              <w:jc w:val="center"/>
              <w:rPr>
                <w:rFonts w:hint="eastAsia" w:ascii="宋体" w:hAnsi="宋体" w:cs="宋体"/>
                <w:color w:val="000000"/>
                <w:sz w:val="21"/>
                <w:szCs w:val="21"/>
              </w:rPr>
            </w:pPr>
          </w:p>
        </w:tc>
        <w:tc>
          <w:tcPr>
            <w:tcW w:w="1643" w:type="dxa"/>
            <w:noWrap w:val="0"/>
            <w:vAlign w:val="center"/>
          </w:tcPr>
          <w:p w14:paraId="7E69099E">
            <w:pPr>
              <w:jc w:val="center"/>
              <w:rPr>
                <w:rFonts w:hint="eastAsia" w:ascii="宋体" w:hAnsi="宋体" w:cs="宋体"/>
                <w:color w:val="000000"/>
                <w:sz w:val="21"/>
                <w:szCs w:val="21"/>
              </w:rPr>
            </w:pPr>
          </w:p>
        </w:tc>
        <w:tc>
          <w:tcPr>
            <w:tcW w:w="1116" w:type="dxa"/>
            <w:noWrap w:val="0"/>
            <w:vAlign w:val="center"/>
          </w:tcPr>
          <w:p w14:paraId="6E1D76A4">
            <w:pPr>
              <w:jc w:val="center"/>
              <w:rPr>
                <w:rFonts w:hint="eastAsia" w:ascii="宋体" w:hAnsi="宋体" w:cs="宋体"/>
                <w:color w:val="000000"/>
                <w:sz w:val="21"/>
                <w:szCs w:val="21"/>
              </w:rPr>
            </w:pPr>
          </w:p>
        </w:tc>
        <w:tc>
          <w:tcPr>
            <w:tcW w:w="1142" w:type="dxa"/>
            <w:noWrap w:val="0"/>
            <w:vAlign w:val="center"/>
          </w:tcPr>
          <w:p w14:paraId="55542291">
            <w:pPr>
              <w:jc w:val="center"/>
              <w:rPr>
                <w:rFonts w:hint="eastAsia" w:ascii="宋体" w:hAnsi="宋体" w:cs="宋体"/>
                <w:color w:val="000000"/>
                <w:sz w:val="21"/>
                <w:szCs w:val="21"/>
              </w:rPr>
            </w:pPr>
          </w:p>
        </w:tc>
        <w:tc>
          <w:tcPr>
            <w:tcW w:w="1231" w:type="dxa"/>
            <w:noWrap w:val="0"/>
            <w:vAlign w:val="center"/>
          </w:tcPr>
          <w:p w14:paraId="00291333">
            <w:pPr>
              <w:jc w:val="center"/>
              <w:rPr>
                <w:rFonts w:hint="eastAsia" w:ascii="宋体" w:hAnsi="宋体" w:cs="宋体"/>
                <w:color w:val="000000"/>
                <w:sz w:val="21"/>
                <w:szCs w:val="21"/>
              </w:rPr>
            </w:pPr>
          </w:p>
        </w:tc>
        <w:tc>
          <w:tcPr>
            <w:tcW w:w="1026" w:type="dxa"/>
            <w:noWrap w:val="0"/>
            <w:vAlign w:val="center"/>
          </w:tcPr>
          <w:p w14:paraId="5843DD99">
            <w:pPr>
              <w:jc w:val="center"/>
              <w:rPr>
                <w:rFonts w:hint="eastAsia" w:ascii="宋体" w:hAnsi="宋体" w:cs="宋体"/>
                <w:color w:val="000000"/>
                <w:sz w:val="21"/>
                <w:szCs w:val="21"/>
              </w:rPr>
            </w:pPr>
          </w:p>
        </w:tc>
      </w:tr>
      <w:tr w14:paraId="5846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31B33556">
            <w:pPr>
              <w:jc w:val="center"/>
              <w:rPr>
                <w:rFonts w:hint="eastAsia" w:ascii="宋体" w:hAnsi="宋体" w:cs="宋体"/>
                <w:color w:val="000000"/>
                <w:sz w:val="21"/>
                <w:szCs w:val="21"/>
              </w:rPr>
            </w:pPr>
          </w:p>
        </w:tc>
        <w:tc>
          <w:tcPr>
            <w:tcW w:w="1028" w:type="dxa"/>
            <w:noWrap w:val="0"/>
            <w:vAlign w:val="center"/>
          </w:tcPr>
          <w:p w14:paraId="61840D8B">
            <w:pPr>
              <w:jc w:val="center"/>
              <w:rPr>
                <w:rFonts w:hint="eastAsia" w:ascii="宋体" w:hAnsi="宋体" w:cs="宋体"/>
                <w:color w:val="000000"/>
                <w:sz w:val="21"/>
                <w:szCs w:val="21"/>
              </w:rPr>
            </w:pPr>
          </w:p>
        </w:tc>
        <w:tc>
          <w:tcPr>
            <w:tcW w:w="1027" w:type="dxa"/>
            <w:noWrap w:val="0"/>
            <w:vAlign w:val="center"/>
          </w:tcPr>
          <w:p w14:paraId="4732FC1A">
            <w:pPr>
              <w:jc w:val="center"/>
              <w:rPr>
                <w:rFonts w:hint="eastAsia" w:ascii="宋体" w:hAnsi="宋体" w:cs="宋体"/>
                <w:color w:val="000000"/>
                <w:sz w:val="21"/>
                <w:szCs w:val="21"/>
              </w:rPr>
            </w:pPr>
          </w:p>
        </w:tc>
        <w:tc>
          <w:tcPr>
            <w:tcW w:w="1643" w:type="dxa"/>
            <w:noWrap w:val="0"/>
            <w:vAlign w:val="center"/>
          </w:tcPr>
          <w:p w14:paraId="050E2004">
            <w:pPr>
              <w:jc w:val="center"/>
              <w:rPr>
                <w:rFonts w:hint="eastAsia" w:ascii="宋体" w:hAnsi="宋体" w:cs="宋体"/>
                <w:color w:val="000000"/>
                <w:sz w:val="21"/>
                <w:szCs w:val="21"/>
              </w:rPr>
            </w:pPr>
          </w:p>
        </w:tc>
        <w:tc>
          <w:tcPr>
            <w:tcW w:w="1116" w:type="dxa"/>
            <w:noWrap w:val="0"/>
            <w:vAlign w:val="center"/>
          </w:tcPr>
          <w:p w14:paraId="49E2B2B0">
            <w:pPr>
              <w:jc w:val="center"/>
              <w:rPr>
                <w:rFonts w:hint="eastAsia" w:ascii="宋体" w:hAnsi="宋体" w:cs="宋体"/>
                <w:color w:val="000000"/>
                <w:sz w:val="21"/>
                <w:szCs w:val="21"/>
              </w:rPr>
            </w:pPr>
          </w:p>
        </w:tc>
        <w:tc>
          <w:tcPr>
            <w:tcW w:w="1142" w:type="dxa"/>
            <w:noWrap w:val="0"/>
            <w:vAlign w:val="center"/>
          </w:tcPr>
          <w:p w14:paraId="0A56F21B">
            <w:pPr>
              <w:jc w:val="center"/>
              <w:rPr>
                <w:rFonts w:hint="eastAsia" w:ascii="宋体" w:hAnsi="宋体" w:cs="宋体"/>
                <w:color w:val="000000"/>
                <w:sz w:val="21"/>
                <w:szCs w:val="21"/>
              </w:rPr>
            </w:pPr>
          </w:p>
        </w:tc>
        <w:tc>
          <w:tcPr>
            <w:tcW w:w="1231" w:type="dxa"/>
            <w:noWrap w:val="0"/>
            <w:vAlign w:val="center"/>
          </w:tcPr>
          <w:p w14:paraId="5E6B557C">
            <w:pPr>
              <w:jc w:val="center"/>
              <w:rPr>
                <w:rFonts w:hint="eastAsia" w:ascii="宋体" w:hAnsi="宋体" w:cs="宋体"/>
                <w:color w:val="000000"/>
                <w:sz w:val="21"/>
                <w:szCs w:val="21"/>
              </w:rPr>
            </w:pPr>
          </w:p>
        </w:tc>
        <w:tc>
          <w:tcPr>
            <w:tcW w:w="1026" w:type="dxa"/>
            <w:noWrap w:val="0"/>
            <w:vAlign w:val="center"/>
          </w:tcPr>
          <w:p w14:paraId="250E1E31">
            <w:pPr>
              <w:jc w:val="center"/>
              <w:rPr>
                <w:rFonts w:hint="eastAsia" w:ascii="宋体" w:hAnsi="宋体" w:cs="宋体"/>
                <w:color w:val="000000"/>
                <w:sz w:val="21"/>
                <w:szCs w:val="21"/>
              </w:rPr>
            </w:pPr>
          </w:p>
        </w:tc>
      </w:tr>
      <w:tr w14:paraId="7B8F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2D7E90FA">
            <w:pPr>
              <w:jc w:val="center"/>
              <w:rPr>
                <w:rFonts w:hint="eastAsia" w:ascii="宋体" w:hAnsi="宋体" w:cs="宋体"/>
                <w:color w:val="000000"/>
                <w:sz w:val="21"/>
                <w:szCs w:val="21"/>
              </w:rPr>
            </w:pPr>
          </w:p>
        </w:tc>
        <w:tc>
          <w:tcPr>
            <w:tcW w:w="1028" w:type="dxa"/>
            <w:noWrap w:val="0"/>
            <w:vAlign w:val="center"/>
          </w:tcPr>
          <w:p w14:paraId="413609EB">
            <w:pPr>
              <w:jc w:val="center"/>
              <w:rPr>
                <w:rFonts w:hint="eastAsia" w:ascii="宋体" w:hAnsi="宋体" w:cs="宋体"/>
                <w:color w:val="000000"/>
                <w:sz w:val="21"/>
                <w:szCs w:val="21"/>
              </w:rPr>
            </w:pPr>
          </w:p>
        </w:tc>
        <w:tc>
          <w:tcPr>
            <w:tcW w:w="1027" w:type="dxa"/>
            <w:noWrap w:val="0"/>
            <w:vAlign w:val="center"/>
          </w:tcPr>
          <w:p w14:paraId="5EDA383F">
            <w:pPr>
              <w:jc w:val="center"/>
              <w:rPr>
                <w:rFonts w:hint="eastAsia" w:ascii="宋体" w:hAnsi="宋体" w:cs="宋体"/>
                <w:color w:val="000000"/>
                <w:sz w:val="21"/>
                <w:szCs w:val="21"/>
              </w:rPr>
            </w:pPr>
          </w:p>
        </w:tc>
        <w:tc>
          <w:tcPr>
            <w:tcW w:w="1643" w:type="dxa"/>
            <w:noWrap w:val="0"/>
            <w:vAlign w:val="center"/>
          </w:tcPr>
          <w:p w14:paraId="46783C05">
            <w:pPr>
              <w:jc w:val="center"/>
              <w:rPr>
                <w:rFonts w:hint="eastAsia" w:ascii="宋体" w:hAnsi="宋体" w:cs="宋体"/>
                <w:color w:val="000000"/>
                <w:sz w:val="21"/>
                <w:szCs w:val="21"/>
              </w:rPr>
            </w:pPr>
          </w:p>
        </w:tc>
        <w:tc>
          <w:tcPr>
            <w:tcW w:w="1116" w:type="dxa"/>
            <w:noWrap w:val="0"/>
            <w:vAlign w:val="center"/>
          </w:tcPr>
          <w:p w14:paraId="4C8D8B49">
            <w:pPr>
              <w:jc w:val="center"/>
              <w:rPr>
                <w:rFonts w:hint="eastAsia" w:ascii="宋体" w:hAnsi="宋体" w:cs="宋体"/>
                <w:color w:val="000000"/>
                <w:sz w:val="21"/>
                <w:szCs w:val="21"/>
              </w:rPr>
            </w:pPr>
          </w:p>
        </w:tc>
        <w:tc>
          <w:tcPr>
            <w:tcW w:w="1142" w:type="dxa"/>
            <w:noWrap w:val="0"/>
            <w:vAlign w:val="center"/>
          </w:tcPr>
          <w:p w14:paraId="31DEC0A7">
            <w:pPr>
              <w:jc w:val="center"/>
              <w:rPr>
                <w:rFonts w:hint="eastAsia" w:ascii="宋体" w:hAnsi="宋体" w:cs="宋体"/>
                <w:color w:val="000000"/>
                <w:sz w:val="21"/>
                <w:szCs w:val="21"/>
              </w:rPr>
            </w:pPr>
          </w:p>
        </w:tc>
        <w:tc>
          <w:tcPr>
            <w:tcW w:w="1231" w:type="dxa"/>
            <w:noWrap w:val="0"/>
            <w:vAlign w:val="center"/>
          </w:tcPr>
          <w:p w14:paraId="14ACC175">
            <w:pPr>
              <w:jc w:val="center"/>
              <w:rPr>
                <w:rFonts w:hint="eastAsia" w:ascii="宋体" w:hAnsi="宋体" w:cs="宋体"/>
                <w:color w:val="000000"/>
                <w:sz w:val="21"/>
                <w:szCs w:val="21"/>
              </w:rPr>
            </w:pPr>
          </w:p>
        </w:tc>
        <w:tc>
          <w:tcPr>
            <w:tcW w:w="1026" w:type="dxa"/>
            <w:noWrap w:val="0"/>
            <w:vAlign w:val="center"/>
          </w:tcPr>
          <w:p w14:paraId="1C8EE227">
            <w:pPr>
              <w:jc w:val="center"/>
              <w:rPr>
                <w:rFonts w:hint="eastAsia" w:ascii="宋体" w:hAnsi="宋体" w:cs="宋体"/>
                <w:color w:val="000000"/>
                <w:sz w:val="21"/>
                <w:szCs w:val="21"/>
              </w:rPr>
            </w:pPr>
          </w:p>
        </w:tc>
      </w:tr>
    </w:tbl>
    <w:p w14:paraId="5183DD52">
      <w:pPr>
        <w:keepNext w:val="0"/>
        <w:keepLines w:val="0"/>
        <w:pageBreakBefore w:val="0"/>
        <w:widowControl w:val="0"/>
        <w:kinsoku/>
        <w:wordWrap/>
        <w:overflowPunct/>
        <w:topLinePunct w:val="0"/>
        <w:bidi w:val="0"/>
        <w:snapToGrid/>
        <w:spacing w:line="312" w:lineRule="auto"/>
        <w:jc w:val="left"/>
        <w:textAlignment w:val="auto"/>
        <w:outlineLvl w:val="1"/>
        <w:rPr>
          <w:rFonts w:hint="default"/>
          <w:sz w:val="21"/>
          <w:szCs w:val="21"/>
          <w:lang w:val="en-US" w:eastAsia="zh-CN"/>
        </w:rPr>
      </w:pPr>
      <w:r>
        <w:rPr>
          <w:rFonts w:hint="eastAsia"/>
          <w:sz w:val="21"/>
          <w:szCs w:val="21"/>
          <w:lang w:val="en-US" w:eastAsia="zh-CN"/>
        </w:rPr>
        <w:t>注：附相关证书、身份证扫描件、与供应商签订的劳动合同等相关证明材料</w:t>
      </w:r>
    </w:p>
    <w:p w14:paraId="017FAFE5">
      <w:pPr>
        <w:pStyle w:val="24"/>
        <w:numPr>
          <w:ilvl w:val="0"/>
          <w:numId w:val="0"/>
        </w:numPr>
        <w:ind w:leftChars="100" w:right="0" w:rightChars="0"/>
        <w:rPr>
          <w:rFonts w:hint="eastAsia"/>
        </w:rPr>
      </w:pPr>
    </w:p>
    <w:p w14:paraId="6C4AA064">
      <w:pPr>
        <w:jc w:val="center"/>
        <w:rPr>
          <w:rFonts w:hint="eastAsia" w:ascii="宋体" w:hAnsi="宋体" w:eastAsia="宋体" w:cs="宋体"/>
          <w:b/>
          <w:bCs/>
          <w:color w:val="auto"/>
          <w:sz w:val="28"/>
          <w:lang w:val="en-US" w:eastAsia="zh-CN"/>
        </w:rPr>
        <w:sectPr>
          <w:pgSz w:w="11905" w:h="16838"/>
          <w:pgMar w:top="1247" w:right="1701" w:bottom="1247" w:left="1501" w:header="850" w:footer="850" w:gutter="0"/>
          <w:pgBorders>
            <w:top w:val="none" w:sz="0" w:space="0"/>
            <w:left w:val="none" w:sz="0" w:space="0"/>
            <w:bottom w:val="none" w:sz="0" w:space="0"/>
            <w:right w:val="none" w:sz="0" w:space="0"/>
          </w:pgBorders>
          <w:pgNumType w:fmt="decimal"/>
          <w:cols w:space="720" w:num="1"/>
          <w:docGrid w:type="lines" w:linePitch="317" w:charSpace="0"/>
        </w:sectPr>
      </w:pPr>
    </w:p>
    <w:bookmarkEnd w:id="120"/>
    <w:bookmarkEnd w:id="121"/>
    <w:bookmarkEnd w:id="122"/>
    <w:p w14:paraId="57F2B576">
      <w:pPr>
        <w:pStyle w:val="2"/>
        <w:bidi w:val="0"/>
        <w:jc w:val="center"/>
        <w:rPr>
          <w:rFonts w:hint="eastAsia"/>
          <w:sz w:val="28"/>
          <w:szCs w:val="28"/>
        </w:rPr>
      </w:pPr>
      <w:bookmarkStart w:id="123" w:name="_Toc19190"/>
      <w:bookmarkStart w:id="124" w:name="_Toc1319"/>
      <w:r>
        <w:rPr>
          <w:rFonts w:hint="eastAsia"/>
          <w:sz w:val="28"/>
          <w:szCs w:val="28"/>
          <w:lang w:val="en-US" w:eastAsia="zh-CN"/>
        </w:rPr>
        <w:t>七</w:t>
      </w:r>
      <w:r>
        <w:rPr>
          <w:rFonts w:hint="eastAsia"/>
          <w:sz w:val="28"/>
          <w:szCs w:val="28"/>
          <w:lang w:eastAsia="zh-CN"/>
        </w:rPr>
        <w:t>、</w:t>
      </w:r>
      <w:r>
        <w:rPr>
          <w:rFonts w:hint="eastAsia"/>
          <w:sz w:val="28"/>
          <w:szCs w:val="28"/>
        </w:rPr>
        <w:t xml:space="preserve"> 资格审查资料</w:t>
      </w:r>
      <w:bookmarkEnd w:id="123"/>
      <w:bookmarkEnd w:id="124"/>
    </w:p>
    <w:p w14:paraId="49E996BB">
      <w:pPr>
        <w:pStyle w:val="24"/>
        <w:pageBreakBefore w:val="0"/>
        <w:kinsoku/>
        <w:wordWrap/>
        <w:overflowPunct/>
        <w:topLinePunct w:val="0"/>
        <w:bidi w:val="0"/>
        <w:adjustRightInd/>
        <w:snapToGrid/>
        <w:spacing w:after="0" w:afterLines="0" w:line="400" w:lineRule="exact"/>
        <w:ind w:left="0" w:leftChars="0" w:right="0" w:rightChars="0" w:firstLine="210"/>
        <w:rPr>
          <w:rFonts w:hint="eastAsia" w:ascii="宋体" w:hAnsi="宋体" w:eastAsia="宋体" w:cs="宋体"/>
          <w:color w:val="auto"/>
          <w:sz w:val="21"/>
          <w:szCs w:val="21"/>
          <w:highlight w:val="none"/>
        </w:rPr>
      </w:pPr>
    </w:p>
    <w:p w14:paraId="01E784DC">
      <w:pPr>
        <w:bidi w:val="0"/>
        <w:jc w:val="center"/>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供应商</w:t>
      </w:r>
      <w:r>
        <w:rPr>
          <w:rFonts w:hint="eastAsia" w:ascii="宋体" w:hAnsi="宋体" w:eastAsia="宋体" w:cs="宋体"/>
          <w:b/>
          <w:bCs/>
          <w:sz w:val="24"/>
          <w:szCs w:val="24"/>
        </w:rPr>
        <w:t>基本情况表</w:t>
      </w:r>
    </w:p>
    <w:tbl>
      <w:tblPr>
        <w:tblStyle w:val="26"/>
        <w:tblW w:w="92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899"/>
        <w:gridCol w:w="1147"/>
      </w:tblGrid>
      <w:tr w14:paraId="4635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noWrap w:val="0"/>
            <w:vAlign w:val="top"/>
          </w:tcPr>
          <w:p w14:paraId="624D18AF">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p>
        </w:tc>
        <w:tc>
          <w:tcPr>
            <w:tcW w:w="7267" w:type="dxa"/>
            <w:gridSpan w:val="6"/>
            <w:noWrap w:val="0"/>
            <w:vAlign w:val="top"/>
          </w:tcPr>
          <w:p w14:paraId="58970007">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r>
      <w:tr w14:paraId="1EAD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noWrap w:val="0"/>
            <w:vAlign w:val="top"/>
          </w:tcPr>
          <w:p w14:paraId="1E1280AD">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4132" w:type="dxa"/>
            <w:gridSpan w:val="3"/>
            <w:noWrap w:val="0"/>
            <w:vAlign w:val="top"/>
          </w:tcPr>
          <w:p w14:paraId="4FF6F3AE">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c>
          <w:tcPr>
            <w:tcW w:w="1089" w:type="dxa"/>
            <w:noWrap w:val="0"/>
            <w:vAlign w:val="top"/>
          </w:tcPr>
          <w:p w14:paraId="70CAA6A0">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046" w:type="dxa"/>
            <w:gridSpan w:val="2"/>
            <w:noWrap w:val="0"/>
            <w:vAlign w:val="top"/>
          </w:tcPr>
          <w:p w14:paraId="72F4C126">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p>
        </w:tc>
      </w:tr>
      <w:tr w14:paraId="2928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noWrap w:val="0"/>
            <w:vAlign w:val="top"/>
          </w:tcPr>
          <w:p w14:paraId="2DCA8C32">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4132" w:type="dxa"/>
            <w:gridSpan w:val="3"/>
            <w:noWrap w:val="0"/>
            <w:vAlign w:val="top"/>
          </w:tcPr>
          <w:p w14:paraId="42B35BDA">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c>
          <w:tcPr>
            <w:tcW w:w="1089" w:type="dxa"/>
            <w:noWrap w:val="0"/>
            <w:vAlign w:val="top"/>
          </w:tcPr>
          <w:p w14:paraId="3673DCA1">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046" w:type="dxa"/>
            <w:gridSpan w:val="2"/>
            <w:noWrap w:val="0"/>
            <w:vAlign w:val="top"/>
          </w:tcPr>
          <w:p w14:paraId="5569E234">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p>
        </w:tc>
      </w:tr>
      <w:tr w14:paraId="349A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noWrap w:val="0"/>
            <w:vAlign w:val="center"/>
          </w:tcPr>
          <w:p w14:paraId="14AACF94">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1077" w:type="dxa"/>
            <w:noWrap w:val="0"/>
            <w:vAlign w:val="top"/>
          </w:tcPr>
          <w:p w14:paraId="40C9D996">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3055" w:type="dxa"/>
            <w:gridSpan w:val="2"/>
            <w:noWrap w:val="0"/>
            <w:vAlign w:val="top"/>
          </w:tcPr>
          <w:p w14:paraId="71631F75">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c>
          <w:tcPr>
            <w:tcW w:w="1089" w:type="dxa"/>
            <w:noWrap w:val="0"/>
            <w:vAlign w:val="top"/>
          </w:tcPr>
          <w:p w14:paraId="3615C766">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2046" w:type="dxa"/>
            <w:gridSpan w:val="2"/>
            <w:noWrap w:val="0"/>
            <w:vAlign w:val="top"/>
          </w:tcPr>
          <w:p w14:paraId="1F92CEE3">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p>
        </w:tc>
      </w:tr>
      <w:tr w14:paraId="1AC9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noWrap w:val="0"/>
            <w:vAlign w:val="top"/>
          </w:tcPr>
          <w:p w14:paraId="2F2F3DFF">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p>
        </w:tc>
        <w:tc>
          <w:tcPr>
            <w:tcW w:w="1077" w:type="dxa"/>
            <w:noWrap w:val="0"/>
            <w:vAlign w:val="top"/>
          </w:tcPr>
          <w:p w14:paraId="4175ADE6">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3055" w:type="dxa"/>
            <w:gridSpan w:val="2"/>
            <w:noWrap w:val="0"/>
            <w:vAlign w:val="top"/>
          </w:tcPr>
          <w:p w14:paraId="5DFA4D64">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c>
          <w:tcPr>
            <w:tcW w:w="1089" w:type="dxa"/>
            <w:noWrap w:val="0"/>
            <w:vAlign w:val="top"/>
          </w:tcPr>
          <w:p w14:paraId="57141D9E">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网址</w:t>
            </w:r>
          </w:p>
        </w:tc>
        <w:tc>
          <w:tcPr>
            <w:tcW w:w="2046" w:type="dxa"/>
            <w:gridSpan w:val="2"/>
            <w:noWrap w:val="0"/>
            <w:vAlign w:val="top"/>
          </w:tcPr>
          <w:p w14:paraId="354DBD14">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p>
        </w:tc>
      </w:tr>
      <w:tr w14:paraId="1587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top"/>
          </w:tcPr>
          <w:p w14:paraId="680782A3">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1077" w:type="dxa"/>
            <w:noWrap w:val="0"/>
            <w:vAlign w:val="top"/>
          </w:tcPr>
          <w:p w14:paraId="1508D736">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803" w:type="dxa"/>
            <w:noWrap w:val="0"/>
            <w:vAlign w:val="top"/>
          </w:tcPr>
          <w:p w14:paraId="7624D43D">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c>
          <w:tcPr>
            <w:tcW w:w="1252" w:type="dxa"/>
            <w:noWrap w:val="0"/>
            <w:vAlign w:val="top"/>
          </w:tcPr>
          <w:p w14:paraId="292F0B68">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089" w:type="dxa"/>
            <w:noWrap w:val="0"/>
            <w:vAlign w:val="top"/>
          </w:tcPr>
          <w:p w14:paraId="37C8DC4D">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p>
        </w:tc>
        <w:tc>
          <w:tcPr>
            <w:tcW w:w="899" w:type="dxa"/>
            <w:noWrap w:val="0"/>
            <w:vAlign w:val="top"/>
          </w:tcPr>
          <w:p w14:paraId="7997349F">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147" w:type="dxa"/>
            <w:noWrap w:val="0"/>
            <w:vAlign w:val="top"/>
          </w:tcPr>
          <w:p w14:paraId="0B774812">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r>
      <w:tr w14:paraId="6096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top"/>
          </w:tcPr>
          <w:p w14:paraId="0885DF8C">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须知要求</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需具有的各类资质证书（若有）</w:t>
            </w:r>
          </w:p>
        </w:tc>
        <w:tc>
          <w:tcPr>
            <w:tcW w:w="7267" w:type="dxa"/>
            <w:gridSpan w:val="6"/>
            <w:noWrap w:val="0"/>
            <w:vAlign w:val="top"/>
          </w:tcPr>
          <w:p w14:paraId="6FD41E6F">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p w14:paraId="71DCF752">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           等级：          证书号：</w:t>
            </w:r>
          </w:p>
        </w:tc>
      </w:tr>
      <w:tr w14:paraId="0910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top"/>
          </w:tcPr>
          <w:p w14:paraId="0F81ABA1">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基本账户开户银行</w:t>
            </w:r>
          </w:p>
        </w:tc>
        <w:tc>
          <w:tcPr>
            <w:tcW w:w="7267" w:type="dxa"/>
            <w:gridSpan w:val="6"/>
            <w:noWrap w:val="0"/>
            <w:vAlign w:val="top"/>
          </w:tcPr>
          <w:p w14:paraId="21CBE438">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r>
      <w:tr w14:paraId="2096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top"/>
          </w:tcPr>
          <w:p w14:paraId="77896FA7">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基本账户银行账号</w:t>
            </w:r>
          </w:p>
        </w:tc>
        <w:tc>
          <w:tcPr>
            <w:tcW w:w="7267" w:type="dxa"/>
            <w:gridSpan w:val="6"/>
            <w:noWrap w:val="0"/>
            <w:vAlign w:val="top"/>
          </w:tcPr>
          <w:p w14:paraId="5752A298">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r>
      <w:tr w14:paraId="393E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top"/>
          </w:tcPr>
          <w:p w14:paraId="6E51EFB4">
            <w:pPr>
              <w:pageBreakBefore w:val="0"/>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关联企业情况（包括但不限于与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法定代表人为同一人或者存在控股、管理关系的不同单位）</w:t>
            </w:r>
          </w:p>
        </w:tc>
        <w:tc>
          <w:tcPr>
            <w:tcW w:w="7267" w:type="dxa"/>
            <w:gridSpan w:val="6"/>
            <w:noWrap w:val="0"/>
            <w:vAlign w:val="top"/>
          </w:tcPr>
          <w:p w14:paraId="56E353A4">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tc>
      </w:tr>
      <w:tr w14:paraId="659F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980" w:type="dxa"/>
            <w:noWrap w:val="0"/>
            <w:vAlign w:val="top"/>
          </w:tcPr>
          <w:p w14:paraId="55CD775A">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经营范围备注</w:t>
            </w:r>
          </w:p>
        </w:tc>
        <w:tc>
          <w:tcPr>
            <w:tcW w:w="7267" w:type="dxa"/>
            <w:gridSpan w:val="6"/>
            <w:noWrap w:val="0"/>
            <w:vAlign w:val="top"/>
          </w:tcPr>
          <w:p w14:paraId="4781F2E6">
            <w:pPr>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color w:val="auto"/>
                <w:sz w:val="21"/>
                <w:szCs w:val="21"/>
                <w:highlight w:val="none"/>
              </w:rPr>
            </w:pPr>
          </w:p>
        </w:tc>
      </w:tr>
    </w:tbl>
    <w:p w14:paraId="40B3D0D1">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p w14:paraId="4D18CB9A">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应根据</w:t>
      </w:r>
      <w:r>
        <w:rPr>
          <w:rFonts w:hint="eastAsia" w:ascii="宋体" w:hAnsi="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须知</w:t>
      </w:r>
      <w:r>
        <w:rPr>
          <w:rFonts w:hint="eastAsia" w:ascii="宋体" w:hAnsi="宋体" w:cs="宋体"/>
          <w:b/>
          <w:bCs/>
          <w:color w:val="auto"/>
          <w:sz w:val="21"/>
          <w:szCs w:val="21"/>
          <w:highlight w:val="none"/>
          <w:lang w:val="en-US" w:eastAsia="zh-CN"/>
        </w:rPr>
        <w:t>前附表</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1.4.1</w:t>
      </w:r>
      <w:r>
        <w:rPr>
          <w:rFonts w:hint="eastAsia" w:ascii="宋体" w:hAnsi="宋体" w:cs="宋体"/>
          <w:b/>
          <w:bCs/>
          <w:color w:val="auto"/>
          <w:sz w:val="21"/>
          <w:szCs w:val="21"/>
          <w:highlight w:val="none"/>
          <w:lang w:eastAsia="zh-CN"/>
        </w:rPr>
        <w:t>供应商</w:t>
      </w:r>
      <w:r>
        <w:rPr>
          <w:rFonts w:hint="eastAsia" w:ascii="宋体" w:hAnsi="宋体" w:eastAsia="宋体" w:cs="宋体"/>
          <w:b/>
          <w:bCs/>
          <w:color w:val="auto"/>
          <w:sz w:val="21"/>
          <w:szCs w:val="21"/>
          <w:highlight w:val="none"/>
          <w:lang w:eastAsia="zh-CN"/>
        </w:rPr>
        <w:t>资格</w:t>
      </w:r>
      <w:r>
        <w:rPr>
          <w:rFonts w:hint="eastAsia" w:ascii="宋体" w:hAnsi="宋体" w:eastAsia="宋体" w:cs="宋体"/>
          <w:b/>
          <w:bCs/>
          <w:color w:val="auto"/>
          <w:sz w:val="21"/>
          <w:szCs w:val="21"/>
          <w:highlight w:val="none"/>
        </w:rPr>
        <w:t>要求</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在本表后附相关证明材料。</w:t>
      </w:r>
    </w:p>
    <w:p w14:paraId="491E3E84">
      <w:pPr>
        <w:widowControl/>
        <w:spacing w:line="400" w:lineRule="exact"/>
        <w:rPr>
          <w:rFonts w:hint="eastAsia" w:ascii="宋体" w:hAnsi="宋体" w:cs="宋体"/>
          <w:b/>
          <w:bCs/>
          <w:kern w:val="0"/>
          <w:szCs w:val="21"/>
          <w:lang w:bidi="ar"/>
        </w:rPr>
      </w:pPr>
    </w:p>
    <w:p w14:paraId="6FABCB21">
      <w:pPr>
        <w:widowControl/>
        <w:spacing w:line="400" w:lineRule="exact"/>
        <w:rPr>
          <w:rFonts w:hint="eastAsia" w:ascii="宋体" w:hAnsi="宋体" w:cs="宋体"/>
          <w:b/>
          <w:bCs/>
          <w:kern w:val="0"/>
          <w:szCs w:val="21"/>
          <w:lang w:bidi="ar"/>
        </w:rPr>
      </w:pPr>
    </w:p>
    <w:p w14:paraId="04E015FE">
      <w:pPr>
        <w:widowControl/>
        <w:spacing w:line="400" w:lineRule="exact"/>
        <w:rPr>
          <w:rFonts w:hint="eastAsia" w:ascii="宋体" w:hAnsi="宋体" w:cs="宋体"/>
          <w:b/>
          <w:bCs/>
          <w:kern w:val="0"/>
          <w:szCs w:val="21"/>
          <w:lang w:bidi="ar"/>
        </w:rPr>
      </w:pPr>
    </w:p>
    <w:p w14:paraId="534DDE00">
      <w:pPr>
        <w:widowControl/>
        <w:spacing w:line="400" w:lineRule="exact"/>
        <w:rPr>
          <w:rFonts w:hint="eastAsia" w:ascii="宋体" w:hAnsi="宋体" w:cs="宋体"/>
          <w:b/>
          <w:bCs/>
          <w:kern w:val="0"/>
          <w:szCs w:val="21"/>
          <w:lang w:bidi="ar"/>
        </w:rPr>
      </w:pPr>
    </w:p>
    <w:p w14:paraId="0C1B88CE">
      <w:pPr>
        <w:widowControl/>
        <w:spacing w:line="400" w:lineRule="exact"/>
        <w:rPr>
          <w:rFonts w:hint="eastAsia" w:ascii="宋体" w:hAnsi="宋体" w:cs="宋体"/>
          <w:b/>
          <w:bCs/>
          <w:kern w:val="0"/>
          <w:szCs w:val="21"/>
          <w:lang w:bidi="ar"/>
        </w:rPr>
      </w:pPr>
    </w:p>
    <w:p w14:paraId="71DEBFB1">
      <w:pPr>
        <w:pStyle w:val="42"/>
        <w:rPr>
          <w:rFonts w:hint="eastAsia"/>
        </w:rPr>
      </w:pPr>
    </w:p>
    <w:p w14:paraId="31329EC0">
      <w:pPr>
        <w:widowControl/>
        <w:spacing w:line="400" w:lineRule="exact"/>
        <w:rPr>
          <w:rFonts w:ascii="宋体" w:hAnsi="宋体" w:cs="宋体"/>
          <w:b/>
          <w:bCs/>
          <w:kern w:val="0"/>
          <w:sz w:val="21"/>
          <w:szCs w:val="21"/>
          <w:lang w:bidi="ar"/>
        </w:rPr>
      </w:pPr>
      <w:r>
        <w:rPr>
          <w:rFonts w:hint="eastAsia" w:ascii="宋体" w:hAnsi="宋体" w:cs="宋体"/>
          <w:b/>
          <w:bCs/>
          <w:kern w:val="0"/>
          <w:sz w:val="21"/>
          <w:szCs w:val="21"/>
          <w:lang w:bidi="ar"/>
        </w:rPr>
        <w:t>附件：</w:t>
      </w:r>
    </w:p>
    <w:p w14:paraId="0D811884">
      <w:pPr>
        <w:widowControl/>
        <w:spacing w:line="400" w:lineRule="exact"/>
        <w:jc w:val="center"/>
        <w:rPr>
          <w:rFonts w:ascii="宋体" w:hAnsi="宋体" w:cs="宋体"/>
          <w:kern w:val="0"/>
          <w:sz w:val="21"/>
          <w:szCs w:val="21"/>
          <w:lang w:bidi="ar"/>
        </w:rPr>
      </w:pPr>
      <w:r>
        <w:rPr>
          <w:rFonts w:hint="eastAsia" w:ascii="宋体" w:hAnsi="宋体" w:cs="宋体"/>
          <w:b/>
          <w:bCs/>
          <w:kern w:val="0"/>
          <w:sz w:val="21"/>
          <w:szCs w:val="21"/>
          <w:lang w:bidi="ar"/>
        </w:rPr>
        <w:t>信阳市政府采购投标人信用承诺函</w:t>
      </w:r>
    </w:p>
    <w:p w14:paraId="530B4815">
      <w:pPr>
        <w:widowControl/>
        <w:spacing w:line="400" w:lineRule="exact"/>
        <w:ind w:firstLine="420" w:firstLineChars="200"/>
        <w:jc w:val="left"/>
        <w:rPr>
          <w:rFonts w:ascii="宋体" w:hAnsi="宋体" w:cs="宋体"/>
          <w:kern w:val="0"/>
          <w:sz w:val="21"/>
          <w:szCs w:val="21"/>
          <w:lang w:bidi="ar"/>
        </w:rPr>
      </w:pPr>
    </w:p>
    <w:p w14:paraId="328AADD7">
      <w:pPr>
        <w:widowControl/>
        <w:spacing w:line="360" w:lineRule="auto"/>
        <w:ind w:firstLine="420" w:firstLineChars="200"/>
        <w:jc w:val="left"/>
        <w:rPr>
          <w:rFonts w:ascii="宋体" w:hAnsi="宋体" w:cs="宋体"/>
          <w:kern w:val="0"/>
          <w:sz w:val="21"/>
          <w:szCs w:val="21"/>
          <w:lang w:bidi="ar"/>
        </w:rPr>
      </w:pPr>
      <w:r>
        <w:rPr>
          <w:rFonts w:hint="eastAsia" w:ascii="宋体" w:hAnsi="宋体" w:cs="宋体"/>
          <w:kern w:val="0"/>
          <w:sz w:val="21"/>
          <w:szCs w:val="21"/>
          <w:lang w:bidi="ar"/>
        </w:rPr>
        <w:t>致</w:t>
      </w:r>
      <w:r>
        <w:rPr>
          <w:rFonts w:hint="eastAsia" w:ascii="宋体" w:hAnsi="宋体" w:cs="宋体"/>
          <w:kern w:val="0"/>
          <w:sz w:val="21"/>
          <w:szCs w:val="21"/>
          <w:u w:val="single"/>
          <w:lang w:bidi="ar"/>
        </w:rPr>
        <w:t xml:space="preserve">（采购人或采购代理机构）：       </w:t>
      </w:r>
      <w:r>
        <w:rPr>
          <w:rFonts w:hint="eastAsia" w:ascii="宋体" w:hAnsi="宋体" w:cs="宋体"/>
          <w:kern w:val="0"/>
          <w:sz w:val="21"/>
          <w:szCs w:val="21"/>
          <w:u w:val="single"/>
          <w:lang w:val="en-US" w:eastAsia="zh-CN" w:bidi="ar"/>
        </w:rPr>
        <w:t xml:space="preserve">             </w:t>
      </w:r>
      <w:r>
        <w:rPr>
          <w:rFonts w:hint="eastAsia" w:ascii="宋体" w:hAnsi="宋体" w:cs="宋体"/>
          <w:kern w:val="0"/>
          <w:sz w:val="21"/>
          <w:szCs w:val="21"/>
          <w:u w:val="single"/>
          <w:lang w:bidi="ar"/>
        </w:rPr>
        <w:t xml:space="preserve">  </w:t>
      </w:r>
      <w:r>
        <w:rPr>
          <w:rFonts w:hint="eastAsia" w:ascii="宋体" w:hAnsi="宋体" w:cs="宋体"/>
          <w:kern w:val="0"/>
          <w:sz w:val="21"/>
          <w:szCs w:val="21"/>
          <w:lang w:bidi="ar"/>
        </w:rPr>
        <w:t xml:space="preserve">      </w:t>
      </w:r>
    </w:p>
    <w:p w14:paraId="34A82EA7">
      <w:pPr>
        <w:widowControl/>
        <w:spacing w:line="360" w:lineRule="auto"/>
        <w:ind w:firstLine="420" w:firstLineChars="200"/>
        <w:jc w:val="left"/>
        <w:rPr>
          <w:rFonts w:ascii="宋体" w:hAnsi="宋体" w:cs="宋体"/>
          <w:kern w:val="0"/>
          <w:sz w:val="21"/>
          <w:szCs w:val="21"/>
          <w:u w:val="single"/>
          <w:lang w:bidi="ar"/>
        </w:rPr>
      </w:pPr>
      <w:r>
        <w:rPr>
          <w:rFonts w:hint="eastAsia" w:ascii="宋体" w:hAnsi="宋体" w:cs="宋体"/>
          <w:kern w:val="0"/>
          <w:sz w:val="21"/>
          <w:szCs w:val="21"/>
          <w:lang w:bidi="ar"/>
        </w:rPr>
        <w:t>单位名称（自然人姓名）</w:t>
      </w:r>
      <w:r>
        <w:rPr>
          <w:rFonts w:hint="eastAsia" w:ascii="宋体" w:hAnsi="宋体" w:cs="宋体"/>
          <w:kern w:val="0"/>
          <w:sz w:val="21"/>
          <w:szCs w:val="21"/>
          <w:u w:val="single"/>
          <w:lang w:bidi="ar"/>
        </w:rPr>
        <w:t xml:space="preserve">：  </w:t>
      </w:r>
      <w:r>
        <w:rPr>
          <w:rFonts w:hint="eastAsia" w:ascii="宋体" w:hAnsi="宋体" w:cs="宋体"/>
          <w:kern w:val="0"/>
          <w:sz w:val="21"/>
          <w:szCs w:val="21"/>
          <w:u w:val="single"/>
          <w:lang w:val="en-US" w:eastAsia="zh-CN" w:bidi="ar"/>
        </w:rPr>
        <w:t xml:space="preserve">                       </w:t>
      </w:r>
      <w:r>
        <w:rPr>
          <w:rFonts w:hint="eastAsia" w:ascii="宋体" w:hAnsi="宋体" w:cs="宋体"/>
          <w:kern w:val="0"/>
          <w:sz w:val="21"/>
          <w:szCs w:val="21"/>
          <w:u w:val="single"/>
          <w:lang w:bidi="ar"/>
        </w:rPr>
        <w:t xml:space="preserve"> </w:t>
      </w:r>
    </w:p>
    <w:p w14:paraId="186101D1">
      <w:pPr>
        <w:widowControl/>
        <w:spacing w:line="360" w:lineRule="auto"/>
        <w:ind w:firstLine="420" w:firstLineChars="200"/>
        <w:jc w:val="left"/>
        <w:rPr>
          <w:rFonts w:hint="default" w:ascii="宋体" w:hAnsi="宋体" w:eastAsia="宋体" w:cs="宋体"/>
          <w:kern w:val="0"/>
          <w:sz w:val="21"/>
          <w:szCs w:val="21"/>
          <w:u w:val="single"/>
          <w:lang w:val="en-US" w:eastAsia="zh-CN" w:bidi="ar"/>
        </w:rPr>
      </w:pPr>
      <w:r>
        <w:rPr>
          <w:rFonts w:hint="eastAsia" w:ascii="宋体" w:hAnsi="宋体" w:cs="宋体"/>
          <w:kern w:val="0"/>
          <w:sz w:val="21"/>
          <w:szCs w:val="21"/>
          <w:lang w:bidi="ar"/>
        </w:rPr>
        <w:t>统一社会信用代码（身份证号码）</w:t>
      </w:r>
      <w:r>
        <w:rPr>
          <w:rFonts w:hint="eastAsia" w:ascii="宋体" w:hAnsi="宋体" w:cs="宋体"/>
          <w:kern w:val="0"/>
          <w:sz w:val="21"/>
          <w:szCs w:val="21"/>
          <w:u w:val="single"/>
          <w:lang w:bidi="ar"/>
        </w:rPr>
        <w:t xml:space="preserve">： </w:t>
      </w:r>
      <w:r>
        <w:rPr>
          <w:rFonts w:hint="eastAsia" w:ascii="宋体" w:hAnsi="宋体" w:cs="宋体"/>
          <w:kern w:val="0"/>
          <w:sz w:val="21"/>
          <w:szCs w:val="21"/>
          <w:u w:val="single"/>
          <w:lang w:val="en-US" w:eastAsia="zh-CN" w:bidi="ar"/>
        </w:rPr>
        <w:t xml:space="preserve">                 </w:t>
      </w:r>
    </w:p>
    <w:p w14:paraId="36B0AA8F">
      <w:pPr>
        <w:widowControl/>
        <w:spacing w:line="360" w:lineRule="auto"/>
        <w:ind w:firstLine="420" w:firstLineChars="200"/>
        <w:jc w:val="left"/>
        <w:rPr>
          <w:rFonts w:ascii="宋体" w:hAnsi="宋体" w:cs="宋体"/>
          <w:kern w:val="0"/>
          <w:sz w:val="21"/>
          <w:szCs w:val="21"/>
          <w:u w:val="single"/>
          <w:lang w:bidi="ar"/>
        </w:rPr>
      </w:pPr>
      <w:r>
        <w:rPr>
          <w:rFonts w:hint="eastAsia" w:ascii="宋体" w:hAnsi="宋体" w:cs="宋体"/>
          <w:kern w:val="0"/>
          <w:sz w:val="21"/>
          <w:szCs w:val="21"/>
          <w:lang w:bidi="ar"/>
        </w:rPr>
        <w:t>法定代表人（负责人）</w:t>
      </w:r>
      <w:r>
        <w:rPr>
          <w:rFonts w:hint="eastAsia" w:ascii="宋体" w:hAnsi="宋体" w:cs="宋体"/>
          <w:kern w:val="0"/>
          <w:sz w:val="21"/>
          <w:szCs w:val="21"/>
          <w:u w:val="single"/>
          <w:lang w:bidi="ar"/>
        </w:rPr>
        <w:t>：</w:t>
      </w:r>
      <w:r>
        <w:rPr>
          <w:rFonts w:hint="eastAsia" w:ascii="宋体" w:hAnsi="宋体" w:cs="宋体"/>
          <w:kern w:val="0"/>
          <w:sz w:val="21"/>
          <w:szCs w:val="21"/>
          <w:u w:val="single"/>
          <w:lang w:val="en-US" w:eastAsia="zh-CN" w:bidi="ar"/>
        </w:rPr>
        <w:t xml:space="preserve">                         </w:t>
      </w:r>
      <w:r>
        <w:rPr>
          <w:rFonts w:hint="eastAsia" w:ascii="宋体" w:hAnsi="宋体" w:cs="宋体"/>
          <w:kern w:val="0"/>
          <w:sz w:val="21"/>
          <w:szCs w:val="21"/>
          <w:u w:val="single"/>
          <w:lang w:bidi="ar"/>
        </w:rPr>
        <w:t xml:space="preserve">   </w:t>
      </w:r>
    </w:p>
    <w:p w14:paraId="0C0E1E16">
      <w:pPr>
        <w:widowControl/>
        <w:spacing w:line="360" w:lineRule="auto"/>
        <w:ind w:firstLine="420" w:firstLineChars="200"/>
        <w:jc w:val="left"/>
        <w:rPr>
          <w:rFonts w:ascii="宋体" w:hAnsi="宋体" w:cs="宋体"/>
          <w:kern w:val="0"/>
          <w:sz w:val="21"/>
          <w:szCs w:val="21"/>
          <w:u w:val="single"/>
          <w:lang w:bidi="ar"/>
        </w:rPr>
      </w:pPr>
      <w:r>
        <w:rPr>
          <w:rFonts w:hint="eastAsia" w:ascii="宋体" w:hAnsi="宋体" w:cs="宋体"/>
          <w:kern w:val="0"/>
          <w:sz w:val="21"/>
          <w:szCs w:val="21"/>
          <w:lang w:bidi="ar"/>
        </w:rPr>
        <w:t>联系地址和电话</w:t>
      </w:r>
      <w:r>
        <w:rPr>
          <w:rFonts w:hint="eastAsia" w:ascii="宋体" w:hAnsi="宋体" w:cs="宋体"/>
          <w:kern w:val="0"/>
          <w:sz w:val="21"/>
          <w:szCs w:val="21"/>
          <w:u w:val="single"/>
          <w:lang w:bidi="ar"/>
        </w:rPr>
        <w:t xml:space="preserve">：       </w:t>
      </w:r>
      <w:r>
        <w:rPr>
          <w:rFonts w:hint="eastAsia" w:ascii="宋体" w:hAnsi="宋体" w:cs="宋体"/>
          <w:kern w:val="0"/>
          <w:sz w:val="21"/>
          <w:szCs w:val="21"/>
          <w:u w:val="single"/>
          <w:lang w:val="en-US" w:eastAsia="zh-CN" w:bidi="ar"/>
        </w:rPr>
        <w:t xml:space="preserve">                    </w:t>
      </w:r>
      <w:r>
        <w:rPr>
          <w:rFonts w:hint="eastAsia" w:ascii="宋体" w:hAnsi="宋体" w:cs="宋体"/>
          <w:kern w:val="0"/>
          <w:sz w:val="21"/>
          <w:szCs w:val="21"/>
          <w:u w:val="single"/>
          <w:lang w:bidi="ar"/>
        </w:rPr>
        <w:t xml:space="preserve">       </w:t>
      </w:r>
    </w:p>
    <w:p w14:paraId="2EA4C799">
      <w:pPr>
        <w:widowControl/>
        <w:spacing w:line="360" w:lineRule="auto"/>
        <w:ind w:firstLine="420" w:firstLineChars="200"/>
        <w:jc w:val="left"/>
        <w:rPr>
          <w:rFonts w:ascii="宋体" w:hAnsi="宋体" w:cs="宋体"/>
          <w:kern w:val="0"/>
          <w:sz w:val="21"/>
          <w:szCs w:val="21"/>
          <w:lang w:bidi="ar"/>
        </w:rPr>
      </w:pPr>
      <w:r>
        <w:rPr>
          <w:rFonts w:hint="eastAsia" w:ascii="宋体" w:hAnsi="宋体" w:cs="宋体"/>
          <w:kern w:val="0"/>
          <w:sz w:val="21"/>
          <w:szCs w:val="21"/>
          <w:lang w:bidi="ar"/>
        </w:rPr>
        <w:t>为维护公平、公正、公开的政府采购市场秩序，树立诚实守信的政府采购投标人形象，我单位（本人）自愿作出以下承诺：</w:t>
      </w:r>
    </w:p>
    <w:p w14:paraId="3F01ECFD">
      <w:pPr>
        <w:widowControl/>
        <w:numPr>
          <w:ilvl w:val="0"/>
          <w:numId w:val="9"/>
        </w:numPr>
        <w:spacing w:line="360" w:lineRule="auto"/>
        <w:ind w:firstLine="420" w:firstLineChars="200"/>
        <w:jc w:val="left"/>
        <w:rPr>
          <w:rFonts w:ascii="宋体" w:hAnsi="宋体" w:cs="宋体"/>
          <w:kern w:val="0"/>
          <w:sz w:val="21"/>
          <w:szCs w:val="21"/>
          <w:lang w:bidi="ar"/>
        </w:rPr>
      </w:pPr>
      <w:r>
        <w:rPr>
          <w:rFonts w:hint="eastAsia" w:ascii="宋体" w:hAnsi="宋体" w:cs="宋体"/>
          <w:kern w:val="0"/>
          <w:sz w:val="21"/>
          <w:szCs w:val="21"/>
          <w:lang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4F41B5F9">
      <w:pPr>
        <w:widowControl/>
        <w:numPr>
          <w:ilvl w:val="0"/>
          <w:numId w:val="10"/>
        </w:numPr>
        <w:spacing w:line="360" w:lineRule="auto"/>
        <w:ind w:left="0" w:firstLine="420" w:firstLineChars="200"/>
        <w:jc w:val="left"/>
        <w:rPr>
          <w:rFonts w:ascii="宋体" w:hAnsi="宋体" w:cs="宋体"/>
          <w:kern w:val="0"/>
          <w:sz w:val="21"/>
          <w:szCs w:val="21"/>
          <w:lang w:bidi="ar"/>
        </w:rPr>
      </w:pPr>
      <w:r>
        <w:rPr>
          <w:rFonts w:hint="eastAsia" w:ascii="宋体" w:hAnsi="宋体" w:cs="宋体"/>
          <w:kern w:val="0"/>
          <w:sz w:val="21"/>
          <w:szCs w:val="21"/>
          <w:lang w:bidi="ar"/>
        </w:rPr>
        <w:t>具有独立承担民事责任的能力；</w:t>
      </w:r>
    </w:p>
    <w:p w14:paraId="22A0A28C">
      <w:pPr>
        <w:widowControl/>
        <w:numPr>
          <w:ilvl w:val="0"/>
          <w:numId w:val="10"/>
        </w:numPr>
        <w:spacing w:line="360" w:lineRule="auto"/>
        <w:ind w:left="0" w:firstLine="420" w:firstLineChars="200"/>
        <w:jc w:val="left"/>
        <w:rPr>
          <w:rFonts w:ascii="宋体" w:hAnsi="宋体" w:cs="宋体"/>
          <w:kern w:val="0"/>
          <w:sz w:val="21"/>
          <w:szCs w:val="21"/>
          <w:lang w:bidi="ar"/>
        </w:rPr>
      </w:pPr>
      <w:r>
        <w:rPr>
          <w:rFonts w:hint="eastAsia" w:ascii="宋体" w:hAnsi="宋体" w:cs="宋体"/>
          <w:kern w:val="0"/>
          <w:sz w:val="21"/>
          <w:szCs w:val="21"/>
          <w:lang w:bidi="ar"/>
        </w:rPr>
        <w:t xml:space="preserve">具有良好的商业信誉和健全的财务会计制度； </w:t>
      </w:r>
    </w:p>
    <w:p w14:paraId="5ACF7E97">
      <w:pPr>
        <w:widowControl/>
        <w:numPr>
          <w:ilvl w:val="0"/>
          <w:numId w:val="10"/>
        </w:numPr>
        <w:spacing w:line="360" w:lineRule="auto"/>
        <w:ind w:left="0" w:firstLine="420" w:firstLineChars="200"/>
        <w:jc w:val="left"/>
        <w:rPr>
          <w:rFonts w:ascii="宋体" w:hAnsi="宋体" w:cs="宋体"/>
          <w:kern w:val="0"/>
          <w:sz w:val="21"/>
          <w:szCs w:val="21"/>
          <w:lang w:bidi="ar"/>
        </w:rPr>
      </w:pPr>
      <w:r>
        <w:rPr>
          <w:rFonts w:hint="eastAsia" w:ascii="宋体" w:hAnsi="宋体" w:cs="宋体"/>
          <w:kern w:val="0"/>
          <w:sz w:val="21"/>
          <w:szCs w:val="21"/>
          <w:lang w:bidi="ar"/>
        </w:rPr>
        <w:t>具有履行合同所必需的设备和专业技术能力；</w:t>
      </w:r>
    </w:p>
    <w:p w14:paraId="787B0061">
      <w:pPr>
        <w:widowControl/>
        <w:numPr>
          <w:ilvl w:val="0"/>
          <w:numId w:val="10"/>
        </w:numPr>
        <w:spacing w:line="360" w:lineRule="auto"/>
        <w:ind w:left="0" w:firstLine="420" w:firstLineChars="200"/>
        <w:jc w:val="left"/>
        <w:rPr>
          <w:rFonts w:ascii="宋体" w:hAnsi="宋体" w:cs="宋体"/>
          <w:kern w:val="0"/>
          <w:sz w:val="21"/>
          <w:szCs w:val="21"/>
          <w:lang w:bidi="ar"/>
        </w:rPr>
      </w:pPr>
      <w:r>
        <w:rPr>
          <w:rFonts w:hint="eastAsia" w:ascii="宋体" w:hAnsi="宋体" w:cs="宋体"/>
          <w:kern w:val="0"/>
          <w:sz w:val="21"/>
          <w:szCs w:val="21"/>
          <w:lang w:bidi="ar"/>
        </w:rPr>
        <w:t xml:space="preserve">有依法缴纳税收和社会保障资金的良好记录； </w:t>
      </w:r>
    </w:p>
    <w:p w14:paraId="63F7EF2B">
      <w:pPr>
        <w:widowControl/>
        <w:numPr>
          <w:ilvl w:val="0"/>
          <w:numId w:val="10"/>
        </w:numPr>
        <w:spacing w:line="360" w:lineRule="auto"/>
        <w:ind w:left="0" w:firstLine="420" w:firstLineChars="200"/>
        <w:jc w:val="left"/>
        <w:rPr>
          <w:rFonts w:ascii="宋体" w:hAnsi="宋体" w:cs="宋体"/>
          <w:kern w:val="0"/>
          <w:sz w:val="21"/>
          <w:szCs w:val="21"/>
          <w:lang w:bidi="ar"/>
        </w:rPr>
      </w:pPr>
      <w:r>
        <w:rPr>
          <w:rFonts w:hint="eastAsia" w:ascii="宋体" w:hAnsi="宋体" w:cs="宋体"/>
          <w:kern w:val="0"/>
          <w:sz w:val="21"/>
          <w:szCs w:val="21"/>
          <w:lang w:bidi="ar"/>
        </w:rPr>
        <w:t xml:space="preserve">参加政府采购活动前三年内，在经营活动中没有重大违法记录； </w:t>
      </w:r>
    </w:p>
    <w:p w14:paraId="21AD0362">
      <w:pPr>
        <w:widowControl/>
        <w:numPr>
          <w:ilvl w:val="0"/>
          <w:numId w:val="10"/>
        </w:numPr>
        <w:spacing w:line="360" w:lineRule="auto"/>
        <w:ind w:left="0" w:firstLine="420" w:firstLineChars="200"/>
        <w:jc w:val="left"/>
        <w:rPr>
          <w:rFonts w:ascii="宋体" w:hAnsi="宋体" w:cs="宋体"/>
          <w:kern w:val="0"/>
          <w:sz w:val="21"/>
          <w:szCs w:val="21"/>
          <w:lang w:bidi="ar"/>
        </w:rPr>
      </w:pPr>
      <w:r>
        <w:rPr>
          <w:rFonts w:hint="eastAsia" w:ascii="宋体" w:hAnsi="宋体" w:cs="宋体"/>
          <w:kern w:val="0"/>
          <w:sz w:val="21"/>
          <w:szCs w:val="21"/>
          <w:lang w:bidi="ar"/>
        </w:rPr>
        <w:t>未被列入经营异常名录或者严重违法失信名单、失信被执行人、重大税收违法案件当事人名单、政府采购严重违法失信行为记录名单；</w:t>
      </w:r>
    </w:p>
    <w:p w14:paraId="6D29AB65">
      <w:pPr>
        <w:widowControl/>
        <w:numPr>
          <w:ilvl w:val="0"/>
          <w:numId w:val="10"/>
        </w:numPr>
        <w:spacing w:line="360" w:lineRule="auto"/>
        <w:ind w:left="0" w:firstLine="420" w:firstLineChars="200"/>
        <w:jc w:val="left"/>
        <w:rPr>
          <w:rFonts w:ascii="宋体" w:hAnsi="宋体" w:cs="宋体"/>
          <w:kern w:val="0"/>
          <w:sz w:val="21"/>
          <w:szCs w:val="21"/>
          <w:lang w:bidi="ar"/>
        </w:rPr>
      </w:pPr>
      <w:r>
        <w:rPr>
          <w:rFonts w:hint="eastAsia" w:ascii="宋体" w:hAnsi="宋体" w:cs="宋体"/>
          <w:kern w:val="0"/>
          <w:sz w:val="21"/>
          <w:szCs w:val="21"/>
          <w:lang w:bidi="ar"/>
        </w:rPr>
        <w:t xml:space="preserve">未被相关监管部门作出行政处罚且尚在处罚有效期内； </w:t>
      </w:r>
    </w:p>
    <w:p w14:paraId="3CC7CF86">
      <w:pPr>
        <w:widowControl/>
        <w:numPr>
          <w:ilvl w:val="0"/>
          <w:numId w:val="10"/>
        </w:numPr>
        <w:spacing w:line="360" w:lineRule="auto"/>
        <w:ind w:left="0" w:firstLine="420" w:firstLineChars="200"/>
        <w:jc w:val="left"/>
        <w:rPr>
          <w:rFonts w:ascii="宋体" w:hAnsi="宋体" w:cs="宋体"/>
          <w:kern w:val="0"/>
          <w:sz w:val="21"/>
          <w:szCs w:val="21"/>
          <w:lang w:bidi="ar"/>
        </w:rPr>
      </w:pPr>
      <w:r>
        <w:rPr>
          <w:rFonts w:hint="eastAsia" w:ascii="宋体" w:hAnsi="宋体" w:cs="宋体"/>
          <w:kern w:val="0"/>
          <w:sz w:val="21"/>
          <w:szCs w:val="21"/>
          <w:lang w:bidi="ar"/>
        </w:rPr>
        <w:t xml:space="preserve">未曾做出虚假采购承诺； </w:t>
      </w:r>
    </w:p>
    <w:p w14:paraId="392B07E8">
      <w:pPr>
        <w:widowControl/>
        <w:spacing w:line="360" w:lineRule="auto"/>
        <w:ind w:firstLine="420" w:firstLineChars="200"/>
        <w:jc w:val="left"/>
        <w:rPr>
          <w:rFonts w:ascii="宋体" w:hAnsi="宋体" w:cs="宋体"/>
          <w:kern w:val="0"/>
          <w:sz w:val="21"/>
          <w:szCs w:val="21"/>
          <w:lang w:bidi="ar"/>
        </w:rPr>
      </w:pPr>
      <w:r>
        <w:rPr>
          <w:rFonts w:hint="eastAsia" w:ascii="宋体" w:hAnsi="宋体" w:cs="宋体"/>
          <w:kern w:val="0"/>
          <w:sz w:val="21"/>
          <w:szCs w:val="21"/>
          <w:lang w:bidi="ar"/>
        </w:rPr>
        <w:t>（九）符合法律、行政法规规定的其他条件。</w:t>
      </w:r>
    </w:p>
    <w:p w14:paraId="555BB4FD">
      <w:pPr>
        <w:widowControl/>
        <w:numPr>
          <w:ilvl w:val="0"/>
          <w:numId w:val="9"/>
        </w:numPr>
        <w:spacing w:line="360" w:lineRule="auto"/>
        <w:ind w:firstLine="420" w:firstLineChars="200"/>
        <w:jc w:val="left"/>
        <w:rPr>
          <w:rFonts w:ascii="宋体" w:hAnsi="宋体" w:cs="宋体"/>
          <w:kern w:val="0"/>
          <w:sz w:val="21"/>
          <w:szCs w:val="21"/>
          <w:lang w:bidi="ar"/>
        </w:rPr>
      </w:pPr>
      <w:r>
        <w:rPr>
          <w:rFonts w:hint="eastAsia" w:ascii="宋体" w:hAnsi="宋体" w:cs="宋体"/>
          <w:kern w:val="0"/>
          <w:sz w:val="21"/>
          <w:szCs w:val="21"/>
          <w:lang w:bidi="ar"/>
        </w:rPr>
        <w:t>我单位（本人）保证上述承诺事项的真实性。如有弄虚作假或其他违法违规行为，自愿按照规定将违背承诺行为作为失信行为记录到社会信用信息平台，并视同为“提供虚假材料谋取中标”按照《</w:t>
      </w:r>
      <w:r>
        <w:rPr>
          <w:rFonts w:hint="eastAsia" w:ascii="宋体" w:hAnsi="宋体" w:cs="宋体"/>
          <w:kern w:val="0"/>
          <w:sz w:val="21"/>
          <w:szCs w:val="21"/>
          <w:lang w:val="en-US" w:eastAsia="zh-CN" w:bidi="ar"/>
        </w:rPr>
        <w:t>中华人民共和国</w:t>
      </w:r>
      <w:r>
        <w:rPr>
          <w:rFonts w:hint="eastAsia" w:ascii="宋体" w:hAnsi="宋体" w:cs="宋体"/>
          <w:kern w:val="0"/>
          <w:sz w:val="21"/>
          <w:szCs w:val="21"/>
          <w:lang w:bidi="ar"/>
        </w:rPr>
        <w:t xml:space="preserve">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7DE4BA63">
      <w:pPr>
        <w:widowControl/>
        <w:spacing w:line="360" w:lineRule="auto"/>
        <w:ind w:firstLine="420" w:firstLineChars="200"/>
        <w:jc w:val="left"/>
        <w:rPr>
          <w:rFonts w:ascii="宋体" w:hAnsi="宋体" w:cs="宋体"/>
          <w:kern w:val="0"/>
          <w:sz w:val="21"/>
          <w:szCs w:val="21"/>
          <w:lang w:bidi="ar"/>
        </w:rPr>
      </w:pPr>
    </w:p>
    <w:p w14:paraId="243DD3E5">
      <w:pPr>
        <w:widowControl/>
        <w:spacing w:line="360" w:lineRule="auto"/>
        <w:ind w:firstLine="210" w:firstLineChars="100"/>
        <w:jc w:val="left"/>
        <w:rPr>
          <w:rFonts w:hint="default" w:ascii="宋体" w:hAnsi="宋体" w:eastAsia="宋体" w:cs="宋体"/>
          <w:kern w:val="0"/>
          <w:sz w:val="21"/>
          <w:szCs w:val="21"/>
          <w:u w:val="single"/>
          <w:lang w:val="en-US" w:eastAsia="zh-CN" w:bidi="ar"/>
        </w:rPr>
      </w:pPr>
      <w:r>
        <w:rPr>
          <w:rFonts w:hint="eastAsia" w:ascii="宋体" w:hAnsi="宋体" w:cs="宋体"/>
          <w:kern w:val="0"/>
          <w:sz w:val="21"/>
          <w:szCs w:val="21"/>
          <w:lang w:bidi="ar"/>
        </w:rPr>
        <w:t>投标人（单位电子签章）：</w:t>
      </w:r>
      <w:r>
        <w:rPr>
          <w:rFonts w:hint="eastAsia" w:ascii="宋体" w:hAnsi="宋体" w:cs="宋体"/>
          <w:kern w:val="0"/>
          <w:sz w:val="21"/>
          <w:szCs w:val="21"/>
          <w:u w:val="single"/>
          <w:lang w:val="en-US" w:eastAsia="zh-CN" w:bidi="ar"/>
        </w:rPr>
        <w:t xml:space="preserve">                                              </w:t>
      </w:r>
    </w:p>
    <w:p w14:paraId="08958E86">
      <w:pPr>
        <w:widowControl/>
        <w:spacing w:line="360" w:lineRule="auto"/>
        <w:ind w:firstLine="210" w:firstLineChars="100"/>
        <w:jc w:val="left"/>
        <w:rPr>
          <w:rFonts w:hint="default" w:ascii="宋体" w:hAnsi="宋体" w:eastAsia="宋体" w:cs="宋体"/>
          <w:kern w:val="0"/>
          <w:sz w:val="21"/>
          <w:szCs w:val="21"/>
          <w:u w:val="single"/>
          <w:lang w:val="en-US" w:eastAsia="zh-CN" w:bidi="ar"/>
        </w:rPr>
      </w:pPr>
      <w:r>
        <w:rPr>
          <w:rFonts w:hint="eastAsia" w:ascii="宋体" w:hAnsi="宋体" w:cs="宋体"/>
          <w:kern w:val="0"/>
          <w:sz w:val="21"/>
          <w:szCs w:val="21"/>
          <w:lang w:bidi="ar"/>
        </w:rPr>
        <w:t>法定代表人、负责人、本人或授权代表（</w:t>
      </w:r>
      <w:r>
        <w:rPr>
          <w:rFonts w:hint="eastAsia" w:ascii="宋体" w:hAnsi="宋体" w:cs="宋体"/>
          <w:kern w:val="0"/>
          <w:sz w:val="21"/>
          <w:szCs w:val="21"/>
          <w:lang w:val="en-US" w:eastAsia="zh-CN" w:bidi="ar"/>
        </w:rPr>
        <w:t>电子签名或签章</w:t>
      </w:r>
      <w:r>
        <w:rPr>
          <w:rFonts w:hint="eastAsia" w:ascii="宋体" w:hAnsi="宋体" w:cs="宋体"/>
          <w:kern w:val="0"/>
          <w:sz w:val="21"/>
          <w:szCs w:val="21"/>
          <w:lang w:bidi="ar"/>
        </w:rPr>
        <w:t>）：</w:t>
      </w:r>
      <w:r>
        <w:rPr>
          <w:rFonts w:hint="eastAsia" w:ascii="宋体" w:hAnsi="宋体" w:cs="宋体"/>
          <w:kern w:val="0"/>
          <w:sz w:val="21"/>
          <w:szCs w:val="21"/>
          <w:u w:val="single"/>
          <w:lang w:val="en-US" w:eastAsia="zh-CN" w:bidi="ar"/>
        </w:rPr>
        <w:t xml:space="preserve">            </w:t>
      </w:r>
    </w:p>
    <w:p w14:paraId="71C724AE">
      <w:pPr>
        <w:widowControl/>
        <w:spacing w:line="360" w:lineRule="auto"/>
        <w:ind w:firstLine="210" w:firstLineChars="100"/>
        <w:jc w:val="left"/>
        <w:rPr>
          <w:rFonts w:ascii="宋体" w:hAnsi="宋体" w:cs="宋体"/>
          <w:kern w:val="0"/>
          <w:sz w:val="21"/>
          <w:szCs w:val="21"/>
          <w:lang w:bidi="ar"/>
        </w:rPr>
      </w:pPr>
      <w:r>
        <w:rPr>
          <w:rFonts w:hint="eastAsia" w:ascii="宋体" w:hAnsi="宋体" w:cs="宋体"/>
          <w:kern w:val="0"/>
          <w:sz w:val="21"/>
          <w:szCs w:val="21"/>
          <w:lang w:bidi="ar"/>
        </w:rPr>
        <w:t>日</w:t>
      </w:r>
      <w:r>
        <w:rPr>
          <w:rFonts w:hint="eastAsia" w:ascii="宋体" w:hAnsi="宋体" w:cs="宋体"/>
          <w:kern w:val="0"/>
          <w:sz w:val="21"/>
          <w:szCs w:val="21"/>
          <w:lang w:val="en-US" w:eastAsia="zh-CN" w:bidi="ar"/>
        </w:rPr>
        <w:t xml:space="preserve">           </w:t>
      </w:r>
      <w:r>
        <w:rPr>
          <w:rFonts w:hint="eastAsia" w:ascii="宋体" w:hAnsi="宋体" w:cs="宋体"/>
          <w:kern w:val="0"/>
          <w:sz w:val="21"/>
          <w:szCs w:val="21"/>
          <w:lang w:bidi="ar"/>
        </w:rPr>
        <w:t>期：</w:t>
      </w:r>
      <w:r>
        <w:rPr>
          <w:rFonts w:hint="eastAsia" w:ascii="宋体" w:hAnsi="宋体" w:cs="宋体"/>
          <w:kern w:val="0"/>
          <w:sz w:val="21"/>
          <w:szCs w:val="21"/>
          <w:u w:val="single"/>
          <w:lang w:val="en-US" w:eastAsia="zh-CN" w:bidi="ar"/>
        </w:rPr>
        <w:t xml:space="preserve">     </w:t>
      </w:r>
      <w:r>
        <w:rPr>
          <w:rFonts w:hint="eastAsia" w:ascii="宋体" w:hAnsi="宋体" w:cs="宋体"/>
          <w:kern w:val="0"/>
          <w:sz w:val="21"/>
          <w:szCs w:val="21"/>
          <w:lang w:bidi="ar"/>
        </w:rPr>
        <w:t>年</w:t>
      </w:r>
      <w:r>
        <w:rPr>
          <w:rFonts w:hint="eastAsia" w:ascii="宋体" w:hAnsi="宋体" w:cs="宋体"/>
          <w:kern w:val="0"/>
          <w:sz w:val="21"/>
          <w:szCs w:val="21"/>
          <w:u w:val="single"/>
          <w:lang w:val="en-US" w:eastAsia="zh-CN" w:bidi="ar"/>
        </w:rPr>
        <w:t xml:space="preserve">     </w:t>
      </w:r>
      <w:r>
        <w:rPr>
          <w:rFonts w:hint="eastAsia" w:ascii="宋体" w:hAnsi="宋体" w:cs="宋体"/>
          <w:kern w:val="0"/>
          <w:sz w:val="21"/>
          <w:szCs w:val="21"/>
          <w:lang w:bidi="ar"/>
        </w:rPr>
        <w:t>月</w:t>
      </w:r>
      <w:r>
        <w:rPr>
          <w:rFonts w:hint="eastAsia" w:ascii="宋体" w:hAnsi="宋体" w:cs="宋体"/>
          <w:kern w:val="0"/>
          <w:sz w:val="21"/>
          <w:szCs w:val="21"/>
          <w:u w:val="single"/>
          <w:lang w:val="en-US" w:eastAsia="zh-CN" w:bidi="ar"/>
        </w:rPr>
        <w:t xml:space="preserve">     </w:t>
      </w:r>
      <w:r>
        <w:rPr>
          <w:rFonts w:hint="eastAsia" w:ascii="宋体" w:hAnsi="宋体" w:cs="宋体"/>
          <w:kern w:val="0"/>
          <w:sz w:val="21"/>
          <w:szCs w:val="21"/>
          <w:lang w:bidi="ar"/>
        </w:rPr>
        <w:t>日</w:t>
      </w:r>
    </w:p>
    <w:p w14:paraId="680C835D">
      <w:pPr>
        <w:widowControl/>
        <w:spacing w:line="360" w:lineRule="auto"/>
        <w:ind w:firstLine="210" w:firstLineChars="100"/>
        <w:jc w:val="left"/>
        <w:rPr>
          <w:rFonts w:ascii="宋体" w:hAnsi="宋体" w:cs="宋体"/>
          <w:kern w:val="0"/>
          <w:sz w:val="21"/>
          <w:szCs w:val="21"/>
          <w:lang w:bidi="ar"/>
        </w:rPr>
      </w:pPr>
      <w:r>
        <w:rPr>
          <w:rFonts w:hint="eastAsia" w:ascii="宋体" w:hAnsi="宋体" w:cs="宋体"/>
          <w:kern w:val="0"/>
          <w:sz w:val="21"/>
          <w:szCs w:val="21"/>
          <w:lang w:bidi="ar"/>
        </w:rPr>
        <w:t xml:space="preserve"> 注：1、投标人须在响应文件中按此模板提供承诺函，未提供视为未实质性响应招标文件要求，按无效投标处理。</w:t>
      </w:r>
    </w:p>
    <w:p w14:paraId="0AE1818B">
      <w:pPr>
        <w:widowControl/>
        <w:numPr>
          <w:ilvl w:val="0"/>
          <w:numId w:val="11"/>
        </w:numPr>
        <w:spacing w:line="360" w:lineRule="auto"/>
        <w:ind w:left="-135" w:leftChars="0" w:firstLine="735" w:firstLineChars="0"/>
        <w:jc w:val="left"/>
        <w:rPr>
          <w:rFonts w:ascii="宋体" w:hAnsi="宋体" w:cs="宋体"/>
          <w:kern w:val="0"/>
          <w:sz w:val="21"/>
          <w:szCs w:val="21"/>
          <w:lang w:bidi="ar"/>
        </w:rPr>
      </w:pPr>
      <w:r>
        <w:rPr>
          <w:rFonts w:hint="eastAsia" w:ascii="宋体" w:hAnsi="宋体" w:cs="宋体"/>
          <w:kern w:val="0"/>
          <w:sz w:val="21"/>
          <w:szCs w:val="21"/>
          <w:lang w:bidi="ar"/>
        </w:rPr>
        <w:t>投标人的法定代表人或者授权代表的签字或盖章应真实、有效，如由授权代表签字或盖章的，应提供“法定代表人授权书”。</w:t>
      </w:r>
    </w:p>
    <w:p w14:paraId="7DF85516">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p>
    <w:p w14:paraId="26886776">
      <w:pPr>
        <w:pageBreakBefore w:val="0"/>
        <w:kinsoku/>
        <w:wordWrap/>
        <w:overflowPunct/>
        <w:topLinePunct w:val="0"/>
        <w:bidi w:val="0"/>
        <w:adjustRightInd/>
        <w:snapToGrid/>
        <w:spacing w:line="40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07938C9">
      <w:pPr>
        <w:pStyle w:val="24"/>
        <w:pageBreakBefore w:val="0"/>
        <w:kinsoku/>
        <w:wordWrap/>
        <w:overflowPunct/>
        <w:topLinePunct w:val="0"/>
        <w:bidi w:val="0"/>
        <w:adjustRightInd/>
        <w:snapToGrid/>
        <w:spacing w:after="0" w:afterLines="0" w:line="400" w:lineRule="exact"/>
        <w:ind w:left="0" w:leftChars="0" w:right="0" w:rightChars="0" w:firstLine="210"/>
        <w:rPr>
          <w:rFonts w:hint="eastAsia" w:ascii="宋体" w:hAnsi="宋体" w:eastAsia="宋体" w:cs="宋体"/>
          <w:color w:val="auto"/>
          <w:sz w:val="21"/>
          <w:szCs w:val="21"/>
          <w:highlight w:val="none"/>
        </w:rPr>
        <w:sectPr>
          <w:headerReference r:id="rId12" w:type="default"/>
          <w:footerReference r:id="rId13" w:type="default"/>
          <w:pgSz w:w="11905" w:h="16838"/>
          <w:pgMar w:top="1440" w:right="1701" w:bottom="1440" w:left="1701" w:header="850" w:footer="850" w:gutter="0"/>
          <w:pgBorders>
            <w:top w:val="none" w:sz="0" w:space="0"/>
            <w:left w:val="none" w:sz="0" w:space="0"/>
            <w:bottom w:val="none" w:sz="0" w:space="0"/>
            <w:right w:val="none" w:sz="0" w:space="0"/>
          </w:pgBorders>
          <w:pgNumType w:fmt="decimal"/>
          <w:cols w:space="0" w:num="1"/>
          <w:rtlGutter w:val="0"/>
          <w:docGrid w:type="lines" w:linePitch="425" w:charSpace="0"/>
        </w:sectPr>
      </w:pPr>
    </w:p>
    <w:p w14:paraId="7EA756E5">
      <w:pPr>
        <w:pStyle w:val="3"/>
        <w:numPr>
          <w:ilvl w:val="0"/>
          <w:numId w:val="0"/>
        </w:numPr>
        <w:spacing w:line="240" w:lineRule="auto"/>
        <w:ind w:left="0" w:leftChars="0" w:firstLine="0" w:firstLineChars="0"/>
        <w:jc w:val="center"/>
        <w:rPr>
          <w:rFonts w:hint="eastAsia" w:ascii="宋体" w:hAnsi="宋体" w:eastAsia="宋体" w:cs="宋体"/>
          <w:color w:val="auto"/>
          <w:sz w:val="28"/>
          <w:szCs w:val="28"/>
          <w:lang w:val="en-US" w:eastAsia="zh-CN"/>
        </w:rPr>
      </w:pPr>
      <w:bookmarkStart w:id="125" w:name="_Toc306"/>
      <w:bookmarkStart w:id="126" w:name="_Toc18827"/>
      <w:r>
        <w:rPr>
          <w:rFonts w:hint="eastAsia" w:ascii="宋体" w:hAnsi="宋体" w:eastAsia="宋体" w:cs="宋体"/>
          <w:b/>
          <w:bCs/>
          <w:color w:val="auto"/>
          <w:kern w:val="0"/>
          <w:sz w:val="28"/>
          <w:szCs w:val="28"/>
          <w:lang w:val="en-US" w:eastAsia="zh-CN" w:bidi="ar-SA"/>
        </w:rPr>
        <w:t>八、</w:t>
      </w:r>
      <w:r>
        <w:rPr>
          <w:rFonts w:hint="eastAsia" w:ascii="宋体" w:hAnsi="宋体" w:eastAsia="宋体" w:cs="宋体"/>
          <w:color w:val="auto"/>
          <w:sz w:val="28"/>
          <w:szCs w:val="28"/>
          <w:lang w:val="en-US" w:eastAsia="zh-CN"/>
        </w:rPr>
        <w:t>技术部分</w:t>
      </w:r>
    </w:p>
    <w:p w14:paraId="3E8144D3">
      <w:pPr>
        <w:numPr>
          <w:ilvl w:val="0"/>
          <w:numId w:val="12"/>
        </w:numPr>
        <w:rPr>
          <w:rFonts w:hint="eastAsia" w:ascii="宋体" w:hAnsi="宋体" w:eastAsia="宋体" w:cs="宋体"/>
          <w:lang w:val="en-US" w:eastAsia="zh-CN"/>
        </w:rPr>
        <w:sectPr>
          <w:pgSz w:w="11905" w:h="16838"/>
          <w:pgMar w:top="1247" w:right="1701" w:bottom="1247" w:left="1501" w:header="850" w:footer="850" w:gutter="0"/>
          <w:pgBorders>
            <w:top w:val="none" w:sz="0" w:space="0"/>
            <w:left w:val="none" w:sz="0" w:space="0"/>
            <w:bottom w:val="none" w:sz="0" w:space="0"/>
            <w:right w:val="none" w:sz="0" w:space="0"/>
          </w:pgBorders>
          <w:pgNumType w:fmt="decimal"/>
          <w:cols w:space="720" w:num="1"/>
          <w:docGrid w:type="lines" w:linePitch="317" w:charSpace="0"/>
        </w:sectPr>
      </w:pPr>
    </w:p>
    <w:p w14:paraId="45709103">
      <w:pPr>
        <w:pStyle w:val="3"/>
        <w:numPr>
          <w:ilvl w:val="1"/>
          <w:numId w:val="0"/>
        </w:numPr>
        <w:spacing w:line="240" w:lineRule="auto"/>
        <w:jc w:val="center"/>
        <w:rPr>
          <w:rFonts w:hint="eastAsia" w:ascii="宋体" w:hAnsi="宋体" w:eastAsia="宋体" w:cs="宋体"/>
          <w:color w:val="auto"/>
          <w:sz w:val="28"/>
          <w:szCs w:val="28"/>
          <w:lang w:val="en-US" w:eastAsia="zh-CN"/>
        </w:rPr>
        <w:sectPr>
          <w:pgSz w:w="11905" w:h="16838"/>
          <w:pgMar w:top="1247" w:right="1701" w:bottom="1247" w:left="1501" w:header="850" w:footer="850" w:gutter="0"/>
          <w:pgBorders>
            <w:top w:val="none" w:sz="0" w:space="0"/>
            <w:left w:val="none" w:sz="0" w:space="0"/>
            <w:bottom w:val="none" w:sz="0" w:space="0"/>
            <w:right w:val="none" w:sz="0" w:space="0"/>
          </w:pgBorders>
          <w:pgNumType w:fmt="decimal"/>
          <w:cols w:space="720" w:num="1"/>
          <w:docGrid w:type="lines" w:linePitch="317" w:charSpace="0"/>
        </w:sectPr>
      </w:pPr>
      <w:r>
        <w:rPr>
          <w:rFonts w:hint="eastAsia" w:ascii="宋体" w:hAnsi="宋体" w:eastAsia="宋体" w:cs="宋体"/>
          <w:color w:val="auto"/>
          <w:sz w:val="28"/>
          <w:szCs w:val="28"/>
          <w:lang w:val="en-US" w:eastAsia="zh-CN"/>
        </w:rPr>
        <w:t>九、综合部分</w:t>
      </w:r>
    </w:p>
    <w:p w14:paraId="4FF87284">
      <w:pPr>
        <w:pStyle w:val="2"/>
        <w:bidi w:val="0"/>
        <w:jc w:val="center"/>
        <w:rPr>
          <w:rFonts w:hint="eastAsia"/>
          <w:sz w:val="28"/>
          <w:szCs w:val="28"/>
        </w:rPr>
      </w:pPr>
      <w:r>
        <w:rPr>
          <w:rFonts w:hint="eastAsia"/>
          <w:sz w:val="28"/>
          <w:szCs w:val="28"/>
          <w:lang w:val="en-US" w:eastAsia="zh-CN"/>
        </w:rPr>
        <w:t>十</w:t>
      </w:r>
      <w:r>
        <w:rPr>
          <w:rFonts w:hint="eastAsia"/>
          <w:sz w:val="28"/>
          <w:szCs w:val="28"/>
          <w:lang w:eastAsia="zh-CN"/>
        </w:rPr>
        <w:t>、</w:t>
      </w:r>
      <w:r>
        <w:rPr>
          <w:rFonts w:hint="eastAsia"/>
          <w:sz w:val="28"/>
          <w:szCs w:val="28"/>
        </w:rPr>
        <w:t>其他材料</w:t>
      </w:r>
      <w:bookmarkEnd w:id="125"/>
      <w:bookmarkEnd w:id="126"/>
    </w:p>
    <w:p w14:paraId="06989575">
      <w:pPr>
        <w:jc w:val="center"/>
        <w:rPr>
          <w:rFonts w:hint="eastAsia" w:asciiTheme="minorEastAsia" w:hAnsiTheme="minorEastAsia" w:eastAsiaTheme="minorEastAsia" w:cstheme="minorEastAsia"/>
          <w:b/>
          <w:bCs/>
          <w:sz w:val="24"/>
          <w:szCs w:val="24"/>
          <w:lang w:val="en-US" w:eastAsia="zh-CN"/>
        </w:rPr>
      </w:pPr>
    </w:p>
    <w:p w14:paraId="0AA8F44A">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eastAsia="zh-CN"/>
        </w:rPr>
        <w:t>中小企业声明函（</w:t>
      </w:r>
      <w:r>
        <w:rPr>
          <w:rFonts w:hint="eastAsia" w:asciiTheme="minorEastAsia" w:hAnsiTheme="minorEastAsia" w:eastAsiaTheme="minorEastAsia" w:cstheme="minorEastAsia"/>
          <w:b/>
          <w:bCs/>
          <w:sz w:val="24"/>
          <w:szCs w:val="24"/>
          <w:lang w:val="en-US" w:eastAsia="zh-CN"/>
        </w:rPr>
        <w:t>服务</w:t>
      </w:r>
      <w:r>
        <w:rPr>
          <w:rFonts w:hint="eastAsia" w:asciiTheme="minorEastAsia" w:hAnsiTheme="minorEastAsia" w:eastAsiaTheme="minorEastAsia" w:cstheme="minorEastAsia"/>
          <w:b/>
          <w:bCs/>
          <w:sz w:val="24"/>
          <w:szCs w:val="24"/>
          <w:lang w:eastAsia="zh-CN"/>
        </w:rPr>
        <w:t>）</w:t>
      </w:r>
    </w:p>
    <w:p w14:paraId="3C1467D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宋体"/>
          <w:color w:val="auto"/>
          <w:sz w:val="21"/>
          <w:szCs w:val="21"/>
          <w:highlight w:val="none"/>
        </w:rPr>
        <w:t xml:space="preserve">  本公司（联合体）郑重声明，根据《政府采购促进中小 企业发展管理办法》（财库﹝2020﹞46 号）的规定，本公司 （联合体）参加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1FA8160">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万元（注1），属于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0520CE63">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 ，属于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 小型企业、微型企业）</w:t>
      </w:r>
      <w:r>
        <w:rPr>
          <w:rFonts w:hint="eastAsia" w:ascii="宋体" w:hAnsi="宋体" w:eastAsia="宋体" w:cs="宋体"/>
          <w:color w:val="auto"/>
          <w:sz w:val="21"/>
          <w:szCs w:val="21"/>
          <w:highlight w:val="none"/>
        </w:rPr>
        <w:t>；</w:t>
      </w:r>
    </w:p>
    <w:p w14:paraId="6D010D14">
      <w:pPr>
        <w:keepNext w:val="0"/>
        <w:keepLines w:val="0"/>
        <w:pageBreakBefore w:val="0"/>
        <w:widowControl w:val="0"/>
        <w:kinsoku/>
        <w:wordWrap/>
        <w:overflowPunct/>
        <w:topLinePunct w:val="0"/>
        <w:autoSpaceDE/>
        <w:autoSpaceDN/>
        <w:bidi w:val="0"/>
        <w:adjustRightInd/>
        <w:snapToGrid/>
        <w:spacing w:line="500" w:lineRule="exact"/>
        <w:ind w:left="525" w:left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 </w:t>
      </w:r>
    </w:p>
    <w:p w14:paraId="42C1D06D">
      <w:pPr>
        <w:keepNext w:val="0"/>
        <w:keepLines w:val="0"/>
        <w:pageBreakBefore w:val="0"/>
        <w:widowControl w:val="0"/>
        <w:kinsoku/>
        <w:wordWrap/>
        <w:overflowPunct/>
        <w:topLinePunct w:val="0"/>
        <w:autoSpaceDE/>
        <w:autoSpaceDN/>
        <w:bidi w:val="0"/>
        <w:adjustRightInd/>
        <w:snapToGrid/>
        <w:spacing w:line="5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以上企业，不属于大企业的分支机构，不存在控股股东为大企业的情形，也不存在与大企业的负责人为同一人的情形。本企业对上述声明内容的真实性负责。如有虚假，将依 法承担相应责任。 </w:t>
      </w:r>
    </w:p>
    <w:p w14:paraId="6A7D9167">
      <w:pPr>
        <w:keepNext w:val="0"/>
        <w:keepLines w:val="0"/>
        <w:pageBreakBefore w:val="0"/>
        <w:widowControl w:val="0"/>
        <w:kinsoku/>
        <w:wordWrap/>
        <w:overflowPunct/>
        <w:topLinePunct w:val="0"/>
        <w:autoSpaceDE/>
        <w:autoSpaceDN/>
        <w:bidi w:val="0"/>
        <w:adjustRightInd/>
        <w:snapToGrid/>
        <w:spacing w:line="500" w:lineRule="exact"/>
        <w:ind w:firstLine="210" w:firstLineChars="1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 xml:space="preserve"> 企业名称（单位电子签章）：</w:t>
      </w:r>
      <w:r>
        <w:rPr>
          <w:rFonts w:hint="eastAsia" w:ascii="宋体" w:hAnsi="宋体" w:cs="宋体"/>
          <w:color w:val="auto"/>
          <w:sz w:val="21"/>
          <w:szCs w:val="21"/>
          <w:highlight w:val="none"/>
          <w:u w:val="single"/>
          <w:lang w:val="en-US" w:eastAsia="zh-CN"/>
        </w:rPr>
        <w:t xml:space="preserve">                      </w:t>
      </w:r>
    </w:p>
    <w:p w14:paraId="4A2EEBF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 xml:space="preserve">日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期：</w:t>
      </w:r>
      <w:r>
        <w:rPr>
          <w:rFonts w:hint="eastAsia" w:ascii="宋体" w:hAnsi="宋体" w:cs="宋体"/>
          <w:color w:val="auto"/>
          <w:sz w:val="21"/>
          <w:szCs w:val="21"/>
          <w:highlight w:val="none"/>
          <w:u w:val="single"/>
          <w:lang w:val="en-US" w:eastAsia="zh-CN"/>
        </w:rPr>
        <w:t xml:space="preserve">                      </w:t>
      </w:r>
    </w:p>
    <w:p w14:paraId="2AC4D2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p w14:paraId="5E61309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7378FA6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2、不属于的无需填写此项内容</w:t>
      </w:r>
    </w:p>
    <w:p w14:paraId="69D74D41">
      <w:pPr>
        <w:keepNext/>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宋体" w:hAnsi="宋体" w:cs="宋体"/>
          <w:kern w:val="0"/>
          <w:sz w:val="21"/>
          <w:szCs w:val="21"/>
        </w:rPr>
      </w:pPr>
      <w:r>
        <w:rPr>
          <w:rFonts w:hint="eastAsia" w:ascii="宋体" w:hAnsi="宋体" w:cs="宋体"/>
          <w:kern w:val="0"/>
          <w:sz w:val="21"/>
          <w:szCs w:val="21"/>
        </w:rPr>
        <w:t>附表</w:t>
      </w:r>
    </w:p>
    <w:p w14:paraId="03BBAF07">
      <w:pPr>
        <w:keepNext/>
        <w:keepLines w:val="0"/>
        <w:pageBreakBefore w:val="0"/>
        <w:widowControl/>
        <w:kinsoku/>
        <w:wordWrap w:val="0"/>
        <w:overflowPunct/>
        <w:topLinePunct w:val="0"/>
        <w:autoSpaceDE/>
        <w:autoSpaceDN/>
        <w:bidi w:val="0"/>
        <w:adjustRightInd/>
        <w:snapToGrid/>
        <w:spacing w:line="240" w:lineRule="auto"/>
        <w:ind w:firstLine="422" w:firstLineChars="200"/>
        <w:jc w:val="center"/>
        <w:textAlignment w:val="auto"/>
        <w:rPr>
          <w:rFonts w:hint="eastAsia" w:ascii="宋体" w:hAnsi="宋体" w:cs="宋体"/>
          <w:kern w:val="0"/>
          <w:sz w:val="21"/>
          <w:szCs w:val="21"/>
        </w:rPr>
      </w:pPr>
      <w:r>
        <w:rPr>
          <w:rFonts w:hint="eastAsia" w:ascii="宋体" w:hAnsi="宋体" w:cs="宋体"/>
          <w:b/>
          <w:bCs/>
          <w:kern w:val="0"/>
          <w:sz w:val="21"/>
          <w:szCs w:val="21"/>
        </w:rPr>
        <w:t>国家统计局《统计上大中小微型企业划分标准》</w:t>
      </w:r>
    </w:p>
    <w:tbl>
      <w:tblPr>
        <w:tblStyle w:val="26"/>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609"/>
        <w:gridCol w:w="809"/>
      </w:tblGrid>
      <w:tr w14:paraId="64C2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2113" w:type="dxa"/>
            <w:vAlign w:val="center"/>
          </w:tcPr>
          <w:p w14:paraId="52364F0C">
            <w:pPr>
              <w:keepNext/>
              <w:widowControl/>
              <w:wordWrap w:val="0"/>
              <w:spacing w:line="400" w:lineRule="exact"/>
              <w:jc w:val="center"/>
              <w:rPr>
                <w:rFonts w:hint="eastAsia" w:ascii="宋体" w:hAnsi="宋体" w:cs="宋体"/>
                <w:b/>
                <w:bCs/>
                <w:kern w:val="0"/>
                <w:sz w:val="21"/>
                <w:szCs w:val="21"/>
              </w:rPr>
            </w:pPr>
            <w:r>
              <w:rPr>
                <w:rFonts w:hint="eastAsia" w:ascii="宋体" w:hAnsi="宋体" w:cs="宋体"/>
                <w:b/>
                <w:bCs/>
                <w:kern w:val="0"/>
                <w:sz w:val="21"/>
                <w:szCs w:val="21"/>
              </w:rPr>
              <w:t>行业名称</w:t>
            </w:r>
          </w:p>
        </w:tc>
        <w:tc>
          <w:tcPr>
            <w:tcW w:w="1369" w:type="dxa"/>
            <w:vAlign w:val="center"/>
          </w:tcPr>
          <w:p w14:paraId="08835F59">
            <w:pPr>
              <w:keepNext/>
              <w:widowControl/>
              <w:wordWrap w:val="0"/>
              <w:spacing w:line="400" w:lineRule="exact"/>
              <w:jc w:val="center"/>
              <w:rPr>
                <w:rFonts w:hint="eastAsia" w:ascii="宋体" w:hAnsi="宋体" w:cs="宋体"/>
                <w:b/>
                <w:bCs/>
                <w:kern w:val="0"/>
                <w:sz w:val="21"/>
                <w:szCs w:val="21"/>
              </w:rPr>
            </w:pPr>
            <w:r>
              <w:rPr>
                <w:rFonts w:hint="eastAsia" w:ascii="宋体" w:hAnsi="宋体" w:cs="宋体"/>
                <w:b/>
                <w:bCs/>
                <w:kern w:val="0"/>
                <w:sz w:val="21"/>
                <w:szCs w:val="21"/>
              </w:rPr>
              <w:t>指标名称</w:t>
            </w:r>
          </w:p>
        </w:tc>
        <w:tc>
          <w:tcPr>
            <w:tcW w:w="709" w:type="dxa"/>
            <w:vAlign w:val="center"/>
          </w:tcPr>
          <w:p w14:paraId="32ED8098">
            <w:pPr>
              <w:keepNext/>
              <w:widowControl/>
              <w:wordWrap w:val="0"/>
              <w:spacing w:line="400" w:lineRule="exact"/>
              <w:jc w:val="center"/>
              <w:rPr>
                <w:rFonts w:hint="eastAsia" w:ascii="宋体" w:hAnsi="宋体" w:cs="宋体"/>
                <w:b/>
                <w:bCs/>
                <w:kern w:val="0"/>
                <w:sz w:val="21"/>
                <w:szCs w:val="21"/>
              </w:rPr>
            </w:pPr>
            <w:r>
              <w:rPr>
                <w:rFonts w:hint="eastAsia" w:ascii="宋体" w:hAnsi="宋体" w:cs="宋体"/>
                <w:b/>
                <w:bCs/>
                <w:kern w:val="0"/>
                <w:sz w:val="21"/>
                <w:szCs w:val="21"/>
              </w:rPr>
              <w:t>计量</w:t>
            </w:r>
          </w:p>
          <w:p w14:paraId="5C6B27F3">
            <w:pPr>
              <w:keepNext/>
              <w:widowControl/>
              <w:wordWrap w:val="0"/>
              <w:spacing w:line="400" w:lineRule="exact"/>
              <w:jc w:val="center"/>
              <w:rPr>
                <w:rFonts w:hint="eastAsia" w:ascii="宋体" w:hAnsi="宋体" w:cs="宋体"/>
                <w:b/>
                <w:bCs/>
                <w:kern w:val="0"/>
                <w:sz w:val="21"/>
                <w:szCs w:val="21"/>
              </w:rPr>
            </w:pPr>
            <w:r>
              <w:rPr>
                <w:rFonts w:hint="eastAsia" w:ascii="宋体" w:hAnsi="宋体" w:cs="宋体"/>
                <w:b/>
                <w:bCs/>
                <w:kern w:val="0"/>
                <w:sz w:val="21"/>
                <w:szCs w:val="21"/>
              </w:rPr>
              <w:t>单位</w:t>
            </w:r>
          </w:p>
        </w:tc>
        <w:tc>
          <w:tcPr>
            <w:tcW w:w="1125" w:type="dxa"/>
            <w:vAlign w:val="center"/>
          </w:tcPr>
          <w:p w14:paraId="15E8823A">
            <w:pPr>
              <w:keepNext/>
              <w:widowControl/>
              <w:wordWrap w:val="0"/>
              <w:spacing w:line="400" w:lineRule="exact"/>
              <w:jc w:val="center"/>
              <w:rPr>
                <w:rFonts w:hint="eastAsia" w:ascii="宋体" w:hAnsi="宋体" w:cs="宋体"/>
                <w:b/>
                <w:bCs/>
                <w:kern w:val="0"/>
                <w:sz w:val="21"/>
                <w:szCs w:val="21"/>
              </w:rPr>
            </w:pPr>
            <w:r>
              <w:rPr>
                <w:rFonts w:hint="eastAsia" w:ascii="宋体" w:hAnsi="宋体" w:cs="宋体"/>
                <w:b/>
                <w:bCs/>
                <w:kern w:val="0"/>
                <w:sz w:val="21"/>
                <w:szCs w:val="21"/>
              </w:rPr>
              <w:t>大型</w:t>
            </w:r>
          </w:p>
        </w:tc>
        <w:tc>
          <w:tcPr>
            <w:tcW w:w="1701" w:type="dxa"/>
            <w:vAlign w:val="center"/>
          </w:tcPr>
          <w:p w14:paraId="13D8A298">
            <w:pPr>
              <w:keepNext/>
              <w:widowControl/>
              <w:wordWrap w:val="0"/>
              <w:spacing w:line="400" w:lineRule="exact"/>
              <w:jc w:val="center"/>
              <w:rPr>
                <w:rFonts w:hint="eastAsia" w:ascii="宋体" w:hAnsi="宋体" w:cs="宋体"/>
                <w:b/>
                <w:bCs/>
                <w:kern w:val="0"/>
                <w:sz w:val="21"/>
                <w:szCs w:val="21"/>
              </w:rPr>
            </w:pPr>
            <w:r>
              <w:rPr>
                <w:rFonts w:hint="eastAsia" w:ascii="宋体" w:hAnsi="宋体" w:cs="宋体"/>
                <w:b/>
                <w:bCs/>
                <w:kern w:val="0"/>
                <w:sz w:val="21"/>
                <w:szCs w:val="21"/>
              </w:rPr>
              <w:t>中型</w:t>
            </w:r>
          </w:p>
        </w:tc>
        <w:tc>
          <w:tcPr>
            <w:tcW w:w="1609" w:type="dxa"/>
            <w:vAlign w:val="center"/>
          </w:tcPr>
          <w:p w14:paraId="78E26B8B">
            <w:pPr>
              <w:keepNext/>
              <w:widowControl/>
              <w:wordWrap w:val="0"/>
              <w:spacing w:line="400" w:lineRule="exact"/>
              <w:jc w:val="center"/>
              <w:rPr>
                <w:rFonts w:hint="eastAsia" w:ascii="宋体" w:hAnsi="宋体" w:cs="宋体"/>
                <w:b/>
                <w:bCs/>
                <w:kern w:val="0"/>
                <w:sz w:val="21"/>
                <w:szCs w:val="21"/>
              </w:rPr>
            </w:pPr>
            <w:r>
              <w:rPr>
                <w:rFonts w:hint="eastAsia" w:ascii="宋体" w:hAnsi="宋体" w:cs="宋体"/>
                <w:b/>
                <w:bCs/>
                <w:kern w:val="0"/>
                <w:sz w:val="21"/>
                <w:szCs w:val="21"/>
              </w:rPr>
              <w:t>小型</w:t>
            </w:r>
          </w:p>
        </w:tc>
        <w:tc>
          <w:tcPr>
            <w:tcW w:w="809" w:type="dxa"/>
            <w:vAlign w:val="center"/>
          </w:tcPr>
          <w:p w14:paraId="2144BAE5">
            <w:pPr>
              <w:keepNext/>
              <w:widowControl/>
              <w:wordWrap w:val="0"/>
              <w:spacing w:line="400" w:lineRule="exact"/>
              <w:jc w:val="center"/>
              <w:rPr>
                <w:rFonts w:hint="eastAsia" w:ascii="宋体" w:hAnsi="宋体" w:cs="宋体"/>
                <w:b/>
                <w:bCs/>
                <w:kern w:val="0"/>
                <w:sz w:val="21"/>
                <w:szCs w:val="21"/>
              </w:rPr>
            </w:pPr>
            <w:r>
              <w:rPr>
                <w:rFonts w:hint="eastAsia" w:ascii="宋体" w:hAnsi="宋体" w:cs="宋体"/>
                <w:b/>
                <w:bCs/>
                <w:kern w:val="0"/>
                <w:sz w:val="21"/>
                <w:szCs w:val="21"/>
              </w:rPr>
              <w:t>微型</w:t>
            </w:r>
          </w:p>
        </w:tc>
      </w:tr>
      <w:tr w14:paraId="1C16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196860CB">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农、林、牧、渔业</w:t>
            </w:r>
          </w:p>
        </w:tc>
        <w:tc>
          <w:tcPr>
            <w:tcW w:w="1369" w:type="dxa"/>
            <w:vAlign w:val="center"/>
          </w:tcPr>
          <w:p w14:paraId="54561374">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营业收入</w:t>
            </w:r>
            <w:r>
              <w:rPr>
                <w:rFonts w:hint="eastAsia" w:ascii="宋体" w:hAnsi="宋体" w:cs="宋体"/>
                <w:kern w:val="0"/>
                <w:sz w:val="21"/>
                <w:szCs w:val="21"/>
                <w:lang w:eastAsia="zh-CN"/>
              </w:rPr>
              <w:t>（</w:t>
            </w:r>
            <w:r>
              <w:rPr>
                <w:rFonts w:hint="eastAsia" w:ascii="宋体" w:hAnsi="宋体" w:cs="宋体"/>
                <w:kern w:val="0"/>
                <w:sz w:val="21"/>
                <w:szCs w:val="21"/>
              </w:rPr>
              <w:t>Y</w:t>
            </w:r>
            <w:r>
              <w:rPr>
                <w:rFonts w:hint="eastAsia" w:ascii="宋体" w:hAnsi="宋体" w:cs="宋体"/>
                <w:kern w:val="0"/>
                <w:sz w:val="21"/>
                <w:szCs w:val="21"/>
                <w:lang w:eastAsia="zh-CN"/>
              </w:rPr>
              <w:t>）</w:t>
            </w:r>
          </w:p>
        </w:tc>
        <w:tc>
          <w:tcPr>
            <w:tcW w:w="709" w:type="dxa"/>
            <w:vAlign w:val="center"/>
          </w:tcPr>
          <w:p w14:paraId="05351C77">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万元</w:t>
            </w:r>
          </w:p>
        </w:tc>
        <w:tc>
          <w:tcPr>
            <w:tcW w:w="1125" w:type="dxa"/>
            <w:vAlign w:val="center"/>
          </w:tcPr>
          <w:p w14:paraId="6191B41B">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Y≥20000</w:t>
            </w:r>
          </w:p>
        </w:tc>
        <w:tc>
          <w:tcPr>
            <w:tcW w:w="1701" w:type="dxa"/>
            <w:vAlign w:val="center"/>
          </w:tcPr>
          <w:p w14:paraId="2DB75676">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500≤Y＜20000</w:t>
            </w:r>
          </w:p>
        </w:tc>
        <w:tc>
          <w:tcPr>
            <w:tcW w:w="1609" w:type="dxa"/>
            <w:vAlign w:val="center"/>
          </w:tcPr>
          <w:p w14:paraId="6D7CC0DC">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50≤Y＜500</w:t>
            </w:r>
          </w:p>
        </w:tc>
        <w:tc>
          <w:tcPr>
            <w:tcW w:w="809" w:type="dxa"/>
            <w:vAlign w:val="center"/>
          </w:tcPr>
          <w:p w14:paraId="65FFA983">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Y＜50</w:t>
            </w:r>
          </w:p>
        </w:tc>
      </w:tr>
      <w:tr w14:paraId="2241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6C91552">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工业 *</w:t>
            </w:r>
          </w:p>
        </w:tc>
        <w:tc>
          <w:tcPr>
            <w:tcW w:w="1369" w:type="dxa"/>
            <w:vAlign w:val="center"/>
          </w:tcPr>
          <w:p w14:paraId="5B43BCAF">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从业人员</w:t>
            </w:r>
            <w:r>
              <w:rPr>
                <w:rFonts w:hint="eastAsia" w:ascii="宋体" w:hAnsi="宋体" w:cs="宋体"/>
                <w:kern w:val="0"/>
                <w:sz w:val="21"/>
                <w:szCs w:val="21"/>
                <w:lang w:eastAsia="zh-CN"/>
              </w:rPr>
              <w:t>（</w:t>
            </w:r>
            <w:r>
              <w:rPr>
                <w:rFonts w:hint="eastAsia" w:ascii="宋体" w:hAnsi="宋体" w:cs="宋体"/>
                <w:kern w:val="0"/>
                <w:sz w:val="21"/>
                <w:szCs w:val="21"/>
              </w:rPr>
              <w:t>X</w:t>
            </w:r>
            <w:r>
              <w:rPr>
                <w:rFonts w:hint="eastAsia" w:ascii="宋体" w:hAnsi="宋体" w:cs="宋体"/>
                <w:kern w:val="0"/>
                <w:sz w:val="21"/>
                <w:szCs w:val="21"/>
                <w:lang w:eastAsia="zh-CN"/>
              </w:rPr>
              <w:t>）</w:t>
            </w:r>
          </w:p>
        </w:tc>
        <w:tc>
          <w:tcPr>
            <w:tcW w:w="709" w:type="dxa"/>
            <w:vAlign w:val="center"/>
          </w:tcPr>
          <w:p w14:paraId="50AA73DE">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人</w:t>
            </w:r>
          </w:p>
        </w:tc>
        <w:tc>
          <w:tcPr>
            <w:tcW w:w="1125" w:type="dxa"/>
            <w:vAlign w:val="center"/>
          </w:tcPr>
          <w:p w14:paraId="362BF3E0">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X≥1000</w:t>
            </w:r>
          </w:p>
        </w:tc>
        <w:tc>
          <w:tcPr>
            <w:tcW w:w="1701" w:type="dxa"/>
            <w:vAlign w:val="center"/>
          </w:tcPr>
          <w:p w14:paraId="4F37A540">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300≤X＜1000</w:t>
            </w:r>
          </w:p>
        </w:tc>
        <w:tc>
          <w:tcPr>
            <w:tcW w:w="1609" w:type="dxa"/>
            <w:vAlign w:val="center"/>
          </w:tcPr>
          <w:p w14:paraId="24CB7007">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20≤X＜300</w:t>
            </w:r>
          </w:p>
        </w:tc>
        <w:tc>
          <w:tcPr>
            <w:tcW w:w="809" w:type="dxa"/>
            <w:vAlign w:val="center"/>
          </w:tcPr>
          <w:p w14:paraId="2B9585F9">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X＜20</w:t>
            </w:r>
          </w:p>
        </w:tc>
      </w:tr>
      <w:tr w14:paraId="2C21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52F63C4">
            <w:pPr>
              <w:keepNext/>
              <w:widowControl/>
              <w:wordWrap w:val="0"/>
              <w:spacing w:line="400" w:lineRule="exact"/>
              <w:ind w:firstLine="420" w:firstLineChars="200"/>
              <w:jc w:val="center"/>
              <w:rPr>
                <w:rFonts w:hint="eastAsia" w:ascii="宋体" w:hAnsi="宋体" w:cs="宋体"/>
                <w:kern w:val="0"/>
                <w:sz w:val="21"/>
                <w:szCs w:val="21"/>
              </w:rPr>
            </w:pPr>
          </w:p>
        </w:tc>
        <w:tc>
          <w:tcPr>
            <w:tcW w:w="1369" w:type="dxa"/>
            <w:vAlign w:val="center"/>
          </w:tcPr>
          <w:p w14:paraId="46131F1C">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营业收入</w:t>
            </w:r>
            <w:r>
              <w:rPr>
                <w:rFonts w:hint="eastAsia" w:ascii="宋体" w:hAnsi="宋体" w:cs="宋体"/>
                <w:kern w:val="0"/>
                <w:sz w:val="21"/>
                <w:szCs w:val="21"/>
                <w:lang w:eastAsia="zh-CN"/>
              </w:rPr>
              <w:t>（</w:t>
            </w:r>
            <w:r>
              <w:rPr>
                <w:rFonts w:hint="eastAsia" w:ascii="宋体" w:hAnsi="宋体" w:cs="宋体"/>
                <w:kern w:val="0"/>
                <w:sz w:val="21"/>
                <w:szCs w:val="21"/>
              </w:rPr>
              <w:t>Y</w:t>
            </w:r>
            <w:r>
              <w:rPr>
                <w:rFonts w:hint="eastAsia" w:ascii="宋体" w:hAnsi="宋体" w:cs="宋体"/>
                <w:kern w:val="0"/>
                <w:sz w:val="21"/>
                <w:szCs w:val="21"/>
                <w:lang w:eastAsia="zh-CN"/>
              </w:rPr>
              <w:t>）</w:t>
            </w:r>
          </w:p>
        </w:tc>
        <w:tc>
          <w:tcPr>
            <w:tcW w:w="709" w:type="dxa"/>
            <w:vAlign w:val="center"/>
          </w:tcPr>
          <w:p w14:paraId="669D44E5">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万元</w:t>
            </w:r>
          </w:p>
        </w:tc>
        <w:tc>
          <w:tcPr>
            <w:tcW w:w="1125" w:type="dxa"/>
            <w:vAlign w:val="center"/>
          </w:tcPr>
          <w:p w14:paraId="3A68E939">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Y≥40000</w:t>
            </w:r>
          </w:p>
        </w:tc>
        <w:tc>
          <w:tcPr>
            <w:tcW w:w="1701" w:type="dxa"/>
            <w:vAlign w:val="center"/>
          </w:tcPr>
          <w:p w14:paraId="65C7F5FD">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2000≤Y＜40000</w:t>
            </w:r>
          </w:p>
        </w:tc>
        <w:tc>
          <w:tcPr>
            <w:tcW w:w="1609" w:type="dxa"/>
            <w:vAlign w:val="center"/>
          </w:tcPr>
          <w:p w14:paraId="4334D349">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300≤Y＜2000</w:t>
            </w:r>
          </w:p>
        </w:tc>
        <w:tc>
          <w:tcPr>
            <w:tcW w:w="809" w:type="dxa"/>
            <w:vAlign w:val="center"/>
          </w:tcPr>
          <w:p w14:paraId="5C9A7255">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Y＜0</w:t>
            </w:r>
          </w:p>
        </w:tc>
      </w:tr>
      <w:tr w14:paraId="4AF3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9FFDAB1">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建筑业</w:t>
            </w:r>
          </w:p>
        </w:tc>
        <w:tc>
          <w:tcPr>
            <w:tcW w:w="1369" w:type="dxa"/>
            <w:vAlign w:val="center"/>
          </w:tcPr>
          <w:p w14:paraId="37756509">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营业收入</w:t>
            </w:r>
            <w:r>
              <w:rPr>
                <w:rFonts w:hint="eastAsia" w:ascii="宋体" w:hAnsi="宋体" w:cs="宋体"/>
                <w:kern w:val="0"/>
                <w:sz w:val="21"/>
                <w:szCs w:val="21"/>
                <w:lang w:eastAsia="zh-CN"/>
              </w:rPr>
              <w:t>（</w:t>
            </w:r>
            <w:r>
              <w:rPr>
                <w:rFonts w:hint="eastAsia" w:ascii="宋体" w:hAnsi="宋体" w:cs="宋体"/>
                <w:kern w:val="0"/>
                <w:sz w:val="21"/>
                <w:szCs w:val="21"/>
              </w:rPr>
              <w:t>Y</w:t>
            </w:r>
            <w:r>
              <w:rPr>
                <w:rFonts w:hint="eastAsia" w:ascii="宋体" w:hAnsi="宋体" w:cs="宋体"/>
                <w:kern w:val="0"/>
                <w:sz w:val="21"/>
                <w:szCs w:val="21"/>
                <w:lang w:eastAsia="zh-CN"/>
              </w:rPr>
              <w:t>）</w:t>
            </w:r>
          </w:p>
        </w:tc>
        <w:tc>
          <w:tcPr>
            <w:tcW w:w="709" w:type="dxa"/>
            <w:vAlign w:val="center"/>
          </w:tcPr>
          <w:p w14:paraId="2DB1CE9B">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万元</w:t>
            </w:r>
          </w:p>
        </w:tc>
        <w:tc>
          <w:tcPr>
            <w:tcW w:w="1125" w:type="dxa"/>
            <w:vAlign w:val="center"/>
          </w:tcPr>
          <w:p w14:paraId="194FDCF7">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Y≥80000</w:t>
            </w:r>
          </w:p>
        </w:tc>
        <w:tc>
          <w:tcPr>
            <w:tcW w:w="1701" w:type="dxa"/>
            <w:vAlign w:val="center"/>
          </w:tcPr>
          <w:p w14:paraId="27DC9C3D">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6000≤Y＜80000</w:t>
            </w:r>
          </w:p>
        </w:tc>
        <w:tc>
          <w:tcPr>
            <w:tcW w:w="1609" w:type="dxa"/>
            <w:vAlign w:val="center"/>
          </w:tcPr>
          <w:p w14:paraId="5562A5F4">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300≤Y＜6000</w:t>
            </w:r>
          </w:p>
        </w:tc>
        <w:tc>
          <w:tcPr>
            <w:tcW w:w="809" w:type="dxa"/>
            <w:vAlign w:val="center"/>
          </w:tcPr>
          <w:p w14:paraId="44855AA8">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Y＜300</w:t>
            </w:r>
          </w:p>
        </w:tc>
      </w:tr>
      <w:tr w14:paraId="2786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1D1A2A8">
            <w:pPr>
              <w:keepNext/>
              <w:widowControl/>
              <w:wordWrap w:val="0"/>
              <w:spacing w:line="400" w:lineRule="exact"/>
              <w:ind w:firstLine="420" w:firstLineChars="200"/>
              <w:jc w:val="center"/>
              <w:rPr>
                <w:rFonts w:hint="eastAsia" w:ascii="宋体" w:hAnsi="宋体" w:cs="宋体"/>
                <w:kern w:val="0"/>
                <w:sz w:val="21"/>
                <w:szCs w:val="21"/>
              </w:rPr>
            </w:pPr>
          </w:p>
        </w:tc>
        <w:tc>
          <w:tcPr>
            <w:tcW w:w="1369" w:type="dxa"/>
            <w:vAlign w:val="center"/>
          </w:tcPr>
          <w:p w14:paraId="6259AAC5">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资产总额</w:t>
            </w:r>
            <w:r>
              <w:rPr>
                <w:rFonts w:hint="eastAsia" w:ascii="宋体" w:hAnsi="宋体" w:cs="宋体"/>
                <w:kern w:val="0"/>
                <w:sz w:val="21"/>
                <w:szCs w:val="21"/>
                <w:lang w:eastAsia="zh-CN"/>
              </w:rPr>
              <w:t>（</w:t>
            </w:r>
            <w:r>
              <w:rPr>
                <w:rFonts w:hint="eastAsia" w:ascii="宋体" w:hAnsi="宋体" w:cs="宋体"/>
                <w:kern w:val="0"/>
                <w:sz w:val="21"/>
                <w:szCs w:val="21"/>
              </w:rPr>
              <w:t>Z</w:t>
            </w:r>
            <w:r>
              <w:rPr>
                <w:rFonts w:hint="eastAsia" w:ascii="宋体" w:hAnsi="宋体" w:cs="宋体"/>
                <w:kern w:val="0"/>
                <w:sz w:val="21"/>
                <w:szCs w:val="21"/>
                <w:lang w:eastAsia="zh-CN"/>
              </w:rPr>
              <w:t>）</w:t>
            </w:r>
          </w:p>
        </w:tc>
        <w:tc>
          <w:tcPr>
            <w:tcW w:w="709" w:type="dxa"/>
            <w:vAlign w:val="center"/>
          </w:tcPr>
          <w:p w14:paraId="24F93A10">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万元</w:t>
            </w:r>
          </w:p>
        </w:tc>
        <w:tc>
          <w:tcPr>
            <w:tcW w:w="1125" w:type="dxa"/>
            <w:vAlign w:val="center"/>
          </w:tcPr>
          <w:p w14:paraId="083530E9">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Z≥80000</w:t>
            </w:r>
          </w:p>
        </w:tc>
        <w:tc>
          <w:tcPr>
            <w:tcW w:w="1701" w:type="dxa"/>
            <w:vAlign w:val="center"/>
          </w:tcPr>
          <w:p w14:paraId="7BA21DDA">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5000≤Z＜80000</w:t>
            </w:r>
          </w:p>
        </w:tc>
        <w:tc>
          <w:tcPr>
            <w:tcW w:w="1609" w:type="dxa"/>
            <w:vAlign w:val="center"/>
          </w:tcPr>
          <w:p w14:paraId="156031C7">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300≤Z＜5000</w:t>
            </w:r>
          </w:p>
        </w:tc>
        <w:tc>
          <w:tcPr>
            <w:tcW w:w="809" w:type="dxa"/>
            <w:vAlign w:val="center"/>
          </w:tcPr>
          <w:p w14:paraId="26626341">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Z＜300</w:t>
            </w:r>
          </w:p>
        </w:tc>
      </w:tr>
      <w:tr w14:paraId="23F9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EA0FA7E">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批发业</w:t>
            </w:r>
          </w:p>
        </w:tc>
        <w:tc>
          <w:tcPr>
            <w:tcW w:w="1369" w:type="dxa"/>
            <w:vAlign w:val="center"/>
          </w:tcPr>
          <w:p w14:paraId="30B6AE0F">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从业人员</w:t>
            </w:r>
            <w:r>
              <w:rPr>
                <w:rFonts w:hint="eastAsia" w:ascii="宋体" w:hAnsi="宋体" w:cs="宋体"/>
                <w:kern w:val="0"/>
                <w:sz w:val="21"/>
                <w:szCs w:val="21"/>
                <w:lang w:eastAsia="zh-CN"/>
              </w:rPr>
              <w:t>（</w:t>
            </w:r>
            <w:r>
              <w:rPr>
                <w:rFonts w:hint="eastAsia" w:ascii="宋体" w:hAnsi="宋体" w:cs="宋体"/>
                <w:kern w:val="0"/>
                <w:sz w:val="21"/>
                <w:szCs w:val="21"/>
              </w:rPr>
              <w:t>X</w:t>
            </w:r>
            <w:r>
              <w:rPr>
                <w:rFonts w:hint="eastAsia" w:ascii="宋体" w:hAnsi="宋体" w:cs="宋体"/>
                <w:kern w:val="0"/>
                <w:sz w:val="21"/>
                <w:szCs w:val="21"/>
                <w:lang w:eastAsia="zh-CN"/>
              </w:rPr>
              <w:t>）</w:t>
            </w:r>
          </w:p>
        </w:tc>
        <w:tc>
          <w:tcPr>
            <w:tcW w:w="709" w:type="dxa"/>
            <w:vAlign w:val="center"/>
          </w:tcPr>
          <w:p w14:paraId="6B4039B5">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人</w:t>
            </w:r>
          </w:p>
        </w:tc>
        <w:tc>
          <w:tcPr>
            <w:tcW w:w="1125" w:type="dxa"/>
            <w:vAlign w:val="center"/>
          </w:tcPr>
          <w:p w14:paraId="19F2C0CE">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X≥200</w:t>
            </w:r>
          </w:p>
        </w:tc>
        <w:tc>
          <w:tcPr>
            <w:tcW w:w="1701" w:type="dxa"/>
            <w:vAlign w:val="center"/>
          </w:tcPr>
          <w:p w14:paraId="10DB4F9E">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20≤X＜200</w:t>
            </w:r>
          </w:p>
        </w:tc>
        <w:tc>
          <w:tcPr>
            <w:tcW w:w="1609" w:type="dxa"/>
            <w:vAlign w:val="center"/>
          </w:tcPr>
          <w:p w14:paraId="488A1D64">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5≤X＜20</w:t>
            </w:r>
          </w:p>
        </w:tc>
        <w:tc>
          <w:tcPr>
            <w:tcW w:w="809" w:type="dxa"/>
            <w:vAlign w:val="center"/>
          </w:tcPr>
          <w:p w14:paraId="7596599F">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X＜5</w:t>
            </w:r>
          </w:p>
        </w:tc>
      </w:tr>
      <w:tr w14:paraId="0DA1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4E268BA">
            <w:pPr>
              <w:keepNext/>
              <w:widowControl/>
              <w:wordWrap w:val="0"/>
              <w:spacing w:line="400" w:lineRule="exact"/>
              <w:ind w:firstLine="420" w:firstLineChars="200"/>
              <w:jc w:val="center"/>
              <w:rPr>
                <w:rFonts w:hint="eastAsia" w:ascii="宋体" w:hAnsi="宋体" w:cs="宋体"/>
                <w:kern w:val="0"/>
                <w:sz w:val="21"/>
                <w:szCs w:val="21"/>
              </w:rPr>
            </w:pPr>
          </w:p>
        </w:tc>
        <w:tc>
          <w:tcPr>
            <w:tcW w:w="1369" w:type="dxa"/>
            <w:vAlign w:val="center"/>
          </w:tcPr>
          <w:p w14:paraId="1CD88070">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营业收入</w:t>
            </w:r>
            <w:r>
              <w:rPr>
                <w:rFonts w:hint="eastAsia" w:ascii="宋体" w:hAnsi="宋体" w:cs="宋体"/>
                <w:kern w:val="0"/>
                <w:sz w:val="21"/>
                <w:szCs w:val="21"/>
                <w:lang w:eastAsia="zh-CN"/>
              </w:rPr>
              <w:t>（</w:t>
            </w:r>
            <w:r>
              <w:rPr>
                <w:rFonts w:hint="eastAsia" w:ascii="宋体" w:hAnsi="宋体" w:cs="宋体"/>
                <w:kern w:val="0"/>
                <w:sz w:val="21"/>
                <w:szCs w:val="21"/>
              </w:rPr>
              <w:t>Y</w:t>
            </w:r>
            <w:r>
              <w:rPr>
                <w:rFonts w:hint="eastAsia" w:ascii="宋体" w:hAnsi="宋体" w:cs="宋体"/>
                <w:kern w:val="0"/>
                <w:sz w:val="21"/>
                <w:szCs w:val="21"/>
                <w:lang w:eastAsia="zh-CN"/>
              </w:rPr>
              <w:t>）</w:t>
            </w:r>
          </w:p>
        </w:tc>
        <w:tc>
          <w:tcPr>
            <w:tcW w:w="709" w:type="dxa"/>
            <w:vAlign w:val="center"/>
          </w:tcPr>
          <w:p w14:paraId="38C40C80">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万元</w:t>
            </w:r>
          </w:p>
        </w:tc>
        <w:tc>
          <w:tcPr>
            <w:tcW w:w="1125" w:type="dxa"/>
            <w:vAlign w:val="center"/>
          </w:tcPr>
          <w:p w14:paraId="54204CBC">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Y≥40000</w:t>
            </w:r>
          </w:p>
        </w:tc>
        <w:tc>
          <w:tcPr>
            <w:tcW w:w="1701" w:type="dxa"/>
            <w:vAlign w:val="center"/>
          </w:tcPr>
          <w:p w14:paraId="762CB803">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5000≤Y＜40000</w:t>
            </w:r>
          </w:p>
        </w:tc>
        <w:tc>
          <w:tcPr>
            <w:tcW w:w="1609" w:type="dxa"/>
            <w:vAlign w:val="center"/>
          </w:tcPr>
          <w:p w14:paraId="2C9C44A0">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1000≤Y＜5000</w:t>
            </w:r>
          </w:p>
        </w:tc>
        <w:tc>
          <w:tcPr>
            <w:tcW w:w="809" w:type="dxa"/>
            <w:vAlign w:val="center"/>
          </w:tcPr>
          <w:p w14:paraId="02017995">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Y＜1000</w:t>
            </w:r>
          </w:p>
        </w:tc>
      </w:tr>
      <w:tr w14:paraId="167E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9E33DCE">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零售业</w:t>
            </w:r>
          </w:p>
        </w:tc>
        <w:tc>
          <w:tcPr>
            <w:tcW w:w="1369" w:type="dxa"/>
            <w:vAlign w:val="center"/>
          </w:tcPr>
          <w:p w14:paraId="3DC6CB7F">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从业人员</w:t>
            </w:r>
            <w:r>
              <w:rPr>
                <w:rFonts w:hint="eastAsia" w:ascii="宋体" w:hAnsi="宋体" w:cs="宋体"/>
                <w:kern w:val="0"/>
                <w:sz w:val="21"/>
                <w:szCs w:val="21"/>
                <w:lang w:eastAsia="zh-CN"/>
              </w:rPr>
              <w:t>（</w:t>
            </w:r>
            <w:r>
              <w:rPr>
                <w:rFonts w:hint="eastAsia" w:ascii="宋体" w:hAnsi="宋体" w:cs="宋体"/>
                <w:kern w:val="0"/>
                <w:sz w:val="21"/>
                <w:szCs w:val="21"/>
              </w:rPr>
              <w:t>X</w:t>
            </w:r>
            <w:r>
              <w:rPr>
                <w:rFonts w:hint="eastAsia" w:ascii="宋体" w:hAnsi="宋体" w:cs="宋体"/>
                <w:kern w:val="0"/>
                <w:sz w:val="21"/>
                <w:szCs w:val="21"/>
                <w:lang w:eastAsia="zh-CN"/>
              </w:rPr>
              <w:t>）</w:t>
            </w:r>
          </w:p>
        </w:tc>
        <w:tc>
          <w:tcPr>
            <w:tcW w:w="709" w:type="dxa"/>
            <w:vAlign w:val="center"/>
          </w:tcPr>
          <w:p w14:paraId="0E79A1CE">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人</w:t>
            </w:r>
          </w:p>
        </w:tc>
        <w:tc>
          <w:tcPr>
            <w:tcW w:w="1125" w:type="dxa"/>
            <w:vAlign w:val="center"/>
          </w:tcPr>
          <w:p w14:paraId="6B410711">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X≥300</w:t>
            </w:r>
          </w:p>
        </w:tc>
        <w:tc>
          <w:tcPr>
            <w:tcW w:w="1701" w:type="dxa"/>
            <w:vAlign w:val="center"/>
          </w:tcPr>
          <w:p w14:paraId="38B90FF6">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50≤X＜300</w:t>
            </w:r>
          </w:p>
        </w:tc>
        <w:tc>
          <w:tcPr>
            <w:tcW w:w="1609" w:type="dxa"/>
            <w:vAlign w:val="center"/>
          </w:tcPr>
          <w:p w14:paraId="2EA622B7">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10≤X＜50</w:t>
            </w:r>
          </w:p>
        </w:tc>
        <w:tc>
          <w:tcPr>
            <w:tcW w:w="809" w:type="dxa"/>
            <w:vAlign w:val="center"/>
          </w:tcPr>
          <w:p w14:paraId="368E91DC">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X＜10</w:t>
            </w:r>
          </w:p>
        </w:tc>
      </w:tr>
      <w:tr w14:paraId="5E90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C45225D">
            <w:pPr>
              <w:keepNext/>
              <w:widowControl/>
              <w:wordWrap w:val="0"/>
              <w:spacing w:line="400" w:lineRule="exact"/>
              <w:ind w:firstLine="420" w:firstLineChars="200"/>
              <w:jc w:val="center"/>
              <w:rPr>
                <w:rFonts w:hint="eastAsia" w:ascii="宋体" w:hAnsi="宋体" w:cs="宋体"/>
                <w:kern w:val="0"/>
                <w:sz w:val="21"/>
                <w:szCs w:val="21"/>
              </w:rPr>
            </w:pPr>
          </w:p>
        </w:tc>
        <w:tc>
          <w:tcPr>
            <w:tcW w:w="1369" w:type="dxa"/>
            <w:vAlign w:val="center"/>
          </w:tcPr>
          <w:p w14:paraId="5343F611">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营业收入</w:t>
            </w:r>
            <w:r>
              <w:rPr>
                <w:rFonts w:hint="eastAsia" w:ascii="宋体" w:hAnsi="宋体" w:cs="宋体"/>
                <w:kern w:val="0"/>
                <w:sz w:val="21"/>
                <w:szCs w:val="21"/>
                <w:lang w:eastAsia="zh-CN"/>
              </w:rPr>
              <w:t>（</w:t>
            </w:r>
            <w:r>
              <w:rPr>
                <w:rFonts w:hint="eastAsia" w:ascii="宋体" w:hAnsi="宋体" w:cs="宋体"/>
                <w:kern w:val="0"/>
                <w:sz w:val="21"/>
                <w:szCs w:val="21"/>
              </w:rPr>
              <w:t>Y</w:t>
            </w:r>
            <w:r>
              <w:rPr>
                <w:rFonts w:hint="eastAsia" w:ascii="宋体" w:hAnsi="宋体" w:cs="宋体"/>
                <w:kern w:val="0"/>
                <w:sz w:val="21"/>
                <w:szCs w:val="21"/>
                <w:lang w:eastAsia="zh-CN"/>
              </w:rPr>
              <w:t>）</w:t>
            </w:r>
          </w:p>
        </w:tc>
        <w:tc>
          <w:tcPr>
            <w:tcW w:w="709" w:type="dxa"/>
            <w:vAlign w:val="center"/>
          </w:tcPr>
          <w:p w14:paraId="7143D16D">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万元</w:t>
            </w:r>
          </w:p>
        </w:tc>
        <w:tc>
          <w:tcPr>
            <w:tcW w:w="1125" w:type="dxa"/>
            <w:vAlign w:val="center"/>
          </w:tcPr>
          <w:p w14:paraId="51C627FA">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Y≥20000</w:t>
            </w:r>
          </w:p>
        </w:tc>
        <w:tc>
          <w:tcPr>
            <w:tcW w:w="1701" w:type="dxa"/>
            <w:vAlign w:val="center"/>
          </w:tcPr>
          <w:p w14:paraId="39F87285">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500≤Y＜20000</w:t>
            </w:r>
          </w:p>
        </w:tc>
        <w:tc>
          <w:tcPr>
            <w:tcW w:w="1609" w:type="dxa"/>
            <w:vAlign w:val="center"/>
          </w:tcPr>
          <w:p w14:paraId="0B4E23D9">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100≤Y＜500</w:t>
            </w:r>
          </w:p>
        </w:tc>
        <w:tc>
          <w:tcPr>
            <w:tcW w:w="809" w:type="dxa"/>
            <w:vAlign w:val="center"/>
          </w:tcPr>
          <w:p w14:paraId="4FC1F2E7">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Y＜100</w:t>
            </w:r>
          </w:p>
        </w:tc>
      </w:tr>
      <w:tr w14:paraId="63AF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6EB9FA7">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交通运输业 *</w:t>
            </w:r>
          </w:p>
        </w:tc>
        <w:tc>
          <w:tcPr>
            <w:tcW w:w="1369" w:type="dxa"/>
            <w:vAlign w:val="center"/>
          </w:tcPr>
          <w:p w14:paraId="7858A9DF">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从业人员</w:t>
            </w:r>
            <w:r>
              <w:rPr>
                <w:rFonts w:hint="eastAsia" w:ascii="宋体" w:hAnsi="宋体" w:cs="宋体"/>
                <w:kern w:val="0"/>
                <w:sz w:val="21"/>
                <w:szCs w:val="21"/>
                <w:lang w:eastAsia="zh-CN"/>
              </w:rPr>
              <w:t>（</w:t>
            </w:r>
            <w:r>
              <w:rPr>
                <w:rFonts w:hint="eastAsia" w:ascii="宋体" w:hAnsi="宋体" w:cs="宋体"/>
                <w:kern w:val="0"/>
                <w:sz w:val="21"/>
                <w:szCs w:val="21"/>
              </w:rPr>
              <w:t>X</w:t>
            </w:r>
            <w:r>
              <w:rPr>
                <w:rFonts w:hint="eastAsia" w:ascii="宋体" w:hAnsi="宋体" w:cs="宋体"/>
                <w:kern w:val="0"/>
                <w:sz w:val="21"/>
                <w:szCs w:val="21"/>
                <w:lang w:eastAsia="zh-CN"/>
              </w:rPr>
              <w:t>）</w:t>
            </w:r>
          </w:p>
        </w:tc>
        <w:tc>
          <w:tcPr>
            <w:tcW w:w="709" w:type="dxa"/>
            <w:vAlign w:val="center"/>
          </w:tcPr>
          <w:p w14:paraId="7C79D8E7">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人</w:t>
            </w:r>
          </w:p>
        </w:tc>
        <w:tc>
          <w:tcPr>
            <w:tcW w:w="1125" w:type="dxa"/>
            <w:vAlign w:val="center"/>
          </w:tcPr>
          <w:p w14:paraId="698310B9">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X≥1000</w:t>
            </w:r>
          </w:p>
        </w:tc>
        <w:tc>
          <w:tcPr>
            <w:tcW w:w="1701" w:type="dxa"/>
            <w:vAlign w:val="center"/>
          </w:tcPr>
          <w:p w14:paraId="64257E51">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300≤X＜1000</w:t>
            </w:r>
          </w:p>
        </w:tc>
        <w:tc>
          <w:tcPr>
            <w:tcW w:w="1609" w:type="dxa"/>
            <w:vAlign w:val="center"/>
          </w:tcPr>
          <w:p w14:paraId="0D6BE5F6">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20≤X＜300</w:t>
            </w:r>
          </w:p>
        </w:tc>
        <w:tc>
          <w:tcPr>
            <w:tcW w:w="809" w:type="dxa"/>
            <w:vAlign w:val="center"/>
          </w:tcPr>
          <w:p w14:paraId="7F61BD7E">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X＜20</w:t>
            </w:r>
          </w:p>
        </w:tc>
      </w:tr>
      <w:tr w14:paraId="1A73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1E639CF">
            <w:pPr>
              <w:keepNext/>
              <w:widowControl/>
              <w:wordWrap w:val="0"/>
              <w:spacing w:line="400" w:lineRule="exact"/>
              <w:ind w:firstLine="420" w:firstLineChars="200"/>
              <w:jc w:val="center"/>
              <w:rPr>
                <w:rFonts w:hint="eastAsia" w:ascii="宋体" w:hAnsi="宋体" w:cs="宋体"/>
                <w:kern w:val="0"/>
                <w:sz w:val="21"/>
                <w:szCs w:val="21"/>
              </w:rPr>
            </w:pPr>
          </w:p>
        </w:tc>
        <w:tc>
          <w:tcPr>
            <w:tcW w:w="1369" w:type="dxa"/>
            <w:vAlign w:val="center"/>
          </w:tcPr>
          <w:p w14:paraId="5844990F">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营业收入</w:t>
            </w:r>
            <w:r>
              <w:rPr>
                <w:rFonts w:hint="eastAsia" w:ascii="宋体" w:hAnsi="宋体" w:cs="宋体"/>
                <w:kern w:val="0"/>
                <w:sz w:val="21"/>
                <w:szCs w:val="21"/>
                <w:lang w:eastAsia="zh-CN"/>
              </w:rPr>
              <w:t>（</w:t>
            </w:r>
            <w:r>
              <w:rPr>
                <w:rFonts w:hint="eastAsia" w:ascii="宋体" w:hAnsi="宋体" w:cs="宋体"/>
                <w:kern w:val="0"/>
                <w:sz w:val="21"/>
                <w:szCs w:val="21"/>
              </w:rPr>
              <w:t>Y</w:t>
            </w:r>
            <w:r>
              <w:rPr>
                <w:rFonts w:hint="eastAsia" w:ascii="宋体" w:hAnsi="宋体" w:cs="宋体"/>
                <w:kern w:val="0"/>
                <w:sz w:val="21"/>
                <w:szCs w:val="21"/>
                <w:lang w:eastAsia="zh-CN"/>
              </w:rPr>
              <w:t>）</w:t>
            </w:r>
          </w:p>
        </w:tc>
        <w:tc>
          <w:tcPr>
            <w:tcW w:w="709" w:type="dxa"/>
            <w:vAlign w:val="center"/>
          </w:tcPr>
          <w:p w14:paraId="5AB0ACA3">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万元</w:t>
            </w:r>
          </w:p>
        </w:tc>
        <w:tc>
          <w:tcPr>
            <w:tcW w:w="1125" w:type="dxa"/>
            <w:vAlign w:val="center"/>
          </w:tcPr>
          <w:p w14:paraId="46DBE166">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Y≥30000</w:t>
            </w:r>
          </w:p>
        </w:tc>
        <w:tc>
          <w:tcPr>
            <w:tcW w:w="1701" w:type="dxa"/>
            <w:vAlign w:val="center"/>
          </w:tcPr>
          <w:p w14:paraId="7C62ED61">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3000≤Y＜30000</w:t>
            </w:r>
          </w:p>
        </w:tc>
        <w:tc>
          <w:tcPr>
            <w:tcW w:w="1609" w:type="dxa"/>
            <w:vAlign w:val="center"/>
          </w:tcPr>
          <w:p w14:paraId="7A398E95">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200≤Y＜3000</w:t>
            </w:r>
          </w:p>
        </w:tc>
        <w:tc>
          <w:tcPr>
            <w:tcW w:w="809" w:type="dxa"/>
            <w:vAlign w:val="center"/>
          </w:tcPr>
          <w:p w14:paraId="0D1FDD26">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Y＜200</w:t>
            </w:r>
          </w:p>
        </w:tc>
      </w:tr>
      <w:tr w14:paraId="397D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1E95DB9">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仓储业*</w:t>
            </w:r>
          </w:p>
        </w:tc>
        <w:tc>
          <w:tcPr>
            <w:tcW w:w="1369" w:type="dxa"/>
            <w:vAlign w:val="center"/>
          </w:tcPr>
          <w:p w14:paraId="50BD7D77">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从业人员</w:t>
            </w:r>
            <w:r>
              <w:rPr>
                <w:rFonts w:hint="eastAsia" w:ascii="宋体" w:hAnsi="宋体" w:cs="宋体"/>
                <w:kern w:val="0"/>
                <w:sz w:val="21"/>
                <w:szCs w:val="21"/>
                <w:lang w:eastAsia="zh-CN"/>
              </w:rPr>
              <w:t>（</w:t>
            </w:r>
            <w:r>
              <w:rPr>
                <w:rFonts w:hint="eastAsia" w:ascii="宋体" w:hAnsi="宋体" w:cs="宋体"/>
                <w:kern w:val="0"/>
                <w:sz w:val="21"/>
                <w:szCs w:val="21"/>
              </w:rPr>
              <w:t>X</w:t>
            </w:r>
            <w:r>
              <w:rPr>
                <w:rFonts w:hint="eastAsia" w:ascii="宋体" w:hAnsi="宋体" w:cs="宋体"/>
                <w:kern w:val="0"/>
                <w:sz w:val="21"/>
                <w:szCs w:val="21"/>
                <w:lang w:eastAsia="zh-CN"/>
              </w:rPr>
              <w:t>）</w:t>
            </w:r>
          </w:p>
        </w:tc>
        <w:tc>
          <w:tcPr>
            <w:tcW w:w="709" w:type="dxa"/>
            <w:vAlign w:val="center"/>
          </w:tcPr>
          <w:p w14:paraId="1083105B">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人</w:t>
            </w:r>
          </w:p>
        </w:tc>
        <w:tc>
          <w:tcPr>
            <w:tcW w:w="1125" w:type="dxa"/>
            <w:vAlign w:val="center"/>
          </w:tcPr>
          <w:p w14:paraId="0F172989">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X≥200</w:t>
            </w:r>
          </w:p>
        </w:tc>
        <w:tc>
          <w:tcPr>
            <w:tcW w:w="1701" w:type="dxa"/>
            <w:vAlign w:val="center"/>
          </w:tcPr>
          <w:p w14:paraId="06A12246">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100≤X＜200</w:t>
            </w:r>
          </w:p>
        </w:tc>
        <w:tc>
          <w:tcPr>
            <w:tcW w:w="1609" w:type="dxa"/>
            <w:vAlign w:val="center"/>
          </w:tcPr>
          <w:p w14:paraId="6EAC7F10">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20≤X＜100</w:t>
            </w:r>
          </w:p>
        </w:tc>
        <w:tc>
          <w:tcPr>
            <w:tcW w:w="809" w:type="dxa"/>
            <w:vAlign w:val="center"/>
          </w:tcPr>
          <w:p w14:paraId="6A938C62">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X＜20</w:t>
            </w:r>
          </w:p>
        </w:tc>
      </w:tr>
      <w:tr w14:paraId="2954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02FB219">
            <w:pPr>
              <w:keepNext/>
              <w:widowControl/>
              <w:wordWrap w:val="0"/>
              <w:spacing w:line="400" w:lineRule="exact"/>
              <w:ind w:firstLine="420" w:firstLineChars="200"/>
              <w:jc w:val="center"/>
              <w:rPr>
                <w:rFonts w:hint="eastAsia" w:ascii="宋体" w:hAnsi="宋体" w:cs="宋体"/>
                <w:kern w:val="0"/>
                <w:sz w:val="21"/>
                <w:szCs w:val="21"/>
              </w:rPr>
            </w:pPr>
          </w:p>
        </w:tc>
        <w:tc>
          <w:tcPr>
            <w:tcW w:w="1369" w:type="dxa"/>
            <w:vAlign w:val="center"/>
          </w:tcPr>
          <w:p w14:paraId="60D021CD">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营业收入</w:t>
            </w:r>
            <w:r>
              <w:rPr>
                <w:rFonts w:hint="eastAsia" w:ascii="宋体" w:hAnsi="宋体" w:cs="宋体"/>
                <w:kern w:val="0"/>
                <w:sz w:val="21"/>
                <w:szCs w:val="21"/>
                <w:lang w:eastAsia="zh-CN"/>
              </w:rPr>
              <w:t>（</w:t>
            </w:r>
            <w:r>
              <w:rPr>
                <w:rFonts w:hint="eastAsia" w:ascii="宋体" w:hAnsi="宋体" w:cs="宋体"/>
                <w:kern w:val="0"/>
                <w:sz w:val="21"/>
                <w:szCs w:val="21"/>
              </w:rPr>
              <w:t>Y</w:t>
            </w:r>
            <w:r>
              <w:rPr>
                <w:rFonts w:hint="eastAsia" w:ascii="宋体" w:hAnsi="宋体" w:cs="宋体"/>
                <w:kern w:val="0"/>
                <w:sz w:val="21"/>
                <w:szCs w:val="21"/>
                <w:lang w:eastAsia="zh-CN"/>
              </w:rPr>
              <w:t>）</w:t>
            </w:r>
          </w:p>
        </w:tc>
        <w:tc>
          <w:tcPr>
            <w:tcW w:w="709" w:type="dxa"/>
            <w:vAlign w:val="center"/>
          </w:tcPr>
          <w:p w14:paraId="2BADA292">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万元</w:t>
            </w:r>
          </w:p>
        </w:tc>
        <w:tc>
          <w:tcPr>
            <w:tcW w:w="1125" w:type="dxa"/>
            <w:vAlign w:val="center"/>
          </w:tcPr>
          <w:p w14:paraId="3F42807F">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Y≥30000</w:t>
            </w:r>
          </w:p>
        </w:tc>
        <w:tc>
          <w:tcPr>
            <w:tcW w:w="1701" w:type="dxa"/>
            <w:vAlign w:val="center"/>
          </w:tcPr>
          <w:p w14:paraId="75487095">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1000≤Y＜30000</w:t>
            </w:r>
          </w:p>
        </w:tc>
        <w:tc>
          <w:tcPr>
            <w:tcW w:w="1609" w:type="dxa"/>
            <w:vAlign w:val="center"/>
          </w:tcPr>
          <w:p w14:paraId="77140C45">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100≤Y＜1000</w:t>
            </w:r>
          </w:p>
        </w:tc>
        <w:tc>
          <w:tcPr>
            <w:tcW w:w="809" w:type="dxa"/>
            <w:vAlign w:val="center"/>
          </w:tcPr>
          <w:p w14:paraId="5727B4EB">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Y＜100</w:t>
            </w:r>
          </w:p>
        </w:tc>
      </w:tr>
      <w:tr w14:paraId="00EC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6E53884">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邮政业</w:t>
            </w:r>
          </w:p>
        </w:tc>
        <w:tc>
          <w:tcPr>
            <w:tcW w:w="1369" w:type="dxa"/>
            <w:vAlign w:val="center"/>
          </w:tcPr>
          <w:p w14:paraId="42B5F24D">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从业人员</w:t>
            </w:r>
            <w:r>
              <w:rPr>
                <w:rFonts w:hint="eastAsia" w:ascii="宋体" w:hAnsi="宋体" w:cs="宋体"/>
                <w:kern w:val="0"/>
                <w:sz w:val="21"/>
                <w:szCs w:val="21"/>
                <w:lang w:eastAsia="zh-CN"/>
              </w:rPr>
              <w:t>（</w:t>
            </w:r>
            <w:r>
              <w:rPr>
                <w:rFonts w:hint="eastAsia" w:ascii="宋体" w:hAnsi="宋体" w:cs="宋体"/>
                <w:kern w:val="0"/>
                <w:sz w:val="21"/>
                <w:szCs w:val="21"/>
              </w:rPr>
              <w:t>X</w:t>
            </w:r>
            <w:r>
              <w:rPr>
                <w:rFonts w:hint="eastAsia" w:ascii="宋体" w:hAnsi="宋体" w:cs="宋体"/>
                <w:kern w:val="0"/>
                <w:sz w:val="21"/>
                <w:szCs w:val="21"/>
                <w:lang w:eastAsia="zh-CN"/>
              </w:rPr>
              <w:t>）</w:t>
            </w:r>
          </w:p>
        </w:tc>
        <w:tc>
          <w:tcPr>
            <w:tcW w:w="709" w:type="dxa"/>
            <w:vAlign w:val="center"/>
          </w:tcPr>
          <w:p w14:paraId="591D3F59">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人</w:t>
            </w:r>
          </w:p>
        </w:tc>
        <w:tc>
          <w:tcPr>
            <w:tcW w:w="1125" w:type="dxa"/>
            <w:vAlign w:val="center"/>
          </w:tcPr>
          <w:p w14:paraId="52142F32">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X≥1000</w:t>
            </w:r>
          </w:p>
        </w:tc>
        <w:tc>
          <w:tcPr>
            <w:tcW w:w="1701" w:type="dxa"/>
            <w:vAlign w:val="center"/>
          </w:tcPr>
          <w:p w14:paraId="6B636049">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300≤X＜1000</w:t>
            </w:r>
          </w:p>
        </w:tc>
        <w:tc>
          <w:tcPr>
            <w:tcW w:w="1609" w:type="dxa"/>
            <w:vAlign w:val="center"/>
          </w:tcPr>
          <w:p w14:paraId="5E71C987">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20≤X＜300</w:t>
            </w:r>
          </w:p>
        </w:tc>
        <w:tc>
          <w:tcPr>
            <w:tcW w:w="809" w:type="dxa"/>
            <w:vAlign w:val="center"/>
          </w:tcPr>
          <w:p w14:paraId="4E4D275E">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X＜20</w:t>
            </w:r>
          </w:p>
        </w:tc>
      </w:tr>
      <w:tr w14:paraId="4D68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F9A2DA3">
            <w:pPr>
              <w:keepNext/>
              <w:widowControl/>
              <w:wordWrap w:val="0"/>
              <w:spacing w:line="400" w:lineRule="exact"/>
              <w:ind w:firstLine="420" w:firstLineChars="200"/>
              <w:jc w:val="center"/>
              <w:rPr>
                <w:rFonts w:hint="eastAsia" w:ascii="宋体" w:hAnsi="宋体" w:cs="宋体"/>
                <w:kern w:val="0"/>
                <w:sz w:val="21"/>
                <w:szCs w:val="21"/>
              </w:rPr>
            </w:pPr>
          </w:p>
        </w:tc>
        <w:tc>
          <w:tcPr>
            <w:tcW w:w="1369" w:type="dxa"/>
            <w:vAlign w:val="center"/>
          </w:tcPr>
          <w:p w14:paraId="58D5B183">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营业收入</w:t>
            </w:r>
            <w:r>
              <w:rPr>
                <w:rFonts w:hint="eastAsia" w:ascii="宋体" w:hAnsi="宋体" w:cs="宋体"/>
                <w:kern w:val="0"/>
                <w:sz w:val="21"/>
                <w:szCs w:val="21"/>
                <w:lang w:eastAsia="zh-CN"/>
              </w:rPr>
              <w:t>（</w:t>
            </w:r>
            <w:r>
              <w:rPr>
                <w:rFonts w:hint="eastAsia" w:ascii="宋体" w:hAnsi="宋体" w:cs="宋体"/>
                <w:kern w:val="0"/>
                <w:sz w:val="21"/>
                <w:szCs w:val="21"/>
              </w:rPr>
              <w:t>Y</w:t>
            </w:r>
            <w:r>
              <w:rPr>
                <w:rFonts w:hint="eastAsia" w:ascii="宋体" w:hAnsi="宋体" w:cs="宋体"/>
                <w:kern w:val="0"/>
                <w:sz w:val="21"/>
                <w:szCs w:val="21"/>
                <w:lang w:eastAsia="zh-CN"/>
              </w:rPr>
              <w:t>）</w:t>
            </w:r>
          </w:p>
        </w:tc>
        <w:tc>
          <w:tcPr>
            <w:tcW w:w="709" w:type="dxa"/>
            <w:vAlign w:val="center"/>
          </w:tcPr>
          <w:p w14:paraId="1907D82B">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万元</w:t>
            </w:r>
          </w:p>
        </w:tc>
        <w:tc>
          <w:tcPr>
            <w:tcW w:w="1125" w:type="dxa"/>
            <w:vAlign w:val="center"/>
          </w:tcPr>
          <w:p w14:paraId="5CFC9A79">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Y≥30000</w:t>
            </w:r>
          </w:p>
        </w:tc>
        <w:tc>
          <w:tcPr>
            <w:tcW w:w="1701" w:type="dxa"/>
            <w:vAlign w:val="center"/>
          </w:tcPr>
          <w:p w14:paraId="61BEFE47">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2000≤Y＜30000</w:t>
            </w:r>
          </w:p>
        </w:tc>
        <w:tc>
          <w:tcPr>
            <w:tcW w:w="1609" w:type="dxa"/>
            <w:vAlign w:val="center"/>
          </w:tcPr>
          <w:p w14:paraId="772DE054">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100≤Y＜2000</w:t>
            </w:r>
          </w:p>
        </w:tc>
        <w:tc>
          <w:tcPr>
            <w:tcW w:w="809" w:type="dxa"/>
            <w:vAlign w:val="center"/>
          </w:tcPr>
          <w:p w14:paraId="3603DDFE">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Y＜100</w:t>
            </w:r>
          </w:p>
        </w:tc>
      </w:tr>
      <w:tr w14:paraId="637A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09D7B4C">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住宿业</w:t>
            </w:r>
          </w:p>
        </w:tc>
        <w:tc>
          <w:tcPr>
            <w:tcW w:w="1369" w:type="dxa"/>
            <w:vAlign w:val="center"/>
          </w:tcPr>
          <w:p w14:paraId="248FD42C">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从业人员</w:t>
            </w:r>
            <w:r>
              <w:rPr>
                <w:rFonts w:hint="eastAsia" w:ascii="宋体" w:hAnsi="宋体" w:cs="宋体"/>
                <w:kern w:val="0"/>
                <w:sz w:val="21"/>
                <w:szCs w:val="21"/>
                <w:lang w:eastAsia="zh-CN"/>
              </w:rPr>
              <w:t>（</w:t>
            </w:r>
            <w:r>
              <w:rPr>
                <w:rFonts w:hint="eastAsia" w:ascii="宋体" w:hAnsi="宋体" w:cs="宋体"/>
                <w:kern w:val="0"/>
                <w:sz w:val="21"/>
                <w:szCs w:val="21"/>
              </w:rPr>
              <w:t>X</w:t>
            </w:r>
            <w:r>
              <w:rPr>
                <w:rFonts w:hint="eastAsia" w:ascii="宋体" w:hAnsi="宋体" w:cs="宋体"/>
                <w:kern w:val="0"/>
                <w:sz w:val="21"/>
                <w:szCs w:val="21"/>
                <w:lang w:eastAsia="zh-CN"/>
              </w:rPr>
              <w:t>）</w:t>
            </w:r>
          </w:p>
        </w:tc>
        <w:tc>
          <w:tcPr>
            <w:tcW w:w="709" w:type="dxa"/>
            <w:vAlign w:val="center"/>
          </w:tcPr>
          <w:p w14:paraId="3CCB735A">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人</w:t>
            </w:r>
          </w:p>
        </w:tc>
        <w:tc>
          <w:tcPr>
            <w:tcW w:w="1125" w:type="dxa"/>
            <w:vAlign w:val="center"/>
          </w:tcPr>
          <w:p w14:paraId="64151597">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X≥300</w:t>
            </w:r>
          </w:p>
        </w:tc>
        <w:tc>
          <w:tcPr>
            <w:tcW w:w="1701" w:type="dxa"/>
            <w:vAlign w:val="center"/>
          </w:tcPr>
          <w:p w14:paraId="17EA3027">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100≤X＜300</w:t>
            </w:r>
          </w:p>
        </w:tc>
        <w:tc>
          <w:tcPr>
            <w:tcW w:w="1609" w:type="dxa"/>
            <w:vAlign w:val="center"/>
          </w:tcPr>
          <w:p w14:paraId="0E460A09">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10≤X＜100</w:t>
            </w:r>
          </w:p>
        </w:tc>
        <w:tc>
          <w:tcPr>
            <w:tcW w:w="809" w:type="dxa"/>
            <w:vAlign w:val="center"/>
          </w:tcPr>
          <w:p w14:paraId="2FFBA1C9">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X＜10</w:t>
            </w:r>
          </w:p>
        </w:tc>
      </w:tr>
      <w:tr w14:paraId="68AF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85F34C0">
            <w:pPr>
              <w:keepNext/>
              <w:widowControl/>
              <w:wordWrap w:val="0"/>
              <w:spacing w:line="400" w:lineRule="exact"/>
              <w:ind w:firstLine="420" w:firstLineChars="200"/>
              <w:jc w:val="center"/>
              <w:rPr>
                <w:rFonts w:hint="eastAsia" w:ascii="宋体" w:hAnsi="宋体" w:cs="宋体"/>
                <w:kern w:val="0"/>
                <w:sz w:val="21"/>
                <w:szCs w:val="21"/>
              </w:rPr>
            </w:pPr>
          </w:p>
        </w:tc>
        <w:tc>
          <w:tcPr>
            <w:tcW w:w="1369" w:type="dxa"/>
            <w:vAlign w:val="center"/>
          </w:tcPr>
          <w:p w14:paraId="2777AA41">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营业收入</w:t>
            </w:r>
            <w:r>
              <w:rPr>
                <w:rFonts w:hint="eastAsia" w:ascii="宋体" w:hAnsi="宋体" w:cs="宋体"/>
                <w:kern w:val="0"/>
                <w:sz w:val="21"/>
                <w:szCs w:val="21"/>
                <w:lang w:eastAsia="zh-CN"/>
              </w:rPr>
              <w:t>（</w:t>
            </w:r>
            <w:r>
              <w:rPr>
                <w:rFonts w:hint="eastAsia" w:ascii="宋体" w:hAnsi="宋体" w:cs="宋体"/>
                <w:kern w:val="0"/>
                <w:sz w:val="21"/>
                <w:szCs w:val="21"/>
              </w:rPr>
              <w:t>Y</w:t>
            </w:r>
            <w:r>
              <w:rPr>
                <w:rFonts w:hint="eastAsia" w:ascii="宋体" w:hAnsi="宋体" w:cs="宋体"/>
                <w:kern w:val="0"/>
                <w:sz w:val="21"/>
                <w:szCs w:val="21"/>
                <w:lang w:eastAsia="zh-CN"/>
              </w:rPr>
              <w:t>）</w:t>
            </w:r>
          </w:p>
        </w:tc>
        <w:tc>
          <w:tcPr>
            <w:tcW w:w="709" w:type="dxa"/>
            <w:vAlign w:val="center"/>
          </w:tcPr>
          <w:p w14:paraId="34CB46CC">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万元</w:t>
            </w:r>
          </w:p>
        </w:tc>
        <w:tc>
          <w:tcPr>
            <w:tcW w:w="1125" w:type="dxa"/>
            <w:vAlign w:val="center"/>
          </w:tcPr>
          <w:p w14:paraId="7567C903">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Y≥10000</w:t>
            </w:r>
          </w:p>
        </w:tc>
        <w:tc>
          <w:tcPr>
            <w:tcW w:w="1701" w:type="dxa"/>
            <w:vAlign w:val="center"/>
          </w:tcPr>
          <w:p w14:paraId="29976E2E">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2000≤Y＜10000</w:t>
            </w:r>
          </w:p>
        </w:tc>
        <w:tc>
          <w:tcPr>
            <w:tcW w:w="1609" w:type="dxa"/>
            <w:vAlign w:val="center"/>
          </w:tcPr>
          <w:p w14:paraId="316A9861">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100≤Y＜2000</w:t>
            </w:r>
          </w:p>
        </w:tc>
        <w:tc>
          <w:tcPr>
            <w:tcW w:w="809" w:type="dxa"/>
            <w:vAlign w:val="center"/>
          </w:tcPr>
          <w:p w14:paraId="61648785">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Y＜100</w:t>
            </w:r>
          </w:p>
        </w:tc>
      </w:tr>
      <w:tr w14:paraId="5619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E721E1D">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餐饮业</w:t>
            </w:r>
          </w:p>
        </w:tc>
        <w:tc>
          <w:tcPr>
            <w:tcW w:w="1369" w:type="dxa"/>
            <w:vAlign w:val="center"/>
          </w:tcPr>
          <w:p w14:paraId="3AFA1E12">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从业人员</w:t>
            </w:r>
            <w:r>
              <w:rPr>
                <w:rFonts w:hint="eastAsia" w:ascii="宋体" w:hAnsi="宋体" w:cs="宋体"/>
                <w:kern w:val="0"/>
                <w:sz w:val="21"/>
                <w:szCs w:val="21"/>
                <w:lang w:eastAsia="zh-CN"/>
              </w:rPr>
              <w:t>（</w:t>
            </w:r>
            <w:r>
              <w:rPr>
                <w:rFonts w:hint="eastAsia" w:ascii="宋体" w:hAnsi="宋体" w:cs="宋体"/>
                <w:kern w:val="0"/>
                <w:sz w:val="21"/>
                <w:szCs w:val="21"/>
              </w:rPr>
              <w:t>X</w:t>
            </w:r>
            <w:r>
              <w:rPr>
                <w:rFonts w:hint="eastAsia" w:ascii="宋体" w:hAnsi="宋体" w:cs="宋体"/>
                <w:kern w:val="0"/>
                <w:sz w:val="21"/>
                <w:szCs w:val="21"/>
                <w:lang w:eastAsia="zh-CN"/>
              </w:rPr>
              <w:t>）</w:t>
            </w:r>
          </w:p>
        </w:tc>
        <w:tc>
          <w:tcPr>
            <w:tcW w:w="709" w:type="dxa"/>
            <w:vAlign w:val="center"/>
          </w:tcPr>
          <w:p w14:paraId="286062B8">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人</w:t>
            </w:r>
          </w:p>
        </w:tc>
        <w:tc>
          <w:tcPr>
            <w:tcW w:w="1125" w:type="dxa"/>
            <w:vAlign w:val="center"/>
          </w:tcPr>
          <w:p w14:paraId="14B7FFF1">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X≥300</w:t>
            </w:r>
          </w:p>
        </w:tc>
        <w:tc>
          <w:tcPr>
            <w:tcW w:w="1701" w:type="dxa"/>
            <w:vAlign w:val="center"/>
          </w:tcPr>
          <w:p w14:paraId="71E284E2">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100≤X＜300</w:t>
            </w:r>
          </w:p>
        </w:tc>
        <w:tc>
          <w:tcPr>
            <w:tcW w:w="1609" w:type="dxa"/>
            <w:vAlign w:val="center"/>
          </w:tcPr>
          <w:p w14:paraId="1A10C51E">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10≤X＜100</w:t>
            </w:r>
          </w:p>
        </w:tc>
        <w:tc>
          <w:tcPr>
            <w:tcW w:w="809" w:type="dxa"/>
            <w:vAlign w:val="center"/>
          </w:tcPr>
          <w:p w14:paraId="1066E2D9">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X＜10</w:t>
            </w:r>
          </w:p>
        </w:tc>
      </w:tr>
      <w:tr w14:paraId="444E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4E78D54">
            <w:pPr>
              <w:keepNext/>
              <w:widowControl/>
              <w:wordWrap w:val="0"/>
              <w:spacing w:line="400" w:lineRule="exact"/>
              <w:ind w:firstLine="420" w:firstLineChars="200"/>
              <w:jc w:val="center"/>
              <w:rPr>
                <w:rFonts w:hint="eastAsia" w:ascii="宋体" w:hAnsi="宋体" w:cs="宋体"/>
                <w:kern w:val="0"/>
                <w:sz w:val="21"/>
                <w:szCs w:val="21"/>
              </w:rPr>
            </w:pPr>
          </w:p>
        </w:tc>
        <w:tc>
          <w:tcPr>
            <w:tcW w:w="1369" w:type="dxa"/>
            <w:vAlign w:val="center"/>
          </w:tcPr>
          <w:p w14:paraId="6225A1A3">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营业收入</w:t>
            </w:r>
            <w:r>
              <w:rPr>
                <w:rFonts w:hint="eastAsia" w:ascii="宋体" w:hAnsi="宋体" w:cs="宋体"/>
                <w:kern w:val="0"/>
                <w:sz w:val="21"/>
                <w:szCs w:val="21"/>
                <w:lang w:eastAsia="zh-CN"/>
              </w:rPr>
              <w:t>（</w:t>
            </w:r>
            <w:r>
              <w:rPr>
                <w:rFonts w:hint="eastAsia" w:ascii="宋体" w:hAnsi="宋体" w:cs="宋体"/>
                <w:kern w:val="0"/>
                <w:sz w:val="21"/>
                <w:szCs w:val="21"/>
              </w:rPr>
              <w:t>Y</w:t>
            </w:r>
            <w:r>
              <w:rPr>
                <w:rFonts w:hint="eastAsia" w:ascii="宋体" w:hAnsi="宋体" w:cs="宋体"/>
                <w:kern w:val="0"/>
                <w:sz w:val="21"/>
                <w:szCs w:val="21"/>
                <w:lang w:eastAsia="zh-CN"/>
              </w:rPr>
              <w:t>）</w:t>
            </w:r>
          </w:p>
        </w:tc>
        <w:tc>
          <w:tcPr>
            <w:tcW w:w="709" w:type="dxa"/>
            <w:vAlign w:val="center"/>
          </w:tcPr>
          <w:p w14:paraId="58B6C70D">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万元</w:t>
            </w:r>
          </w:p>
        </w:tc>
        <w:tc>
          <w:tcPr>
            <w:tcW w:w="1125" w:type="dxa"/>
            <w:vAlign w:val="center"/>
          </w:tcPr>
          <w:p w14:paraId="76FF1995">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Y≥10000</w:t>
            </w:r>
          </w:p>
        </w:tc>
        <w:tc>
          <w:tcPr>
            <w:tcW w:w="1701" w:type="dxa"/>
            <w:vAlign w:val="center"/>
          </w:tcPr>
          <w:p w14:paraId="33855D7E">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2000≤Y＜10000</w:t>
            </w:r>
          </w:p>
        </w:tc>
        <w:tc>
          <w:tcPr>
            <w:tcW w:w="1609" w:type="dxa"/>
            <w:vAlign w:val="center"/>
          </w:tcPr>
          <w:p w14:paraId="1E608810">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100≤Y＜2000</w:t>
            </w:r>
          </w:p>
        </w:tc>
        <w:tc>
          <w:tcPr>
            <w:tcW w:w="809" w:type="dxa"/>
            <w:vAlign w:val="center"/>
          </w:tcPr>
          <w:p w14:paraId="785086C1">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Y＜100</w:t>
            </w:r>
          </w:p>
        </w:tc>
      </w:tr>
      <w:tr w14:paraId="3E9C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6C7E412">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信息传输业 *</w:t>
            </w:r>
          </w:p>
        </w:tc>
        <w:tc>
          <w:tcPr>
            <w:tcW w:w="1369" w:type="dxa"/>
            <w:vAlign w:val="center"/>
          </w:tcPr>
          <w:p w14:paraId="0D8550B9">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从业人员</w:t>
            </w:r>
            <w:r>
              <w:rPr>
                <w:rFonts w:hint="eastAsia" w:ascii="宋体" w:hAnsi="宋体" w:cs="宋体"/>
                <w:kern w:val="0"/>
                <w:sz w:val="21"/>
                <w:szCs w:val="21"/>
                <w:lang w:eastAsia="zh-CN"/>
              </w:rPr>
              <w:t>（</w:t>
            </w:r>
            <w:r>
              <w:rPr>
                <w:rFonts w:hint="eastAsia" w:ascii="宋体" w:hAnsi="宋体" w:cs="宋体"/>
                <w:kern w:val="0"/>
                <w:sz w:val="21"/>
                <w:szCs w:val="21"/>
              </w:rPr>
              <w:t>X</w:t>
            </w:r>
            <w:r>
              <w:rPr>
                <w:rFonts w:hint="eastAsia" w:ascii="宋体" w:hAnsi="宋体" w:cs="宋体"/>
                <w:kern w:val="0"/>
                <w:sz w:val="21"/>
                <w:szCs w:val="21"/>
                <w:lang w:eastAsia="zh-CN"/>
              </w:rPr>
              <w:t>）</w:t>
            </w:r>
          </w:p>
        </w:tc>
        <w:tc>
          <w:tcPr>
            <w:tcW w:w="709" w:type="dxa"/>
            <w:vAlign w:val="center"/>
          </w:tcPr>
          <w:p w14:paraId="4E7675F0">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人</w:t>
            </w:r>
          </w:p>
        </w:tc>
        <w:tc>
          <w:tcPr>
            <w:tcW w:w="1125" w:type="dxa"/>
            <w:vAlign w:val="center"/>
          </w:tcPr>
          <w:p w14:paraId="319762E3">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X≥2000</w:t>
            </w:r>
          </w:p>
        </w:tc>
        <w:tc>
          <w:tcPr>
            <w:tcW w:w="1701" w:type="dxa"/>
            <w:vAlign w:val="center"/>
          </w:tcPr>
          <w:p w14:paraId="17B96B1F">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100≤X＜2000</w:t>
            </w:r>
          </w:p>
        </w:tc>
        <w:tc>
          <w:tcPr>
            <w:tcW w:w="1609" w:type="dxa"/>
            <w:vAlign w:val="center"/>
          </w:tcPr>
          <w:p w14:paraId="3F4F30C5">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10≤X＜100</w:t>
            </w:r>
          </w:p>
        </w:tc>
        <w:tc>
          <w:tcPr>
            <w:tcW w:w="809" w:type="dxa"/>
            <w:vAlign w:val="center"/>
          </w:tcPr>
          <w:p w14:paraId="5C0ECB5C">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X＜10</w:t>
            </w:r>
          </w:p>
        </w:tc>
      </w:tr>
      <w:tr w14:paraId="7B9A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052D770">
            <w:pPr>
              <w:keepNext/>
              <w:widowControl/>
              <w:wordWrap w:val="0"/>
              <w:spacing w:line="400" w:lineRule="exact"/>
              <w:ind w:firstLine="420" w:firstLineChars="200"/>
              <w:jc w:val="center"/>
              <w:rPr>
                <w:rFonts w:hint="eastAsia" w:ascii="宋体" w:hAnsi="宋体" w:cs="宋体"/>
                <w:kern w:val="0"/>
                <w:sz w:val="21"/>
                <w:szCs w:val="21"/>
              </w:rPr>
            </w:pPr>
          </w:p>
        </w:tc>
        <w:tc>
          <w:tcPr>
            <w:tcW w:w="1369" w:type="dxa"/>
            <w:vAlign w:val="center"/>
          </w:tcPr>
          <w:p w14:paraId="551F9DAE">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营业收入</w:t>
            </w:r>
            <w:r>
              <w:rPr>
                <w:rFonts w:hint="eastAsia" w:ascii="宋体" w:hAnsi="宋体" w:cs="宋体"/>
                <w:kern w:val="0"/>
                <w:sz w:val="21"/>
                <w:szCs w:val="21"/>
                <w:lang w:eastAsia="zh-CN"/>
              </w:rPr>
              <w:t>（</w:t>
            </w:r>
            <w:r>
              <w:rPr>
                <w:rFonts w:hint="eastAsia" w:ascii="宋体" w:hAnsi="宋体" w:cs="宋体"/>
                <w:kern w:val="0"/>
                <w:sz w:val="21"/>
                <w:szCs w:val="21"/>
              </w:rPr>
              <w:t>Y</w:t>
            </w:r>
            <w:r>
              <w:rPr>
                <w:rFonts w:hint="eastAsia" w:ascii="宋体" w:hAnsi="宋体" w:cs="宋体"/>
                <w:kern w:val="0"/>
                <w:sz w:val="21"/>
                <w:szCs w:val="21"/>
                <w:lang w:eastAsia="zh-CN"/>
              </w:rPr>
              <w:t>）</w:t>
            </w:r>
          </w:p>
        </w:tc>
        <w:tc>
          <w:tcPr>
            <w:tcW w:w="709" w:type="dxa"/>
            <w:vAlign w:val="center"/>
          </w:tcPr>
          <w:p w14:paraId="38F10CAE">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万元</w:t>
            </w:r>
          </w:p>
        </w:tc>
        <w:tc>
          <w:tcPr>
            <w:tcW w:w="1125" w:type="dxa"/>
            <w:vAlign w:val="center"/>
          </w:tcPr>
          <w:p w14:paraId="12803B57">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Y≥100000</w:t>
            </w:r>
          </w:p>
        </w:tc>
        <w:tc>
          <w:tcPr>
            <w:tcW w:w="1701" w:type="dxa"/>
            <w:vAlign w:val="center"/>
          </w:tcPr>
          <w:p w14:paraId="5C71410F">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1000≤Y＜100000</w:t>
            </w:r>
          </w:p>
        </w:tc>
        <w:tc>
          <w:tcPr>
            <w:tcW w:w="1609" w:type="dxa"/>
            <w:vAlign w:val="center"/>
          </w:tcPr>
          <w:p w14:paraId="7FD9CF16">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100≤Y＜1000</w:t>
            </w:r>
          </w:p>
        </w:tc>
        <w:tc>
          <w:tcPr>
            <w:tcW w:w="809" w:type="dxa"/>
            <w:vAlign w:val="center"/>
          </w:tcPr>
          <w:p w14:paraId="61EA7BBF">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Y＜100</w:t>
            </w:r>
          </w:p>
        </w:tc>
      </w:tr>
      <w:tr w14:paraId="6F36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6842E08">
            <w:pPr>
              <w:keepNext/>
              <w:widowControl/>
              <w:wordWrap w:val="0"/>
              <w:spacing w:line="400" w:lineRule="exact"/>
              <w:jc w:val="center"/>
              <w:rPr>
                <w:rFonts w:hint="eastAsia" w:ascii="宋体" w:hAnsi="宋体" w:cs="宋体"/>
                <w:spacing w:val="-12"/>
                <w:kern w:val="0"/>
                <w:sz w:val="21"/>
                <w:szCs w:val="21"/>
              </w:rPr>
            </w:pPr>
            <w:r>
              <w:rPr>
                <w:rFonts w:hint="eastAsia" w:ascii="宋体" w:hAnsi="宋体" w:cs="宋体"/>
                <w:spacing w:val="-12"/>
                <w:kern w:val="0"/>
                <w:sz w:val="21"/>
                <w:szCs w:val="21"/>
              </w:rPr>
              <w:t>软件和信息技术服</w:t>
            </w:r>
            <w:r>
              <w:rPr>
                <w:rFonts w:hint="eastAsia" w:ascii="宋体" w:hAnsi="宋体" w:cs="宋体"/>
                <w:kern w:val="0"/>
                <w:sz w:val="21"/>
                <w:szCs w:val="21"/>
              </w:rPr>
              <w:t>务业</w:t>
            </w:r>
          </w:p>
        </w:tc>
        <w:tc>
          <w:tcPr>
            <w:tcW w:w="1369" w:type="dxa"/>
            <w:vAlign w:val="center"/>
          </w:tcPr>
          <w:p w14:paraId="77E6C823">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从业人员</w:t>
            </w:r>
            <w:r>
              <w:rPr>
                <w:rFonts w:hint="eastAsia" w:ascii="宋体" w:hAnsi="宋体" w:cs="宋体"/>
                <w:kern w:val="0"/>
                <w:sz w:val="21"/>
                <w:szCs w:val="21"/>
                <w:lang w:eastAsia="zh-CN"/>
              </w:rPr>
              <w:t>（</w:t>
            </w:r>
            <w:r>
              <w:rPr>
                <w:rFonts w:hint="eastAsia" w:ascii="宋体" w:hAnsi="宋体" w:cs="宋体"/>
                <w:kern w:val="0"/>
                <w:sz w:val="21"/>
                <w:szCs w:val="21"/>
              </w:rPr>
              <w:t>X</w:t>
            </w:r>
            <w:r>
              <w:rPr>
                <w:rFonts w:hint="eastAsia" w:ascii="宋体" w:hAnsi="宋体" w:cs="宋体"/>
                <w:kern w:val="0"/>
                <w:sz w:val="21"/>
                <w:szCs w:val="21"/>
                <w:lang w:eastAsia="zh-CN"/>
              </w:rPr>
              <w:t>）</w:t>
            </w:r>
          </w:p>
        </w:tc>
        <w:tc>
          <w:tcPr>
            <w:tcW w:w="709" w:type="dxa"/>
            <w:vAlign w:val="center"/>
          </w:tcPr>
          <w:p w14:paraId="6B98E1BF">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人</w:t>
            </w:r>
          </w:p>
        </w:tc>
        <w:tc>
          <w:tcPr>
            <w:tcW w:w="1125" w:type="dxa"/>
            <w:vAlign w:val="center"/>
          </w:tcPr>
          <w:p w14:paraId="6319401D">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X≥300</w:t>
            </w:r>
          </w:p>
        </w:tc>
        <w:tc>
          <w:tcPr>
            <w:tcW w:w="1701" w:type="dxa"/>
            <w:vAlign w:val="center"/>
          </w:tcPr>
          <w:p w14:paraId="5ABD8FBF">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100≤X＜300</w:t>
            </w:r>
          </w:p>
        </w:tc>
        <w:tc>
          <w:tcPr>
            <w:tcW w:w="1609" w:type="dxa"/>
            <w:vAlign w:val="center"/>
          </w:tcPr>
          <w:p w14:paraId="35406BDA">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10≤X＜100</w:t>
            </w:r>
          </w:p>
        </w:tc>
        <w:tc>
          <w:tcPr>
            <w:tcW w:w="809" w:type="dxa"/>
            <w:vAlign w:val="center"/>
          </w:tcPr>
          <w:p w14:paraId="03765F65">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X＜10</w:t>
            </w:r>
          </w:p>
        </w:tc>
      </w:tr>
      <w:tr w14:paraId="5790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2113" w:type="dxa"/>
            <w:vMerge w:val="continue"/>
            <w:vAlign w:val="center"/>
          </w:tcPr>
          <w:p w14:paraId="104D17B9">
            <w:pPr>
              <w:keepNext/>
              <w:widowControl/>
              <w:wordWrap w:val="0"/>
              <w:spacing w:line="400" w:lineRule="exact"/>
              <w:ind w:firstLine="372" w:firstLineChars="200"/>
              <w:jc w:val="center"/>
              <w:rPr>
                <w:rFonts w:hint="eastAsia" w:ascii="宋体" w:hAnsi="宋体" w:cs="宋体"/>
                <w:spacing w:val="-12"/>
                <w:kern w:val="0"/>
                <w:sz w:val="21"/>
                <w:szCs w:val="21"/>
              </w:rPr>
            </w:pPr>
          </w:p>
        </w:tc>
        <w:tc>
          <w:tcPr>
            <w:tcW w:w="1369" w:type="dxa"/>
            <w:vAlign w:val="center"/>
          </w:tcPr>
          <w:p w14:paraId="7893CB47">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营业收入</w:t>
            </w:r>
            <w:r>
              <w:rPr>
                <w:rFonts w:hint="eastAsia" w:ascii="宋体" w:hAnsi="宋体" w:cs="宋体"/>
                <w:kern w:val="0"/>
                <w:sz w:val="21"/>
                <w:szCs w:val="21"/>
                <w:lang w:eastAsia="zh-CN"/>
              </w:rPr>
              <w:t>（</w:t>
            </w:r>
            <w:r>
              <w:rPr>
                <w:rFonts w:hint="eastAsia" w:ascii="宋体" w:hAnsi="宋体" w:cs="宋体"/>
                <w:kern w:val="0"/>
                <w:sz w:val="21"/>
                <w:szCs w:val="21"/>
              </w:rPr>
              <w:t>Y</w:t>
            </w:r>
            <w:r>
              <w:rPr>
                <w:rFonts w:hint="eastAsia" w:ascii="宋体" w:hAnsi="宋体" w:cs="宋体"/>
                <w:kern w:val="0"/>
                <w:sz w:val="21"/>
                <w:szCs w:val="21"/>
                <w:lang w:eastAsia="zh-CN"/>
              </w:rPr>
              <w:t>）</w:t>
            </w:r>
          </w:p>
        </w:tc>
        <w:tc>
          <w:tcPr>
            <w:tcW w:w="709" w:type="dxa"/>
            <w:vAlign w:val="center"/>
          </w:tcPr>
          <w:p w14:paraId="58EA500A">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万元</w:t>
            </w:r>
          </w:p>
        </w:tc>
        <w:tc>
          <w:tcPr>
            <w:tcW w:w="1125" w:type="dxa"/>
            <w:vAlign w:val="center"/>
          </w:tcPr>
          <w:p w14:paraId="300D632E">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Y≥10000</w:t>
            </w:r>
          </w:p>
        </w:tc>
        <w:tc>
          <w:tcPr>
            <w:tcW w:w="1701" w:type="dxa"/>
            <w:vAlign w:val="center"/>
          </w:tcPr>
          <w:p w14:paraId="0CA2A37F">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1000≤Y＜10000</w:t>
            </w:r>
          </w:p>
        </w:tc>
        <w:tc>
          <w:tcPr>
            <w:tcW w:w="1609" w:type="dxa"/>
            <w:vAlign w:val="center"/>
          </w:tcPr>
          <w:p w14:paraId="5666F310">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50≤Y＜1000</w:t>
            </w:r>
          </w:p>
        </w:tc>
        <w:tc>
          <w:tcPr>
            <w:tcW w:w="809" w:type="dxa"/>
            <w:vAlign w:val="center"/>
          </w:tcPr>
          <w:p w14:paraId="468781EE">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Y＜50</w:t>
            </w:r>
          </w:p>
        </w:tc>
      </w:tr>
      <w:tr w14:paraId="3BE5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2113" w:type="dxa"/>
            <w:vMerge w:val="restart"/>
            <w:vAlign w:val="center"/>
          </w:tcPr>
          <w:p w14:paraId="5AEB81E2">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房地产开发经营</w:t>
            </w:r>
          </w:p>
        </w:tc>
        <w:tc>
          <w:tcPr>
            <w:tcW w:w="1369" w:type="dxa"/>
            <w:vAlign w:val="center"/>
          </w:tcPr>
          <w:p w14:paraId="17E29817">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营业收入</w:t>
            </w:r>
            <w:r>
              <w:rPr>
                <w:rFonts w:hint="eastAsia" w:ascii="宋体" w:hAnsi="宋体" w:cs="宋体"/>
                <w:kern w:val="0"/>
                <w:sz w:val="21"/>
                <w:szCs w:val="21"/>
                <w:lang w:eastAsia="zh-CN"/>
              </w:rPr>
              <w:t>（</w:t>
            </w:r>
            <w:r>
              <w:rPr>
                <w:rFonts w:hint="eastAsia" w:ascii="宋体" w:hAnsi="宋体" w:cs="宋体"/>
                <w:kern w:val="0"/>
                <w:sz w:val="21"/>
                <w:szCs w:val="21"/>
              </w:rPr>
              <w:t>Y</w:t>
            </w:r>
            <w:r>
              <w:rPr>
                <w:rFonts w:hint="eastAsia" w:ascii="宋体" w:hAnsi="宋体" w:cs="宋体"/>
                <w:kern w:val="0"/>
                <w:sz w:val="21"/>
                <w:szCs w:val="21"/>
                <w:lang w:eastAsia="zh-CN"/>
              </w:rPr>
              <w:t>）</w:t>
            </w:r>
          </w:p>
        </w:tc>
        <w:tc>
          <w:tcPr>
            <w:tcW w:w="709" w:type="dxa"/>
            <w:vAlign w:val="center"/>
          </w:tcPr>
          <w:p w14:paraId="6AF16DCA">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万元</w:t>
            </w:r>
          </w:p>
        </w:tc>
        <w:tc>
          <w:tcPr>
            <w:tcW w:w="1125" w:type="dxa"/>
            <w:vAlign w:val="center"/>
          </w:tcPr>
          <w:p w14:paraId="4B0DCA81">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Y≥200000</w:t>
            </w:r>
          </w:p>
        </w:tc>
        <w:tc>
          <w:tcPr>
            <w:tcW w:w="1701" w:type="dxa"/>
            <w:vAlign w:val="center"/>
          </w:tcPr>
          <w:p w14:paraId="6B1E94E5">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1000≤Y＜200000</w:t>
            </w:r>
          </w:p>
        </w:tc>
        <w:tc>
          <w:tcPr>
            <w:tcW w:w="1609" w:type="dxa"/>
            <w:vAlign w:val="center"/>
          </w:tcPr>
          <w:p w14:paraId="0F4313D3">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100≤Y＜1000</w:t>
            </w:r>
          </w:p>
        </w:tc>
        <w:tc>
          <w:tcPr>
            <w:tcW w:w="809" w:type="dxa"/>
            <w:vAlign w:val="center"/>
          </w:tcPr>
          <w:p w14:paraId="1B5C383B">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Y＜100</w:t>
            </w:r>
          </w:p>
        </w:tc>
      </w:tr>
      <w:tr w14:paraId="3A12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2113" w:type="dxa"/>
            <w:vMerge w:val="continue"/>
            <w:vAlign w:val="center"/>
          </w:tcPr>
          <w:p w14:paraId="00BCCE1A">
            <w:pPr>
              <w:keepNext/>
              <w:widowControl/>
              <w:wordWrap w:val="0"/>
              <w:spacing w:line="400" w:lineRule="exact"/>
              <w:ind w:firstLine="420" w:firstLineChars="200"/>
              <w:jc w:val="center"/>
              <w:rPr>
                <w:rFonts w:hint="eastAsia" w:ascii="宋体" w:hAnsi="宋体" w:cs="宋体"/>
                <w:kern w:val="0"/>
                <w:sz w:val="21"/>
                <w:szCs w:val="21"/>
              </w:rPr>
            </w:pPr>
          </w:p>
        </w:tc>
        <w:tc>
          <w:tcPr>
            <w:tcW w:w="1369" w:type="dxa"/>
            <w:vAlign w:val="center"/>
          </w:tcPr>
          <w:p w14:paraId="663B5ECF">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资产总额</w:t>
            </w:r>
            <w:r>
              <w:rPr>
                <w:rFonts w:hint="eastAsia" w:ascii="宋体" w:hAnsi="宋体" w:cs="宋体"/>
                <w:kern w:val="0"/>
                <w:sz w:val="21"/>
                <w:szCs w:val="21"/>
                <w:lang w:eastAsia="zh-CN"/>
              </w:rPr>
              <w:t>（</w:t>
            </w:r>
            <w:r>
              <w:rPr>
                <w:rFonts w:hint="eastAsia" w:ascii="宋体" w:hAnsi="宋体" w:cs="宋体"/>
                <w:kern w:val="0"/>
                <w:sz w:val="21"/>
                <w:szCs w:val="21"/>
              </w:rPr>
              <w:t>Z</w:t>
            </w:r>
            <w:r>
              <w:rPr>
                <w:rFonts w:hint="eastAsia" w:ascii="宋体" w:hAnsi="宋体" w:cs="宋体"/>
                <w:kern w:val="0"/>
                <w:sz w:val="21"/>
                <w:szCs w:val="21"/>
                <w:lang w:eastAsia="zh-CN"/>
              </w:rPr>
              <w:t>）</w:t>
            </w:r>
          </w:p>
        </w:tc>
        <w:tc>
          <w:tcPr>
            <w:tcW w:w="709" w:type="dxa"/>
            <w:vAlign w:val="center"/>
          </w:tcPr>
          <w:p w14:paraId="0EB12137">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万元</w:t>
            </w:r>
          </w:p>
        </w:tc>
        <w:tc>
          <w:tcPr>
            <w:tcW w:w="1125" w:type="dxa"/>
            <w:vAlign w:val="center"/>
          </w:tcPr>
          <w:p w14:paraId="3C53FD25">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Z≥10000</w:t>
            </w:r>
          </w:p>
        </w:tc>
        <w:tc>
          <w:tcPr>
            <w:tcW w:w="1701" w:type="dxa"/>
            <w:vAlign w:val="center"/>
          </w:tcPr>
          <w:p w14:paraId="7D2336D3">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5000≤Z＜10000</w:t>
            </w:r>
          </w:p>
        </w:tc>
        <w:tc>
          <w:tcPr>
            <w:tcW w:w="1609" w:type="dxa"/>
            <w:vAlign w:val="center"/>
          </w:tcPr>
          <w:p w14:paraId="4AFB3A4F">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2000≤Z＜5000</w:t>
            </w:r>
          </w:p>
        </w:tc>
        <w:tc>
          <w:tcPr>
            <w:tcW w:w="809" w:type="dxa"/>
            <w:vAlign w:val="center"/>
          </w:tcPr>
          <w:p w14:paraId="22F8B3B4">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Z＜2000</w:t>
            </w:r>
          </w:p>
        </w:tc>
      </w:tr>
      <w:tr w14:paraId="4751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2113" w:type="dxa"/>
            <w:vMerge w:val="restart"/>
            <w:vAlign w:val="center"/>
          </w:tcPr>
          <w:p w14:paraId="7F4546DF">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物业管理</w:t>
            </w:r>
          </w:p>
        </w:tc>
        <w:tc>
          <w:tcPr>
            <w:tcW w:w="1369" w:type="dxa"/>
            <w:vAlign w:val="center"/>
          </w:tcPr>
          <w:p w14:paraId="1FBCD026">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从业人员</w:t>
            </w:r>
            <w:r>
              <w:rPr>
                <w:rFonts w:hint="eastAsia" w:ascii="宋体" w:hAnsi="宋体" w:cs="宋体"/>
                <w:kern w:val="0"/>
                <w:sz w:val="21"/>
                <w:szCs w:val="21"/>
                <w:lang w:eastAsia="zh-CN"/>
              </w:rPr>
              <w:t>（</w:t>
            </w:r>
            <w:r>
              <w:rPr>
                <w:rFonts w:hint="eastAsia" w:ascii="宋体" w:hAnsi="宋体" w:cs="宋体"/>
                <w:kern w:val="0"/>
                <w:sz w:val="21"/>
                <w:szCs w:val="21"/>
              </w:rPr>
              <w:t>X</w:t>
            </w:r>
            <w:r>
              <w:rPr>
                <w:rFonts w:hint="eastAsia" w:ascii="宋体" w:hAnsi="宋体" w:cs="宋体"/>
                <w:kern w:val="0"/>
                <w:sz w:val="21"/>
                <w:szCs w:val="21"/>
                <w:lang w:eastAsia="zh-CN"/>
              </w:rPr>
              <w:t>）</w:t>
            </w:r>
          </w:p>
        </w:tc>
        <w:tc>
          <w:tcPr>
            <w:tcW w:w="709" w:type="dxa"/>
            <w:vAlign w:val="center"/>
          </w:tcPr>
          <w:p w14:paraId="298A1474">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人</w:t>
            </w:r>
          </w:p>
        </w:tc>
        <w:tc>
          <w:tcPr>
            <w:tcW w:w="1125" w:type="dxa"/>
            <w:vAlign w:val="center"/>
          </w:tcPr>
          <w:p w14:paraId="313F6708">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X≥1000</w:t>
            </w:r>
          </w:p>
        </w:tc>
        <w:tc>
          <w:tcPr>
            <w:tcW w:w="1701" w:type="dxa"/>
            <w:vAlign w:val="center"/>
          </w:tcPr>
          <w:p w14:paraId="68605CEB">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300≤X＜1000</w:t>
            </w:r>
          </w:p>
        </w:tc>
        <w:tc>
          <w:tcPr>
            <w:tcW w:w="1609" w:type="dxa"/>
            <w:vAlign w:val="center"/>
          </w:tcPr>
          <w:p w14:paraId="53D99A5B">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100≤X＜300</w:t>
            </w:r>
          </w:p>
        </w:tc>
        <w:tc>
          <w:tcPr>
            <w:tcW w:w="809" w:type="dxa"/>
            <w:vAlign w:val="center"/>
          </w:tcPr>
          <w:p w14:paraId="5E037FFB">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X＜100</w:t>
            </w:r>
          </w:p>
        </w:tc>
      </w:tr>
      <w:tr w14:paraId="3C68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2113" w:type="dxa"/>
            <w:vMerge w:val="continue"/>
            <w:vAlign w:val="center"/>
          </w:tcPr>
          <w:p w14:paraId="21B6BC88">
            <w:pPr>
              <w:keepNext/>
              <w:widowControl/>
              <w:wordWrap w:val="0"/>
              <w:spacing w:line="400" w:lineRule="exact"/>
              <w:ind w:firstLine="420" w:firstLineChars="200"/>
              <w:jc w:val="center"/>
              <w:rPr>
                <w:rFonts w:hint="eastAsia" w:ascii="宋体" w:hAnsi="宋体" w:cs="宋体"/>
                <w:kern w:val="0"/>
                <w:sz w:val="21"/>
                <w:szCs w:val="21"/>
              </w:rPr>
            </w:pPr>
          </w:p>
        </w:tc>
        <w:tc>
          <w:tcPr>
            <w:tcW w:w="1369" w:type="dxa"/>
            <w:vAlign w:val="center"/>
          </w:tcPr>
          <w:p w14:paraId="7A6B8452">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营业收入</w:t>
            </w:r>
            <w:r>
              <w:rPr>
                <w:rFonts w:hint="eastAsia" w:ascii="宋体" w:hAnsi="宋体" w:cs="宋体"/>
                <w:kern w:val="0"/>
                <w:sz w:val="21"/>
                <w:szCs w:val="21"/>
                <w:lang w:eastAsia="zh-CN"/>
              </w:rPr>
              <w:t>（</w:t>
            </w:r>
            <w:r>
              <w:rPr>
                <w:rFonts w:hint="eastAsia" w:ascii="宋体" w:hAnsi="宋体" w:cs="宋体"/>
                <w:kern w:val="0"/>
                <w:sz w:val="21"/>
                <w:szCs w:val="21"/>
              </w:rPr>
              <w:t>Y</w:t>
            </w:r>
            <w:r>
              <w:rPr>
                <w:rFonts w:hint="eastAsia" w:ascii="宋体" w:hAnsi="宋体" w:cs="宋体"/>
                <w:kern w:val="0"/>
                <w:sz w:val="21"/>
                <w:szCs w:val="21"/>
                <w:lang w:eastAsia="zh-CN"/>
              </w:rPr>
              <w:t>）</w:t>
            </w:r>
          </w:p>
        </w:tc>
        <w:tc>
          <w:tcPr>
            <w:tcW w:w="709" w:type="dxa"/>
            <w:vAlign w:val="center"/>
          </w:tcPr>
          <w:p w14:paraId="09C0329B">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万元</w:t>
            </w:r>
          </w:p>
        </w:tc>
        <w:tc>
          <w:tcPr>
            <w:tcW w:w="1125" w:type="dxa"/>
            <w:vAlign w:val="center"/>
          </w:tcPr>
          <w:p w14:paraId="2D621EAE">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Y≥5000</w:t>
            </w:r>
          </w:p>
        </w:tc>
        <w:tc>
          <w:tcPr>
            <w:tcW w:w="1701" w:type="dxa"/>
            <w:vAlign w:val="center"/>
          </w:tcPr>
          <w:p w14:paraId="283FBFCC">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1000≤Y＜5000</w:t>
            </w:r>
          </w:p>
        </w:tc>
        <w:tc>
          <w:tcPr>
            <w:tcW w:w="1609" w:type="dxa"/>
            <w:vAlign w:val="center"/>
          </w:tcPr>
          <w:p w14:paraId="30ADACA2">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500≤Y＜1000</w:t>
            </w:r>
          </w:p>
        </w:tc>
        <w:tc>
          <w:tcPr>
            <w:tcW w:w="809" w:type="dxa"/>
            <w:vAlign w:val="center"/>
          </w:tcPr>
          <w:p w14:paraId="11C48D2F">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Y＜500</w:t>
            </w:r>
          </w:p>
        </w:tc>
      </w:tr>
      <w:tr w14:paraId="42C8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2113" w:type="dxa"/>
            <w:vMerge w:val="restart"/>
            <w:vAlign w:val="center"/>
          </w:tcPr>
          <w:p w14:paraId="2301A17B">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租赁和商务服务业</w:t>
            </w:r>
          </w:p>
        </w:tc>
        <w:tc>
          <w:tcPr>
            <w:tcW w:w="1369" w:type="dxa"/>
            <w:vAlign w:val="center"/>
          </w:tcPr>
          <w:p w14:paraId="109CB916">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从业人员</w:t>
            </w:r>
            <w:r>
              <w:rPr>
                <w:rFonts w:hint="eastAsia" w:ascii="宋体" w:hAnsi="宋体" w:cs="宋体"/>
                <w:kern w:val="0"/>
                <w:sz w:val="21"/>
                <w:szCs w:val="21"/>
                <w:lang w:eastAsia="zh-CN"/>
              </w:rPr>
              <w:t>（</w:t>
            </w:r>
            <w:r>
              <w:rPr>
                <w:rFonts w:hint="eastAsia" w:ascii="宋体" w:hAnsi="宋体" w:cs="宋体"/>
                <w:kern w:val="0"/>
                <w:sz w:val="21"/>
                <w:szCs w:val="21"/>
              </w:rPr>
              <w:t>X</w:t>
            </w:r>
            <w:r>
              <w:rPr>
                <w:rFonts w:hint="eastAsia" w:ascii="宋体" w:hAnsi="宋体" w:cs="宋体"/>
                <w:kern w:val="0"/>
                <w:sz w:val="21"/>
                <w:szCs w:val="21"/>
                <w:lang w:eastAsia="zh-CN"/>
              </w:rPr>
              <w:t>）</w:t>
            </w:r>
          </w:p>
        </w:tc>
        <w:tc>
          <w:tcPr>
            <w:tcW w:w="709" w:type="dxa"/>
            <w:vAlign w:val="center"/>
          </w:tcPr>
          <w:p w14:paraId="67754CD1">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人</w:t>
            </w:r>
          </w:p>
        </w:tc>
        <w:tc>
          <w:tcPr>
            <w:tcW w:w="1125" w:type="dxa"/>
            <w:vAlign w:val="center"/>
          </w:tcPr>
          <w:p w14:paraId="1A10E73D">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X≥300</w:t>
            </w:r>
          </w:p>
        </w:tc>
        <w:tc>
          <w:tcPr>
            <w:tcW w:w="1701" w:type="dxa"/>
            <w:vAlign w:val="center"/>
          </w:tcPr>
          <w:p w14:paraId="1583C590">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100≤X＜300</w:t>
            </w:r>
          </w:p>
        </w:tc>
        <w:tc>
          <w:tcPr>
            <w:tcW w:w="1609" w:type="dxa"/>
            <w:vAlign w:val="center"/>
          </w:tcPr>
          <w:p w14:paraId="7B3ED3D7">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10≤X＜100</w:t>
            </w:r>
          </w:p>
        </w:tc>
        <w:tc>
          <w:tcPr>
            <w:tcW w:w="809" w:type="dxa"/>
            <w:vAlign w:val="center"/>
          </w:tcPr>
          <w:p w14:paraId="3451D797">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X＜10</w:t>
            </w:r>
          </w:p>
        </w:tc>
      </w:tr>
      <w:tr w14:paraId="13E5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2113" w:type="dxa"/>
            <w:vMerge w:val="continue"/>
            <w:vAlign w:val="center"/>
          </w:tcPr>
          <w:p w14:paraId="24969A2A">
            <w:pPr>
              <w:keepNext/>
              <w:widowControl/>
              <w:wordWrap w:val="0"/>
              <w:spacing w:line="400" w:lineRule="exact"/>
              <w:ind w:firstLine="420" w:firstLineChars="200"/>
              <w:jc w:val="center"/>
              <w:rPr>
                <w:rFonts w:hint="eastAsia" w:ascii="宋体" w:hAnsi="宋体" w:cs="宋体"/>
                <w:kern w:val="0"/>
                <w:sz w:val="21"/>
                <w:szCs w:val="21"/>
              </w:rPr>
            </w:pPr>
          </w:p>
        </w:tc>
        <w:tc>
          <w:tcPr>
            <w:tcW w:w="1369" w:type="dxa"/>
            <w:vAlign w:val="center"/>
          </w:tcPr>
          <w:p w14:paraId="40A50B42">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资产总额</w:t>
            </w:r>
            <w:r>
              <w:rPr>
                <w:rFonts w:hint="eastAsia" w:ascii="宋体" w:hAnsi="宋体" w:cs="宋体"/>
                <w:kern w:val="0"/>
                <w:sz w:val="21"/>
                <w:szCs w:val="21"/>
                <w:lang w:eastAsia="zh-CN"/>
              </w:rPr>
              <w:t>（</w:t>
            </w:r>
            <w:r>
              <w:rPr>
                <w:rFonts w:hint="eastAsia" w:ascii="宋体" w:hAnsi="宋体" w:cs="宋体"/>
                <w:kern w:val="0"/>
                <w:sz w:val="21"/>
                <w:szCs w:val="21"/>
              </w:rPr>
              <w:t>Z</w:t>
            </w:r>
            <w:r>
              <w:rPr>
                <w:rFonts w:hint="eastAsia" w:ascii="宋体" w:hAnsi="宋体" w:cs="宋体"/>
                <w:kern w:val="0"/>
                <w:sz w:val="21"/>
                <w:szCs w:val="21"/>
                <w:lang w:eastAsia="zh-CN"/>
              </w:rPr>
              <w:t>）</w:t>
            </w:r>
          </w:p>
        </w:tc>
        <w:tc>
          <w:tcPr>
            <w:tcW w:w="709" w:type="dxa"/>
            <w:vAlign w:val="center"/>
          </w:tcPr>
          <w:p w14:paraId="16ADC031">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万元</w:t>
            </w:r>
          </w:p>
        </w:tc>
        <w:tc>
          <w:tcPr>
            <w:tcW w:w="1125" w:type="dxa"/>
            <w:vAlign w:val="center"/>
          </w:tcPr>
          <w:p w14:paraId="22B2C9C8">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Z≥120000</w:t>
            </w:r>
          </w:p>
        </w:tc>
        <w:tc>
          <w:tcPr>
            <w:tcW w:w="1701" w:type="dxa"/>
            <w:vAlign w:val="center"/>
          </w:tcPr>
          <w:p w14:paraId="3FF3B70D">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8000≤Z＜120000</w:t>
            </w:r>
          </w:p>
        </w:tc>
        <w:tc>
          <w:tcPr>
            <w:tcW w:w="1609" w:type="dxa"/>
            <w:vAlign w:val="center"/>
          </w:tcPr>
          <w:p w14:paraId="03C24CD0">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100≤Z＜8000</w:t>
            </w:r>
          </w:p>
        </w:tc>
        <w:tc>
          <w:tcPr>
            <w:tcW w:w="809" w:type="dxa"/>
            <w:vAlign w:val="center"/>
          </w:tcPr>
          <w:p w14:paraId="500967EE">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Z＜100</w:t>
            </w:r>
          </w:p>
        </w:tc>
      </w:tr>
      <w:tr w14:paraId="535A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536F0F9B">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其他未列明行业 *</w:t>
            </w:r>
          </w:p>
        </w:tc>
        <w:tc>
          <w:tcPr>
            <w:tcW w:w="1369" w:type="dxa"/>
            <w:vAlign w:val="center"/>
          </w:tcPr>
          <w:p w14:paraId="66B68F17">
            <w:pPr>
              <w:keepNext/>
              <w:widowControl/>
              <w:wordWrap w:val="0"/>
              <w:spacing w:line="40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rPr>
              <w:t>从业人员</w:t>
            </w:r>
            <w:r>
              <w:rPr>
                <w:rFonts w:hint="eastAsia" w:ascii="宋体" w:hAnsi="宋体" w:cs="宋体"/>
                <w:kern w:val="0"/>
                <w:sz w:val="21"/>
                <w:szCs w:val="21"/>
                <w:lang w:eastAsia="zh-CN"/>
              </w:rPr>
              <w:t>（</w:t>
            </w:r>
            <w:r>
              <w:rPr>
                <w:rFonts w:hint="eastAsia" w:ascii="宋体" w:hAnsi="宋体" w:cs="宋体"/>
                <w:kern w:val="0"/>
                <w:sz w:val="21"/>
                <w:szCs w:val="21"/>
              </w:rPr>
              <w:t>X</w:t>
            </w:r>
            <w:r>
              <w:rPr>
                <w:rFonts w:hint="eastAsia" w:ascii="宋体" w:hAnsi="宋体" w:cs="宋体"/>
                <w:kern w:val="0"/>
                <w:sz w:val="21"/>
                <w:szCs w:val="21"/>
                <w:lang w:eastAsia="zh-CN"/>
              </w:rPr>
              <w:t>）</w:t>
            </w:r>
          </w:p>
        </w:tc>
        <w:tc>
          <w:tcPr>
            <w:tcW w:w="709" w:type="dxa"/>
            <w:vAlign w:val="center"/>
          </w:tcPr>
          <w:p w14:paraId="049C40C6">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人</w:t>
            </w:r>
          </w:p>
        </w:tc>
        <w:tc>
          <w:tcPr>
            <w:tcW w:w="1125" w:type="dxa"/>
            <w:vAlign w:val="center"/>
          </w:tcPr>
          <w:p w14:paraId="796D901E">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X≥300</w:t>
            </w:r>
          </w:p>
        </w:tc>
        <w:tc>
          <w:tcPr>
            <w:tcW w:w="1701" w:type="dxa"/>
            <w:vAlign w:val="center"/>
          </w:tcPr>
          <w:p w14:paraId="7B3EC4D5">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100≤X＜300</w:t>
            </w:r>
          </w:p>
        </w:tc>
        <w:tc>
          <w:tcPr>
            <w:tcW w:w="1609" w:type="dxa"/>
            <w:vAlign w:val="center"/>
          </w:tcPr>
          <w:p w14:paraId="32121BFC">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10≤X＜100</w:t>
            </w:r>
          </w:p>
        </w:tc>
        <w:tc>
          <w:tcPr>
            <w:tcW w:w="809" w:type="dxa"/>
            <w:vAlign w:val="center"/>
          </w:tcPr>
          <w:p w14:paraId="7BC86F14">
            <w:pPr>
              <w:keepNext/>
              <w:widowControl/>
              <w:wordWrap w:val="0"/>
              <w:spacing w:line="400" w:lineRule="exact"/>
              <w:jc w:val="center"/>
              <w:rPr>
                <w:rFonts w:hint="eastAsia" w:ascii="宋体" w:hAnsi="宋体" w:cs="宋体"/>
                <w:kern w:val="0"/>
                <w:sz w:val="21"/>
                <w:szCs w:val="21"/>
              </w:rPr>
            </w:pPr>
            <w:r>
              <w:rPr>
                <w:rFonts w:hint="eastAsia" w:ascii="宋体" w:hAnsi="宋体" w:cs="宋体"/>
                <w:kern w:val="0"/>
                <w:sz w:val="21"/>
                <w:szCs w:val="21"/>
              </w:rPr>
              <w:t>X＜10</w:t>
            </w:r>
          </w:p>
        </w:tc>
      </w:tr>
    </w:tbl>
    <w:p w14:paraId="4CFAA1D1">
      <w:pPr>
        <w:keepNext/>
        <w:widowControl/>
        <w:wordWrap w:val="0"/>
        <w:spacing w:line="400" w:lineRule="exact"/>
        <w:ind w:firstLine="452" w:firstLineChars="200"/>
        <w:rPr>
          <w:rFonts w:hint="eastAsia" w:ascii="宋体" w:hAnsi="宋体" w:cs="宋体"/>
          <w:spacing w:val="8"/>
          <w:kern w:val="0"/>
          <w:sz w:val="21"/>
          <w:szCs w:val="21"/>
        </w:rPr>
      </w:pPr>
      <w:r>
        <w:rPr>
          <w:rFonts w:hint="eastAsia" w:ascii="宋体" w:hAnsi="宋体" w:cs="宋体"/>
          <w:spacing w:val="8"/>
          <w:kern w:val="0"/>
          <w:sz w:val="21"/>
          <w:szCs w:val="21"/>
        </w:rPr>
        <w:t>说明：</w:t>
      </w:r>
    </w:p>
    <w:p w14:paraId="461EB893">
      <w:pPr>
        <w:keepNext/>
        <w:wordWrap w:val="0"/>
        <w:spacing w:line="400" w:lineRule="exact"/>
        <w:ind w:firstLine="452" w:firstLineChars="200"/>
        <w:rPr>
          <w:rFonts w:hint="eastAsia" w:ascii="宋体" w:hAnsi="宋体" w:cs="宋体"/>
          <w:spacing w:val="8"/>
          <w:kern w:val="0"/>
          <w:sz w:val="21"/>
          <w:szCs w:val="21"/>
        </w:rPr>
      </w:pPr>
      <w:r>
        <w:rPr>
          <w:rFonts w:hint="eastAsia" w:ascii="宋体" w:hAnsi="宋体" w:cs="宋体"/>
          <w:spacing w:val="8"/>
          <w:kern w:val="0"/>
          <w:sz w:val="21"/>
          <w:szCs w:val="21"/>
        </w:rPr>
        <w:t>1.大型、中型和小型企业须同时满足所列指标的下限，否则下划一档；微型企业只</w:t>
      </w:r>
      <w:r>
        <w:rPr>
          <w:rFonts w:hint="eastAsia" w:ascii="宋体" w:hAnsi="宋体" w:cs="宋体"/>
          <w:spacing w:val="8"/>
          <w:kern w:val="0"/>
          <w:sz w:val="21"/>
          <w:szCs w:val="21"/>
          <w:lang w:eastAsia="zh-CN"/>
        </w:rPr>
        <w:t>需</w:t>
      </w:r>
      <w:r>
        <w:rPr>
          <w:rFonts w:hint="eastAsia" w:ascii="宋体" w:hAnsi="宋体" w:cs="宋体"/>
          <w:spacing w:val="8"/>
          <w:kern w:val="0"/>
          <w:sz w:val="21"/>
          <w:szCs w:val="21"/>
        </w:rPr>
        <w:t>满足所列指标中的一项即可。</w:t>
      </w:r>
    </w:p>
    <w:p w14:paraId="239BBD97">
      <w:pPr>
        <w:keepNext/>
        <w:wordWrap w:val="0"/>
        <w:spacing w:line="400" w:lineRule="exact"/>
        <w:ind w:firstLine="452" w:firstLineChars="200"/>
        <w:rPr>
          <w:rFonts w:hint="eastAsia" w:ascii="宋体" w:hAnsi="宋体" w:cs="宋体"/>
          <w:spacing w:val="8"/>
          <w:kern w:val="0"/>
          <w:sz w:val="21"/>
          <w:szCs w:val="21"/>
        </w:rPr>
      </w:pPr>
      <w:r>
        <w:rPr>
          <w:rFonts w:hint="eastAsia" w:ascii="宋体" w:hAnsi="宋体" w:cs="宋体"/>
          <w:spacing w:val="8"/>
          <w:kern w:val="0"/>
          <w:sz w:val="21"/>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8C509B2">
      <w:pPr>
        <w:keepNext/>
        <w:wordWrap w:val="0"/>
        <w:spacing w:line="400" w:lineRule="exact"/>
        <w:ind w:firstLine="452" w:firstLineChars="200"/>
        <w:rPr>
          <w:rFonts w:hint="eastAsia" w:ascii="宋体" w:hAnsi="宋体" w:cs="宋体"/>
          <w:spacing w:val="8"/>
          <w:kern w:val="0"/>
          <w:sz w:val="21"/>
          <w:szCs w:val="21"/>
        </w:rPr>
      </w:pPr>
      <w:r>
        <w:rPr>
          <w:rFonts w:hint="eastAsia" w:ascii="宋体" w:hAnsi="宋体" w:cs="宋体"/>
          <w:spacing w:val="8"/>
          <w:kern w:val="0"/>
          <w:sz w:val="2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EAA7D9A">
      <w:pPr>
        <w:sectPr>
          <w:headerReference r:id="rId14" w:type="first"/>
          <w:footerReference r:id="rId16" w:type="first"/>
          <w:footerReference r:id="rId15" w:type="default"/>
          <w:pgSz w:w="11905" w:h="16838"/>
          <w:pgMar w:top="1327" w:right="1701" w:bottom="1383" w:left="1701" w:header="850" w:footer="850" w:gutter="0"/>
          <w:pgNumType w:fmt="decimal"/>
          <w:cols w:space="0" w:num="1"/>
          <w:docGrid w:type="lines" w:linePitch="425" w:charSpace="0"/>
        </w:sectPr>
      </w:pPr>
    </w:p>
    <w:p w14:paraId="06547593">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2、残疾人福利性单位声明函（如有）</w:t>
      </w:r>
    </w:p>
    <w:p w14:paraId="712F47B7">
      <w:pPr>
        <w:spacing w:line="360" w:lineRule="auto"/>
        <w:ind w:firstLine="420" w:firstLineChars="200"/>
        <w:jc w:val="center"/>
        <w:rPr>
          <w:rFonts w:hint="eastAsia" w:ascii="宋体" w:hAnsi="宋体" w:cs="宋体"/>
          <w:sz w:val="21"/>
          <w:szCs w:val="21"/>
        </w:rPr>
      </w:pPr>
      <w:r>
        <w:rPr>
          <w:rFonts w:hint="eastAsia" w:ascii="宋体" w:hAnsi="宋体" w:cs="宋体"/>
          <w:sz w:val="21"/>
          <w:szCs w:val="21"/>
        </w:rPr>
        <w:t>（属于残疾人福利企业的填写，不属于的无需填写此项内容）</w:t>
      </w:r>
    </w:p>
    <w:p w14:paraId="3DDF23FA">
      <w:pPr>
        <w:pStyle w:val="52"/>
        <w:rPr>
          <w:rFonts w:hint="eastAsia" w:ascii="宋体" w:hAnsi="宋体" w:cs="宋体"/>
          <w:sz w:val="21"/>
          <w:szCs w:val="21"/>
        </w:rPr>
      </w:pPr>
    </w:p>
    <w:p w14:paraId="30D73535">
      <w:pPr>
        <w:keepNext w:val="0"/>
        <w:keepLines w:val="0"/>
        <w:pageBreakBefore w:val="0"/>
        <w:widowControl w:val="0"/>
        <w:kinsoku/>
        <w:wordWrap/>
        <w:overflowPunct/>
        <w:topLinePunct w:val="0"/>
        <w:autoSpaceDE/>
        <w:autoSpaceDN/>
        <w:bidi w:val="0"/>
        <w:adjustRightInd/>
        <w:snapToGrid/>
        <w:spacing w:line="360" w:lineRule="auto"/>
        <w:ind w:right="0" w:firstLine="444"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本单位郑重声明，根据《财政部 民政部 中国残疾人联合会关于促进残疾人就业政府采购政策的通知》（财库</w:t>
      </w:r>
      <w:r>
        <w:rPr>
          <w:rFonts w:hint="eastAsia" w:ascii="宋体" w:hAnsi="宋体" w:eastAsia="宋体" w:cs="宋体"/>
          <w:sz w:val="21"/>
          <w:szCs w:val="21"/>
        </w:rPr>
        <w:t>〔2017〕 141</w:t>
      </w:r>
      <w:r>
        <w:rPr>
          <w:rFonts w:hint="eastAsia" w:ascii="宋体" w:hAnsi="宋体" w:eastAsia="宋体" w:cs="宋体"/>
          <w:spacing w:val="6"/>
          <w:sz w:val="21"/>
          <w:szCs w:val="21"/>
        </w:rPr>
        <w:t>号）的规定，本单位为符合该文件之规定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159314F">
      <w:pPr>
        <w:keepNext w:val="0"/>
        <w:keepLines w:val="0"/>
        <w:pageBreakBefore w:val="0"/>
        <w:widowControl w:val="0"/>
        <w:kinsoku/>
        <w:wordWrap/>
        <w:overflowPunct/>
        <w:topLinePunct w:val="0"/>
        <w:autoSpaceDE/>
        <w:autoSpaceDN/>
        <w:bidi w:val="0"/>
        <w:adjustRightInd/>
        <w:snapToGrid/>
        <w:spacing w:line="360" w:lineRule="auto"/>
        <w:ind w:right="0" w:firstLine="444"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本单位对上述声明的真实性负责。如有虚假，将依法承担相应责任。</w:t>
      </w:r>
    </w:p>
    <w:p w14:paraId="6B5ACAD4">
      <w:pPr>
        <w:spacing w:line="360" w:lineRule="auto"/>
        <w:ind w:firstLine="420" w:firstLineChars="200"/>
        <w:rPr>
          <w:rFonts w:hint="eastAsia" w:ascii="宋体" w:hAnsi="宋体" w:cs="宋体"/>
          <w:sz w:val="21"/>
          <w:szCs w:val="21"/>
        </w:rPr>
      </w:pPr>
    </w:p>
    <w:p w14:paraId="591AEB86">
      <w:pPr>
        <w:spacing w:line="360" w:lineRule="auto"/>
        <w:ind w:firstLine="420" w:firstLineChars="200"/>
        <w:rPr>
          <w:rFonts w:hint="eastAsia" w:ascii="宋体" w:hAnsi="宋体" w:cs="宋体"/>
          <w:sz w:val="21"/>
          <w:szCs w:val="21"/>
        </w:rPr>
      </w:pPr>
    </w:p>
    <w:p w14:paraId="78CA499F">
      <w:pPr>
        <w:spacing w:line="360" w:lineRule="auto"/>
        <w:ind w:firstLine="420" w:firstLineChars="200"/>
        <w:rPr>
          <w:rFonts w:hint="eastAsia" w:ascii="宋体" w:hAnsi="宋体" w:cs="宋体"/>
          <w:sz w:val="21"/>
          <w:szCs w:val="21"/>
        </w:rPr>
      </w:pPr>
      <w:r>
        <w:rPr>
          <w:rFonts w:hint="eastAsia" w:ascii="宋体" w:hAnsi="宋体" w:cs="宋体"/>
          <w:sz w:val="21"/>
          <w:szCs w:val="21"/>
          <w:lang w:eastAsia="zh-CN"/>
        </w:rPr>
        <w:t>投标人</w:t>
      </w:r>
      <w:r>
        <w:rPr>
          <w:rFonts w:hint="eastAsia" w:ascii="宋体" w:hAnsi="宋体" w:cs="宋体"/>
          <w:sz w:val="21"/>
          <w:szCs w:val="21"/>
        </w:rPr>
        <w:t>名称（单位电子签章）：</w:t>
      </w:r>
    </w:p>
    <w:p w14:paraId="03773FB8">
      <w:pPr>
        <w:spacing w:line="360" w:lineRule="auto"/>
        <w:ind w:firstLine="420" w:firstLineChars="200"/>
        <w:rPr>
          <w:rFonts w:hint="eastAsia" w:ascii="宋体" w:hAnsi="宋体" w:cs="宋体"/>
          <w:sz w:val="21"/>
          <w:szCs w:val="21"/>
        </w:rPr>
      </w:pPr>
      <w:r>
        <w:rPr>
          <w:rFonts w:hint="eastAsia" w:ascii="宋体" w:hAnsi="宋体" w:cs="宋体"/>
          <w:sz w:val="21"/>
          <w:szCs w:val="21"/>
        </w:rPr>
        <w:t>日期：</w:t>
      </w:r>
    </w:p>
    <w:p w14:paraId="10D41923">
      <w:pPr>
        <w:rPr>
          <w:rFonts w:hint="eastAsia" w:ascii="宋体" w:hAnsi="宋体" w:cs="宋体"/>
          <w:sz w:val="21"/>
          <w:szCs w:val="21"/>
        </w:rPr>
      </w:pPr>
      <w:r>
        <w:rPr>
          <w:rFonts w:hint="eastAsia" w:ascii="宋体" w:hAnsi="宋体" w:cs="宋体"/>
          <w:sz w:val="21"/>
          <w:szCs w:val="21"/>
        </w:rPr>
        <w:br w:type="page"/>
      </w:r>
    </w:p>
    <w:p w14:paraId="33D51C65">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3、监狱企业证明文件（如有）</w:t>
      </w:r>
    </w:p>
    <w:p w14:paraId="2ACB5B81">
      <w:pPr>
        <w:keepNext w:val="0"/>
        <w:keepLines w:val="0"/>
        <w:pageBreakBefore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spacing w:val="6"/>
          <w:sz w:val="21"/>
          <w:szCs w:val="21"/>
          <w:lang w:val="en-GB" w:eastAsia="zh-CN"/>
        </w:rPr>
      </w:pPr>
      <w:r>
        <w:rPr>
          <w:rFonts w:hint="eastAsia" w:ascii="宋体" w:hAnsi="宋体" w:eastAsia="宋体" w:cs="宋体"/>
          <w:spacing w:val="6"/>
          <w:sz w:val="21"/>
          <w:szCs w:val="21"/>
          <w:lang w:val="en-GB" w:eastAsia="zh-CN"/>
        </w:rPr>
        <w:t>监狱企业参加政府采购活动时，应当提供由省级以上监狱管理局、戒毒管理局（含新疆生产建设兵团）出具的属于监狱企业的证明文件。</w:t>
      </w:r>
    </w:p>
    <w:p w14:paraId="7D4916D8">
      <w:pPr>
        <w:spacing w:line="360" w:lineRule="auto"/>
        <w:jc w:val="center"/>
        <w:rPr>
          <w:rFonts w:hint="eastAsia" w:ascii="宋体" w:hAnsi="宋体" w:cs="宋体"/>
          <w:sz w:val="21"/>
          <w:szCs w:val="21"/>
        </w:rPr>
      </w:pPr>
    </w:p>
    <w:p w14:paraId="25B450F1">
      <w:pPr>
        <w:spacing w:line="360" w:lineRule="auto"/>
        <w:jc w:val="center"/>
        <w:rPr>
          <w:rFonts w:hint="eastAsia" w:ascii="宋体" w:hAnsi="宋体" w:cs="宋体"/>
          <w:sz w:val="21"/>
          <w:szCs w:val="21"/>
        </w:rPr>
      </w:pPr>
    </w:p>
    <w:p w14:paraId="1191FA21">
      <w:pPr>
        <w:spacing w:line="360" w:lineRule="auto"/>
        <w:ind w:firstLine="420" w:firstLineChars="200"/>
        <w:rPr>
          <w:rFonts w:hint="eastAsia" w:ascii="宋体" w:hAnsi="宋体" w:cs="宋体"/>
          <w:sz w:val="21"/>
          <w:szCs w:val="21"/>
        </w:rPr>
      </w:pPr>
      <w:r>
        <w:rPr>
          <w:rFonts w:hint="eastAsia" w:ascii="宋体" w:hAnsi="宋体" w:cs="宋体"/>
          <w:sz w:val="21"/>
          <w:szCs w:val="21"/>
        </w:rPr>
        <w:t>注：在投标文件中附扫描件。</w:t>
      </w:r>
    </w:p>
    <w:p w14:paraId="28358FE4">
      <w:pPr>
        <w:rPr>
          <w:rFonts w:hint="eastAsia" w:ascii="宋体" w:hAnsi="宋体" w:cs="宋体"/>
          <w:sz w:val="21"/>
          <w:szCs w:val="21"/>
        </w:rPr>
      </w:pPr>
      <w:r>
        <w:rPr>
          <w:rFonts w:hint="eastAsia" w:ascii="宋体" w:hAnsi="宋体" w:cs="宋体"/>
          <w:sz w:val="21"/>
          <w:szCs w:val="21"/>
        </w:rPr>
        <w:br w:type="page"/>
      </w:r>
    </w:p>
    <w:p w14:paraId="59CF2964">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、投标承诺函</w:t>
      </w:r>
    </w:p>
    <w:p w14:paraId="678E47BD">
      <w:pPr>
        <w:pStyle w:val="22"/>
        <w:keepNext w:val="0"/>
        <w:keepLines w:val="0"/>
        <w:pageBreakBefore w:val="0"/>
        <w:shd w:val="clear" w:color="auto" w:fill="auto"/>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jc w:val="both"/>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shd w:val="clear" w:color="auto" w:fill="FFFFFF"/>
        </w:rPr>
        <w:t>致</w:t>
      </w:r>
      <w:r>
        <w:rPr>
          <w:rFonts w:hint="eastAsia" w:ascii="宋体" w:hAnsi="宋体" w:eastAsia="宋体" w:cs="宋体"/>
          <w:color w:val="auto"/>
          <w:sz w:val="21"/>
          <w:szCs w:val="21"/>
          <w:highlight w:val="none"/>
          <w:u w:val="single"/>
          <w:shd w:val="clear" w:color="auto" w:fill="FFFFFF"/>
        </w:rPr>
        <w:t>（采购人及采购代理机构）</w:t>
      </w:r>
      <w:r>
        <w:rPr>
          <w:rFonts w:hint="eastAsia" w:ascii="宋体" w:hAnsi="宋体" w:eastAsia="宋体" w:cs="宋体"/>
          <w:color w:val="auto"/>
          <w:spacing w:val="8"/>
          <w:sz w:val="21"/>
          <w:szCs w:val="21"/>
          <w:highlight w:val="none"/>
          <w:shd w:val="clear" w:color="auto" w:fill="FFFFFF"/>
        </w:rPr>
        <w:t>：</w:t>
      </w:r>
    </w:p>
    <w:p w14:paraId="77E57266">
      <w:pPr>
        <w:keepNext w:val="0"/>
        <w:keepLines w:val="0"/>
        <w:pageBreakBefore w:val="0"/>
        <w:kinsoku/>
        <w:wordWrap/>
        <w:overflowPunct/>
        <w:topLinePunct w:val="0"/>
        <w:autoSpaceDE/>
        <w:autoSpaceDN/>
        <w:bidi w:val="0"/>
        <w:adjustRightInd/>
        <w:snapToGrid/>
        <w:spacing w:line="500" w:lineRule="exact"/>
        <w:ind w:left="0" w:leftChars="0" w:right="0" w:rightChars="0" w:firstLine="45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shd w:val="clear" w:color="auto" w:fill="FFFFFF"/>
        </w:rPr>
        <w:t>我</w:t>
      </w:r>
      <w:r>
        <w:rPr>
          <w:rFonts w:hint="eastAsia" w:ascii="宋体" w:hAnsi="宋体" w:eastAsia="宋体" w:cs="宋体"/>
          <w:color w:val="auto"/>
          <w:sz w:val="21"/>
          <w:szCs w:val="21"/>
          <w:highlight w:val="none"/>
        </w:rPr>
        <w:t>公司作为本次采购项目的供应商，根据</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文件要求，现郑重承诺如下：</w:t>
      </w:r>
    </w:p>
    <w:p w14:paraId="17B7D299">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一、具备《中华人民共和国政府采购法》第二十二条和本项目规定的条件：</w:t>
      </w:r>
    </w:p>
    <w:p w14:paraId="4EDF59C0">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（一）具有独立承担民事责任的能力； 　　</w:t>
      </w:r>
    </w:p>
    <w:p w14:paraId="0B1EDCF8">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（二）具有良好的商业信誉和健全的财务会计制度； 　</w:t>
      </w:r>
    </w:p>
    <w:p w14:paraId="13D55204">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（三）具有履行合同所必需的设备和专业技术能力； 　　</w:t>
      </w:r>
    </w:p>
    <w:p w14:paraId="1396970A">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（四）有依法缴纳税收和社会保障资金的良好记录； 　　</w:t>
      </w:r>
    </w:p>
    <w:p w14:paraId="1D08FA85">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（五）参加政府采购活动前三年内，在经营活动中没有重大违法记录；</w:t>
      </w:r>
    </w:p>
    <w:p w14:paraId="64387A79">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（六）法律、行政法规规定的其他条件；</w:t>
      </w:r>
    </w:p>
    <w:p w14:paraId="7D1BC473">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（七）根据采购项目提出的特殊条件。</w:t>
      </w:r>
    </w:p>
    <w:p w14:paraId="5963052B">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二、完全接受和满足本项目</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文件中规定的实质性要求，如对</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文件有异议，已经在投标截止时间届满前依法进行维权救济，不存在对</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文件有异议的同时又参加投标以求侥幸中标或者为实现其他非法目的的行为。</w:t>
      </w:r>
    </w:p>
    <w:p w14:paraId="1F310E0E">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三、参加本次招标采购活动，不存在与单位负责人为同一人或者存在直接控股、管理关系的其他供应商参与同一合同项下的政府采购活动的行为。    </w:t>
      </w:r>
    </w:p>
    <w:p w14:paraId="66F1D0A0">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四、参加本次招标采购活动，不存在为采购项目提供整体设计、规范编制或者项目管理、监理、检测等服务的行为。</w:t>
      </w:r>
    </w:p>
    <w:p w14:paraId="287ABF01">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五、参加本次招标采购活动，不存在和其他供应商在同一合同项下的采购项目中，同时委托同一个自然人、同一家庭的人员、同一单位的人员作为代理人的行为。</w:t>
      </w:r>
    </w:p>
    <w:p w14:paraId="02AA75D1">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六、供应商参加本次政府采购活动要求在近三年内供应商和其法定代表人没有行贿犯罪行为。</w:t>
      </w:r>
    </w:p>
    <w:p w14:paraId="0D51601A">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七、参加本次招标采购活动，不存在联合体投标。</w:t>
      </w:r>
    </w:p>
    <w:p w14:paraId="216E5AA4">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中提供的能够给予我公司带来优惠、好处的任何材料资料和技术、服务、商务等响应承诺情况都是真实的、有效的、合法的。</w:t>
      </w:r>
    </w:p>
    <w:p w14:paraId="3A7E6802">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14:paraId="3D90FDE1">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十、存在以下行为之一的愿意接受相关部门的处理：</w:t>
      </w:r>
    </w:p>
    <w:p w14:paraId="6DCB44A5">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（一）投标有效期内撤销</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w:t>
      </w:r>
    </w:p>
    <w:p w14:paraId="34A29288">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（二）在采购人确定</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以前放弃中标候选资格的；</w:t>
      </w:r>
    </w:p>
    <w:p w14:paraId="30668DAB">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（三）由于</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的原因未能按照招标文件的规定与采购人签订合同；</w:t>
      </w:r>
    </w:p>
    <w:p w14:paraId="53B12CAA">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（四）由于</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的原因未能按照招标文件的规定</w:t>
      </w:r>
      <w:r>
        <w:rPr>
          <w:rFonts w:hint="eastAsia" w:ascii="宋体" w:hAnsi="宋体" w:cs="宋体"/>
          <w:color w:val="auto"/>
          <w:sz w:val="21"/>
          <w:szCs w:val="21"/>
          <w:highlight w:val="none"/>
          <w:lang w:eastAsia="zh-CN"/>
        </w:rPr>
        <w:t>缴纳</w:t>
      </w:r>
      <w:r>
        <w:rPr>
          <w:rFonts w:hint="eastAsia" w:ascii="宋体" w:hAnsi="宋体" w:eastAsia="宋体" w:cs="宋体"/>
          <w:color w:val="auto"/>
          <w:sz w:val="21"/>
          <w:szCs w:val="21"/>
          <w:highlight w:val="none"/>
        </w:rPr>
        <w:t>履约保证金；</w:t>
      </w:r>
    </w:p>
    <w:p w14:paraId="427FC679">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（五）在</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中提供虚假材料谋取中标；</w:t>
      </w:r>
    </w:p>
    <w:p w14:paraId="0594D3D7">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（六）与采购人、其他供应商或者采购代理机构恶意串通的；</w:t>
      </w:r>
    </w:p>
    <w:p w14:paraId="1492F1C9">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（七）</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有效期内，供应商在政府采购活动中有违法、违规、违纪行为。</w:t>
      </w:r>
    </w:p>
    <w:p w14:paraId="5F39D848">
      <w:pPr>
        <w:keepNext w:val="0"/>
        <w:keepLines w:val="0"/>
        <w:pageBreakBefore w:val="0"/>
        <w:kinsoku/>
        <w:wordWrap/>
        <w:overflowPunct/>
        <w:topLinePunct w:val="0"/>
        <w:autoSpaceDE/>
        <w:autoSpaceDN/>
        <w:bidi w:val="0"/>
        <w:adjustRightInd/>
        <w:snapToGrid/>
        <w:spacing w:line="500" w:lineRule="exact"/>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由此产生的一切法律后果和责任由我公司承担。我公司声明放弃对此提出任何异议和追索的权利。</w:t>
      </w:r>
    </w:p>
    <w:p w14:paraId="706BA77E">
      <w:pPr>
        <w:keepNext w:val="0"/>
        <w:keepLines w:val="0"/>
        <w:pageBreakBefore w:val="0"/>
        <w:kinsoku/>
        <w:wordWrap/>
        <w:overflowPunct/>
        <w:topLinePunct w:val="0"/>
        <w:autoSpaceDE/>
        <w:autoSpaceDN/>
        <w:bidi w:val="0"/>
        <w:adjustRightInd/>
        <w:snapToGrid/>
        <w:spacing w:line="50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本公司对上述承诺的内容事项真实性负责。如经查实上述承诺的内容事项存在虚假，我公司愿意接受以提供虚假材料谋取中标追究法律责任。       </w:t>
      </w:r>
    </w:p>
    <w:p w14:paraId="2E53F0FA">
      <w:pPr>
        <w:keepNext w:val="0"/>
        <w:keepLines w:val="0"/>
        <w:pageBreakBefore w:val="0"/>
        <w:widowControl w:val="0"/>
        <w:kinsoku/>
        <w:wordWrap/>
        <w:overflowPunct/>
        <w:topLinePunct w:val="0"/>
        <w:autoSpaceDE/>
        <w:autoSpaceDN/>
        <w:bidi w:val="0"/>
        <w:adjustRightInd/>
        <w:snapToGrid/>
        <w:spacing w:line="500" w:lineRule="exact"/>
        <w:ind w:right="0" w:rightChars="0" w:firstLine="3150" w:firstLineChars="1500"/>
        <w:jc w:val="righ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单位电子签章</w:t>
      </w:r>
      <w:r>
        <w:rPr>
          <w:rFonts w:hint="eastAsia" w:ascii="宋体" w:hAnsi="宋体" w:eastAsia="宋体" w:cs="宋体"/>
          <w:color w:val="auto"/>
          <w:sz w:val="21"/>
          <w:szCs w:val="21"/>
          <w:highlight w:val="none"/>
          <w:lang w:eastAsia="zh-CN"/>
        </w:rPr>
        <w:t>）</w:t>
      </w:r>
    </w:p>
    <w:p w14:paraId="236AB008">
      <w:pPr>
        <w:keepNext w:val="0"/>
        <w:keepLines w:val="0"/>
        <w:pageBreakBefore w:val="0"/>
        <w:widowControl w:val="0"/>
        <w:kinsoku/>
        <w:wordWrap/>
        <w:overflowPunct/>
        <w:topLinePunct w:val="0"/>
        <w:autoSpaceDE/>
        <w:autoSpaceDN/>
        <w:bidi w:val="0"/>
        <w:adjustRightInd/>
        <w:snapToGrid/>
        <w:spacing w:line="500" w:lineRule="exact"/>
        <w:ind w:right="0" w:rightChars="0" w:firstLine="2100" w:firstLineChars="1000"/>
        <w:jc w:val="righ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法定代表人或其委托代理人：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电子签名或签章</w:t>
      </w:r>
      <w:r>
        <w:rPr>
          <w:rFonts w:hint="eastAsia" w:ascii="宋体" w:hAnsi="宋体" w:eastAsia="宋体" w:cs="宋体"/>
          <w:color w:val="auto"/>
          <w:sz w:val="21"/>
          <w:szCs w:val="21"/>
          <w:highlight w:val="none"/>
          <w:lang w:eastAsia="zh-CN"/>
        </w:rPr>
        <w:t>）</w:t>
      </w:r>
    </w:p>
    <w:p w14:paraId="7EA41D7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935" w:firstLineChars="235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532BD9E">
      <w:pPr>
        <w:pStyle w:val="22"/>
        <w:pageBreakBefore w:val="0"/>
        <w:shd w:val="clear" w:color="auto" w:fill="auto"/>
        <w:kinsoku/>
        <w:wordWrap/>
        <w:overflowPunct/>
        <w:topLinePunct w:val="0"/>
        <w:bidi w:val="0"/>
        <w:adjustRightInd/>
        <w:snapToGrid/>
        <w:spacing w:before="0" w:beforeLines="0" w:beforeAutospacing="0" w:after="0" w:afterLines="0" w:afterAutospacing="0" w:line="405" w:lineRule="atLeast"/>
        <w:ind w:left="0" w:leftChars="0" w:right="0" w:rightChars="0" w:firstLine="495"/>
        <w:jc w:val="center"/>
        <w:rPr>
          <w:rFonts w:hint="eastAsia" w:cs="宋体"/>
          <w:b/>
          <w:color w:val="auto"/>
          <w:sz w:val="21"/>
          <w:szCs w:val="21"/>
          <w:highlight w:val="none"/>
          <w:shd w:val="clear" w:color="auto" w:fill="auto"/>
          <w:lang w:val="en-US" w:eastAsia="zh-CN"/>
        </w:rPr>
      </w:pPr>
    </w:p>
    <w:p w14:paraId="514BB68E">
      <w:pPr>
        <w:pStyle w:val="22"/>
        <w:pageBreakBefore w:val="0"/>
        <w:shd w:val="clear" w:color="auto" w:fill="auto"/>
        <w:kinsoku/>
        <w:wordWrap/>
        <w:overflowPunct/>
        <w:topLinePunct w:val="0"/>
        <w:bidi w:val="0"/>
        <w:adjustRightInd/>
        <w:snapToGrid/>
        <w:spacing w:before="0" w:beforeLines="0" w:beforeAutospacing="0" w:after="0" w:afterLines="0" w:afterAutospacing="0" w:line="405" w:lineRule="atLeast"/>
        <w:ind w:left="0" w:leftChars="0" w:right="0" w:rightChars="0" w:firstLine="495"/>
        <w:jc w:val="center"/>
        <w:rPr>
          <w:rFonts w:hint="eastAsia" w:cs="宋体"/>
          <w:b/>
          <w:color w:val="auto"/>
          <w:sz w:val="21"/>
          <w:szCs w:val="21"/>
          <w:highlight w:val="none"/>
          <w:shd w:val="clear" w:color="auto" w:fill="auto"/>
          <w:lang w:val="en-US" w:eastAsia="zh-CN"/>
        </w:rPr>
      </w:pPr>
    </w:p>
    <w:p w14:paraId="38E44032">
      <w:pPr>
        <w:rPr>
          <w:rFonts w:hint="eastAsia" w:cs="宋体"/>
          <w:b/>
          <w:color w:val="auto"/>
          <w:sz w:val="21"/>
          <w:szCs w:val="21"/>
          <w:highlight w:val="none"/>
          <w:shd w:val="clear" w:color="auto" w:fill="auto"/>
          <w:lang w:val="en-US" w:eastAsia="zh-CN"/>
        </w:rPr>
      </w:pPr>
      <w:r>
        <w:rPr>
          <w:rFonts w:hint="eastAsia" w:cs="宋体"/>
          <w:b/>
          <w:color w:val="auto"/>
          <w:sz w:val="21"/>
          <w:szCs w:val="21"/>
          <w:highlight w:val="none"/>
          <w:shd w:val="clear" w:color="auto" w:fill="auto"/>
          <w:lang w:val="en-US" w:eastAsia="zh-CN"/>
        </w:rPr>
        <w:br w:type="page"/>
      </w:r>
    </w:p>
    <w:p w14:paraId="4362C01A">
      <w:pPr>
        <w:pStyle w:val="22"/>
        <w:pageBreakBefore w:val="0"/>
        <w:shd w:val="clear" w:color="auto" w:fill="auto"/>
        <w:kinsoku/>
        <w:wordWrap/>
        <w:overflowPunct/>
        <w:topLinePunct w:val="0"/>
        <w:bidi w:val="0"/>
        <w:adjustRightInd/>
        <w:snapToGrid/>
        <w:spacing w:before="0" w:beforeLines="0" w:beforeAutospacing="0" w:after="0" w:afterLines="0" w:afterAutospacing="0" w:line="405" w:lineRule="atLeast"/>
        <w:ind w:right="0" w:rightChars="0"/>
        <w:jc w:val="center"/>
        <w:rPr>
          <w:rFonts w:hint="eastAsia" w:ascii="宋体" w:hAnsi="宋体" w:eastAsia="宋体" w:cs="宋体"/>
          <w:b/>
          <w:color w:val="auto"/>
          <w:sz w:val="28"/>
          <w:szCs w:val="28"/>
          <w:highlight w:val="none"/>
          <w:shd w:val="clear" w:color="auto" w:fill="auto"/>
        </w:rPr>
      </w:pPr>
      <w:r>
        <w:rPr>
          <w:rFonts w:hint="eastAsia" w:cs="宋体"/>
          <w:b/>
          <w:color w:val="auto"/>
          <w:sz w:val="28"/>
          <w:szCs w:val="28"/>
          <w:highlight w:val="none"/>
          <w:shd w:val="clear" w:color="auto" w:fill="auto"/>
          <w:lang w:val="en-US" w:eastAsia="zh-CN"/>
        </w:rPr>
        <w:t>5</w:t>
      </w:r>
      <w:r>
        <w:rPr>
          <w:rFonts w:hint="eastAsia" w:ascii="宋体" w:hAnsi="宋体" w:eastAsia="宋体" w:cs="宋体"/>
          <w:b/>
          <w:color w:val="auto"/>
          <w:sz w:val="28"/>
          <w:szCs w:val="28"/>
          <w:highlight w:val="none"/>
          <w:shd w:val="clear" w:color="auto" w:fill="auto"/>
        </w:rPr>
        <w:t>、采购代理服务费承诺函</w:t>
      </w:r>
    </w:p>
    <w:p w14:paraId="36B30963">
      <w:pPr>
        <w:pStyle w:val="22"/>
        <w:pageBreakBefore w:val="0"/>
        <w:shd w:val="clear" w:color="auto" w:fill="auto"/>
        <w:kinsoku/>
        <w:wordWrap/>
        <w:overflowPunct/>
        <w:topLinePunct w:val="0"/>
        <w:bidi w:val="0"/>
        <w:adjustRightInd/>
        <w:snapToGrid/>
        <w:spacing w:before="0" w:beforeLines="0" w:beforeAutospacing="0" w:after="0" w:afterLines="0" w:afterAutospacing="0"/>
        <w:ind w:left="0" w:leftChars="0" w:right="0" w:rightChars="0"/>
        <w:jc w:val="both"/>
        <w:rPr>
          <w:rFonts w:hint="eastAsia" w:ascii="宋体" w:hAnsi="宋体" w:eastAsia="宋体" w:cs="宋体"/>
          <w:color w:val="auto"/>
          <w:spacing w:val="8"/>
          <w:sz w:val="21"/>
          <w:szCs w:val="21"/>
          <w:highlight w:val="none"/>
          <w:shd w:val="clear" w:color="auto" w:fill="auto"/>
        </w:rPr>
      </w:pPr>
      <w:r>
        <w:rPr>
          <w:rFonts w:hint="eastAsia" w:ascii="宋体" w:hAnsi="宋体" w:eastAsia="宋体" w:cs="宋体"/>
          <w:color w:val="auto"/>
          <w:spacing w:val="8"/>
          <w:sz w:val="21"/>
          <w:szCs w:val="21"/>
          <w:highlight w:val="none"/>
          <w:shd w:val="clear" w:color="auto" w:fill="auto"/>
        </w:rPr>
        <w:t> </w:t>
      </w:r>
    </w:p>
    <w:p w14:paraId="3D3F58B4">
      <w:pPr>
        <w:pStyle w:val="22"/>
        <w:keepNext w:val="0"/>
        <w:keepLines w:val="0"/>
        <w:pageBreakBefore w:val="0"/>
        <w:widowControl/>
        <w:shd w:val="clear" w:color="auto" w:fill="auto"/>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jc w:val="both"/>
        <w:textAlignment w:val="auto"/>
        <w:rPr>
          <w:rFonts w:hint="eastAsia" w:ascii="宋体" w:hAnsi="宋体" w:eastAsia="宋体" w:cs="宋体"/>
          <w:color w:val="auto"/>
          <w:spacing w:val="8"/>
          <w:sz w:val="21"/>
          <w:szCs w:val="21"/>
          <w:highlight w:val="none"/>
          <w:shd w:val="clear" w:color="auto" w:fill="auto"/>
        </w:rPr>
      </w:pPr>
      <w:r>
        <w:rPr>
          <w:rFonts w:hint="eastAsia" w:ascii="宋体" w:hAnsi="宋体" w:eastAsia="宋体" w:cs="宋体"/>
          <w:color w:val="auto"/>
          <w:spacing w:val="8"/>
          <w:sz w:val="21"/>
          <w:szCs w:val="21"/>
          <w:highlight w:val="none"/>
          <w:shd w:val="clear" w:color="auto" w:fill="auto"/>
        </w:rPr>
        <w:t>致</w:t>
      </w:r>
      <w:r>
        <w:rPr>
          <w:rFonts w:hint="eastAsia" w:ascii="宋体" w:hAnsi="宋体" w:eastAsia="宋体" w:cs="宋体"/>
          <w:color w:val="auto"/>
          <w:spacing w:val="8"/>
          <w:sz w:val="21"/>
          <w:szCs w:val="21"/>
          <w:highlight w:val="none"/>
          <w:u w:val="single"/>
          <w:shd w:val="clear" w:color="auto" w:fill="auto"/>
        </w:rPr>
        <w:t>（采购人及采购代理机构） </w:t>
      </w:r>
      <w:r>
        <w:rPr>
          <w:rFonts w:hint="eastAsia" w:ascii="宋体" w:hAnsi="宋体" w:eastAsia="宋体" w:cs="宋体"/>
          <w:color w:val="auto"/>
          <w:spacing w:val="8"/>
          <w:sz w:val="21"/>
          <w:szCs w:val="21"/>
          <w:highlight w:val="none"/>
          <w:shd w:val="clear" w:color="auto" w:fill="auto"/>
        </w:rPr>
        <w:t>：</w:t>
      </w:r>
    </w:p>
    <w:p w14:paraId="11CB518B">
      <w:pPr>
        <w:pStyle w:val="22"/>
        <w:keepNext w:val="0"/>
        <w:keepLines w:val="0"/>
        <w:pageBreakBefore w:val="0"/>
        <w:widowControl/>
        <w:shd w:val="clear" w:color="auto" w:fill="auto"/>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80"/>
        <w:jc w:val="both"/>
        <w:textAlignment w:val="auto"/>
        <w:rPr>
          <w:rFonts w:hint="eastAsia" w:ascii="宋体" w:hAnsi="宋体" w:eastAsia="宋体" w:cs="宋体"/>
          <w:color w:val="auto"/>
          <w:spacing w:val="8"/>
          <w:sz w:val="21"/>
          <w:szCs w:val="21"/>
          <w:highlight w:val="none"/>
          <w:shd w:val="clear" w:color="auto" w:fill="auto"/>
        </w:rPr>
      </w:pPr>
      <w:r>
        <w:rPr>
          <w:rFonts w:hint="eastAsia" w:ascii="宋体" w:hAnsi="宋体" w:eastAsia="宋体" w:cs="宋体"/>
          <w:color w:val="auto"/>
          <w:spacing w:val="8"/>
          <w:sz w:val="21"/>
          <w:szCs w:val="21"/>
          <w:highlight w:val="none"/>
          <w:shd w:val="clear" w:color="auto" w:fill="auto"/>
        </w:rPr>
        <w:t>我们在贵公司组织的（项目名称：</w:t>
      </w:r>
      <w:r>
        <w:rPr>
          <w:rFonts w:hint="eastAsia" w:ascii="宋体" w:hAnsi="宋体" w:eastAsia="宋体" w:cs="宋体"/>
          <w:color w:val="auto"/>
          <w:spacing w:val="8"/>
          <w:sz w:val="21"/>
          <w:szCs w:val="21"/>
          <w:highlight w:val="none"/>
          <w:u w:val="single"/>
          <w:shd w:val="clear" w:color="auto" w:fill="auto"/>
        </w:rPr>
        <w:t xml:space="preserve">     </w:t>
      </w:r>
      <w:r>
        <w:rPr>
          <w:rFonts w:hint="eastAsia" w:ascii="宋体" w:hAnsi="宋体" w:eastAsia="宋体" w:cs="宋体"/>
          <w:color w:val="auto"/>
          <w:spacing w:val="8"/>
          <w:sz w:val="21"/>
          <w:szCs w:val="21"/>
          <w:highlight w:val="none"/>
          <w:shd w:val="clear" w:color="auto" w:fill="auto"/>
        </w:rPr>
        <w:t>，采购编号：</w:t>
      </w:r>
      <w:r>
        <w:rPr>
          <w:rFonts w:hint="eastAsia" w:ascii="宋体" w:hAnsi="宋体" w:eastAsia="宋体" w:cs="宋体"/>
          <w:color w:val="auto"/>
          <w:spacing w:val="8"/>
          <w:sz w:val="21"/>
          <w:szCs w:val="21"/>
          <w:highlight w:val="none"/>
          <w:u w:val="single"/>
          <w:shd w:val="clear" w:color="auto" w:fill="auto"/>
        </w:rPr>
        <w:t xml:space="preserve">     </w:t>
      </w:r>
      <w:r>
        <w:rPr>
          <w:rFonts w:hint="eastAsia" w:ascii="宋体" w:hAnsi="宋体" w:eastAsia="宋体" w:cs="宋体"/>
          <w:color w:val="auto"/>
          <w:spacing w:val="8"/>
          <w:sz w:val="21"/>
          <w:szCs w:val="21"/>
          <w:highlight w:val="none"/>
          <w:shd w:val="clear" w:color="auto" w:fill="auto"/>
        </w:rPr>
        <w:t>）招标采购中若获中标（成交），我们保证在中标</w:t>
      </w:r>
      <w:r>
        <w:rPr>
          <w:rFonts w:hint="eastAsia" w:cs="宋体"/>
          <w:color w:val="auto"/>
          <w:spacing w:val="8"/>
          <w:sz w:val="21"/>
          <w:szCs w:val="21"/>
          <w:highlight w:val="none"/>
          <w:shd w:val="clear" w:color="auto" w:fill="auto"/>
          <w:lang w:eastAsia="zh-CN"/>
        </w:rPr>
        <w:t>（</w:t>
      </w:r>
      <w:r>
        <w:rPr>
          <w:rFonts w:hint="eastAsia" w:ascii="宋体" w:hAnsi="宋体" w:eastAsia="宋体" w:cs="宋体"/>
          <w:color w:val="auto"/>
          <w:spacing w:val="8"/>
          <w:sz w:val="21"/>
          <w:szCs w:val="21"/>
          <w:highlight w:val="none"/>
          <w:shd w:val="clear" w:color="auto" w:fill="auto"/>
        </w:rPr>
        <w:t>成交）结果公告发布后</w:t>
      </w:r>
      <w:r>
        <w:rPr>
          <w:rFonts w:hint="eastAsia" w:cs="宋体"/>
          <w:color w:val="auto"/>
          <w:spacing w:val="8"/>
          <w:sz w:val="21"/>
          <w:szCs w:val="21"/>
          <w:highlight w:val="none"/>
          <w:shd w:val="clear" w:color="auto" w:fill="auto"/>
          <w:lang w:val="en-US" w:eastAsia="zh-CN"/>
        </w:rPr>
        <w:t>1</w:t>
      </w:r>
      <w:r>
        <w:rPr>
          <w:rFonts w:hint="eastAsia" w:ascii="宋体" w:hAnsi="宋体" w:eastAsia="宋体" w:cs="宋体"/>
          <w:color w:val="auto"/>
          <w:spacing w:val="8"/>
          <w:sz w:val="21"/>
          <w:szCs w:val="21"/>
          <w:highlight w:val="none"/>
          <w:shd w:val="clear" w:color="auto" w:fill="auto"/>
        </w:rPr>
        <w:t>个工作日内，按招标文件的规定，以支票、银行转账、汇票或现金，向贵公司一次性支付</w:t>
      </w:r>
      <w:r>
        <w:rPr>
          <w:rFonts w:hint="eastAsia" w:eastAsia="宋体" w:cs="宋体"/>
          <w:color w:val="auto"/>
          <w:spacing w:val="8"/>
          <w:sz w:val="21"/>
          <w:szCs w:val="21"/>
          <w:highlight w:val="none"/>
          <w:shd w:val="clear" w:color="auto" w:fill="auto"/>
          <w:lang w:eastAsia="zh-CN"/>
        </w:rPr>
        <w:t>采购代理</w:t>
      </w:r>
      <w:r>
        <w:rPr>
          <w:rFonts w:hint="eastAsia" w:ascii="宋体" w:hAnsi="宋体" w:eastAsia="宋体" w:cs="宋体"/>
          <w:color w:val="auto"/>
          <w:spacing w:val="8"/>
          <w:sz w:val="21"/>
          <w:szCs w:val="21"/>
          <w:highlight w:val="none"/>
          <w:shd w:val="clear" w:color="auto" w:fill="auto"/>
        </w:rPr>
        <w:t>服务费用。否则，由此产生的一切法律后果和责任由我公司承担。我公司声明放弃对此提出任何异议和追索的权利。</w:t>
      </w:r>
    </w:p>
    <w:p w14:paraId="4A1FC70E">
      <w:pPr>
        <w:pStyle w:val="22"/>
        <w:keepNext w:val="0"/>
        <w:keepLines w:val="0"/>
        <w:pageBreakBefore w:val="0"/>
        <w:widowControl/>
        <w:shd w:val="clear" w:color="auto" w:fill="auto"/>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firstLine="452" w:firstLineChars="200"/>
        <w:jc w:val="both"/>
        <w:textAlignment w:val="auto"/>
        <w:rPr>
          <w:rFonts w:hint="eastAsia" w:ascii="宋体" w:hAnsi="宋体" w:eastAsia="宋体" w:cs="宋体"/>
          <w:color w:val="auto"/>
          <w:spacing w:val="8"/>
          <w:sz w:val="21"/>
          <w:szCs w:val="21"/>
          <w:highlight w:val="none"/>
          <w:shd w:val="clear" w:color="auto" w:fill="auto"/>
        </w:rPr>
      </w:pPr>
      <w:r>
        <w:rPr>
          <w:rFonts w:hint="eastAsia" w:ascii="宋体" w:hAnsi="宋体" w:eastAsia="宋体" w:cs="宋体"/>
          <w:color w:val="auto"/>
          <w:spacing w:val="8"/>
          <w:sz w:val="21"/>
          <w:szCs w:val="21"/>
          <w:highlight w:val="none"/>
          <w:shd w:val="clear" w:color="auto" w:fill="auto"/>
        </w:rPr>
        <w:t>特此承诺。</w:t>
      </w:r>
    </w:p>
    <w:p w14:paraId="4EC62106">
      <w:pPr>
        <w:pStyle w:val="22"/>
        <w:pageBreakBefore w:val="0"/>
        <w:shd w:val="clear" w:color="auto" w:fill="auto"/>
        <w:kinsoku/>
        <w:wordWrap/>
        <w:overflowPunct/>
        <w:topLinePunct w:val="0"/>
        <w:bidi w:val="0"/>
        <w:adjustRightInd/>
        <w:snapToGrid/>
        <w:spacing w:before="0" w:beforeLines="0" w:beforeAutospacing="0" w:after="0" w:afterLines="0" w:afterAutospacing="0" w:line="360" w:lineRule="auto"/>
        <w:ind w:left="0" w:leftChars="0" w:right="0" w:rightChars="0"/>
        <w:jc w:val="both"/>
        <w:rPr>
          <w:rFonts w:hint="eastAsia" w:ascii="宋体" w:hAnsi="宋体" w:eastAsia="宋体" w:cs="宋体"/>
          <w:color w:val="auto"/>
          <w:spacing w:val="8"/>
          <w:sz w:val="21"/>
          <w:szCs w:val="21"/>
          <w:highlight w:val="none"/>
          <w:shd w:val="clear" w:color="auto" w:fill="auto"/>
        </w:rPr>
      </w:pPr>
      <w:r>
        <w:rPr>
          <w:rFonts w:hint="eastAsia" w:ascii="宋体" w:hAnsi="宋体" w:eastAsia="宋体" w:cs="宋体"/>
          <w:color w:val="auto"/>
          <w:spacing w:val="8"/>
          <w:sz w:val="21"/>
          <w:szCs w:val="21"/>
          <w:highlight w:val="none"/>
          <w:shd w:val="clear" w:color="auto" w:fill="auto"/>
        </w:rPr>
        <w:t> </w:t>
      </w:r>
    </w:p>
    <w:p w14:paraId="6EF4ED56">
      <w:pPr>
        <w:pStyle w:val="22"/>
        <w:pageBreakBefore w:val="0"/>
        <w:shd w:val="clear" w:color="auto" w:fill="auto"/>
        <w:kinsoku/>
        <w:wordWrap/>
        <w:overflowPunct/>
        <w:topLinePunct w:val="0"/>
        <w:bidi w:val="0"/>
        <w:adjustRightInd/>
        <w:snapToGrid/>
        <w:spacing w:before="0" w:beforeLines="0" w:beforeAutospacing="0" w:after="0" w:afterLines="0" w:afterAutospacing="0" w:line="360" w:lineRule="auto"/>
        <w:ind w:left="0" w:leftChars="0" w:right="0" w:rightChars="0"/>
        <w:jc w:val="both"/>
        <w:rPr>
          <w:rFonts w:hint="eastAsia" w:ascii="宋体" w:hAnsi="宋体" w:eastAsia="宋体" w:cs="宋体"/>
          <w:color w:val="auto"/>
          <w:spacing w:val="8"/>
          <w:sz w:val="21"/>
          <w:szCs w:val="21"/>
          <w:highlight w:val="none"/>
          <w:shd w:val="clear" w:color="auto" w:fill="auto"/>
        </w:rPr>
      </w:pPr>
      <w:r>
        <w:rPr>
          <w:rFonts w:hint="eastAsia" w:ascii="宋体" w:hAnsi="宋体" w:eastAsia="宋体" w:cs="宋体"/>
          <w:color w:val="auto"/>
          <w:spacing w:val="8"/>
          <w:sz w:val="21"/>
          <w:szCs w:val="21"/>
          <w:highlight w:val="none"/>
          <w:shd w:val="clear" w:color="auto" w:fill="auto"/>
        </w:rPr>
        <w:t> </w:t>
      </w:r>
    </w:p>
    <w:p w14:paraId="09C7316C">
      <w:pPr>
        <w:keepNext w:val="0"/>
        <w:keepLines w:val="0"/>
        <w:pageBreakBefore w:val="0"/>
        <w:kinsoku/>
        <w:wordWrap/>
        <w:overflowPunct/>
        <w:topLinePunct w:val="0"/>
        <w:autoSpaceDE/>
        <w:autoSpaceDN/>
        <w:bidi w:val="0"/>
        <w:adjustRightInd/>
        <w:snapToGrid/>
        <w:spacing w:line="500" w:lineRule="exact"/>
        <w:ind w:right="0" w:rightChars="0" w:firstLine="3150" w:firstLineChars="1500"/>
        <w:jc w:val="righ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单位电子签章</w:t>
      </w:r>
      <w:r>
        <w:rPr>
          <w:rFonts w:hint="eastAsia" w:ascii="宋体" w:hAnsi="宋体" w:eastAsia="宋体" w:cs="宋体"/>
          <w:color w:val="auto"/>
          <w:sz w:val="21"/>
          <w:szCs w:val="21"/>
          <w:highlight w:val="none"/>
          <w:lang w:eastAsia="zh-CN"/>
        </w:rPr>
        <w:t>）</w:t>
      </w:r>
    </w:p>
    <w:p w14:paraId="2DD22F9F">
      <w:pPr>
        <w:keepNext w:val="0"/>
        <w:keepLines w:val="0"/>
        <w:pageBreakBefore w:val="0"/>
        <w:kinsoku/>
        <w:wordWrap/>
        <w:overflowPunct/>
        <w:topLinePunct w:val="0"/>
        <w:autoSpaceDE/>
        <w:autoSpaceDN/>
        <w:bidi w:val="0"/>
        <w:adjustRightInd/>
        <w:snapToGrid/>
        <w:spacing w:line="500" w:lineRule="exact"/>
        <w:ind w:right="0" w:rightChars="0" w:firstLine="2100" w:firstLineChars="1000"/>
        <w:jc w:val="righ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法定代表人或其委托代理人：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电子签名或签章</w:t>
      </w:r>
      <w:r>
        <w:rPr>
          <w:rFonts w:hint="eastAsia" w:ascii="宋体" w:hAnsi="宋体" w:eastAsia="宋体" w:cs="宋体"/>
          <w:color w:val="auto"/>
          <w:sz w:val="21"/>
          <w:szCs w:val="21"/>
          <w:highlight w:val="none"/>
          <w:lang w:eastAsia="zh-CN"/>
        </w:rPr>
        <w:t>）</w:t>
      </w:r>
    </w:p>
    <w:p w14:paraId="7CB1644F">
      <w:pPr>
        <w:keepNext w:val="0"/>
        <w:keepLines w:val="0"/>
        <w:pageBreakBefore w:val="0"/>
        <w:kinsoku/>
        <w:wordWrap/>
        <w:overflowPunct/>
        <w:topLinePunct w:val="0"/>
        <w:autoSpaceDE/>
        <w:autoSpaceDN/>
        <w:bidi w:val="0"/>
        <w:adjustRightInd/>
        <w:snapToGrid/>
        <w:spacing w:line="500" w:lineRule="exact"/>
        <w:ind w:left="0" w:leftChars="0" w:right="0" w:rightChars="0" w:firstLine="4935" w:firstLineChars="235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D163405">
      <w:pPr>
        <w:pStyle w:val="22"/>
        <w:keepNext w:val="0"/>
        <w:keepLines w:val="0"/>
        <w:pageBreakBefore w:val="0"/>
        <w:shd w:val="clear" w:color="auto" w:fill="auto"/>
        <w:kinsoku/>
        <w:wordWrap/>
        <w:overflowPunct/>
        <w:topLinePunct w:val="0"/>
        <w:autoSpaceDE/>
        <w:autoSpaceDN/>
        <w:bidi w:val="0"/>
        <w:adjustRightInd/>
        <w:snapToGrid/>
        <w:spacing w:before="0" w:beforeLines="0" w:beforeAutospacing="0" w:after="0" w:afterLines="0" w:afterAutospacing="0" w:line="500" w:lineRule="exact"/>
        <w:ind w:left="0" w:leftChars="0" w:right="0" w:rightChars="0"/>
        <w:jc w:val="both"/>
        <w:textAlignment w:val="auto"/>
        <w:rPr>
          <w:rFonts w:hint="eastAsia" w:ascii="宋体" w:hAnsi="宋体" w:eastAsia="宋体" w:cs="宋体"/>
          <w:color w:val="auto"/>
          <w:spacing w:val="8"/>
          <w:sz w:val="21"/>
          <w:szCs w:val="21"/>
          <w:highlight w:val="none"/>
          <w:shd w:val="clear" w:color="auto" w:fill="auto"/>
        </w:rPr>
      </w:pPr>
      <w:r>
        <w:rPr>
          <w:rFonts w:hint="eastAsia" w:ascii="宋体" w:hAnsi="宋体" w:eastAsia="宋体" w:cs="宋体"/>
          <w:color w:val="auto"/>
          <w:spacing w:val="8"/>
          <w:sz w:val="21"/>
          <w:szCs w:val="21"/>
          <w:highlight w:val="none"/>
          <w:shd w:val="clear" w:color="auto" w:fill="auto"/>
        </w:rPr>
        <w:t> </w:t>
      </w:r>
    </w:p>
    <w:p w14:paraId="7E77BE29">
      <w:pPr>
        <w:pageBreakBefore w:val="0"/>
        <w:kinsoku/>
        <w:wordWrap/>
        <w:overflowPunct/>
        <w:topLinePunct w:val="0"/>
        <w:bidi w:val="0"/>
        <w:adjustRightInd/>
        <w:snapToGrid/>
        <w:ind w:left="0" w:leftChars="0" w:right="0" w:rightChars="0"/>
        <w:rPr>
          <w:rFonts w:hint="eastAsia" w:ascii="宋体" w:hAnsi="宋体" w:eastAsia="宋体" w:cs="宋体"/>
          <w:color w:val="auto"/>
          <w:sz w:val="21"/>
          <w:szCs w:val="21"/>
          <w:highlight w:val="none"/>
        </w:rPr>
      </w:pPr>
    </w:p>
    <w:p w14:paraId="31642359">
      <w:pPr>
        <w:pageBreakBefore w:val="0"/>
        <w:kinsoku/>
        <w:wordWrap/>
        <w:overflowPunct/>
        <w:topLinePunct w:val="0"/>
        <w:bidi w:val="0"/>
        <w:adjustRightInd/>
        <w:snapToGrid/>
        <w:spacing w:line="360" w:lineRule="auto"/>
        <w:ind w:left="0" w:leftChars="0" w:right="0" w:rightChars="0"/>
        <w:jc w:val="center"/>
        <w:rPr>
          <w:rFonts w:hint="eastAsia" w:ascii="宋体" w:hAnsi="宋体" w:eastAsia="宋体" w:cs="宋体"/>
          <w:color w:val="auto"/>
          <w:sz w:val="21"/>
          <w:szCs w:val="21"/>
          <w:highlight w:val="none"/>
        </w:rPr>
      </w:pPr>
    </w:p>
    <w:p w14:paraId="12EF75F8">
      <w:pPr>
        <w:pageBreakBefore w:val="0"/>
        <w:kinsoku/>
        <w:wordWrap/>
        <w:overflowPunct/>
        <w:topLinePunct w:val="0"/>
        <w:bidi w:val="0"/>
        <w:adjustRightInd/>
        <w:snapToGrid/>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5334F149">
      <w:pPr>
        <w:pStyle w:val="22"/>
        <w:pageBreakBefore w:val="0"/>
        <w:shd w:val="clear" w:color="auto" w:fill="auto"/>
        <w:kinsoku/>
        <w:wordWrap/>
        <w:overflowPunct/>
        <w:topLinePunct w:val="0"/>
        <w:bidi w:val="0"/>
        <w:adjustRightInd/>
        <w:snapToGrid/>
        <w:spacing w:before="0" w:beforeLines="0" w:beforeAutospacing="0" w:after="0" w:afterLines="0" w:afterAutospacing="0" w:line="405" w:lineRule="atLeast"/>
        <w:ind w:right="0" w:rightChars="0"/>
        <w:jc w:val="center"/>
        <w:rPr>
          <w:rFonts w:hint="eastAsia" w:ascii="宋体" w:hAnsi="宋体" w:eastAsia="宋体" w:cs="宋体"/>
          <w:b/>
          <w:color w:val="auto"/>
          <w:sz w:val="28"/>
          <w:szCs w:val="28"/>
          <w:highlight w:val="none"/>
          <w:shd w:val="clear" w:color="auto" w:fill="auto"/>
          <w:lang w:val="en-US" w:eastAsia="zh-CN"/>
        </w:rPr>
      </w:pPr>
      <w:r>
        <w:rPr>
          <w:rFonts w:hint="eastAsia" w:ascii="宋体" w:hAnsi="宋体" w:eastAsia="宋体" w:cs="宋体"/>
          <w:b/>
          <w:color w:val="auto"/>
          <w:sz w:val="28"/>
          <w:szCs w:val="28"/>
          <w:highlight w:val="none"/>
          <w:shd w:val="clear" w:color="auto" w:fill="auto"/>
          <w:lang w:val="en-US" w:eastAsia="zh-CN"/>
        </w:rPr>
        <w:t>6、供应商认为需要的其他资料</w:t>
      </w:r>
    </w:p>
    <w:p w14:paraId="7EFA4E60">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59E153B1">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649EE2CB">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308C5CDA">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465343A7">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18E73CCC">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4CB6D215">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63B7A374">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0E616076">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347D77EF">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20F82ED8">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390F8584">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28C5BA14">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703EBE7B">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03623BE6">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758F0BDF">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6F3772F5">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25274A0E">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6A50CFF2">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19F6BFC0">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11431602">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1B046942">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04B3F696">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7427A8DE">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79D9E7BF">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0284C1F1">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06CBBD85">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10E930FD">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3681E5F6">
      <w:pPr>
        <w:pStyle w:val="24"/>
        <w:rPr>
          <w:rFonts w:hint="eastAsia"/>
          <w:color w:val="auto"/>
          <w:highlight w:val="none"/>
          <w:lang w:val="en-US" w:eastAsia="zh-CN"/>
        </w:rPr>
      </w:pPr>
    </w:p>
    <w:p w14:paraId="261566EE">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627A1C0A">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1BFCA481">
      <w:pPr>
        <w:pageBreakBefore w:val="0"/>
        <w:kinsoku/>
        <w:wordWrap/>
        <w:overflowPunct/>
        <w:topLinePunct w:val="0"/>
        <w:bidi w:val="0"/>
        <w:adjustRightInd/>
        <w:snapToGrid/>
        <w:ind w:left="0" w:leftChars="0" w:right="0" w:rightChars="0"/>
        <w:jc w:val="center"/>
        <w:rPr>
          <w:rFonts w:hint="eastAsia" w:ascii="宋体" w:hAnsi="宋体" w:eastAsia="宋体" w:cs="宋体"/>
          <w:b/>
          <w:bCs/>
          <w:color w:val="auto"/>
          <w:sz w:val="21"/>
          <w:szCs w:val="21"/>
          <w:highlight w:val="none"/>
          <w:lang w:val="en-US" w:eastAsia="zh-CN"/>
        </w:rPr>
      </w:pPr>
    </w:p>
    <w:p w14:paraId="6F4D5939">
      <w:pPr>
        <w:pStyle w:val="2"/>
        <w:bidi w:val="0"/>
        <w:jc w:val="center"/>
        <w:rPr>
          <w:rFonts w:hint="eastAsia"/>
        </w:rPr>
      </w:pPr>
      <w:bookmarkStart w:id="127" w:name="_Toc16937"/>
      <w:r>
        <w:rPr>
          <w:rFonts w:hint="eastAsia"/>
        </w:rPr>
        <w:t>河南省政府采购合同融资政策告知函</w:t>
      </w:r>
      <w:bookmarkEnd w:id="127"/>
    </w:p>
    <w:p w14:paraId="7F8554FD">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各供应商：</w:t>
      </w:r>
    </w:p>
    <w:p w14:paraId="2ABCAD9D">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欢迎贵公司参与河南省政府采购活动！</w:t>
      </w:r>
    </w:p>
    <w:p w14:paraId="0F6EC503">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D6E9E15">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贷款渠道和提供贷款的金融机构，可在河南省政府采购网“河南省政府采购合同融资平台”查询联系。政策解读网址：http://www.hngp.gov.cn/henan/content?infoId=1601449567470800&amp;channelCode=H6016</w:t>
      </w:r>
    </w:p>
    <w:p w14:paraId="530491DF">
      <w:pPr>
        <w:pStyle w:val="22"/>
        <w:keepNext w:val="0"/>
        <w:keepLines w:val="0"/>
        <w:pageBreakBefore w:val="0"/>
        <w:shd w:val="clear" w:color="070000" w:fill="auto"/>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auto"/>
          <w:spacing w:val="8"/>
          <w:sz w:val="21"/>
          <w:szCs w:val="21"/>
          <w:highlight w:val="none"/>
          <w:shd w:val="clear" w:color="080000" w:fill="FFFFFF"/>
        </w:rPr>
      </w:pPr>
    </w:p>
    <w:p w14:paraId="1E7B4D9B">
      <w:pPr>
        <w:pStyle w:val="22"/>
        <w:keepNext w:val="0"/>
        <w:keepLines w:val="0"/>
        <w:pageBreakBefore w:val="0"/>
        <w:shd w:val="clear" w:color="070000" w:fill="auto"/>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auto"/>
          <w:spacing w:val="8"/>
          <w:sz w:val="21"/>
          <w:szCs w:val="21"/>
          <w:highlight w:val="none"/>
          <w:shd w:val="clear" w:color="080000" w:fill="FFFFFF"/>
        </w:rPr>
      </w:pPr>
    </w:p>
    <w:p w14:paraId="3422AC22">
      <w:pPr>
        <w:pStyle w:val="22"/>
        <w:keepNext w:val="0"/>
        <w:keepLines w:val="0"/>
        <w:pageBreakBefore w:val="0"/>
        <w:shd w:val="clear" w:color="070000" w:fill="auto"/>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auto"/>
          <w:spacing w:val="8"/>
          <w:sz w:val="21"/>
          <w:szCs w:val="21"/>
          <w:highlight w:val="none"/>
          <w:shd w:val="clear" w:color="080000" w:fill="FFFFFF"/>
          <w:lang w:eastAsia="zh-CN"/>
        </w:rPr>
      </w:pPr>
      <w:r>
        <w:rPr>
          <w:rFonts w:hint="eastAsia" w:ascii="宋体" w:hAnsi="宋体" w:eastAsia="宋体" w:cs="宋体"/>
          <w:color w:val="auto"/>
          <w:spacing w:val="8"/>
          <w:sz w:val="21"/>
          <w:szCs w:val="21"/>
          <w:highlight w:val="none"/>
          <w:shd w:val="clear" w:color="080000" w:fill="FFFFFF"/>
          <w:lang w:eastAsia="zh-CN"/>
        </w:rPr>
        <w:t>注：此项仅为告知，无须附到</w:t>
      </w:r>
      <w:r>
        <w:rPr>
          <w:rFonts w:hint="eastAsia" w:cs="宋体"/>
          <w:color w:val="auto"/>
          <w:spacing w:val="8"/>
          <w:sz w:val="21"/>
          <w:szCs w:val="21"/>
          <w:highlight w:val="none"/>
          <w:shd w:val="clear" w:color="080000" w:fill="FFFFFF"/>
          <w:lang w:eastAsia="zh-CN"/>
        </w:rPr>
        <w:t>投标</w:t>
      </w:r>
      <w:r>
        <w:rPr>
          <w:rFonts w:hint="eastAsia" w:ascii="宋体" w:hAnsi="宋体" w:eastAsia="宋体" w:cs="宋体"/>
          <w:color w:val="auto"/>
          <w:spacing w:val="8"/>
          <w:sz w:val="21"/>
          <w:szCs w:val="21"/>
          <w:highlight w:val="none"/>
          <w:shd w:val="clear" w:color="080000" w:fill="FFFFFF"/>
          <w:lang w:eastAsia="zh-CN"/>
        </w:rPr>
        <w:t>文件中。</w:t>
      </w:r>
    </w:p>
    <w:p w14:paraId="638D23AF">
      <w:pPr>
        <w:spacing w:line="600" w:lineRule="exact"/>
        <w:rPr>
          <w:rFonts w:hint="eastAsia" w:ascii="宋体" w:hAnsi="宋体" w:eastAsia="宋体" w:cs="宋体"/>
          <w:color w:val="auto"/>
          <w:szCs w:val="21"/>
          <w:highlight w:val="none"/>
        </w:rPr>
      </w:pPr>
    </w:p>
    <w:p w14:paraId="07C77926">
      <w:pPr>
        <w:widowControl/>
        <w:spacing w:line="240" w:lineRule="auto"/>
        <w:ind w:firstLine="640"/>
        <w:jc w:val="left"/>
        <w:rPr>
          <w:rFonts w:ascii="仿宋_GB2312" w:eastAsia="仿宋_GB2312"/>
          <w:color w:val="auto"/>
          <w:sz w:val="32"/>
          <w:szCs w:val="32"/>
          <w:highlight w:val="none"/>
        </w:rPr>
      </w:pPr>
    </w:p>
    <w:p w14:paraId="01BD4AEA">
      <w:pPr>
        <w:pageBreakBefore w:val="0"/>
        <w:kinsoku/>
        <w:wordWrap/>
        <w:overflowPunct/>
        <w:topLinePunct w:val="0"/>
        <w:bidi w:val="0"/>
        <w:adjustRightInd/>
        <w:snapToGrid/>
        <w:ind w:left="0" w:leftChars="0" w:right="0" w:rightChars="0"/>
        <w:rPr>
          <w:color w:val="auto"/>
          <w:highlight w:val="none"/>
        </w:rPr>
      </w:pPr>
    </w:p>
    <w:sectPr>
      <w:headerReference r:id="rId18" w:type="first"/>
      <w:footerReference r:id="rId19" w:type="first"/>
      <w:headerReference r:id="rId17" w:type="default"/>
      <w:pgSz w:w="11905" w:h="16838"/>
      <w:pgMar w:top="1440" w:right="1701" w:bottom="1440" w:left="1701" w:header="850" w:footer="850" w:gutter="0"/>
      <w:pgBorders>
        <w:top w:val="none" w:sz="0" w:space="0"/>
        <w:left w:val="none" w:sz="0" w:space="0"/>
        <w:bottom w:val="none" w:sz="0" w:space="0"/>
        <w:right w:val="none" w:sz="0" w:space="0"/>
      </w:pgBorders>
      <w:pgNumType w:fmt="decimal"/>
      <w:cols w:space="0" w:num="1"/>
      <w:rtlGutter w:val="0"/>
      <w:docGrid w:type="lines" w:linePitch="4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akuyoxingshu7000">
    <w:altName w:val="SimSun-ExtB"/>
    <w:panose1 w:val="02000600000000000000"/>
    <w:charset w:val="7A"/>
    <w:family w:val="auto"/>
    <w:pitch w:val="default"/>
    <w:sig w:usb0="00000000" w:usb1="00000000" w:usb2="0000003F" w:usb3="00000000" w:csb0="603F00FF" w:csb1="FFFF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50336">
    <w:pPr>
      <w:pStyle w:val="17"/>
      <w:pBdr>
        <w:top w:val="none" w:color="auto" w:sz="0" w:space="1"/>
      </w:pBdr>
      <w:tabs>
        <w:tab w:val="center" w:pos="4845"/>
        <w:tab w:val="clear" w:pos="4153"/>
      </w:tabs>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D8A09">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EE238">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1C3E5">
                          <w:pPr>
                            <w:pStyle w:val="1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C1C3E5">
                    <w:pPr>
                      <w:pStyle w:val="1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CE95F">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1E275A9">
                          <w:pPr>
                            <w:pStyle w:val="17"/>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21E275A9">
                    <w:pPr>
                      <w:pStyle w:val="1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6FC61">
    <w:pPr>
      <w:pStyle w:val="17"/>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CA069">
    <w:pPr>
      <w:pStyle w:val="17"/>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F1232">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AD7E9">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FB60519">
                          <w:pPr>
                            <w:pStyle w:val="17"/>
                          </w:pPr>
                          <w:r>
                            <w:fldChar w:fldCharType="begin"/>
                          </w:r>
                          <w:r>
                            <w:instrText xml:space="preserve"> PAGE  \* MERGEFORMAT </w:instrText>
                          </w:r>
                          <w:r>
                            <w:fldChar w:fldCharType="separate"/>
                          </w:r>
                          <w:r>
                            <w:t>41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Mq6jUswBAACZAwAADgAAAAAAAAABACAAAAAiAQAAZHJz&#10;L2Uyb0RvYy54bWxQSwUGAAAAAAYABgBZAQAAYAUAAAAA&#10;">
              <v:fill on="f" focussize="0,0"/>
              <v:stroke on="f" weight="1.25pt"/>
              <v:imagedata o:title=""/>
              <o:lock v:ext="edit" aspectratio="f"/>
              <v:textbox inset="0mm,0mm,0mm,0mm" style="mso-fit-shape-to-text:t;">
                <w:txbxContent>
                  <w:p w14:paraId="2FB60519">
                    <w:pPr>
                      <w:pStyle w:val="1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FC7BB">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C7BD2C7">
                          <w:pPr>
                            <w:pStyle w:val="17"/>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7C7BD2C7">
                    <w:pPr>
                      <w:pStyle w:val="1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98E8C">
    <w:pPr>
      <w:pStyle w:val="18"/>
      <w:pBdr>
        <w:bottom w:val="none" w:color="auto" w:sz="0" w:space="1"/>
      </w:pBdr>
      <w:jc w:val="right"/>
      <w:rPr>
        <w:rFonts w:hint="eastAsia" w:asciiTheme="minorEastAsia" w:hAnsiTheme="minorEastAsia" w:eastAsiaTheme="minorEastAsia" w:cstheme="minorEastAsia"/>
        <w:sz w:val="22"/>
        <w:szCs w:val="2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9D26A">
    <w:pPr>
      <w:pStyle w:val="18"/>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9B5C5">
    <w:pPr>
      <w:pStyle w:val="18"/>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03B86">
    <w:pPr>
      <w:pStyle w:val="1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40BA8">
    <w:pPr>
      <w:pStyle w:val="1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E16D">
    <w:pPr>
      <w:rPr>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8D005">
    <w:pPr>
      <w:pStyle w:val="18"/>
      <w:pBdr>
        <w:bottom w:val="none" w:color="auto" w:sz="0" w:space="1"/>
      </w:pBdr>
      <w:jc w:val="right"/>
      <w:rPr>
        <w:rFonts w:hint="eastAsia" w:ascii="宋体" w:hAnsi="宋体" w:eastAsia="宋体" w:cs="宋体"/>
        <w:i/>
        <w:iCs/>
        <w:color w:val="0000FF"/>
        <w:sz w:val="18"/>
        <w:szCs w:val="18"/>
        <w:lang w:val="en-US" w:eastAsia="zh-CN"/>
      </w:rPr>
    </w:pPr>
  </w:p>
  <w:p w14:paraId="4B221B53">
    <w:pPr>
      <w:pStyle w:val="18"/>
      <w:pBdr>
        <w:bottom w:val="none" w:color="auto" w:sz="0" w:space="1"/>
      </w:pBdr>
      <w:jc w:val="right"/>
      <w:rPr>
        <w:rFonts w:hint="eastAsia"/>
        <w:b w:val="0"/>
        <w:bCs/>
        <w:i/>
        <w:iCs/>
        <w:color w:val="0E27E2"/>
        <w:spacing w:val="0"/>
        <w:sz w:val="20"/>
        <w:szCs w:val="20"/>
        <w:lang w:val="en-US"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909E0">
    <w:pP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F1368"/>
    <w:multiLevelType w:val="singleLevel"/>
    <w:tmpl w:val="A08F1368"/>
    <w:lvl w:ilvl="0" w:tentative="0">
      <w:start w:val="1"/>
      <w:numFmt w:val="decimal"/>
      <w:suff w:val="nothing"/>
      <w:lvlText w:val="（%1）"/>
      <w:lvlJc w:val="left"/>
    </w:lvl>
  </w:abstractNum>
  <w:abstractNum w:abstractNumId="1">
    <w:nsid w:val="AA0A2DAF"/>
    <w:multiLevelType w:val="singleLevel"/>
    <w:tmpl w:val="AA0A2DAF"/>
    <w:lvl w:ilvl="0" w:tentative="0">
      <w:start w:val="5"/>
      <w:numFmt w:val="chineseCounting"/>
      <w:suff w:val="space"/>
      <w:lvlText w:val="第%1章"/>
      <w:lvlJc w:val="left"/>
      <w:rPr>
        <w:rFonts w:hint="eastAsia"/>
      </w:rPr>
    </w:lvl>
  </w:abstractNum>
  <w:abstractNum w:abstractNumId="2">
    <w:nsid w:val="AC1F1473"/>
    <w:multiLevelType w:val="singleLevel"/>
    <w:tmpl w:val="AC1F1473"/>
    <w:lvl w:ilvl="0" w:tentative="0">
      <w:start w:val="2"/>
      <w:numFmt w:val="decimal"/>
      <w:lvlText w:val="%1."/>
      <w:lvlJc w:val="left"/>
      <w:pPr>
        <w:tabs>
          <w:tab w:val="left" w:pos="312"/>
        </w:tabs>
      </w:pPr>
    </w:lvl>
  </w:abstractNum>
  <w:abstractNum w:abstractNumId="3">
    <w:nsid w:val="B5E08322"/>
    <w:multiLevelType w:val="singleLevel"/>
    <w:tmpl w:val="B5E08322"/>
    <w:lvl w:ilvl="0" w:tentative="0">
      <w:start w:val="1"/>
      <w:numFmt w:val="chineseCounting"/>
      <w:suff w:val="nothing"/>
      <w:lvlText w:val="%1、"/>
      <w:lvlJc w:val="left"/>
      <w:rPr>
        <w:rFonts w:hint="eastAsia"/>
      </w:rPr>
    </w:lvl>
  </w:abstractNum>
  <w:abstractNum w:abstractNumId="4">
    <w:nsid w:val="D92A409B"/>
    <w:multiLevelType w:val="singleLevel"/>
    <w:tmpl w:val="D92A409B"/>
    <w:lvl w:ilvl="0" w:tentative="0">
      <w:start w:val="1"/>
      <w:numFmt w:val="decimal"/>
      <w:suff w:val="space"/>
      <w:lvlText w:val="%1."/>
      <w:lvlJc w:val="left"/>
      <w:pPr>
        <w:ind w:left="600" w:firstLine="0"/>
      </w:pPr>
    </w:lvl>
  </w:abstractNum>
  <w:abstractNum w:abstractNumId="5">
    <w:nsid w:val="E9841958"/>
    <w:multiLevelType w:val="singleLevel"/>
    <w:tmpl w:val="E9841958"/>
    <w:lvl w:ilvl="0" w:tentative="0">
      <w:start w:val="1"/>
      <w:numFmt w:val="decimal"/>
      <w:suff w:val="nothing"/>
      <w:lvlText w:val="%1、"/>
      <w:lvlJc w:val="left"/>
    </w:lvl>
  </w:abstractNum>
  <w:abstractNum w:abstractNumId="6">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ascii="宋体" w:hAnsi="宋体" w:eastAsia="宋体"/>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7">
    <w:nsid w:val="00000009"/>
    <w:multiLevelType w:val="multilevel"/>
    <w:tmpl w:val="00000009"/>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0"/>
    <w:multiLevelType w:val="multilevel"/>
    <w:tmpl w:val="00000010"/>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D00DFD4"/>
    <w:multiLevelType w:val="singleLevel"/>
    <w:tmpl w:val="1D00DFD4"/>
    <w:lvl w:ilvl="0" w:tentative="0">
      <w:start w:val="8"/>
      <w:numFmt w:val="chineseCounting"/>
      <w:suff w:val="nothing"/>
      <w:lvlText w:val="%1、"/>
      <w:lvlJc w:val="left"/>
      <w:rPr>
        <w:rFonts w:hint="eastAsia"/>
      </w:rPr>
    </w:lvl>
  </w:abstractNum>
  <w:abstractNum w:abstractNumId="10">
    <w:nsid w:val="3680AFBE"/>
    <w:multiLevelType w:val="singleLevel"/>
    <w:tmpl w:val="3680AFBE"/>
    <w:lvl w:ilvl="0" w:tentative="0">
      <w:start w:val="4"/>
      <w:numFmt w:val="chineseCounting"/>
      <w:suff w:val="space"/>
      <w:lvlText w:val="第%1章"/>
      <w:lvlJc w:val="left"/>
      <w:rPr>
        <w:rFonts w:hint="eastAsia"/>
      </w:rPr>
    </w:lvl>
  </w:abstractNum>
  <w:abstractNum w:abstractNumId="11">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12">
    <w:nsid w:val="4503FB7E"/>
    <w:multiLevelType w:val="singleLevel"/>
    <w:tmpl w:val="4503FB7E"/>
    <w:lvl w:ilvl="0" w:tentative="0">
      <w:start w:val="2"/>
      <w:numFmt w:val="decimal"/>
      <w:suff w:val="nothing"/>
      <w:lvlText w:val="%1、"/>
      <w:lvlJc w:val="left"/>
      <w:pPr>
        <w:ind w:left="-135"/>
      </w:pPr>
    </w:lvl>
  </w:abstractNum>
  <w:num w:numId="1">
    <w:abstractNumId w:val="2"/>
  </w:num>
  <w:num w:numId="2">
    <w:abstractNumId w:val="6"/>
  </w:num>
  <w:num w:numId="3">
    <w:abstractNumId w:val="7"/>
  </w:num>
  <w:num w:numId="4">
    <w:abstractNumId w:val="8"/>
  </w:num>
  <w:num w:numId="5">
    <w:abstractNumId w:val="10"/>
  </w:num>
  <w:num w:numId="6">
    <w:abstractNumId w:val="5"/>
  </w:num>
  <w:num w:numId="7">
    <w:abstractNumId w:val="0"/>
  </w:num>
  <w:num w:numId="8">
    <w:abstractNumId w:val="1"/>
  </w:num>
  <w:num w:numId="9">
    <w:abstractNumId w:val="3"/>
  </w:num>
  <w:num w:numId="10">
    <w:abstractNumId w:val="11"/>
  </w:num>
  <w:num w:numId="11">
    <w:abstractNumId w:val="1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2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NjNjNTEwZGI5MjQ2OThkNmJmMTFkZTMzMzM5MDQifQ=="/>
    <w:docVar w:name="KSO_WPS_MARK_KEY" w:val="cc03808a-0944-4dc9-a031-a44fcb012e25"/>
  </w:docVars>
  <w:rsids>
    <w:rsidRoot w:val="75D74944"/>
    <w:rsid w:val="00405979"/>
    <w:rsid w:val="004C4E11"/>
    <w:rsid w:val="007A7A5F"/>
    <w:rsid w:val="00F5682E"/>
    <w:rsid w:val="00FE1942"/>
    <w:rsid w:val="010C790C"/>
    <w:rsid w:val="013A0ADC"/>
    <w:rsid w:val="01F41614"/>
    <w:rsid w:val="027F62A0"/>
    <w:rsid w:val="02936841"/>
    <w:rsid w:val="02C24BF1"/>
    <w:rsid w:val="02F361E7"/>
    <w:rsid w:val="032B5618"/>
    <w:rsid w:val="03517082"/>
    <w:rsid w:val="03BC1579"/>
    <w:rsid w:val="03E7352D"/>
    <w:rsid w:val="03F17B73"/>
    <w:rsid w:val="04024C95"/>
    <w:rsid w:val="04164DF2"/>
    <w:rsid w:val="0441744C"/>
    <w:rsid w:val="04E567A3"/>
    <w:rsid w:val="058B111D"/>
    <w:rsid w:val="05B4492D"/>
    <w:rsid w:val="05E80E12"/>
    <w:rsid w:val="06472934"/>
    <w:rsid w:val="07872B83"/>
    <w:rsid w:val="07A2552E"/>
    <w:rsid w:val="07E00543"/>
    <w:rsid w:val="07EA42D2"/>
    <w:rsid w:val="0866288C"/>
    <w:rsid w:val="08721F79"/>
    <w:rsid w:val="08951E46"/>
    <w:rsid w:val="08D13DE0"/>
    <w:rsid w:val="08DC66E2"/>
    <w:rsid w:val="0974688C"/>
    <w:rsid w:val="09DB69C0"/>
    <w:rsid w:val="0A8E244E"/>
    <w:rsid w:val="0A9636F5"/>
    <w:rsid w:val="0AB100FE"/>
    <w:rsid w:val="0B59213B"/>
    <w:rsid w:val="0B633887"/>
    <w:rsid w:val="0C5A61DA"/>
    <w:rsid w:val="0C5D09C1"/>
    <w:rsid w:val="0C766C4B"/>
    <w:rsid w:val="0C9A2ECD"/>
    <w:rsid w:val="0C9A42E4"/>
    <w:rsid w:val="0CBB2AF6"/>
    <w:rsid w:val="0D417786"/>
    <w:rsid w:val="0D7D65FB"/>
    <w:rsid w:val="0DA47FE5"/>
    <w:rsid w:val="0DB36DE1"/>
    <w:rsid w:val="0DE37FBD"/>
    <w:rsid w:val="0E401CB6"/>
    <w:rsid w:val="0E6A2D0C"/>
    <w:rsid w:val="0E861907"/>
    <w:rsid w:val="0EA25A17"/>
    <w:rsid w:val="0F0D7E49"/>
    <w:rsid w:val="0F30228B"/>
    <w:rsid w:val="0F5B6386"/>
    <w:rsid w:val="0F9D0EBF"/>
    <w:rsid w:val="0FA1097C"/>
    <w:rsid w:val="0FB1378B"/>
    <w:rsid w:val="10014FAA"/>
    <w:rsid w:val="10207FD9"/>
    <w:rsid w:val="104713A9"/>
    <w:rsid w:val="10844482"/>
    <w:rsid w:val="11396436"/>
    <w:rsid w:val="11494E5B"/>
    <w:rsid w:val="11944B05"/>
    <w:rsid w:val="11B12A00"/>
    <w:rsid w:val="1225366B"/>
    <w:rsid w:val="12293DF2"/>
    <w:rsid w:val="12353631"/>
    <w:rsid w:val="12A1327D"/>
    <w:rsid w:val="139418E9"/>
    <w:rsid w:val="13F77E62"/>
    <w:rsid w:val="14305E5E"/>
    <w:rsid w:val="1457337B"/>
    <w:rsid w:val="145E79CE"/>
    <w:rsid w:val="146C4059"/>
    <w:rsid w:val="14AB4C9B"/>
    <w:rsid w:val="14CF21C1"/>
    <w:rsid w:val="151A61D6"/>
    <w:rsid w:val="156639FA"/>
    <w:rsid w:val="15883A78"/>
    <w:rsid w:val="16812880"/>
    <w:rsid w:val="16DB5FD5"/>
    <w:rsid w:val="17010057"/>
    <w:rsid w:val="172F463D"/>
    <w:rsid w:val="17420CF8"/>
    <w:rsid w:val="178F6873"/>
    <w:rsid w:val="17E9625D"/>
    <w:rsid w:val="1807337A"/>
    <w:rsid w:val="186426D6"/>
    <w:rsid w:val="18773721"/>
    <w:rsid w:val="18902485"/>
    <w:rsid w:val="18C87254"/>
    <w:rsid w:val="19085CE9"/>
    <w:rsid w:val="19274D13"/>
    <w:rsid w:val="195A6AC6"/>
    <w:rsid w:val="19DA794C"/>
    <w:rsid w:val="1A2C356C"/>
    <w:rsid w:val="1A534C88"/>
    <w:rsid w:val="1A8707A2"/>
    <w:rsid w:val="1AED11B6"/>
    <w:rsid w:val="1B354706"/>
    <w:rsid w:val="1B3874B6"/>
    <w:rsid w:val="1B48714D"/>
    <w:rsid w:val="1B7C7F1F"/>
    <w:rsid w:val="1B860A5A"/>
    <w:rsid w:val="1B996AA5"/>
    <w:rsid w:val="1BA43055"/>
    <w:rsid w:val="1C065E3D"/>
    <w:rsid w:val="1C3A2747"/>
    <w:rsid w:val="1C8B26DD"/>
    <w:rsid w:val="1C9000F1"/>
    <w:rsid w:val="1C9430CF"/>
    <w:rsid w:val="1CD13A1B"/>
    <w:rsid w:val="1CD75A11"/>
    <w:rsid w:val="1CD87093"/>
    <w:rsid w:val="1CDA7A1D"/>
    <w:rsid w:val="1CDC3985"/>
    <w:rsid w:val="1D8E3BF5"/>
    <w:rsid w:val="1E0B10D2"/>
    <w:rsid w:val="1E3929FE"/>
    <w:rsid w:val="1E42114A"/>
    <w:rsid w:val="1E5C24F2"/>
    <w:rsid w:val="1E5F27A5"/>
    <w:rsid w:val="1E674B72"/>
    <w:rsid w:val="1E6E5AF7"/>
    <w:rsid w:val="1EA0301D"/>
    <w:rsid w:val="1EE372D4"/>
    <w:rsid w:val="1EFF2FFD"/>
    <w:rsid w:val="1F0F015E"/>
    <w:rsid w:val="1F166297"/>
    <w:rsid w:val="1F193549"/>
    <w:rsid w:val="1F1B09D3"/>
    <w:rsid w:val="1F363D57"/>
    <w:rsid w:val="1F514F9E"/>
    <w:rsid w:val="1FF90DC1"/>
    <w:rsid w:val="200A40BD"/>
    <w:rsid w:val="2078418F"/>
    <w:rsid w:val="20C77619"/>
    <w:rsid w:val="20F42A19"/>
    <w:rsid w:val="21155C52"/>
    <w:rsid w:val="213D039F"/>
    <w:rsid w:val="214C2EAD"/>
    <w:rsid w:val="21662263"/>
    <w:rsid w:val="216C51F8"/>
    <w:rsid w:val="21736AC9"/>
    <w:rsid w:val="218A2E91"/>
    <w:rsid w:val="21937C5C"/>
    <w:rsid w:val="21C97F2F"/>
    <w:rsid w:val="21EC5164"/>
    <w:rsid w:val="22287201"/>
    <w:rsid w:val="22AA7723"/>
    <w:rsid w:val="22EA5D72"/>
    <w:rsid w:val="232E744D"/>
    <w:rsid w:val="23761938"/>
    <w:rsid w:val="237750EB"/>
    <w:rsid w:val="23844EAF"/>
    <w:rsid w:val="23B64D8A"/>
    <w:rsid w:val="23BD102E"/>
    <w:rsid w:val="23E95B03"/>
    <w:rsid w:val="24267B5E"/>
    <w:rsid w:val="2452689F"/>
    <w:rsid w:val="24962CBD"/>
    <w:rsid w:val="24CF3471"/>
    <w:rsid w:val="24DC419D"/>
    <w:rsid w:val="24F334BC"/>
    <w:rsid w:val="25331C52"/>
    <w:rsid w:val="255E760A"/>
    <w:rsid w:val="25966454"/>
    <w:rsid w:val="25C345EF"/>
    <w:rsid w:val="25FD78A1"/>
    <w:rsid w:val="2618711F"/>
    <w:rsid w:val="264B6B28"/>
    <w:rsid w:val="26574A1D"/>
    <w:rsid w:val="265A4B14"/>
    <w:rsid w:val="265D0767"/>
    <w:rsid w:val="269268A2"/>
    <w:rsid w:val="26B24802"/>
    <w:rsid w:val="26E171BE"/>
    <w:rsid w:val="26F81A7A"/>
    <w:rsid w:val="27034536"/>
    <w:rsid w:val="27315EDD"/>
    <w:rsid w:val="276B477B"/>
    <w:rsid w:val="2786615E"/>
    <w:rsid w:val="27B03321"/>
    <w:rsid w:val="27B42141"/>
    <w:rsid w:val="27C61E6B"/>
    <w:rsid w:val="27DC076F"/>
    <w:rsid w:val="27E17254"/>
    <w:rsid w:val="27E31A18"/>
    <w:rsid w:val="27EC3243"/>
    <w:rsid w:val="27FC5FE5"/>
    <w:rsid w:val="28574C35"/>
    <w:rsid w:val="298C57B8"/>
    <w:rsid w:val="29BC4639"/>
    <w:rsid w:val="29DE55B2"/>
    <w:rsid w:val="29F75D97"/>
    <w:rsid w:val="2A73664D"/>
    <w:rsid w:val="2A9D41C3"/>
    <w:rsid w:val="2AB25A90"/>
    <w:rsid w:val="2AD778AC"/>
    <w:rsid w:val="2AF72F7F"/>
    <w:rsid w:val="2B011CF0"/>
    <w:rsid w:val="2C582D88"/>
    <w:rsid w:val="2C9730D8"/>
    <w:rsid w:val="2CDE4D77"/>
    <w:rsid w:val="2CE60F00"/>
    <w:rsid w:val="2CFE2B46"/>
    <w:rsid w:val="2D627C89"/>
    <w:rsid w:val="2D80355B"/>
    <w:rsid w:val="2D884934"/>
    <w:rsid w:val="2D960FC5"/>
    <w:rsid w:val="2D9F1EB3"/>
    <w:rsid w:val="2E551123"/>
    <w:rsid w:val="2E7C5268"/>
    <w:rsid w:val="2ED33556"/>
    <w:rsid w:val="2EFF396E"/>
    <w:rsid w:val="2FBE5B11"/>
    <w:rsid w:val="303B78E1"/>
    <w:rsid w:val="305C65F6"/>
    <w:rsid w:val="30863675"/>
    <w:rsid w:val="308E5F8F"/>
    <w:rsid w:val="309F0B7E"/>
    <w:rsid w:val="30B65963"/>
    <w:rsid w:val="311C236D"/>
    <w:rsid w:val="3133401C"/>
    <w:rsid w:val="31352A23"/>
    <w:rsid w:val="31F167D5"/>
    <w:rsid w:val="323E3B70"/>
    <w:rsid w:val="33D970EB"/>
    <w:rsid w:val="345917FC"/>
    <w:rsid w:val="346F31DC"/>
    <w:rsid w:val="34D10C3C"/>
    <w:rsid w:val="34DB111B"/>
    <w:rsid w:val="34E70027"/>
    <w:rsid w:val="351C574F"/>
    <w:rsid w:val="3545797C"/>
    <w:rsid w:val="35521C81"/>
    <w:rsid w:val="35A521B5"/>
    <w:rsid w:val="360F7F39"/>
    <w:rsid w:val="363211D0"/>
    <w:rsid w:val="366E6612"/>
    <w:rsid w:val="36723C5D"/>
    <w:rsid w:val="36790657"/>
    <w:rsid w:val="36794FEB"/>
    <w:rsid w:val="36992AA1"/>
    <w:rsid w:val="36C529B9"/>
    <w:rsid w:val="36CB7A3D"/>
    <w:rsid w:val="37BC3018"/>
    <w:rsid w:val="37DA2C94"/>
    <w:rsid w:val="38201EE0"/>
    <w:rsid w:val="38980079"/>
    <w:rsid w:val="389D72A9"/>
    <w:rsid w:val="38BF20A9"/>
    <w:rsid w:val="38F83518"/>
    <w:rsid w:val="39187511"/>
    <w:rsid w:val="39286212"/>
    <w:rsid w:val="39502EFA"/>
    <w:rsid w:val="3A392194"/>
    <w:rsid w:val="3A570783"/>
    <w:rsid w:val="3ABD5DEE"/>
    <w:rsid w:val="3AF235BE"/>
    <w:rsid w:val="3AFC18E5"/>
    <w:rsid w:val="3B0B0FB2"/>
    <w:rsid w:val="3B246996"/>
    <w:rsid w:val="3B340EB0"/>
    <w:rsid w:val="3B433AD6"/>
    <w:rsid w:val="3B904650"/>
    <w:rsid w:val="3C655B5E"/>
    <w:rsid w:val="3C674EB4"/>
    <w:rsid w:val="3C6B33AC"/>
    <w:rsid w:val="3D083575"/>
    <w:rsid w:val="3D7E2D85"/>
    <w:rsid w:val="3D8112D8"/>
    <w:rsid w:val="3D842C20"/>
    <w:rsid w:val="3D8C2FE2"/>
    <w:rsid w:val="3E1B3CE9"/>
    <w:rsid w:val="3E3A6C9D"/>
    <w:rsid w:val="3ED2499B"/>
    <w:rsid w:val="3F1D443E"/>
    <w:rsid w:val="3F2F0521"/>
    <w:rsid w:val="3F3D4A61"/>
    <w:rsid w:val="3F8C36E0"/>
    <w:rsid w:val="3FC82100"/>
    <w:rsid w:val="404A1DFF"/>
    <w:rsid w:val="404E7AEA"/>
    <w:rsid w:val="40511F6A"/>
    <w:rsid w:val="40C67177"/>
    <w:rsid w:val="40D81232"/>
    <w:rsid w:val="40DC74BD"/>
    <w:rsid w:val="40F247A6"/>
    <w:rsid w:val="40F64AC6"/>
    <w:rsid w:val="415C27D3"/>
    <w:rsid w:val="416768E4"/>
    <w:rsid w:val="41724EB6"/>
    <w:rsid w:val="41792343"/>
    <w:rsid w:val="41EB7ED8"/>
    <w:rsid w:val="427C2688"/>
    <w:rsid w:val="42D40A9C"/>
    <w:rsid w:val="42EA78DF"/>
    <w:rsid w:val="42F26851"/>
    <w:rsid w:val="431C3344"/>
    <w:rsid w:val="43C64DEF"/>
    <w:rsid w:val="43E27F35"/>
    <w:rsid w:val="43EA2FCB"/>
    <w:rsid w:val="44183669"/>
    <w:rsid w:val="44400370"/>
    <w:rsid w:val="447E537D"/>
    <w:rsid w:val="44C85CFE"/>
    <w:rsid w:val="44CF100D"/>
    <w:rsid w:val="44E2459E"/>
    <w:rsid w:val="44EC3BA9"/>
    <w:rsid w:val="44F00FAB"/>
    <w:rsid w:val="44F87A23"/>
    <w:rsid w:val="450373CC"/>
    <w:rsid w:val="450B4C3A"/>
    <w:rsid w:val="451E1247"/>
    <w:rsid w:val="454105AC"/>
    <w:rsid w:val="45622E15"/>
    <w:rsid w:val="45760722"/>
    <w:rsid w:val="45C8527B"/>
    <w:rsid w:val="45DB35CC"/>
    <w:rsid w:val="45E308B8"/>
    <w:rsid w:val="46291D78"/>
    <w:rsid w:val="4642400F"/>
    <w:rsid w:val="465D3E2D"/>
    <w:rsid w:val="466A0E74"/>
    <w:rsid w:val="46A2233C"/>
    <w:rsid w:val="46EF6F8D"/>
    <w:rsid w:val="476F2E19"/>
    <w:rsid w:val="4774766B"/>
    <w:rsid w:val="47EE6A3C"/>
    <w:rsid w:val="48155939"/>
    <w:rsid w:val="48164D90"/>
    <w:rsid w:val="48263290"/>
    <w:rsid w:val="482A48FE"/>
    <w:rsid w:val="488C04ED"/>
    <w:rsid w:val="48B86E06"/>
    <w:rsid w:val="48D54EA4"/>
    <w:rsid w:val="48D779D2"/>
    <w:rsid w:val="48EA0B9D"/>
    <w:rsid w:val="494871CB"/>
    <w:rsid w:val="494B5535"/>
    <w:rsid w:val="49C56FDD"/>
    <w:rsid w:val="49E728CF"/>
    <w:rsid w:val="49E90E64"/>
    <w:rsid w:val="4A4D20BB"/>
    <w:rsid w:val="4AAA76FD"/>
    <w:rsid w:val="4AD27A80"/>
    <w:rsid w:val="4B1E3519"/>
    <w:rsid w:val="4B1F4AA2"/>
    <w:rsid w:val="4B243967"/>
    <w:rsid w:val="4B4437C0"/>
    <w:rsid w:val="4B587167"/>
    <w:rsid w:val="4B681073"/>
    <w:rsid w:val="4B7475CB"/>
    <w:rsid w:val="4B904E59"/>
    <w:rsid w:val="4BAA437A"/>
    <w:rsid w:val="4C281893"/>
    <w:rsid w:val="4C4C3E37"/>
    <w:rsid w:val="4C6C11D8"/>
    <w:rsid w:val="4CE02454"/>
    <w:rsid w:val="4CF136D5"/>
    <w:rsid w:val="4D243AAB"/>
    <w:rsid w:val="4D8A18F1"/>
    <w:rsid w:val="4D9D6AFD"/>
    <w:rsid w:val="4DBD30DF"/>
    <w:rsid w:val="4DF11170"/>
    <w:rsid w:val="4DF90A82"/>
    <w:rsid w:val="4EAC01FC"/>
    <w:rsid w:val="4EC6111F"/>
    <w:rsid w:val="4EF2471C"/>
    <w:rsid w:val="4F0904E2"/>
    <w:rsid w:val="4F617220"/>
    <w:rsid w:val="4FA322F4"/>
    <w:rsid w:val="4FCF43D0"/>
    <w:rsid w:val="4FD82D56"/>
    <w:rsid w:val="501320EF"/>
    <w:rsid w:val="508B63A7"/>
    <w:rsid w:val="50B9275C"/>
    <w:rsid w:val="50E92603"/>
    <w:rsid w:val="51513455"/>
    <w:rsid w:val="5182432B"/>
    <w:rsid w:val="518C4FD1"/>
    <w:rsid w:val="51B4665E"/>
    <w:rsid w:val="51D1585E"/>
    <w:rsid w:val="52F77989"/>
    <w:rsid w:val="53252DC2"/>
    <w:rsid w:val="535A6478"/>
    <w:rsid w:val="53941E14"/>
    <w:rsid w:val="53D275C9"/>
    <w:rsid w:val="53E37265"/>
    <w:rsid w:val="53F2715B"/>
    <w:rsid w:val="54002AB7"/>
    <w:rsid w:val="55132EB9"/>
    <w:rsid w:val="5519490F"/>
    <w:rsid w:val="555C77D4"/>
    <w:rsid w:val="55711454"/>
    <w:rsid w:val="559F302F"/>
    <w:rsid w:val="55E34DF9"/>
    <w:rsid w:val="56520FC4"/>
    <w:rsid w:val="5662475C"/>
    <w:rsid w:val="568E01E7"/>
    <w:rsid w:val="569C69C7"/>
    <w:rsid w:val="5798756F"/>
    <w:rsid w:val="57E96447"/>
    <w:rsid w:val="582125D4"/>
    <w:rsid w:val="58294934"/>
    <w:rsid w:val="58A545FC"/>
    <w:rsid w:val="58B01343"/>
    <w:rsid w:val="58C30DF2"/>
    <w:rsid w:val="58DE5FB9"/>
    <w:rsid w:val="5935301C"/>
    <w:rsid w:val="59434740"/>
    <w:rsid w:val="597F7A1F"/>
    <w:rsid w:val="59931F13"/>
    <w:rsid w:val="59B300EB"/>
    <w:rsid w:val="5A2155AF"/>
    <w:rsid w:val="5A3C1BC8"/>
    <w:rsid w:val="5A8E4C59"/>
    <w:rsid w:val="5ACC2941"/>
    <w:rsid w:val="5AD84127"/>
    <w:rsid w:val="5AED1FEE"/>
    <w:rsid w:val="5B3621B9"/>
    <w:rsid w:val="5B774F1E"/>
    <w:rsid w:val="5B9E59F6"/>
    <w:rsid w:val="5BAD110F"/>
    <w:rsid w:val="5C044F8C"/>
    <w:rsid w:val="5C0C20E9"/>
    <w:rsid w:val="5C1F025F"/>
    <w:rsid w:val="5C3F6A5A"/>
    <w:rsid w:val="5C4C54F6"/>
    <w:rsid w:val="5C535BEA"/>
    <w:rsid w:val="5C5A5AB2"/>
    <w:rsid w:val="5C9E45E6"/>
    <w:rsid w:val="5CAA3CE0"/>
    <w:rsid w:val="5CC05477"/>
    <w:rsid w:val="5CF431AF"/>
    <w:rsid w:val="5D5336FE"/>
    <w:rsid w:val="5D5466DB"/>
    <w:rsid w:val="5D5C3400"/>
    <w:rsid w:val="5E547155"/>
    <w:rsid w:val="5E8545C5"/>
    <w:rsid w:val="5E875C48"/>
    <w:rsid w:val="5E8E6561"/>
    <w:rsid w:val="5EB95F24"/>
    <w:rsid w:val="5EBD5B0D"/>
    <w:rsid w:val="5EC2392C"/>
    <w:rsid w:val="5F177FAC"/>
    <w:rsid w:val="5FA6479E"/>
    <w:rsid w:val="604627A4"/>
    <w:rsid w:val="60974186"/>
    <w:rsid w:val="60C72211"/>
    <w:rsid w:val="60DC2667"/>
    <w:rsid w:val="610D457A"/>
    <w:rsid w:val="6155074D"/>
    <w:rsid w:val="6170330B"/>
    <w:rsid w:val="61785D1C"/>
    <w:rsid w:val="61BC54E3"/>
    <w:rsid w:val="61E43DC6"/>
    <w:rsid w:val="61E63567"/>
    <w:rsid w:val="61ED761E"/>
    <w:rsid w:val="61FF502A"/>
    <w:rsid w:val="622F0AD0"/>
    <w:rsid w:val="62363E8D"/>
    <w:rsid w:val="62392B6E"/>
    <w:rsid w:val="628C1A7E"/>
    <w:rsid w:val="629824E7"/>
    <w:rsid w:val="629B7F14"/>
    <w:rsid w:val="631B3176"/>
    <w:rsid w:val="633345F0"/>
    <w:rsid w:val="63416D0D"/>
    <w:rsid w:val="63643DE8"/>
    <w:rsid w:val="63730E90"/>
    <w:rsid w:val="6391592F"/>
    <w:rsid w:val="63EF5A73"/>
    <w:rsid w:val="64492E8B"/>
    <w:rsid w:val="645456BB"/>
    <w:rsid w:val="64A20A36"/>
    <w:rsid w:val="6508673B"/>
    <w:rsid w:val="650D398F"/>
    <w:rsid w:val="651266A3"/>
    <w:rsid w:val="65433F18"/>
    <w:rsid w:val="654D3B29"/>
    <w:rsid w:val="655D6691"/>
    <w:rsid w:val="655E1D80"/>
    <w:rsid w:val="656A5181"/>
    <w:rsid w:val="659C25B2"/>
    <w:rsid w:val="65BC08CD"/>
    <w:rsid w:val="65EE3966"/>
    <w:rsid w:val="66124991"/>
    <w:rsid w:val="661A2073"/>
    <w:rsid w:val="66302616"/>
    <w:rsid w:val="66981E49"/>
    <w:rsid w:val="669971F6"/>
    <w:rsid w:val="66EF3480"/>
    <w:rsid w:val="671D4A15"/>
    <w:rsid w:val="672C4ADA"/>
    <w:rsid w:val="67501D12"/>
    <w:rsid w:val="67A41618"/>
    <w:rsid w:val="67BD58D5"/>
    <w:rsid w:val="67D14FC3"/>
    <w:rsid w:val="67DE34E5"/>
    <w:rsid w:val="67FE23C3"/>
    <w:rsid w:val="680E1BE7"/>
    <w:rsid w:val="683B67CC"/>
    <w:rsid w:val="6853303E"/>
    <w:rsid w:val="68643E18"/>
    <w:rsid w:val="6864567B"/>
    <w:rsid w:val="68BC3AE6"/>
    <w:rsid w:val="68CA5DFD"/>
    <w:rsid w:val="68CD70BD"/>
    <w:rsid w:val="68F14D31"/>
    <w:rsid w:val="68FD6EDB"/>
    <w:rsid w:val="691E4B8F"/>
    <w:rsid w:val="698C4605"/>
    <w:rsid w:val="69992CD3"/>
    <w:rsid w:val="6A5F280D"/>
    <w:rsid w:val="6A6D30DB"/>
    <w:rsid w:val="6AA466B3"/>
    <w:rsid w:val="6B5C220A"/>
    <w:rsid w:val="6BA2105F"/>
    <w:rsid w:val="6BA42B26"/>
    <w:rsid w:val="6BCB3485"/>
    <w:rsid w:val="6BFB7EDE"/>
    <w:rsid w:val="6BFF25A9"/>
    <w:rsid w:val="6C165CDE"/>
    <w:rsid w:val="6C337B13"/>
    <w:rsid w:val="6C661135"/>
    <w:rsid w:val="6CC72D75"/>
    <w:rsid w:val="6CDF26D4"/>
    <w:rsid w:val="6CED0FA8"/>
    <w:rsid w:val="6D1C60F5"/>
    <w:rsid w:val="6D5E0586"/>
    <w:rsid w:val="6D65513D"/>
    <w:rsid w:val="6D782163"/>
    <w:rsid w:val="6D7C5FAF"/>
    <w:rsid w:val="6DB3074D"/>
    <w:rsid w:val="6DD3343C"/>
    <w:rsid w:val="6DF64397"/>
    <w:rsid w:val="6DFF3A4C"/>
    <w:rsid w:val="6E906D9A"/>
    <w:rsid w:val="6E9379BD"/>
    <w:rsid w:val="6F1E1C4F"/>
    <w:rsid w:val="6F641551"/>
    <w:rsid w:val="6F9925DA"/>
    <w:rsid w:val="6FEA7CEF"/>
    <w:rsid w:val="70174B59"/>
    <w:rsid w:val="70742A08"/>
    <w:rsid w:val="70CE010B"/>
    <w:rsid w:val="70FA2932"/>
    <w:rsid w:val="71117BD9"/>
    <w:rsid w:val="718B3326"/>
    <w:rsid w:val="71CE6E8A"/>
    <w:rsid w:val="71E206AF"/>
    <w:rsid w:val="72040C3D"/>
    <w:rsid w:val="7227160A"/>
    <w:rsid w:val="722772A8"/>
    <w:rsid w:val="725A4470"/>
    <w:rsid w:val="72A65D42"/>
    <w:rsid w:val="72D64CDE"/>
    <w:rsid w:val="72FC6355"/>
    <w:rsid w:val="73031A98"/>
    <w:rsid w:val="731B125E"/>
    <w:rsid w:val="73527862"/>
    <w:rsid w:val="73833F52"/>
    <w:rsid w:val="73943073"/>
    <w:rsid w:val="73C533C9"/>
    <w:rsid w:val="747B2F53"/>
    <w:rsid w:val="74D72877"/>
    <w:rsid w:val="74DE57BE"/>
    <w:rsid w:val="75013FAB"/>
    <w:rsid w:val="753B7969"/>
    <w:rsid w:val="75791B3A"/>
    <w:rsid w:val="757D356D"/>
    <w:rsid w:val="75AB44BA"/>
    <w:rsid w:val="75CD4430"/>
    <w:rsid w:val="75D704C8"/>
    <w:rsid w:val="75D74944"/>
    <w:rsid w:val="75F32519"/>
    <w:rsid w:val="764D2EB9"/>
    <w:rsid w:val="76AC673B"/>
    <w:rsid w:val="77617526"/>
    <w:rsid w:val="776442F1"/>
    <w:rsid w:val="77A459CB"/>
    <w:rsid w:val="77A56309"/>
    <w:rsid w:val="77C21357"/>
    <w:rsid w:val="782146A4"/>
    <w:rsid w:val="783B1183"/>
    <w:rsid w:val="78452C9F"/>
    <w:rsid w:val="78695CE5"/>
    <w:rsid w:val="791C0AA9"/>
    <w:rsid w:val="79581D85"/>
    <w:rsid w:val="79C11BD2"/>
    <w:rsid w:val="79ED0BD7"/>
    <w:rsid w:val="79EF4B16"/>
    <w:rsid w:val="79F70A76"/>
    <w:rsid w:val="7A0F6A75"/>
    <w:rsid w:val="7A116118"/>
    <w:rsid w:val="7A1D2784"/>
    <w:rsid w:val="7A3A47E9"/>
    <w:rsid w:val="7A4264E4"/>
    <w:rsid w:val="7A6C3BAA"/>
    <w:rsid w:val="7A6F0D4B"/>
    <w:rsid w:val="7A793242"/>
    <w:rsid w:val="7A914C75"/>
    <w:rsid w:val="7AE067EB"/>
    <w:rsid w:val="7AEF6DC1"/>
    <w:rsid w:val="7B302EF4"/>
    <w:rsid w:val="7B47309D"/>
    <w:rsid w:val="7B643952"/>
    <w:rsid w:val="7C16122A"/>
    <w:rsid w:val="7C16459E"/>
    <w:rsid w:val="7C5864A8"/>
    <w:rsid w:val="7C5F7DAC"/>
    <w:rsid w:val="7C6D5D1C"/>
    <w:rsid w:val="7C7C50AF"/>
    <w:rsid w:val="7CA81F4A"/>
    <w:rsid w:val="7CE552A0"/>
    <w:rsid w:val="7D1C3409"/>
    <w:rsid w:val="7D6E26DE"/>
    <w:rsid w:val="7DAA1B57"/>
    <w:rsid w:val="7DD1780B"/>
    <w:rsid w:val="7E1243D8"/>
    <w:rsid w:val="7E521391"/>
    <w:rsid w:val="7ED00D12"/>
    <w:rsid w:val="7F225681"/>
    <w:rsid w:val="7F352E40"/>
    <w:rsid w:val="7F6C7A6B"/>
    <w:rsid w:val="7F721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lang w:val="en-US" w:eastAsia="zh-CN" w:bidi="ar-SA"/>
    </w:rPr>
  </w:style>
  <w:style w:type="paragraph" w:styleId="2">
    <w:name w:val="heading 1"/>
    <w:basedOn w:val="1"/>
    <w:next w:val="1"/>
    <w:link w:val="77"/>
    <w:qFormat/>
    <w:uiPriority w:val="0"/>
    <w:pPr>
      <w:widowControl/>
      <w:tabs>
        <w:tab w:val="right" w:leader="dot" w:pos="9232"/>
      </w:tabs>
      <w:jc w:val="left"/>
      <w:outlineLvl w:val="0"/>
    </w:pPr>
    <w:rPr>
      <w:rFonts w:ascii="Times New Roman" w:hAnsi="Times New Roman" w:eastAsia="宋体"/>
      <w:b/>
      <w:bCs/>
      <w:color w:val="000000"/>
      <w:sz w:val="32"/>
    </w:rPr>
  </w:style>
  <w:style w:type="paragraph" w:styleId="3">
    <w:name w:val="heading 2"/>
    <w:basedOn w:val="1"/>
    <w:next w:val="1"/>
    <w:qFormat/>
    <w:uiPriority w:val="0"/>
    <w:pPr>
      <w:keepNext/>
      <w:keepLines/>
      <w:spacing w:after="0" w:afterLines="0" w:line="460" w:lineRule="exact"/>
      <w:ind w:firstLine="964" w:firstLineChars="200"/>
      <w:outlineLvl w:val="1"/>
    </w:pPr>
    <w:rPr>
      <w:rFonts w:ascii="宋体" w:hAnsi="宋体" w:eastAsia="宋体"/>
      <w:b/>
      <w:sz w:val="21"/>
      <w:szCs w:val="30"/>
    </w:rPr>
  </w:style>
  <w:style w:type="paragraph" w:styleId="4">
    <w:name w:val="heading 3"/>
    <w:basedOn w:val="1"/>
    <w:next w:val="1"/>
    <w:qFormat/>
    <w:uiPriority w:val="0"/>
    <w:pPr>
      <w:keepNext/>
      <w:keepLines/>
      <w:spacing w:after="0" w:afterLines="0" w:line="460" w:lineRule="exact"/>
      <w:jc w:val="left"/>
      <w:outlineLvl w:val="2"/>
    </w:pPr>
    <w:rPr>
      <w:b/>
      <w:sz w:val="24"/>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paragraph" w:styleId="6">
    <w:name w:val="heading 6"/>
    <w:basedOn w:val="1"/>
    <w:next w:val="1"/>
    <w:qFormat/>
    <w:uiPriority w:val="1"/>
    <w:pPr>
      <w:ind w:left="586"/>
      <w:outlineLvl w:val="5"/>
    </w:pPr>
    <w:rPr>
      <w:rFonts w:ascii="宋体" w:hAnsi="宋体" w:eastAsia="宋体" w:cs="宋体"/>
      <w:b/>
      <w:bCs/>
      <w:sz w:val="24"/>
      <w:szCs w:val="24"/>
      <w:lang w:val="zh-CN" w:eastAsia="zh-CN" w:bidi="zh-CN"/>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 w:val="21"/>
    </w:rPr>
  </w:style>
  <w:style w:type="paragraph" w:styleId="8">
    <w:name w:val="caption"/>
    <w:basedOn w:val="1"/>
    <w:next w:val="1"/>
    <w:qFormat/>
    <w:uiPriority w:val="0"/>
    <w:rPr>
      <w:rFonts w:ascii="Cambria" w:hAnsi="Cambria" w:eastAsia="黑体"/>
      <w:sz w:val="20"/>
      <w:szCs w:val="20"/>
    </w:rPr>
  </w:style>
  <w:style w:type="paragraph" w:styleId="9">
    <w:name w:val="annotation text"/>
    <w:basedOn w:val="1"/>
    <w:qFormat/>
    <w:uiPriority w:val="99"/>
    <w:pPr>
      <w:jc w:val="left"/>
    </w:pPr>
  </w:style>
  <w:style w:type="paragraph" w:styleId="10">
    <w:name w:val="Body Text 3"/>
    <w:basedOn w:val="1"/>
    <w:qFormat/>
    <w:uiPriority w:val="0"/>
    <w:pPr>
      <w:spacing w:after="120"/>
    </w:pPr>
    <w:rPr>
      <w:sz w:val="16"/>
      <w:szCs w:val="16"/>
    </w:rPr>
  </w:style>
  <w:style w:type="paragraph" w:styleId="11">
    <w:name w:val="Body Text"/>
    <w:basedOn w:val="1"/>
    <w:next w:val="12"/>
    <w:qFormat/>
    <w:uiPriority w:val="0"/>
    <w:pPr>
      <w:spacing w:after="120" w:afterLines="0" w:afterAutospacing="0"/>
    </w:pPr>
    <w:rPr>
      <w:sz w:val="21"/>
    </w:rPr>
  </w:style>
  <w:style w:type="paragraph" w:styleId="12">
    <w:name w:val="Body Text 2"/>
    <w:basedOn w:val="1"/>
    <w:next w:val="1"/>
    <w:qFormat/>
    <w:uiPriority w:val="0"/>
    <w:pPr>
      <w:spacing w:after="120" w:afterLines="0" w:afterAutospacing="0" w:line="480" w:lineRule="auto"/>
    </w:pPr>
    <w:rPr>
      <w:sz w:val="21"/>
    </w:rPr>
  </w:style>
  <w:style w:type="paragraph" w:styleId="13">
    <w:name w:val="Body Text Indent"/>
    <w:basedOn w:val="1"/>
    <w:next w:val="14"/>
    <w:qFormat/>
    <w:uiPriority w:val="0"/>
    <w:pPr>
      <w:spacing w:line="312" w:lineRule="auto"/>
      <w:ind w:firstLine="735" w:firstLineChars="245"/>
    </w:p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rPr>
      <w:sz w:val="21"/>
      <w:szCs w:val="24"/>
    </w:rPr>
  </w:style>
  <w:style w:type="paragraph" w:styleId="16">
    <w:name w:val="Plain Text"/>
    <w:basedOn w:val="1"/>
    <w:qFormat/>
    <w:uiPriority w:val="0"/>
    <w:rPr>
      <w:rFonts w:ascii="宋体" w:hAnsi="Courier New" w:cs="Courier New"/>
      <w:szCs w:val="21"/>
    </w:rPr>
  </w:style>
  <w:style w:type="paragraph" w:styleId="17">
    <w:name w:val="footer"/>
    <w:basedOn w:val="1"/>
    <w:next w:val="1"/>
    <w:qFormat/>
    <w:uiPriority w:val="99"/>
    <w:pPr>
      <w:tabs>
        <w:tab w:val="center" w:pos="4153"/>
        <w:tab w:val="right" w:pos="8306"/>
      </w:tabs>
      <w:snapToGrid w:val="0"/>
      <w:jc w:val="left"/>
    </w:pPr>
    <w:rPr>
      <w:sz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39"/>
  </w:style>
  <w:style w:type="paragraph" w:styleId="20">
    <w:name w:val="footnote text"/>
    <w:basedOn w:val="1"/>
    <w:qFormat/>
    <w:uiPriority w:val="0"/>
    <w:pPr>
      <w:snapToGrid w:val="0"/>
      <w:jc w:val="left"/>
    </w:pPr>
    <w:rPr>
      <w:sz w:val="18"/>
      <w:szCs w:val="18"/>
    </w:rPr>
  </w:style>
  <w:style w:type="paragraph" w:styleId="2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2">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3">
    <w:name w:val="Title"/>
    <w:basedOn w:val="1"/>
    <w:next w:val="1"/>
    <w:qFormat/>
    <w:uiPriority w:val="0"/>
    <w:pPr>
      <w:spacing w:before="240" w:beforeLines="0" w:after="60" w:afterLines="0"/>
      <w:jc w:val="center"/>
      <w:outlineLvl w:val="0"/>
    </w:pPr>
    <w:rPr>
      <w:rFonts w:ascii="Cambria" w:hAnsi="Cambria"/>
      <w:b/>
      <w:bCs/>
      <w:sz w:val="32"/>
      <w:szCs w:val="32"/>
    </w:rPr>
  </w:style>
  <w:style w:type="paragraph" w:styleId="24">
    <w:name w:val="Body Text First Indent"/>
    <w:basedOn w:val="11"/>
    <w:next w:val="25"/>
    <w:qFormat/>
    <w:uiPriority w:val="0"/>
    <w:pPr>
      <w:ind w:firstLine="420" w:firstLineChars="100"/>
    </w:pPr>
  </w:style>
  <w:style w:type="paragraph" w:styleId="25">
    <w:name w:val="Body Text First Indent 2"/>
    <w:basedOn w:val="13"/>
    <w:next w:val="1"/>
    <w:qFormat/>
    <w:uiPriority w:val="0"/>
    <w:pPr>
      <w:spacing w:after="120" w:afterLines="0" w:line="240" w:lineRule="auto"/>
      <w:ind w:left="420" w:leftChars="200"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FollowedHyperlink"/>
    <w:basedOn w:val="28"/>
    <w:uiPriority w:val="0"/>
    <w:rPr>
      <w:color w:val="800080"/>
      <w:u w:val="none"/>
    </w:rPr>
  </w:style>
  <w:style w:type="character" w:styleId="32">
    <w:name w:val="Emphasis"/>
    <w:basedOn w:val="28"/>
    <w:qFormat/>
    <w:uiPriority w:val="0"/>
    <w:rPr>
      <w:b/>
      <w:bCs/>
      <w:color w:val="333333"/>
      <w:shd w:val="clear" w:fill="FFFFFF"/>
    </w:rPr>
  </w:style>
  <w:style w:type="character" w:styleId="33">
    <w:name w:val="HTML Definition"/>
    <w:basedOn w:val="28"/>
    <w:uiPriority w:val="0"/>
  </w:style>
  <w:style w:type="character" w:styleId="34">
    <w:name w:val="HTML Typewriter"/>
    <w:basedOn w:val="28"/>
    <w:qFormat/>
    <w:uiPriority w:val="0"/>
    <w:rPr>
      <w:rFonts w:hint="default" w:ascii="monospace" w:hAnsi="monospace" w:eastAsia="monospace" w:cs="monospace"/>
      <w:sz w:val="20"/>
    </w:rPr>
  </w:style>
  <w:style w:type="character" w:styleId="35">
    <w:name w:val="HTML Acronym"/>
    <w:basedOn w:val="28"/>
    <w:uiPriority w:val="0"/>
  </w:style>
  <w:style w:type="character" w:styleId="36">
    <w:name w:val="HTML Variable"/>
    <w:basedOn w:val="28"/>
    <w:uiPriority w:val="0"/>
  </w:style>
  <w:style w:type="character" w:styleId="37">
    <w:name w:val="Hyperlink"/>
    <w:basedOn w:val="28"/>
    <w:uiPriority w:val="0"/>
    <w:rPr>
      <w:color w:val="0000FF"/>
      <w:u w:val="none"/>
    </w:rPr>
  </w:style>
  <w:style w:type="character" w:styleId="38">
    <w:name w:val="HTML Code"/>
    <w:basedOn w:val="28"/>
    <w:uiPriority w:val="0"/>
    <w:rPr>
      <w:rFonts w:hint="default" w:ascii="monospace" w:hAnsi="monospace" w:eastAsia="monospace" w:cs="monospace"/>
      <w:sz w:val="20"/>
    </w:rPr>
  </w:style>
  <w:style w:type="character" w:styleId="39">
    <w:name w:val="HTML Cite"/>
    <w:basedOn w:val="28"/>
    <w:uiPriority w:val="0"/>
  </w:style>
  <w:style w:type="character" w:styleId="40">
    <w:name w:val="HTML Keyboard"/>
    <w:basedOn w:val="28"/>
    <w:uiPriority w:val="0"/>
    <w:rPr>
      <w:rFonts w:ascii="monospace" w:hAnsi="monospace" w:eastAsia="monospace" w:cs="monospace"/>
      <w:sz w:val="20"/>
    </w:rPr>
  </w:style>
  <w:style w:type="character" w:styleId="41">
    <w:name w:val="HTML Sample"/>
    <w:basedOn w:val="28"/>
    <w:uiPriority w:val="0"/>
    <w:rPr>
      <w:rFonts w:hint="default" w:ascii="monospace" w:hAnsi="monospace" w:eastAsia="monospace" w:cs="monospace"/>
    </w:rPr>
  </w:style>
  <w:style w:type="paragraph" w:customStyle="1" w:styleId="42">
    <w:name w:val="BodyText1I"/>
    <w:basedOn w:val="43"/>
    <w:next w:val="1"/>
    <w:qFormat/>
    <w:uiPriority w:val="0"/>
    <w:pPr>
      <w:ind w:firstLine="420" w:firstLineChars="100"/>
    </w:pPr>
    <w:rPr>
      <w:sz w:val="21"/>
    </w:rPr>
  </w:style>
  <w:style w:type="paragraph" w:customStyle="1" w:styleId="43">
    <w:name w:val="BodyText"/>
    <w:basedOn w:val="1"/>
    <w:next w:val="44"/>
    <w:qFormat/>
    <w:uiPriority w:val="0"/>
    <w:pPr>
      <w:spacing w:line="360" w:lineRule="auto"/>
      <w:textAlignment w:val="baseline"/>
    </w:pPr>
    <w:rPr>
      <w:sz w:val="24"/>
      <w:szCs w:val="24"/>
    </w:rPr>
  </w:style>
  <w:style w:type="paragraph" w:customStyle="1" w:styleId="44">
    <w:name w:val="UserStyle_25"/>
    <w:basedOn w:val="45"/>
    <w:next w:val="46"/>
    <w:qFormat/>
    <w:uiPriority w:val="0"/>
    <w:pPr>
      <w:spacing w:before="100" w:beforeAutospacing="1" w:after="100" w:afterAutospacing="1"/>
      <w:jc w:val="left"/>
    </w:pPr>
    <w:rPr>
      <w:rFonts w:ascii="宋体" w:hAnsi="宋体"/>
      <w:kern w:val="0"/>
      <w:sz w:val="18"/>
      <w:szCs w:val="18"/>
    </w:rPr>
  </w:style>
  <w:style w:type="paragraph" w:customStyle="1" w:styleId="45">
    <w:name w:val="UserStyle_22"/>
    <w:next w:val="42"/>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46">
    <w:name w:val="UserStyle_29"/>
    <w:next w:val="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47">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8">
    <w:name w:val="style4"/>
    <w:basedOn w:val="49"/>
    <w:next w:val="5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49">
    <w:name w:val="正文1"/>
    <w:basedOn w:val="1"/>
    <w:next w:val="50"/>
    <w:qFormat/>
    <w:uiPriority w:val="0"/>
    <w:pPr>
      <w:adjustRightInd w:val="0"/>
      <w:spacing w:line="360" w:lineRule="atLeast"/>
      <w:jc w:val="left"/>
      <w:textAlignment w:val="baseline"/>
    </w:pPr>
    <w:rPr>
      <w:rFonts w:ascii="宋体"/>
      <w:kern w:val="0"/>
      <w:sz w:val="24"/>
    </w:rPr>
  </w:style>
  <w:style w:type="paragraph" w:customStyle="1" w:styleId="50">
    <w:name w:val="正文文本1"/>
    <w:basedOn w:val="49"/>
    <w:next w:val="48"/>
    <w:qFormat/>
    <w:uiPriority w:val="0"/>
    <w:pPr>
      <w:spacing w:after="120"/>
    </w:pPr>
    <w:rPr>
      <w:rFonts w:ascii="Times New Roman" w:hAnsi="Times New Roman" w:eastAsia="宋体" w:cs="Times New Roman"/>
      <w:kern w:val="0"/>
      <w:sz w:val="20"/>
    </w:rPr>
  </w:style>
  <w:style w:type="paragraph" w:customStyle="1" w:styleId="51">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无间隔1"/>
    <w:basedOn w:val="1"/>
    <w:qFormat/>
    <w:uiPriority w:val="1"/>
    <w:pPr>
      <w:spacing w:line="400" w:lineRule="exact"/>
    </w:pPr>
  </w:style>
  <w:style w:type="paragraph" w:customStyle="1" w:styleId="5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首行缩进"/>
    <w:basedOn w:val="1"/>
    <w:qFormat/>
    <w:uiPriority w:val="0"/>
    <w:pPr>
      <w:spacing w:line="360" w:lineRule="auto"/>
      <w:ind w:firstLine="480" w:firstLineChars="200"/>
      <w:jc w:val="left"/>
    </w:pPr>
    <w:rPr>
      <w:rFonts w:ascii="宋体" w:hAnsi="宋体"/>
      <w:sz w:val="24"/>
    </w:rPr>
  </w:style>
  <w:style w:type="paragraph" w:customStyle="1" w:styleId="55">
    <w:name w:val="正文_0"/>
    <w:next w:val="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w:basedOn w:val="1"/>
    <w:next w:val="1"/>
    <w:qFormat/>
    <w:uiPriority w:val="0"/>
    <w:pPr>
      <w:spacing w:line="360" w:lineRule="auto"/>
      <w:ind w:firstLine="200" w:firstLineChars="200"/>
    </w:pPr>
    <w:rPr>
      <w:rFonts w:hint="eastAsia" w:ascii="宋体" w:hAnsi="宋体" w:eastAsia="宋体" w:cs="Times New Roman"/>
      <w:kern w:val="0"/>
      <w:sz w:val="20"/>
      <w:szCs w:val="24"/>
    </w:rPr>
  </w:style>
  <w:style w:type="paragraph" w:styleId="57">
    <w:name w:val="List Paragraph"/>
    <w:basedOn w:val="1"/>
    <w:qFormat/>
    <w:uiPriority w:val="0"/>
    <w:pPr>
      <w:ind w:firstLine="420" w:firstLineChars="200"/>
    </w:pPr>
    <w:rPr>
      <w:sz w:val="21"/>
      <w:szCs w:val="24"/>
    </w:rPr>
  </w:style>
  <w:style w:type="paragraph" w:customStyle="1" w:styleId="58">
    <w:name w:val="招标正文"/>
    <w:basedOn w:val="1"/>
    <w:qFormat/>
    <w:uiPriority w:val="0"/>
    <w:pPr>
      <w:spacing w:line="360" w:lineRule="auto"/>
      <w:ind w:firstLine="480" w:firstLineChars="200"/>
    </w:pPr>
    <w:rPr>
      <w:rFonts w:ascii="宋体" w:hAnsi="宋体"/>
      <w:sz w:val="24"/>
      <w:szCs w:val="24"/>
    </w:rPr>
  </w:style>
  <w:style w:type="paragraph" w:customStyle="1" w:styleId="59">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60">
    <w:name w:val="JSFA 模板正文"/>
    <w:basedOn w:val="1"/>
    <w:qFormat/>
    <w:uiPriority w:val="0"/>
    <w:pPr>
      <w:widowControl/>
      <w:spacing w:line="360" w:lineRule="auto"/>
      <w:ind w:firstLine="200" w:firstLineChars="200"/>
      <w:jc w:val="left"/>
    </w:pPr>
    <w:rPr>
      <w:rFonts w:ascii="Times New Roman" w:hAnsi="Times New Roman"/>
      <w:sz w:val="24"/>
      <w:szCs w:val="24"/>
    </w:rPr>
  </w:style>
  <w:style w:type="paragraph" w:customStyle="1" w:styleId="61">
    <w:name w:val="BodyText1I2"/>
    <w:basedOn w:val="62"/>
    <w:next w:val="63"/>
    <w:qFormat/>
    <w:uiPriority w:val="0"/>
    <w:pPr>
      <w:ind w:firstLine="420" w:firstLineChars="200"/>
    </w:pPr>
    <w:rPr>
      <w:rFonts w:ascii="Calibri" w:hAnsi="Calibri" w:eastAsia="楷体_GB2312"/>
      <w:kern w:val="44"/>
      <w:sz w:val="44"/>
    </w:rPr>
  </w:style>
  <w:style w:type="paragraph" w:customStyle="1" w:styleId="62">
    <w:name w:val="BodyTextIndent"/>
    <w:basedOn w:val="1"/>
    <w:qFormat/>
    <w:uiPriority w:val="0"/>
    <w:pPr>
      <w:spacing w:after="120"/>
      <w:ind w:left="420" w:leftChars="200"/>
    </w:pPr>
    <w:rPr>
      <w:rFonts w:ascii="Times New Roman" w:hAnsi="Times New Roman"/>
      <w:kern w:val="0"/>
      <w:sz w:val="20"/>
    </w:rPr>
  </w:style>
  <w:style w:type="paragraph" w:customStyle="1" w:styleId="63">
    <w:name w:val="UserStyle_136"/>
    <w:basedOn w:val="1"/>
    <w:next w:val="1"/>
    <w:qFormat/>
    <w:uiPriority w:val="0"/>
    <w:pPr>
      <w:spacing w:after="120" w:line="320" w:lineRule="atLeast"/>
      <w:ind w:firstLine="200" w:firstLineChars="200"/>
    </w:pPr>
    <w:rPr>
      <w:rFonts w:ascii="Arial" w:hAnsi="Arial"/>
      <w:kern w:val="0"/>
    </w:rPr>
  </w:style>
  <w:style w:type="paragraph" w:customStyle="1" w:styleId="64">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5">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66">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68">
    <w:name w:val="1正文"/>
    <w:basedOn w:val="1"/>
    <w:qFormat/>
    <w:uiPriority w:val="0"/>
    <w:pPr>
      <w:spacing w:line="360" w:lineRule="auto"/>
      <w:ind w:firstLine="200" w:firstLineChars="200"/>
    </w:pPr>
    <w:rPr>
      <w:sz w:val="24"/>
      <w:szCs w:val="24"/>
    </w:rPr>
  </w:style>
  <w:style w:type="paragraph" w:customStyle="1" w:styleId="69">
    <w:name w:val="样式"/>
    <w:basedOn w:val="1"/>
    <w:qFormat/>
    <w:uiPriority w:val="0"/>
    <w:pPr>
      <w:autoSpaceDE w:val="0"/>
      <w:autoSpaceDN w:val="0"/>
      <w:adjustRightInd w:val="0"/>
      <w:jc w:val="left"/>
    </w:pPr>
    <w:rPr>
      <w:rFonts w:ascii="宋体" w:hAnsi="宋体" w:cs="宋体"/>
      <w:kern w:val="0"/>
      <w:sz w:val="24"/>
      <w:szCs w:val="24"/>
    </w:rPr>
  </w:style>
  <w:style w:type="paragraph" w:customStyle="1" w:styleId="70">
    <w:name w:val="正文_1"/>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customStyle="1" w:styleId="71">
    <w:name w:val="列出段落1"/>
    <w:qFormat/>
    <w:uiPriority w:val="34"/>
    <w:pPr>
      <w:widowControl w:val="0"/>
      <w:suppressAutoHyphens/>
      <w:spacing w:after="200" w:line="276" w:lineRule="auto"/>
      <w:ind w:left="720"/>
    </w:pPr>
    <w:rPr>
      <w:rFonts w:ascii="Calibri" w:hAnsi="Calibri" w:eastAsia="宋体" w:cs="Times New Roman"/>
      <w:kern w:val="1"/>
      <w:sz w:val="22"/>
      <w:szCs w:val="22"/>
      <w:lang w:val="en-US" w:eastAsia="ar-SA" w:bidi="ar-SA"/>
    </w:rPr>
  </w:style>
  <w:style w:type="paragraph" w:customStyle="1" w:styleId="72">
    <w:name w:val="Body text|1"/>
    <w:basedOn w:val="1"/>
    <w:qFormat/>
    <w:uiPriority w:val="0"/>
    <w:pPr>
      <w:widowControl w:val="0"/>
      <w:shd w:val="clear" w:color="auto" w:fill="auto"/>
      <w:spacing w:line="360" w:lineRule="auto"/>
      <w:ind w:firstLine="400"/>
    </w:pPr>
    <w:rPr>
      <w:rFonts w:ascii="MingLiU" w:hAnsi="MingLiU" w:eastAsia="MingLiU" w:cs="MingLiU"/>
      <w:sz w:val="19"/>
      <w:szCs w:val="19"/>
      <w:u w:val="none"/>
      <w:shd w:val="clear" w:color="auto" w:fill="auto"/>
      <w:lang w:val="zh-TW" w:eastAsia="zh-TW" w:bidi="zh-TW"/>
    </w:rPr>
  </w:style>
  <w:style w:type="paragraph" w:customStyle="1" w:styleId="73">
    <w:name w:val="null3"/>
    <w:hidden/>
    <w:qFormat/>
    <w:uiPriority w:val="0"/>
    <w:rPr>
      <w:rFonts w:hint="eastAsia" w:asciiTheme="minorHAnsi" w:hAnsiTheme="minorHAnsi" w:eastAsiaTheme="minorEastAsia" w:cstheme="minorBidi"/>
      <w:lang w:val="en-US" w:eastAsia="zh-Hans"/>
    </w:rPr>
  </w:style>
  <w:style w:type="paragraph" w:customStyle="1" w:styleId="74">
    <w:name w:val="列表段落1"/>
    <w:basedOn w:val="1"/>
    <w:qFormat/>
    <w:uiPriority w:val="34"/>
    <w:pPr>
      <w:ind w:firstLine="420" w:firstLineChars="200"/>
    </w:pPr>
  </w:style>
  <w:style w:type="character" w:customStyle="1" w:styleId="75">
    <w:name w:val="font91"/>
    <w:basedOn w:val="28"/>
    <w:qFormat/>
    <w:uiPriority w:val="0"/>
    <w:rPr>
      <w:rFonts w:hint="eastAsia" w:ascii="宋体" w:hAnsi="宋体" w:eastAsia="宋体" w:cs="宋体"/>
      <w:color w:val="FF0000"/>
      <w:sz w:val="21"/>
      <w:szCs w:val="21"/>
      <w:u w:val="none"/>
    </w:rPr>
  </w:style>
  <w:style w:type="character" w:customStyle="1" w:styleId="76">
    <w:name w:val="font81"/>
    <w:basedOn w:val="28"/>
    <w:qFormat/>
    <w:uiPriority w:val="0"/>
    <w:rPr>
      <w:rFonts w:hint="default" w:ascii="Calibri" w:hAnsi="Calibri" w:cs="Calibri"/>
      <w:color w:val="FF0000"/>
      <w:sz w:val="21"/>
      <w:szCs w:val="21"/>
      <w:u w:val="none"/>
    </w:rPr>
  </w:style>
  <w:style w:type="character" w:customStyle="1" w:styleId="77">
    <w:name w:val="标题 1 Char"/>
    <w:link w:val="2"/>
    <w:qFormat/>
    <w:uiPriority w:val="0"/>
    <w:rPr>
      <w:rFonts w:ascii="Times New Roman" w:hAnsi="Times New Roman" w:eastAsia="宋体" w:cs="Times New Roman"/>
      <w:b/>
      <w:bCs/>
      <w:color w:val="000000"/>
      <w:kern w:val="2"/>
      <w:sz w:val="32"/>
      <w:lang w:val="en-US" w:eastAsia="zh-CN" w:bidi="ar-SA"/>
    </w:rPr>
  </w:style>
  <w:style w:type="character" w:customStyle="1" w:styleId="78">
    <w:name w:val="font61"/>
    <w:basedOn w:val="28"/>
    <w:qFormat/>
    <w:uiPriority w:val="0"/>
    <w:rPr>
      <w:rFonts w:hint="default" w:ascii="Arial" w:hAnsi="Arial" w:cs="Arial"/>
      <w:color w:val="000000"/>
      <w:sz w:val="26"/>
      <w:szCs w:val="26"/>
      <w:u w:val="none"/>
    </w:rPr>
  </w:style>
  <w:style w:type="character" w:customStyle="1" w:styleId="79">
    <w:name w:val="font41"/>
    <w:basedOn w:val="28"/>
    <w:qFormat/>
    <w:uiPriority w:val="0"/>
    <w:rPr>
      <w:rFonts w:hint="eastAsia" w:ascii="宋体" w:hAnsi="宋体" w:eastAsia="宋体" w:cs="宋体"/>
      <w:color w:val="000000"/>
      <w:sz w:val="26"/>
      <w:szCs w:val="26"/>
      <w:u w:val="none"/>
    </w:rPr>
  </w:style>
  <w:style w:type="paragraph" w:customStyle="1" w:styleId="80">
    <w:name w:val="无间隔11"/>
    <w:qFormat/>
    <w:uiPriority w:val="0"/>
    <w:pPr>
      <w:widowControl w:val="0"/>
    </w:pPr>
    <w:rPr>
      <w:rFonts w:ascii="hakuyoxingshu7000" w:hAnsi="hakuyoxingshu7000" w:eastAsia="hakuyoxingshu7000" w:cs="Times New Roman"/>
      <w:color w:val="000000"/>
      <w:sz w:val="24"/>
      <w:lang w:val="zh-CN" w:eastAsia="zh-CN" w:bidi="ar-SA"/>
    </w:rPr>
  </w:style>
  <w:style w:type="paragraph" w:customStyle="1" w:styleId="81">
    <w:name w:val="无间隔111"/>
    <w:qFormat/>
    <w:uiPriority w:val="0"/>
    <w:pPr>
      <w:widowControl w:val="0"/>
    </w:pPr>
    <w:rPr>
      <w:rFonts w:ascii="hakuyoxingshu7000" w:hAnsi="hakuyoxingshu7000" w:eastAsia="hakuyoxingshu7000" w:cs="Times New Roman"/>
      <w:color w:val="000000"/>
      <w:sz w:val="24"/>
      <w:lang w:val="zh-CN" w:eastAsia="zh-CN" w:bidi="ar-SA"/>
    </w:rPr>
  </w:style>
  <w:style w:type="character" w:customStyle="1" w:styleId="82">
    <w:name w:val="font11"/>
    <w:basedOn w:val="28"/>
    <w:qFormat/>
    <w:uiPriority w:val="0"/>
    <w:rPr>
      <w:rFonts w:ascii="宋体" w:hAnsi="宋体" w:eastAsia="宋体" w:cs="宋体"/>
      <w:color w:val="000000"/>
      <w:sz w:val="16"/>
      <w:szCs w:val="16"/>
      <w:u w:val="none"/>
    </w:rPr>
  </w:style>
  <w:style w:type="character" w:customStyle="1" w:styleId="83">
    <w:name w:val="font21"/>
    <w:basedOn w:val="28"/>
    <w:qFormat/>
    <w:uiPriority w:val="0"/>
    <w:rPr>
      <w:rFonts w:ascii="宋体" w:hAnsi="宋体" w:eastAsia="宋体" w:cs="宋体"/>
      <w:color w:val="000000"/>
      <w:sz w:val="16"/>
      <w:szCs w:val="16"/>
      <w:u w:val="none"/>
    </w:rPr>
  </w:style>
  <w:style w:type="character" w:customStyle="1" w:styleId="84">
    <w:name w:val="hover1"/>
    <w:basedOn w:val="28"/>
    <w:uiPriority w:val="0"/>
    <w:rPr>
      <w:color w:val="2590EB"/>
    </w:rPr>
  </w:style>
  <w:style w:type="character" w:customStyle="1" w:styleId="85">
    <w:name w:val="hover2"/>
    <w:basedOn w:val="28"/>
    <w:uiPriority w:val="0"/>
    <w:rPr>
      <w:color w:val="2590EB"/>
    </w:rPr>
  </w:style>
  <w:style w:type="character" w:customStyle="1" w:styleId="86">
    <w:name w:val="hover3"/>
    <w:basedOn w:val="28"/>
    <w:uiPriority w:val="0"/>
  </w:style>
  <w:style w:type="character" w:customStyle="1" w:styleId="87">
    <w:name w:val="hover4"/>
    <w:basedOn w:val="28"/>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19334</Words>
  <Characters>20832</Characters>
  <Lines>0</Lines>
  <Paragraphs>0</Paragraphs>
  <TotalTime>1</TotalTime>
  <ScaleCrop>false</ScaleCrop>
  <LinksUpToDate>false</LinksUpToDate>
  <CharactersWithSpaces>21666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2022-02-10T00:51:00Z</dcterms:created>
  <dc:creator>WPS_1591403542</dc:creator>
  <cp:lastModifiedBy>樱花粟</cp:lastModifiedBy>
  <cp:lastPrinted>2025-07-04T00:13:00Z</cp:lastPrinted>
  <dcterms:modified xsi:type="dcterms:W3CDTF">2025-10-11T01:31:30Z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9687E76A43894366A02E0BFD4167CA3A_13</vt:lpwstr>
  </property>
  <property fmtid="{D5CDD505-2E9C-101B-9397-08002B2CF9AE}" pid="4" name="KSOTemplateDocerSaveRecord">
    <vt:lpwstr>eyJoZGlkIjoiODkwY2MyNjM1NTE5ZGEwOWJjODUzNWQ5ZDBhOWQzMzkiLCJ1c2VySWQiOiIyNTAyNTUyMTEifQ==</vt:lpwstr>
  </property>
</Properties>
</file>